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charts/chart19.xml" ContentType="application/vnd.openxmlformats-officedocument.drawingml.chart+xml"/>
  <Override PartName="/word/charts/chart20.xml" ContentType="application/vnd.openxmlformats-officedocument.drawingml.chart+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1CB489" w14:textId="77777777" w:rsidR="00770DC3" w:rsidRPr="007B4794" w:rsidRDefault="00770DC3">
      <w:pPr>
        <w:spacing w:afterLines="100" w:after="240"/>
        <w:jc w:val="right"/>
        <w:rPr>
          <w:rFonts w:ascii="Arial" w:hAnsi="Arial" w:cs="Arial"/>
          <w:snapToGrid w:val="0"/>
          <w:color w:val="000000" w:themeColor="text1"/>
        </w:rPr>
      </w:pPr>
    </w:p>
    <w:p w14:paraId="6E46C4DB" w14:textId="77777777" w:rsidR="00684159" w:rsidRPr="007B4794" w:rsidRDefault="00684159" w:rsidP="00684159">
      <w:pPr>
        <w:jc w:val="center"/>
        <w:rPr>
          <w:rFonts w:ascii="Arial" w:eastAsia="隶书" w:hAnsi="Arial" w:cs="Arial"/>
          <w:b/>
          <w:bCs/>
          <w:color w:val="000000" w:themeColor="text1"/>
          <w:spacing w:val="20"/>
          <w:sz w:val="48"/>
        </w:rPr>
      </w:pPr>
    </w:p>
    <w:p w14:paraId="2BFB04A3" w14:textId="77777777" w:rsidR="00684159" w:rsidRPr="007B4794" w:rsidRDefault="00684159" w:rsidP="00684159">
      <w:pPr>
        <w:jc w:val="center"/>
        <w:rPr>
          <w:rFonts w:ascii="Arial" w:eastAsia="隶书" w:hAnsi="Arial" w:cs="Arial"/>
          <w:b/>
          <w:bCs/>
          <w:color w:val="000000" w:themeColor="text1"/>
          <w:spacing w:val="20"/>
          <w:sz w:val="48"/>
        </w:rPr>
      </w:pPr>
    </w:p>
    <w:p w14:paraId="57EDBD73" w14:textId="77777777" w:rsidR="00684159" w:rsidRPr="007B4794" w:rsidRDefault="00684159" w:rsidP="00684159">
      <w:pPr>
        <w:jc w:val="center"/>
        <w:rPr>
          <w:rFonts w:ascii="Arial" w:eastAsia="隶书" w:hAnsi="Arial" w:cs="Arial"/>
          <w:b/>
          <w:bCs/>
          <w:color w:val="000000" w:themeColor="text1"/>
          <w:spacing w:val="20"/>
          <w:sz w:val="48"/>
        </w:rPr>
      </w:pPr>
    </w:p>
    <w:p w14:paraId="5689D59E" w14:textId="77777777" w:rsidR="00684159" w:rsidRPr="007B4794" w:rsidRDefault="00684159" w:rsidP="00684159">
      <w:pPr>
        <w:jc w:val="center"/>
        <w:rPr>
          <w:rFonts w:ascii="Arial" w:eastAsia="隶书" w:hAnsi="Arial" w:cs="Arial"/>
          <w:b/>
          <w:bCs/>
          <w:color w:val="000000" w:themeColor="text1"/>
          <w:spacing w:val="20"/>
          <w:sz w:val="48"/>
        </w:rPr>
      </w:pPr>
    </w:p>
    <w:p w14:paraId="00D4FD5F" w14:textId="77777777" w:rsidR="00684159" w:rsidRPr="007B4794" w:rsidRDefault="00684159" w:rsidP="00684159">
      <w:pPr>
        <w:jc w:val="center"/>
        <w:rPr>
          <w:rFonts w:ascii="Arial" w:eastAsia="隶书" w:hAnsi="Arial" w:cs="Arial"/>
          <w:b/>
          <w:bCs/>
          <w:color w:val="000000" w:themeColor="text1"/>
          <w:spacing w:val="20"/>
          <w:sz w:val="48"/>
        </w:rPr>
      </w:pPr>
    </w:p>
    <w:p w14:paraId="0608D95E" w14:textId="77777777" w:rsidR="00684159" w:rsidRPr="007B4794" w:rsidRDefault="00684159" w:rsidP="00684159">
      <w:pPr>
        <w:snapToGrid w:val="0"/>
        <w:rPr>
          <w:rFonts w:ascii="Arial" w:eastAsia="隶书" w:hAnsi="Arial" w:cs="Arial"/>
          <w:b/>
          <w:bCs/>
          <w:color w:val="000000" w:themeColor="text1"/>
          <w:spacing w:val="20"/>
          <w:sz w:val="28"/>
          <w:szCs w:val="28"/>
        </w:rPr>
      </w:pPr>
    </w:p>
    <w:p w14:paraId="1C8792F0" w14:textId="67ED335A" w:rsidR="00684159" w:rsidRPr="007B4794" w:rsidRDefault="006101B7" w:rsidP="00684159">
      <w:pPr>
        <w:jc w:val="center"/>
        <w:rPr>
          <w:rFonts w:ascii="Arial" w:eastAsia="黑体" w:hAnsi="Arial" w:cs="Arial"/>
          <w:bCs/>
          <w:color w:val="000000" w:themeColor="text1"/>
          <w:spacing w:val="20"/>
          <w:sz w:val="72"/>
          <w:szCs w:val="72"/>
        </w:rPr>
      </w:pPr>
      <w:r w:rsidRPr="007B4794">
        <w:rPr>
          <w:rFonts w:ascii="Arial" w:eastAsia="黑体" w:hAnsi="Arial" w:cs="Arial"/>
          <w:bCs/>
          <w:color w:val="000000" w:themeColor="text1"/>
          <w:spacing w:val="20"/>
          <w:sz w:val="72"/>
          <w:szCs w:val="72"/>
        </w:rPr>
        <w:t>房地产市场调研报告</w:t>
      </w:r>
    </w:p>
    <w:p w14:paraId="181CD179" w14:textId="77777777" w:rsidR="00684159" w:rsidRPr="007B4794" w:rsidRDefault="00684159" w:rsidP="00684159">
      <w:pPr>
        <w:spacing w:line="280" w:lineRule="exact"/>
        <w:jc w:val="center"/>
        <w:rPr>
          <w:rFonts w:ascii="Arial" w:eastAsia="黑体" w:hAnsi="Arial" w:cs="Arial"/>
          <w:b/>
          <w:bCs/>
          <w:color w:val="000000" w:themeColor="text1"/>
          <w:spacing w:val="20"/>
          <w:sz w:val="52"/>
          <w:szCs w:val="52"/>
        </w:rPr>
      </w:pPr>
    </w:p>
    <w:p w14:paraId="249CBFB3" w14:textId="77777777" w:rsidR="00684159" w:rsidRPr="007B4794" w:rsidRDefault="00684159" w:rsidP="00684159">
      <w:pPr>
        <w:spacing w:line="280" w:lineRule="exact"/>
        <w:jc w:val="center"/>
        <w:rPr>
          <w:rFonts w:ascii="Arial" w:eastAsia="黑体" w:hAnsi="Arial" w:cs="Arial"/>
          <w:b/>
          <w:bCs/>
          <w:color w:val="000000" w:themeColor="text1"/>
          <w:spacing w:val="20"/>
          <w:sz w:val="52"/>
          <w:szCs w:val="52"/>
        </w:rPr>
      </w:pPr>
    </w:p>
    <w:p w14:paraId="2C7302B8" w14:textId="77777777" w:rsidR="00684159" w:rsidRPr="007B4794" w:rsidRDefault="00684159" w:rsidP="00684159">
      <w:pPr>
        <w:spacing w:line="280" w:lineRule="exact"/>
        <w:jc w:val="center"/>
        <w:rPr>
          <w:rFonts w:ascii="Arial" w:eastAsia="黑体" w:hAnsi="Arial" w:cs="Arial"/>
          <w:b/>
          <w:bCs/>
          <w:color w:val="000000" w:themeColor="text1"/>
          <w:spacing w:val="20"/>
          <w:sz w:val="52"/>
          <w:szCs w:val="52"/>
        </w:rPr>
      </w:pPr>
    </w:p>
    <w:p w14:paraId="533C1004" w14:textId="77777777" w:rsidR="00684159" w:rsidRPr="007B4794" w:rsidRDefault="00684159" w:rsidP="00684159">
      <w:pPr>
        <w:spacing w:line="280" w:lineRule="exact"/>
        <w:jc w:val="center"/>
        <w:rPr>
          <w:rFonts w:ascii="Arial" w:eastAsia="黑体" w:hAnsi="Arial" w:cs="Arial"/>
          <w:b/>
          <w:bCs/>
          <w:color w:val="000000" w:themeColor="text1"/>
          <w:spacing w:val="20"/>
          <w:sz w:val="52"/>
          <w:szCs w:val="52"/>
        </w:rPr>
      </w:pPr>
    </w:p>
    <w:p w14:paraId="423F505E" w14:textId="77777777" w:rsidR="00684159" w:rsidRPr="007B4794" w:rsidRDefault="00684159" w:rsidP="00684159">
      <w:pPr>
        <w:spacing w:line="280" w:lineRule="exact"/>
        <w:jc w:val="center"/>
        <w:rPr>
          <w:rFonts w:ascii="Arial" w:eastAsia="黑体" w:hAnsi="Arial" w:cs="Arial"/>
          <w:b/>
          <w:bCs/>
          <w:color w:val="000000" w:themeColor="text1"/>
          <w:spacing w:val="20"/>
          <w:sz w:val="52"/>
          <w:szCs w:val="52"/>
        </w:rPr>
      </w:pPr>
    </w:p>
    <w:p w14:paraId="11FAFF51" w14:textId="77777777" w:rsidR="00684159" w:rsidRPr="007B4794" w:rsidRDefault="00684159" w:rsidP="00684159">
      <w:pPr>
        <w:spacing w:line="280" w:lineRule="exact"/>
        <w:jc w:val="center"/>
        <w:rPr>
          <w:rFonts w:ascii="Arial" w:eastAsia="黑体" w:hAnsi="Arial" w:cs="Arial"/>
          <w:b/>
          <w:bCs/>
          <w:color w:val="000000" w:themeColor="text1"/>
          <w:spacing w:val="20"/>
          <w:sz w:val="52"/>
          <w:szCs w:val="52"/>
        </w:rPr>
      </w:pPr>
      <w:permStart w:id="1543462253" w:edGrp="everyone"/>
      <w:permEnd w:id="1543462253"/>
    </w:p>
    <w:p w14:paraId="65217FBE" w14:textId="77777777" w:rsidR="00684159" w:rsidRPr="007B4794" w:rsidRDefault="00684159" w:rsidP="00684159">
      <w:pPr>
        <w:spacing w:line="280" w:lineRule="exact"/>
        <w:jc w:val="center"/>
        <w:rPr>
          <w:rFonts w:ascii="Arial" w:eastAsia="Adobe 黑体 Std R" w:hAnsi="Arial" w:cs="Arial"/>
          <w:b/>
          <w:bCs/>
          <w:color w:val="000000" w:themeColor="text1"/>
          <w:szCs w:val="21"/>
        </w:rPr>
      </w:pPr>
    </w:p>
    <w:p w14:paraId="512E9A80" w14:textId="77777777" w:rsidR="00684159" w:rsidRPr="007B4794" w:rsidRDefault="00684159" w:rsidP="00684159">
      <w:pPr>
        <w:spacing w:line="280" w:lineRule="exact"/>
        <w:jc w:val="center"/>
        <w:rPr>
          <w:rFonts w:ascii="Arial" w:eastAsia="Adobe 黑体 Std R" w:hAnsi="Arial" w:cs="Arial"/>
          <w:b/>
          <w:bCs/>
          <w:color w:val="000000" w:themeColor="text1"/>
          <w:szCs w:val="21"/>
        </w:rPr>
      </w:pPr>
    </w:p>
    <w:p w14:paraId="3997A3CB" w14:textId="772BD316" w:rsidR="00B850AD" w:rsidRPr="007B4794" w:rsidRDefault="006D68C2" w:rsidP="00B850AD">
      <w:pPr>
        <w:snapToGrid w:val="0"/>
        <w:jc w:val="center"/>
        <w:rPr>
          <w:rFonts w:ascii="微软雅黑" w:eastAsia="微软雅黑" w:hAnsi="微软雅黑" w:cs="微软雅黑"/>
          <w:bCs/>
          <w:color w:val="000000" w:themeColor="text1"/>
        </w:rPr>
      </w:pPr>
      <w:r w:rsidRPr="007B4794">
        <w:rPr>
          <w:rFonts w:ascii="微软雅黑" w:eastAsia="微软雅黑" w:hAnsi="微软雅黑" w:cs="微软雅黑" w:hint="eastAsia"/>
          <w:bCs/>
          <w:color w:val="000000" w:themeColor="text1"/>
        </w:rPr>
        <w:t>福建省漳州市台商投资区湖中路以北</w:t>
      </w:r>
      <w:r w:rsidR="002554F5" w:rsidRPr="007B4794">
        <w:rPr>
          <w:rFonts w:ascii="微软雅黑" w:eastAsia="微软雅黑" w:hAnsi="微软雅黑" w:cs="微软雅黑" w:hint="eastAsia"/>
          <w:bCs/>
          <w:color w:val="000000" w:themeColor="text1"/>
        </w:rPr>
        <w:t>、</w:t>
      </w:r>
      <w:r w:rsidRPr="007B4794">
        <w:rPr>
          <w:rFonts w:ascii="微软雅黑" w:eastAsia="微软雅黑" w:hAnsi="微软雅黑" w:cs="微软雅黑" w:hint="eastAsia"/>
          <w:bCs/>
          <w:color w:val="000000" w:themeColor="text1"/>
        </w:rPr>
        <w:t>锦江大道以东居住</w:t>
      </w:r>
      <w:r w:rsidR="00B850AD" w:rsidRPr="007B4794">
        <w:rPr>
          <w:rFonts w:ascii="微软雅黑" w:eastAsia="微软雅黑" w:hAnsi="微软雅黑" w:cs="微软雅黑" w:hint="eastAsia"/>
          <w:bCs/>
          <w:color w:val="000000" w:themeColor="text1"/>
        </w:rPr>
        <w:t>项目</w:t>
      </w:r>
    </w:p>
    <w:p w14:paraId="2AE1C1CF" w14:textId="7A6A5F1B" w:rsidR="00B850AD" w:rsidRPr="007B4794" w:rsidRDefault="00B850AD" w:rsidP="00B850AD">
      <w:pPr>
        <w:snapToGrid w:val="0"/>
        <w:jc w:val="center"/>
        <w:rPr>
          <w:rFonts w:ascii="微软雅黑" w:eastAsia="微软雅黑" w:hAnsi="微软雅黑" w:cs="微软雅黑"/>
          <w:bCs/>
          <w:color w:val="000000" w:themeColor="text1"/>
        </w:rPr>
      </w:pPr>
      <w:r w:rsidRPr="007B4794">
        <w:rPr>
          <w:rFonts w:ascii="微软雅黑" w:eastAsia="微软雅黑" w:hAnsi="微软雅黑" w:cs="微软雅黑" w:hint="eastAsia"/>
          <w:bCs/>
          <w:color w:val="000000" w:themeColor="text1"/>
        </w:rPr>
        <w:t>【</w:t>
      </w:r>
      <w:r w:rsidR="006D68C2" w:rsidRPr="007B4794">
        <w:rPr>
          <w:rFonts w:ascii="微软雅黑" w:eastAsia="微软雅黑" w:hAnsi="微软雅黑" w:cs="微软雅黑" w:hint="eastAsia"/>
          <w:bCs/>
          <w:color w:val="000000" w:themeColor="text1"/>
        </w:rPr>
        <w:t>五矿信托-恒信共筑X号-鑫悦15号</w:t>
      </w:r>
      <w:r w:rsidRPr="007B4794">
        <w:rPr>
          <w:rFonts w:ascii="微软雅黑" w:eastAsia="微软雅黑" w:hAnsi="微软雅黑" w:cs="微软雅黑"/>
          <w:bCs/>
          <w:color w:val="000000" w:themeColor="text1"/>
        </w:rPr>
        <w:t>集合资金信托计划】</w:t>
      </w:r>
    </w:p>
    <w:p w14:paraId="06166413" w14:textId="31D4EBDB" w:rsidR="00684159" w:rsidRPr="007B4794" w:rsidRDefault="001B0974" w:rsidP="00B850AD">
      <w:pPr>
        <w:snapToGrid w:val="0"/>
        <w:jc w:val="center"/>
        <w:rPr>
          <w:rFonts w:ascii="微软雅黑" w:eastAsia="微软雅黑" w:hAnsi="微软雅黑" w:cs="微软雅黑"/>
          <w:bCs/>
          <w:color w:val="000000" w:themeColor="text1"/>
        </w:rPr>
      </w:pPr>
      <w:r w:rsidRPr="007B4794">
        <w:rPr>
          <w:rFonts w:ascii="微软雅黑" w:eastAsia="微软雅黑" w:hAnsi="微软雅黑" w:cs="微软雅黑" w:hint="eastAsia"/>
          <w:bCs/>
          <w:color w:val="000000" w:themeColor="text1"/>
        </w:rPr>
        <w:t>房</w:t>
      </w:r>
      <w:r w:rsidRPr="007B4794">
        <w:rPr>
          <w:rFonts w:ascii="微软雅黑" w:eastAsia="微软雅黑" w:hAnsi="微软雅黑" w:cs="微软雅黑"/>
          <w:bCs/>
          <w:color w:val="000000" w:themeColor="text1"/>
        </w:rPr>
        <w:t>地产市场调研报告</w:t>
      </w:r>
    </w:p>
    <w:p w14:paraId="2409D691" w14:textId="77777777" w:rsidR="00684159" w:rsidRPr="007B4794" w:rsidRDefault="00684159" w:rsidP="00684159">
      <w:pPr>
        <w:spacing w:line="280" w:lineRule="exact"/>
        <w:jc w:val="center"/>
        <w:rPr>
          <w:rFonts w:ascii="Arial" w:eastAsia="Adobe 黑体 Std R" w:hAnsi="Arial" w:cs="Arial"/>
          <w:b/>
          <w:bCs/>
          <w:color w:val="000000" w:themeColor="text1"/>
          <w:spacing w:val="20"/>
        </w:rPr>
      </w:pPr>
    </w:p>
    <w:p w14:paraId="28792BDB" w14:textId="77777777" w:rsidR="00684159" w:rsidRPr="007B4794" w:rsidRDefault="00684159" w:rsidP="00684159">
      <w:pPr>
        <w:spacing w:line="280" w:lineRule="exact"/>
        <w:jc w:val="center"/>
        <w:rPr>
          <w:rFonts w:ascii="Arial" w:eastAsia="Adobe 黑体 Std R" w:hAnsi="Arial" w:cs="Arial"/>
          <w:b/>
          <w:bCs/>
          <w:color w:val="000000" w:themeColor="text1"/>
          <w:spacing w:val="20"/>
        </w:rPr>
      </w:pPr>
    </w:p>
    <w:p w14:paraId="4B94265B" w14:textId="77777777" w:rsidR="00684159" w:rsidRPr="007B4794" w:rsidRDefault="00684159" w:rsidP="00684159">
      <w:pPr>
        <w:spacing w:line="280" w:lineRule="exact"/>
        <w:jc w:val="center"/>
        <w:rPr>
          <w:rFonts w:ascii="Arial" w:eastAsia="Adobe 黑体 Std R" w:hAnsi="Arial" w:cs="Arial"/>
          <w:b/>
          <w:bCs/>
          <w:color w:val="000000" w:themeColor="text1"/>
          <w:spacing w:val="20"/>
        </w:rPr>
      </w:pPr>
    </w:p>
    <w:p w14:paraId="0D905AF0" w14:textId="6F261DEF" w:rsidR="00684159" w:rsidRPr="007B4794" w:rsidRDefault="00C707C5" w:rsidP="00094955">
      <w:pPr>
        <w:spacing w:line="280" w:lineRule="exact"/>
        <w:jc w:val="center"/>
        <w:rPr>
          <w:rFonts w:ascii="Arial" w:eastAsia="Adobe 黑体 Std R" w:hAnsi="Arial" w:cs="Arial"/>
          <w:bCs/>
          <w:snapToGrid w:val="0"/>
          <w:color w:val="000000" w:themeColor="text1"/>
        </w:rPr>
      </w:pPr>
      <w:r w:rsidRPr="007B4794">
        <w:rPr>
          <w:rFonts w:ascii="Arial" w:eastAsia="Adobe 黑体 Std R" w:hAnsi="Arial" w:cs="Arial"/>
          <w:bCs/>
          <w:snapToGrid w:val="0"/>
          <w:color w:val="000000" w:themeColor="text1"/>
        </w:rPr>
        <w:t>2020-1-</w:t>
      </w:r>
      <w:r w:rsidR="00B850AD" w:rsidRPr="007B4794">
        <w:rPr>
          <w:rFonts w:ascii="Arial" w:eastAsia="Adobe 黑体 Std R" w:hAnsi="Arial" w:cs="Arial"/>
          <w:bCs/>
          <w:snapToGrid w:val="0"/>
          <w:color w:val="000000" w:themeColor="text1"/>
        </w:rPr>
        <w:t>0</w:t>
      </w:r>
      <w:r w:rsidR="007B4794" w:rsidRPr="007B4794">
        <w:rPr>
          <w:rFonts w:ascii="Arial" w:eastAsia="Adobe 黑体 Std R" w:hAnsi="Arial" w:cs="Arial" w:hint="eastAsia"/>
          <w:bCs/>
          <w:snapToGrid w:val="0"/>
          <w:color w:val="000000" w:themeColor="text1"/>
        </w:rPr>
        <w:t>58</w:t>
      </w:r>
      <w:r w:rsidR="002A01B0">
        <w:rPr>
          <w:rFonts w:ascii="Arial" w:eastAsia="Adobe 黑体 Std R" w:hAnsi="Arial" w:cs="Arial" w:hint="eastAsia"/>
          <w:bCs/>
          <w:snapToGrid w:val="0"/>
          <w:color w:val="000000" w:themeColor="text1"/>
        </w:rPr>
        <w:t>2</w:t>
      </w:r>
      <w:r w:rsidRPr="007B4794">
        <w:rPr>
          <w:rFonts w:ascii="Arial" w:eastAsia="Adobe 黑体 Std R" w:hAnsi="Arial" w:cs="Arial"/>
          <w:bCs/>
          <w:snapToGrid w:val="0"/>
          <w:color w:val="000000" w:themeColor="text1"/>
        </w:rPr>
        <w:t>-F01KXYJ</w:t>
      </w:r>
      <w:r w:rsidR="00D71245" w:rsidRPr="007B4794">
        <w:rPr>
          <w:rFonts w:ascii="Arial" w:eastAsia="Adobe 黑体 Std R" w:hAnsi="Arial" w:cs="Arial" w:hint="eastAsia"/>
          <w:bCs/>
          <w:snapToGrid w:val="0"/>
          <w:color w:val="000000" w:themeColor="text1"/>
        </w:rPr>
        <w:t>1</w:t>
      </w:r>
    </w:p>
    <w:p w14:paraId="75FD4F8C" w14:textId="77777777" w:rsidR="00684159" w:rsidRPr="007B4794" w:rsidRDefault="00684159" w:rsidP="00684159">
      <w:pPr>
        <w:spacing w:line="280" w:lineRule="exact"/>
        <w:jc w:val="center"/>
        <w:rPr>
          <w:rFonts w:ascii="Arial" w:eastAsia="Adobe 黑体 Std R" w:hAnsi="Arial" w:cs="Arial"/>
          <w:b/>
          <w:bCs/>
          <w:snapToGrid w:val="0"/>
          <w:color w:val="000000" w:themeColor="text1"/>
        </w:rPr>
      </w:pPr>
    </w:p>
    <w:p w14:paraId="11E1AE11" w14:textId="77777777" w:rsidR="00684159" w:rsidRPr="007B4794" w:rsidRDefault="00684159" w:rsidP="00684159">
      <w:pPr>
        <w:spacing w:line="280" w:lineRule="exact"/>
        <w:jc w:val="center"/>
        <w:rPr>
          <w:rFonts w:ascii="Arial" w:eastAsia="Adobe 黑体 Std R" w:hAnsi="Arial" w:cs="Arial"/>
          <w:b/>
          <w:bCs/>
          <w:snapToGrid w:val="0"/>
          <w:color w:val="000000" w:themeColor="text1"/>
        </w:rPr>
      </w:pPr>
    </w:p>
    <w:p w14:paraId="19DF6D90" w14:textId="77777777" w:rsidR="00684159" w:rsidRPr="007B4794" w:rsidRDefault="00684159" w:rsidP="00684159">
      <w:pPr>
        <w:spacing w:line="280" w:lineRule="exact"/>
        <w:jc w:val="center"/>
        <w:rPr>
          <w:rFonts w:ascii="Arial" w:eastAsia="Adobe 黑体 Std R" w:hAnsi="Arial" w:cs="Arial"/>
          <w:b/>
          <w:bCs/>
          <w:snapToGrid w:val="0"/>
          <w:color w:val="000000" w:themeColor="text1"/>
        </w:rPr>
      </w:pPr>
    </w:p>
    <w:p w14:paraId="2B7AE74F" w14:textId="77777777" w:rsidR="00684159" w:rsidRPr="007B4794" w:rsidRDefault="00684159" w:rsidP="00684159">
      <w:pPr>
        <w:spacing w:line="280" w:lineRule="exact"/>
        <w:jc w:val="center"/>
        <w:rPr>
          <w:rFonts w:ascii="Arial" w:eastAsia="Adobe 黑体 Std R" w:hAnsi="Arial" w:cs="Arial"/>
          <w:color w:val="000000" w:themeColor="text1"/>
        </w:rPr>
      </w:pPr>
      <w:r w:rsidRPr="007B4794">
        <w:rPr>
          <w:rFonts w:ascii="Arial" w:eastAsia="Adobe 黑体 Std R" w:hAnsi="Arial" w:cs="Arial"/>
          <w:color w:val="000000" w:themeColor="text1"/>
        </w:rPr>
        <w:t>北京康正宏基房地产评估有限公司</w:t>
      </w:r>
    </w:p>
    <w:p w14:paraId="25088BCE" w14:textId="77777777" w:rsidR="00684159" w:rsidRPr="007B4794" w:rsidRDefault="00684159" w:rsidP="00684159">
      <w:pPr>
        <w:spacing w:line="280" w:lineRule="exact"/>
        <w:jc w:val="center"/>
        <w:rPr>
          <w:rFonts w:ascii="Arial" w:eastAsia="Adobe 黑体 Std R" w:hAnsi="Arial" w:cs="Arial"/>
          <w:color w:val="000000" w:themeColor="text1"/>
        </w:rPr>
      </w:pPr>
    </w:p>
    <w:p w14:paraId="53E829F6" w14:textId="77777777" w:rsidR="00684159" w:rsidRPr="007B4794" w:rsidRDefault="00684159" w:rsidP="00684159">
      <w:pPr>
        <w:spacing w:line="280" w:lineRule="exact"/>
        <w:jc w:val="center"/>
        <w:rPr>
          <w:rFonts w:ascii="Arial" w:eastAsia="Adobe 黑体 Std R" w:hAnsi="Arial" w:cs="Arial"/>
          <w:color w:val="000000" w:themeColor="text1"/>
        </w:rPr>
      </w:pPr>
    </w:p>
    <w:p w14:paraId="0C9EB131" w14:textId="77777777" w:rsidR="00684159" w:rsidRPr="007B4794" w:rsidRDefault="00684159" w:rsidP="00684159">
      <w:pPr>
        <w:spacing w:line="280" w:lineRule="exact"/>
        <w:jc w:val="center"/>
        <w:rPr>
          <w:rFonts w:ascii="Arial" w:eastAsia="Adobe 黑体 Std R" w:hAnsi="Arial" w:cs="Arial"/>
          <w:color w:val="000000" w:themeColor="text1"/>
        </w:rPr>
      </w:pPr>
    </w:p>
    <w:p w14:paraId="3F004AB7" w14:textId="288222F5" w:rsidR="00770DC3" w:rsidRPr="007B4794" w:rsidRDefault="00684159" w:rsidP="009B0B0F">
      <w:pPr>
        <w:spacing w:line="280" w:lineRule="exact"/>
        <w:jc w:val="center"/>
        <w:rPr>
          <w:rFonts w:ascii="Arial" w:eastAsia="Adobe 黑体 Std R" w:hAnsi="Arial" w:cs="Arial"/>
          <w:color w:val="000000" w:themeColor="text1"/>
        </w:rPr>
      </w:pPr>
      <w:r w:rsidRPr="007B4794">
        <w:rPr>
          <w:rFonts w:ascii="Arial" w:eastAsia="Adobe 黑体 Std R" w:hAnsi="Arial" w:cs="Arial"/>
          <w:color w:val="000000" w:themeColor="text1"/>
        </w:rPr>
        <w:t>20</w:t>
      </w:r>
      <w:r w:rsidR="00420053" w:rsidRPr="007B4794">
        <w:rPr>
          <w:rFonts w:ascii="Arial" w:eastAsia="Adobe 黑体 Std R" w:hAnsi="Arial" w:cs="Arial"/>
          <w:color w:val="000000" w:themeColor="text1"/>
        </w:rPr>
        <w:t>20</w:t>
      </w:r>
      <w:r w:rsidRPr="007B4794">
        <w:rPr>
          <w:rFonts w:ascii="Arial" w:eastAsia="Adobe 黑体 Std R" w:hAnsi="Arial" w:cs="Arial"/>
          <w:color w:val="000000" w:themeColor="text1"/>
        </w:rPr>
        <w:t>年</w:t>
      </w:r>
      <w:r w:rsidR="00B850AD" w:rsidRPr="007B4794">
        <w:rPr>
          <w:rFonts w:ascii="Arial" w:eastAsia="Adobe 黑体 Std R" w:hAnsi="Arial" w:cs="Arial" w:hint="eastAsia"/>
          <w:color w:val="000000" w:themeColor="text1"/>
        </w:rPr>
        <w:t>1</w:t>
      </w:r>
      <w:r w:rsidR="00EE2211" w:rsidRPr="007B4794">
        <w:rPr>
          <w:rFonts w:ascii="Arial" w:eastAsia="Adobe 黑体 Std R" w:hAnsi="Arial" w:cs="Arial" w:hint="eastAsia"/>
          <w:color w:val="000000" w:themeColor="text1"/>
        </w:rPr>
        <w:t>1</w:t>
      </w:r>
      <w:r w:rsidRPr="007B4794">
        <w:rPr>
          <w:rFonts w:ascii="Arial" w:eastAsia="Adobe 黑体 Std R" w:hAnsi="Arial" w:cs="Arial"/>
          <w:color w:val="000000" w:themeColor="text1"/>
        </w:rPr>
        <w:t>月</w:t>
      </w:r>
    </w:p>
    <w:p w14:paraId="093F24E0" w14:textId="27EB31B3" w:rsidR="00770DC3" w:rsidRPr="007B4794" w:rsidRDefault="00500171" w:rsidP="00EC5712">
      <w:pPr>
        <w:spacing w:before="240" w:line="312" w:lineRule="auto"/>
        <w:ind w:firstLine="600"/>
        <w:rPr>
          <w:rFonts w:ascii="Arial" w:hAnsi="Arial" w:cs="Arial"/>
          <w:color w:val="000000" w:themeColor="text1"/>
          <w:szCs w:val="21"/>
        </w:rPr>
      </w:pPr>
      <w:r w:rsidRPr="007B4794">
        <w:rPr>
          <w:rFonts w:ascii="Arial" w:hAnsi="Arial" w:cs="Arial"/>
          <w:color w:val="000000" w:themeColor="text1"/>
          <w:sz w:val="30"/>
        </w:rPr>
        <w:br w:type="page"/>
      </w:r>
      <w:r w:rsidR="00770DC3" w:rsidRPr="007B4794">
        <w:rPr>
          <w:rFonts w:ascii="Arial" w:hAnsi="Arial" w:cs="Arial"/>
          <w:color w:val="000000" w:themeColor="text1"/>
          <w:szCs w:val="21"/>
        </w:rPr>
        <w:lastRenderedPageBreak/>
        <w:t>报告编制单位</w:t>
      </w:r>
      <w:r w:rsidR="00B85A61" w:rsidRPr="007B4794">
        <w:rPr>
          <w:rFonts w:ascii="Arial" w:hAnsi="Arial" w:cs="Arial" w:hint="eastAsia"/>
          <w:color w:val="000000" w:themeColor="text1"/>
          <w:szCs w:val="21"/>
        </w:rPr>
        <w:t>：</w:t>
      </w:r>
      <w:proofErr w:type="gramStart"/>
      <w:r w:rsidR="00770DC3" w:rsidRPr="007B4794">
        <w:rPr>
          <w:rFonts w:ascii="Arial" w:hAnsi="Arial" w:cs="Arial"/>
          <w:color w:val="000000" w:themeColor="text1"/>
          <w:szCs w:val="21"/>
        </w:rPr>
        <w:t>北京康正宏</w:t>
      </w:r>
      <w:proofErr w:type="gramEnd"/>
      <w:r w:rsidR="00770DC3" w:rsidRPr="007B4794">
        <w:rPr>
          <w:rFonts w:ascii="Arial" w:hAnsi="Arial" w:cs="Arial"/>
          <w:color w:val="000000" w:themeColor="text1"/>
          <w:szCs w:val="21"/>
        </w:rPr>
        <w:t>基房地产评估有限公司</w:t>
      </w:r>
    </w:p>
    <w:p w14:paraId="56766969" w14:textId="0DC2BA94" w:rsidR="00770DC3" w:rsidRPr="007B4794" w:rsidRDefault="00770DC3" w:rsidP="00C636CD">
      <w:pPr>
        <w:spacing w:before="240" w:line="480" w:lineRule="auto"/>
        <w:ind w:firstLine="600"/>
        <w:rPr>
          <w:rFonts w:ascii="Arial" w:hAnsi="Arial" w:cs="Arial"/>
          <w:color w:val="000000" w:themeColor="text1"/>
          <w:szCs w:val="21"/>
        </w:rPr>
      </w:pPr>
    </w:p>
    <w:p w14:paraId="17B6B84A" w14:textId="77777777" w:rsidR="00770DC3" w:rsidRPr="007B4794" w:rsidRDefault="00770DC3" w:rsidP="007C6E54">
      <w:pPr>
        <w:spacing w:before="240" w:line="480" w:lineRule="auto"/>
        <w:ind w:firstLine="600"/>
        <w:rPr>
          <w:rFonts w:ascii="Arial" w:hAnsi="Arial" w:cs="Arial"/>
          <w:color w:val="000000" w:themeColor="text1"/>
          <w:szCs w:val="21"/>
        </w:rPr>
      </w:pPr>
    </w:p>
    <w:p w14:paraId="57C8ABE0" w14:textId="77777777" w:rsidR="00770DC3" w:rsidRPr="007B4794" w:rsidRDefault="00770DC3" w:rsidP="007C6E54">
      <w:pPr>
        <w:spacing w:before="240" w:line="480" w:lineRule="auto"/>
        <w:ind w:firstLine="600"/>
        <w:rPr>
          <w:rFonts w:ascii="Arial" w:hAnsi="Arial" w:cs="Arial"/>
          <w:color w:val="000000" w:themeColor="text1"/>
          <w:szCs w:val="21"/>
        </w:rPr>
      </w:pPr>
      <w:r w:rsidRPr="007B4794">
        <w:rPr>
          <w:rFonts w:ascii="Arial" w:hAnsi="Arial" w:cs="Arial"/>
          <w:color w:val="000000" w:themeColor="text1"/>
          <w:szCs w:val="21"/>
        </w:rPr>
        <w:t>法人代表</w:t>
      </w:r>
      <w:r w:rsidRPr="007B4794">
        <w:rPr>
          <w:rFonts w:ascii="Arial" w:hAnsi="Arial" w:cs="Arial"/>
          <w:color w:val="000000" w:themeColor="text1"/>
          <w:szCs w:val="21"/>
        </w:rPr>
        <w:t xml:space="preserve">:     </w:t>
      </w:r>
      <w:r w:rsidRPr="007B4794">
        <w:rPr>
          <w:rFonts w:ascii="Arial" w:hAnsi="Arial" w:cs="Arial"/>
          <w:color w:val="000000" w:themeColor="text1"/>
          <w:szCs w:val="21"/>
        </w:rPr>
        <w:t>齐</w:t>
      </w:r>
      <w:r w:rsidRPr="007B4794">
        <w:rPr>
          <w:rFonts w:ascii="Arial" w:hAnsi="Arial" w:cs="Arial"/>
          <w:color w:val="000000" w:themeColor="text1"/>
          <w:szCs w:val="21"/>
        </w:rPr>
        <w:t xml:space="preserve">    </w:t>
      </w:r>
      <w:r w:rsidRPr="007B4794">
        <w:rPr>
          <w:rFonts w:ascii="Arial" w:hAnsi="Arial" w:cs="Arial"/>
          <w:color w:val="000000" w:themeColor="text1"/>
          <w:szCs w:val="21"/>
        </w:rPr>
        <w:t>宏</w:t>
      </w:r>
      <w:r w:rsidRPr="007B4794">
        <w:rPr>
          <w:rFonts w:ascii="Arial" w:hAnsi="Arial" w:cs="Arial"/>
          <w:color w:val="000000" w:themeColor="text1"/>
          <w:szCs w:val="21"/>
        </w:rPr>
        <w:t xml:space="preserve">       </w:t>
      </w:r>
      <w:r w:rsidRPr="007B4794">
        <w:rPr>
          <w:rFonts w:ascii="Arial" w:hAnsi="Arial" w:cs="Arial"/>
          <w:color w:val="000000" w:themeColor="text1"/>
          <w:szCs w:val="21"/>
        </w:rPr>
        <w:t>高级经济师</w:t>
      </w:r>
    </w:p>
    <w:p w14:paraId="487684AB" w14:textId="77777777" w:rsidR="00770DC3" w:rsidRPr="007B4794" w:rsidRDefault="00770DC3" w:rsidP="007C6E54">
      <w:pPr>
        <w:spacing w:before="240" w:line="480" w:lineRule="auto"/>
        <w:ind w:firstLine="600"/>
        <w:rPr>
          <w:rFonts w:ascii="Arial" w:hAnsi="Arial" w:cs="Arial"/>
          <w:color w:val="000000" w:themeColor="text1"/>
          <w:szCs w:val="21"/>
        </w:rPr>
      </w:pPr>
      <w:r w:rsidRPr="007B4794">
        <w:rPr>
          <w:rFonts w:ascii="Arial" w:hAnsi="Arial" w:cs="Arial"/>
          <w:color w:val="000000" w:themeColor="text1"/>
          <w:szCs w:val="21"/>
        </w:rPr>
        <w:t xml:space="preserve">                             </w:t>
      </w:r>
      <w:r w:rsidR="00233764" w:rsidRPr="007B4794">
        <w:rPr>
          <w:rFonts w:ascii="Arial" w:hAnsi="Arial" w:cs="Arial"/>
          <w:color w:val="000000" w:themeColor="text1"/>
          <w:szCs w:val="21"/>
        </w:rPr>
        <w:t>注册房地产估价师</w:t>
      </w:r>
    </w:p>
    <w:p w14:paraId="05CC7B3A" w14:textId="77777777" w:rsidR="00770DC3" w:rsidRPr="007B4794" w:rsidRDefault="00770DC3" w:rsidP="007C6E54">
      <w:pPr>
        <w:spacing w:before="240" w:line="480" w:lineRule="auto"/>
        <w:ind w:firstLine="600"/>
        <w:rPr>
          <w:rFonts w:ascii="Arial" w:hAnsi="Arial" w:cs="Arial"/>
          <w:color w:val="000000" w:themeColor="text1"/>
          <w:szCs w:val="21"/>
        </w:rPr>
      </w:pPr>
      <w:r w:rsidRPr="007B4794">
        <w:rPr>
          <w:rFonts w:ascii="Arial" w:hAnsi="Arial" w:cs="Arial"/>
          <w:color w:val="000000" w:themeColor="text1"/>
          <w:szCs w:val="21"/>
        </w:rPr>
        <w:t>项目负责人</w:t>
      </w:r>
      <w:r w:rsidRPr="007B4794">
        <w:rPr>
          <w:rFonts w:ascii="Arial" w:hAnsi="Arial" w:cs="Arial"/>
          <w:color w:val="000000" w:themeColor="text1"/>
          <w:szCs w:val="21"/>
        </w:rPr>
        <w:t xml:space="preserve">:   </w:t>
      </w:r>
      <w:r w:rsidR="002A077E" w:rsidRPr="007B4794">
        <w:rPr>
          <w:rFonts w:ascii="Arial" w:hAnsi="Arial" w:cs="Arial"/>
          <w:color w:val="000000" w:themeColor="text1"/>
          <w:szCs w:val="21"/>
        </w:rPr>
        <w:t>王</w:t>
      </w:r>
      <w:r w:rsidR="002A077E" w:rsidRPr="007B4794">
        <w:rPr>
          <w:rFonts w:ascii="Arial" w:hAnsi="Arial" w:cs="Arial"/>
          <w:color w:val="000000" w:themeColor="text1"/>
          <w:szCs w:val="21"/>
        </w:rPr>
        <w:t xml:space="preserve">    </w:t>
      </w:r>
      <w:r w:rsidR="002A077E" w:rsidRPr="007B4794">
        <w:rPr>
          <w:rFonts w:ascii="Arial" w:hAnsi="Arial" w:cs="Arial"/>
          <w:color w:val="000000" w:themeColor="text1"/>
          <w:szCs w:val="21"/>
        </w:rPr>
        <w:t>鹏</w:t>
      </w:r>
      <w:r w:rsidRPr="007B4794">
        <w:rPr>
          <w:rFonts w:ascii="Arial" w:hAnsi="Arial" w:cs="Arial"/>
          <w:color w:val="000000" w:themeColor="text1"/>
          <w:szCs w:val="21"/>
        </w:rPr>
        <w:t xml:space="preserve">       </w:t>
      </w:r>
      <w:r w:rsidR="00233764" w:rsidRPr="007B4794">
        <w:rPr>
          <w:rFonts w:ascii="Arial" w:hAnsi="Arial" w:cs="Arial"/>
          <w:color w:val="000000" w:themeColor="text1"/>
          <w:szCs w:val="21"/>
        </w:rPr>
        <w:t>注册房地产估价师</w:t>
      </w:r>
    </w:p>
    <w:p w14:paraId="10A01127" w14:textId="77777777" w:rsidR="00770DC3" w:rsidRPr="007B4794" w:rsidRDefault="00770DC3" w:rsidP="00B82767">
      <w:pPr>
        <w:tabs>
          <w:tab w:val="left" w:pos="2552"/>
          <w:tab w:val="left" w:pos="2835"/>
          <w:tab w:val="left" w:pos="7552"/>
        </w:tabs>
        <w:spacing w:before="240" w:line="480" w:lineRule="auto"/>
        <w:ind w:firstLine="600"/>
        <w:rPr>
          <w:rFonts w:ascii="Arial" w:hAnsi="Arial" w:cs="Arial"/>
          <w:color w:val="000000" w:themeColor="text1"/>
          <w:szCs w:val="21"/>
        </w:rPr>
      </w:pPr>
      <w:r w:rsidRPr="007B4794">
        <w:rPr>
          <w:rFonts w:ascii="Arial" w:hAnsi="Arial" w:cs="Arial"/>
          <w:color w:val="000000" w:themeColor="text1"/>
          <w:szCs w:val="21"/>
        </w:rPr>
        <w:t xml:space="preserve">                             </w:t>
      </w:r>
      <w:r w:rsidRPr="007B4794">
        <w:rPr>
          <w:rFonts w:ascii="Arial" w:hAnsi="Arial" w:cs="Arial"/>
          <w:color w:val="000000" w:themeColor="text1"/>
          <w:szCs w:val="21"/>
        </w:rPr>
        <w:t>注册土地估价师</w:t>
      </w:r>
    </w:p>
    <w:p w14:paraId="67BEB7AB" w14:textId="77777777" w:rsidR="00684159" w:rsidRPr="007B4794" w:rsidRDefault="00770DC3" w:rsidP="007C6E54">
      <w:pPr>
        <w:spacing w:before="240" w:line="480" w:lineRule="auto"/>
        <w:ind w:firstLine="600"/>
        <w:rPr>
          <w:rFonts w:ascii="Arial" w:hAnsi="Arial" w:cs="Arial"/>
          <w:color w:val="000000" w:themeColor="text1"/>
          <w:szCs w:val="21"/>
        </w:rPr>
      </w:pPr>
      <w:r w:rsidRPr="007B4794">
        <w:rPr>
          <w:rFonts w:ascii="Arial" w:hAnsi="Arial" w:cs="Arial"/>
          <w:color w:val="000000" w:themeColor="text1"/>
          <w:szCs w:val="21"/>
        </w:rPr>
        <w:t>项目参加人员</w:t>
      </w:r>
      <w:r w:rsidRPr="007B4794">
        <w:rPr>
          <w:rFonts w:ascii="Arial" w:hAnsi="Arial" w:cs="Arial"/>
          <w:color w:val="000000" w:themeColor="text1"/>
          <w:szCs w:val="21"/>
        </w:rPr>
        <w:t xml:space="preserve">: </w:t>
      </w:r>
      <w:r w:rsidR="00B42880" w:rsidRPr="007B4794">
        <w:rPr>
          <w:rFonts w:ascii="Arial" w:hAnsi="Arial" w:cs="Arial"/>
          <w:color w:val="000000" w:themeColor="text1"/>
          <w:szCs w:val="21"/>
        </w:rPr>
        <w:t>郑</w:t>
      </w:r>
      <w:r w:rsidR="00B42880" w:rsidRPr="007B4794">
        <w:rPr>
          <w:rFonts w:ascii="Arial" w:hAnsi="Arial" w:cs="Arial"/>
          <w:color w:val="000000" w:themeColor="text1"/>
          <w:szCs w:val="21"/>
        </w:rPr>
        <w:t xml:space="preserve">    </w:t>
      </w:r>
      <w:r w:rsidR="00B42880" w:rsidRPr="007B4794">
        <w:rPr>
          <w:rFonts w:ascii="Arial" w:hAnsi="Arial" w:cs="Arial"/>
          <w:color w:val="000000" w:themeColor="text1"/>
          <w:szCs w:val="21"/>
        </w:rPr>
        <w:t>燚</w:t>
      </w:r>
      <w:r w:rsidR="00684159" w:rsidRPr="007B4794">
        <w:rPr>
          <w:rFonts w:ascii="Arial" w:hAnsi="Arial" w:cs="Arial"/>
          <w:color w:val="000000" w:themeColor="text1"/>
          <w:szCs w:val="21"/>
        </w:rPr>
        <w:t xml:space="preserve">       </w:t>
      </w:r>
      <w:r w:rsidR="00233764" w:rsidRPr="007B4794">
        <w:rPr>
          <w:rFonts w:ascii="Arial" w:hAnsi="Arial" w:cs="Arial"/>
          <w:color w:val="000000" w:themeColor="text1"/>
          <w:szCs w:val="21"/>
        </w:rPr>
        <w:t>注册房地产估价师</w:t>
      </w:r>
    </w:p>
    <w:p w14:paraId="1A99054C" w14:textId="77777777" w:rsidR="00684159" w:rsidRPr="007B4794" w:rsidRDefault="00684159" w:rsidP="007C6E54">
      <w:pPr>
        <w:spacing w:before="240" w:line="480" w:lineRule="auto"/>
        <w:ind w:firstLine="600"/>
        <w:rPr>
          <w:rFonts w:ascii="Arial" w:hAnsi="Arial" w:cs="Arial"/>
          <w:color w:val="000000" w:themeColor="text1"/>
          <w:szCs w:val="21"/>
        </w:rPr>
      </w:pPr>
      <w:r w:rsidRPr="007B4794">
        <w:rPr>
          <w:rFonts w:ascii="Arial" w:hAnsi="Arial" w:cs="Arial"/>
          <w:color w:val="000000" w:themeColor="text1"/>
          <w:szCs w:val="21"/>
        </w:rPr>
        <w:t xml:space="preserve">                             </w:t>
      </w:r>
      <w:bookmarkStart w:id="0" w:name="OLE_LINK2"/>
      <w:r w:rsidRPr="007B4794">
        <w:rPr>
          <w:rFonts w:ascii="Arial" w:hAnsi="Arial" w:cs="Arial"/>
          <w:color w:val="000000" w:themeColor="text1"/>
          <w:szCs w:val="21"/>
        </w:rPr>
        <w:t>注册土地估价师</w:t>
      </w:r>
      <w:bookmarkEnd w:id="0"/>
    </w:p>
    <w:p w14:paraId="7B6CF6D8" w14:textId="136153B5" w:rsidR="00B42880" w:rsidRPr="007B4794" w:rsidRDefault="00B42880" w:rsidP="007C6E54">
      <w:pPr>
        <w:tabs>
          <w:tab w:val="left" w:pos="3402"/>
          <w:tab w:val="left" w:pos="3544"/>
          <w:tab w:val="left" w:pos="3686"/>
        </w:tabs>
        <w:spacing w:before="240" w:line="480" w:lineRule="auto"/>
        <w:ind w:firstLine="600"/>
        <w:rPr>
          <w:rFonts w:ascii="Arial" w:hAnsi="Arial" w:cs="Arial"/>
          <w:color w:val="000000" w:themeColor="text1"/>
          <w:szCs w:val="21"/>
        </w:rPr>
      </w:pPr>
      <w:r w:rsidRPr="007B4794">
        <w:rPr>
          <w:rFonts w:ascii="Arial" w:hAnsi="Arial" w:cs="Arial"/>
          <w:color w:val="000000" w:themeColor="text1"/>
          <w:szCs w:val="21"/>
        </w:rPr>
        <w:t xml:space="preserve">              </w:t>
      </w:r>
      <w:r w:rsidR="00217D6A" w:rsidRPr="007B4794">
        <w:rPr>
          <w:rFonts w:ascii="Arial" w:hAnsi="Arial" w:cs="Arial" w:hint="eastAsia"/>
          <w:color w:val="000000" w:themeColor="text1"/>
          <w:szCs w:val="21"/>
        </w:rPr>
        <w:t>赵</w:t>
      </w:r>
      <w:r w:rsidR="00217D6A" w:rsidRPr="007B4794">
        <w:rPr>
          <w:rFonts w:ascii="Arial" w:hAnsi="Arial" w:cs="Arial" w:hint="eastAsia"/>
          <w:color w:val="000000" w:themeColor="text1"/>
          <w:szCs w:val="21"/>
        </w:rPr>
        <w:t xml:space="preserve"> </w:t>
      </w:r>
      <w:r w:rsidR="00217D6A" w:rsidRPr="007B4794">
        <w:rPr>
          <w:rFonts w:ascii="Arial" w:hAnsi="Arial" w:cs="Arial"/>
          <w:color w:val="000000" w:themeColor="text1"/>
          <w:szCs w:val="21"/>
        </w:rPr>
        <w:t xml:space="preserve">   </w:t>
      </w:r>
      <w:r w:rsidR="00217D6A" w:rsidRPr="007B4794">
        <w:rPr>
          <w:rFonts w:ascii="Arial" w:hAnsi="Arial" w:cs="Arial" w:hint="eastAsia"/>
          <w:color w:val="000000" w:themeColor="text1"/>
          <w:szCs w:val="21"/>
        </w:rPr>
        <w:t>雯</w:t>
      </w:r>
      <w:r w:rsidRPr="007B4794">
        <w:rPr>
          <w:rFonts w:ascii="Arial" w:hAnsi="Arial" w:cs="Arial"/>
          <w:color w:val="000000" w:themeColor="text1"/>
          <w:szCs w:val="21"/>
        </w:rPr>
        <w:t xml:space="preserve">       </w:t>
      </w:r>
      <w:r w:rsidR="002554F5" w:rsidRPr="007B4794">
        <w:rPr>
          <w:rFonts w:ascii="Arial" w:hAnsi="Arial" w:cs="Arial"/>
          <w:color w:val="000000" w:themeColor="text1"/>
          <w:szCs w:val="21"/>
        </w:rPr>
        <w:t>注册土地估价师</w:t>
      </w:r>
    </w:p>
    <w:p w14:paraId="1E46AC30" w14:textId="77777777" w:rsidR="00770DC3" w:rsidRPr="007B4794" w:rsidRDefault="00770DC3" w:rsidP="007C6E54">
      <w:pPr>
        <w:spacing w:line="480" w:lineRule="auto"/>
        <w:ind w:firstLineChars="180" w:firstLine="434"/>
        <w:rPr>
          <w:rFonts w:ascii="Arial" w:hAnsi="Arial" w:cs="Arial"/>
          <w:b/>
          <w:color w:val="000000" w:themeColor="text1"/>
          <w:szCs w:val="21"/>
        </w:rPr>
      </w:pPr>
    </w:p>
    <w:p w14:paraId="184880B0" w14:textId="594744D7" w:rsidR="00770DC3" w:rsidRPr="007B4794" w:rsidRDefault="00CF716F" w:rsidP="00CF716F">
      <w:pPr>
        <w:tabs>
          <w:tab w:val="left" w:pos="3402"/>
          <w:tab w:val="left" w:pos="3544"/>
          <w:tab w:val="left" w:pos="3686"/>
        </w:tabs>
        <w:spacing w:before="240" w:line="480" w:lineRule="auto"/>
        <w:ind w:firstLine="600"/>
        <w:rPr>
          <w:rFonts w:ascii="Arial" w:hAnsi="Arial" w:cs="Arial"/>
          <w:color w:val="000000" w:themeColor="text1"/>
          <w:szCs w:val="21"/>
        </w:rPr>
      </w:pPr>
      <w:r w:rsidRPr="007B4794">
        <w:rPr>
          <w:rFonts w:ascii="Arial" w:hAnsi="Arial" w:cs="Arial"/>
          <w:color w:val="000000" w:themeColor="text1"/>
          <w:szCs w:val="21"/>
        </w:rPr>
        <w:t xml:space="preserve">             </w:t>
      </w:r>
      <w:r w:rsidR="00EA4DBD" w:rsidRPr="007B4794">
        <w:rPr>
          <w:rFonts w:ascii="Arial" w:hAnsi="Arial" w:cs="Arial"/>
          <w:color w:val="000000" w:themeColor="text1"/>
          <w:szCs w:val="21"/>
        </w:rPr>
        <w:t xml:space="preserve"> </w:t>
      </w:r>
      <w:r w:rsidR="00B850AD" w:rsidRPr="007B4794">
        <w:rPr>
          <w:rFonts w:ascii="Arial" w:hAnsi="Arial" w:cs="Arial" w:hint="eastAsia"/>
          <w:color w:val="000000" w:themeColor="text1"/>
          <w:szCs w:val="21"/>
        </w:rPr>
        <w:t>周</w:t>
      </w:r>
      <w:r w:rsidR="00B850AD" w:rsidRPr="007B4794">
        <w:rPr>
          <w:rFonts w:ascii="Arial" w:hAnsi="Arial" w:cs="Arial" w:hint="eastAsia"/>
          <w:color w:val="000000" w:themeColor="text1"/>
          <w:szCs w:val="21"/>
        </w:rPr>
        <w:t xml:space="preserve">    </w:t>
      </w:r>
      <w:r w:rsidR="00B850AD" w:rsidRPr="007B4794">
        <w:rPr>
          <w:rFonts w:ascii="Arial" w:hAnsi="Arial" w:cs="Arial" w:hint="eastAsia"/>
          <w:color w:val="000000" w:themeColor="text1"/>
          <w:szCs w:val="21"/>
        </w:rPr>
        <w:t>彤</w:t>
      </w:r>
    </w:p>
    <w:p w14:paraId="307D8BD9" w14:textId="77777777" w:rsidR="00A76C10" w:rsidRPr="007B4794" w:rsidRDefault="00A76C10" w:rsidP="007C6E54">
      <w:pPr>
        <w:spacing w:line="480" w:lineRule="auto"/>
        <w:ind w:firstLineChars="180" w:firstLine="432"/>
        <w:rPr>
          <w:rFonts w:ascii="Arial" w:hAnsi="Arial" w:cs="Arial"/>
          <w:color w:val="000000" w:themeColor="text1"/>
          <w:szCs w:val="21"/>
        </w:rPr>
      </w:pPr>
    </w:p>
    <w:p w14:paraId="5B6AC83D" w14:textId="77777777" w:rsidR="00EE6570" w:rsidRPr="007B4794" w:rsidRDefault="00EE6570" w:rsidP="007C6E54">
      <w:pPr>
        <w:spacing w:line="480" w:lineRule="auto"/>
        <w:ind w:firstLineChars="180" w:firstLine="432"/>
        <w:rPr>
          <w:rFonts w:ascii="Arial" w:hAnsi="Arial" w:cs="Arial"/>
          <w:color w:val="000000" w:themeColor="text1"/>
          <w:szCs w:val="21"/>
        </w:rPr>
      </w:pPr>
    </w:p>
    <w:p w14:paraId="2A90C625" w14:textId="77777777" w:rsidR="00EE6570" w:rsidRPr="007B4794" w:rsidRDefault="00EE6570" w:rsidP="007C6E54">
      <w:pPr>
        <w:spacing w:line="480" w:lineRule="auto"/>
        <w:ind w:firstLineChars="180" w:firstLine="432"/>
        <w:rPr>
          <w:rFonts w:ascii="Arial" w:hAnsi="Arial" w:cs="Arial"/>
          <w:color w:val="000000" w:themeColor="text1"/>
          <w:szCs w:val="21"/>
        </w:rPr>
      </w:pPr>
    </w:p>
    <w:p w14:paraId="0F0E4832" w14:textId="77777777" w:rsidR="00EE6570" w:rsidRPr="007B4794" w:rsidRDefault="00EE6570" w:rsidP="007C6E54">
      <w:pPr>
        <w:spacing w:line="480" w:lineRule="auto"/>
        <w:ind w:firstLineChars="180" w:firstLine="432"/>
        <w:rPr>
          <w:rFonts w:ascii="Arial" w:hAnsi="Arial" w:cs="Arial"/>
          <w:color w:val="000000" w:themeColor="text1"/>
          <w:szCs w:val="21"/>
        </w:rPr>
      </w:pPr>
    </w:p>
    <w:p w14:paraId="31F455F8" w14:textId="77777777" w:rsidR="00EE6570" w:rsidRPr="007B4794" w:rsidRDefault="00EE6570" w:rsidP="007C6E54">
      <w:pPr>
        <w:spacing w:line="480" w:lineRule="auto"/>
        <w:ind w:firstLineChars="180" w:firstLine="432"/>
        <w:rPr>
          <w:rFonts w:ascii="Arial" w:hAnsi="Arial" w:cs="Arial"/>
          <w:color w:val="000000" w:themeColor="text1"/>
          <w:szCs w:val="21"/>
        </w:rPr>
      </w:pPr>
    </w:p>
    <w:p w14:paraId="0592E097" w14:textId="1CF93A5F" w:rsidR="00770DC3" w:rsidRPr="007B4794" w:rsidRDefault="00770DC3" w:rsidP="009B0B0F">
      <w:pPr>
        <w:spacing w:line="480" w:lineRule="auto"/>
        <w:jc w:val="center"/>
        <w:rPr>
          <w:rFonts w:ascii="Arial" w:hAnsi="Arial" w:cs="Arial"/>
          <w:color w:val="000000" w:themeColor="text1"/>
          <w:szCs w:val="21"/>
        </w:rPr>
      </w:pPr>
      <w:r w:rsidRPr="007B4794">
        <w:rPr>
          <w:rFonts w:ascii="Arial" w:hAnsi="Arial" w:cs="Arial"/>
          <w:color w:val="000000" w:themeColor="text1"/>
          <w:szCs w:val="21"/>
        </w:rPr>
        <w:t>编制时间</w:t>
      </w:r>
      <w:r w:rsidR="00F646FA" w:rsidRPr="007B4794">
        <w:rPr>
          <w:rFonts w:ascii="Arial" w:hAnsi="Arial" w:cs="Arial" w:hint="eastAsia"/>
          <w:color w:val="000000" w:themeColor="text1"/>
          <w:szCs w:val="21"/>
        </w:rPr>
        <w:t>：</w:t>
      </w:r>
      <w:r w:rsidR="00B850AD" w:rsidRPr="007B4794">
        <w:rPr>
          <w:rFonts w:ascii="Arial" w:hAnsi="Arial" w:cs="Arial"/>
          <w:color w:val="000000" w:themeColor="text1"/>
          <w:szCs w:val="21"/>
        </w:rPr>
        <w:t>2020</w:t>
      </w:r>
      <w:r w:rsidR="00B850AD" w:rsidRPr="007B4794">
        <w:rPr>
          <w:rFonts w:ascii="Arial" w:hAnsi="Arial" w:cs="Arial"/>
          <w:color w:val="000000" w:themeColor="text1"/>
          <w:szCs w:val="21"/>
        </w:rPr>
        <w:t>年</w:t>
      </w:r>
      <w:r w:rsidR="00EE2211" w:rsidRPr="007B4794">
        <w:rPr>
          <w:rFonts w:ascii="Arial" w:hAnsi="Arial" w:cs="Arial" w:hint="eastAsia"/>
          <w:color w:val="000000" w:themeColor="text1"/>
          <w:szCs w:val="21"/>
        </w:rPr>
        <w:t>11</w:t>
      </w:r>
      <w:r w:rsidR="00B850AD" w:rsidRPr="007B4794">
        <w:rPr>
          <w:rFonts w:ascii="Arial" w:hAnsi="Arial" w:cs="Arial"/>
          <w:color w:val="000000" w:themeColor="text1"/>
          <w:szCs w:val="21"/>
        </w:rPr>
        <w:t>月</w:t>
      </w:r>
      <w:r w:rsidR="00EE2211" w:rsidRPr="007B4794">
        <w:rPr>
          <w:rFonts w:ascii="Arial" w:hAnsi="Arial" w:cs="Arial" w:hint="eastAsia"/>
          <w:color w:val="000000" w:themeColor="text1"/>
          <w:szCs w:val="21"/>
        </w:rPr>
        <w:t>20</w:t>
      </w:r>
      <w:r w:rsidR="00B850AD" w:rsidRPr="007B4794">
        <w:rPr>
          <w:rFonts w:ascii="Arial" w:hAnsi="Arial" w:cs="Arial"/>
          <w:color w:val="000000" w:themeColor="text1"/>
          <w:szCs w:val="21"/>
        </w:rPr>
        <w:t>日至</w:t>
      </w:r>
      <w:r w:rsidR="00B850AD" w:rsidRPr="007B4794">
        <w:rPr>
          <w:rFonts w:ascii="Arial" w:hAnsi="Arial" w:cs="Arial"/>
          <w:color w:val="000000" w:themeColor="text1"/>
          <w:szCs w:val="21"/>
        </w:rPr>
        <w:t>2020</w:t>
      </w:r>
      <w:r w:rsidR="00B850AD" w:rsidRPr="007B4794">
        <w:rPr>
          <w:rFonts w:ascii="Arial" w:hAnsi="Arial" w:cs="Arial"/>
          <w:color w:val="000000" w:themeColor="text1"/>
          <w:szCs w:val="21"/>
        </w:rPr>
        <w:t>年</w:t>
      </w:r>
      <w:r w:rsidR="00B850AD" w:rsidRPr="007B4794">
        <w:rPr>
          <w:rFonts w:ascii="Arial" w:hAnsi="Arial" w:cs="Arial"/>
          <w:color w:val="000000" w:themeColor="text1"/>
          <w:szCs w:val="21"/>
        </w:rPr>
        <w:t>1</w:t>
      </w:r>
      <w:r w:rsidR="00EE2211" w:rsidRPr="007B4794">
        <w:rPr>
          <w:rFonts w:ascii="Arial" w:hAnsi="Arial" w:cs="Arial" w:hint="eastAsia"/>
          <w:color w:val="000000" w:themeColor="text1"/>
          <w:szCs w:val="21"/>
        </w:rPr>
        <w:t>1</w:t>
      </w:r>
      <w:r w:rsidR="00B850AD" w:rsidRPr="007B4794">
        <w:rPr>
          <w:rFonts w:ascii="Arial" w:hAnsi="Arial" w:cs="Arial"/>
          <w:color w:val="000000" w:themeColor="text1"/>
          <w:szCs w:val="21"/>
        </w:rPr>
        <w:t>月</w:t>
      </w:r>
      <w:r w:rsidR="00EE2211" w:rsidRPr="007B4794">
        <w:rPr>
          <w:rFonts w:ascii="Arial" w:hAnsi="Arial" w:cs="Arial" w:hint="eastAsia"/>
          <w:color w:val="000000" w:themeColor="text1"/>
          <w:szCs w:val="21"/>
        </w:rPr>
        <w:t>26</w:t>
      </w:r>
      <w:r w:rsidR="00B850AD" w:rsidRPr="007B4794">
        <w:rPr>
          <w:rFonts w:ascii="Arial" w:hAnsi="Arial" w:cs="Arial"/>
          <w:color w:val="000000" w:themeColor="text1"/>
          <w:szCs w:val="21"/>
        </w:rPr>
        <w:t>日</w:t>
      </w:r>
    </w:p>
    <w:p w14:paraId="7485E356" w14:textId="77777777" w:rsidR="00AD7530" w:rsidRPr="007B4794" w:rsidRDefault="00AD7530" w:rsidP="009B0B0F">
      <w:pPr>
        <w:spacing w:line="480" w:lineRule="auto"/>
        <w:jc w:val="center"/>
        <w:rPr>
          <w:rFonts w:ascii="Arial" w:hAnsi="Arial" w:cs="Arial"/>
          <w:color w:val="000000" w:themeColor="text1"/>
          <w:szCs w:val="21"/>
        </w:rPr>
      </w:pPr>
    </w:p>
    <w:p w14:paraId="6EBEBDFF" w14:textId="77777777" w:rsidR="009B0B0F" w:rsidRPr="007B4794" w:rsidRDefault="009B0B0F" w:rsidP="009B0B0F">
      <w:pPr>
        <w:pStyle w:val="10"/>
        <w:rPr>
          <w:color w:val="000000" w:themeColor="text1"/>
        </w:rPr>
        <w:sectPr w:rsidR="009B0B0F" w:rsidRPr="007B4794" w:rsidSect="009B0B0F">
          <w:headerReference w:type="even" r:id="rId9"/>
          <w:headerReference w:type="default" r:id="rId10"/>
          <w:footerReference w:type="default" r:id="rId11"/>
          <w:headerReference w:type="first" r:id="rId12"/>
          <w:footerReference w:type="first" r:id="rId13"/>
          <w:type w:val="continuous"/>
          <w:pgSz w:w="11906" w:h="16838" w:code="9"/>
          <w:pgMar w:top="1843" w:right="1304" w:bottom="1134" w:left="1304" w:header="1134" w:footer="907" w:gutter="0"/>
          <w:cols w:space="425"/>
          <w:titlePg/>
          <w:docGrid w:linePitch="312"/>
        </w:sectPr>
      </w:pPr>
      <w:bookmarkStart w:id="1" w:name="_Toc118196874"/>
      <w:bookmarkStart w:id="2" w:name="_Toc118196995"/>
      <w:bookmarkStart w:id="3" w:name="_Toc118513505"/>
      <w:bookmarkStart w:id="4" w:name="_Toc118794435"/>
    </w:p>
    <w:p w14:paraId="4217A28B" w14:textId="77777777" w:rsidR="00913896" w:rsidRPr="007B4794" w:rsidRDefault="00770DC3" w:rsidP="009B0B0F">
      <w:pPr>
        <w:pStyle w:val="10"/>
        <w:rPr>
          <w:color w:val="000000" w:themeColor="text1"/>
        </w:rPr>
      </w:pPr>
      <w:r w:rsidRPr="007B4794">
        <w:rPr>
          <w:color w:val="000000" w:themeColor="text1"/>
        </w:rPr>
        <w:lastRenderedPageBreak/>
        <w:t>目</w:t>
      </w:r>
      <w:r w:rsidRPr="007B4794">
        <w:rPr>
          <w:color w:val="000000" w:themeColor="text1"/>
        </w:rPr>
        <w:t xml:space="preserve">  </w:t>
      </w:r>
      <w:r w:rsidRPr="007B4794">
        <w:rPr>
          <w:color w:val="000000" w:themeColor="text1"/>
        </w:rPr>
        <w:t>录</w:t>
      </w:r>
      <w:bookmarkEnd w:id="1"/>
      <w:bookmarkEnd w:id="2"/>
      <w:bookmarkEnd w:id="3"/>
      <w:bookmarkEnd w:id="4"/>
      <w:r w:rsidRPr="007B4794">
        <w:rPr>
          <w:color w:val="000000" w:themeColor="text1"/>
        </w:rPr>
        <w:fldChar w:fldCharType="begin"/>
      </w:r>
      <w:r w:rsidRPr="007B4794">
        <w:rPr>
          <w:color w:val="000000" w:themeColor="text1"/>
        </w:rPr>
        <w:instrText xml:space="preserve"> TOC \o "1-3" \h \z </w:instrText>
      </w:r>
      <w:r w:rsidRPr="007B4794">
        <w:rPr>
          <w:color w:val="000000" w:themeColor="text1"/>
        </w:rPr>
        <w:fldChar w:fldCharType="separate"/>
      </w:r>
    </w:p>
    <w:p w14:paraId="1FC390E1" w14:textId="77777777" w:rsidR="00913896" w:rsidRPr="007B4794" w:rsidRDefault="00447D63">
      <w:pPr>
        <w:pStyle w:val="10"/>
        <w:rPr>
          <w:rFonts w:asciiTheme="minorHAnsi" w:eastAsiaTheme="minorEastAsia" w:hAnsiTheme="minorHAnsi" w:cstheme="minorBidi"/>
          <w:b w:val="0"/>
          <w:bCs w:val="0"/>
          <w:caps w:val="0"/>
          <w:color w:val="000000" w:themeColor="text1"/>
          <w:kern w:val="2"/>
          <w:sz w:val="21"/>
          <w:szCs w:val="22"/>
        </w:rPr>
      </w:pPr>
      <w:hyperlink w:anchor="_Toc54016571" w:history="1">
        <w:r w:rsidR="00913896" w:rsidRPr="007B4794">
          <w:rPr>
            <w:rStyle w:val="a7"/>
            <w:rFonts w:eastAsia="方正黑体简体" w:hint="eastAsia"/>
            <w:color w:val="000000" w:themeColor="text1"/>
          </w:rPr>
          <w:t>致委托人函</w:t>
        </w:r>
        <w:r w:rsidR="00913896" w:rsidRPr="007B4794">
          <w:rPr>
            <w:webHidden/>
            <w:color w:val="000000" w:themeColor="text1"/>
          </w:rPr>
          <w:tab/>
        </w:r>
        <w:r w:rsidR="00913896" w:rsidRPr="007B4794">
          <w:rPr>
            <w:webHidden/>
            <w:color w:val="000000" w:themeColor="text1"/>
          </w:rPr>
          <w:fldChar w:fldCharType="begin"/>
        </w:r>
        <w:r w:rsidR="00913896" w:rsidRPr="007B4794">
          <w:rPr>
            <w:webHidden/>
            <w:color w:val="000000" w:themeColor="text1"/>
          </w:rPr>
          <w:instrText xml:space="preserve"> PAGEREF _Toc54016571 \h </w:instrText>
        </w:r>
        <w:r w:rsidR="00913896" w:rsidRPr="007B4794">
          <w:rPr>
            <w:webHidden/>
            <w:color w:val="000000" w:themeColor="text1"/>
          </w:rPr>
        </w:r>
        <w:r w:rsidR="00913896" w:rsidRPr="007B4794">
          <w:rPr>
            <w:webHidden/>
            <w:color w:val="000000" w:themeColor="text1"/>
          </w:rPr>
          <w:fldChar w:fldCharType="separate"/>
        </w:r>
        <w:r w:rsidR="00D30D68" w:rsidRPr="007B4794">
          <w:rPr>
            <w:webHidden/>
            <w:color w:val="000000" w:themeColor="text1"/>
          </w:rPr>
          <w:t>1</w:t>
        </w:r>
        <w:r w:rsidR="00913896" w:rsidRPr="007B4794">
          <w:rPr>
            <w:webHidden/>
            <w:color w:val="000000" w:themeColor="text1"/>
          </w:rPr>
          <w:fldChar w:fldCharType="end"/>
        </w:r>
      </w:hyperlink>
    </w:p>
    <w:p w14:paraId="2C99CE2C" w14:textId="77777777" w:rsidR="00913896" w:rsidRPr="007B4794" w:rsidRDefault="00447D63">
      <w:pPr>
        <w:pStyle w:val="10"/>
        <w:rPr>
          <w:rFonts w:asciiTheme="minorHAnsi" w:eastAsiaTheme="minorEastAsia" w:hAnsiTheme="minorHAnsi" w:cstheme="minorBidi"/>
          <w:b w:val="0"/>
          <w:bCs w:val="0"/>
          <w:caps w:val="0"/>
          <w:color w:val="000000" w:themeColor="text1"/>
          <w:kern w:val="2"/>
          <w:sz w:val="21"/>
          <w:szCs w:val="22"/>
        </w:rPr>
      </w:pPr>
      <w:hyperlink w:anchor="_Toc54016572" w:history="1">
        <w:r w:rsidR="00913896" w:rsidRPr="007B4794">
          <w:rPr>
            <w:rStyle w:val="a7"/>
            <w:rFonts w:eastAsia="方正黑体简体" w:hint="eastAsia"/>
            <w:color w:val="000000" w:themeColor="text1"/>
          </w:rPr>
          <w:t>第一章</w:t>
        </w:r>
        <w:r w:rsidR="00913896" w:rsidRPr="007B4794">
          <w:rPr>
            <w:rStyle w:val="a7"/>
            <w:rFonts w:eastAsia="方正黑体简体"/>
            <w:color w:val="000000" w:themeColor="text1"/>
          </w:rPr>
          <w:t xml:space="preserve">  </w:t>
        </w:r>
        <w:r w:rsidR="00913896" w:rsidRPr="007B4794">
          <w:rPr>
            <w:rStyle w:val="a7"/>
            <w:rFonts w:eastAsia="方正黑体简体" w:hint="eastAsia"/>
            <w:color w:val="000000" w:themeColor="text1"/>
          </w:rPr>
          <w:t>房地产市场调研说明</w:t>
        </w:r>
        <w:r w:rsidR="00913896" w:rsidRPr="007B4794">
          <w:rPr>
            <w:webHidden/>
            <w:color w:val="000000" w:themeColor="text1"/>
          </w:rPr>
          <w:tab/>
        </w:r>
        <w:r w:rsidR="00913896" w:rsidRPr="007B4794">
          <w:rPr>
            <w:webHidden/>
            <w:color w:val="000000" w:themeColor="text1"/>
          </w:rPr>
          <w:fldChar w:fldCharType="begin"/>
        </w:r>
        <w:r w:rsidR="00913896" w:rsidRPr="007B4794">
          <w:rPr>
            <w:webHidden/>
            <w:color w:val="000000" w:themeColor="text1"/>
          </w:rPr>
          <w:instrText xml:space="preserve"> PAGEREF _Toc54016572 \h </w:instrText>
        </w:r>
        <w:r w:rsidR="00913896" w:rsidRPr="007B4794">
          <w:rPr>
            <w:webHidden/>
            <w:color w:val="000000" w:themeColor="text1"/>
          </w:rPr>
        </w:r>
        <w:r w:rsidR="00913896" w:rsidRPr="007B4794">
          <w:rPr>
            <w:webHidden/>
            <w:color w:val="000000" w:themeColor="text1"/>
          </w:rPr>
          <w:fldChar w:fldCharType="separate"/>
        </w:r>
        <w:r w:rsidR="00D30D68" w:rsidRPr="007B4794">
          <w:rPr>
            <w:webHidden/>
            <w:color w:val="000000" w:themeColor="text1"/>
          </w:rPr>
          <w:t>2</w:t>
        </w:r>
        <w:r w:rsidR="00913896" w:rsidRPr="007B4794">
          <w:rPr>
            <w:webHidden/>
            <w:color w:val="000000" w:themeColor="text1"/>
          </w:rPr>
          <w:fldChar w:fldCharType="end"/>
        </w:r>
      </w:hyperlink>
    </w:p>
    <w:p w14:paraId="23873DEF" w14:textId="77777777" w:rsidR="00913896" w:rsidRPr="007B4794" w:rsidRDefault="00447D63">
      <w:pPr>
        <w:pStyle w:val="20"/>
        <w:rPr>
          <w:rFonts w:asciiTheme="minorHAnsi" w:eastAsiaTheme="minorEastAsia" w:hAnsiTheme="minorHAnsi" w:cstheme="minorBidi"/>
          <w:smallCaps w:val="0"/>
          <w:color w:val="000000" w:themeColor="text1"/>
          <w:kern w:val="2"/>
          <w:sz w:val="21"/>
          <w:szCs w:val="22"/>
        </w:rPr>
      </w:pPr>
      <w:hyperlink w:anchor="_Toc54016573" w:history="1">
        <w:r w:rsidR="00913896" w:rsidRPr="007B4794">
          <w:rPr>
            <w:rStyle w:val="a7"/>
            <w:rFonts w:eastAsia="宋体" w:cs="Arial" w:hint="eastAsia"/>
            <w:color w:val="000000" w:themeColor="text1"/>
          </w:rPr>
          <w:t>一、委托单位</w:t>
        </w:r>
        <w:r w:rsidR="00913896" w:rsidRPr="007B4794">
          <w:rPr>
            <w:webHidden/>
            <w:color w:val="000000" w:themeColor="text1"/>
          </w:rPr>
          <w:tab/>
        </w:r>
        <w:r w:rsidR="00913896" w:rsidRPr="007B4794">
          <w:rPr>
            <w:webHidden/>
            <w:color w:val="000000" w:themeColor="text1"/>
          </w:rPr>
          <w:fldChar w:fldCharType="begin"/>
        </w:r>
        <w:r w:rsidR="00913896" w:rsidRPr="007B4794">
          <w:rPr>
            <w:webHidden/>
            <w:color w:val="000000" w:themeColor="text1"/>
          </w:rPr>
          <w:instrText xml:space="preserve"> PAGEREF _Toc54016573 \h </w:instrText>
        </w:r>
        <w:r w:rsidR="00913896" w:rsidRPr="007B4794">
          <w:rPr>
            <w:webHidden/>
            <w:color w:val="000000" w:themeColor="text1"/>
          </w:rPr>
        </w:r>
        <w:r w:rsidR="00913896" w:rsidRPr="007B4794">
          <w:rPr>
            <w:webHidden/>
            <w:color w:val="000000" w:themeColor="text1"/>
          </w:rPr>
          <w:fldChar w:fldCharType="separate"/>
        </w:r>
        <w:r w:rsidR="00D30D68" w:rsidRPr="007B4794">
          <w:rPr>
            <w:webHidden/>
            <w:color w:val="000000" w:themeColor="text1"/>
          </w:rPr>
          <w:t>2</w:t>
        </w:r>
        <w:r w:rsidR="00913896" w:rsidRPr="007B4794">
          <w:rPr>
            <w:webHidden/>
            <w:color w:val="000000" w:themeColor="text1"/>
          </w:rPr>
          <w:fldChar w:fldCharType="end"/>
        </w:r>
      </w:hyperlink>
    </w:p>
    <w:p w14:paraId="165FCC66" w14:textId="77777777" w:rsidR="00913896" w:rsidRPr="007B4794" w:rsidRDefault="00447D63">
      <w:pPr>
        <w:pStyle w:val="20"/>
        <w:rPr>
          <w:rFonts w:asciiTheme="minorHAnsi" w:eastAsiaTheme="minorEastAsia" w:hAnsiTheme="minorHAnsi" w:cstheme="minorBidi"/>
          <w:smallCaps w:val="0"/>
          <w:color w:val="000000" w:themeColor="text1"/>
          <w:kern w:val="2"/>
          <w:sz w:val="21"/>
          <w:szCs w:val="22"/>
        </w:rPr>
      </w:pPr>
      <w:hyperlink w:anchor="_Toc54016574" w:history="1">
        <w:r w:rsidR="00913896" w:rsidRPr="007B4794">
          <w:rPr>
            <w:rStyle w:val="a7"/>
            <w:rFonts w:eastAsia="宋体" w:cs="Arial" w:hint="eastAsia"/>
            <w:color w:val="000000" w:themeColor="text1"/>
          </w:rPr>
          <w:t>二、编制单位</w:t>
        </w:r>
        <w:r w:rsidR="00913896" w:rsidRPr="007B4794">
          <w:rPr>
            <w:webHidden/>
            <w:color w:val="000000" w:themeColor="text1"/>
          </w:rPr>
          <w:tab/>
        </w:r>
        <w:r w:rsidR="00913896" w:rsidRPr="007B4794">
          <w:rPr>
            <w:webHidden/>
            <w:color w:val="000000" w:themeColor="text1"/>
          </w:rPr>
          <w:fldChar w:fldCharType="begin"/>
        </w:r>
        <w:r w:rsidR="00913896" w:rsidRPr="007B4794">
          <w:rPr>
            <w:webHidden/>
            <w:color w:val="000000" w:themeColor="text1"/>
          </w:rPr>
          <w:instrText xml:space="preserve"> PAGEREF _Toc54016574 \h </w:instrText>
        </w:r>
        <w:r w:rsidR="00913896" w:rsidRPr="007B4794">
          <w:rPr>
            <w:webHidden/>
            <w:color w:val="000000" w:themeColor="text1"/>
          </w:rPr>
        </w:r>
        <w:r w:rsidR="00913896" w:rsidRPr="007B4794">
          <w:rPr>
            <w:webHidden/>
            <w:color w:val="000000" w:themeColor="text1"/>
          </w:rPr>
          <w:fldChar w:fldCharType="separate"/>
        </w:r>
        <w:r w:rsidR="00D30D68" w:rsidRPr="007B4794">
          <w:rPr>
            <w:webHidden/>
            <w:color w:val="000000" w:themeColor="text1"/>
          </w:rPr>
          <w:t>2</w:t>
        </w:r>
        <w:r w:rsidR="00913896" w:rsidRPr="007B4794">
          <w:rPr>
            <w:webHidden/>
            <w:color w:val="000000" w:themeColor="text1"/>
          </w:rPr>
          <w:fldChar w:fldCharType="end"/>
        </w:r>
      </w:hyperlink>
    </w:p>
    <w:p w14:paraId="74311EF9" w14:textId="77777777" w:rsidR="00913896" w:rsidRPr="007B4794" w:rsidRDefault="00447D63">
      <w:pPr>
        <w:pStyle w:val="20"/>
        <w:rPr>
          <w:rFonts w:asciiTheme="minorHAnsi" w:eastAsiaTheme="minorEastAsia" w:hAnsiTheme="minorHAnsi" w:cstheme="minorBidi"/>
          <w:smallCaps w:val="0"/>
          <w:color w:val="000000" w:themeColor="text1"/>
          <w:kern w:val="2"/>
          <w:sz w:val="21"/>
          <w:szCs w:val="22"/>
        </w:rPr>
      </w:pPr>
      <w:hyperlink w:anchor="_Toc54016575" w:history="1">
        <w:r w:rsidR="00913896" w:rsidRPr="007B4794">
          <w:rPr>
            <w:rStyle w:val="a7"/>
            <w:rFonts w:eastAsia="宋体" w:cs="Arial" w:hint="eastAsia"/>
            <w:color w:val="000000" w:themeColor="text1"/>
          </w:rPr>
          <w:t>三、编制目的</w:t>
        </w:r>
        <w:r w:rsidR="00913896" w:rsidRPr="007B4794">
          <w:rPr>
            <w:webHidden/>
            <w:color w:val="000000" w:themeColor="text1"/>
          </w:rPr>
          <w:tab/>
        </w:r>
        <w:r w:rsidR="00913896" w:rsidRPr="007B4794">
          <w:rPr>
            <w:webHidden/>
            <w:color w:val="000000" w:themeColor="text1"/>
          </w:rPr>
          <w:fldChar w:fldCharType="begin"/>
        </w:r>
        <w:r w:rsidR="00913896" w:rsidRPr="007B4794">
          <w:rPr>
            <w:webHidden/>
            <w:color w:val="000000" w:themeColor="text1"/>
          </w:rPr>
          <w:instrText xml:space="preserve"> PAGEREF _Toc54016575 \h </w:instrText>
        </w:r>
        <w:r w:rsidR="00913896" w:rsidRPr="007B4794">
          <w:rPr>
            <w:webHidden/>
            <w:color w:val="000000" w:themeColor="text1"/>
          </w:rPr>
        </w:r>
        <w:r w:rsidR="00913896" w:rsidRPr="007B4794">
          <w:rPr>
            <w:webHidden/>
            <w:color w:val="000000" w:themeColor="text1"/>
          </w:rPr>
          <w:fldChar w:fldCharType="separate"/>
        </w:r>
        <w:r w:rsidR="00D30D68" w:rsidRPr="007B4794">
          <w:rPr>
            <w:webHidden/>
            <w:color w:val="000000" w:themeColor="text1"/>
          </w:rPr>
          <w:t>2</w:t>
        </w:r>
        <w:r w:rsidR="00913896" w:rsidRPr="007B4794">
          <w:rPr>
            <w:webHidden/>
            <w:color w:val="000000" w:themeColor="text1"/>
          </w:rPr>
          <w:fldChar w:fldCharType="end"/>
        </w:r>
      </w:hyperlink>
    </w:p>
    <w:p w14:paraId="1B7E1FF5" w14:textId="77777777" w:rsidR="00913896" w:rsidRPr="007B4794" w:rsidRDefault="00447D63">
      <w:pPr>
        <w:pStyle w:val="20"/>
        <w:rPr>
          <w:rFonts w:asciiTheme="minorHAnsi" w:eastAsiaTheme="minorEastAsia" w:hAnsiTheme="minorHAnsi" w:cstheme="minorBidi"/>
          <w:smallCaps w:val="0"/>
          <w:color w:val="000000" w:themeColor="text1"/>
          <w:kern w:val="2"/>
          <w:sz w:val="21"/>
          <w:szCs w:val="22"/>
        </w:rPr>
      </w:pPr>
      <w:hyperlink w:anchor="_Toc54016576" w:history="1">
        <w:r w:rsidR="00913896" w:rsidRPr="007B4794">
          <w:rPr>
            <w:rStyle w:val="a7"/>
            <w:rFonts w:eastAsia="宋体" w:cs="Arial" w:hint="eastAsia"/>
            <w:color w:val="000000" w:themeColor="text1"/>
          </w:rPr>
          <w:t>四、调研对象</w:t>
        </w:r>
        <w:r w:rsidR="00913896" w:rsidRPr="007B4794">
          <w:rPr>
            <w:webHidden/>
            <w:color w:val="000000" w:themeColor="text1"/>
          </w:rPr>
          <w:tab/>
        </w:r>
        <w:r w:rsidR="00913896" w:rsidRPr="007B4794">
          <w:rPr>
            <w:webHidden/>
            <w:color w:val="000000" w:themeColor="text1"/>
          </w:rPr>
          <w:fldChar w:fldCharType="begin"/>
        </w:r>
        <w:r w:rsidR="00913896" w:rsidRPr="007B4794">
          <w:rPr>
            <w:webHidden/>
            <w:color w:val="000000" w:themeColor="text1"/>
          </w:rPr>
          <w:instrText xml:space="preserve"> PAGEREF _Toc54016576 \h </w:instrText>
        </w:r>
        <w:r w:rsidR="00913896" w:rsidRPr="007B4794">
          <w:rPr>
            <w:webHidden/>
            <w:color w:val="000000" w:themeColor="text1"/>
          </w:rPr>
        </w:r>
        <w:r w:rsidR="00913896" w:rsidRPr="007B4794">
          <w:rPr>
            <w:webHidden/>
            <w:color w:val="000000" w:themeColor="text1"/>
          </w:rPr>
          <w:fldChar w:fldCharType="separate"/>
        </w:r>
        <w:r w:rsidR="00D30D68" w:rsidRPr="007B4794">
          <w:rPr>
            <w:webHidden/>
            <w:color w:val="000000" w:themeColor="text1"/>
          </w:rPr>
          <w:t>2</w:t>
        </w:r>
        <w:r w:rsidR="00913896" w:rsidRPr="007B4794">
          <w:rPr>
            <w:webHidden/>
            <w:color w:val="000000" w:themeColor="text1"/>
          </w:rPr>
          <w:fldChar w:fldCharType="end"/>
        </w:r>
      </w:hyperlink>
    </w:p>
    <w:p w14:paraId="509CCA40" w14:textId="77777777" w:rsidR="00913896" w:rsidRPr="007B4794" w:rsidRDefault="00447D63">
      <w:pPr>
        <w:pStyle w:val="20"/>
        <w:rPr>
          <w:rFonts w:asciiTheme="minorHAnsi" w:eastAsiaTheme="minorEastAsia" w:hAnsiTheme="minorHAnsi" w:cstheme="minorBidi"/>
          <w:smallCaps w:val="0"/>
          <w:color w:val="000000" w:themeColor="text1"/>
          <w:kern w:val="2"/>
          <w:sz w:val="21"/>
          <w:szCs w:val="22"/>
        </w:rPr>
      </w:pPr>
      <w:hyperlink w:anchor="_Toc54016577" w:history="1">
        <w:r w:rsidR="00913896" w:rsidRPr="007B4794">
          <w:rPr>
            <w:rStyle w:val="a7"/>
            <w:rFonts w:eastAsia="宋体" w:cs="Arial" w:hint="eastAsia"/>
            <w:color w:val="000000" w:themeColor="text1"/>
          </w:rPr>
          <w:t>五、调研的主要内容</w:t>
        </w:r>
        <w:r w:rsidR="00913896" w:rsidRPr="007B4794">
          <w:rPr>
            <w:webHidden/>
            <w:color w:val="000000" w:themeColor="text1"/>
          </w:rPr>
          <w:tab/>
        </w:r>
        <w:r w:rsidR="00913896" w:rsidRPr="007B4794">
          <w:rPr>
            <w:webHidden/>
            <w:color w:val="000000" w:themeColor="text1"/>
          </w:rPr>
          <w:fldChar w:fldCharType="begin"/>
        </w:r>
        <w:r w:rsidR="00913896" w:rsidRPr="007B4794">
          <w:rPr>
            <w:webHidden/>
            <w:color w:val="000000" w:themeColor="text1"/>
          </w:rPr>
          <w:instrText xml:space="preserve"> PAGEREF _Toc54016577 \h </w:instrText>
        </w:r>
        <w:r w:rsidR="00913896" w:rsidRPr="007B4794">
          <w:rPr>
            <w:webHidden/>
            <w:color w:val="000000" w:themeColor="text1"/>
          </w:rPr>
        </w:r>
        <w:r w:rsidR="00913896" w:rsidRPr="007B4794">
          <w:rPr>
            <w:webHidden/>
            <w:color w:val="000000" w:themeColor="text1"/>
          </w:rPr>
          <w:fldChar w:fldCharType="separate"/>
        </w:r>
        <w:r w:rsidR="00D30D68" w:rsidRPr="007B4794">
          <w:rPr>
            <w:webHidden/>
            <w:color w:val="000000" w:themeColor="text1"/>
          </w:rPr>
          <w:t>3</w:t>
        </w:r>
        <w:r w:rsidR="00913896" w:rsidRPr="007B4794">
          <w:rPr>
            <w:webHidden/>
            <w:color w:val="000000" w:themeColor="text1"/>
          </w:rPr>
          <w:fldChar w:fldCharType="end"/>
        </w:r>
      </w:hyperlink>
    </w:p>
    <w:p w14:paraId="2A07E7B2" w14:textId="77777777" w:rsidR="00913896" w:rsidRPr="007B4794" w:rsidRDefault="00447D63">
      <w:pPr>
        <w:pStyle w:val="20"/>
        <w:rPr>
          <w:rFonts w:asciiTheme="minorHAnsi" w:eastAsiaTheme="minorEastAsia" w:hAnsiTheme="minorHAnsi" w:cstheme="minorBidi"/>
          <w:smallCaps w:val="0"/>
          <w:color w:val="000000" w:themeColor="text1"/>
          <w:kern w:val="2"/>
          <w:sz w:val="21"/>
          <w:szCs w:val="22"/>
        </w:rPr>
      </w:pPr>
      <w:hyperlink w:anchor="_Toc54016578" w:history="1">
        <w:r w:rsidR="00913896" w:rsidRPr="007B4794">
          <w:rPr>
            <w:rStyle w:val="a7"/>
            <w:rFonts w:eastAsia="宋体" w:cs="Arial" w:hint="eastAsia"/>
            <w:color w:val="000000" w:themeColor="text1"/>
          </w:rPr>
          <w:t>六、编制日期</w:t>
        </w:r>
        <w:r w:rsidR="00913896" w:rsidRPr="007B4794">
          <w:rPr>
            <w:webHidden/>
            <w:color w:val="000000" w:themeColor="text1"/>
          </w:rPr>
          <w:tab/>
        </w:r>
        <w:r w:rsidR="00913896" w:rsidRPr="007B4794">
          <w:rPr>
            <w:webHidden/>
            <w:color w:val="000000" w:themeColor="text1"/>
          </w:rPr>
          <w:fldChar w:fldCharType="begin"/>
        </w:r>
        <w:r w:rsidR="00913896" w:rsidRPr="007B4794">
          <w:rPr>
            <w:webHidden/>
            <w:color w:val="000000" w:themeColor="text1"/>
          </w:rPr>
          <w:instrText xml:space="preserve"> PAGEREF _Toc54016578 \h </w:instrText>
        </w:r>
        <w:r w:rsidR="00913896" w:rsidRPr="007B4794">
          <w:rPr>
            <w:webHidden/>
            <w:color w:val="000000" w:themeColor="text1"/>
          </w:rPr>
        </w:r>
        <w:r w:rsidR="00913896" w:rsidRPr="007B4794">
          <w:rPr>
            <w:webHidden/>
            <w:color w:val="000000" w:themeColor="text1"/>
          </w:rPr>
          <w:fldChar w:fldCharType="separate"/>
        </w:r>
        <w:r w:rsidR="00D30D68" w:rsidRPr="007B4794">
          <w:rPr>
            <w:webHidden/>
            <w:color w:val="000000" w:themeColor="text1"/>
          </w:rPr>
          <w:t>3</w:t>
        </w:r>
        <w:r w:rsidR="00913896" w:rsidRPr="007B4794">
          <w:rPr>
            <w:webHidden/>
            <w:color w:val="000000" w:themeColor="text1"/>
          </w:rPr>
          <w:fldChar w:fldCharType="end"/>
        </w:r>
      </w:hyperlink>
    </w:p>
    <w:p w14:paraId="0C506777" w14:textId="77777777" w:rsidR="00913896" w:rsidRPr="007B4794" w:rsidRDefault="00447D63">
      <w:pPr>
        <w:pStyle w:val="20"/>
        <w:rPr>
          <w:rFonts w:asciiTheme="minorHAnsi" w:eastAsiaTheme="minorEastAsia" w:hAnsiTheme="minorHAnsi" w:cstheme="minorBidi"/>
          <w:smallCaps w:val="0"/>
          <w:color w:val="000000" w:themeColor="text1"/>
          <w:kern w:val="2"/>
          <w:sz w:val="21"/>
          <w:szCs w:val="22"/>
        </w:rPr>
      </w:pPr>
      <w:hyperlink w:anchor="_Toc54016579" w:history="1">
        <w:r w:rsidR="00913896" w:rsidRPr="007B4794">
          <w:rPr>
            <w:rStyle w:val="a7"/>
            <w:rFonts w:eastAsia="宋体" w:cs="Arial" w:hint="eastAsia"/>
            <w:color w:val="000000" w:themeColor="text1"/>
          </w:rPr>
          <w:t>七、本报告编制依据和说明</w:t>
        </w:r>
        <w:r w:rsidR="00913896" w:rsidRPr="007B4794">
          <w:rPr>
            <w:webHidden/>
            <w:color w:val="000000" w:themeColor="text1"/>
          </w:rPr>
          <w:tab/>
        </w:r>
        <w:r w:rsidR="00913896" w:rsidRPr="007B4794">
          <w:rPr>
            <w:webHidden/>
            <w:color w:val="000000" w:themeColor="text1"/>
          </w:rPr>
          <w:fldChar w:fldCharType="begin"/>
        </w:r>
        <w:r w:rsidR="00913896" w:rsidRPr="007B4794">
          <w:rPr>
            <w:webHidden/>
            <w:color w:val="000000" w:themeColor="text1"/>
          </w:rPr>
          <w:instrText xml:space="preserve"> PAGEREF _Toc54016579 \h </w:instrText>
        </w:r>
        <w:r w:rsidR="00913896" w:rsidRPr="007B4794">
          <w:rPr>
            <w:webHidden/>
            <w:color w:val="000000" w:themeColor="text1"/>
          </w:rPr>
        </w:r>
        <w:r w:rsidR="00913896" w:rsidRPr="007B4794">
          <w:rPr>
            <w:webHidden/>
            <w:color w:val="000000" w:themeColor="text1"/>
          </w:rPr>
          <w:fldChar w:fldCharType="separate"/>
        </w:r>
        <w:r w:rsidR="00D30D68" w:rsidRPr="007B4794">
          <w:rPr>
            <w:webHidden/>
            <w:color w:val="000000" w:themeColor="text1"/>
          </w:rPr>
          <w:t>3</w:t>
        </w:r>
        <w:r w:rsidR="00913896" w:rsidRPr="007B4794">
          <w:rPr>
            <w:webHidden/>
            <w:color w:val="000000" w:themeColor="text1"/>
          </w:rPr>
          <w:fldChar w:fldCharType="end"/>
        </w:r>
      </w:hyperlink>
    </w:p>
    <w:p w14:paraId="039E04DE" w14:textId="77777777" w:rsidR="00913896" w:rsidRPr="007B4794" w:rsidRDefault="00447D63">
      <w:pPr>
        <w:pStyle w:val="20"/>
        <w:rPr>
          <w:rFonts w:asciiTheme="minorHAnsi" w:eastAsiaTheme="minorEastAsia" w:hAnsiTheme="minorHAnsi" w:cstheme="minorBidi"/>
          <w:smallCaps w:val="0"/>
          <w:color w:val="000000" w:themeColor="text1"/>
          <w:kern w:val="2"/>
          <w:sz w:val="21"/>
          <w:szCs w:val="22"/>
        </w:rPr>
      </w:pPr>
      <w:hyperlink w:anchor="_Toc54016580" w:history="1">
        <w:r w:rsidR="00913896" w:rsidRPr="007B4794">
          <w:rPr>
            <w:rStyle w:val="a7"/>
            <w:rFonts w:eastAsia="宋体" w:cs="Arial" w:hint="eastAsia"/>
            <w:color w:val="000000" w:themeColor="text1"/>
          </w:rPr>
          <w:t>八、本报告使用说明</w:t>
        </w:r>
        <w:r w:rsidR="00913896" w:rsidRPr="007B4794">
          <w:rPr>
            <w:webHidden/>
            <w:color w:val="000000" w:themeColor="text1"/>
          </w:rPr>
          <w:tab/>
        </w:r>
        <w:r w:rsidR="00913896" w:rsidRPr="007B4794">
          <w:rPr>
            <w:webHidden/>
            <w:color w:val="000000" w:themeColor="text1"/>
          </w:rPr>
          <w:fldChar w:fldCharType="begin"/>
        </w:r>
        <w:r w:rsidR="00913896" w:rsidRPr="007B4794">
          <w:rPr>
            <w:webHidden/>
            <w:color w:val="000000" w:themeColor="text1"/>
          </w:rPr>
          <w:instrText xml:space="preserve"> PAGEREF _Toc54016580 \h </w:instrText>
        </w:r>
        <w:r w:rsidR="00913896" w:rsidRPr="007B4794">
          <w:rPr>
            <w:webHidden/>
            <w:color w:val="000000" w:themeColor="text1"/>
          </w:rPr>
        </w:r>
        <w:r w:rsidR="00913896" w:rsidRPr="007B4794">
          <w:rPr>
            <w:webHidden/>
            <w:color w:val="000000" w:themeColor="text1"/>
          </w:rPr>
          <w:fldChar w:fldCharType="separate"/>
        </w:r>
        <w:r w:rsidR="00D30D68" w:rsidRPr="007B4794">
          <w:rPr>
            <w:webHidden/>
            <w:color w:val="000000" w:themeColor="text1"/>
          </w:rPr>
          <w:t>4</w:t>
        </w:r>
        <w:r w:rsidR="00913896" w:rsidRPr="007B4794">
          <w:rPr>
            <w:webHidden/>
            <w:color w:val="000000" w:themeColor="text1"/>
          </w:rPr>
          <w:fldChar w:fldCharType="end"/>
        </w:r>
      </w:hyperlink>
    </w:p>
    <w:p w14:paraId="602D7ACF" w14:textId="77777777" w:rsidR="00913896" w:rsidRPr="007B4794" w:rsidRDefault="00447D63">
      <w:pPr>
        <w:pStyle w:val="10"/>
        <w:rPr>
          <w:rFonts w:asciiTheme="minorHAnsi" w:eastAsiaTheme="minorEastAsia" w:hAnsiTheme="minorHAnsi" w:cstheme="minorBidi"/>
          <w:b w:val="0"/>
          <w:bCs w:val="0"/>
          <w:caps w:val="0"/>
          <w:color w:val="000000" w:themeColor="text1"/>
          <w:kern w:val="2"/>
          <w:sz w:val="21"/>
          <w:szCs w:val="22"/>
        </w:rPr>
      </w:pPr>
      <w:hyperlink w:anchor="_Toc54016581" w:history="1">
        <w:r w:rsidR="00913896" w:rsidRPr="007B4794">
          <w:rPr>
            <w:rStyle w:val="a7"/>
            <w:rFonts w:eastAsia="方正黑体简体" w:hint="eastAsia"/>
            <w:color w:val="000000" w:themeColor="text1"/>
          </w:rPr>
          <w:t>第二章</w:t>
        </w:r>
        <w:r w:rsidR="00913896" w:rsidRPr="007B4794">
          <w:rPr>
            <w:rStyle w:val="a7"/>
            <w:rFonts w:eastAsia="方正黑体简体"/>
            <w:color w:val="000000" w:themeColor="text1"/>
          </w:rPr>
          <w:t xml:space="preserve">  </w:t>
        </w:r>
        <w:r w:rsidR="00913896" w:rsidRPr="007B4794">
          <w:rPr>
            <w:rStyle w:val="a7"/>
            <w:rFonts w:eastAsia="方正黑体简体" w:hint="eastAsia"/>
            <w:color w:val="000000" w:themeColor="text1"/>
          </w:rPr>
          <w:t>调研对象概况</w:t>
        </w:r>
        <w:r w:rsidR="00913896" w:rsidRPr="007B4794">
          <w:rPr>
            <w:webHidden/>
            <w:color w:val="000000" w:themeColor="text1"/>
          </w:rPr>
          <w:tab/>
        </w:r>
        <w:r w:rsidR="00913896" w:rsidRPr="007B4794">
          <w:rPr>
            <w:webHidden/>
            <w:color w:val="000000" w:themeColor="text1"/>
          </w:rPr>
          <w:fldChar w:fldCharType="begin"/>
        </w:r>
        <w:r w:rsidR="00913896" w:rsidRPr="007B4794">
          <w:rPr>
            <w:webHidden/>
            <w:color w:val="000000" w:themeColor="text1"/>
          </w:rPr>
          <w:instrText xml:space="preserve"> PAGEREF _Toc54016581 \h </w:instrText>
        </w:r>
        <w:r w:rsidR="00913896" w:rsidRPr="007B4794">
          <w:rPr>
            <w:webHidden/>
            <w:color w:val="000000" w:themeColor="text1"/>
          </w:rPr>
        </w:r>
        <w:r w:rsidR="00913896" w:rsidRPr="007B4794">
          <w:rPr>
            <w:webHidden/>
            <w:color w:val="000000" w:themeColor="text1"/>
          </w:rPr>
          <w:fldChar w:fldCharType="separate"/>
        </w:r>
        <w:r w:rsidR="00D30D68" w:rsidRPr="007B4794">
          <w:rPr>
            <w:webHidden/>
            <w:color w:val="000000" w:themeColor="text1"/>
          </w:rPr>
          <w:t>5</w:t>
        </w:r>
        <w:r w:rsidR="00913896" w:rsidRPr="007B4794">
          <w:rPr>
            <w:webHidden/>
            <w:color w:val="000000" w:themeColor="text1"/>
          </w:rPr>
          <w:fldChar w:fldCharType="end"/>
        </w:r>
      </w:hyperlink>
    </w:p>
    <w:p w14:paraId="4BCD3FF3" w14:textId="77777777" w:rsidR="00913896" w:rsidRPr="007B4794" w:rsidRDefault="00447D63">
      <w:pPr>
        <w:pStyle w:val="20"/>
        <w:rPr>
          <w:rFonts w:asciiTheme="minorHAnsi" w:eastAsiaTheme="minorEastAsia" w:hAnsiTheme="minorHAnsi" w:cstheme="minorBidi"/>
          <w:smallCaps w:val="0"/>
          <w:color w:val="000000" w:themeColor="text1"/>
          <w:kern w:val="2"/>
          <w:sz w:val="21"/>
          <w:szCs w:val="22"/>
        </w:rPr>
      </w:pPr>
      <w:hyperlink w:anchor="_Toc54016582" w:history="1">
        <w:r w:rsidR="00913896" w:rsidRPr="007B4794">
          <w:rPr>
            <w:rStyle w:val="a7"/>
            <w:rFonts w:eastAsia="宋体" w:cs="Arial" w:hint="eastAsia"/>
            <w:color w:val="000000" w:themeColor="text1"/>
          </w:rPr>
          <w:t>一、项目建设地点</w:t>
        </w:r>
        <w:r w:rsidR="00913896" w:rsidRPr="007B4794">
          <w:rPr>
            <w:webHidden/>
            <w:color w:val="000000" w:themeColor="text1"/>
          </w:rPr>
          <w:tab/>
        </w:r>
        <w:r w:rsidR="00913896" w:rsidRPr="007B4794">
          <w:rPr>
            <w:webHidden/>
            <w:color w:val="000000" w:themeColor="text1"/>
          </w:rPr>
          <w:fldChar w:fldCharType="begin"/>
        </w:r>
        <w:r w:rsidR="00913896" w:rsidRPr="007B4794">
          <w:rPr>
            <w:webHidden/>
            <w:color w:val="000000" w:themeColor="text1"/>
          </w:rPr>
          <w:instrText xml:space="preserve"> PAGEREF _Toc54016582 \h </w:instrText>
        </w:r>
        <w:r w:rsidR="00913896" w:rsidRPr="007B4794">
          <w:rPr>
            <w:webHidden/>
            <w:color w:val="000000" w:themeColor="text1"/>
          </w:rPr>
        </w:r>
        <w:r w:rsidR="00913896" w:rsidRPr="007B4794">
          <w:rPr>
            <w:webHidden/>
            <w:color w:val="000000" w:themeColor="text1"/>
          </w:rPr>
          <w:fldChar w:fldCharType="separate"/>
        </w:r>
        <w:r w:rsidR="00D30D68" w:rsidRPr="007B4794">
          <w:rPr>
            <w:webHidden/>
            <w:color w:val="000000" w:themeColor="text1"/>
          </w:rPr>
          <w:t>5</w:t>
        </w:r>
        <w:r w:rsidR="00913896" w:rsidRPr="007B4794">
          <w:rPr>
            <w:webHidden/>
            <w:color w:val="000000" w:themeColor="text1"/>
          </w:rPr>
          <w:fldChar w:fldCharType="end"/>
        </w:r>
      </w:hyperlink>
    </w:p>
    <w:p w14:paraId="1C1B2492" w14:textId="77777777" w:rsidR="00913896" w:rsidRPr="007B4794" w:rsidRDefault="00447D63">
      <w:pPr>
        <w:pStyle w:val="20"/>
        <w:rPr>
          <w:rFonts w:asciiTheme="minorHAnsi" w:eastAsiaTheme="minorEastAsia" w:hAnsiTheme="minorHAnsi" w:cstheme="minorBidi"/>
          <w:smallCaps w:val="0"/>
          <w:color w:val="000000" w:themeColor="text1"/>
          <w:kern w:val="2"/>
          <w:sz w:val="21"/>
          <w:szCs w:val="22"/>
        </w:rPr>
      </w:pPr>
      <w:hyperlink w:anchor="_Toc54016583" w:history="1">
        <w:r w:rsidR="00913896" w:rsidRPr="007B4794">
          <w:rPr>
            <w:rStyle w:val="a7"/>
            <w:rFonts w:eastAsia="宋体" w:cs="Arial" w:hint="eastAsia"/>
            <w:color w:val="000000" w:themeColor="text1"/>
          </w:rPr>
          <w:t>二、项目建设规模</w:t>
        </w:r>
        <w:r w:rsidR="00913896" w:rsidRPr="007B4794">
          <w:rPr>
            <w:webHidden/>
            <w:color w:val="000000" w:themeColor="text1"/>
          </w:rPr>
          <w:tab/>
        </w:r>
        <w:r w:rsidR="00913896" w:rsidRPr="007B4794">
          <w:rPr>
            <w:webHidden/>
            <w:color w:val="000000" w:themeColor="text1"/>
          </w:rPr>
          <w:fldChar w:fldCharType="begin"/>
        </w:r>
        <w:r w:rsidR="00913896" w:rsidRPr="007B4794">
          <w:rPr>
            <w:webHidden/>
            <w:color w:val="000000" w:themeColor="text1"/>
          </w:rPr>
          <w:instrText xml:space="preserve"> PAGEREF _Toc54016583 \h </w:instrText>
        </w:r>
        <w:r w:rsidR="00913896" w:rsidRPr="007B4794">
          <w:rPr>
            <w:webHidden/>
            <w:color w:val="000000" w:themeColor="text1"/>
          </w:rPr>
        </w:r>
        <w:r w:rsidR="00913896" w:rsidRPr="007B4794">
          <w:rPr>
            <w:webHidden/>
            <w:color w:val="000000" w:themeColor="text1"/>
          </w:rPr>
          <w:fldChar w:fldCharType="separate"/>
        </w:r>
        <w:r w:rsidR="00D30D68" w:rsidRPr="007B4794">
          <w:rPr>
            <w:webHidden/>
            <w:color w:val="000000" w:themeColor="text1"/>
          </w:rPr>
          <w:t>6</w:t>
        </w:r>
        <w:r w:rsidR="00913896" w:rsidRPr="007B4794">
          <w:rPr>
            <w:webHidden/>
            <w:color w:val="000000" w:themeColor="text1"/>
          </w:rPr>
          <w:fldChar w:fldCharType="end"/>
        </w:r>
      </w:hyperlink>
    </w:p>
    <w:p w14:paraId="5856BFF7" w14:textId="4B22D7B7" w:rsidR="00913896" w:rsidRPr="007B4794" w:rsidRDefault="00447D63">
      <w:pPr>
        <w:pStyle w:val="20"/>
        <w:rPr>
          <w:rFonts w:asciiTheme="minorHAnsi" w:eastAsiaTheme="minorEastAsia" w:hAnsiTheme="minorHAnsi" w:cstheme="minorBidi"/>
          <w:smallCaps w:val="0"/>
          <w:color w:val="000000" w:themeColor="text1"/>
          <w:kern w:val="2"/>
          <w:sz w:val="21"/>
          <w:szCs w:val="22"/>
        </w:rPr>
      </w:pPr>
      <w:hyperlink w:anchor="_Toc54016584" w:history="1">
        <w:r w:rsidR="00913896" w:rsidRPr="007B4794">
          <w:rPr>
            <w:rStyle w:val="a7"/>
            <w:rFonts w:eastAsia="宋体" w:cs="Arial" w:hint="eastAsia"/>
            <w:color w:val="000000" w:themeColor="text1"/>
          </w:rPr>
          <w:t>三、项目区域情况</w:t>
        </w:r>
        <w:r w:rsidR="00913896" w:rsidRPr="007B4794">
          <w:rPr>
            <w:webHidden/>
            <w:color w:val="000000" w:themeColor="text1"/>
          </w:rPr>
          <w:tab/>
        </w:r>
        <w:r w:rsidR="00913896" w:rsidRPr="007B4794">
          <w:rPr>
            <w:webHidden/>
            <w:color w:val="000000" w:themeColor="text1"/>
          </w:rPr>
          <w:fldChar w:fldCharType="begin"/>
        </w:r>
        <w:r w:rsidR="00913896" w:rsidRPr="007B4794">
          <w:rPr>
            <w:webHidden/>
            <w:color w:val="000000" w:themeColor="text1"/>
          </w:rPr>
          <w:instrText xml:space="preserve"> PAGEREF _Toc54016584 \h </w:instrText>
        </w:r>
        <w:r w:rsidR="00913896" w:rsidRPr="007B4794">
          <w:rPr>
            <w:webHidden/>
            <w:color w:val="000000" w:themeColor="text1"/>
          </w:rPr>
        </w:r>
        <w:r w:rsidR="00913896" w:rsidRPr="007B4794">
          <w:rPr>
            <w:webHidden/>
            <w:color w:val="000000" w:themeColor="text1"/>
          </w:rPr>
          <w:fldChar w:fldCharType="separate"/>
        </w:r>
        <w:r w:rsidR="00D30D68" w:rsidRPr="007B4794">
          <w:rPr>
            <w:webHidden/>
            <w:color w:val="000000" w:themeColor="text1"/>
          </w:rPr>
          <w:t>7</w:t>
        </w:r>
        <w:r w:rsidR="00913896" w:rsidRPr="007B4794">
          <w:rPr>
            <w:webHidden/>
            <w:color w:val="000000" w:themeColor="text1"/>
          </w:rPr>
          <w:fldChar w:fldCharType="end"/>
        </w:r>
      </w:hyperlink>
    </w:p>
    <w:p w14:paraId="130F5926" w14:textId="12BA624C" w:rsidR="00913896" w:rsidRPr="007B4794" w:rsidRDefault="00447D63">
      <w:pPr>
        <w:pStyle w:val="20"/>
        <w:rPr>
          <w:rFonts w:asciiTheme="minorHAnsi" w:eastAsiaTheme="minorEastAsia" w:hAnsiTheme="minorHAnsi" w:cstheme="minorBidi"/>
          <w:smallCaps w:val="0"/>
          <w:color w:val="000000" w:themeColor="text1"/>
          <w:kern w:val="2"/>
          <w:sz w:val="21"/>
          <w:szCs w:val="22"/>
        </w:rPr>
      </w:pPr>
      <w:hyperlink w:anchor="_Toc54016585" w:history="1">
        <w:r w:rsidR="00913896" w:rsidRPr="007B4794">
          <w:rPr>
            <w:rStyle w:val="a7"/>
            <w:rFonts w:eastAsia="宋体" w:cs="Arial" w:hint="eastAsia"/>
            <w:color w:val="000000" w:themeColor="text1"/>
          </w:rPr>
          <w:t>四、项目操盘团队分析</w:t>
        </w:r>
        <w:r w:rsidR="00913896" w:rsidRPr="007B4794">
          <w:rPr>
            <w:webHidden/>
            <w:color w:val="000000" w:themeColor="text1"/>
          </w:rPr>
          <w:tab/>
        </w:r>
        <w:r w:rsidR="00913896" w:rsidRPr="007B4794">
          <w:rPr>
            <w:webHidden/>
            <w:color w:val="000000" w:themeColor="text1"/>
          </w:rPr>
          <w:fldChar w:fldCharType="begin"/>
        </w:r>
        <w:r w:rsidR="00913896" w:rsidRPr="007B4794">
          <w:rPr>
            <w:webHidden/>
            <w:color w:val="000000" w:themeColor="text1"/>
          </w:rPr>
          <w:instrText xml:space="preserve"> PAGEREF _Toc54016585 \h </w:instrText>
        </w:r>
        <w:r w:rsidR="00913896" w:rsidRPr="007B4794">
          <w:rPr>
            <w:webHidden/>
            <w:color w:val="000000" w:themeColor="text1"/>
          </w:rPr>
        </w:r>
        <w:r w:rsidR="00913896" w:rsidRPr="007B4794">
          <w:rPr>
            <w:webHidden/>
            <w:color w:val="000000" w:themeColor="text1"/>
          </w:rPr>
          <w:fldChar w:fldCharType="separate"/>
        </w:r>
        <w:r w:rsidR="00D30D68" w:rsidRPr="007B4794">
          <w:rPr>
            <w:webHidden/>
            <w:color w:val="000000" w:themeColor="text1"/>
          </w:rPr>
          <w:t>8</w:t>
        </w:r>
        <w:r w:rsidR="00913896" w:rsidRPr="007B4794">
          <w:rPr>
            <w:webHidden/>
            <w:color w:val="000000" w:themeColor="text1"/>
          </w:rPr>
          <w:fldChar w:fldCharType="end"/>
        </w:r>
      </w:hyperlink>
    </w:p>
    <w:p w14:paraId="4EDBC84B" w14:textId="1359B6C8" w:rsidR="00913896" w:rsidRPr="007B4794" w:rsidRDefault="00447D63">
      <w:pPr>
        <w:pStyle w:val="10"/>
        <w:rPr>
          <w:rFonts w:asciiTheme="minorHAnsi" w:eastAsiaTheme="minorEastAsia" w:hAnsiTheme="minorHAnsi" w:cstheme="minorBidi"/>
          <w:b w:val="0"/>
          <w:bCs w:val="0"/>
          <w:caps w:val="0"/>
          <w:color w:val="000000" w:themeColor="text1"/>
          <w:kern w:val="2"/>
          <w:sz w:val="21"/>
          <w:szCs w:val="22"/>
        </w:rPr>
      </w:pPr>
      <w:hyperlink w:anchor="_Toc54016586" w:history="1">
        <w:r w:rsidR="00913896" w:rsidRPr="007B4794">
          <w:rPr>
            <w:rStyle w:val="a7"/>
            <w:rFonts w:eastAsia="方正黑体简体" w:hint="eastAsia"/>
            <w:color w:val="000000" w:themeColor="text1"/>
          </w:rPr>
          <w:t>第三章</w:t>
        </w:r>
        <w:r w:rsidR="00913896" w:rsidRPr="007B4794">
          <w:rPr>
            <w:rStyle w:val="a7"/>
            <w:rFonts w:eastAsia="方正黑体简体"/>
            <w:color w:val="000000" w:themeColor="text1"/>
          </w:rPr>
          <w:t xml:space="preserve">  </w:t>
        </w:r>
        <w:r w:rsidR="00913896" w:rsidRPr="007B4794">
          <w:rPr>
            <w:rStyle w:val="a7"/>
            <w:rFonts w:eastAsia="方正黑体简体" w:hint="eastAsia"/>
            <w:color w:val="000000" w:themeColor="text1"/>
          </w:rPr>
          <w:t>宏观市场分析</w:t>
        </w:r>
        <w:r w:rsidR="00913896" w:rsidRPr="007B4794">
          <w:rPr>
            <w:webHidden/>
            <w:color w:val="000000" w:themeColor="text1"/>
          </w:rPr>
          <w:tab/>
        </w:r>
        <w:r w:rsidR="00913896" w:rsidRPr="007B4794">
          <w:rPr>
            <w:webHidden/>
            <w:color w:val="000000" w:themeColor="text1"/>
          </w:rPr>
          <w:fldChar w:fldCharType="begin"/>
        </w:r>
        <w:r w:rsidR="00913896" w:rsidRPr="007B4794">
          <w:rPr>
            <w:webHidden/>
            <w:color w:val="000000" w:themeColor="text1"/>
          </w:rPr>
          <w:instrText xml:space="preserve"> PAGEREF _Toc54016586 \h </w:instrText>
        </w:r>
        <w:r w:rsidR="00913896" w:rsidRPr="007B4794">
          <w:rPr>
            <w:webHidden/>
            <w:color w:val="000000" w:themeColor="text1"/>
          </w:rPr>
        </w:r>
        <w:r w:rsidR="00913896" w:rsidRPr="007B4794">
          <w:rPr>
            <w:webHidden/>
            <w:color w:val="000000" w:themeColor="text1"/>
          </w:rPr>
          <w:fldChar w:fldCharType="separate"/>
        </w:r>
        <w:r w:rsidR="00D30D68" w:rsidRPr="007B4794">
          <w:rPr>
            <w:webHidden/>
            <w:color w:val="000000" w:themeColor="text1"/>
          </w:rPr>
          <w:t>13</w:t>
        </w:r>
        <w:r w:rsidR="00913896" w:rsidRPr="007B4794">
          <w:rPr>
            <w:webHidden/>
            <w:color w:val="000000" w:themeColor="text1"/>
          </w:rPr>
          <w:fldChar w:fldCharType="end"/>
        </w:r>
      </w:hyperlink>
    </w:p>
    <w:p w14:paraId="609FB5A4" w14:textId="73C5E0D5" w:rsidR="00913896" w:rsidRPr="007B4794" w:rsidRDefault="00447D63">
      <w:pPr>
        <w:pStyle w:val="20"/>
        <w:rPr>
          <w:rFonts w:asciiTheme="minorHAnsi" w:eastAsiaTheme="minorEastAsia" w:hAnsiTheme="minorHAnsi" w:cstheme="minorBidi"/>
          <w:smallCaps w:val="0"/>
          <w:color w:val="000000" w:themeColor="text1"/>
          <w:kern w:val="2"/>
          <w:sz w:val="21"/>
          <w:szCs w:val="22"/>
        </w:rPr>
      </w:pPr>
      <w:hyperlink w:anchor="_Toc54016587" w:history="1">
        <w:r w:rsidR="00913896" w:rsidRPr="007B4794">
          <w:rPr>
            <w:rStyle w:val="a7"/>
            <w:rFonts w:eastAsia="宋体" w:cs="Arial" w:hint="eastAsia"/>
            <w:color w:val="000000" w:themeColor="text1"/>
          </w:rPr>
          <w:t>一、自然环境</w:t>
        </w:r>
        <w:r w:rsidR="00913896" w:rsidRPr="007B4794">
          <w:rPr>
            <w:webHidden/>
            <w:color w:val="000000" w:themeColor="text1"/>
          </w:rPr>
          <w:tab/>
        </w:r>
        <w:r w:rsidR="00913896" w:rsidRPr="007B4794">
          <w:rPr>
            <w:webHidden/>
            <w:color w:val="000000" w:themeColor="text1"/>
          </w:rPr>
          <w:fldChar w:fldCharType="begin"/>
        </w:r>
        <w:r w:rsidR="00913896" w:rsidRPr="007B4794">
          <w:rPr>
            <w:webHidden/>
            <w:color w:val="000000" w:themeColor="text1"/>
          </w:rPr>
          <w:instrText xml:space="preserve"> PAGEREF _Toc54016587 \h </w:instrText>
        </w:r>
        <w:r w:rsidR="00913896" w:rsidRPr="007B4794">
          <w:rPr>
            <w:webHidden/>
            <w:color w:val="000000" w:themeColor="text1"/>
          </w:rPr>
        </w:r>
        <w:r w:rsidR="00913896" w:rsidRPr="007B4794">
          <w:rPr>
            <w:webHidden/>
            <w:color w:val="000000" w:themeColor="text1"/>
          </w:rPr>
          <w:fldChar w:fldCharType="separate"/>
        </w:r>
        <w:r w:rsidR="00D30D68" w:rsidRPr="007B4794">
          <w:rPr>
            <w:webHidden/>
            <w:color w:val="000000" w:themeColor="text1"/>
          </w:rPr>
          <w:t>13</w:t>
        </w:r>
        <w:r w:rsidR="00913896" w:rsidRPr="007B4794">
          <w:rPr>
            <w:webHidden/>
            <w:color w:val="000000" w:themeColor="text1"/>
          </w:rPr>
          <w:fldChar w:fldCharType="end"/>
        </w:r>
      </w:hyperlink>
    </w:p>
    <w:p w14:paraId="6A0850F5" w14:textId="094F44D7" w:rsidR="00913896" w:rsidRPr="007B4794" w:rsidRDefault="00447D63">
      <w:pPr>
        <w:pStyle w:val="20"/>
        <w:rPr>
          <w:rFonts w:asciiTheme="minorHAnsi" w:eastAsiaTheme="minorEastAsia" w:hAnsiTheme="minorHAnsi" w:cstheme="minorBidi"/>
          <w:smallCaps w:val="0"/>
          <w:color w:val="000000" w:themeColor="text1"/>
          <w:kern w:val="2"/>
          <w:sz w:val="21"/>
          <w:szCs w:val="22"/>
        </w:rPr>
      </w:pPr>
      <w:hyperlink w:anchor="_Toc54016588" w:history="1">
        <w:r w:rsidR="00913896" w:rsidRPr="007B4794">
          <w:rPr>
            <w:rStyle w:val="a7"/>
            <w:rFonts w:eastAsia="宋体" w:cs="Arial" w:hint="eastAsia"/>
            <w:color w:val="000000" w:themeColor="text1"/>
          </w:rPr>
          <w:t>（一）城市概况</w:t>
        </w:r>
        <w:r w:rsidR="00913896" w:rsidRPr="007B4794">
          <w:rPr>
            <w:webHidden/>
            <w:color w:val="000000" w:themeColor="text1"/>
          </w:rPr>
          <w:tab/>
        </w:r>
        <w:r w:rsidR="00913896" w:rsidRPr="007B4794">
          <w:rPr>
            <w:webHidden/>
            <w:color w:val="000000" w:themeColor="text1"/>
          </w:rPr>
          <w:fldChar w:fldCharType="begin"/>
        </w:r>
        <w:r w:rsidR="00913896" w:rsidRPr="007B4794">
          <w:rPr>
            <w:webHidden/>
            <w:color w:val="000000" w:themeColor="text1"/>
          </w:rPr>
          <w:instrText xml:space="preserve"> PAGEREF _Toc54016588 \h </w:instrText>
        </w:r>
        <w:r w:rsidR="00913896" w:rsidRPr="007B4794">
          <w:rPr>
            <w:webHidden/>
            <w:color w:val="000000" w:themeColor="text1"/>
          </w:rPr>
        </w:r>
        <w:r w:rsidR="00913896" w:rsidRPr="007B4794">
          <w:rPr>
            <w:webHidden/>
            <w:color w:val="000000" w:themeColor="text1"/>
          </w:rPr>
          <w:fldChar w:fldCharType="separate"/>
        </w:r>
        <w:r w:rsidR="00D30D68" w:rsidRPr="007B4794">
          <w:rPr>
            <w:webHidden/>
            <w:color w:val="000000" w:themeColor="text1"/>
          </w:rPr>
          <w:t>13</w:t>
        </w:r>
        <w:r w:rsidR="00913896" w:rsidRPr="007B4794">
          <w:rPr>
            <w:webHidden/>
            <w:color w:val="000000" w:themeColor="text1"/>
          </w:rPr>
          <w:fldChar w:fldCharType="end"/>
        </w:r>
      </w:hyperlink>
    </w:p>
    <w:p w14:paraId="5C16B4EC" w14:textId="4110B084" w:rsidR="00913896" w:rsidRPr="007B4794" w:rsidRDefault="00447D63">
      <w:pPr>
        <w:pStyle w:val="20"/>
        <w:rPr>
          <w:rFonts w:asciiTheme="minorHAnsi" w:eastAsiaTheme="minorEastAsia" w:hAnsiTheme="minorHAnsi" w:cstheme="minorBidi"/>
          <w:smallCaps w:val="0"/>
          <w:color w:val="000000" w:themeColor="text1"/>
          <w:kern w:val="2"/>
          <w:sz w:val="21"/>
          <w:szCs w:val="22"/>
        </w:rPr>
      </w:pPr>
      <w:hyperlink w:anchor="_Toc54016589" w:history="1">
        <w:r w:rsidR="00913896" w:rsidRPr="007B4794">
          <w:rPr>
            <w:rStyle w:val="a7"/>
            <w:rFonts w:eastAsia="宋体" w:cs="Arial" w:hint="eastAsia"/>
            <w:color w:val="000000" w:themeColor="text1"/>
          </w:rPr>
          <w:t>（二）经济运行概况（</w:t>
        </w:r>
        <w:r w:rsidR="00913896" w:rsidRPr="007B4794">
          <w:rPr>
            <w:rStyle w:val="a7"/>
            <w:rFonts w:eastAsia="宋体" w:cs="Arial"/>
            <w:color w:val="000000" w:themeColor="text1"/>
          </w:rPr>
          <w:t>2019</w:t>
        </w:r>
        <w:r w:rsidR="00913896" w:rsidRPr="007B4794">
          <w:rPr>
            <w:rStyle w:val="a7"/>
            <w:rFonts w:eastAsia="宋体" w:cs="Arial" w:hint="eastAsia"/>
            <w:color w:val="000000" w:themeColor="text1"/>
          </w:rPr>
          <w:t>年至</w:t>
        </w:r>
        <w:r w:rsidR="00913896" w:rsidRPr="007B4794">
          <w:rPr>
            <w:rStyle w:val="a7"/>
            <w:rFonts w:eastAsia="宋体" w:cs="Arial"/>
            <w:color w:val="000000" w:themeColor="text1"/>
          </w:rPr>
          <w:t>2020</w:t>
        </w:r>
        <w:r w:rsidR="00913896" w:rsidRPr="007B4794">
          <w:rPr>
            <w:rStyle w:val="a7"/>
            <w:rFonts w:eastAsia="宋体" w:cs="Arial" w:hint="eastAsia"/>
            <w:color w:val="000000" w:themeColor="text1"/>
          </w:rPr>
          <w:t>年</w:t>
        </w:r>
        <w:r w:rsidR="00913896" w:rsidRPr="007B4794">
          <w:rPr>
            <w:rStyle w:val="a7"/>
            <w:rFonts w:eastAsia="宋体" w:cs="Arial"/>
            <w:color w:val="000000" w:themeColor="text1"/>
          </w:rPr>
          <w:t>1</w:t>
        </w:r>
        <w:r w:rsidR="00913896" w:rsidRPr="007B4794">
          <w:rPr>
            <w:rStyle w:val="a7"/>
            <w:rFonts w:eastAsia="宋体" w:cs="Arial" w:hint="eastAsia"/>
            <w:color w:val="000000" w:themeColor="text1"/>
          </w:rPr>
          <w:t>季度）</w:t>
        </w:r>
        <w:r w:rsidR="00913896" w:rsidRPr="007B4794">
          <w:rPr>
            <w:webHidden/>
            <w:color w:val="000000" w:themeColor="text1"/>
          </w:rPr>
          <w:tab/>
        </w:r>
        <w:r w:rsidR="00913896" w:rsidRPr="007B4794">
          <w:rPr>
            <w:webHidden/>
            <w:color w:val="000000" w:themeColor="text1"/>
          </w:rPr>
          <w:fldChar w:fldCharType="begin"/>
        </w:r>
        <w:r w:rsidR="00913896" w:rsidRPr="007B4794">
          <w:rPr>
            <w:webHidden/>
            <w:color w:val="000000" w:themeColor="text1"/>
          </w:rPr>
          <w:instrText xml:space="preserve"> PAGEREF _Toc54016589 \h </w:instrText>
        </w:r>
        <w:r w:rsidR="00913896" w:rsidRPr="007B4794">
          <w:rPr>
            <w:webHidden/>
            <w:color w:val="000000" w:themeColor="text1"/>
          </w:rPr>
        </w:r>
        <w:r w:rsidR="00913896" w:rsidRPr="007B4794">
          <w:rPr>
            <w:webHidden/>
            <w:color w:val="000000" w:themeColor="text1"/>
          </w:rPr>
          <w:fldChar w:fldCharType="separate"/>
        </w:r>
        <w:r w:rsidR="00D30D68" w:rsidRPr="007B4794">
          <w:rPr>
            <w:webHidden/>
            <w:color w:val="000000" w:themeColor="text1"/>
          </w:rPr>
          <w:t>15</w:t>
        </w:r>
        <w:r w:rsidR="00913896" w:rsidRPr="007B4794">
          <w:rPr>
            <w:webHidden/>
            <w:color w:val="000000" w:themeColor="text1"/>
          </w:rPr>
          <w:fldChar w:fldCharType="end"/>
        </w:r>
      </w:hyperlink>
    </w:p>
    <w:p w14:paraId="6E27AD7B" w14:textId="38508B93" w:rsidR="00913896" w:rsidRPr="007B4794" w:rsidRDefault="00447D63">
      <w:pPr>
        <w:pStyle w:val="20"/>
        <w:rPr>
          <w:rFonts w:asciiTheme="minorHAnsi" w:eastAsiaTheme="minorEastAsia" w:hAnsiTheme="minorHAnsi" w:cstheme="minorBidi"/>
          <w:smallCaps w:val="0"/>
          <w:color w:val="000000" w:themeColor="text1"/>
          <w:kern w:val="2"/>
          <w:sz w:val="21"/>
          <w:szCs w:val="22"/>
        </w:rPr>
      </w:pPr>
      <w:hyperlink w:anchor="_Toc54016590" w:history="1">
        <w:r w:rsidR="00913896" w:rsidRPr="007B4794">
          <w:rPr>
            <w:rStyle w:val="a7"/>
            <w:rFonts w:eastAsia="宋体" w:cs="Arial" w:hint="eastAsia"/>
            <w:color w:val="000000" w:themeColor="text1"/>
          </w:rPr>
          <w:t>（四）土地市场概况</w:t>
        </w:r>
        <w:r w:rsidR="00913896" w:rsidRPr="007B4794">
          <w:rPr>
            <w:webHidden/>
            <w:color w:val="000000" w:themeColor="text1"/>
          </w:rPr>
          <w:tab/>
        </w:r>
        <w:r w:rsidR="00913896" w:rsidRPr="007B4794">
          <w:rPr>
            <w:webHidden/>
            <w:color w:val="000000" w:themeColor="text1"/>
          </w:rPr>
          <w:fldChar w:fldCharType="begin"/>
        </w:r>
        <w:r w:rsidR="00913896" w:rsidRPr="007B4794">
          <w:rPr>
            <w:webHidden/>
            <w:color w:val="000000" w:themeColor="text1"/>
          </w:rPr>
          <w:instrText xml:space="preserve"> PAGEREF _Toc54016590 \h </w:instrText>
        </w:r>
        <w:r w:rsidR="00913896" w:rsidRPr="007B4794">
          <w:rPr>
            <w:webHidden/>
            <w:color w:val="000000" w:themeColor="text1"/>
          </w:rPr>
        </w:r>
        <w:r w:rsidR="00913896" w:rsidRPr="007B4794">
          <w:rPr>
            <w:webHidden/>
            <w:color w:val="000000" w:themeColor="text1"/>
          </w:rPr>
          <w:fldChar w:fldCharType="separate"/>
        </w:r>
        <w:r w:rsidR="00D30D68" w:rsidRPr="007B4794">
          <w:rPr>
            <w:webHidden/>
            <w:color w:val="000000" w:themeColor="text1"/>
          </w:rPr>
          <w:t>23</w:t>
        </w:r>
        <w:r w:rsidR="00913896" w:rsidRPr="007B4794">
          <w:rPr>
            <w:webHidden/>
            <w:color w:val="000000" w:themeColor="text1"/>
          </w:rPr>
          <w:fldChar w:fldCharType="end"/>
        </w:r>
      </w:hyperlink>
    </w:p>
    <w:p w14:paraId="0337292B" w14:textId="05075528" w:rsidR="00913896" w:rsidRPr="007B4794" w:rsidRDefault="00447D63">
      <w:pPr>
        <w:pStyle w:val="20"/>
        <w:rPr>
          <w:rFonts w:asciiTheme="minorHAnsi" w:eastAsiaTheme="minorEastAsia" w:hAnsiTheme="minorHAnsi" w:cstheme="minorBidi"/>
          <w:smallCaps w:val="0"/>
          <w:color w:val="000000" w:themeColor="text1"/>
          <w:kern w:val="2"/>
          <w:sz w:val="21"/>
          <w:szCs w:val="22"/>
        </w:rPr>
      </w:pPr>
      <w:hyperlink w:anchor="_Toc54016591" w:history="1">
        <w:r w:rsidR="00913896" w:rsidRPr="007B4794">
          <w:rPr>
            <w:rStyle w:val="a7"/>
            <w:rFonts w:eastAsia="宋体" w:cs="Arial" w:hint="eastAsia"/>
            <w:color w:val="000000" w:themeColor="text1"/>
          </w:rPr>
          <w:t>（五）房地产市场概况</w:t>
        </w:r>
        <w:r w:rsidR="00913896" w:rsidRPr="007B4794">
          <w:rPr>
            <w:webHidden/>
            <w:color w:val="000000" w:themeColor="text1"/>
          </w:rPr>
          <w:tab/>
        </w:r>
        <w:r w:rsidR="00913896" w:rsidRPr="007B4794">
          <w:rPr>
            <w:webHidden/>
            <w:color w:val="000000" w:themeColor="text1"/>
          </w:rPr>
          <w:fldChar w:fldCharType="begin"/>
        </w:r>
        <w:r w:rsidR="00913896" w:rsidRPr="007B4794">
          <w:rPr>
            <w:webHidden/>
            <w:color w:val="000000" w:themeColor="text1"/>
          </w:rPr>
          <w:instrText xml:space="preserve"> PAGEREF _Toc54016591 \h </w:instrText>
        </w:r>
        <w:r w:rsidR="00913896" w:rsidRPr="007B4794">
          <w:rPr>
            <w:webHidden/>
            <w:color w:val="000000" w:themeColor="text1"/>
          </w:rPr>
        </w:r>
        <w:r w:rsidR="00913896" w:rsidRPr="007B4794">
          <w:rPr>
            <w:webHidden/>
            <w:color w:val="000000" w:themeColor="text1"/>
          </w:rPr>
          <w:fldChar w:fldCharType="separate"/>
        </w:r>
        <w:r w:rsidR="00D30D68" w:rsidRPr="007B4794">
          <w:rPr>
            <w:webHidden/>
            <w:color w:val="000000" w:themeColor="text1"/>
          </w:rPr>
          <w:t>28</w:t>
        </w:r>
        <w:r w:rsidR="00913896" w:rsidRPr="007B4794">
          <w:rPr>
            <w:webHidden/>
            <w:color w:val="000000" w:themeColor="text1"/>
          </w:rPr>
          <w:fldChar w:fldCharType="end"/>
        </w:r>
      </w:hyperlink>
    </w:p>
    <w:p w14:paraId="7633163B" w14:textId="055A8F57" w:rsidR="00913896" w:rsidRPr="007B4794" w:rsidRDefault="00447D63">
      <w:pPr>
        <w:pStyle w:val="20"/>
        <w:rPr>
          <w:rFonts w:asciiTheme="minorHAnsi" w:eastAsiaTheme="minorEastAsia" w:hAnsiTheme="minorHAnsi" w:cstheme="minorBidi"/>
          <w:smallCaps w:val="0"/>
          <w:color w:val="000000" w:themeColor="text1"/>
          <w:kern w:val="2"/>
          <w:sz w:val="21"/>
          <w:szCs w:val="22"/>
        </w:rPr>
      </w:pPr>
      <w:hyperlink w:anchor="_Toc54016592" w:history="1">
        <w:r w:rsidR="00913896" w:rsidRPr="007B4794">
          <w:rPr>
            <w:rStyle w:val="a7"/>
            <w:rFonts w:eastAsia="宋体" w:cs="Arial" w:hint="eastAsia"/>
            <w:color w:val="000000" w:themeColor="text1"/>
          </w:rPr>
          <w:t>（六）房地产政策</w:t>
        </w:r>
        <w:r w:rsidR="00913896" w:rsidRPr="007B4794">
          <w:rPr>
            <w:webHidden/>
            <w:color w:val="000000" w:themeColor="text1"/>
          </w:rPr>
          <w:tab/>
        </w:r>
        <w:r w:rsidR="00913896" w:rsidRPr="007B4794">
          <w:rPr>
            <w:webHidden/>
            <w:color w:val="000000" w:themeColor="text1"/>
          </w:rPr>
          <w:fldChar w:fldCharType="begin"/>
        </w:r>
        <w:r w:rsidR="00913896" w:rsidRPr="007B4794">
          <w:rPr>
            <w:webHidden/>
            <w:color w:val="000000" w:themeColor="text1"/>
          </w:rPr>
          <w:instrText xml:space="preserve"> PAGEREF _Toc54016592 \h </w:instrText>
        </w:r>
        <w:r w:rsidR="00913896" w:rsidRPr="007B4794">
          <w:rPr>
            <w:webHidden/>
            <w:color w:val="000000" w:themeColor="text1"/>
          </w:rPr>
        </w:r>
        <w:r w:rsidR="00913896" w:rsidRPr="007B4794">
          <w:rPr>
            <w:webHidden/>
            <w:color w:val="000000" w:themeColor="text1"/>
          </w:rPr>
          <w:fldChar w:fldCharType="separate"/>
        </w:r>
        <w:r w:rsidR="00D30D68" w:rsidRPr="007B4794">
          <w:rPr>
            <w:webHidden/>
            <w:color w:val="000000" w:themeColor="text1"/>
          </w:rPr>
          <w:t>33</w:t>
        </w:r>
        <w:r w:rsidR="00913896" w:rsidRPr="007B4794">
          <w:rPr>
            <w:webHidden/>
            <w:color w:val="000000" w:themeColor="text1"/>
          </w:rPr>
          <w:fldChar w:fldCharType="end"/>
        </w:r>
      </w:hyperlink>
    </w:p>
    <w:p w14:paraId="20E8DDCF" w14:textId="7E39ABBB" w:rsidR="00913896" w:rsidRPr="007B4794" w:rsidRDefault="00447D63">
      <w:pPr>
        <w:pStyle w:val="10"/>
        <w:rPr>
          <w:rFonts w:asciiTheme="minorHAnsi" w:eastAsiaTheme="minorEastAsia" w:hAnsiTheme="minorHAnsi" w:cstheme="minorBidi"/>
          <w:b w:val="0"/>
          <w:bCs w:val="0"/>
          <w:caps w:val="0"/>
          <w:color w:val="000000" w:themeColor="text1"/>
          <w:kern w:val="2"/>
          <w:sz w:val="21"/>
          <w:szCs w:val="22"/>
        </w:rPr>
      </w:pPr>
      <w:hyperlink w:anchor="_Toc54016593" w:history="1">
        <w:r w:rsidR="00913896" w:rsidRPr="007B4794">
          <w:rPr>
            <w:rStyle w:val="a7"/>
            <w:rFonts w:eastAsia="方正黑体简体" w:hint="eastAsia"/>
            <w:color w:val="000000" w:themeColor="text1"/>
          </w:rPr>
          <w:t>第四章</w:t>
        </w:r>
        <w:r w:rsidR="00913896" w:rsidRPr="007B4794">
          <w:rPr>
            <w:rStyle w:val="a7"/>
            <w:rFonts w:eastAsia="方正黑体简体"/>
            <w:color w:val="000000" w:themeColor="text1"/>
          </w:rPr>
          <w:t xml:space="preserve">  </w:t>
        </w:r>
        <w:r w:rsidR="00913896" w:rsidRPr="007B4794">
          <w:rPr>
            <w:rStyle w:val="a7"/>
            <w:rFonts w:eastAsia="方正黑体简体" w:hint="eastAsia"/>
            <w:color w:val="000000" w:themeColor="text1"/>
          </w:rPr>
          <w:t>区域市场分析</w:t>
        </w:r>
        <w:r w:rsidR="00913896" w:rsidRPr="007B4794">
          <w:rPr>
            <w:webHidden/>
            <w:color w:val="000000" w:themeColor="text1"/>
          </w:rPr>
          <w:tab/>
        </w:r>
        <w:r w:rsidR="00913896" w:rsidRPr="007B4794">
          <w:rPr>
            <w:webHidden/>
            <w:color w:val="000000" w:themeColor="text1"/>
          </w:rPr>
          <w:fldChar w:fldCharType="begin"/>
        </w:r>
        <w:r w:rsidR="00913896" w:rsidRPr="007B4794">
          <w:rPr>
            <w:webHidden/>
            <w:color w:val="000000" w:themeColor="text1"/>
          </w:rPr>
          <w:instrText xml:space="preserve"> PAGEREF _Toc54016593 \h </w:instrText>
        </w:r>
        <w:r w:rsidR="00913896" w:rsidRPr="007B4794">
          <w:rPr>
            <w:webHidden/>
            <w:color w:val="000000" w:themeColor="text1"/>
          </w:rPr>
        </w:r>
        <w:r w:rsidR="00913896" w:rsidRPr="007B4794">
          <w:rPr>
            <w:webHidden/>
            <w:color w:val="000000" w:themeColor="text1"/>
          </w:rPr>
          <w:fldChar w:fldCharType="separate"/>
        </w:r>
        <w:r w:rsidR="00D30D68" w:rsidRPr="007B4794">
          <w:rPr>
            <w:webHidden/>
            <w:color w:val="000000" w:themeColor="text1"/>
          </w:rPr>
          <w:t>35</w:t>
        </w:r>
        <w:r w:rsidR="00913896" w:rsidRPr="007B4794">
          <w:rPr>
            <w:webHidden/>
            <w:color w:val="000000" w:themeColor="text1"/>
          </w:rPr>
          <w:fldChar w:fldCharType="end"/>
        </w:r>
      </w:hyperlink>
    </w:p>
    <w:p w14:paraId="209208B8" w14:textId="057E2ECE" w:rsidR="00913896" w:rsidRPr="007B4794" w:rsidRDefault="00447D63">
      <w:pPr>
        <w:pStyle w:val="20"/>
        <w:rPr>
          <w:rFonts w:asciiTheme="minorHAnsi" w:eastAsiaTheme="minorEastAsia" w:hAnsiTheme="minorHAnsi" w:cstheme="minorBidi"/>
          <w:smallCaps w:val="0"/>
          <w:color w:val="000000" w:themeColor="text1"/>
          <w:kern w:val="2"/>
          <w:sz w:val="21"/>
          <w:szCs w:val="22"/>
        </w:rPr>
      </w:pPr>
      <w:hyperlink w:anchor="_Toc54016594" w:history="1">
        <w:r w:rsidR="00913896" w:rsidRPr="007B4794">
          <w:rPr>
            <w:rStyle w:val="a7"/>
            <w:rFonts w:eastAsia="宋体" w:cs="Arial" w:hint="eastAsia"/>
            <w:color w:val="000000" w:themeColor="text1"/>
          </w:rPr>
          <w:t>一、区域概况</w:t>
        </w:r>
        <w:r w:rsidR="00913896" w:rsidRPr="007B4794">
          <w:rPr>
            <w:webHidden/>
            <w:color w:val="000000" w:themeColor="text1"/>
          </w:rPr>
          <w:tab/>
        </w:r>
        <w:r w:rsidR="00913896" w:rsidRPr="007B4794">
          <w:rPr>
            <w:webHidden/>
            <w:color w:val="000000" w:themeColor="text1"/>
          </w:rPr>
          <w:fldChar w:fldCharType="begin"/>
        </w:r>
        <w:r w:rsidR="00913896" w:rsidRPr="007B4794">
          <w:rPr>
            <w:webHidden/>
            <w:color w:val="000000" w:themeColor="text1"/>
          </w:rPr>
          <w:instrText xml:space="preserve"> PAGEREF _Toc54016594 \h </w:instrText>
        </w:r>
        <w:r w:rsidR="00913896" w:rsidRPr="007B4794">
          <w:rPr>
            <w:webHidden/>
            <w:color w:val="000000" w:themeColor="text1"/>
          </w:rPr>
        </w:r>
        <w:r w:rsidR="00913896" w:rsidRPr="007B4794">
          <w:rPr>
            <w:webHidden/>
            <w:color w:val="000000" w:themeColor="text1"/>
          </w:rPr>
          <w:fldChar w:fldCharType="separate"/>
        </w:r>
        <w:r w:rsidR="00D30D68" w:rsidRPr="007B4794">
          <w:rPr>
            <w:webHidden/>
            <w:color w:val="000000" w:themeColor="text1"/>
          </w:rPr>
          <w:t>35</w:t>
        </w:r>
        <w:r w:rsidR="00913896" w:rsidRPr="007B4794">
          <w:rPr>
            <w:webHidden/>
            <w:color w:val="000000" w:themeColor="text1"/>
          </w:rPr>
          <w:fldChar w:fldCharType="end"/>
        </w:r>
      </w:hyperlink>
    </w:p>
    <w:p w14:paraId="1D654F5E" w14:textId="54D650B4" w:rsidR="00913896" w:rsidRPr="007B4794" w:rsidRDefault="00447D63">
      <w:pPr>
        <w:pStyle w:val="20"/>
        <w:rPr>
          <w:rFonts w:asciiTheme="minorHAnsi" w:eastAsiaTheme="minorEastAsia" w:hAnsiTheme="minorHAnsi" w:cstheme="minorBidi"/>
          <w:smallCaps w:val="0"/>
          <w:color w:val="000000" w:themeColor="text1"/>
          <w:kern w:val="2"/>
          <w:sz w:val="21"/>
          <w:szCs w:val="22"/>
        </w:rPr>
      </w:pPr>
      <w:hyperlink w:anchor="_Toc54016595" w:history="1">
        <w:r w:rsidR="00913896" w:rsidRPr="007B4794">
          <w:rPr>
            <w:rStyle w:val="a7"/>
            <w:rFonts w:eastAsia="宋体" w:cs="Arial" w:hint="eastAsia"/>
            <w:color w:val="000000" w:themeColor="text1"/>
          </w:rPr>
          <w:t>二、区域定位</w:t>
        </w:r>
        <w:r w:rsidR="00913896" w:rsidRPr="007B4794">
          <w:rPr>
            <w:webHidden/>
            <w:color w:val="000000" w:themeColor="text1"/>
          </w:rPr>
          <w:tab/>
        </w:r>
        <w:r w:rsidR="00913896" w:rsidRPr="007B4794">
          <w:rPr>
            <w:webHidden/>
            <w:color w:val="000000" w:themeColor="text1"/>
          </w:rPr>
          <w:fldChar w:fldCharType="begin"/>
        </w:r>
        <w:r w:rsidR="00913896" w:rsidRPr="007B4794">
          <w:rPr>
            <w:webHidden/>
            <w:color w:val="000000" w:themeColor="text1"/>
          </w:rPr>
          <w:instrText xml:space="preserve"> PAGEREF _Toc54016595 \h </w:instrText>
        </w:r>
        <w:r w:rsidR="00913896" w:rsidRPr="007B4794">
          <w:rPr>
            <w:webHidden/>
            <w:color w:val="000000" w:themeColor="text1"/>
          </w:rPr>
        </w:r>
        <w:r w:rsidR="00913896" w:rsidRPr="007B4794">
          <w:rPr>
            <w:webHidden/>
            <w:color w:val="000000" w:themeColor="text1"/>
          </w:rPr>
          <w:fldChar w:fldCharType="separate"/>
        </w:r>
        <w:r w:rsidR="00D30D68" w:rsidRPr="007B4794">
          <w:rPr>
            <w:webHidden/>
            <w:color w:val="000000" w:themeColor="text1"/>
          </w:rPr>
          <w:t>37</w:t>
        </w:r>
        <w:r w:rsidR="00913896" w:rsidRPr="007B4794">
          <w:rPr>
            <w:webHidden/>
            <w:color w:val="000000" w:themeColor="text1"/>
          </w:rPr>
          <w:fldChar w:fldCharType="end"/>
        </w:r>
      </w:hyperlink>
    </w:p>
    <w:p w14:paraId="52A2786D" w14:textId="77777777" w:rsidR="00913896" w:rsidRPr="007B4794" w:rsidRDefault="00447D63">
      <w:pPr>
        <w:pStyle w:val="20"/>
        <w:rPr>
          <w:rFonts w:asciiTheme="minorHAnsi" w:eastAsiaTheme="minorEastAsia" w:hAnsiTheme="minorHAnsi" w:cstheme="minorBidi"/>
          <w:smallCaps w:val="0"/>
          <w:color w:val="000000" w:themeColor="text1"/>
          <w:kern w:val="2"/>
          <w:sz w:val="21"/>
          <w:szCs w:val="22"/>
        </w:rPr>
      </w:pPr>
      <w:hyperlink w:anchor="_Toc54016596" w:history="1">
        <w:r w:rsidR="00913896" w:rsidRPr="007B4794">
          <w:rPr>
            <w:rStyle w:val="a7"/>
            <w:rFonts w:eastAsia="宋体" w:cs="Arial" w:hint="eastAsia"/>
            <w:color w:val="000000" w:themeColor="text1"/>
          </w:rPr>
          <w:t>三、区域土地市场分析</w:t>
        </w:r>
        <w:r w:rsidR="00913896" w:rsidRPr="007B4794">
          <w:rPr>
            <w:webHidden/>
            <w:color w:val="000000" w:themeColor="text1"/>
          </w:rPr>
          <w:tab/>
        </w:r>
        <w:r w:rsidR="00913896" w:rsidRPr="007B4794">
          <w:rPr>
            <w:webHidden/>
            <w:color w:val="000000" w:themeColor="text1"/>
          </w:rPr>
          <w:fldChar w:fldCharType="begin"/>
        </w:r>
        <w:r w:rsidR="00913896" w:rsidRPr="007B4794">
          <w:rPr>
            <w:webHidden/>
            <w:color w:val="000000" w:themeColor="text1"/>
          </w:rPr>
          <w:instrText xml:space="preserve"> PAGEREF _Toc54016596 \h </w:instrText>
        </w:r>
        <w:r w:rsidR="00913896" w:rsidRPr="007B4794">
          <w:rPr>
            <w:webHidden/>
            <w:color w:val="000000" w:themeColor="text1"/>
          </w:rPr>
        </w:r>
        <w:r w:rsidR="00913896" w:rsidRPr="007B4794">
          <w:rPr>
            <w:webHidden/>
            <w:color w:val="000000" w:themeColor="text1"/>
          </w:rPr>
          <w:fldChar w:fldCharType="separate"/>
        </w:r>
        <w:r w:rsidR="00D30D68" w:rsidRPr="007B4794">
          <w:rPr>
            <w:webHidden/>
            <w:color w:val="000000" w:themeColor="text1"/>
          </w:rPr>
          <w:t>37</w:t>
        </w:r>
        <w:r w:rsidR="00913896" w:rsidRPr="007B4794">
          <w:rPr>
            <w:webHidden/>
            <w:color w:val="000000" w:themeColor="text1"/>
          </w:rPr>
          <w:fldChar w:fldCharType="end"/>
        </w:r>
      </w:hyperlink>
    </w:p>
    <w:p w14:paraId="3DF2DF0A" w14:textId="3CE2E840" w:rsidR="00913896" w:rsidRPr="007B4794" w:rsidRDefault="00447D63">
      <w:pPr>
        <w:pStyle w:val="20"/>
        <w:rPr>
          <w:rFonts w:asciiTheme="minorHAnsi" w:eastAsiaTheme="minorEastAsia" w:hAnsiTheme="minorHAnsi" w:cstheme="minorBidi"/>
          <w:smallCaps w:val="0"/>
          <w:color w:val="000000" w:themeColor="text1"/>
          <w:kern w:val="2"/>
          <w:sz w:val="21"/>
          <w:szCs w:val="22"/>
        </w:rPr>
      </w:pPr>
      <w:hyperlink w:anchor="_Toc54016597" w:history="1">
        <w:r w:rsidR="00913896" w:rsidRPr="007B4794">
          <w:rPr>
            <w:rStyle w:val="a7"/>
            <w:rFonts w:eastAsia="宋体" w:cs="Arial" w:hint="eastAsia"/>
            <w:color w:val="000000" w:themeColor="text1"/>
          </w:rPr>
          <w:t>四、区域房地产市场分析</w:t>
        </w:r>
        <w:r w:rsidR="00913896" w:rsidRPr="007B4794">
          <w:rPr>
            <w:webHidden/>
            <w:color w:val="000000" w:themeColor="text1"/>
          </w:rPr>
          <w:tab/>
        </w:r>
        <w:r w:rsidR="00913896" w:rsidRPr="007B4794">
          <w:rPr>
            <w:webHidden/>
            <w:color w:val="000000" w:themeColor="text1"/>
          </w:rPr>
          <w:fldChar w:fldCharType="begin"/>
        </w:r>
        <w:r w:rsidR="00913896" w:rsidRPr="007B4794">
          <w:rPr>
            <w:webHidden/>
            <w:color w:val="000000" w:themeColor="text1"/>
          </w:rPr>
          <w:instrText xml:space="preserve"> PAGEREF _Toc54016597 \h </w:instrText>
        </w:r>
        <w:r w:rsidR="00913896" w:rsidRPr="007B4794">
          <w:rPr>
            <w:webHidden/>
            <w:color w:val="000000" w:themeColor="text1"/>
          </w:rPr>
        </w:r>
        <w:r w:rsidR="00913896" w:rsidRPr="007B4794">
          <w:rPr>
            <w:webHidden/>
            <w:color w:val="000000" w:themeColor="text1"/>
          </w:rPr>
          <w:fldChar w:fldCharType="separate"/>
        </w:r>
        <w:r w:rsidR="00D30D68" w:rsidRPr="007B4794">
          <w:rPr>
            <w:webHidden/>
            <w:color w:val="000000" w:themeColor="text1"/>
          </w:rPr>
          <w:t>44</w:t>
        </w:r>
        <w:r w:rsidR="00913896" w:rsidRPr="007B4794">
          <w:rPr>
            <w:webHidden/>
            <w:color w:val="000000" w:themeColor="text1"/>
          </w:rPr>
          <w:fldChar w:fldCharType="end"/>
        </w:r>
      </w:hyperlink>
    </w:p>
    <w:p w14:paraId="29635CA0" w14:textId="67F4B770" w:rsidR="00913896" w:rsidRPr="007B4794" w:rsidRDefault="00447D63">
      <w:pPr>
        <w:pStyle w:val="20"/>
        <w:rPr>
          <w:rFonts w:asciiTheme="minorHAnsi" w:eastAsiaTheme="minorEastAsia" w:hAnsiTheme="minorHAnsi" w:cstheme="minorBidi"/>
          <w:smallCaps w:val="0"/>
          <w:color w:val="000000" w:themeColor="text1"/>
          <w:kern w:val="2"/>
          <w:sz w:val="21"/>
          <w:szCs w:val="22"/>
        </w:rPr>
      </w:pPr>
      <w:hyperlink w:anchor="_Toc54016598" w:history="1">
        <w:r w:rsidR="00913896" w:rsidRPr="007B4794">
          <w:rPr>
            <w:rStyle w:val="a7"/>
            <w:rFonts w:eastAsia="宋体" w:cs="Arial" w:hint="eastAsia"/>
            <w:color w:val="000000" w:themeColor="text1"/>
          </w:rPr>
          <w:t>五、项目周边部分在售居住项目分析</w:t>
        </w:r>
        <w:r w:rsidR="00913896" w:rsidRPr="007B4794">
          <w:rPr>
            <w:webHidden/>
            <w:color w:val="000000" w:themeColor="text1"/>
          </w:rPr>
          <w:tab/>
        </w:r>
        <w:r w:rsidR="00913896" w:rsidRPr="007B4794">
          <w:rPr>
            <w:webHidden/>
            <w:color w:val="000000" w:themeColor="text1"/>
          </w:rPr>
          <w:fldChar w:fldCharType="begin"/>
        </w:r>
        <w:r w:rsidR="00913896" w:rsidRPr="007B4794">
          <w:rPr>
            <w:webHidden/>
            <w:color w:val="000000" w:themeColor="text1"/>
          </w:rPr>
          <w:instrText xml:space="preserve"> PAGEREF _Toc54016598 \h </w:instrText>
        </w:r>
        <w:r w:rsidR="00913896" w:rsidRPr="007B4794">
          <w:rPr>
            <w:webHidden/>
            <w:color w:val="000000" w:themeColor="text1"/>
          </w:rPr>
        </w:r>
        <w:r w:rsidR="00913896" w:rsidRPr="007B4794">
          <w:rPr>
            <w:webHidden/>
            <w:color w:val="000000" w:themeColor="text1"/>
          </w:rPr>
          <w:fldChar w:fldCharType="separate"/>
        </w:r>
        <w:r w:rsidR="00D30D68" w:rsidRPr="007B4794">
          <w:rPr>
            <w:webHidden/>
            <w:color w:val="000000" w:themeColor="text1"/>
          </w:rPr>
          <w:t>45</w:t>
        </w:r>
        <w:r w:rsidR="00913896" w:rsidRPr="007B4794">
          <w:rPr>
            <w:webHidden/>
            <w:color w:val="000000" w:themeColor="text1"/>
          </w:rPr>
          <w:fldChar w:fldCharType="end"/>
        </w:r>
      </w:hyperlink>
    </w:p>
    <w:p w14:paraId="63E51F5E" w14:textId="322E3BE0" w:rsidR="00913896" w:rsidRPr="007B4794" w:rsidRDefault="00447D63">
      <w:pPr>
        <w:pStyle w:val="10"/>
        <w:rPr>
          <w:rFonts w:asciiTheme="minorHAnsi" w:eastAsiaTheme="minorEastAsia" w:hAnsiTheme="minorHAnsi" w:cstheme="minorBidi"/>
          <w:b w:val="0"/>
          <w:bCs w:val="0"/>
          <w:caps w:val="0"/>
          <w:color w:val="000000" w:themeColor="text1"/>
          <w:kern w:val="2"/>
          <w:sz w:val="21"/>
          <w:szCs w:val="22"/>
        </w:rPr>
      </w:pPr>
      <w:hyperlink w:anchor="_Toc54016599" w:history="1">
        <w:r w:rsidR="00913896" w:rsidRPr="007B4794">
          <w:rPr>
            <w:rStyle w:val="a7"/>
            <w:rFonts w:eastAsia="方正黑体简体" w:hint="eastAsia"/>
            <w:color w:val="000000" w:themeColor="text1"/>
          </w:rPr>
          <w:t>第五章</w:t>
        </w:r>
        <w:r w:rsidR="00913896" w:rsidRPr="007B4794">
          <w:rPr>
            <w:rStyle w:val="a7"/>
            <w:rFonts w:eastAsia="方正黑体简体"/>
            <w:color w:val="000000" w:themeColor="text1"/>
          </w:rPr>
          <w:t xml:space="preserve">  </w:t>
        </w:r>
        <w:r w:rsidR="00913896" w:rsidRPr="007B4794">
          <w:rPr>
            <w:rStyle w:val="a7"/>
            <w:rFonts w:eastAsia="方正黑体简体" w:hint="eastAsia"/>
            <w:color w:val="000000" w:themeColor="text1"/>
          </w:rPr>
          <w:t>项目市场竞争能力分析</w:t>
        </w:r>
        <w:r w:rsidR="00913896" w:rsidRPr="007B4794">
          <w:rPr>
            <w:webHidden/>
            <w:color w:val="000000" w:themeColor="text1"/>
          </w:rPr>
          <w:tab/>
        </w:r>
        <w:r w:rsidR="00913896" w:rsidRPr="007B4794">
          <w:rPr>
            <w:webHidden/>
            <w:color w:val="000000" w:themeColor="text1"/>
          </w:rPr>
          <w:fldChar w:fldCharType="begin"/>
        </w:r>
        <w:r w:rsidR="00913896" w:rsidRPr="007B4794">
          <w:rPr>
            <w:webHidden/>
            <w:color w:val="000000" w:themeColor="text1"/>
          </w:rPr>
          <w:instrText xml:space="preserve"> PAGEREF _Toc54016599 \h </w:instrText>
        </w:r>
        <w:r w:rsidR="00913896" w:rsidRPr="007B4794">
          <w:rPr>
            <w:webHidden/>
            <w:color w:val="000000" w:themeColor="text1"/>
          </w:rPr>
        </w:r>
        <w:r w:rsidR="00913896" w:rsidRPr="007B4794">
          <w:rPr>
            <w:webHidden/>
            <w:color w:val="000000" w:themeColor="text1"/>
          </w:rPr>
          <w:fldChar w:fldCharType="separate"/>
        </w:r>
        <w:r w:rsidR="00D30D68" w:rsidRPr="007B4794">
          <w:rPr>
            <w:webHidden/>
            <w:color w:val="000000" w:themeColor="text1"/>
          </w:rPr>
          <w:t>50</w:t>
        </w:r>
        <w:r w:rsidR="00913896" w:rsidRPr="007B4794">
          <w:rPr>
            <w:webHidden/>
            <w:color w:val="000000" w:themeColor="text1"/>
          </w:rPr>
          <w:fldChar w:fldCharType="end"/>
        </w:r>
      </w:hyperlink>
    </w:p>
    <w:p w14:paraId="67F150A8" w14:textId="32BBC157" w:rsidR="00913896" w:rsidRPr="007B4794" w:rsidRDefault="00447D63">
      <w:pPr>
        <w:pStyle w:val="20"/>
        <w:rPr>
          <w:rFonts w:asciiTheme="minorHAnsi" w:eastAsiaTheme="minorEastAsia" w:hAnsiTheme="minorHAnsi" w:cstheme="minorBidi"/>
          <w:smallCaps w:val="0"/>
          <w:color w:val="000000" w:themeColor="text1"/>
          <w:kern w:val="2"/>
          <w:sz w:val="21"/>
          <w:szCs w:val="22"/>
        </w:rPr>
      </w:pPr>
      <w:hyperlink w:anchor="_Toc54016600" w:history="1">
        <w:r w:rsidR="00913896" w:rsidRPr="007B4794">
          <w:rPr>
            <w:rStyle w:val="a7"/>
            <w:rFonts w:eastAsia="宋体" w:cs="Arial" w:hint="eastAsia"/>
            <w:color w:val="000000" w:themeColor="text1"/>
          </w:rPr>
          <w:t>一、项目区位分析</w:t>
        </w:r>
        <w:r w:rsidR="00913896" w:rsidRPr="007B4794">
          <w:rPr>
            <w:webHidden/>
            <w:color w:val="000000" w:themeColor="text1"/>
          </w:rPr>
          <w:tab/>
        </w:r>
        <w:r w:rsidR="00913896" w:rsidRPr="007B4794">
          <w:rPr>
            <w:webHidden/>
            <w:color w:val="000000" w:themeColor="text1"/>
          </w:rPr>
          <w:fldChar w:fldCharType="begin"/>
        </w:r>
        <w:r w:rsidR="00913896" w:rsidRPr="007B4794">
          <w:rPr>
            <w:webHidden/>
            <w:color w:val="000000" w:themeColor="text1"/>
          </w:rPr>
          <w:instrText xml:space="preserve"> PAGEREF _Toc54016600 \h </w:instrText>
        </w:r>
        <w:r w:rsidR="00913896" w:rsidRPr="007B4794">
          <w:rPr>
            <w:webHidden/>
            <w:color w:val="000000" w:themeColor="text1"/>
          </w:rPr>
        </w:r>
        <w:r w:rsidR="00913896" w:rsidRPr="007B4794">
          <w:rPr>
            <w:webHidden/>
            <w:color w:val="000000" w:themeColor="text1"/>
          </w:rPr>
          <w:fldChar w:fldCharType="separate"/>
        </w:r>
        <w:r w:rsidR="00D30D68" w:rsidRPr="007B4794">
          <w:rPr>
            <w:webHidden/>
            <w:color w:val="000000" w:themeColor="text1"/>
          </w:rPr>
          <w:t>50</w:t>
        </w:r>
        <w:r w:rsidR="00913896" w:rsidRPr="007B4794">
          <w:rPr>
            <w:webHidden/>
            <w:color w:val="000000" w:themeColor="text1"/>
          </w:rPr>
          <w:fldChar w:fldCharType="end"/>
        </w:r>
      </w:hyperlink>
    </w:p>
    <w:p w14:paraId="2FB0325F" w14:textId="67F4EC96" w:rsidR="00913896" w:rsidRPr="007B4794" w:rsidRDefault="00447D63">
      <w:pPr>
        <w:pStyle w:val="20"/>
        <w:rPr>
          <w:rFonts w:asciiTheme="minorHAnsi" w:eastAsiaTheme="minorEastAsia" w:hAnsiTheme="minorHAnsi" w:cstheme="minorBidi"/>
          <w:smallCaps w:val="0"/>
          <w:color w:val="000000" w:themeColor="text1"/>
          <w:kern w:val="2"/>
          <w:sz w:val="21"/>
          <w:szCs w:val="22"/>
        </w:rPr>
      </w:pPr>
      <w:hyperlink w:anchor="_Toc54016601" w:history="1">
        <w:r w:rsidR="00913896" w:rsidRPr="007B4794">
          <w:rPr>
            <w:rStyle w:val="a7"/>
            <w:rFonts w:eastAsia="宋体" w:cs="Arial" w:hint="eastAsia"/>
            <w:color w:val="000000" w:themeColor="text1"/>
          </w:rPr>
          <w:t>二、项目产品定位</w:t>
        </w:r>
        <w:r w:rsidR="00913896" w:rsidRPr="007B4794">
          <w:rPr>
            <w:webHidden/>
            <w:color w:val="000000" w:themeColor="text1"/>
          </w:rPr>
          <w:tab/>
        </w:r>
        <w:r w:rsidR="00913896" w:rsidRPr="007B4794">
          <w:rPr>
            <w:webHidden/>
            <w:color w:val="000000" w:themeColor="text1"/>
          </w:rPr>
          <w:fldChar w:fldCharType="begin"/>
        </w:r>
        <w:r w:rsidR="00913896" w:rsidRPr="007B4794">
          <w:rPr>
            <w:webHidden/>
            <w:color w:val="000000" w:themeColor="text1"/>
          </w:rPr>
          <w:instrText xml:space="preserve"> PAGEREF _Toc54016601 \h </w:instrText>
        </w:r>
        <w:r w:rsidR="00913896" w:rsidRPr="007B4794">
          <w:rPr>
            <w:webHidden/>
            <w:color w:val="000000" w:themeColor="text1"/>
          </w:rPr>
        </w:r>
        <w:r w:rsidR="00913896" w:rsidRPr="007B4794">
          <w:rPr>
            <w:webHidden/>
            <w:color w:val="000000" w:themeColor="text1"/>
          </w:rPr>
          <w:fldChar w:fldCharType="separate"/>
        </w:r>
        <w:r w:rsidR="00D30D68" w:rsidRPr="007B4794">
          <w:rPr>
            <w:webHidden/>
            <w:color w:val="000000" w:themeColor="text1"/>
          </w:rPr>
          <w:t>51</w:t>
        </w:r>
        <w:r w:rsidR="00913896" w:rsidRPr="007B4794">
          <w:rPr>
            <w:webHidden/>
            <w:color w:val="000000" w:themeColor="text1"/>
          </w:rPr>
          <w:fldChar w:fldCharType="end"/>
        </w:r>
      </w:hyperlink>
    </w:p>
    <w:p w14:paraId="15892B39" w14:textId="3A25295C" w:rsidR="00913896" w:rsidRPr="007B4794" w:rsidRDefault="00447D63">
      <w:pPr>
        <w:pStyle w:val="20"/>
        <w:rPr>
          <w:rFonts w:asciiTheme="minorHAnsi" w:eastAsiaTheme="minorEastAsia" w:hAnsiTheme="minorHAnsi" w:cstheme="minorBidi"/>
          <w:smallCaps w:val="0"/>
          <w:color w:val="000000" w:themeColor="text1"/>
          <w:kern w:val="2"/>
          <w:sz w:val="21"/>
          <w:szCs w:val="22"/>
        </w:rPr>
      </w:pPr>
      <w:hyperlink w:anchor="_Toc54016602" w:history="1">
        <w:r w:rsidR="00913896" w:rsidRPr="007B4794">
          <w:rPr>
            <w:rStyle w:val="a7"/>
            <w:rFonts w:eastAsia="宋体" w:cs="Arial" w:hint="eastAsia"/>
            <w:color w:val="000000" w:themeColor="text1"/>
          </w:rPr>
          <w:t>三、项目</w:t>
        </w:r>
        <w:r w:rsidR="00913896" w:rsidRPr="007B4794">
          <w:rPr>
            <w:rStyle w:val="a7"/>
            <w:rFonts w:eastAsia="宋体" w:cs="Arial"/>
            <w:color w:val="000000" w:themeColor="text1"/>
          </w:rPr>
          <w:t>SWOT</w:t>
        </w:r>
        <w:r w:rsidR="00913896" w:rsidRPr="007B4794">
          <w:rPr>
            <w:rStyle w:val="a7"/>
            <w:rFonts w:eastAsia="宋体" w:cs="Arial" w:hint="eastAsia"/>
            <w:color w:val="000000" w:themeColor="text1"/>
          </w:rPr>
          <w:t>分析</w:t>
        </w:r>
        <w:r w:rsidR="00913896" w:rsidRPr="007B4794">
          <w:rPr>
            <w:webHidden/>
            <w:color w:val="000000" w:themeColor="text1"/>
          </w:rPr>
          <w:tab/>
        </w:r>
        <w:r w:rsidR="00913896" w:rsidRPr="007B4794">
          <w:rPr>
            <w:webHidden/>
            <w:color w:val="000000" w:themeColor="text1"/>
          </w:rPr>
          <w:fldChar w:fldCharType="begin"/>
        </w:r>
        <w:r w:rsidR="00913896" w:rsidRPr="007B4794">
          <w:rPr>
            <w:webHidden/>
            <w:color w:val="000000" w:themeColor="text1"/>
          </w:rPr>
          <w:instrText xml:space="preserve"> PAGEREF _Toc54016602 \h </w:instrText>
        </w:r>
        <w:r w:rsidR="00913896" w:rsidRPr="007B4794">
          <w:rPr>
            <w:webHidden/>
            <w:color w:val="000000" w:themeColor="text1"/>
          </w:rPr>
        </w:r>
        <w:r w:rsidR="00913896" w:rsidRPr="007B4794">
          <w:rPr>
            <w:webHidden/>
            <w:color w:val="000000" w:themeColor="text1"/>
          </w:rPr>
          <w:fldChar w:fldCharType="separate"/>
        </w:r>
        <w:r w:rsidR="00D30D68" w:rsidRPr="007B4794">
          <w:rPr>
            <w:webHidden/>
            <w:color w:val="000000" w:themeColor="text1"/>
          </w:rPr>
          <w:t>51</w:t>
        </w:r>
        <w:r w:rsidR="00913896" w:rsidRPr="007B4794">
          <w:rPr>
            <w:webHidden/>
            <w:color w:val="000000" w:themeColor="text1"/>
          </w:rPr>
          <w:fldChar w:fldCharType="end"/>
        </w:r>
      </w:hyperlink>
    </w:p>
    <w:p w14:paraId="4A4BF2D6" w14:textId="3EB0735B" w:rsidR="00913896" w:rsidRPr="007B4794" w:rsidRDefault="00447D63">
      <w:pPr>
        <w:pStyle w:val="20"/>
        <w:rPr>
          <w:rFonts w:asciiTheme="minorHAnsi" w:eastAsiaTheme="minorEastAsia" w:hAnsiTheme="minorHAnsi" w:cstheme="minorBidi"/>
          <w:smallCaps w:val="0"/>
          <w:color w:val="000000" w:themeColor="text1"/>
          <w:kern w:val="2"/>
          <w:sz w:val="21"/>
          <w:szCs w:val="22"/>
        </w:rPr>
      </w:pPr>
      <w:hyperlink w:anchor="_Toc54016603" w:history="1">
        <w:r w:rsidR="00913896" w:rsidRPr="007B4794">
          <w:rPr>
            <w:rStyle w:val="a7"/>
            <w:rFonts w:eastAsia="宋体" w:cs="Arial" w:hint="eastAsia"/>
            <w:color w:val="000000" w:themeColor="text1"/>
          </w:rPr>
          <w:t>四、项目价格定位</w:t>
        </w:r>
        <w:r w:rsidR="00913896" w:rsidRPr="007B4794">
          <w:rPr>
            <w:webHidden/>
            <w:color w:val="000000" w:themeColor="text1"/>
          </w:rPr>
          <w:tab/>
        </w:r>
        <w:r w:rsidR="00913896" w:rsidRPr="007B4794">
          <w:rPr>
            <w:webHidden/>
            <w:color w:val="000000" w:themeColor="text1"/>
          </w:rPr>
          <w:fldChar w:fldCharType="begin"/>
        </w:r>
        <w:r w:rsidR="00913896" w:rsidRPr="007B4794">
          <w:rPr>
            <w:webHidden/>
            <w:color w:val="000000" w:themeColor="text1"/>
          </w:rPr>
          <w:instrText xml:space="preserve"> PAGEREF _Toc54016603 \h </w:instrText>
        </w:r>
        <w:r w:rsidR="00913896" w:rsidRPr="007B4794">
          <w:rPr>
            <w:webHidden/>
            <w:color w:val="000000" w:themeColor="text1"/>
          </w:rPr>
        </w:r>
        <w:r w:rsidR="00913896" w:rsidRPr="007B4794">
          <w:rPr>
            <w:webHidden/>
            <w:color w:val="000000" w:themeColor="text1"/>
          </w:rPr>
          <w:fldChar w:fldCharType="separate"/>
        </w:r>
        <w:r w:rsidR="00D30D68" w:rsidRPr="007B4794">
          <w:rPr>
            <w:webHidden/>
            <w:color w:val="000000" w:themeColor="text1"/>
          </w:rPr>
          <w:t>52</w:t>
        </w:r>
        <w:r w:rsidR="00913896" w:rsidRPr="007B4794">
          <w:rPr>
            <w:webHidden/>
            <w:color w:val="000000" w:themeColor="text1"/>
          </w:rPr>
          <w:fldChar w:fldCharType="end"/>
        </w:r>
      </w:hyperlink>
    </w:p>
    <w:p w14:paraId="5EAFE05F" w14:textId="12464819" w:rsidR="00913896" w:rsidRPr="007B4794" w:rsidRDefault="00447D63">
      <w:pPr>
        <w:pStyle w:val="20"/>
        <w:rPr>
          <w:rFonts w:asciiTheme="minorHAnsi" w:eastAsiaTheme="minorEastAsia" w:hAnsiTheme="minorHAnsi" w:cstheme="minorBidi"/>
          <w:smallCaps w:val="0"/>
          <w:color w:val="000000" w:themeColor="text1"/>
          <w:kern w:val="2"/>
          <w:sz w:val="21"/>
          <w:szCs w:val="22"/>
        </w:rPr>
      </w:pPr>
      <w:hyperlink w:anchor="_Toc54016604" w:history="1">
        <w:r w:rsidR="00913896" w:rsidRPr="007B4794">
          <w:rPr>
            <w:rStyle w:val="a7"/>
            <w:rFonts w:eastAsia="宋体" w:cs="Arial" w:hint="eastAsia"/>
            <w:color w:val="000000" w:themeColor="text1"/>
          </w:rPr>
          <w:t>五、项目销售计划。</w:t>
        </w:r>
        <w:r w:rsidR="00913896" w:rsidRPr="007B4794">
          <w:rPr>
            <w:webHidden/>
            <w:color w:val="000000" w:themeColor="text1"/>
          </w:rPr>
          <w:tab/>
        </w:r>
        <w:r w:rsidR="00913896" w:rsidRPr="007B4794">
          <w:rPr>
            <w:webHidden/>
            <w:color w:val="000000" w:themeColor="text1"/>
          </w:rPr>
          <w:fldChar w:fldCharType="begin"/>
        </w:r>
        <w:r w:rsidR="00913896" w:rsidRPr="007B4794">
          <w:rPr>
            <w:webHidden/>
            <w:color w:val="000000" w:themeColor="text1"/>
          </w:rPr>
          <w:instrText xml:space="preserve"> PAGEREF _Toc54016604 \h </w:instrText>
        </w:r>
        <w:r w:rsidR="00913896" w:rsidRPr="007B4794">
          <w:rPr>
            <w:webHidden/>
            <w:color w:val="000000" w:themeColor="text1"/>
          </w:rPr>
        </w:r>
        <w:r w:rsidR="00913896" w:rsidRPr="007B4794">
          <w:rPr>
            <w:webHidden/>
            <w:color w:val="000000" w:themeColor="text1"/>
          </w:rPr>
          <w:fldChar w:fldCharType="separate"/>
        </w:r>
        <w:r w:rsidR="00D30D68" w:rsidRPr="007B4794">
          <w:rPr>
            <w:webHidden/>
            <w:color w:val="000000" w:themeColor="text1"/>
          </w:rPr>
          <w:t>52</w:t>
        </w:r>
        <w:r w:rsidR="00913896" w:rsidRPr="007B4794">
          <w:rPr>
            <w:webHidden/>
            <w:color w:val="000000" w:themeColor="text1"/>
          </w:rPr>
          <w:fldChar w:fldCharType="end"/>
        </w:r>
      </w:hyperlink>
    </w:p>
    <w:p w14:paraId="1C3F742E" w14:textId="2D4898FC" w:rsidR="00913896" w:rsidRPr="007B4794" w:rsidRDefault="00447D63">
      <w:pPr>
        <w:pStyle w:val="10"/>
        <w:rPr>
          <w:rFonts w:asciiTheme="minorHAnsi" w:eastAsiaTheme="minorEastAsia" w:hAnsiTheme="minorHAnsi" w:cstheme="minorBidi"/>
          <w:b w:val="0"/>
          <w:bCs w:val="0"/>
          <w:caps w:val="0"/>
          <w:color w:val="000000" w:themeColor="text1"/>
          <w:kern w:val="2"/>
          <w:sz w:val="21"/>
          <w:szCs w:val="22"/>
        </w:rPr>
      </w:pPr>
      <w:hyperlink w:anchor="_Toc54016605" w:history="1">
        <w:r w:rsidR="00913896" w:rsidRPr="007B4794">
          <w:rPr>
            <w:rStyle w:val="a7"/>
            <w:rFonts w:eastAsia="方正黑体简体" w:hint="eastAsia"/>
            <w:color w:val="000000" w:themeColor="text1"/>
          </w:rPr>
          <w:t>第六章</w:t>
        </w:r>
        <w:r w:rsidR="00913896" w:rsidRPr="007B4794">
          <w:rPr>
            <w:rStyle w:val="a7"/>
            <w:rFonts w:eastAsia="方正黑体简体"/>
            <w:color w:val="000000" w:themeColor="text1"/>
          </w:rPr>
          <w:t xml:space="preserve">  </w:t>
        </w:r>
        <w:r w:rsidR="00913896" w:rsidRPr="007B4794">
          <w:rPr>
            <w:rStyle w:val="a7"/>
            <w:rFonts w:eastAsia="方正黑体简体" w:hint="eastAsia"/>
            <w:color w:val="000000" w:themeColor="text1"/>
          </w:rPr>
          <w:t>市场调研结论与建议</w:t>
        </w:r>
        <w:r w:rsidR="00913896" w:rsidRPr="007B4794">
          <w:rPr>
            <w:webHidden/>
            <w:color w:val="000000" w:themeColor="text1"/>
          </w:rPr>
          <w:tab/>
        </w:r>
        <w:r w:rsidR="00913896" w:rsidRPr="007B4794">
          <w:rPr>
            <w:webHidden/>
            <w:color w:val="000000" w:themeColor="text1"/>
          </w:rPr>
          <w:fldChar w:fldCharType="begin"/>
        </w:r>
        <w:r w:rsidR="00913896" w:rsidRPr="007B4794">
          <w:rPr>
            <w:webHidden/>
            <w:color w:val="000000" w:themeColor="text1"/>
          </w:rPr>
          <w:instrText xml:space="preserve"> PAGEREF _Toc54016605 \h </w:instrText>
        </w:r>
        <w:r w:rsidR="00913896" w:rsidRPr="007B4794">
          <w:rPr>
            <w:webHidden/>
            <w:color w:val="000000" w:themeColor="text1"/>
          </w:rPr>
        </w:r>
        <w:r w:rsidR="00913896" w:rsidRPr="007B4794">
          <w:rPr>
            <w:webHidden/>
            <w:color w:val="000000" w:themeColor="text1"/>
          </w:rPr>
          <w:fldChar w:fldCharType="separate"/>
        </w:r>
        <w:r w:rsidR="00D30D68" w:rsidRPr="007B4794">
          <w:rPr>
            <w:webHidden/>
            <w:color w:val="000000" w:themeColor="text1"/>
          </w:rPr>
          <w:t>56</w:t>
        </w:r>
        <w:r w:rsidR="00913896" w:rsidRPr="007B4794">
          <w:rPr>
            <w:webHidden/>
            <w:color w:val="000000" w:themeColor="text1"/>
          </w:rPr>
          <w:fldChar w:fldCharType="end"/>
        </w:r>
      </w:hyperlink>
    </w:p>
    <w:p w14:paraId="4958D01E" w14:textId="5521D456" w:rsidR="00913896" w:rsidRPr="007B4794" w:rsidRDefault="00447D63">
      <w:pPr>
        <w:pStyle w:val="20"/>
        <w:rPr>
          <w:rFonts w:asciiTheme="minorHAnsi" w:eastAsiaTheme="minorEastAsia" w:hAnsiTheme="minorHAnsi" w:cstheme="minorBidi"/>
          <w:smallCaps w:val="0"/>
          <w:color w:val="000000" w:themeColor="text1"/>
          <w:kern w:val="2"/>
          <w:sz w:val="21"/>
          <w:szCs w:val="22"/>
        </w:rPr>
      </w:pPr>
      <w:hyperlink w:anchor="_Toc54016606" w:history="1">
        <w:r w:rsidR="00913896" w:rsidRPr="007B4794">
          <w:rPr>
            <w:rStyle w:val="a7"/>
            <w:rFonts w:eastAsia="宋体" w:cs="Arial" w:hint="eastAsia"/>
            <w:color w:val="000000" w:themeColor="text1"/>
          </w:rPr>
          <w:t>一、宏观环境良好</w:t>
        </w:r>
        <w:r w:rsidR="00913896" w:rsidRPr="007B4794">
          <w:rPr>
            <w:webHidden/>
            <w:color w:val="000000" w:themeColor="text1"/>
          </w:rPr>
          <w:tab/>
        </w:r>
        <w:r w:rsidR="00913896" w:rsidRPr="007B4794">
          <w:rPr>
            <w:webHidden/>
            <w:color w:val="000000" w:themeColor="text1"/>
          </w:rPr>
          <w:fldChar w:fldCharType="begin"/>
        </w:r>
        <w:r w:rsidR="00913896" w:rsidRPr="007B4794">
          <w:rPr>
            <w:webHidden/>
            <w:color w:val="000000" w:themeColor="text1"/>
          </w:rPr>
          <w:instrText xml:space="preserve"> PAGEREF _Toc54016606 \h </w:instrText>
        </w:r>
        <w:r w:rsidR="00913896" w:rsidRPr="007B4794">
          <w:rPr>
            <w:webHidden/>
            <w:color w:val="000000" w:themeColor="text1"/>
          </w:rPr>
        </w:r>
        <w:r w:rsidR="00913896" w:rsidRPr="007B4794">
          <w:rPr>
            <w:webHidden/>
            <w:color w:val="000000" w:themeColor="text1"/>
          </w:rPr>
          <w:fldChar w:fldCharType="separate"/>
        </w:r>
        <w:r w:rsidR="00D30D68" w:rsidRPr="007B4794">
          <w:rPr>
            <w:webHidden/>
            <w:color w:val="000000" w:themeColor="text1"/>
          </w:rPr>
          <w:t>56</w:t>
        </w:r>
        <w:r w:rsidR="00913896" w:rsidRPr="007B4794">
          <w:rPr>
            <w:webHidden/>
            <w:color w:val="000000" w:themeColor="text1"/>
          </w:rPr>
          <w:fldChar w:fldCharType="end"/>
        </w:r>
      </w:hyperlink>
    </w:p>
    <w:p w14:paraId="6F34ECB5" w14:textId="0DDBCA73" w:rsidR="00913896" w:rsidRPr="007B4794" w:rsidRDefault="00447D63">
      <w:pPr>
        <w:pStyle w:val="20"/>
        <w:rPr>
          <w:rFonts w:asciiTheme="minorHAnsi" w:eastAsiaTheme="minorEastAsia" w:hAnsiTheme="minorHAnsi" w:cstheme="minorBidi"/>
          <w:smallCaps w:val="0"/>
          <w:color w:val="000000" w:themeColor="text1"/>
          <w:kern w:val="2"/>
          <w:sz w:val="21"/>
          <w:szCs w:val="22"/>
        </w:rPr>
      </w:pPr>
      <w:hyperlink w:anchor="_Toc54016607" w:history="1">
        <w:r w:rsidR="00913896" w:rsidRPr="007B4794">
          <w:rPr>
            <w:rStyle w:val="a7"/>
            <w:rFonts w:eastAsia="宋体" w:cs="Arial" w:hint="eastAsia"/>
            <w:color w:val="000000" w:themeColor="text1"/>
          </w:rPr>
          <w:t>二、房地产市场状况平稳</w:t>
        </w:r>
        <w:r w:rsidR="00913896" w:rsidRPr="007B4794">
          <w:rPr>
            <w:webHidden/>
            <w:color w:val="000000" w:themeColor="text1"/>
          </w:rPr>
          <w:tab/>
        </w:r>
        <w:r w:rsidR="00913896" w:rsidRPr="007B4794">
          <w:rPr>
            <w:webHidden/>
            <w:color w:val="000000" w:themeColor="text1"/>
          </w:rPr>
          <w:fldChar w:fldCharType="begin"/>
        </w:r>
        <w:r w:rsidR="00913896" w:rsidRPr="007B4794">
          <w:rPr>
            <w:webHidden/>
            <w:color w:val="000000" w:themeColor="text1"/>
          </w:rPr>
          <w:instrText xml:space="preserve"> PAGEREF _Toc54016607 \h </w:instrText>
        </w:r>
        <w:r w:rsidR="00913896" w:rsidRPr="007B4794">
          <w:rPr>
            <w:webHidden/>
            <w:color w:val="000000" w:themeColor="text1"/>
          </w:rPr>
        </w:r>
        <w:r w:rsidR="00913896" w:rsidRPr="007B4794">
          <w:rPr>
            <w:webHidden/>
            <w:color w:val="000000" w:themeColor="text1"/>
          </w:rPr>
          <w:fldChar w:fldCharType="separate"/>
        </w:r>
        <w:r w:rsidR="00D30D68" w:rsidRPr="007B4794">
          <w:rPr>
            <w:webHidden/>
            <w:color w:val="000000" w:themeColor="text1"/>
          </w:rPr>
          <w:t>56</w:t>
        </w:r>
        <w:r w:rsidR="00913896" w:rsidRPr="007B4794">
          <w:rPr>
            <w:webHidden/>
            <w:color w:val="000000" w:themeColor="text1"/>
          </w:rPr>
          <w:fldChar w:fldCharType="end"/>
        </w:r>
      </w:hyperlink>
    </w:p>
    <w:p w14:paraId="5C69C57A" w14:textId="43F26423" w:rsidR="00913896" w:rsidRPr="007B4794" w:rsidRDefault="00447D63">
      <w:pPr>
        <w:pStyle w:val="20"/>
        <w:rPr>
          <w:rFonts w:asciiTheme="minorHAnsi" w:eastAsiaTheme="minorEastAsia" w:hAnsiTheme="minorHAnsi" w:cstheme="minorBidi"/>
          <w:smallCaps w:val="0"/>
          <w:color w:val="000000" w:themeColor="text1"/>
          <w:kern w:val="2"/>
          <w:sz w:val="21"/>
          <w:szCs w:val="22"/>
        </w:rPr>
      </w:pPr>
      <w:hyperlink w:anchor="_Toc54016608" w:history="1">
        <w:r w:rsidR="00913896" w:rsidRPr="007B4794">
          <w:rPr>
            <w:rStyle w:val="a7"/>
            <w:rFonts w:eastAsia="宋体" w:cs="Arial" w:hint="eastAsia"/>
            <w:color w:val="000000" w:themeColor="text1"/>
          </w:rPr>
          <w:t>三、结论</w:t>
        </w:r>
        <w:r w:rsidR="00913896" w:rsidRPr="007B4794">
          <w:rPr>
            <w:webHidden/>
            <w:color w:val="000000" w:themeColor="text1"/>
          </w:rPr>
          <w:tab/>
        </w:r>
        <w:r w:rsidR="00913896" w:rsidRPr="007B4794">
          <w:rPr>
            <w:webHidden/>
            <w:color w:val="000000" w:themeColor="text1"/>
          </w:rPr>
          <w:fldChar w:fldCharType="begin"/>
        </w:r>
        <w:r w:rsidR="00913896" w:rsidRPr="007B4794">
          <w:rPr>
            <w:webHidden/>
            <w:color w:val="000000" w:themeColor="text1"/>
          </w:rPr>
          <w:instrText xml:space="preserve"> PAGEREF _Toc54016608 \h </w:instrText>
        </w:r>
        <w:r w:rsidR="00913896" w:rsidRPr="007B4794">
          <w:rPr>
            <w:webHidden/>
            <w:color w:val="000000" w:themeColor="text1"/>
          </w:rPr>
        </w:r>
        <w:r w:rsidR="00913896" w:rsidRPr="007B4794">
          <w:rPr>
            <w:webHidden/>
            <w:color w:val="000000" w:themeColor="text1"/>
          </w:rPr>
          <w:fldChar w:fldCharType="separate"/>
        </w:r>
        <w:r w:rsidR="00D30D68" w:rsidRPr="007B4794">
          <w:rPr>
            <w:webHidden/>
            <w:color w:val="000000" w:themeColor="text1"/>
          </w:rPr>
          <w:t>56</w:t>
        </w:r>
        <w:r w:rsidR="00913896" w:rsidRPr="007B4794">
          <w:rPr>
            <w:webHidden/>
            <w:color w:val="000000" w:themeColor="text1"/>
          </w:rPr>
          <w:fldChar w:fldCharType="end"/>
        </w:r>
      </w:hyperlink>
    </w:p>
    <w:p w14:paraId="60C9BE8C" w14:textId="44F85BB2" w:rsidR="00913896" w:rsidRPr="007B4794" w:rsidRDefault="00447D63">
      <w:pPr>
        <w:pStyle w:val="20"/>
        <w:rPr>
          <w:rFonts w:asciiTheme="minorHAnsi" w:eastAsiaTheme="minorEastAsia" w:hAnsiTheme="minorHAnsi" w:cstheme="minorBidi"/>
          <w:smallCaps w:val="0"/>
          <w:color w:val="000000" w:themeColor="text1"/>
          <w:kern w:val="2"/>
          <w:sz w:val="21"/>
          <w:szCs w:val="22"/>
        </w:rPr>
      </w:pPr>
      <w:hyperlink w:anchor="_Toc54016609" w:history="1">
        <w:r w:rsidR="00913896" w:rsidRPr="007B4794">
          <w:rPr>
            <w:rStyle w:val="a7"/>
            <w:rFonts w:eastAsia="宋体" w:cs="Arial" w:hint="eastAsia"/>
            <w:color w:val="000000" w:themeColor="text1"/>
          </w:rPr>
          <w:t>四、项目风险及建议</w:t>
        </w:r>
        <w:r w:rsidR="00913896" w:rsidRPr="007B4794">
          <w:rPr>
            <w:webHidden/>
            <w:color w:val="000000" w:themeColor="text1"/>
          </w:rPr>
          <w:tab/>
        </w:r>
        <w:r w:rsidR="00913896" w:rsidRPr="007B4794">
          <w:rPr>
            <w:webHidden/>
            <w:color w:val="000000" w:themeColor="text1"/>
          </w:rPr>
          <w:fldChar w:fldCharType="begin"/>
        </w:r>
        <w:r w:rsidR="00913896" w:rsidRPr="007B4794">
          <w:rPr>
            <w:webHidden/>
            <w:color w:val="000000" w:themeColor="text1"/>
          </w:rPr>
          <w:instrText xml:space="preserve"> PAGEREF _Toc54016609 \h </w:instrText>
        </w:r>
        <w:r w:rsidR="00913896" w:rsidRPr="007B4794">
          <w:rPr>
            <w:webHidden/>
            <w:color w:val="000000" w:themeColor="text1"/>
          </w:rPr>
        </w:r>
        <w:r w:rsidR="00913896" w:rsidRPr="007B4794">
          <w:rPr>
            <w:webHidden/>
            <w:color w:val="000000" w:themeColor="text1"/>
          </w:rPr>
          <w:fldChar w:fldCharType="separate"/>
        </w:r>
        <w:r w:rsidR="00D30D68" w:rsidRPr="007B4794">
          <w:rPr>
            <w:webHidden/>
            <w:color w:val="000000" w:themeColor="text1"/>
          </w:rPr>
          <w:t>56</w:t>
        </w:r>
        <w:r w:rsidR="00913896" w:rsidRPr="007B4794">
          <w:rPr>
            <w:webHidden/>
            <w:color w:val="000000" w:themeColor="text1"/>
          </w:rPr>
          <w:fldChar w:fldCharType="end"/>
        </w:r>
      </w:hyperlink>
    </w:p>
    <w:p w14:paraId="369FE9E9" w14:textId="06E2925C" w:rsidR="00913896" w:rsidRPr="007B4794" w:rsidRDefault="00447D63">
      <w:pPr>
        <w:pStyle w:val="20"/>
        <w:rPr>
          <w:rFonts w:asciiTheme="minorHAnsi" w:eastAsiaTheme="minorEastAsia" w:hAnsiTheme="minorHAnsi" w:cstheme="minorBidi"/>
          <w:smallCaps w:val="0"/>
          <w:color w:val="000000" w:themeColor="text1"/>
          <w:kern w:val="2"/>
          <w:sz w:val="21"/>
          <w:szCs w:val="22"/>
        </w:rPr>
      </w:pPr>
      <w:hyperlink w:anchor="_Toc54016610" w:history="1">
        <w:r w:rsidR="00913896" w:rsidRPr="007B4794">
          <w:rPr>
            <w:rStyle w:val="a7"/>
            <w:rFonts w:eastAsia="宋体" w:cs="Arial" w:hint="eastAsia"/>
            <w:color w:val="000000" w:themeColor="text1"/>
          </w:rPr>
          <w:t>附件：</w:t>
        </w:r>
        <w:r w:rsidR="00913896" w:rsidRPr="007B4794">
          <w:rPr>
            <w:webHidden/>
            <w:color w:val="000000" w:themeColor="text1"/>
          </w:rPr>
          <w:tab/>
        </w:r>
        <w:r w:rsidR="00913896" w:rsidRPr="007B4794">
          <w:rPr>
            <w:webHidden/>
            <w:color w:val="000000" w:themeColor="text1"/>
          </w:rPr>
          <w:fldChar w:fldCharType="begin"/>
        </w:r>
        <w:r w:rsidR="00913896" w:rsidRPr="007B4794">
          <w:rPr>
            <w:webHidden/>
            <w:color w:val="000000" w:themeColor="text1"/>
          </w:rPr>
          <w:instrText xml:space="preserve"> PAGEREF _Toc54016610 \h </w:instrText>
        </w:r>
        <w:r w:rsidR="00913896" w:rsidRPr="007B4794">
          <w:rPr>
            <w:webHidden/>
            <w:color w:val="000000" w:themeColor="text1"/>
          </w:rPr>
        </w:r>
        <w:r w:rsidR="00913896" w:rsidRPr="007B4794">
          <w:rPr>
            <w:webHidden/>
            <w:color w:val="000000" w:themeColor="text1"/>
          </w:rPr>
          <w:fldChar w:fldCharType="separate"/>
        </w:r>
        <w:r w:rsidR="00D30D68" w:rsidRPr="007B4794">
          <w:rPr>
            <w:webHidden/>
            <w:color w:val="000000" w:themeColor="text1"/>
          </w:rPr>
          <w:t>58</w:t>
        </w:r>
        <w:r w:rsidR="00913896" w:rsidRPr="007B4794">
          <w:rPr>
            <w:webHidden/>
            <w:color w:val="000000" w:themeColor="text1"/>
          </w:rPr>
          <w:fldChar w:fldCharType="end"/>
        </w:r>
      </w:hyperlink>
    </w:p>
    <w:p w14:paraId="10A8C856" w14:textId="77777777" w:rsidR="00770DC3" w:rsidRPr="007B4794" w:rsidRDefault="00770DC3" w:rsidP="009B0B0F">
      <w:pPr>
        <w:jc w:val="center"/>
        <w:rPr>
          <w:rFonts w:ascii="Arial" w:hAnsi="Arial" w:cs="Arial"/>
          <w:color w:val="000000" w:themeColor="text1"/>
          <w:sz w:val="28"/>
          <w:szCs w:val="28"/>
        </w:rPr>
        <w:sectPr w:rsidR="00770DC3" w:rsidRPr="007B4794" w:rsidSect="009B0B0F">
          <w:headerReference w:type="even" r:id="rId14"/>
          <w:headerReference w:type="default" r:id="rId15"/>
          <w:headerReference w:type="first" r:id="rId16"/>
          <w:pgSz w:w="11906" w:h="16838" w:code="9"/>
          <w:pgMar w:top="1843" w:right="1304" w:bottom="1134" w:left="1304" w:header="1134" w:footer="907" w:gutter="0"/>
          <w:cols w:space="425"/>
          <w:titlePg/>
          <w:docGrid w:linePitch="312"/>
        </w:sectPr>
      </w:pPr>
      <w:r w:rsidRPr="007B4794">
        <w:rPr>
          <w:rFonts w:ascii="Arial" w:hAnsi="Arial" w:cs="Arial"/>
          <w:b/>
          <w:color w:val="000000" w:themeColor="text1"/>
          <w:kern w:val="44"/>
          <w:szCs w:val="21"/>
        </w:rPr>
        <w:fldChar w:fldCharType="end"/>
      </w:r>
      <w:r w:rsidR="00864424" w:rsidRPr="007B4794">
        <w:rPr>
          <w:rFonts w:ascii="Arial" w:hAnsi="Arial" w:cs="Arial"/>
          <w:color w:val="000000" w:themeColor="text1"/>
          <w:sz w:val="28"/>
          <w:szCs w:val="28"/>
        </w:rPr>
        <w:tab/>
      </w:r>
    </w:p>
    <w:p w14:paraId="3F060CC1" w14:textId="073A9DA9" w:rsidR="00770DC3" w:rsidRPr="007B4794" w:rsidRDefault="004C75C8" w:rsidP="009B0B0F">
      <w:pPr>
        <w:pStyle w:val="1"/>
        <w:spacing w:before="240" w:line="240" w:lineRule="auto"/>
        <w:rPr>
          <w:rFonts w:ascii="Arial" w:eastAsia="方正黑体简体" w:hAnsi="Arial" w:cs="Arial"/>
          <w:b w:val="0"/>
          <w:bCs/>
          <w:color w:val="000000" w:themeColor="text1"/>
          <w:sz w:val="32"/>
          <w:szCs w:val="32"/>
        </w:rPr>
      </w:pPr>
      <w:bookmarkStart w:id="5" w:name="_Toc54016571"/>
      <w:bookmarkStart w:id="6" w:name="_Toc44300246"/>
      <w:r w:rsidRPr="007B4794">
        <w:rPr>
          <w:rFonts w:ascii="Arial" w:eastAsia="方正黑体简体" w:hAnsi="Arial" w:cs="Arial"/>
          <w:b w:val="0"/>
          <w:bCs/>
          <w:color w:val="000000" w:themeColor="text1"/>
          <w:sz w:val="32"/>
          <w:szCs w:val="32"/>
        </w:rPr>
        <w:lastRenderedPageBreak/>
        <w:t>致委托人函</w:t>
      </w:r>
      <w:bookmarkEnd w:id="5"/>
    </w:p>
    <w:p w14:paraId="6EBF1809" w14:textId="60E47FF0" w:rsidR="004C75C8" w:rsidRPr="007B4794" w:rsidRDefault="00AA163E" w:rsidP="00AA163E">
      <w:pPr>
        <w:widowControl w:val="0"/>
        <w:adjustRightInd w:val="0"/>
        <w:spacing w:line="480" w:lineRule="auto"/>
        <w:jc w:val="both"/>
        <w:textAlignment w:val="baseline"/>
        <w:rPr>
          <w:rFonts w:ascii="Arial" w:hAnsi="Arial" w:cs="Arial"/>
          <w:b/>
          <w:color w:val="000000" w:themeColor="text1"/>
          <w:kern w:val="2"/>
          <w:sz w:val="21"/>
          <w:szCs w:val="21"/>
        </w:rPr>
      </w:pPr>
      <w:r w:rsidRPr="007B4794">
        <w:rPr>
          <w:rFonts w:ascii="Arial" w:hAnsi="Arial" w:cs="Arial"/>
          <w:b/>
          <w:color w:val="000000" w:themeColor="text1"/>
          <w:kern w:val="2"/>
          <w:sz w:val="21"/>
          <w:szCs w:val="21"/>
        </w:rPr>
        <w:t>五矿国际信托有限公司</w:t>
      </w:r>
      <w:r w:rsidRPr="007B4794">
        <w:rPr>
          <w:rFonts w:ascii="Arial" w:hAnsi="Arial" w:cs="Arial" w:hint="eastAsia"/>
          <w:b/>
          <w:color w:val="000000" w:themeColor="text1"/>
          <w:kern w:val="2"/>
          <w:sz w:val="21"/>
          <w:szCs w:val="21"/>
        </w:rPr>
        <w:t>：</w:t>
      </w:r>
    </w:p>
    <w:p w14:paraId="39CD20C9" w14:textId="2A5E820E" w:rsidR="004C75C8" w:rsidRPr="007B4794" w:rsidRDefault="004C75C8" w:rsidP="004A4677">
      <w:pPr>
        <w:spacing w:line="480" w:lineRule="auto"/>
        <w:ind w:firstLineChars="200" w:firstLine="420"/>
        <w:jc w:val="both"/>
        <w:outlineLvl w:val="0"/>
        <w:rPr>
          <w:rFonts w:ascii="Arial" w:hAnsi="Arial" w:cs="Arial"/>
          <w:color w:val="000000" w:themeColor="text1"/>
          <w:kern w:val="2"/>
          <w:sz w:val="21"/>
          <w:szCs w:val="21"/>
        </w:rPr>
      </w:pPr>
      <w:bookmarkStart w:id="7" w:name="_Toc111622538"/>
      <w:bookmarkStart w:id="8" w:name="_Toc415468956"/>
      <w:bookmarkStart w:id="9" w:name="_Toc76889704"/>
      <w:bookmarkEnd w:id="6"/>
      <w:r w:rsidRPr="007B4794">
        <w:rPr>
          <w:rFonts w:ascii="Arial" w:hAnsi="Arial" w:cs="Arial" w:hint="eastAsia"/>
          <w:color w:val="000000" w:themeColor="text1"/>
          <w:kern w:val="2"/>
          <w:sz w:val="21"/>
          <w:szCs w:val="21"/>
        </w:rPr>
        <w:t>本公司受</w:t>
      </w:r>
      <w:r w:rsidRPr="007B4794">
        <w:rPr>
          <w:rFonts w:ascii="Arial" w:hAnsi="Arial" w:cs="Arial"/>
          <w:color w:val="000000" w:themeColor="text1"/>
          <w:kern w:val="2"/>
          <w:sz w:val="21"/>
          <w:szCs w:val="21"/>
        </w:rPr>
        <w:t>五矿国际信托有限公司</w:t>
      </w:r>
      <w:r w:rsidRPr="007B4794">
        <w:rPr>
          <w:rFonts w:ascii="Arial" w:hAnsi="Arial" w:cs="Arial" w:hint="eastAsia"/>
          <w:color w:val="000000" w:themeColor="text1"/>
          <w:kern w:val="2"/>
          <w:sz w:val="21"/>
          <w:szCs w:val="21"/>
        </w:rPr>
        <w:t>委托，对</w:t>
      </w:r>
      <w:r w:rsidRPr="007B4794">
        <w:rPr>
          <w:rFonts w:ascii="Arial" w:hAnsi="Arial" w:cs="Arial"/>
          <w:color w:val="000000" w:themeColor="text1"/>
          <w:kern w:val="2"/>
          <w:sz w:val="21"/>
          <w:szCs w:val="21"/>
        </w:rPr>
        <w:t>【</w:t>
      </w:r>
      <w:r w:rsidR="006D68C2" w:rsidRPr="007B4794">
        <w:rPr>
          <w:rFonts w:ascii="Arial" w:hAnsi="Arial" w:cs="Arial" w:hint="eastAsia"/>
          <w:color w:val="000000" w:themeColor="text1"/>
          <w:kern w:val="2"/>
          <w:sz w:val="21"/>
          <w:szCs w:val="21"/>
        </w:rPr>
        <w:t>五矿信托</w:t>
      </w:r>
      <w:r w:rsidR="006D68C2" w:rsidRPr="007B4794">
        <w:rPr>
          <w:rFonts w:ascii="Arial" w:hAnsi="Arial" w:cs="Arial" w:hint="eastAsia"/>
          <w:color w:val="000000" w:themeColor="text1"/>
          <w:kern w:val="2"/>
          <w:sz w:val="21"/>
          <w:szCs w:val="21"/>
        </w:rPr>
        <w:t>-</w:t>
      </w:r>
      <w:r w:rsidR="006D68C2" w:rsidRPr="007B4794">
        <w:rPr>
          <w:rFonts w:ascii="Arial" w:hAnsi="Arial" w:cs="Arial" w:hint="eastAsia"/>
          <w:color w:val="000000" w:themeColor="text1"/>
          <w:kern w:val="2"/>
          <w:sz w:val="21"/>
          <w:szCs w:val="21"/>
        </w:rPr>
        <w:t>恒信共筑</w:t>
      </w:r>
      <w:r w:rsidR="006D68C2" w:rsidRPr="007B4794">
        <w:rPr>
          <w:rFonts w:ascii="Arial" w:hAnsi="Arial" w:cs="Arial" w:hint="eastAsia"/>
          <w:color w:val="000000" w:themeColor="text1"/>
          <w:kern w:val="2"/>
          <w:sz w:val="21"/>
          <w:szCs w:val="21"/>
        </w:rPr>
        <w:t>X</w:t>
      </w:r>
      <w:r w:rsidR="006D68C2" w:rsidRPr="007B4794">
        <w:rPr>
          <w:rFonts w:ascii="Arial" w:hAnsi="Arial" w:cs="Arial" w:hint="eastAsia"/>
          <w:color w:val="000000" w:themeColor="text1"/>
          <w:kern w:val="2"/>
          <w:sz w:val="21"/>
          <w:szCs w:val="21"/>
        </w:rPr>
        <w:t>号</w:t>
      </w:r>
      <w:r w:rsidR="006D68C2" w:rsidRPr="007B4794">
        <w:rPr>
          <w:rFonts w:ascii="Arial" w:hAnsi="Arial" w:cs="Arial" w:hint="eastAsia"/>
          <w:color w:val="000000" w:themeColor="text1"/>
          <w:kern w:val="2"/>
          <w:sz w:val="21"/>
          <w:szCs w:val="21"/>
        </w:rPr>
        <w:t>-</w:t>
      </w:r>
      <w:r w:rsidR="006D68C2" w:rsidRPr="007B4794">
        <w:rPr>
          <w:rFonts w:ascii="Arial" w:hAnsi="Arial" w:cs="Arial" w:hint="eastAsia"/>
          <w:color w:val="000000" w:themeColor="text1"/>
          <w:kern w:val="2"/>
          <w:sz w:val="21"/>
          <w:szCs w:val="21"/>
        </w:rPr>
        <w:t>鑫悦</w:t>
      </w:r>
      <w:r w:rsidR="006D68C2" w:rsidRPr="007B4794">
        <w:rPr>
          <w:rFonts w:ascii="Arial" w:hAnsi="Arial" w:cs="Arial" w:hint="eastAsia"/>
          <w:color w:val="000000" w:themeColor="text1"/>
          <w:kern w:val="2"/>
          <w:sz w:val="21"/>
          <w:szCs w:val="21"/>
        </w:rPr>
        <w:t>15</w:t>
      </w:r>
      <w:r w:rsidR="006D68C2" w:rsidRPr="007B4794">
        <w:rPr>
          <w:rFonts w:ascii="Arial" w:hAnsi="Arial" w:cs="Arial" w:hint="eastAsia"/>
          <w:color w:val="000000" w:themeColor="text1"/>
          <w:kern w:val="2"/>
          <w:sz w:val="21"/>
          <w:szCs w:val="21"/>
        </w:rPr>
        <w:t>号</w:t>
      </w:r>
      <w:r w:rsidR="00B850AD" w:rsidRPr="007B4794">
        <w:rPr>
          <w:rFonts w:ascii="Arial" w:hAnsi="Arial" w:cs="Arial"/>
          <w:color w:val="000000" w:themeColor="text1"/>
          <w:kern w:val="2"/>
          <w:sz w:val="21"/>
          <w:szCs w:val="21"/>
        </w:rPr>
        <w:t>集合资金信托计划</w:t>
      </w:r>
      <w:r w:rsidRPr="007B4794">
        <w:rPr>
          <w:rFonts w:ascii="Arial" w:hAnsi="Arial" w:cs="Arial"/>
          <w:color w:val="000000" w:themeColor="text1"/>
          <w:kern w:val="2"/>
          <w:sz w:val="21"/>
          <w:szCs w:val="21"/>
        </w:rPr>
        <w:t>】</w:t>
      </w:r>
      <w:r w:rsidRPr="007B4794">
        <w:rPr>
          <w:rFonts w:ascii="Arial" w:hAnsi="Arial" w:cs="Arial" w:hint="eastAsia"/>
          <w:color w:val="000000" w:themeColor="text1"/>
          <w:kern w:val="2"/>
          <w:sz w:val="21"/>
          <w:szCs w:val="21"/>
        </w:rPr>
        <w:t>涉及的</w:t>
      </w:r>
      <w:r w:rsidR="006D68C2" w:rsidRPr="007B4794">
        <w:rPr>
          <w:rFonts w:ascii="Arial" w:hAnsi="Arial" w:cs="Arial" w:hint="eastAsia"/>
          <w:color w:val="000000" w:themeColor="text1"/>
          <w:kern w:val="2"/>
          <w:sz w:val="21"/>
          <w:szCs w:val="21"/>
        </w:rPr>
        <w:t>福建省漳州市台商投资区湖中路以北</w:t>
      </w:r>
      <w:r w:rsidR="00D30D68" w:rsidRPr="007B4794">
        <w:rPr>
          <w:rFonts w:ascii="Arial" w:hAnsi="Arial" w:cs="Arial" w:hint="eastAsia"/>
          <w:color w:val="000000" w:themeColor="text1"/>
          <w:kern w:val="2"/>
          <w:sz w:val="21"/>
          <w:szCs w:val="21"/>
        </w:rPr>
        <w:t>、</w:t>
      </w:r>
      <w:r w:rsidR="006D68C2" w:rsidRPr="007B4794">
        <w:rPr>
          <w:rFonts w:ascii="Arial" w:hAnsi="Arial" w:cs="Arial" w:hint="eastAsia"/>
          <w:color w:val="000000" w:themeColor="text1"/>
          <w:kern w:val="2"/>
          <w:sz w:val="21"/>
          <w:szCs w:val="21"/>
        </w:rPr>
        <w:t>锦江大道以东居住</w:t>
      </w:r>
      <w:r w:rsidR="00B850AD" w:rsidRPr="007B4794">
        <w:rPr>
          <w:rFonts w:ascii="Arial" w:hAnsi="Arial" w:cs="Arial" w:hint="eastAsia"/>
          <w:color w:val="000000" w:themeColor="text1"/>
          <w:kern w:val="2"/>
          <w:sz w:val="21"/>
          <w:szCs w:val="21"/>
        </w:rPr>
        <w:t>项目</w:t>
      </w:r>
      <w:r w:rsidRPr="007B4794">
        <w:rPr>
          <w:rFonts w:ascii="Arial" w:hAnsi="Arial" w:cs="Arial" w:hint="eastAsia"/>
          <w:color w:val="000000" w:themeColor="text1"/>
          <w:kern w:val="2"/>
          <w:sz w:val="21"/>
          <w:szCs w:val="21"/>
        </w:rPr>
        <w:t>提供市场调研服</w:t>
      </w:r>
      <w:r w:rsidRPr="007B4794">
        <w:rPr>
          <w:rFonts w:ascii="Arial" w:hAnsi="Arial" w:cs="Arial" w:hint="eastAsia"/>
          <w:color w:val="000000" w:themeColor="text1"/>
          <w:sz w:val="21"/>
          <w:szCs w:val="21"/>
        </w:rPr>
        <w:t>务，为</w:t>
      </w:r>
      <w:r w:rsidR="00AA163E" w:rsidRPr="007B4794">
        <w:rPr>
          <w:rFonts w:ascii="Arial" w:hAnsi="Arial" w:cs="Arial"/>
          <w:color w:val="000000" w:themeColor="text1"/>
          <w:kern w:val="2"/>
          <w:sz w:val="21"/>
          <w:szCs w:val="21"/>
        </w:rPr>
        <w:t>五矿国际信托有限公司</w:t>
      </w:r>
      <w:r w:rsidRPr="007B4794">
        <w:rPr>
          <w:rFonts w:ascii="Arial" w:hAnsi="Arial" w:cs="Arial" w:hint="eastAsia"/>
          <w:color w:val="000000" w:themeColor="text1"/>
          <w:kern w:val="2"/>
          <w:sz w:val="21"/>
          <w:szCs w:val="21"/>
        </w:rPr>
        <w:t>了解该物业</w:t>
      </w:r>
      <w:r w:rsidR="00AA163E" w:rsidRPr="007B4794">
        <w:rPr>
          <w:rFonts w:ascii="Arial" w:hAnsi="Arial" w:cs="Arial" w:hint="eastAsia"/>
          <w:color w:val="000000" w:themeColor="text1"/>
          <w:kern w:val="2"/>
          <w:sz w:val="21"/>
          <w:szCs w:val="21"/>
        </w:rPr>
        <w:t>周边</w:t>
      </w:r>
      <w:r w:rsidRPr="007B4794">
        <w:rPr>
          <w:rFonts w:ascii="Arial" w:hAnsi="Arial" w:cs="Arial" w:hint="eastAsia"/>
          <w:color w:val="000000" w:themeColor="text1"/>
          <w:kern w:val="2"/>
          <w:sz w:val="21"/>
          <w:szCs w:val="21"/>
        </w:rPr>
        <w:t>房地产</w:t>
      </w:r>
      <w:r w:rsidR="00AA163E" w:rsidRPr="007B4794">
        <w:rPr>
          <w:rFonts w:ascii="Arial" w:hAnsi="Arial" w:cs="Arial" w:hint="eastAsia"/>
          <w:color w:val="000000" w:themeColor="text1"/>
          <w:kern w:val="2"/>
          <w:sz w:val="21"/>
          <w:szCs w:val="21"/>
        </w:rPr>
        <w:t>市场状况</w:t>
      </w:r>
      <w:r w:rsidRPr="007B4794">
        <w:rPr>
          <w:rFonts w:ascii="Arial" w:hAnsi="Arial" w:cs="Arial" w:hint="eastAsia"/>
          <w:color w:val="000000" w:themeColor="text1"/>
          <w:kern w:val="2"/>
          <w:sz w:val="21"/>
          <w:szCs w:val="21"/>
        </w:rPr>
        <w:t>提供内部参考依据。</w:t>
      </w:r>
    </w:p>
    <w:p w14:paraId="0D6F94BE" w14:textId="77777777" w:rsidR="004C75C8" w:rsidRPr="007B4794" w:rsidRDefault="004C75C8" w:rsidP="004C75C8">
      <w:pPr>
        <w:spacing w:line="480" w:lineRule="auto"/>
        <w:ind w:firstLineChars="200" w:firstLine="420"/>
        <w:jc w:val="both"/>
        <w:outlineLvl w:val="0"/>
        <w:rPr>
          <w:rFonts w:ascii="Arial" w:hAnsi="Arial" w:cs="Arial"/>
          <w:color w:val="000000" w:themeColor="text1"/>
          <w:kern w:val="2"/>
          <w:sz w:val="21"/>
          <w:szCs w:val="21"/>
        </w:rPr>
      </w:pPr>
      <w:r w:rsidRPr="007B4794">
        <w:rPr>
          <w:rFonts w:ascii="Arial" w:hAnsi="Arial" w:cs="Arial" w:hint="eastAsia"/>
          <w:color w:val="000000" w:themeColor="text1"/>
          <w:kern w:val="2"/>
          <w:sz w:val="21"/>
          <w:szCs w:val="21"/>
        </w:rPr>
        <w:t>本市场调研报告所提供有关看法及预测为对未来事宜各种可能性做出估计的指标，而非绝对肯定。预测过程涉及有关大量变数的假设，该等假设极易受各种变化情况所影响。特此提醒报告使用者，任何假设的变动均可能会对结果造成重大影响。因此，本公司无法保证本报告中所述预测将可达到。</w:t>
      </w:r>
    </w:p>
    <w:p w14:paraId="0CA9E8B6" w14:textId="77777777" w:rsidR="004C75C8" w:rsidRPr="007B4794" w:rsidRDefault="004C75C8" w:rsidP="004C75C8">
      <w:pPr>
        <w:spacing w:line="480" w:lineRule="auto"/>
        <w:ind w:firstLineChars="200" w:firstLine="420"/>
        <w:jc w:val="both"/>
        <w:outlineLvl w:val="0"/>
        <w:rPr>
          <w:rFonts w:ascii="Arial" w:hAnsi="Arial" w:cs="Arial"/>
          <w:color w:val="000000" w:themeColor="text1"/>
          <w:kern w:val="2"/>
          <w:sz w:val="21"/>
          <w:szCs w:val="21"/>
        </w:rPr>
      </w:pPr>
      <w:r w:rsidRPr="007B4794">
        <w:rPr>
          <w:rFonts w:ascii="Arial" w:hAnsi="Arial" w:cs="Arial" w:hint="eastAsia"/>
          <w:color w:val="000000" w:themeColor="text1"/>
          <w:kern w:val="2"/>
          <w:sz w:val="21"/>
          <w:szCs w:val="21"/>
        </w:rPr>
        <w:t>本报告编制过程中，依赖外界第三方的资料，本公司对报告所述的任何外界人士的文件或资料并无进行独立核实。本报告仅限于其中所载的事宜，并不表示或可能推断为包括本报告所明示以外的事宜。</w:t>
      </w:r>
    </w:p>
    <w:p w14:paraId="6D513D9F" w14:textId="63C480AB" w:rsidR="004C75C8" w:rsidRPr="007B4794" w:rsidRDefault="004C75C8" w:rsidP="004C75C8">
      <w:pPr>
        <w:spacing w:line="480" w:lineRule="auto"/>
        <w:ind w:firstLineChars="200" w:firstLine="420"/>
        <w:jc w:val="both"/>
        <w:outlineLvl w:val="0"/>
        <w:rPr>
          <w:rFonts w:ascii="Arial" w:hAnsi="Arial" w:cs="Arial"/>
          <w:color w:val="000000" w:themeColor="text1"/>
          <w:kern w:val="2"/>
          <w:sz w:val="21"/>
          <w:szCs w:val="21"/>
        </w:rPr>
      </w:pPr>
      <w:r w:rsidRPr="007B4794">
        <w:rPr>
          <w:rFonts w:ascii="Arial" w:hAnsi="Arial" w:cs="Arial" w:hint="eastAsia"/>
          <w:color w:val="000000" w:themeColor="text1"/>
          <w:kern w:val="2"/>
          <w:sz w:val="21"/>
          <w:szCs w:val="21"/>
        </w:rPr>
        <w:t>本报告仅供</w:t>
      </w:r>
      <w:r w:rsidR="00AA163E" w:rsidRPr="007B4794">
        <w:rPr>
          <w:rFonts w:ascii="Arial" w:hAnsi="Arial" w:cs="Arial"/>
          <w:color w:val="000000" w:themeColor="text1"/>
          <w:kern w:val="2"/>
          <w:sz w:val="21"/>
          <w:szCs w:val="21"/>
        </w:rPr>
        <w:t>五矿国际信托有限公司</w:t>
      </w:r>
      <w:r w:rsidRPr="007B4794">
        <w:rPr>
          <w:rFonts w:ascii="Arial" w:hAnsi="Arial" w:cs="Arial" w:hint="eastAsia"/>
          <w:color w:val="000000" w:themeColor="text1"/>
          <w:kern w:val="2"/>
          <w:sz w:val="21"/>
          <w:szCs w:val="21"/>
        </w:rPr>
        <w:t>了解该物业的房地产市场价值而提供参考依据，本公司不对本报告的内容准确性做出陈述或承担责任。本公司对本报告所载资料的准确性、合理性或完整性概不作出任何陈述或承诺保证、概不承担任何责任。</w:t>
      </w:r>
    </w:p>
    <w:p w14:paraId="60B5DCBE" w14:textId="77777777" w:rsidR="004C75C8" w:rsidRPr="007B4794" w:rsidRDefault="004C75C8" w:rsidP="004C75C8">
      <w:pPr>
        <w:spacing w:line="480" w:lineRule="auto"/>
        <w:ind w:firstLineChars="200" w:firstLine="420"/>
        <w:jc w:val="both"/>
        <w:outlineLvl w:val="0"/>
        <w:rPr>
          <w:rFonts w:ascii="Arial" w:hAnsi="Arial" w:cs="Arial"/>
          <w:color w:val="000000" w:themeColor="text1"/>
          <w:kern w:val="2"/>
          <w:sz w:val="21"/>
          <w:szCs w:val="21"/>
        </w:rPr>
      </w:pPr>
    </w:p>
    <w:p w14:paraId="3BE25917" w14:textId="77777777" w:rsidR="004C75C8" w:rsidRPr="007B4794" w:rsidRDefault="004C75C8" w:rsidP="004C75C8">
      <w:pPr>
        <w:spacing w:line="480" w:lineRule="auto"/>
        <w:ind w:firstLineChars="2000" w:firstLine="4200"/>
        <w:jc w:val="both"/>
        <w:rPr>
          <w:rFonts w:ascii="Arial" w:hAnsi="Arial" w:cs="Arial"/>
          <w:color w:val="000000" w:themeColor="text1"/>
          <w:sz w:val="21"/>
          <w:szCs w:val="21"/>
        </w:rPr>
      </w:pPr>
      <w:r w:rsidRPr="007B4794">
        <w:rPr>
          <w:rFonts w:ascii="Arial" w:hAnsi="Arial" w:cs="Arial" w:hint="eastAsia"/>
          <w:color w:val="000000" w:themeColor="text1"/>
          <w:sz w:val="21"/>
          <w:szCs w:val="21"/>
        </w:rPr>
        <w:t>顺致</w:t>
      </w:r>
    </w:p>
    <w:p w14:paraId="758088B1" w14:textId="77777777" w:rsidR="004C75C8" w:rsidRPr="007B4794" w:rsidRDefault="004C75C8" w:rsidP="004C75C8">
      <w:pPr>
        <w:spacing w:line="480" w:lineRule="auto"/>
        <w:ind w:firstLineChars="2000" w:firstLine="4200"/>
        <w:jc w:val="both"/>
        <w:rPr>
          <w:rFonts w:ascii="Arial" w:hAnsi="Arial" w:cs="Arial"/>
          <w:color w:val="000000" w:themeColor="text1"/>
          <w:sz w:val="21"/>
          <w:szCs w:val="21"/>
        </w:rPr>
      </w:pPr>
    </w:p>
    <w:p w14:paraId="5F08D720" w14:textId="77777777" w:rsidR="004C75C8" w:rsidRPr="007B4794" w:rsidRDefault="004C75C8" w:rsidP="004C75C8">
      <w:pPr>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商祺</w:t>
      </w:r>
    </w:p>
    <w:p w14:paraId="7131C4F5" w14:textId="77777777" w:rsidR="004C75C8" w:rsidRPr="007B4794" w:rsidRDefault="004C75C8" w:rsidP="004C75C8">
      <w:pPr>
        <w:spacing w:line="480" w:lineRule="auto"/>
        <w:jc w:val="both"/>
        <w:rPr>
          <w:rFonts w:ascii="Arial" w:hAnsi="Arial" w:cs="Arial"/>
          <w:color w:val="000000" w:themeColor="text1"/>
          <w:sz w:val="21"/>
          <w:szCs w:val="21"/>
        </w:rPr>
      </w:pPr>
      <w:r w:rsidRPr="007B4794">
        <w:rPr>
          <w:rFonts w:ascii="Arial" w:hAnsi="Arial" w:cs="Arial"/>
          <w:color w:val="000000" w:themeColor="text1"/>
          <w:sz w:val="21"/>
          <w:szCs w:val="21"/>
        </w:rPr>
        <w:t xml:space="preserve">                                               </w:t>
      </w:r>
    </w:p>
    <w:tbl>
      <w:tblPr>
        <w:tblW w:w="0" w:type="auto"/>
        <w:tblInd w:w="5920" w:type="dxa"/>
        <w:tblLook w:val="04A0" w:firstRow="1" w:lastRow="0" w:firstColumn="1" w:lastColumn="0" w:noHBand="0" w:noVBand="1"/>
      </w:tblPr>
      <w:tblGrid>
        <w:gridCol w:w="3402"/>
      </w:tblGrid>
      <w:tr w:rsidR="004C75C8" w:rsidRPr="007B4794" w14:paraId="354656E6" w14:textId="77777777" w:rsidTr="004E258D">
        <w:tc>
          <w:tcPr>
            <w:tcW w:w="3402" w:type="dxa"/>
            <w:hideMark/>
          </w:tcPr>
          <w:p w14:paraId="1D5DDF25" w14:textId="77777777" w:rsidR="004C75C8" w:rsidRPr="007B4794" w:rsidRDefault="004C75C8" w:rsidP="004E258D">
            <w:pPr>
              <w:spacing w:line="480" w:lineRule="auto"/>
              <w:rPr>
                <w:rFonts w:ascii="Arial" w:hAnsi="Arial" w:cs="Arial"/>
                <w:color w:val="000000" w:themeColor="text1"/>
                <w:sz w:val="21"/>
                <w:szCs w:val="21"/>
              </w:rPr>
            </w:pPr>
            <w:r w:rsidRPr="007B4794">
              <w:rPr>
                <w:rFonts w:ascii="Arial" w:hAnsi="Arial" w:cs="Arial" w:hint="eastAsia"/>
                <w:color w:val="000000" w:themeColor="text1"/>
                <w:sz w:val="21"/>
                <w:szCs w:val="21"/>
              </w:rPr>
              <w:t>北京康正宏基房地产评估有限公司</w:t>
            </w:r>
          </w:p>
        </w:tc>
      </w:tr>
      <w:tr w:rsidR="004C75C8" w:rsidRPr="007B4794" w14:paraId="6B019EC5" w14:textId="77777777" w:rsidTr="004E258D">
        <w:trPr>
          <w:trHeight w:val="1431"/>
        </w:trPr>
        <w:tc>
          <w:tcPr>
            <w:tcW w:w="3402" w:type="dxa"/>
            <w:hideMark/>
          </w:tcPr>
          <w:p w14:paraId="668081D4" w14:textId="77777777" w:rsidR="004C75C8" w:rsidRPr="007B4794" w:rsidRDefault="004C75C8" w:rsidP="004E258D">
            <w:pPr>
              <w:spacing w:line="480" w:lineRule="auto"/>
              <w:rPr>
                <w:rFonts w:ascii="Arial" w:hAnsi="Arial" w:cs="Arial"/>
                <w:color w:val="000000" w:themeColor="text1"/>
                <w:sz w:val="21"/>
                <w:szCs w:val="21"/>
              </w:rPr>
            </w:pPr>
            <w:r w:rsidRPr="007B4794">
              <w:rPr>
                <w:rFonts w:ascii="Arial" w:hAnsi="Arial" w:cs="Arial" w:hint="eastAsia"/>
                <w:color w:val="000000" w:themeColor="text1"/>
                <w:sz w:val="21"/>
                <w:szCs w:val="21"/>
              </w:rPr>
              <w:t>法定代表人：</w:t>
            </w:r>
          </w:p>
        </w:tc>
      </w:tr>
      <w:tr w:rsidR="004C75C8" w:rsidRPr="007B4794" w14:paraId="5E013BDF" w14:textId="77777777" w:rsidTr="004E258D">
        <w:tc>
          <w:tcPr>
            <w:tcW w:w="3402" w:type="dxa"/>
            <w:hideMark/>
          </w:tcPr>
          <w:p w14:paraId="3834D5F7" w14:textId="15378279" w:rsidR="004C75C8" w:rsidRPr="007B4794" w:rsidRDefault="004C75C8" w:rsidP="00B850AD">
            <w:pPr>
              <w:spacing w:line="480" w:lineRule="auto"/>
              <w:jc w:val="right"/>
              <w:rPr>
                <w:rFonts w:ascii="Arial" w:hAnsi="Arial" w:cs="Arial"/>
                <w:color w:val="000000" w:themeColor="text1"/>
                <w:sz w:val="21"/>
                <w:szCs w:val="21"/>
              </w:rPr>
            </w:pPr>
            <w:r w:rsidRPr="007B4794">
              <w:rPr>
                <w:rFonts w:ascii="Arial" w:hAnsi="Arial" w:cs="Arial" w:hint="eastAsia"/>
                <w:color w:val="000000" w:themeColor="text1"/>
                <w:sz w:val="21"/>
                <w:szCs w:val="21"/>
              </w:rPr>
              <w:t>二○二○年</w:t>
            </w:r>
            <w:r w:rsidR="00B850AD" w:rsidRPr="007B4794">
              <w:rPr>
                <w:rFonts w:ascii="Arial" w:hAnsi="Arial" w:cs="Arial" w:hint="eastAsia"/>
                <w:color w:val="000000" w:themeColor="text1"/>
                <w:sz w:val="21"/>
                <w:szCs w:val="21"/>
              </w:rPr>
              <w:t>十</w:t>
            </w:r>
            <w:r w:rsidR="00EE2211" w:rsidRPr="007B4794">
              <w:rPr>
                <w:rFonts w:ascii="Arial" w:hAnsi="Arial" w:cs="Arial" w:hint="eastAsia"/>
                <w:color w:val="000000" w:themeColor="text1"/>
                <w:sz w:val="21"/>
                <w:szCs w:val="21"/>
              </w:rPr>
              <w:t>一月二十六</w:t>
            </w:r>
            <w:r w:rsidRPr="007B4794">
              <w:rPr>
                <w:rFonts w:ascii="Arial" w:hAnsi="Arial" w:cs="Arial" w:hint="eastAsia"/>
                <w:color w:val="000000" w:themeColor="text1"/>
                <w:sz w:val="21"/>
                <w:szCs w:val="21"/>
              </w:rPr>
              <w:t>日</w:t>
            </w:r>
          </w:p>
        </w:tc>
      </w:tr>
    </w:tbl>
    <w:p w14:paraId="43550EC8" w14:textId="26CDA203" w:rsidR="00B0444D" w:rsidRPr="007B4794" w:rsidRDefault="00B0444D" w:rsidP="00A818A7">
      <w:pPr>
        <w:widowControl w:val="0"/>
        <w:adjustRightInd w:val="0"/>
        <w:snapToGrid w:val="0"/>
        <w:spacing w:line="480" w:lineRule="auto"/>
        <w:ind w:firstLineChars="199" w:firstLine="479"/>
        <w:rPr>
          <w:rFonts w:ascii="Arial" w:hAnsi="Arial" w:cs="Arial"/>
          <w:b/>
          <w:bCs/>
          <w:color w:val="000000" w:themeColor="text1"/>
        </w:rPr>
        <w:sectPr w:rsidR="00B0444D" w:rsidRPr="007B4794" w:rsidSect="009B0B0F">
          <w:headerReference w:type="even" r:id="rId17"/>
          <w:headerReference w:type="default" r:id="rId18"/>
          <w:footerReference w:type="default" r:id="rId19"/>
          <w:headerReference w:type="first" r:id="rId20"/>
          <w:footerReference w:type="first" r:id="rId21"/>
          <w:pgSz w:w="11906" w:h="16838" w:code="9"/>
          <w:pgMar w:top="1843" w:right="1304" w:bottom="1134" w:left="1304" w:header="1134" w:footer="907" w:gutter="0"/>
          <w:pgNumType w:start="1"/>
          <w:cols w:space="425"/>
          <w:titlePg/>
          <w:docGrid w:linePitch="312"/>
        </w:sectPr>
      </w:pPr>
    </w:p>
    <w:p w14:paraId="711794E0" w14:textId="167E967F" w:rsidR="00770DC3" w:rsidRPr="007B4794" w:rsidRDefault="00770DC3" w:rsidP="000F128D">
      <w:pPr>
        <w:pStyle w:val="1"/>
        <w:spacing w:before="240"/>
        <w:rPr>
          <w:rFonts w:ascii="Arial" w:eastAsia="方正黑体简体" w:hAnsi="Arial" w:cs="Arial"/>
          <w:b w:val="0"/>
          <w:bCs/>
          <w:color w:val="000000" w:themeColor="text1"/>
          <w:sz w:val="32"/>
          <w:szCs w:val="32"/>
        </w:rPr>
      </w:pPr>
      <w:bookmarkStart w:id="10" w:name="_Toc54016572"/>
      <w:r w:rsidRPr="007B4794">
        <w:rPr>
          <w:rFonts w:ascii="Arial" w:eastAsia="方正黑体简体" w:hAnsi="Arial" w:cs="Arial"/>
          <w:b w:val="0"/>
          <w:bCs/>
          <w:color w:val="000000" w:themeColor="text1"/>
          <w:sz w:val="32"/>
          <w:szCs w:val="32"/>
        </w:rPr>
        <w:lastRenderedPageBreak/>
        <w:t>第一章</w:t>
      </w:r>
      <w:r w:rsidRPr="007B4794">
        <w:rPr>
          <w:rFonts w:ascii="Arial" w:eastAsia="方正黑体简体" w:hAnsi="Arial" w:cs="Arial"/>
          <w:b w:val="0"/>
          <w:bCs/>
          <w:color w:val="000000" w:themeColor="text1"/>
          <w:sz w:val="32"/>
          <w:szCs w:val="32"/>
        </w:rPr>
        <w:t xml:space="preserve">  </w:t>
      </w:r>
      <w:r w:rsidR="00AA163E" w:rsidRPr="007B4794">
        <w:rPr>
          <w:rFonts w:ascii="Arial" w:eastAsia="方正黑体简体" w:hAnsi="Arial" w:cs="Arial"/>
          <w:b w:val="0"/>
          <w:bCs/>
          <w:color w:val="000000" w:themeColor="text1"/>
          <w:sz w:val="32"/>
          <w:szCs w:val="32"/>
        </w:rPr>
        <w:t>房地产市场调研</w:t>
      </w:r>
      <w:r w:rsidR="003C7F5E" w:rsidRPr="007B4794">
        <w:rPr>
          <w:rFonts w:ascii="Arial" w:eastAsia="方正黑体简体" w:hAnsi="Arial" w:cs="Arial"/>
          <w:b w:val="0"/>
          <w:bCs/>
          <w:color w:val="000000" w:themeColor="text1"/>
          <w:sz w:val="32"/>
          <w:szCs w:val="32"/>
        </w:rPr>
        <w:t>说明</w:t>
      </w:r>
      <w:bookmarkEnd w:id="10"/>
    </w:p>
    <w:p w14:paraId="30B738A8" w14:textId="77777777" w:rsidR="00E352F7" w:rsidRPr="007B4794" w:rsidRDefault="00E352F7" w:rsidP="00FD69CD">
      <w:pPr>
        <w:pStyle w:val="2"/>
        <w:spacing w:before="0" w:after="0" w:line="480" w:lineRule="auto"/>
        <w:rPr>
          <w:rFonts w:eastAsia="宋体" w:cs="Arial"/>
          <w:color w:val="000000" w:themeColor="text1"/>
          <w:sz w:val="21"/>
          <w:szCs w:val="21"/>
        </w:rPr>
      </w:pPr>
      <w:bookmarkStart w:id="11" w:name="_Toc54016573"/>
      <w:bookmarkStart w:id="12" w:name="_Toc187666148"/>
      <w:bookmarkStart w:id="13" w:name="OLE_LINK1"/>
      <w:bookmarkEnd w:id="7"/>
      <w:bookmarkEnd w:id="8"/>
      <w:r w:rsidRPr="007B4794">
        <w:rPr>
          <w:rFonts w:eastAsia="宋体" w:cs="Arial"/>
          <w:color w:val="000000" w:themeColor="text1"/>
          <w:sz w:val="21"/>
          <w:szCs w:val="21"/>
        </w:rPr>
        <w:t>一、委托单位</w:t>
      </w:r>
      <w:bookmarkEnd w:id="11"/>
    </w:p>
    <w:p w14:paraId="00055270" w14:textId="77777777" w:rsidR="00E352F7" w:rsidRPr="007B4794" w:rsidRDefault="00E352F7" w:rsidP="00EF1990">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单位名称：五矿国际信托有限公司</w:t>
      </w:r>
    </w:p>
    <w:p w14:paraId="67383826" w14:textId="77777777" w:rsidR="00E352F7" w:rsidRPr="007B4794" w:rsidRDefault="00E352F7" w:rsidP="00EF1990">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公司地址：青海生物科技产业园纬二路</w:t>
      </w:r>
      <w:r w:rsidRPr="007B4794">
        <w:rPr>
          <w:rFonts w:ascii="Arial" w:hAnsi="Arial" w:cs="Arial"/>
          <w:color w:val="000000" w:themeColor="text1"/>
          <w:sz w:val="21"/>
          <w:szCs w:val="21"/>
        </w:rPr>
        <w:t>18</w:t>
      </w:r>
      <w:r w:rsidRPr="007B4794">
        <w:rPr>
          <w:rFonts w:ascii="Arial" w:hAnsi="Arial" w:cs="Arial"/>
          <w:color w:val="000000" w:themeColor="text1"/>
          <w:sz w:val="21"/>
          <w:szCs w:val="21"/>
        </w:rPr>
        <w:t>号</w:t>
      </w:r>
    </w:p>
    <w:p w14:paraId="72CF031D" w14:textId="77777777" w:rsidR="00E352F7" w:rsidRPr="007B4794" w:rsidRDefault="00E352F7" w:rsidP="00EF1990">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法定代表人：王卓</w:t>
      </w:r>
    </w:p>
    <w:p w14:paraId="0AB75A29" w14:textId="77777777" w:rsidR="00E352F7" w:rsidRPr="007B4794" w:rsidRDefault="00E352F7" w:rsidP="00EF1990">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经营范围：资金信托；动产信托；不动产信托；有价证券信托；其他财产或财产权信托；作为投资基金或者基金管理公司的发起人从事投资基金业务；经营企业资产的重组、并购及项目融资、公司理财、财务顾问等业务；受托经营国务院有关部门批准证券承销业务；办理居间、咨询、资信调查等业务；代保管及保管箱业务；存放同业、拆放同业、贷款、租赁、投资方式运用固有财产；以固有财产为他人提供担保；从事同业拆借；法律法规规定或中国银行业监督管理委员会批准的其他业务。</w:t>
      </w:r>
    </w:p>
    <w:p w14:paraId="370A9CA7" w14:textId="77777777" w:rsidR="00E352F7" w:rsidRPr="007B4794" w:rsidRDefault="00E352F7" w:rsidP="00EF1990">
      <w:pPr>
        <w:pStyle w:val="2"/>
        <w:spacing w:before="0" w:after="0" w:line="480" w:lineRule="auto"/>
        <w:jc w:val="both"/>
        <w:rPr>
          <w:rFonts w:eastAsia="宋体" w:cs="Arial"/>
          <w:color w:val="000000" w:themeColor="text1"/>
          <w:sz w:val="21"/>
          <w:szCs w:val="21"/>
        </w:rPr>
      </w:pPr>
      <w:bookmarkStart w:id="14" w:name="_Toc54016574"/>
      <w:r w:rsidRPr="007B4794">
        <w:rPr>
          <w:rFonts w:eastAsia="宋体" w:cs="Arial"/>
          <w:color w:val="000000" w:themeColor="text1"/>
          <w:sz w:val="21"/>
          <w:szCs w:val="21"/>
        </w:rPr>
        <w:t>二、编制单位</w:t>
      </w:r>
      <w:bookmarkEnd w:id="14"/>
    </w:p>
    <w:p w14:paraId="2D2890A1" w14:textId="77777777" w:rsidR="00E352F7" w:rsidRPr="007B4794" w:rsidRDefault="00E352F7" w:rsidP="00EF1990">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单位名称：北京康正宏基房地产评估有限公司</w:t>
      </w:r>
    </w:p>
    <w:p w14:paraId="084141CA" w14:textId="77777777" w:rsidR="00E352F7" w:rsidRPr="007B4794" w:rsidRDefault="00E352F7" w:rsidP="00EF1990">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公司地址：北京市朝阳区裕民路</w:t>
      </w:r>
      <w:r w:rsidRPr="007B4794">
        <w:rPr>
          <w:rFonts w:ascii="Arial" w:hAnsi="Arial" w:cs="Arial"/>
          <w:color w:val="000000" w:themeColor="text1"/>
          <w:sz w:val="21"/>
          <w:szCs w:val="21"/>
        </w:rPr>
        <w:t>12</w:t>
      </w:r>
      <w:r w:rsidRPr="007B4794">
        <w:rPr>
          <w:rFonts w:ascii="Arial" w:hAnsi="Arial" w:cs="Arial"/>
          <w:color w:val="000000" w:themeColor="text1"/>
          <w:sz w:val="21"/>
          <w:szCs w:val="21"/>
        </w:rPr>
        <w:t>号中国国际科技会展中心</w:t>
      </w:r>
      <w:r w:rsidRPr="007B4794">
        <w:rPr>
          <w:rFonts w:ascii="Arial" w:hAnsi="Arial" w:cs="Arial"/>
          <w:color w:val="000000" w:themeColor="text1"/>
          <w:sz w:val="21"/>
          <w:szCs w:val="21"/>
        </w:rPr>
        <w:t>B</w:t>
      </w:r>
      <w:r w:rsidRPr="007B4794">
        <w:rPr>
          <w:rFonts w:ascii="Arial" w:hAnsi="Arial" w:cs="Arial"/>
          <w:color w:val="000000" w:themeColor="text1"/>
          <w:sz w:val="21"/>
          <w:szCs w:val="21"/>
        </w:rPr>
        <w:t>座</w:t>
      </w:r>
      <w:r w:rsidRPr="007B4794">
        <w:rPr>
          <w:rFonts w:ascii="Arial" w:hAnsi="Arial" w:cs="Arial"/>
          <w:color w:val="000000" w:themeColor="text1"/>
          <w:sz w:val="21"/>
          <w:szCs w:val="21"/>
        </w:rPr>
        <w:t>10</w:t>
      </w:r>
      <w:r w:rsidRPr="007B4794">
        <w:rPr>
          <w:rFonts w:ascii="Arial" w:hAnsi="Arial" w:cs="Arial"/>
          <w:color w:val="000000" w:themeColor="text1"/>
          <w:sz w:val="21"/>
          <w:szCs w:val="21"/>
        </w:rPr>
        <w:t>层</w:t>
      </w:r>
      <w:r w:rsidRPr="007B4794">
        <w:rPr>
          <w:rFonts w:ascii="Arial" w:hAnsi="Arial" w:cs="Arial"/>
          <w:color w:val="000000" w:themeColor="text1"/>
          <w:sz w:val="21"/>
          <w:szCs w:val="21"/>
        </w:rPr>
        <w:t>1001</w:t>
      </w:r>
      <w:r w:rsidRPr="007B4794">
        <w:rPr>
          <w:rFonts w:ascii="Arial" w:hAnsi="Arial" w:cs="Arial"/>
          <w:color w:val="000000" w:themeColor="text1"/>
          <w:sz w:val="21"/>
          <w:szCs w:val="21"/>
        </w:rPr>
        <w:t>室</w:t>
      </w:r>
    </w:p>
    <w:p w14:paraId="4A8598EE" w14:textId="77777777" w:rsidR="00E352F7" w:rsidRPr="007B4794" w:rsidRDefault="00E352F7" w:rsidP="00EF1990">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资质级别：在全国范围内从事土地估价业务</w:t>
      </w:r>
    </w:p>
    <w:p w14:paraId="0248C54C" w14:textId="77777777" w:rsidR="00E352F7" w:rsidRPr="007B4794" w:rsidRDefault="00E352F7" w:rsidP="00EF1990">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资质证书号：</w:t>
      </w:r>
      <w:r w:rsidRPr="007B4794">
        <w:rPr>
          <w:rFonts w:ascii="Arial" w:hAnsi="Arial" w:cs="Arial"/>
          <w:color w:val="000000" w:themeColor="text1"/>
          <w:sz w:val="21"/>
          <w:szCs w:val="21"/>
        </w:rPr>
        <w:t>A201111009</w:t>
      </w:r>
    </w:p>
    <w:p w14:paraId="3CC59820" w14:textId="77777777" w:rsidR="00E352F7" w:rsidRPr="007B4794" w:rsidRDefault="00E352F7" w:rsidP="00EF1990">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法人代表：齐</w:t>
      </w:r>
      <w:r w:rsidRPr="007B4794">
        <w:rPr>
          <w:rFonts w:ascii="Arial" w:hAnsi="Arial" w:cs="Arial"/>
          <w:color w:val="000000" w:themeColor="text1"/>
          <w:sz w:val="21"/>
          <w:szCs w:val="21"/>
        </w:rPr>
        <w:t xml:space="preserve">  </w:t>
      </w:r>
      <w:r w:rsidRPr="007B4794">
        <w:rPr>
          <w:rFonts w:ascii="Arial" w:hAnsi="Arial" w:cs="Arial"/>
          <w:color w:val="000000" w:themeColor="text1"/>
          <w:sz w:val="21"/>
          <w:szCs w:val="21"/>
        </w:rPr>
        <w:t>宏</w:t>
      </w:r>
    </w:p>
    <w:p w14:paraId="0369E138" w14:textId="77777777" w:rsidR="00E352F7" w:rsidRPr="007B4794" w:rsidRDefault="00E352F7" w:rsidP="00EF1990">
      <w:pPr>
        <w:pStyle w:val="2"/>
        <w:spacing w:before="0" w:after="0" w:line="480" w:lineRule="auto"/>
        <w:jc w:val="both"/>
        <w:rPr>
          <w:rFonts w:eastAsia="宋体" w:cs="Arial"/>
          <w:color w:val="000000" w:themeColor="text1"/>
          <w:sz w:val="21"/>
          <w:szCs w:val="21"/>
        </w:rPr>
      </w:pPr>
      <w:bookmarkStart w:id="15" w:name="_Toc111622540"/>
      <w:bookmarkStart w:id="16" w:name="_Toc415468958"/>
      <w:bookmarkStart w:id="17" w:name="_Toc54016575"/>
      <w:r w:rsidRPr="007B4794">
        <w:rPr>
          <w:rFonts w:eastAsia="宋体" w:cs="Arial"/>
          <w:color w:val="000000" w:themeColor="text1"/>
          <w:sz w:val="21"/>
          <w:szCs w:val="21"/>
        </w:rPr>
        <w:t>三、</w:t>
      </w:r>
      <w:bookmarkEnd w:id="15"/>
      <w:bookmarkEnd w:id="16"/>
      <w:r w:rsidRPr="007B4794">
        <w:rPr>
          <w:rFonts w:eastAsia="宋体" w:cs="Arial"/>
          <w:color w:val="000000" w:themeColor="text1"/>
          <w:sz w:val="21"/>
          <w:szCs w:val="21"/>
        </w:rPr>
        <w:t>编制目的</w:t>
      </w:r>
      <w:bookmarkEnd w:id="17"/>
    </w:p>
    <w:p w14:paraId="0FF1C071" w14:textId="7506A4D6" w:rsidR="00E352F7" w:rsidRPr="007B4794" w:rsidRDefault="00034AF3" w:rsidP="00EF1990">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为委托人了解调研对象市场状况而进行调研。</w:t>
      </w:r>
    </w:p>
    <w:p w14:paraId="59EB6112" w14:textId="2B54D7CF" w:rsidR="00034AF3" w:rsidRPr="007B4794" w:rsidRDefault="00034AF3" w:rsidP="00034AF3">
      <w:pPr>
        <w:pStyle w:val="2"/>
        <w:spacing w:before="0" w:after="0" w:line="480" w:lineRule="auto"/>
        <w:jc w:val="both"/>
        <w:rPr>
          <w:rFonts w:eastAsia="宋体" w:cs="Arial"/>
          <w:color w:val="000000" w:themeColor="text1"/>
          <w:sz w:val="21"/>
          <w:szCs w:val="21"/>
        </w:rPr>
      </w:pPr>
      <w:bookmarkStart w:id="18" w:name="_Toc54016576"/>
      <w:r w:rsidRPr="007B4794">
        <w:rPr>
          <w:rFonts w:eastAsia="宋体" w:cs="Arial" w:hint="eastAsia"/>
          <w:color w:val="000000" w:themeColor="text1"/>
          <w:sz w:val="21"/>
          <w:szCs w:val="21"/>
        </w:rPr>
        <w:t>四</w:t>
      </w:r>
      <w:r w:rsidRPr="007B4794">
        <w:rPr>
          <w:rFonts w:eastAsia="宋体" w:cs="Arial"/>
          <w:color w:val="000000" w:themeColor="text1"/>
          <w:sz w:val="21"/>
          <w:szCs w:val="21"/>
        </w:rPr>
        <w:t>、</w:t>
      </w:r>
      <w:r w:rsidRPr="007B4794">
        <w:rPr>
          <w:rFonts w:eastAsia="宋体" w:cs="Arial" w:hint="eastAsia"/>
          <w:color w:val="000000" w:themeColor="text1"/>
          <w:sz w:val="21"/>
          <w:szCs w:val="21"/>
        </w:rPr>
        <w:t>调研对象</w:t>
      </w:r>
      <w:bookmarkEnd w:id="18"/>
    </w:p>
    <w:p w14:paraId="0B9BC3E6" w14:textId="06B00F55" w:rsidR="00034AF3" w:rsidRPr="007B4794" w:rsidRDefault="00034AF3" w:rsidP="00034AF3">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本次调研对象为</w:t>
      </w:r>
      <w:r w:rsidR="006D68C2" w:rsidRPr="007B4794">
        <w:rPr>
          <w:rFonts w:ascii="Arial" w:hAnsi="Arial" w:cs="Arial" w:hint="eastAsia"/>
          <w:color w:val="000000" w:themeColor="text1"/>
          <w:kern w:val="2"/>
          <w:sz w:val="21"/>
          <w:szCs w:val="21"/>
        </w:rPr>
        <w:t>福建省漳州市台商投资区湖中路以北</w:t>
      </w:r>
      <w:r w:rsidR="00D30D68" w:rsidRPr="007B4794">
        <w:rPr>
          <w:rFonts w:ascii="Arial" w:hAnsi="Arial" w:cs="Arial" w:hint="eastAsia"/>
          <w:color w:val="000000" w:themeColor="text1"/>
          <w:kern w:val="2"/>
          <w:sz w:val="21"/>
          <w:szCs w:val="21"/>
        </w:rPr>
        <w:t>、</w:t>
      </w:r>
      <w:r w:rsidR="006D68C2" w:rsidRPr="007B4794">
        <w:rPr>
          <w:rFonts w:ascii="Arial" w:hAnsi="Arial" w:cs="Arial" w:hint="eastAsia"/>
          <w:color w:val="000000" w:themeColor="text1"/>
          <w:kern w:val="2"/>
          <w:sz w:val="21"/>
          <w:szCs w:val="21"/>
        </w:rPr>
        <w:t>锦江大道以东居住</w:t>
      </w:r>
      <w:r w:rsidR="00B850AD" w:rsidRPr="007B4794">
        <w:rPr>
          <w:rFonts w:ascii="Arial" w:hAnsi="Arial" w:cs="Arial" w:hint="eastAsia"/>
          <w:color w:val="000000" w:themeColor="text1"/>
          <w:kern w:val="2"/>
          <w:sz w:val="21"/>
          <w:szCs w:val="21"/>
        </w:rPr>
        <w:t>项目</w:t>
      </w:r>
      <w:r w:rsidRPr="007B4794">
        <w:rPr>
          <w:rFonts w:ascii="Arial" w:hAnsi="Arial" w:cs="Arial" w:hint="eastAsia"/>
          <w:color w:val="000000" w:themeColor="text1"/>
          <w:sz w:val="21"/>
          <w:szCs w:val="21"/>
        </w:rPr>
        <w:t>，</w:t>
      </w:r>
      <w:r w:rsidR="005070E9" w:rsidRPr="007B4794">
        <w:rPr>
          <w:rFonts w:ascii="Arial" w:hAnsi="Arial" w:cs="Arial"/>
          <w:color w:val="000000" w:themeColor="text1"/>
          <w:sz w:val="21"/>
          <w:szCs w:val="21"/>
        </w:rPr>
        <w:t>调研对象</w:t>
      </w:r>
      <w:r w:rsidRPr="007B4794">
        <w:rPr>
          <w:rFonts w:ascii="Arial" w:hAnsi="Arial" w:cs="Arial"/>
          <w:color w:val="000000" w:themeColor="text1"/>
          <w:sz w:val="21"/>
          <w:szCs w:val="21"/>
        </w:rPr>
        <w:t>当前拟报规经济技术指标详见下表</w:t>
      </w:r>
      <w:r w:rsidRPr="007B4794">
        <w:rPr>
          <w:rFonts w:ascii="Arial" w:hAnsi="Arial" w:cs="Arial" w:hint="eastAsia"/>
          <w:color w:val="000000" w:themeColor="text1"/>
          <w:sz w:val="21"/>
          <w:szCs w:val="21"/>
        </w:rPr>
        <w:t>：</w:t>
      </w:r>
    </w:p>
    <w:p w14:paraId="089D16AE" w14:textId="77777777" w:rsidR="00074032" w:rsidRPr="00074032" w:rsidRDefault="00074032" w:rsidP="00074032">
      <w:pPr>
        <w:widowControl w:val="0"/>
        <w:adjustRightInd w:val="0"/>
        <w:snapToGrid w:val="0"/>
        <w:spacing w:line="480" w:lineRule="auto"/>
        <w:ind w:firstLineChars="200" w:firstLine="420"/>
        <w:jc w:val="both"/>
        <w:rPr>
          <w:rFonts w:ascii="华文楷体" w:eastAsia="华文楷体" w:hAnsi="华文楷体" w:cs="Arial"/>
          <w:color w:val="000000" w:themeColor="text1"/>
          <w:sz w:val="21"/>
          <w:szCs w:val="21"/>
        </w:rPr>
      </w:pPr>
      <w:r w:rsidRPr="00074032">
        <w:rPr>
          <w:rFonts w:ascii="华文楷体" w:eastAsia="华文楷体" w:hAnsi="华文楷体" w:cs="Arial" w:hint="eastAsia"/>
          <w:color w:val="000000" w:themeColor="text1"/>
          <w:sz w:val="21"/>
          <w:szCs w:val="21"/>
        </w:rPr>
        <w:t>（转下页）</w:t>
      </w:r>
    </w:p>
    <w:p w14:paraId="41C46EC3" w14:textId="27D9FF04" w:rsidR="00656D07" w:rsidRPr="007B4794" w:rsidRDefault="00656D07" w:rsidP="00034AF3">
      <w:pPr>
        <w:adjustRightInd w:val="0"/>
        <w:snapToGrid w:val="0"/>
        <w:spacing w:line="480" w:lineRule="auto"/>
        <w:ind w:firstLineChars="200" w:firstLine="420"/>
        <w:jc w:val="both"/>
        <w:rPr>
          <w:rFonts w:ascii="Arial" w:hAnsi="Arial" w:cs="Arial"/>
          <w:color w:val="000000" w:themeColor="text1"/>
          <w:sz w:val="21"/>
          <w:szCs w:val="21"/>
        </w:rPr>
      </w:pPr>
    </w:p>
    <w:p w14:paraId="7118FD90" w14:textId="66C47798" w:rsidR="00656D07" w:rsidRPr="007B4794" w:rsidRDefault="00656D07" w:rsidP="00034AF3">
      <w:pPr>
        <w:adjustRightInd w:val="0"/>
        <w:snapToGrid w:val="0"/>
        <w:spacing w:line="480" w:lineRule="auto"/>
        <w:ind w:firstLineChars="200" w:firstLine="420"/>
        <w:jc w:val="both"/>
        <w:rPr>
          <w:rFonts w:ascii="Arial" w:hAnsi="Arial" w:cs="Arial"/>
          <w:color w:val="000000" w:themeColor="text1"/>
          <w:sz w:val="21"/>
          <w:szCs w:val="21"/>
        </w:rPr>
      </w:pPr>
    </w:p>
    <w:tbl>
      <w:tblPr>
        <w:tblW w:w="5000" w:type="pct"/>
        <w:tblCellMar>
          <w:top w:w="57" w:type="dxa"/>
          <w:left w:w="57" w:type="dxa"/>
          <w:bottom w:w="57" w:type="dxa"/>
          <w:right w:w="57" w:type="dxa"/>
        </w:tblCellMar>
        <w:tblLook w:val="04A0" w:firstRow="1" w:lastRow="0" w:firstColumn="1" w:lastColumn="0" w:noHBand="0" w:noVBand="1"/>
      </w:tblPr>
      <w:tblGrid>
        <w:gridCol w:w="3138"/>
        <w:gridCol w:w="3138"/>
        <w:gridCol w:w="3136"/>
      </w:tblGrid>
      <w:tr w:rsidR="00B850AD" w:rsidRPr="007B4794" w14:paraId="3777F4F3" w14:textId="77777777" w:rsidTr="00B850AD">
        <w:trPr>
          <w:trHeight w:val="283"/>
        </w:trPr>
        <w:tc>
          <w:tcPr>
            <w:tcW w:w="3334" w:type="pct"/>
            <w:gridSpan w:val="2"/>
            <w:tcBorders>
              <w:top w:val="single" w:sz="4" w:space="0" w:color="auto"/>
              <w:left w:val="single" w:sz="4" w:space="0" w:color="auto"/>
              <w:bottom w:val="single" w:sz="4" w:space="0" w:color="auto"/>
              <w:right w:val="single" w:sz="4" w:space="0" w:color="auto"/>
            </w:tcBorders>
            <w:vAlign w:val="center"/>
            <w:hideMark/>
          </w:tcPr>
          <w:p w14:paraId="712ADFDE" w14:textId="77777777" w:rsidR="00B850AD" w:rsidRPr="007B4794" w:rsidRDefault="00B850AD" w:rsidP="00B850AD">
            <w:pPr>
              <w:adjustRightInd w:val="0"/>
              <w:snapToGrid w:val="0"/>
              <w:spacing w:line="0" w:lineRule="atLeast"/>
              <w:rPr>
                <w:rFonts w:ascii="华文细黑" w:eastAsia="华文细黑" w:hAnsi="华文细黑"/>
                <w:bCs/>
                <w:color w:val="000000" w:themeColor="text1"/>
                <w:sz w:val="18"/>
                <w:szCs w:val="18"/>
              </w:rPr>
            </w:pPr>
            <w:r w:rsidRPr="007B4794">
              <w:rPr>
                <w:rFonts w:ascii="华文细黑" w:eastAsia="华文细黑" w:hAnsi="华文细黑" w:hint="eastAsia"/>
                <w:bCs/>
                <w:color w:val="000000" w:themeColor="text1"/>
                <w:sz w:val="18"/>
                <w:szCs w:val="18"/>
              </w:rPr>
              <w:lastRenderedPageBreak/>
              <w:t>部位</w:t>
            </w:r>
          </w:p>
        </w:tc>
        <w:tc>
          <w:tcPr>
            <w:tcW w:w="1666" w:type="pct"/>
            <w:tcBorders>
              <w:top w:val="single" w:sz="4" w:space="0" w:color="auto"/>
              <w:left w:val="nil"/>
              <w:bottom w:val="single" w:sz="4" w:space="0" w:color="auto"/>
              <w:right w:val="single" w:sz="4" w:space="0" w:color="auto"/>
            </w:tcBorders>
            <w:noWrap/>
            <w:vAlign w:val="center"/>
            <w:hideMark/>
          </w:tcPr>
          <w:p w14:paraId="14DB2DC7" w14:textId="77777777" w:rsidR="00B850AD" w:rsidRPr="007B4794" w:rsidRDefault="00B850AD" w:rsidP="00B850AD">
            <w:pPr>
              <w:adjustRightInd w:val="0"/>
              <w:snapToGrid w:val="0"/>
              <w:spacing w:line="0" w:lineRule="atLeast"/>
              <w:rPr>
                <w:rFonts w:ascii="华文细黑" w:eastAsia="华文细黑" w:hAnsi="华文细黑"/>
                <w:bCs/>
                <w:color w:val="000000" w:themeColor="text1"/>
                <w:sz w:val="18"/>
                <w:szCs w:val="18"/>
              </w:rPr>
            </w:pPr>
            <w:r w:rsidRPr="007B4794">
              <w:rPr>
                <w:rFonts w:ascii="华文细黑" w:eastAsia="华文细黑" w:hAnsi="华文细黑" w:hint="eastAsia"/>
                <w:bCs/>
                <w:color w:val="000000" w:themeColor="text1"/>
                <w:sz w:val="18"/>
                <w:szCs w:val="18"/>
              </w:rPr>
              <w:t>规划建筑面积（平方米）</w:t>
            </w:r>
          </w:p>
        </w:tc>
      </w:tr>
      <w:tr w:rsidR="00B011C2" w:rsidRPr="007B4794" w14:paraId="00EB75C2" w14:textId="77777777" w:rsidTr="00B011C2">
        <w:trPr>
          <w:trHeight w:val="283"/>
        </w:trPr>
        <w:tc>
          <w:tcPr>
            <w:tcW w:w="1667" w:type="pct"/>
            <w:vMerge w:val="restart"/>
            <w:tcBorders>
              <w:top w:val="single" w:sz="4" w:space="0" w:color="auto"/>
              <w:left w:val="single" w:sz="4" w:space="0" w:color="auto"/>
              <w:right w:val="single" w:sz="4" w:space="0" w:color="auto"/>
            </w:tcBorders>
            <w:vAlign w:val="center"/>
            <w:hideMark/>
          </w:tcPr>
          <w:p w14:paraId="0FFCD6F6" w14:textId="53C2F7AB" w:rsidR="00B011C2" w:rsidRPr="007B4794" w:rsidRDefault="00B011C2" w:rsidP="00B011C2">
            <w:pPr>
              <w:adjustRightInd w:val="0"/>
              <w:snapToGrid w:val="0"/>
              <w:spacing w:line="0" w:lineRule="atLeast"/>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18"/>
                <w:szCs w:val="18"/>
              </w:rPr>
              <w:t>地上</w:t>
            </w:r>
          </w:p>
        </w:tc>
        <w:tc>
          <w:tcPr>
            <w:tcW w:w="1667" w:type="pct"/>
            <w:tcBorders>
              <w:top w:val="single" w:sz="4" w:space="0" w:color="auto"/>
              <w:left w:val="single" w:sz="4" w:space="0" w:color="auto"/>
              <w:bottom w:val="single" w:sz="4" w:space="0" w:color="auto"/>
              <w:right w:val="single" w:sz="4" w:space="0" w:color="auto"/>
            </w:tcBorders>
            <w:noWrap/>
            <w:vAlign w:val="center"/>
            <w:hideMark/>
          </w:tcPr>
          <w:p w14:paraId="71CF562F" w14:textId="4892B7B7" w:rsidR="00B011C2" w:rsidRPr="007B4794" w:rsidRDefault="00B011C2" w:rsidP="00B850AD">
            <w:pPr>
              <w:adjustRightInd w:val="0"/>
              <w:snapToGrid w:val="0"/>
              <w:spacing w:line="0" w:lineRule="atLeast"/>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20"/>
                <w:szCs w:val="20"/>
              </w:rPr>
              <w:t>高层住宅（平层）</w:t>
            </w:r>
          </w:p>
        </w:tc>
        <w:tc>
          <w:tcPr>
            <w:tcW w:w="1666" w:type="pct"/>
            <w:tcBorders>
              <w:top w:val="single" w:sz="4" w:space="0" w:color="auto"/>
              <w:left w:val="nil"/>
              <w:bottom w:val="single" w:sz="4" w:space="0" w:color="auto"/>
              <w:right w:val="single" w:sz="4" w:space="0" w:color="auto"/>
            </w:tcBorders>
            <w:noWrap/>
            <w:vAlign w:val="center"/>
            <w:hideMark/>
          </w:tcPr>
          <w:p w14:paraId="3A2A3978" w14:textId="7E4BDB58" w:rsidR="00B011C2" w:rsidRPr="007B4794" w:rsidRDefault="00B011C2" w:rsidP="00B850AD">
            <w:pPr>
              <w:adjustRightInd w:val="0"/>
              <w:snapToGrid w:val="0"/>
              <w:spacing w:line="0" w:lineRule="atLeast"/>
              <w:rPr>
                <w:rFonts w:ascii="华文细黑" w:eastAsia="华文细黑" w:hAnsi="华文细黑"/>
                <w:bCs/>
                <w:color w:val="000000" w:themeColor="text1"/>
                <w:sz w:val="18"/>
                <w:szCs w:val="18"/>
              </w:rPr>
            </w:pPr>
            <w:r w:rsidRPr="007B4794">
              <w:rPr>
                <w:rFonts w:ascii="华文细黑" w:eastAsia="华文细黑" w:hAnsi="华文细黑"/>
                <w:bCs/>
                <w:color w:val="000000" w:themeColor="text1"/>
                <w:sz w:val="18"/>
                <w:szCs w:val="18"/>
              </w:rPr>
              <w:t>45429</w:t>
            </w:r>
          </w:p>
        </w:tc>
      </w:tr>
      <w:tr w:rsidR="00B011C2" w:rsidRPr="007B4794" w14:paraId="6F0296B0" w14:textId="77777777" w:rsidTr="00B011C2">
        <w:trPr>
          <w:trHeight w:val="283"/>
        </w:trPr>
        <w:tc>
          <w:tcPr>
            <w:tcW w:w="0" w:type="auto"/>
            <w:vMerge/>
            <w:tcBorders>
              <w:left w:val="single" w:sz="4" w:space="0" w:color="auto"/>
              <w:right w:val="single" w:sz="4" w:space="0" w:color="auto"/>
            </w:tcBorders>
            <w:vAlign w:val="center"/>
            <w:hideMark/>
          </w:tcPr>
          <w:p w14:paraId="641139B0" w14:textId="77777777" w:rsidR="00B011C2" w:rsidRPr="007B4794" w:rsidRDefault="00B011C2" w:rsidP="00B850AD">
            <w:pPr>
              <w:rPr>
                <w:rFonts w:ascii="华文细黑" w:eastAsia="华文细黑" w:hAnsi="华文细黑"/>
                <w:color w:val="000000" w:themeColor="text1"/>
                <w:sz w:val="18"/>
                <w:szCs w:val="18"/>
              </w:rPr>
            </w:pPr>
          </w:p>
        </w:tc>
        <w:tc>
          <w:tcPr>
            <w:tcW w:w="1667" w:type="pct"/>
            <w:tcBorders>
              <w:top w:val="nil"/>
              <w:left w:val="single" w:sz="4" w:space="0" w:color="auto"/>
              <w:bottom w:val="single" w:sz="4" w:space="0" w:color="auto"/>
              <w:right w:val="single" w:sz="4" w:space="0" w:color="auto"/>
            </w:tcBorders>
            <w:noWrap/>
            <w:vAlign w:val="center"/>
            <w:hideMark/>
          </w:tcPr>
          <w:p w14:paraId="03DF0735" w14:textId="7E09DD89" w:rsidR="00B011C2" w:rsidRPr="007B4794" w:rsidRDefault="00B011C2" w:rsidP="00B850AD">
            <w:pPr>
              <w:adjustRightInd w:val="0"/>
              <w:snapToGrid w:val="0"/>
              <w:spacing w:line="0" w:lineRule="atLeast"/>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20"/>
                <w:szCs w:val="20"/>
              </w:rPr>
              <w:t>高层住宅（复式）</w:t>
            </w:r>
          </w:p>
        </w:tc>
        <w:tc>
          <w:tcPr>
            <w:tcW w:w="1666" w:type="pct"/>
            <w:tcBorders>
              <w:top w:val="nil"/>
              <w:left w:val="nil"/>
              <w:bottom w:val="single" w:sz="4" w:space="0" w:color="auto"/>
              <w:right w:val="single" w:sz="4" w:space="0" w:color="auto"/>
            </w:tcBorders>
            <w:noWrap/>
            <w:vAlign w:val="center"/>
            <w:hideMark/>
          </w:tcPr>
          <w:p w14:paraId="1E243B45" w14:textId="0FDC0305" w:rsidR="00B011C2" w:rsidRPr="007B4794" w:rsidRDefault="00B011C2" w:rsidP="00B850AD">
            <w:pPr>
              <w:adjustRightInd w:val="0"/>
              <w:snapToGrid w:val="0"/>
              <w:spacing w:line="0" w:lineRule="atLeast"/>
              <w:rPr>
                <w:rFonts w:ascii="华文细黑" w:eastAsia="华文细黑" w:hAnsi="华文细黑"/>
                <w:bCs/>
                <w:color w:val="000000" w:themeColor="text1"/>
                <w:sz w:val="18"/>
                <w:szCs w:val="18"/>
              </w:rPr>
            </w:pPr>
            <w:r w:rsidRPr="007B4794">
              <w:rPr>
                <w:rFonts w:ascii="华文细黑" w:eastAsia="华文细黑" w:hAnsi="华文细黑"/>
                <w:bCs/>
                <w:color w:val="000000" w:themeColor="text1"/>
                <w:sz w:val="18"/>
                <w:szCs w:val="18"/>
              </w:rPr>
              <w:t>49840</w:t>
            </w:r>
          </w:p>
        </w:tc>
      </w:tr>
      <w:tr w:rsidR="00B011C2" w:rsidRPr="007B4794" w14:paraId="3FCE229C" w14:textId="77777777" w:rsidTr="00B011C2">
        <w:trPr>
          <w:trHeight w:val="283"/>
        </w:trPr>
        <w:tc>
          <w:tcPr>
            <w:tcW w:w="0" w:type="auto"/>
            <w:vMerge/>
            <w:tcBorders>
              <w:left w:val="single" w:sz="4" w:space="0" w:color="auto"/>
              <w:right w:val="single" w:sz="4" w:space="0" w:color="auto"/>
            </w:tcBorders>
            <w:vAlign w:val="center"/>
            <w:hideMark/>
          </w:tcPr>
          <w:p w14:paraId="515BC8DC" w14:textId="77777777" w:rsidR="00B011C2" w:rsidRPr="007B4794" w:rsidRDefault="00B011C2" w:rsidP="00B850AD">
            <w:pPr>
              <w:rPr>
                <w:rFonts w:ascii="华文细黑" w:eastAsia="华文细黑" w:hAnsi="华文细黑"/>
                <w:color w:val="000000" w:themeColor="text1"/>
                <w:sz w:val="18"/>
                <w:szCs w:val="18"/>
              </w:rPr>
            </w:pPr>
          </w:p>
        </w:tc>
        <w:tc>
          <w:tcPr>
            <w:tcW w:w="1667" w:type="pct"/>
            <w:tcBorders>
              <w:top w:val="nil"/>
              <w:left w:val="single" w:sz="4" w:space="0" w:color="auto"/>
              <w:bottom w:val="single" w:sz="4" w:space="0" w:color="auto"/>
              <w:right w:val="single" w:sz="4" w:space="0" w:color="auto"/>
            </w:tcBorders>
            <w:noWrap/>
            <w:vAlign w:val="center"/>
            <w:hideMark/>
          </w:tcPr>
          <w:p w14:paraId="4935818E" w14:textId="0DC887FF" w:rsidR="00B011C2" w:rsidRPr="007B4794" w:rsidRDefault="00B011C2" w:rsidP="00B850AD">
            <w:pPr>
              <w:adjustRightInd w:val="0"/>
              <w:snapToGrid w:val="0"/>
              <w:spacing w:line="0" w:lineRule="atLeast"/>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20"/>
                <w:szCs w:val="20"/>
              </w:rPr>
              <w:t>公寓</w:t>
            </w:r>
          </w:p>
        </w:tc>
        <w:tc>
          <w:tcPr>
            <w:tcW w:w="1666" w:type="pct"/>
            <w:tcBorders>
              <w:top w:val="nil"/>
              <w:left w:val="nil"/>
              <w:bottom w:val="single" w:sz="4" w:space="0" w:color="auto"/>
              <w:right w:val="single" w:sz="4" w:space="0" w:color="auto"/>
            </w:tcBorders>
            <w:noWrap/>
            <w:vAlign w:val="center"/>
            <w:hideMark/>
          </w:tcPr>
          <w:p w14:paraId="24B7F210" w14:textId="25B9250F" w:rsidR="00B011C2" w:rsidRPr="007B4794" w:rsidRDefault="00B011C2" w:rsidP="00B850AD">
            <w:pPr>
              <w:adjustRightInd w:val="0"/>
              <w:snapToGrid w:val="0"/>
              <w:spacing w:line="0" w:lineRule="atLeast"/>
              <w:rPr>
                <w:rFonts w:ascii="华文细黑" w:eastAsia="华文细黑" w:hAnsi="华文细黑"/>
                <w:bCs/>
                <w:color w:val="000000" w:themeColor="text1"/>
                <w:sz w:val="18"/>
                <w:szCs w:val="18"/>
              </w:rPr>
            </w:pPr>
            <w:r w:rsidRPr="007B4794">
              <w:rPr>
                <w:rFonts w:ascii="华文细黑" w:eastAsia="华文细黑" w:hAnsi="华文细黑"/>
                <w:bCs/>
                <w:color w:val="000000" w:themeColor="text1"/>
                <w:sz w:val="18"/>
                <w:szCs w:val="18"/>
              </w:rPr>
              <w:t>15000</w:t>
            </w:r>
          </w:p>
        </w:tc>
      </w:tr>
      <w:tr w:rsidR="00B011C2" w:rsidRPr="007B4794" w14:paraId="25EAAA74" w14:textId="77777777" w:rsidTr="00B011C2">
        <w:trPr>
          <w:trHeight w:val="283"/>
        </w:trPr>
        <w:tc>
          <w:tcPr>
            <w:tcW w:w="0" w:type="auto"/>
            <w:vMerge/>
            <w:tcBorders>
              <w:left w:val="single" w:sz="4" w:space="0" w:color="auto"/>
              <w:right w:val="single" w:sz="4" w:space="0" w:color="auto"/>
            </w:tcBorders>
            <w:vAlign w:val="center"/>
          </w:tcPr>
          <w:p w14:paraId="5A0CFCE2" w14:textId="77777777" w:rsidR="00B011C2" w:rsidRPr="007B4794" w:rsidRDefault="00B011C2" w:rsidP="00B850AD">
            <w:pPr>
              <w:rPr>
                <w:rFonts w:ascii="华文细黑" w:eastAsia="华文细黑" w:hAnsi="华文细黑"/>
                <w:color w:val="000000" w:themeColor="text1"/>
                <w:sz w:val="18"/>
                <w:szCs w:val="18"/>
              </w:rPr>
            </w:pPr>
          </w:p>
        </w:tc>
        <w:tc>
          <w:tcPr>
            <w:tcW w:w="1667" w:type="pct"/>
            <w:tcBorders>
              <w:top w:val="nil"/>
              <w:left w:val="single" w:sz="4" w:space="0" w:color="auto"/>
              <w:bottom w:val="single" w:sz="4" w:space="0" w:color="auto"/>
              <w:right w:val="single" w:sz="4" w:space="0" w:color="auto"/>
            </w:tcBorders>
            <w:noWrap/>
            <w:vAlign w:val="center"/>
          </w:tcPr>
          <w:p w14:paraId="3F4E5C5E" w14:textId="4ACF6F63" w:rsidR="00B011C2" w:rsidRPr="007B4794" w:rsidRDefault="00B011C2" w:rsidP="00B850AD">
            <w:pPr>
              <w:adjustRightInd w:val="0"/>
              <w:snapToGrid w:val="0"/>
              <w:spacing w:line="0" w:lineRule="atLeast"/>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20"/>
                <w:szCs w:val="20"/>
              </w:rPr>
              <w:t>商业</w:t>
            </w:r>
          </w:p>
        </w:tc>
        <w:tc>
          <w:tcPr>
            <w:tcW w:w="1666" w:type="pct"/>
            <w:tcBorders>
              <w:top w:val="nil"/>
              <w:left w:val="nil"/>
              <w:bottom w:val="single" w:sz="4" w:space="0" w:color="auto"/>
              <w:right w:val="single" w:sz="4" w:space="0" w:color="auto"/>
            </w:tcBorders>
            <w:noWrap/>
            <w:vAlign w:val="center"/>
          </w:tcPr>
          <w:p w14:paraId="3C3A5C10" w14:textId="12F118FC" w:rsidR="00B011C2" w:rsidRPr="007B4794" w:rsidRDefault="00B011C2" w:rsidP="00B850AD">
            <w:pPr>
              <w:adjustRightInd w:val="0"/>
              <w:snapToGrid w:val="0"/>
              <w:spacing w:line="0" w:lineRule="atLeast"/>
              <w:rPr>
                <w:rFonts w:ascii="华文细黑" w:eastAsia="华文细黑" w:hAnsi="华文细黑"/>
                <w:bCs/>
                <w:color w:val="000000" w:themeColor="text1"/>
                <w:sz w:val="18"/>
                <w:szCs w:val="18"/>
              </w:rPr>
            </w:pPr>
            <w:r w:rsidRPr="007B4794">
              <w:rPr>
                <w:rFonts w:ascii="华文细黑" w:eastAsia="华文细黑" w:hAnsi="华文细黑"/>
                <w:bCs/>
                <w:color w:val="000000" w:themeColor="text1"/>
                <w:sz w:val="18"/>
                <w:szCs w:val="18"/>
              </w:rPr>
              <w:t>7965</w:t>
            </w:r>
          </w:p>
        </w:tc>
      </w:tr>
      <w:tr w:rsidR="00B011C2" w:rsidRPr="007B4794" w14:paraId="6BB76C5A" w14:textId="77777777" w:rsidTr="00B011C2">
        <w:trPr>
          <w:trHeight w:val="283"/>
        </w:trPr>
        <w:tc>
          <w:tcPr>
            <w:tcW w:w="0" w:type="auto"/>
            <w:vMerge/>
            <w:tcBorders>
              <w:left w:val="single" w:sz="4" w:space="0" w:color="auto"/>
              <w:right w:val="single" w:sz="4" w:space="0" w:color="auto"/>
            </w:tcBorders>
            <w:vAlign w:val="center"/>
            <w:hideMark/>
          </w:tcPr>
          <w:p w14:paraId="6212897F" w14:textId="77777777" w:rsidR="00B011C2" w:rsidRPr="007B4794" w:rsidRDefault="00B011C2" w:rsidP="00B850AD">
            <w:pPr>
              <w:rPr>
                <w:rFonts w:ascii="华文细黑" w:eastAsia="华文细黑" w:hAnsi="华文细黑"/>
                <w:color w:val="000000" w:themeColor="text1"/>
                <w:sz w:val="18"/>
                <w:szCs w:val="18"/>
              </w:rPr>
            </w:pPr>
          </w:p>
        </w:tc>
        <w:tc>
          <w:tcPr>
            <w:tcW w:w="1667" w:type="pct"/>
            <w:tcBorders>
              <w:top w:val="nil"/>
              <w:left w:val="single" w:sz="4" w:space="0" w:color="auto"/>
              <w:bottom w:val="single" w:sz="4" w:space="0" w:color="auto"/>
              <w:right w:val="single" w:sz="4" w:space="0" w:color="auto"/>
            </w:tcBorders>
            <w:noWrap/>
            <w:vAlign w:val="center"/>
            <w:hideMark/>
          </w:tcPr>
          <w:p w14:paraId="7C31AA45" w14:textId="433E4641" w:rsidR="00B011C2" w:rsidRPr="007B4794" w:rsidRDefault="00B011C2" w:rsidP="00B850AD">
            <w:pPr>
              <w:adjustRightInd w:val="0"/>
              <w:snapToGrid w:val="0"/>
              <w:spacing w:line="0" w:lineRule="atLeast"/>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20"/>
                <w:szCs w:val="20"/>
              </w:rPr>
              <w:t>公共配套、设备及其他</w:t>
            </w:r>
          </w:p>
        </w:tc>
        <w:tc>
          <w:tcPr>
            <w:tcW w:w="1666" w:type="pct"/>
            <w:tcBorders>
              <w:top w:val="nil"/>
              <w:left w:val="nil"/>
              <w:bottom w:val="single" w:sz="4" w:space="0" w:color="auto"/>
              <w:right w:val="single" w:sz="4" w:space="0" w:color="auto"/>
            </w:tcBorders>
            <w:noWrap/>
            <w:vAlign w:val="center"/>
            <w:hideMark/>
          </w:tcPr>
          <w:p w14:paraId="185E10CE" w14:textId="57B19C38" w:rsidR="00B011C2" w:rsidRPr="007B4794" w:rsidRDefault="00B011C2" w:rsidP="00B850AD">
            <w:pPr>
              <w:adjustRightInd w:val="0"/>
              <w:snapToGrid w:val="0"/>
              <w:spacing w:line="0" w:lineRule="atLeast"/>
              <w:rPr>
                <w:rFonts w:ascii="华文细黑" w:eastAsia="华文细黑" w:hAnsi="华文细黑"/>
                <w:bCs/>
                <w:color w:val="000000" w:themeColor="text1"/>
                <w:sz w:val="18"/>
                <w:szCs w:val="18"/>
              </w:rPr>
            </w:pPr>
            <w:r w:rsidRPr="007B4794">
              <w:rPr>
                <w:rFonts w:ascii="华文细黑" w:eastAsia="华文细黑" w:hAnsi="华文细黑"/>
                <w:bCs/>
                <w:color w:val="000000" w:themeColor="text1"/>
                <w:sz w:val="18"/>
                <w:szCs w:val="18"/>
              </w:rPr>
              <w:t>18855</w:t>
            </w:r>
          </w:p>
        </w:tc>
      </w:tr>
      <w:tr w:rsidR="00B011C2" w:rsidRPr="007B4794" w14:paraId="43CD5D67" w14:textId="77777777" w:rsidTr="00B011C2">
        <w:trPr>
          <w:trHeight w:val="283"/>
        </w:trPr>
        <w:tc>
          <w:tcPr>
            <w:tcW w:w="0" w:type="auto"/>
            <w:vMerge/>
            <w:tcBorders>
              <w:left w:val="single" w:sz="4" w:space="0" w:color="auto"/>
              <w:bottom w:val="single" w:sz="4" w:space="0" w:color="auto"/>
              <w:right w:val="single" w:sz="4" w:space="0" w:color="auto"/>
            </w:tcBorders>
            <w:vAlign w:val="center"/>
            <w:hideMark/>
          </w:tcPr>
          <w:p w14:paraId="76C49767" w14:textId="77777777" w:rsidR="00B011C2" w:rsidRPr="007B4794" w:rsidRDefault="00B011C2" w:rsidP="00B850AD">
            <w:pPr>
              <w:rPr>
                <w:rFonts w:ascii="华文细黑" w:eastAsia="华文细黑" w:hAnsi="华文细黑"/>
                <w:color w:val="000000" w:themeColor="text1"/>
                <w:sz w:val="18"/>
                <w:szCs w:val="18"/>
              </w:rPr>
            </w:pPr>
          </w:p>
        </w:tc>
        <w:tc>
          <w:tcPr>
            <w:tcW w:w="1667" w:type="pct"/>
            <w:tcBorders>
              <w:top w:val="nil"/>
              <w:left w:val="single" w:sz="4" w:space="0" w:color="auto"/>
              <w:bottom w:val="single" w:sz="4" w:space="0" w:color="auto"/>
              <w:right w:val="single" w:sz="4" w:space="0" w:color="auto"/>
            </w:tcBorders>
            <w:noWrap/>
            <w:vAlign w:val="center"/>
            <w:hideMark/>
          </w:tcPr>
          <w:p w14:paraId="6EF13B08" w14:textId="50E378DB" w:rsidR="00B011C2" w:rsidRPr="007B4794" w:rsidRDefault="00B011C2" w:rsidP="00B850AD">
            <w:pPr>
              <w:adjustRightInd w:val="0"/>
              <w:snapToGrid w:val="0"/>
              <w:spacing w:line="0" w:lineRule="atLeast"/>
              <w:rPr>
                <w:rFonts w:ascii="华文细黑" w:eastAsia="华文细黑" w:hAnsi="华文细黑"/>
                <w:bCs/>
                <w:color w:val="000000" w:themeColor="text1"/>
                <w:sz w:val="18"/>
                <w:szCs w:val="18"/>
              </w:rPr>
            </w:pPr>
            <w:r w:rsidRPr="007B4794">
              <w:rPr>
                <w:rFonts w:ascii="华文细黑" w:eastAsia="华文细黑" w:hAnsi="华文细黑" w:hint="eastAsia"/>
                <w:color w:val="000000" w:themeColor="text1"/>
                <w:sz w:val="20"/>
                <w:szCs w:val="20"/>
              </w:rPr>
              <w:t>小计</w:t>
            </w:r>
          </w:p>
        </w:tc>
        <w:tc>
          <w:tcPr>
            <w:tcW w:w="1666" w:type="pct"/>
            <w:tcBorders>
              <w:top w:val="nil"/>
              <w:left w:val="nil"/>
              <w:bottom w:val="single" w:sz="4" w:space="0" w:color="auto"/>
              <w:right w:val="single" w:sz="4" w:space="0" w:color="auto"/>
            </w:tcBorders>
            <w:noWrap/>
            <w:vAlign w:val="center"/>
            <w:hideMark/>
          </w:tcPr>
          <w:p w14:paraId="3772A269" w14:textId="3D3506FE" w:rsidR="00B011C2" w:rsidRPr="007B4794" w:rsidRDefault="00B011C2" w:rsidP="00B850AD">
            <w:pPr>
              <w:adjustRightInd w:val="0"/>
              <w:snapToGrid w:val="0"/>
              <w:spacing w:line="0" w:lineRule="atLeast"/>
              <w:rPr>
                <w:rFonts w:ascii="华文细黑" w:eastAsia="华文细黑" w:hAnsi="华文细黑"/>
                <w:bCs/>
                <w:color w:val="000000" w:themeColor="text1"/>
                <w:sz w:val="18"/>
                <w:szCs w:val="18"/>
              </w:rPr>
            </w:pPr>
            <w:r w:rsidRPr="007B4794">
              <w:rPr>
                <w:rFonts w:ascii="华文细黑" w:eastAsia="华文细黑" w:hAnsi="华文细黑"/>
                <w:bCs/>
                <w:color w:val="000000" w:themeColor="text1"/>
                <w:sz w:val="18"/>
                <w:szCs w:val="18"/>
              </w:rPr>
              <w:t>137089</w:t>
            </w:r>
          </w:p>
        </w:tc>
      </w:tr>
      <w:tr w:rsidR="00B011C2" w:rsidRPr="007B4794" w14:paraId="415B13FE" w14:textId="77777777" w:rsidTr="00B850AD">
        <w:trPr>
          <w:trHeight w:val="283"/>
        </w:trPr>
        <w:tc>
          <w:tcPr>
            <w:tcW w:w="1667" w:type="pct"/>
            <w:vMerge w:val="restart"/>
            <w:tcBorders>
              <w:left w:val="single" w:sz="4" w:space="0" w:color="auto"/>
              <w:right w:val="single" w:sz="4" w:space="0" w:color="auto"/>
            </w:tcBorders>
            <w:vAlign w:val="center"/>
            <w:hideMark/>
          </w:tcPr>
          <w:p w14:paraId="7700E080" w14:textId="0798B4D0" w:rsidR="00B011C2" w:rsidRPr="007B4794" w:rsidRDefault="00B011C2" w:rsidP="00B850AD">
            <w:pPr>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18"/>
                <w:szCs w:val="18"/>
              </w:rPr>
              <w:t>地下</w:t>
            </w:r>
          </w:p>
        </w:tc>
        <w:tc>
          <w:tcPr>
            <w:tcW w:w="1667" w:type="pct"/>
            <w:tcBorders>
              <w:top w:val="nil"/>
              <w:left w:val="single" w:sz="4" w:space="0" w:color="auto"/>
              <w:bottom w:val="nil"/>
              <w:right w:val="single" w:sz="4" w:space="0" w:color="auto"/>
            </w:tcBorders>
            <w:noWrap/>
            <w:vAlign w:val="center"/>
            <w:hideMark/>
          </w:tcPr>
          <w:p w14:paraId="77B1918C" w14:textId="77777777" w:rsidR="00B011C2" w:rsidRPr="007B4794" w:rsidRDefault="00B011C2" w:rsidP="00B850AD">
            <w:pPr>
              <w:adjustRightInd w:val="0"/>
              <w:snapToGrid w:val="0"/>
              <w:spacing w:line="0" w:lineRule="atLeast"/>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18"/>
                <w:szCs w:val="18"/>
              </w:rPr>
              <w:t>人防车库</w:t>
            </w:r>
          </w:p>
        </w:tc>
        <w:tc>
          <w:tcPr>
            <w:tcW w:w="1666" w:type="pct"/>
            <w:tcBorders>
              <w:top w:val="nil"/>
              <w:left w:val="nil"/>
              <w:bottom w:val="nil"/>
              <w:right w:val="single" w:sz="4" w:space="0" w:color="auto"/>
            </w:tcBorders>
            <w:noWrap/>
            <w:vAlign w:val="center"/>
            <w:hideMark/>
          </w:tcPr>
          <w:p w14:paraId="72299C38" w14:textId="6CF85742" w:rsidR="00B011C2" w:rsidRPr="007B4794" w:rsidRDefault="00B011C2" w:rsidP="00B850AD">
            <w:pPr>
              <w:adjustRightInd w:val="0"/>
              <w:snapToGrid w:val="0"/>
              <w:spacing w:line="0" w:lineRule="atLeast"/>
              <w:rPr>
                <w:rFonts w:ascii="华文细黑" w:eastAsia="华文细黑" w:hAnsi="华文细黑"/>
                <w:bCs/>
                <w:color w:val="000000" w:themeColor="text1"/>
                <w:sz w:val="18"/>
                <w:szCs w:val="18"/>
              </w:rPr>
            </w:pPr>
            <w:r w:rsidRPr="007B4794">
              <w:rPr>
                <w:rFonts w:ascii="华文细黑" w:eastAsia="华文细黑" w:hAnsi="华文细黑"/>
                <w:bCs/>
                <w:color w:val="000000" w:themeColor="text1"/>
                <w:sz w:val="18"/>
                <w:szCs w:val="18"/>
              </w:rPr>
              <w:t>8116.14</w:t>
            </w:r>
          </w:p>
        </w:tc>
      </w:tr>
      <w:tr w:rsidR="00B011C2" w:rsidRPr="007B4794" w14:paraId="4B08282C" w14:textId="77777777" w:rsidTr="00B850AD">
        <w:trPr>
          <w:trHeight w:val="283"/>
        </w:trPr>
        <w:tc>
          <w:tcPr>
            <w:tcW w:w="0" w:type="auto"/>
            <w:vMerge/>
            <w:tcBorders>
              <w:left w:val="single" w:sz="4" w:space="0" w:color="auto"/>
              <w:right w:val="single" w:sz="4" w:space="0" w:color="auto"/>
            </w:tcBorders>
            <w:vAlign w:val="center"/>
            <w:hideMark/>
          </w:tcPr>
          <w:p w14:paraId="5E1AD6A8" w14:textId="2C77B648" w:rsidR="00B011C2" w:rsidRPr="007B4794" w:rsidRDefault="00B011C2" w:rsidP="00B850AD">
            <w:pPr>
              <w:rPr>
                <w:rFonts w:ascii="华文细黑" w:eastAsia="华文细黑" w:hAnsi="华文细黑"/>
                <w:color w:val="000000" w:themeColor="text1"/>
                <w:sz w:val="18"/>
                <w:szCs w:val="18"/>
              </w:rPr>
            </w:pPr>
          </w:p>
        </w:tc>
        <w:tc>
          <w:tcPr>
            <w:tcW w:w="1667" w:type="pct"/>
            <w:tcBorders>
              <w:top w:val="nil"/>
              <w:left w:val="single" w:sz="4" w:space="0" w:color="auto"/>
              <w:bottom w:val="single" w:sz="4" w:space="0" w:color="auto"/>
              <w:right w:val="single" w:sz="4" w:space="0" w:color="auto"/>
            </w:tcBorders>
            <w:noWrap/>
            <w:vAlign w:val="center"/>
            <w:hideMark/>
          </w:tcPr>
          <w:p w14:paraId="46A9CDA3" w14:textId="77777777" w:rsidR="00B011C2" w:rsidRPr="007B4794" w:rsidRDefault="00B011C2" w:rsidP="00B850AD">
            <w:pPr>
              <w:adjustRightInd w:val="0"/>
              <w:snapToGrid w:val="0"/>
              <w:spacing w:line="0" w:lineRule="atLeast"/>
              <w:jc w:val="right"/>
              <w:rPr>
                <w:rFonts w:ascii="华文细黑" w:eastAsia="华文细黑" w:hAnsi="华文细黑"/>
                <w:i/>
                <w:iCs/>
                <w:color w:val="000000" w:themeColor="text1"/>
                <w:sz w:val="18"/>
                <w:szCs w:val="18"/>
              </w:rPr>
            </w:pPr>
            <w:r w:rsidRPr="007B4794">
              <w:rPr>
                <w:rFonts w:ascii="华文细黑" w:eastAsia="华文细黑" w:hAnsi="华文细黑" w:hint="eastAsia"/>
                <w:i/>
                <w:iCs/>
                <w:color w:val="000000" w:themeColor="text1"/>
                <w:sz w:val="18"/>
                <w:szCs w:val="18"/>
              </w:rPr>
              <w:t>个数</w:t>
            </w:r>
          </w:p>
        </w:tc>
        <w:tc>
          <w:tcPr>
            <w:tcW w:w="1666" w:type="pct"/>
            <w:tcBorders>
              <w:top w:val="nil"/>
              <w:left w:val="nil"/>
              <w:bottom w:val="single" w:sz="4" w:space="0" w:color="auto"/>
              <w:right w:val="single" w:sz="4" w:space="0" w:color="auto"/>
            </w:tcBorders>
            <w:noWrap/>
            <w:vAlign w:val="center"/>
            <w:hideMark/>
          </w:tcPr>
          <w:p w14:paraId="7B42C18D" w14:textId="23CDCF00" w:rsidR="00B011C2" w:rsidRPr="007B4794" w:rsidRDefault="00B011C2" w:rsidP="00B850AD">
            <w:pPr>
              <w:adjustRightInd w:val="0"/>
              <w:snapToGrid w:val="0"/>
              <w:spacing w:line="0" w:lineRule="atLeast"/>
              <w:rPr>
                <w:rFonts w:ascii="华文细黑" w:eastAsia="华文细黑" w:hAnsi="华文细黑"/>
                <w:bCs/>
                <w:color w:val="000000" w:themeColor="text1"/>
                <w:sz w:val="18"/>
                <w:szCs w:val="18"/>
              </w:rPr>
            </w:pPr>
            <w:r w:rsidRPr="007B4794">
              <w:rPr>
                <w:rFonts w:ascii="华文细黑" w:eastAsia="华文细黑" w:hAnsi="华文细黑"/>
                <w:bCs/>
                <w:color w:val="000000" w:themeColor="text1"/>
                <w:sz w:val="18"/>
                <w:szCs w:val="18"/>
              </w:rPr>
              <w:t>214</w:t>
            </w:r>
          </w:p>
        </w:tc>
      </w:tr>
      <w:tr w:rsidR="00B011C2" w:rsidRPr="007B4794" w14:paraId="3EB34418" w14:textId="77777777" w:rsidTr="00B850AD">
        <w:trPr>
          <w:trHeight w:val="283"/>
        </w:trPr>
        <w:tc>
          <w:tcPr>
            <w:tcW w:w="0" w:type="auto"/>
            <w:vMerge/>
            <w:tcBorders>
              <w:left w:val="single" w:sz="4" w:space="0" w:color="auto"/>
              <w:right w:val="single" w:sz="4" w:space="0" w:color="auto"/>
            </w:tcBorders>
            <w:vAlign w:val="center"/>
            <w:hideMark/>
          </w:tcPr>
          <w:p w14:paraId="12F9F3AF" w14:textId="22D08773" w:rsidR="00B011C2" w:rsidRPr="007B4794" w:rsidRDefault="00B011C2" w:rsidP="00B850AD">
            <w:pPr>
              <w:rPr>
                <w:rFonts w:ascii="华文细黑" w:eastAsia="华文细黑" w:hAnsi="华文细黑"/>
                <w:color w:val="000000" w:themeColor="text1"/>
                <w:sz w:val="18"/>
                <w:szCs w:val="18"/>
              </w:rPr>
            </w:pPr>
          </w:p>
        </w:tc>
        <w:tc>
          <w:tcPr>
            <w:tcW w:w="1667" w:type="pct"/>
            <w:tcBorders>
              <w:top w:val="nil"/>
              <w:left w:val="single" w:sz="4" w:space="0" w:color="auto"/>
              <w:bottom w:val="nil"/>
              <w:right w:val="single" w:sz="4" w:space="0" w:color="auto"/>
            </w:tcBorders>
            <w:noWrap/>
            <w:vAlign w:val="center"/>
            <w:hideMark/>
          </w:tcPr>
          <w:p w14:paraId="1A062FEE" w14:textId="77777777" w:rsidR="00B011C2" w:rsidRPr="007B4794" w:rsidRDefault="00B011C2" w:rsidP="00B850AD">
            <w:pPr>
              <w:adjustRightInd w:val="0"/>
              <w:snapToGrid w:val="0"/>
              <w:spacing w:line="0" w:lineRule="atLeast"/>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18"/>
                <w:szCs w:val="18"/>
              </w:rPr>
              <w:t>地下车库及设备</w:t>
            </w:r>
          </w:p>
        </w:tc>
        <w:tc>
          <w:tcPr>
            <w:tcW w:w="1666" w:type="pct"/>
            <w:tcBorders>
              <w:top w:val="nil"/>
              <w:left w:val="nil"/>
              <w:bottom w:val="nil"/>
              <w:right w:val="single" w:sz="4" w:space="0" w:color="auto"/>
            </w:tcBorders>
            <w:noWrap/>
            <w:vAlign w:val="center"/>
            <w:hideMark/>
          </w:tcPr>
          <w:p w14:paraId="7A698F81" w14:textId="33EC2C99" w:rsidR="00B011C2" w:rsidRPr="007B4794" w:rsidRDefault="00B011C2" w:rsidP="00B850AD">
            <w:pPr>
              <w:adjustRightInd w:val="0"/>
              <w:snapToGrid w:val="0"/>
              <w:spacing w:line="0" w:lineRule="atLeast"/>
              <w:rPr>
                <w:rFonts w:ascii="华文细黑" w:eastAsia="华文细黑" w:hAnsi="华文细黑"/>
                <w:color w:val="000000" w:themeColor="text1"/>
                <w:sz w:val="18"/>
                <w:szCs w:val="18"/>
              </w:rPr>
            </w:pPr>
            <w:r w:rsidRPr="007B4794">
              <w:rPr>
                <w:rFonts w:ascii="Arial" w:hAnsi="Arial" w:cs="Arial"/>
                <w:color w:val="000000" w:themeColor="text1"/>
                <w:sz w:val="20"/>
                <w:szCs w:val="20"/>
              </w:rPr>
              <w:t>30827.6</w:t>
            </w:r>
          </w:p>
        </w:tc>
      </w:tr>
      <w:tr w:rsidR="00B011C2" w:rsidRPr="007B4794" w14:paraId="36046505" w14:textId="77777777" w:rsidTr="00B850AD">
        <w:trPr>
          <w:trHeight w:val="283"/>
        </w:trPr>
        <w:tc>
          <w:tcPr>
            <w:tcW w:w="0" w:type="auto"/>
            <w:vMerge/>
            <w:tcBorders>
              <w:left w:val="single" w:sz="4" w:space="0" w:color="auto"/>
              <w:right w:val="single" w:sz="4" w:space="0" w:color="auto"/>
            </w:tcBorders>
            <w:vAlign w:val="center"/>
            <w:hideMark/>
          </w:tcPr>
          <w:p w14:paraId="7E482CB3" w14:textId="77777777" w:rsidR="00B011C2" w:rsidRPr="007B4794" w:rsidRDefault="00B011C2" w:rsidP="00B850AD">
            <w:pPr>
              <w:rPr>
                <w:rFonts w:ascii="华文细黑" w:eastAsia="华文细黑" w:hAnsi="华文细黑"/>
                <w:color w:val="000000" w:themeColor="text1"/>
                <w:sz w:val="18"/>
                <w:szCs w:val="18"/>
              </w:rPr>
            </w:pPr>
          </w:p>
        </w:tc>
        <w:tc>
          <w:tcPr>
            <w:tcW w:w="1667" w:type="pct"/>
            <w:tcBorders>
              <w:top w:val="nil"/>
              <w:left w:val="single" w:sz="4" w:space="0" w:color="auto"/>
              <w:bottom w:val="single" w:sz="4" w:space="0" w:color="auto"/>
              <w:right w:val="single" w:sz="4" w:space="0" w:color="auto"/>
            </w:tcBorders>
            <w:noWrap/>
            <w:vAlign w:val="center"/>
            <w:hideMark/>
          </w:tcPr>
          <w:p w14:paraId="31E7C304" w14:textId="77777777" w:rsidR="00B011C2" w:rsidRPr="007B4794" w:rsidRDefault="00B011C2" w:rsidP="00B850AD">
            <w:pPr>
              <w:adjustRightInd w:val="0"/>
              <w:snapToGrid w:val="0"/>
              <w:spacing w:line="0" w:lineRule="atLeast"/>
              <w:jc w:val="right"/>
              <w:rPr>
                <w:rFonts w:ascii="华文细黑" w:eastAsia="华文细黑" w:hAnsi="华文细黑"/>
                <w:i/>
                <w:iCs/>
                <w:color w:val="000000" w:themeColor="text1"/>
                <w:sz w:val="18"/>
                <w:szCs w:val="18"/>
              </w:rPr>
            </w:pPr>
            <w:r w:rsidRPr="007B4794">
              <w:rPr>
                <w:rFonts w:ascii="华文细黑" w:eastAsia="华文细黑" w:hAnsi="华文细黑" w:hint="eastAsia"/>
                <w:i/>
                <w:iCs/>
                <w:color w:val="000000" w:themeColor="text1"/>
                <w:sz w:val="18"/>
                <w:szCs w:val="18"/>
              </w:rPr>
              <w:t>个数</w:t>
            </w:r>
          </w:p>
        </w:tc>
        <w:tc>
          <w:tcPr>
            <w:tcW w:w="1666" w:type="pct"/>
            <w:tcBorders>
              <w:top w:val="nil"/>
              <w:left w:val="nil"/>
              <w:bottom w:val="single" w:sz="4" w:space="0" w:color="auto"/>
              <w:right w:val="single" w:sz="4" w:space="0" w:color="auto"/>
            </w:tcBorders>
            <w:noWrap/>
            <w:vAlign w:val="center"/>
            <w:hideMark/>
          </w:tcPr>
          <w:p w14:paraId="23315130" w14:textId="37860677" w:rsidR="00B011C2" w:rsidRPr="007B4794" w:rsidRDefault="00B011C2" w:rsidP="00B850AD">
            <w:pPr>
              <w:adjustRightInd w:val="0"/>
              <w:snapToGrid w:val="0"/>
              <w:spacing w:line="0" w:lineRule="atLeast"/>
              <w:rPr>
                <w:rFonts w:ascii="华文细黑" w:eastAsia="华文细黑" w:hAnsi="华文细黑"/>
                <w:i/>
                <w:iCs/>
                <w:color w:val="000000" w:themeColor="text1"/>
                <w:sz w:val="18"/>
                <w:szCs w:val="18"/>
              </w:rPr>
            </w:pPr>
            <w:r w:rsidRPr="007B4794">
              <w:rPr>
                <w:rFonts w:ascii="Arial" w:hAnsi="Arial" w:cs="Arial"/>
                <w:i/>
                <w:iCs/>
                <w:color w:val="000000" w:themeColor="text1"/>
                <w:sz w:val="20"/>
                <w:szCs w:val="20"/>
              </w:rPr>
              <w:t>963</w:t>
            </w:r>
          </w:p>
        </w:tc>
      </w:tr>
      <w:tr w:rsidR="00B011C2" w:rsidRPr="007B4794" w14:paraId="3346DBE8" w14:textId="77777777" w:rsidTr="00B850AD">
        <w:trPr>
          <w:trHeight w:val="283"/>
        </w:trPr>
        <w:tc>
          <w:tcPr>
            <w:tcW w:w="0" w:type="auto"/>
            <w:vMerge/>
            <w:tcBorders>
              <w:left w:val="single" w:sz="4" w:space="0" w:color="auto"/>
              <w:bottom w:val="single" w:sz="4" w:space="0" w:color="auto"/>
              <w:right w:val="single" w:sz="4" w:space="0" w:color="auto"/>
            </w:tcBorders>
            <w:vAlign w:val="center"/>
            <w:hideMark/>
          </w:tcPr>
          <w:p w14:paraId="61A44EB3" w14:textId="77777777" w:rsidR="00B011C2" w:rsidRPr="007B4794" w:rsidRDefault="00B011C2" w:rsidP="00B850AD">
            <w:pPr>
              <w:rPr>
                <w:rFonts w:ascii="华文细黑" w:eastAsia="华文细黑" w:hAnsi="华文细黑"/>
                <w:color w:val="000000" w:themeColor="text1"/>
                <w:sz w:val="18"/>
                <w:szCs w:val="18"/>
              </w:rPr>
            </w:pPr>
          </w:p>
        </w:tc>
        <w:tc>
          <w:tcPr>
            <w:tcW w:w="1667" w:type="pct"/>
            <w:tcBorders>
              <w:top w:val="nil"/>
              <w:left w:val="single" w:sz="4" w:space="0" w:color="auto"/>
              <w:bottom w:val="single" w:sz="4" w:space="0" w:color="auto"/>
              <w:right w:val="single" w:sz="4" w:space="0" w:color="auto"/>
            </w:tcBorders>
            <w:noWrap/>
            <w:vAlign w:val="center"/>
            <w:hideMark/>
          </w:tcPr>
          <w:p w14:paraId="776C19B7" w14:textId="77777777" w:rsidR="00B011C2" w:rsidRPr="007B4794" w:rsidRDefault="00B011C2" w:rsidP="00B850AD">
            <w:pPr>
              <w:adjustRightInd w:val="0"/>
              <w:snapToGrid w:val="0"/>
              <w:spacing w:line="0" w:lineRule="atLeast"/>
              <w:rPr>
                <w:rFonts w:ascii="华文细黑" w:eastAsia="华文细黑" w:hAnsi="华文细黑"/>
                <w:bCs/>
                <w:color w:val="000000" w:themeColor="text1"/>
                <w:sz w:val="18"/>
                <w:szCs w:val="18"/>
              </w:rPr>
            </w:pPr>
            <w:r w:rsidRPr="007B4794">
              <w:rPr>
                <w:rFonts w:ascii="华文细黑" w:eastAsia="华文细黑" w:hAnsi="华文细黑" w:hint="eastAsia"/>
                <w:bCs/>
                <w:color w:val="000000" w:themeColor="text1"/>
                <w:sz w:val="18"/>
                <w:szCs w:val="18"/>
              </w:rPr>
              <w:t>小计</w:t>
            </w:r>
          </w:p>
        </w:tc>
        <w:tc>
          <w:tcPr>
            <w:tcW w:w="1666" w:type="pct"/>
            <w:tcBorders>
              <w:top w:val="nil"/>
              <w:left w:val="nil"/>
              <w:bottom w:val="single" w:sz="4" w:space="0" w:color="auto"/>
              <w:right w:val="single" w:sz="4" w:space="0" w:color="auto"/>
            </w:tcBorders>
            <w:noWrap/>
            <w:vAlign w:val="center"/>
            <w:hideMark/>
          </w:tcPr>
          <w:p w14:paraId="092388E1" w14:textId="7AFDDA1F" w:rsidR="00B011C2" w:rsidRPr="007B4794" w:rsidRDefault="00B011C2" w:rsidP="00B850AD">
            <w:pPr>
              <w:adjustRightInd w:val="0"/>
              <w:snapToGrid w:val="0"/>
              <w:spacing w:line="0" w:lineRule="atLeast"/>
              <w:rPr>
                <w:rFonts w:ascii="华文细黑" w:eastAsia="华文细黑" w:hAnsi="华文细黑"/>
                <w:bCs/>
                <w:color w:val="000000" w:themeColor="text1"/>
                <w:sz w:val="18"/>
                <w:szCs w:val="18"/>
              </w:rPr>
            </w:pPr>
            <w:r w:rsidRPr="007B4794">
              <w:rPr>
                <w:rFonts w:ascii="Arial" w:eastAsia="华文细黑" w:hAnsi="Arial"/>
                <w:bCs/>
                <w:color w:val="000000" w:themeColor="text1"/>
                <w:sz w:val="18"/>
                <w:szCs w:val="18"/>
              </w:rPr>
              <w:t>38943.74</w:t>
            </w:r>
          </w:p>
        </w:tc>
      </w:tr>
      <w:tr w:rsidR="00B850AD" w:rsidRPr="007B4794" w14:paraId="547BAB32" w14:textId="77777777" w:rsidTr="00B850AD">
        <w:trPr>
          <w:trHeight w:val="283"/>
        </w:trPr>
        <w:tc>
          <w:tcPr>
            <w:tcW w:w="3334" w:type="pct"/>
            <w:gridSpan w:val="2"/>
            <w:tcBorders>
              <w:top w:val="nil"/>
              <w:left w:val="single" w:sz="4" w:space="0" w:color="auto"/>
              <w:bottom w:val="single" w:sz="4" w:space="0" w:color="auto"/>
              <w:right w:val="single" w:sz="4" w:space="0" w:color="auto"/>
            </w:tcBorders>
            <w:vAlign w:val="center"/>
            <w:hideMark/>
          </w:tcPr>
          <w:p w14:paraId="406F27A7" w14:textId="77777777" w:rsidR="00B850AD" w:rsidRPr="007B4794" w:rsidRDefault="00B850AD" w:rsidP="00B850AD">
            <w:pPr>
              <w:adjustRightInd w:val="0"/>
              <w:snapToGrid w:val="0"/>
              <w:spacing w:line="0" w:lineRule="atLeast"/>
              <w:rPr>
                <w:rFonts w:ascii="华文细黑" w:eastAsia="华文细黑" w:hAnsi="华文细黑"/>
                <w:bCs/>
                <w:color w:val="000000" w:themeColor="text1"/>
                <w:sz w:val="18"/>
                <w:szCs w:val="18"/>
              </w:rPr>
            </w:pPr>
            <w:r w:rsidRPr="007B4794">
              <w:rPr>
                <w:rFonts w:ascii="华文细黑" w:eastAsia="华文细黑" w:hAnsi="华文细黑" w:hint="eastAsia"/>
                <w:bCs/>
                <w:color w:val="000000" w:themeColor="text1"/>
                <w:sz w:val="18"/>
                <w:szCs w:val="18"/>
              </w:rPr>
              <w:t>合计</w:t>
            </w:r>
          </w:p>
        </w:tc>
        <w:tc>
          <w:tcPr>
            <w:tcW w:w="1666" w:type="pct"/>
            <w:tcBorders>
              <w:top w:val="nil"/>
              <w:left w:val="nil"/>
              <w:bottom w:val="single" w:sz="4" w:space="0" w:color="auto"/>
              <w:right w:val="single" w:sz="4" w:space="0" w:color="auto"/>
            </w:tcBorders>
            <w:noWrap/>
            <w:vAlign w:val="center"/>
            <w:hideMark/>
          </w:tcPr>
          <w:p w14:paraId="0350F961" w14:textId="31FE354E" w:rsidR="00B850AD" w:rsidRPr="007B4794" w:rsidRDefault="00B011C2" w:rsidP="00B850AD">
            <w:pPr>
              <w:adjustRightInd w:val="0"/>
              <w:snapToGrid w:val="0"/>
              <w:spacing w:line="0" w:lineRule="atLeast"/>
              <w:rPr>
                <w:rFonts w:ascii="华文细黑" w:eastAsia="华文细黑" w:hAnsi="华文细黑"/>
                <w:bCs/>
                <w:color w:val="000000" w:themeColor="text1"/>
                <w:sz w:val="18"/>
                <w:szCs w:val="18"/>
              </w:rPr>
            </w:pPr>
            <w:r w:rsidRPr="007B4794">
              <w:rPr>
                <w:rFonts w:ascii="Arial" w:eastAsia="华文细黑" w:hAnsi="Arial"/>
                <w:bCs/>
                <w:color w:val="000000" w:themeColor="text1"/>
                <w:sz w:val="18"/>
                <w:szCs w:val="18"/>
              </w:rPr>
              <w:t>176032.74</w:t>
            </w:r>
          </w:p>
        </w:tc>
      </w:tr>
    </w:tbl>
    <w:p w14:paraId="7867E0D1" w14:textId="77777777" w:rsidR="00B850AD" w:rsidRPr="007B4794" w:rsidRDefault="00B850AD" w:rsidP="00034AF3">
      <w:pPr>
        <w:adjustRightInd w:val="0"/>
        <w:snapToGrid w:val="0"/>
        <w:spacing w:line="480" w:lineRule="auto"/>
        <w:ind w:firstLineChars="200" w:firstLine="420"/>
        <w:jc w:val="both"/>
        <w:rPr>
          <w:rFonts w:ascii="Arial" w:hAnsi="Arial" w:cs="Arial"/>
          <w:color w:val="000000" w:themeColor="text1"/>
          <w:sz w:val="21"/>
          <w:szCs w:val="21"/>
        </w:rPr>
      </w:pPr>
    </w:p>
    <w:p w14:paraId="48707123" w14:textId="5D1B4AD3" w:rsidR="00E352F7" w:rsidRPr="007B4794" w:rsidRDefault="00034AF3" w:rsidP="00EF1990">
      <w:pPr>
        <w:pStyle w:val="2"/>
        <w:spacing w:before="0" w:after="0" w:line="480" w:lineRule="auto"/>
        <w:jc w:val="both"/>
        <w:rPr>
          <w:rFonts w:eastAsia="宋体" w:cs="Arial"/>
          <w:color w:val="000000" w:themeColor="text1"/>
          <w:sz w:val="21"/>
          <w:szCs w:val="21"/>
        </w:rPr>
      </w:pPr>
      <w:bookmarkStart w:id="19" w:name="_Toc415468959"/>
      <w:bookmarkStart w:id="20" w:name="_Toc111622541"/>
      <w:bookmarkStart w:id="21" w:name="_Toc54016577"/>
      <w:r w:rsidRPr="007B4794">
        <w:rPr>
          <w:rFonts w:eastAsia="宋体" w:cs="Arial" w:hint="eastAsia"/>
          <w:color w:val="000000" w:themeColor="text1"/>
          <w:sz w:val="21"/>
          <w:szCs w:val="21"/>
        </w:rPr>
        <w:t>五</w:t>
      </w:r>
      <w:r w:rsidRPr="007B4794">
        <w:rPr>
          <w:rFonts w:eastAsia="宋体" w:cs="Arial"/>
          <w:color w:val="000000" w:themeColor="text1"/>
          <w:sz w:val="21"/>
          <w:szCs w:val="21"/>
        </w:rPr>
        <w:t>、</w:t>
      </w:r>
      <w:bookmarkEnd w:id="19"/>
      <w:bookmarkEnd w:id="20"/>
      <w:r w:rsidRPr="007B4794">
        <w:rPr>
          <w:rFonts w:eastAsia="宋体" w:cs="Arial" w:hint="eastAsia"/>
          <w:color w:val="000000" w:themeColor="text1"/>
          <w:sz w:val="21"/>
          <w:szCs w:val="21"/>
        </w:rPr>
        <w:t>调研</w:t>
      </w:r>
      <w:r w:rsidRPr="007B4794">
        <w:rPr>
          <w:rFonts w:eastAsia="宋体" w:cs="Arial"/>
          <w:color w:val="000000" w:themeColor="text1"/>
          <w:sz w:val="21"/>
          <w:szCs w:val="21"/>
        </w:rPr>
        <w:t>的主要内容</w:t>
      </w:r>
      <w:bookmarkEnd w:id="21"/>
    </w:p>
    <w:p w14:paraId="1CB12D80" w14:textId="02237794" w:rsidR="00E352F7" w:rsidRPr="007B4794" w:rsidRDefault="00581C42" w:rsidP="00EF1990">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（一）</w:t>
      </w:r>
      <w:r w:rsidR="00E352F7" w:rsidRPr="007B4794">
        <w:rPr>
          <w:rFonts w:ascii="Arial" w:hAnsi="Arial" w:cs="Arial"/>
          <w:color w:val="000000" w:themeColor="text1"/>
          <w:sz w:val="21"/>
          <w:szCs w:val="21"/>
        </w:rPr>
        <w:t>分析项目开发的合法、合规性；</w:t>
      </w:r>
    </w:p>
    <w:p w14:paraId="542B3C8C" w14:textId="0006613A" w:rsidR="00E352F7" w:rsidRPr="007B4794" w:rsidRDefault="00581C42" w:rsidP="00EF1990">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（二）</w:t>
      </w:r>
      <w:r w:rsidR="00E352F7" w:rsidRPr="007B4794">
        <w:rPr>
          <w:rFonts w:ascii="Arial" w:hAnsi="Arial" w:cs="Arial"/>
          <w:color w:val="000000" w:themeColor="text1"/>
          <w:sz w:val="21"/>
          <w:szCs w:val="21"/>
        </w:rPr>
        <w:t>分析</w:t>
      </w:r>
      <w:r w:rsidR="00D30D68" w:rsidRPr="007B4794">
        <w:rPr>
          <w:rFonts w:ascii="Arial" w:hAnsi="Arial" w:cs="Arial" w:hint="eastAsia"/>
          <w:color w:val="000000" w:themeColor="text1"/>
          <w:sz w:val="21"/>
          <w:szCs w:val="21"/>
        </w:rPr>
        <w:t>漳州</w:t>
      </w:r>
      <w:r w:rsidR="00E352F7" w:rsidRPr="007B4794">
        <w:rPr>
          <w:rFonts w:ascii="Arial" w:hAnsi="Arial" w:cs="Arial"/>
          <w:color w:val="000000" w:themeColor="text1"/>
          <w:sz w:val="21"/>
          <w:szCs w:val="21"/>
        </w:rPr>
        <w:t>市总体发展状况和房地产投资环境；</w:t>
      </w:r>
    </w:p>
    <w:p w14:paraId="19BEB7C7" w14:textId="459C60BE" w:rsidR="00E352F7" w:rsidRPr="007B4794" w:rsidRDefault="00581C42" w:rsidP="00EF1990">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（三）</w:t>
      </w:r>
      <w:r w:rsidR="00E352F7" w:rsidRPr="007B4794">
        <w:rPr>
          <w:rFonts w:ascii="Arial" w:hAnsi="Arial" w:cs="Arial"/>
          <w:color w:val="000000" w:themeColor="text1"/>
          <w:sz w:val="21"/>
          <w:szCs w:val="21"/>
        </w:rPr>
        <w:t>项目所在区域房地产市场现状，分析项目竞争力</w:t>
      </w:r>
      <w:r w:rsidR="00034AF3" w:rsidRPr="007B4794">
        <w:rPr>
          <w:rFonts w:ascii="Arial" w:hAnsi="Arial" w:cs="Arial" w:hint="eastAsia"/>
          <w:color w:val="000000" w:themeColor="text1"/>
          <w:sz w:val="21"/>
          <w:szCs w:val="21"/>
        </w:rPr>
        <w:t>。</w:t>
      </w:r>
    </w:p>
    <w:p w14:paraId="30154A1E" w14:textId="77777777" w:rsidR="00034AF3" w:rsidRPr="007B4794" w:rsidRDefault="00034AF3" w:rsidP="00EF1990">
      <w:pPr>
        <w:pStyle w:val="2"/>
        <w:spacing w:before="0" w:after="0" w:line="480" w:lineRule="auto"/>
        <w:jc w:val="both"/>
        <w:rPr>
          <w:rFonts w:eastAsia="宋体" w:cs="Arial"/>
          <w:color w:val="000000" w:themeColor="text1"/>
          <w:sz w:val="21"/>
          <w:szCs w:val="21"/>
        </w:rPr>
      </w:pPr>
      <w:bookmarkStart w:id="22" w:name="_Toc187666130"/>
      <w:bookmarkStart w:id="23" w:name="_Toc285790758"/>
      <w:bookmarkStart w:id="24" w:name="_Toc54016578"/>
      <w:bookmarkStart w:id="25" w:name="_Toc111622545"/>
      <w:bookmarkStart w:id="26" w:name="_Toc415468962"/>
      <w:r w:rsidRPr="007B4794">
        <w:rPr>
          <w:rFonts w:eastAsia="宋体" w:cs="Arial" w:hint="eastAsia"/>
          <w:color w:val="000000" w:themeColor="text1"/>
          <w:sz w:val="21"/>
          <w:szCs w:val="21"/>
        </w:rPr>
        <w:t>六、</w:t>
      </w:r>
      <w:bookmarkEnd w:id="22"/>
      <w:bookmarkEnd w:id="23"/>
      <w:r w:rsidRPr="007B4794">
        <w:rPr>
          <w:rFonts w:eastAsia="宋体" w:cs="Arial"/>
          <w:color w:val="000000" w:themeColor="text1"/>
          <w:sz w:val="21"/>
          <w:szCs w:val="21"/>
        </w:rPr>
        <w:t>编制日期</w:t>
      </w:r>
      <w:bookmarkEnd w:id="24"/>
    </w:p>
    <w:bookmarkEnd w:id="25"/>
    <w:bookmarkEnd w:id="26"/>
    <w:p w14:paraId="369FA822" w14:textId="14A15A87" w:rsidR="00EA4910" w:rsidRPr="007B4794" w:rsidRDefault="00EA4910" w:rsidP="00EF1990">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实地查勘期：</w:t>
      </w:r>
      <w:r w:rsidRPr="007B4794">
        <w:rPr>
          <w:rFonts w:ascii="Arial" w:hAnsi="Arial" w:cs="Arial" w:hint="eastAsia"/>
          <w:color w:val="000000" w:themeColor="text1"/>
          <w:sz w:val="21"/>
          <w:szCs w:val="21"/>
        </w:rPr>
        <w:t>20</w:t>
      </w:r>
      <w:r w:rsidRPr="007B4794">
        <w:rPr>
          <w:rFonts w:ascii="Arial" w:hAnsi="Arial" w:cs="Arial"/>
          <w:color w:val="000000" w:themeColor="text1"/>
          <w:sz w:val="21"/>
          <w:szCs w:val="21"/>
        </w:rPr>
        <w:t>20</w:t>
      </w:r>
      <w:r w:rsidRPr="007B4794">
        <w:rPr>
          <w:rFonts w:ascii="Arial" w:hAnsi="Arial" w:cs="Arial" w:hint="eastAsia"/>
          <w:color w:val="000000" w:themeColor="text1"/>
          <w:sz w:val="21"/>
          <w:szCs w:val="21"/>
        </w:rPr>
        <w:t>年</w:t>
      </w:r>
      <w:r w:rsidR="00EE2211" w:rsidRPr="007B4794">
        <w:rPr>
          <w:rFonts w:ascii="Arial" w:hAnsi="Arial" w:cs="Arial" w:hint="eastAsia"/>
          <w:color w:val="000000" w:themeColor="text1"/>
          <w:sz w:val="21"/>
          <w:szCs w:val="21"/>
        </w:rPr>
        <w:t>11</w:t>
      </w:r>
      <w:r w:rsidRPr="007B4794">
        <w:rPr>
          <w:rFonts w:ascii="Arial" w:hAnsi="Arial" w:cs="Arial" w:hint="eastAsia"/>
          <w:color w:val="000000" w:themeColor="text1"/>
          <w:sz w:val="21"/>
          <w:szCs w:val="21"/>
        </w:rPr>
        <w:t>月</w:t>
      </w:r>
      <w:r w:rsidR="00EE2211" w:rsidRPr="007B4794">
        <w:rPr>
          <w:rFonts w:ascii="Arial" w:hAnsi="Arial" w:cs="Arial" w:hint="eastAsia"/>
          <w:color w:val="000000" w:themeColor="text1"/>
          <w:sz w:val="21"/>
          <w:szCs w:val="21"/>
        </w:rPr>
        <w:t>23</w:t>
      </w:r>
      <w:r w:rsidRPr="007B4794">
        <w:rPr>
          <w:rFonts w:ascii="Arial" w:hAnsi="Arial" w:cs="Arial" w:hint="eastAsia"/>
          <w:color w:val="000000" w:themeColor="text1"/>
          <w:sz w:val="21"/>
          <w:szCs w:val="21"/>
        </w:rPr>
        <w:t>日</w:t>
      </w:r>
      <w:r w:rsidR="00B850AD" w:rsidRPr="007B4794">
        <w:rPr>
          <w:rFonts w:ascii="Arial" w:hAnsi="Arial" w:cs="Arial" w:hint="eastAsia"/>
          <w:color w:val="000000" w:themeColor="text1"/>
          <w:sz w:val="21"/>
          <w:szCs w:val="21"/>
        </w:rPr>
        <w:t>至</w:t>
      </w:r>
      <w:r w:rsidR="00B850AD" w:rsidRPr="007B4794">
        <w:rPr>
          <w:rFonts w:ascii="Arial" w:hAnsi="Arial" w:cs="Arial" w:hint="eastAsia"/>
          <w:color w:val="000000" w:themeColor="text1"/>
          <w:sz w:val="21"/>
          <w:szCs w:val="21"/>
        </w:rPr>
        <w:t>20</w:t>
      </w:r>
      <w:r w:rsidR="00B850AD" w:rsidRPr="007B4794">
        <w:rPr>
          <w:rFonts w:ascii="Arial" w:hAnsi="Arial" w:cs="Arial"/>
          <w:color w:val="000000" w:themeColor="text1"/>
          <w:sz w:val="21"/>
          <w:szCs w:val="21"/>
        </w:rPr>
        <w:t>20</w:t>
      </w:r>
      <w:r w:rsidR="00B850AD" w:rsidRPr="007B4794">
        <w:rPr>
          <w:rFonts w:ascii="Arial" w:hAnsi="Arial" w:cs="Arial" w:hint="eastAsia"/>
          <w:color w:val="000000" w:themeColor="text1"/>
          <w:sz w:val="21"/>
          <w:szCs w:val="21"/>
        </w:rPr>
        <w:t>年</w:t>
      </w:r>
      <w:r w:rsidR="00EE2211" w:rsidRPr="007B4794">
        <w:rPr>
          <w:rFonts w:ascii="Arial" w:hAnsi="Arial" w:cs="Arial" w:hint="eastAsia"/>
          <w:color w:val="000000" w:themeColor="text1"/>
          <w:sz w:val="21"/>
          <w:szCs w:val="21"/>
        </w:rPr>
        <w:t>11</w:t>
      </w:r>
      <w:r w:rsidR="00B850AD" w:rsidRPr="007B4794">
        <w:rPr>
          <w:rFonts w:ascii="Arial" w:hAnsi="Arial" w:cs="Arial" w:hint="eastAsia"/>
          <w:color w:val="000000" w:themeColor="text1"/>
          <w:sz w:val="21"/>
          <w:szCs w:val="21"/>
        </w:rPr>
        <w:t>月</w:t>
      </w:r>
      <w:r w:rsidR="00EE2211" w:rsidRPr="007B4794">
        <w:rPr>
          <w:rFonts w:ascii="Arial" w:hAnsi="Arial" w:cs="Arial" w:hint="eastAsia"/>
          <w:color w:val="000000" w:themeColor="text1"/>
          <w:sz w:val="21"/>
          <w:szCs w:val="21"/>
        </w:rPr>
        <w:t>24</w:t>
      </w:r>
      <w:r w:rsidR="00B850AD" w:rsidRPr="007B4794">
        <w:rPr>
          <w:rFonts w:ascii="Arial" w:hAnsi="Arial" w:cs="Arial" w:hint="eastAsia"/>
          <w:color w:val="000000" w:themeColor="text1"/>
          <w:sz w:val="21"/>
          <w:szCs w:val="21"/>
        </w:rPr>
        <w:t>日</w:t>
      </w:r>
    </w:p>
    <w:p w14:paraId="788CADE6" w14:textId="1449756C" w:rsidR="00E352F7" w:rsidRPr="007B4794" w:rsidRDefault="00EA4910" w:rsidP="00EF1990">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报告编制日期：</w:t>
      </w:r>
      <w:r w:rsidRPr="007B4794">
        <w:rPr>
          <w:rFonts w:ascii="Arial" w:hAnsi="Arial" w:cs="Arial" w:hint="eastAsia"/>
          <w:color w:val="000000" w:themeColor="text1"/>
          <w:sz w:val="21"/>
          <w:szCs w:val="21"/>
        </w:rPr>
        <w:t>20</w:t>
      </w:r>
      <w:r w:rsidRPr="007B4794">
        <w:rPr>
          <w:rFonts w:ascii="Arial" w:hAnsi="Arial" w:cs="Arial"/>
          <w:color w:val="000000" w:themeColor="text1"/>
          <w:sz w:val="21"/>
          <w:szCs w:val="21"/>
        </w:rPr>
        <w:t>20</w:t>
      </w:r>
      <w:r w:rsidRPr="007B4794">
        <w:rPr>
          <w:rFonts w:ascii="Arial" w:hAnsi="Arial" w:cs="Arial" w:hint="eastAsia"/>
          <w:color w:val="000000" w:themeColor="text1"/>
          <w:sz w:val="21"/>
          <w:szCs w:val="21"/>
        </w:rPr>
        <w:t>年</w:t>
      </w:r>
      <w:r w:rsidR="00EE2211" w:rsidRPr="007B4794">
        <w:rPr>
          <w:rFonts w:ascii="Arial" w:hAnsi="Arial" w:cs="Arial" w:hint="eastAsia"/>
          <w:color w:val="000000" w:themeColor="text1"/>
          <w:sz w:val="21"/>
          <w:szCs w:val="21"/>
        </w:rPr>
        <w:t>11</w:t>
      </w:r>
      <w:r w:rsidRPr="007B4794">
        <w:rPr>
          <w:rFonts w:ascii="Arial" w:hAnsi="Arial" w:cs="Arial" w:hint="eastAsia"/>
          <w:color w:val="000000" w:themeColor="text1"/>
          <w:sz w:val="21"/>
          <w:szCs w:val="21"/>
        </w:rPr>
        <w:t>月</w:t>
      </w:r>
      <w:r w:rsidR="00EE2211" w:rsidRPr="007B4794">
        <w:rPr>
          <w:rFonts w:ascii="Arial" w:hAnsi="Arial" w:cs="Arial" w:hint="eastAsia"/>
          <w:color w:val="000000" w:themeColor="text1"/>
          <w:sz w:val="21"/>
          <w:szCs w:val="21"/>
        </w:rPr>
        <w:t>20</w:t>
      </w:r>
      <w:r w:rsidRPr="007B4794">
        <w:rPr>
          <w:rFonts w:ascii="Arial" w:hAnsi="Arial" w:cs="Arial" w:hint="eastAsia"/>
          <w:color w:val="000000" w:themeColor="text1"/>
          <w:sz w:val="21"/>
          <w:szCs w:val="21"/>
        </w:rPr>
        <w:t>日至</w:t>
      </w:r>
      <w:r w:rsidRPr="007B4794">
        <w:rPr>
          <w:rFonts w:ascii="Arial" w:hAnsi="Arial" w:cs="Arial" w:hint="eastAsia"/>
          <w:color w:val="000000" w:themeColor="text1"/>
          <w:sz w:val="21"/>
          <w:szCs w:val="21"/>
        </w:rPr>
        <w:t>20</w:t>
      </w:r>
      <w:r w:rsidRPr="007B4794">
        <w:rPr>
          <w:rFonts w:ascii="Arial" w:hAnsi="Arial" w:cs="Arial"/>
          <w:color w:val="000000" w:themeColor="text1"/>
          <w:sz w:val="21"/>
          <w:szCs w:val="21"/>
        </w:rPr>
        <w:t>20</w:t>
      </w:r>
      <w:r w:rsidRPr="007B4794">
        <w:rPr>
          <w:rFonts w:ascii="Arial" w:hAnsi="Arial" w:cs="Arial" w:hint="eastAsia"/>
          <w:color w:val="000000" w:themeColor="text1"/>
          <w:sz w:val="21"/>
          <w:szCs w:val="21"/>
        </w:rPr>
        <w:t>年</w:t>
      </w:r>
      <w:r w:rsidR="00B850AD" w:rsidRPr="007B4794">
        <w:rPr>
          <w:rFonts w:ascii="Arial" w:hAnsi="Arial" w:cs="Arial" w:hint="eastAsia"/>
          <w:color w:val="000000" w:themeColor="text1"/>
          <w:sz w:val="21"/>
          <w:szCs w:val="21"/>
        </w:rPr>
        <w:t>1</w:t>
      </w:r>
      <w:r w:rsidR="00EE2211" w:rsidRPr="007B4794">
        <w:rPr>
          <w:rFonts w:ascii="Arial" w:hAnsi="Arial" w:cs="Arial" w:hint="eastAsia"/>
          <w:color w:val="000000" w:themeColor="text1"/>
          <w:sz w:val="21"/>
          <w:szCs w:val="21"/>
        </w:rPr>
        <w:t>1</w:t>
      </w:r>
      <w:r w:rsidRPr="007B4794">
        <w:rPr>
          <w:rFonts w:ascii="Arial" w:hAnsi="Arial" w:cs="Arial" w:hint="eastAsia"/>
          <w:color w:val="000000" w:themeColor="text1"/>
          <w:sz w:val="21"/>
          <w:szCs w:val="21"/>
        </w:rPr>
        <w:t>月</w:t>
      </w:r>
      <w:r w:rsidR="00EE2211" w:rsidRPr="007B4794">
        <w:rPr>
          <w:rFonts w:ascii="Arial" w:hAnsi="Arial" w:cs="Arial" w:hint="eastAsia"/>
          <w:color w:val="000000" w:themeColor="text1"/>
          <w:sz w:val="21"/>
          <w:szCs w:val="21"/>
        </w:rPr>
        <w:t>26</w:t>
      </w:r>
      <w:r w:rsidRPr="007B4794">
        <w:rPr>
          <w:rFonts w:ascii="Arial" w:hAnsi="Arial" w:cs="Arial" w:hint="eastAsia"/>
          <w:color w:val="000000" w:themeColor="text1"/>
          <w:sz w:val="21"/>
          <w:szCs w:val="21"/>
        </w:rPr>
        <w:t>日</w:t>
      </w:r>
    </w:p>
    <w:p w14:paraId="47F8594C" w14:textId="6E9A61F0" w:rsidR="00E352F7" w:rsidRPr="007B4794" w:rsidRDefault="00034AF3" w:rsidP="00EF1990">
      <w:pPr>
        <w:pStyle w:val="2"/>
        <w:spacing w:before="0" w:after="0" w:line="480" w:lineRule="auto"/>
        <w:jc w:val="both"/>
        <w:rPr>
          <w:rFonts w:eastAsia="宋体" w:cs="Arial"/>
          <w:color w:val="000000" w:themeColor="text1"/>
          <w:sz w:val="21"/>
          <w:szCs w:val="21"/>
        </w:rPr>
      </w:pPr>
      <w:bookmarkStart w:id="27" w:name="_Toc111622547"/>
      <w:bookmarkStart w:id="28" w:name="_Toc415468964"/>
      <w:bookmarkStart w:id="29" w:name="_Toc54016579"/>
      <w:r w:rsidRPr="007B4794">
        <w:rPr>
          <w:rFonts w:eastAsia="宋体" w:cs="Arial" w:hint="eastAsia"/>
          <w:color w:val="000000" w:themeColor="text1"/>
          <w:sz w:val="21"/>
          <w:szCs w:val="21"/>
        </w:rPr>
        <w:t>七</w:t>
      </w:r>
      <w:r w:rsidRPr="007B4794">
        <w:rPr>
          <w:rFonts w:eastAsia="宋体" w:cs="Arial"/>
          <w:color w:val="000000" w:themeColor="text1"/>
          <w:sz w:val="21"/>
          <w:szCs w:val="21"/>
        </w:rPr>
        <w:t>、</w:t>
      </w:r>
      <w:bookmarkEnd w:id="27"/>
      <w:bookmarkEnd w:id="28"/>
      <w:r w:rsidRPr="007B4794">
        <w:rPr>
          <w:rFonts w:eastAsia="宋体" w:cs="Arial"/>
          <w:color w:val="000000" w:themeColor="text1"/>
          <w:sz w:val="21"/>
          <w:szCs w:val="21"/>
        </w:rPr>
        <w:t>本报告编制依据和说明</w:t>
      </w:r>
      <w:bookmarkEnd w:id="29"/>
    </w:p>
    <w:p w14:paraId="1D86A57C" w14:textId="77777777" w:rsidR="00E352F7" w:rsidRPr="007B4794" w:rsidRDefault="00E352F7" w:rsidP="00581C42">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noProof/>
          <w:color w:val="000000" w:themeColor="text1"/>
          <w:sz w:val="21"/>
          <w:szCs w:val="21"/>
        </w:rPr>
        <w:t>（一）报告编制依据</w:t>
      </w:r>
    </w:p>
    <w:p w14:paraId="5187369A" w14:textId="77777777" w:rsidR="00E352F7" w:rsidRPr="007B4794" w:rsidRDefault="00E352F7" w:rsidP="00EF1990">
      <w:pPr>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本报告主要依据和参考以下文件及相关资料：</w:t>
      </w:r>
    </w:p>
    <w:p w14:paraId="24C08085" w14:textId="1B959457" w:rsidR="00EA4910" w:rsidRPr="007B4794" w:rsidRDefault="00EA4910" w:rsidP="00B850AD">
      <w:pPr>
        <w:numPr>
          <w:ilvl w:val="0"/>
          <w:numId w:val="2"/>
        </w:numPr>
        <w:spacing w:line="480" w:lineRule="auto"/>
        <w:jc w:val="both"/>
        <w:rPr>
          <w:rFonts w:ascii="Arial" w:hAnsi="Arial" w:cs="Arial"/>
          <w:color w:val="000000" w:themeColor="text1"/>
          <w:sz w:val="21"/>
          <w:szCs w:val="21"/>
        </w:rPr>
      </w:pPr>
      <w:r w:rsidRPr="007B4794">
        <w:rPr>
          <w:rFonts w:ascii="Arial" w:hAnsi="Arial" w:cs="Arial" w:hint="eastAsia"/>
          <w:color w:val="000000" w:themeColor="text1"/>
          <w:sz w:val="21"/>
          <w:szCs w:val="21"/>
        </w:rPr>
        <w:t>《</w:t>
      </w:r>
      <w:r w:rsidR="00B850AD" w:rsidRPr="007B4794">
        <w:rPr>
          <w:rFonts w:ascii="Arial" w:hAnsi="Arial" w:cs="Arial" w:hint="eastAsia"/>
          <w:color w:val="000000" w:themeColor="text1"/>
          <w:sz w:val="21"/>
          <w:szCs w:val="21"/>
        </w:rPr>
        <w:t>成交确认书</w:t>
      </w:r>
      <w:r w:rsidRPr="007B4794">
        <w:rPr>
          <w:rFonts w:ascii="Arial" w:hAnsi="Arial" w:cs="Arial" w:hint="eastAsia"/>
          <w:color w:val="000000" w:themeColor="text1"/>
          <w:sz w:val="21"/>
          <w:szCs w:val="21"/>
        </w:rPr>
        <w:t>》</w:t>
      </w:r>
    </w:p>
    <w:p w14:paraId="3BB762E6" w14:textId="09A086D0" w:rsidR="00B850AD" w:rsidRPr="007B4794" w:rsidRDefault="00B850AD" w:rsidP="00B850AD">
      <w:pPr>
        <w:numPr>
          <w:ilvl w:val="0"/>
          <w:numId w:val="2"/>
        </w:numPr>
        <w:spacing w:line="480" w:lineRule="auto"/>
        <w:jc w:val="both"/>
        <w:rPr>
          <w:rFonts w:ascii="Arial" w:hAnsi="Arial" w:cs="Arial"/>
          <w:color w:val="000000" w:themeColor="text1"/>
          <w:sz w:val="21"/>
          <w:szCs w:val="21"/>
        </w:rPr>
      </w:pPr>
      <w:r w:rsidRPr="007B4794">
        <w:rPr>
          <w:rFonts w:ascii="Arial" w:hAnsi="Arial" w:cs="Arial" w:hint="eastAsia"/>
          <w:color w:val="000000" w:themeColor="text1"/>
          <w:sz w:val="21"/>
          <w:szCs w:val="21"/>
        </w:rPr>
        <w:t>《国有建设用地使用权出让合同》</w:t>
      </w:r>
      <w:r w:rsidRPr="007B4794">
        <w:rPr>
          <w:rFonts w:ascii="Arial" w:hAnsi="Arial" w:cs="Arial"/>
          <w:color w:val="000000" w:themeColor="text1"/>
          <w:sz w:val="21"/>
          <w:szCs w:val="21"/>
        </w:rPr>
        <w:t>[</w:t>
      </w:r>
      <w:r w:rsidR="006D68C2" w:rsidRPr="007B4794">
        <w:rPr>
          <w:rFonts w:ascii="Arial" w:hAnsi="Arial" w:cs="Arial" w:hint="eastAsia"/>
          <w:color w:val="000000" w:themeColor="text1"/>
          <w:sz w:val="21"/>
          <w:szCs w:val="21"/>
        </w:rPr>
        <w:t>电子监管号</w:t>
      </w:r>
      <w:r w:rsidRPr="007B4794">
        <w:rPr>
          <w:rFonts w:ascii="Arial" w:hAnsi="Arial" w:cs="Arial"/>
          <w:color w:val="000000" w:themeColor="text1"/>
          <w:sz w:val="21"/>
          <w:szCs w:val="21"/>
        </w:rPr>
        <w:t>：</w:t>
      </w:r>
      <w:r w:rsidR="006D68C2" w:rsidRPr="007B4794">
        <w:rPr>
          <w:rFonts w:ascii="Arial" w:hAnsi="Arial" w:cs="Arial" w:hint="eastAsia"/>
          <w:color w:val="000000" w:themeColor="text1"/>
          <w:sz w:val="21"/>
          <w:szCs w:val="21"/>
        </w:rPr>
        <w:t>3506812020B01125</w:t>
      </w:r>
      <w:r w:rsidRPr="007B4794">
        <w:rPr>
          <w:rFonts w:ascii="Arial" w:hAnsi="Arial" w:cs="Arial"/>
          <w:color w:val="000000" w:themeColor="text1"/>
          <w:sz w:val="21"/>
          <w:szCs w:val="21"/>
        </w:rPr>
        <w:t>]</w:t>
      </w:r>
      <w:r w:rsidRPr="007B4794">
        <w:rPr>
          <w:rFonts w:ascii="Arial" w:hAnsi="Arial" w:cs="Arial"/>
          <w:color w:val="000000" w:themeColor="text1"/>
          <w:sz w:val="21"/>
          <w:szCs w:val="21"/>
        </w:rPr>
        <w:t>及附件</w:t>
      </w:r>
    </w:p>
    <w:p w14:paraId="0559DDE9" w14:textId="6FF9395D" w:rsidR="00B850AD" w:rsidRPr="007B4794" w:rsidRDefault="00B850AD" w:rsidP="00B850AD">
      <w:pPr>
        <w:numPr>
          <w:ilvl w:val="0"/>
          <w:numId w:val="2"/>
        </w:numPr>
        <w:spacing w:line="480" w:lineRule="auto"/>
        <w:jc w:val="both"/>
        <w:rPr>
          <w:rFonts w:ascii="Arial" w:hAnsi="Arial" w:cs="Arial"/>
          <w:color w:val="000000" w:themeColor="text1"/>
          <w:sz w:val="21"/>
          <w:szCs w:val="21"/>
        </w:rPr>
      </w:pPr>
      <w:r w:rsidRPr="007B4794">
        <w:rPr>
          <w:rFonts w:ascii="Arial" w:hAnsi="Arial" w:cs="Arial" w:hint="eastAsia"/>
          <w:color w:val="000000" w:themeColor="text1"/>
          <w:sz w:val="21"/>
          <w:szCs w:val="21"/>
        </w:rPr>
        <w:t>《</w:t>
      </w:r>
      <w:r w:rsidR="006D68C2" w:rsidRPr="007B4794">
        <w:rPr>
          <w:rFonts w:ascii="Arial" w:hAnsi="Arial" w:cs="Arial" w:hint="eastAsia"/>
          <w:color w:val="000000" w:themeColor="text1"/>
          <w:sz w:val="21"/>
          <w:szCs w:val="21"/>
        </w:rPr>
        <w:t>漳州台商投资区（角美）</w:t>
      </w:r>
      <w:r w:rsidR="006D68C2" w:rsidRPr="007B4794">
        <w:rPr>
          <w:rFonts w:ascii="Arial" w:hAnsi="Arial" w:cs="Arial" w:hint="eastAsia"/>
          <w:color w:val="000000" w:themeColor="text1"/>
          <w:sz w:val="21"/>
          <w:szCs w:val="21"/>
        </w:rPr>
        <w:t>05</w:t>
      </w:r>
      <w:r w:rsidR="006D68C2" w:rsidRPr="007B4794">
        <w:rPr>
          <w:rFonts w:ascii="Arial" w:hAnsi="Arial" w:cs="Arial" w:hint="eastAsia"/>
          <w:color w:val="000000" w:themeColor="text1"/>
          <w:sz w:val="21"/>
          <w:szCs w:val="21"/>
        </w:rPr>
        <w:t>地块目投资分析报告</w:t>
      </w:r>
      <w:r w:rsidRPr="007B4794">
        <w:rPr>
          <w:rFonts w:ascii="Arial" w:hAnsi="Arial" w:cs="Arial" w:hint="eastAsia"/>
          <w:color w:val="000000" w:themeColor="text1"/>
          <w:sz w:val="21"/>
          <w:szCs w:val="21"/>
        </w:rPr>
        <w:t>》</w:t>
      </w:r>
    </w:p>
    <w:p w14:paraId="4B8DD971" w14:textId="77777777" w:rsidR="00EA4910" w:rsidRPr="007B4794" w:rsidRDefault="00EA4910" w:rsidP="00EA4910">
      <w:pPr>
        <w:numPr>
          <w:ilvl w:val="0"/>
          <w:numId w:val="2"/>
        </w:numPr>
        <w:spacing w:line="480" w:lineRule="auto"/>
        <w:jc w:val="both"/>
        <w:rPr>
          <w:rFonts w:ascii="Arial" w:hAnsi="Arial" w:cs="Arial"/>
          <w:color w:val="000000" w:themeColor="text1"/>
          <w:sz w:val="21"/>
          <w:szCs w:val="21"/>
        </w:rPr>
      </w:pPr>
      <w:r w:rsidRPr="007B4794">
        <w:rPr>
          <w:rFonts w:ascii="Arial" w:hAnsi="Arial" w:cs="Arial"/>
          <w:color w:val="000000" w:themeColor="text1"/>
          <w:sz w:val="21"/>
          <w:szCs w:val="21"/>
        </w:rPr>
        <w:t>国家及地方颁布的相关法律规章制度、当地现行财税政策</w:t>
      </w:r>
    </w:p>
    <w:p w14:paraId="1BDB9A98" w14:textId="77777777" w:rsidR="00EA4910" w:rsidRPr="007B4794" w:rsidRDefault="00EA4910" w:rsidP="00EA4910">
      <w:pPr>
        <w:numPr>
          <w:ilvl w:val="0"/>
          <w:numId w:val="2"/>
        </w:numPr>
        <w:spacing w:line="480" w:lineRule="auto"/>
        <w:jc w:val="both"/>
        <w:rPr>
          <w:rFonts w:ascii="Arial" w:hAnsi="Arial" w:cs="Arial"/>
          <w:color w:val="000000" w:themeColor="text1"/>
          <w:sz w:val="21"/>
          <w:szCs w:val="21"/>
        </w:rPr>
      </w:pPr>
      <w:r w:rsidRPr="007B4794">
        <w:rPr>
          <w:rFonts w:ascii="Arial" w:hAnsi="Arial" w:cs="Arial"/>
          <w:color w:val="000000" w:themeColor="text1"/>
          <w:sz w:val="21"/>
          <w:szCs w:val="21"/>
        </w:rPr>
        <w:t>市场调查资料</w:t>
      </w:r>
    </w:p>
    <w:p w14:paraId="430ED643" w14:textId="77777777" w:rsidR="00E352F7" w:rsidRPr="007B4794" w:rsidRDefault="00E352F7" w:rsidP="00581C42">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noProof/>
          <w:color w:val="000000" w:themeColor="text1"/>
          <w:sz w:val="21"/>
          <w:szCs w:val="21"/>
        </w:rPr>
        <w:lastRenderedPageBreak/>
        <w:t>（二）报告编制说明</w:t>
      </w:r>
    </w:p>
    <w:p w14:paraId="4C8F1DB7" w14:textId="77777777" w:rsidR="00EA4910" w:rsidRPr="007B4794" w:rsidRDefault="00EA4910" w:rsidP="00EA4910">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1</w:t>
      </w:r>
      <w:r w:rsidRPr="007B4794">
        <w:rPr>
          <w:rFonts w:ascii="Arial" w:hAnsi="Arial" w:cs="Arial"/>
          <w:color w:val="000000" w:themeColor="text1"/>
          <w:sz w:val="21"/>
          <w:szCs w:val="21"/>
        </w:rPr>
        <w:t>、本报告的编制依据了中华人民共和国相关法律、法令、法规和政策、具体规定，其基础资料和数据来自于有关主管部门颁布的文件和融资主体提供的资料，以及研究人员经过调研分析后所得的资料、信息。</w:t>
      </w:r>
    </w:p>
    <w:p w14:paraId="3674AA2C" w14:textId="35F1C0F9" w:rsidR="00AB3CC7" w:rsidRPr="007B4794" w:rsidRDefault="00EA4910" w:rsidP="00B850AD">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、本报告中的项目</w:t>
      </w:r>
      <w:r w:rsidRPr="007B4794">
        <w:rPr>
          <w:rFonts w:ascii="Arial" w:hAnsi="Arial" w:cs="Arial" w:hint="eastAsia"/>
          <w:color w:val="000000" w:themeColor="text1"/>
          <w:sz w:val="21"/>
          <w:szCs w:val="21"/>
        </w:rPr>
        <w:t>出让宗地面积</w:t>
      </w:r>
      <w:r w:rsidRPr="007B4794">
        <w:rPr>
          <w:rFonts w:ascii="Arial" w:hAnsi="Arial" w:cs="Arial"/>
          <w:color w:val="000000" w:themeColor="text1"/>
          <w:sz w:val="21"/>
          <w:szCs w:val="21"/>
        </w:rPr>
        <w:t>及规划建筑面积以</w:t>
      </w:r>
      <w:r w:rsidR="00B850AD" w:rsidRPr="007B4794">
        <w:rPr>
          <w:rFonts w:ascii="Arial" w:hAnsi="Arial" w:cs="Arial"/>
          <w:color w:val="000000" w:themeColor="text1"/>
          <w:sz w:val="21"/>
          <w:szCs w:val="21"/>
        </w:rPr>
        <w:t>《国有建设用地使用权出让合同》</w:t>
      </w:r>
      <w:r w:rsidR="00B850AD" w:rsidRPr="007B4794">
        <w:rPr>
          <w:rFonts w:ascii="Arial" w:hAnsi="Arial" w:cs="Arial"/>
          <w:color w:val="000000" w:themeColor="text1"/>
          <w:sz w:val="21"/>
          <w:szCs w:val="21"/>
        </w:rPr>
        <w:t>[</w:t>
      </w:r>
      <w:r w:rsidR="006D68C2" w:rsidRPr="007B4794">
        <w:rPr>
          <w:rFonts w:ascii="Arial" w:hAnsi="Arial" w:cs="Arial"/>
          <w:color w:val="000000" w:themeColor="text1"/>
          <w:sz w:val="21"/>
          <w:szCs w:val="21"/>
        </w:rPr>
        <w:t>电子监管号：</w:t>
      </w:r>
      <w:r w:rsidR="006D68C2" w:rsidRPr="007B4794">
        <w:rPr>
          <w:rFonts w:ascii="Arial" w:hAnsi="Arial" w:cs="Arial"/>
          <w:color w:val="000000" w:themeColor="text1"/>
          <w:sz w:val="21"/>
          <w:szCs w:val="21"/>
        </w:rPr>
        <w:t>3506812020B01125</w:t>
      </w:r>
      <w:r w:rsidR="00B850AD" w:rsidRPr="007B4794">
        <w:rPr>
          <w:rFonts w:ascii="Arial" w:hAnsi="Arial" w:cs="Arial"/>
          <w:color w:val="000000" w:themeColor="text1"/>
          <w:sz w:val="21"/>
          <w:szCs w:val="21"/>
        </w:rPr>
        <w:t>]</w:t>
      </w:r>
      <w:r w:rsidR="00B850AD" w:rsidRPr="007B4794">
        <w:rPr>
          <w:rFonts w:ascii="Arial" w:hAnsi="Arial" w:cs="Arial"/>
          <w:color w:val="000000" w:themeColor="text1"/>
          <w:sz w:val="21"/>
          <w:szCs w:val="21"/>
        </w:rPr>
        <w:t>及附件</w:t>
      </w:r>
      <w:r w:rsidR="00B850AD" w:rsidRPr="007B4794">
        <w:rPr>
          <w:rFonts w:ascii="Arial" w:hAnsi="Arial" w:cs="Arial" w:hint="eastAsia"/>
          <w:color w:val="000000" w:themeColor="text1"/>
          <w:sz w:val="21"/>
          <w:szCs w:val="21"/>
        </w:rPr>
        <w:t>、</w:t>
      </w:r>
      <w:r w:rsidR="00B850AD" w:rsidRPr="007B4794">
        <w:rPr>
          <w:rFonts w:ascii="Arial" w:hAnsi="Arial" w:cs="Arial"/>
          <w:color w:val="000000" w:themeColor="text1"/>
          <w:sz w:val="21"/>
          <w:szCs w:val="21"/>
        </w:rPr>
        <w:t>《</w:t>
      </w:r>
      <w:r w:rsidR="006D68C2" w:rsidRPr="007B4794">
        <w:rPr>
          <w:rFonts w:ascii="Arial" w:hAnsi="Arial" w:cs="Arial"/>
          <w:color w:val="000000" w:themeColor="text1"/>
          <w:sz w:val="21"/>
          <w:szCs w:val="21"/>
        </w:rPr>
        <w:t>漳州台商投资区（角美）</w:t>
      </w:r>
      <w:r w:rsidR="006D68C2" w:rsidRPr="007B4794">
        <w:rPr>
          <w:rFonts w:ascii="Arial" w:hAnsi="Arial" w:cs="Arial"/>
          <w:color w:val="000000" w:themeColor="text1"/>
          <w:sz w:val="21"/>
          <w:szCs w:val="21"/>
        </w:rPr>
        <w:t>05</w:t>
      </w:r>
      <w:r w:rsidR="006D68C2" w:rsidRPr="007B4794">
        <w:rPr>
          <w:rFonts w:ascii="Arial" w:hAnsi="Arial" w:cs="Arial"/>
          <w:color w:val="000000" w:themeColor="text1"/>
          <w:sz w:val="21"/>
          <w:szCs w:val="21"/>
        </w:rPr>
        <w:t>地块目投资分析报告</w:t>
      </w:r>
      <w:r w:rsidR="00B850AD" w:rsidRPr="007B4794">
        <w:rPr>
          <w:rFonts w:ascii="Arial" w:hAnsi="Arial" w:cs="Arial"/>
          <w:color w:val="000000" w:themeColor="text1"/>
          <w:sz w:val="21"/>
          <w:szCs w:val="21"/>
        </w:rPr>
        <w:t>》</w:t>
      </w:r>
      <w:r w:rsidR="00BE1492" w:rsidRPr="007B4794">
        <w:rPr>
          <w:rFonts w:ascii="Arial" w:hAnsi="Arial" w:cs="Arial" w:hint="eastAsia"/>
          <w:color w:val="000000" w:themeColor="text1"/>
          <w:sz w:val="21"/>
          <w:szCs w:val="21"/>
        </w:rPr>
        <w:t>中的</w:t>
      </w:r>
      <w:r w:rsidRPr="007B4794">
        <w:rPr>
          <w:rFonts w:ascii="Arial" w:hAnsi="Arial" w:cs="Arial"/>
          <w:color w:val="000000" w:themeColor="text1"/>
          <w:sz w:val="21"/>
          <w:szCs w:val="21"/>
        </w:rPr>
        <w:t>《经济技术指标》为依据。</w:t>
      </w:r>
    </w:p>
    <w:p w14:paraId="34B11E52" w14:textId="3615B6E2" w:rsidR="00E352F7" w:rsidRPr="007B4794" w:rsidRDefault="00296DA1" w:rsidP="00EF1990">
      <w:pPr>
        <w:pStyle w:val="2"/>
        <w:spacing w:before="0" w:after="0" w:line="480" w:lineRule="auto"/>
        <w:jc w:val="both"/>
        <w:rPr>
          <w:rFonts w:eastAsia="宋体" w:cs="Arial"/>
          <w:color w:val="000000" w:themeColor="text1"/>
          <w:sz w:val="21"/>
          <w:szCs w:val="21"/>
        </w:rPr>
      </w:pPr>
      <w:bookmarkStart w:id="30" w:name="_Toc54016580"/>
      <w:r w:rsidRPr="007B4794">
        <w:rPr>
          <w:rFonts w:eastAsia="宋体" w:cs="Arial" w:hint="eastAsia"/>
          <w:color w:val="000000" w:themeColor="text1"/>
          <w:sz w:val="21"/>
          <w:szCs w:val="21"/>
        </w:rPr>
        <w:t>八</w:t>
      </w:r>
      <w:r w:rsidRPr="007B4794">
        <w:rPr>
          <w:rFonts w:eastAsia="宋体" w:cs="Arial"/>
          <w:color w:val="000000" w:themeColor="text1"/>
          <w:sz w:val="21"/>
          <w:szCs w:val="21"/>
        </w:rPr>
        <w:t>、本报告使用说明</w:t>
      </w:r>
      <w:bookmarkEnd w:id="30"/>
    </w:p>
    <w:p w14:paraId="46C55433" w14:textId="77777777" w:rsidR="00EA4910" w:rsidRPr="007B4794" w:rsidRDefault="00EA4910" w:rsidP="00EA4910">
      <w:pPr>
        <w:adjustRightInd w:val="0"/>
        <w:snapToGrid w:val="0"/>
        <w:spacing w:line="480" w:lineRule="auto"/>
        <w:ind w:firstLineChars="200" w:firstLine="420"/>
        <w:jc w:val="both"/>
        <w:outlineLvl w:val="0"/>
        <w:rPr>
          <w:rFonts w:ascii="Arial" w:hAnsi="Arial" w:cs="Arial"/>
          <w:color w:val="000000" w:themeColor="text1"/>
          <w:sz w:val="21"/>
          <w:szCs w:val="21"/>
        </w:rPr>
      </w:pPr>
      <w:bookmarkStart w:id="31" w:name="_Toc24295934"/>
      <w:bookmarkStart w:id="32" w:name="_Toc33956069"/>
      <w:bookmarkStart w:id="33" w:name="_Toc44300260"/>
      <w:bookmarkStart w:id="34" w:name="_Toc76889697"/>
      <w:r w:rsidRPr="007B4794">
        <w:rPr>
          <w:rFonts w:ascii="Arial" w:hAnsi="Arial" w:cs="Arial"/>
          <w:color w:val="000000" w:themeColor="text1"/>
          <w:sz w:val="21"/>
          <w:szCs w:val="21"/>
        </w:rPr>
        <w:t>（一）本报告依前文编制目的供委托</w:t>
      </w:r>
      <w:r w:rsidRPr="007B4794">
        <w:rPr>
          <w:rFonts w:ascii="Arial" w:hAnsi="Arial" w:cs="Arial" w:hint="eastAsia"/>
          <w:color w:val="000000" w:themeColor="text1"/>
          <w:sz w:val="21"/>
          <w:szCs w:val="21"/>
        </w:rPr>
        <w:t>单位</w:t>
      </w:r>
      <w:r w:rsidRPr="007B4794">
        <w:rPr>
          <w:rFonts w:ascii="Arial" w:hAnsi="Arial" w:cs="Arial"/>
          <w:color w:val="000000" w:themeColor="text1"/>
          <w:sz w:val="21"/>
          <w:szCs w:val="21"/>
        </w:rPr>
        <w:t>使用。除依据法律和相关规定需公开情形外，未经受托方同意，报告的全部或部分内容不得发表于公开的媒体上。</w:t>
      </w:r>
    </w:p>
    <w:p w14:paraId="1B3C0DC2" w14:textId="77777777" w:rsidR="00EA4910" w:rsidRPr="007B4794" w:rsidRDefault="00EA4910" w:rsidP="00EA4910">
      <w:pPr>
        <w:adjustRightInd w:val="0"/>
        <w:snapToGrid w:val="0"/>
        <w:spacing w:line="480" w:lineRule="auto"/>
        <w:ind w:firstLineChars="200" w:firstLine="420"/>
        <w:jc w:val="both"/>
        <w:outlineLvl w:val="0"/>
        <w:rPr>
          <w:rFonts w:ascii="Arial" w:hAnsi="Arial" w:cs="Arial"/>
          <w:color w:val="000000" w:themeColor="text1"/>
          <w:sz w:val="21"/>
          <w:szCs w:val="21"/>
        </w:rPr>
      </w:pPr>
      <w:r w:rsidRPr="007B4794">
        <w:rPr>
          <w:rFonts w:ascii="Arial" w:hAnsi="Arial" w:cs="Arial"/>
          <w:color w:val="000000" w:themeColor="text1"/>
          <w:sz w:val="21"/>
          <w:szCs w:val="21"/>
        </w:rPr>
        <w:t>（二）本报告所依据的权属资料及其他相关说明文件等基础资料由建设单位以原件或复印件形式提供，资料提供者应对其真实性、合法性负责，如基础资料改变，本报告需重新调整。</w:t>
      </w:r>
    </w:p>
    <w:p w14:paraId="367B2C87" w14:textId="69E88E29" w:rsidR="00BE6972" w:rsidRPr="007B4794" w:rsidRDefault="00EA4910" w:rsidP="00EA4910">
      <w:pPr>
        <w:adjustRightInd w:val="0"/>
        <w:snapToGrid w:val="0"/>
        <w:spacing w:line="480" w:lineRule="auto"/>
        <w:ind w:firstLineChars="200" w:firstLine="420"/>
        <w:outlineLvl w:val="0"/>
        <w:rPr>
          <w:rFonts w:ascii="Arial" w:hAnsi="Arial" w:cs="Arial"/>
          <w:color w:val="000000" w:themeColor="text1"/>
          <w:szCs w:val="21"/>
        </w:rPr>
      </w:pPr>
      <w:r w:rsidRPr="007B4794">
        <w:rPr>
          <w:rFonts w:ascii="Arial" w:hAnsi="Arial" w:cs="Arial"/>
          <w:color w:val="000000" w:themeColor="text1"/>
          <w:sz w:val="21"/>
          <w:szCs w:val="21"/>
        </w:rPr>
        <w:t>（三）本报告结论</w:t>
      </w:r>
      <w:r w:rsidRPr="007B4794">
        <w:rPr>
          <w:rFonts w:ascii="Arial" w:hAnsi="Arial" w:cs="Arial" w:hint="eastAsia"/>
          <w:color w:val="000000" w:themeColor="text1"/>
          <w:sz w:val="21"/>
          <w:szCs w:val="21"/>
        </w:rPr>
        <w:t>自出具日起有</w:t>
      </w:r>
      <w:r w:rsidRPr="007B4794">
        <w:rPr>
          <w:rFonts w:ascii="Arial" w:hAnsi="Arial" w:cs="Arial"/>
          <w:color w:val="000000" w:themeColor="text1"/>
          <w:sz w:val="21"/>
          <w:szCs w:val="21"/>
        </w:rPr>
        <w:t>效期为一年。超过一年，需重新进行</w:t>
      </w:r>
      <w:r w:rsidRPr="007B4794">
        <w:rPr>
          <w:rFonts w:ascii="Arial" w:hAnsi="Arial" w:cs="Arial" w:hint="eastAsia"/>
          <w:color w:val="000000" w:themeColor="text1"/>
          <w:sz w:val="21"/>
          <w:szCs w:val="21"/>
        </w:rPr>
        <w:t>调研</w:t>
      </w:r>
      <w:r w:rsidRPr="007B4794">
        <w:rPr>
          <w:rFonts w:ascii="Arial" w:hAnsi="Arial" w:cs="Arial"/>
          <w:color w:val="000000" w:themeColor="text1"/>
          <w:sz w:val="21"/>
          <w:szCs w:val="21"/>
        </w:rPr>
        <w:t>分析。</w:t>
      </w:r>
    </w:p>
    <w:p w14:paraId="2E68100F" w14:textId="77777777" w:rsidR="00BE6972" w:rsidRPr="007B4794" w:rsidRDefault="00BE6972" w:rsidP="00BE6972">
      <w:pPr>
        <w:rPr>
          <w:rFonts w:ascii="Arial" w:hAnsi="Arial" w:cs="Arial"/>
          <w:color w:val="000000" w:themeColor="text1"/>
        </w:rPr>
      </w:pPr>
      <w:r w:rsidRPr="007B4794">
        <w:rPr>
          <w:rFonts w:ascii="Arial" w:eastAsia="仿宋_GB2312" w:hAnsi="Arial" w:cs="Arial"/>
          <w:color w:val="000000" w:themeColor="text1"/>
          <w:sz w:val="32"/>
        </w:rPr>
        <w:br w:type="page"/>
      </w:r>
    </w:p>
    <w:p w14:paraId="693CE132" w14:textId="34D7BBAB" w:rsidR="00BE6972" w:rsidRPr="007B4794" w:rsidRDefault="00BE6972" w:rsidP="00BE6972">
      <w:pPr>
        <w:pStyle w:val="1"/>
        <w:spacing w:before="240"/>
        <w:rPr>
          <w:rFonts w:ascii="Arial" w:eastAsia="方正黑体简体" w:hAnsi="Arial" w:cs="Arial"/>
          <w:b w:val="0"/>
          <w:bCs/>
          <w:color w:val="000000" w:themeColor="text1"/>
          <w:sz w:val="32"/>
          <w:szCs w:val="32"/>
        </w:rPr>
      </w:pPr>
      <w:bookmarkStart w:id="35" w:name="_Toc54016581"/>
      <w:r w:rsidRPr="007B4794">
        <w:rPr>
          <w:rFonts w:ascii="Arial" w:eastAsia="方正黑体简体" w:hAnsi="Arial" w:cs="Arial"/>
          <w:b w:val="0"/>
          <w:bCs/>
          <w:color w:val="000000" w:themeColor="text1"/>
          <w:sz w:val="32"/>
          <w:szCs w:val="32"/>
        </w:rPr>
        <w:lastRenderedPageBreak/>
        <w:t>第二章</w:t>
      </w:r>
      <w:r w:rsidRPr="007B4794">
        <w:rPr>
          <w:rFonts w:ascii="Arial" w:eastAsia="方正黑体简体" w:hAnsi="Arial" w:cs="Arial"/>
          <w:b w:val="0"/>
          <w:bCs/>
          <w:color w:val="000000" w:themeColor="text1"/>
          <w:sz w:val="32"/>
          <w:szCs w:val="32"/>
        </w:rPr>
        <w:t xml:space="preserve">  </w:t>
      </w:r>
      <w:r w:rsidR="00EB011A" w:rsidRPr="007B4794">
        <w:rPr>
          <w:rFonts w:ascii="Arial" w:eastAsia="方正黑体简体" w:hAnsi="Arial" w:cs="Arial" w:hint="eastAsia"/>
          <w:b w:val="0"/>
          <w:bCs/>
          <w:color w:val="000000" w:themeColor="text1"/>
          <w:sz w:val="32"/>
          <w:szCs w:val="32"/>
        </w:rPr>
        <w:t>调研对象</w:t>
      </w:r>
      <w:r w:rsidR="00ED34CF" w:rsidRPr="007B4794">
        <w:rPr>
          <w:rFonts w:ascii="Arial" w:eastAsia="方正黑体简体" w:hAnsi="Arial" w:cs="Arial" w:hint="eastAsia"/>
          <w:b w:val="0"/>
          <w:bCs/>
          <w:color w:val="000000" w:themeColor="text1"/>
          <w:sz w:val="32"/>
          <w:szCs w:val="32"/>
        </w:rPr>
        <w:t>概况</w:t>
      </w:r>
      <w:bookmarkEnd w:id="35"/>
    </w:p>
    <w:p w14:paraId="2F02DFF1" w14:textId="0F040435" w:rsidR="00E352F7" w:rsidRPr="007B4794" w:rsidRDefault="006B51CA" w:rsidP="00FD69CD">
      <w:pPr>
        <w:pStyle w:val="2"/>
        <w:spacing w:before="0" w:after="0" w:line="480" w:lineRule="auto"/>
        <w:rPr>
          <w:rFonts w:eastAsia="宋体" w:cs="Arial"/>
          <w:color w:val="000000" w:themeColor="text1"/>
          <w:sz w:val="21"/>
          <w:szCs w:val="21"/>
        </w:rPr>
      </w:pPr>
      <w:bookmarkStart w:id="36" w:name="_Toc24295935"/>
      <w:bookmarkStart w:id="37" w:name="_Toc33956070"/>
      <w:bookmarkStart w:id="38" w:name="_Toc44300261"/>
      <w:bookmarkStart w:id="39" w:name="_Toc76889698"/>
      <w:bookmarkStart w:id="40" w:name="_Toc54016582"/>
      <w:bookmarkEnd w:id="31"/>
      <w:bookmarkEnd w:id="32"/>
      <w:bookmarkEnd w:id="33"/>
      <w:bookmarkEnd w:id="34"/>
      <w:r w:rsidRPr="007B4794">
        <w:rPr>
          <w:rFonts w:eastAsia="宋体" w:cs="Arial" w:hint="eastAsia"/>
          <w:color w:val="000000" w:themeColor="text1"/>
          <w:sz w:val="21"/>
          <w:szCs w:val="21"/>
        </w:rPr>
        <w:t>一</w:t>
      </w:r>
      <w:r w:rsidRPr="007B4794">
        <w:rPr>
          <w:rFonts w:eastAsia="宋体" w:cs="Arial"/>
          <w:color w:val="000000" w:themeColor="text1"/>
          <w:sz w:val="21"/>
          <w:szCs w:val="21"/>
        </w:rPr>
        <w:t>、</w:t>
      </w:r>
      <w:bookmarkEnd w:id="36"/>
      <w:bookmarkEnd w:id="37"/>
      <w:bookmarkEnd w:id="38"/>
      <w:bookmarkEnd w:id="39"/>
      <w:r w:rsidR="00865F14" w:rsidRPr="007B4794">
        <w:rPr>
          <w:rFonts w:eastAsia="宋体" w:cs="Arial"/>
          <w:color w:val="000000" w:themeColor="text1"/>
          <w:sz w:val="21"/>
          <w:szCs w:val="21"/>
        </w:rPr>
        <w:t>项目建设地点</w:t>
      </w:r>
      <w:bookmarkEnd w:id="40"/>
    </w:p>
    <w:p w14:paraId="46FFBBD2" w14:textId="77777777" w:rsidR="00B850AD" w:rsidRPr="007B4794" w:rsidRDefault="00B850AD" w:rsidP="00B850AD">
      <w:pPr>
        <w:widowControl w:val="0"/>
        <w:adjustRightInd w:val="0"/>
        <w:snapToGrid w:val="0"/>
        <w:spacing w:line="480" w:lineRule="auto"/>
        <w:ind w:firstLineChars="200" w:firstLine="420"/>
        <w:jc w:val="both"/>
        <w:rPr>
          <w:rFonts w:ascii="Arial" w:hAnsi="Arial" w:cs="Arial"/>
          <w:color w:val="000000" w:themeColor="text1"/>
          <w:sz w:val="21"/>
          <w:szCs w:val="21"/>
        </w:rPr>
      </w:pPr>
      <w:bookmarkStart w:id="41" w:name="_Toc44300262"/>
      <w:bookmarkStart w:id="42" w:name="_Toc99176023"/>
      <w:bookmarkStart w:id="43" w:name="_Toc99251654"/>
      <w:bookmarkStart w:id="44" w:name="_Toc109118445"/>
      <w:bookmarkStart w:id="45" w:name="_Toc109119047"/>
      <w:bookmarkStart w:id="46" w:name="_Toc109122452"/>
      <w:r w:rsidRPr="007B4794">
        <w:rPr>
          <w:rFonts w:ascii="Arial" w:hAnsi="Arial" w:cs="Arial" w:hint="eastAsia"/>
          <w:color w:val="000000" w:themeColor="text1"/>
          <w:sz w:val="21"/>
          <w:szCs w:val="21"/>
        </w:rPr>
        <w:t>1</w:t>
      </w:r>
      <w:r w:rsidRPr="007B4794">
        <w:rPr>
          <w:rFonts w:ascii="Arial" w:hAnsi="Arial" w:cs="Arial" w:hint="eastAsia"/>
          <w:color w:val="000000" w:themeColor="text1"/>
          <w:sz w:val="21"/>
          <w:szCs w:val="21"/>
        </w:rPr>
        <w:t>、所在区位情况</w:t>
      </w:r>
    </w:p>
    <w:p w14:paraId="01EF4BCD" w14:textId="32C73750" w:rsidR="005D3172" w:rsidRPr="007B4794" w:rsidRDefault="003D08BE" w:rsidP="00B850AD">
      <w:pPr>
        <w:widowControl w:val="0"/>
        <w:adjustRightInd w:val="0"/>
        <w:snapToGrid w:val="0"/>
        <w:spacing w:line="480" w:lineRule="auto"/>
        <w:ind w:firstLineChars="200" w:firstLine="420"/>
        <w:rPr>
          <w:rFonts w:ascii="Arial" w:hAnsi="Arial" w:cs="Arial"/>
          <w:color w:val="000000" w:themeColor="text1"/>
          <w:sz w:val="21"/>
          <w:szCs w:val="21"/>
        </w:rPr>
      </w:pPr>
      <w:r w:rsidRPr="007B4794">
        <w:rPr>
          <w:rFonts w:ascii="Arial" w:hAnsi="Arial" w:cs="Arial"/>
          <w:color w:val="000000" w:themeColor="text1"/>
          <w:sz w:val="21"/>
          <w:szCs w:val="21"/>
        </w:rPr>
        <w:t>调研对象</w:t>
      </w:r>
      <w:r w:rsidR="00B850AD" w:rsidRPr="007B4794">
        <w:rPr>
          <w:rFonts w:ascii="Arial" w:hAnsi="Arial" w:cs="Arial"/>
          <w:color w:val="000000" w:themeColor="text1"/>
          <w:sz w:val="21"/>
          <w:szCs w:val="21"/>
        </w:rPr>
        <w:t>位于</w:t>
      </w:r>
      <w:r w:rsidR="006D68C2" w:rsidRPr="007B4794">
        <w:rPr>
          <w:rFonts w:ascii="Arial" w:hAnsi="Arial" w:cs="Arial" w:hint="eastAsia"/>
          <w:color w:val="000000" w:themeColor="text1"/>
          <w:sz w:val="21"/>
          <w:szCs w:val="21"/>
        </w:rPr>
        <w:t>福建</w:t>
      </w:r>
      <w:r w:rsidR="00B850AD" w:rsidRPr="007B4794">
        <w:rPr>
          <w:rFonts w:ascii="Arial" w:hAnsi="Arial" w:cs="Arial" w:hint="eastAsia"/>
          <w:color w:val="000000" w:themeColor="text1"/>
          <w:sz w:val="21"/>
          <w:szCs w:val="21"/>
        </w:rPr>
        <w:t>省</w:t>
      </w:r>
      <w:r w:rsidR="006D68C2" w:rsidRPr="007B4794">
        <w:rPr>
          <w:rFonts w:ascii="Arial" w:hAnsi="Arial" w:cs="Arial" w:hint="eastAsia"/>
          <w:color w:val="000000" w:themeColor="text1"/>
          <w:sz w:val="21"/>
          <w:szCs w:val="21"/>
        </w:rPr>
        <w:t>漳州</w:t>
      </w:r>
      <w:r w:rsidR="00B850AD" w:rsidRPr="007B4794">
        <w:rPr>
          <w:rFonts w:ascii="Arial" w:hAnsi="Arial" w:cs="Arial" w:hint="eastAsia"/>
          <w:color w:val="000000" w:themeColor="text1"/>
          <w:sz w:val="21"/>
          <w:szCs w:val="21"/>
        </w:rPr>
        <w:t>市</w:t>
      </w:r>
      <w:r w:rsidR="006D68C2" w:rsidRPr="007B4794">
        <w:rPr>
          <w:rFonts w:ascii="Arial" w:hAnsi="Arial" w:cs="Arial" w:hint="eastAsia"/>
          <w:color w:val="000000" w:themeColor="text1"/>
          <w:sz w:val="21"/>
          <w:szCs w:val="21"/>
        </w:rPr>
        <w:t>台商投资</w:t>
      </w:r>
      <w:r w:rsidR="00B850AD" w:rsidRPr="007B4794">
        <w:rPr>
          <w:rFonts w:ascii="Arial" w:hAnsi="Arial" w:cs="Arial" w:hint="eastAsia"/>
          <w:color w:val="000000" w:themeColor="text1"/>
          <w:sz w:val="21"/>
          <w:szCs w:val="21"/>
        </w:rPr>
        <w:t>区</w:t>
      </w:r>
      <w:r w:rsidR="00B850AD" w:rsidRPr="007B4794">
        <w:rPr>
          <w:rFonts w:ascii="Arial" w:hAnsi="Arial" w:cs="Arial"/>
          <w:color w:val="000000" w:themeColor="text1"/>
          <w:sz w:val="21"/>
          <w:szCs w:val="21"/>
        </w:rPr>
        <w:t>，</w:t>
      </w:r>
      <w:r w:rsidR="003B5EFD" w:rsidRPr="007B4794">
        <w:rPr>
          <w:rFonts w:ascii="Arial" w:hAnsi="Arial" w:cs="Arial" w:hint="eastAsia"/>
          <w:color w:val="000000" w:themeColor="text1"/>
          <w:sz w:val="21"/>
          <w:szCs w:val="21"/>
        </w:rPr>
        <w:t>漳州台商投资区位于漳州、厦门城市节点，是规划中的漳州市中心城区组团之一</w:t>
      </w:r>
      <w:r w:rsidR="00B850AD" w:rsidRPr="007B4794">
        <w:rPr>
          <w:rFonts w:ascii="Arial" w:hAnsi="Arial" w:cs="Arial"/>
          <w:color w:val="000000" w:themeColor="text1"/>
          <w:sz w:val="21"/>
          <w:szCs w:val="21"/>
        </w:rPr>
        <w:t>。</w:t>
      </w:r>
      <w:r w:rsidR="003B5EFD" w:rsidRPr="007B4794">
        <w:rPr>
          <w:rFonts w:ascii="Arial" w:hAnsi="Arial" w:cs="Arial" w:hint="eastAsia"/>
          <w:color w:val="000000" w:themeColor="text1"/>
          <w:sz w:val="21"/>
          <w:szCs w:val="21"/>
        </w:rPr>
        <w:t>漳州台商投资区地处九龙江出海口，与厦门市接壤，面对台湾距台北、台中、高雄约</w:t>
      </w:r>
      <w:r w:rsidR="003B5EFD" w:rsidRPr="007B4794">
        <w:rPr>
          <w:rFonts w:ascii="Arial" w:hAnsi="Arial" w:cs="Arial"/>
          <w:color w:val="000000" w:themeColor="text1"/>
          <w:sz w:val="21"/>
          <w:szCs w:val="21"/>
        </w:rPr>
        <w:t>300</w:t>
      </w:r>
      <w:r w:rsidR="003B5EFD" w:rsidRPr="007B4794">
        <w:rPr>
          <w:rFonts w:ascii="Arial" w:hAnsi="Arial" w:cs="Arial"/>
          <w:color w:val="000000" w:themeColor="text1"/>
          <w:sz w:val="21"/>
          <w:szCs w:val="21"/>
        </w:rPr>
        <w:t>公里；距厦门岛</w:t>
      </w:r>
      <w:r w:rsidR="003B5EFD" w:rsidRPr="007B4794">
        <w:rPr>
          <w:rFonts w:ascii="Arial" w:hAnsi="Arial" w:cs="Arial"/>
          <w:color w:val="000000" w:themeColor="text1"/>
          <w:sz w:val="21"/>
          <w:szCs w:val="21"/>
        </w:rPr>
        <w:t>15</w:t>
      </w:r>
      <w:r w:rsidR="003B5EFD" w:rsidRPr="007B4794">
        <w:rPr>
          <w:rFonts w:ascii="Arial" w:hAnsi="Arial" w:cs="Arial"/>
          <w:color w:val="000000" w:themeColor="text1"/>
          <w:sz w:val="21"/>
          <w:szCs w:val="21"/>
        </w:rPr>
        <w:t>公里，距厦门高崎国际机场</w:t>
      </w:r>
      <w:r w:rsidR="003B5EFD" w:rsidRPr="007B4794">
        <w:rPr>
          <w:rFonts w:ascii="Arial" w:hAnsi="Arial" w:cs="Arial"/>
          <w:color w:val="000000" w:themeColor="text1"/>
          <w:sz w:val="21"/>
          <w:szCs w:val="21"/>
        </w:rPr>
        <w:t>26</w:t>
      </w:r>
      <w:r w:rsidR="003B5EFD" w:rsidRPr="007B4794">
        <w:rPr>
          <w:rFonts w:ascii="Arial" w:hAnsi="Arial" w:cs="Arial"/>
          <w:color w:val="000000" w:themeColor="text1"/>
          <w:sz w:val="21"/>
          <w:szCs w:val="21"/>
        </w:rPr>
        <w:t>公里，距厦门东渡和海沧国际货柜码头分别为</w:t>
      </w:r>
      <w:r w:rsidR="003B5EFD" w:rsidRPr="007B4794">
        <w:rPr>
          <w:rFonts w:ascii="Arial" w:hAnsi="Arial" w:cs="Arial"/>
          <w:color w:val="000000" w:themeColor="text1"/>
          <w:sz w:val="21"/>
          <w:szCs w:val="21"/>
        </w:rPr>
        <w:t>19</w:t>
      </w:r>
      <w:r w:rsidR="003B5EFD" w:rsidRPr="007B4794">
        <w:rPr>
          <w:rFonts w:ascii="Arial" w:hAnsi="Arial" w:cs="Arial"/>
          <w:color w:val="000000" w:themeColor="text1"/>
          <w:sz w:val="21"/>
          <w:szCs w:val="21"/>
        </w:rPr>
        <w:t>公里和</w:t>
      </w:r>
      <w:r w:rsidR="003B5EFD" w:rsidRPr="007B4794">
        <w:rPr>
          <w:rFonts w:ascii="Arial" w:hAnsi="Arial" w:cs="Arial"/>
          <w:color w:val="000000" w:themeColor="text1"/>
          <w:sz w:val="21"/>
          <w:szCs w:val="21"/>
        </w:rPr>
        <w:t>13</w:t>
      </w:r>
      <w:r w:rsidR="003B5EFD" w:rsidRPr="007B4794">
        <w:rPr>
          <w:rFonts w:ascii="Arial" w:hAnsi="Arial" w:cs="Arial"/>
          <w:color w:val="000000" w:themeColor="text1"/>
          <w:sz w:val="21"/>
          <w:szCs w:val="21"/>
        </w:rPr>
        <w:t>公里，是厦门市环岛</w:t>
      </w:r>
      <w:r w:rsidR="003B5EFD" w:rsidRPr="007B4794">
        <w:rPr>
          <w:rFonts w:ascii="Arial" w:hAnsi="Arial" w:cs="Arial"/>
          <w:color w:val="000000" w:themeColor="text1"/>
          <w:sz w:val="21"/>
          <w:szCs w:val="21"/>
        </w:rPr>
        <w:t>“</w:t>
      </w:r>
      <w:r w:rsidR="003B5EFD" w:rsidRPr="007B4794">
        <w:rPr>
          <w:rFonts w:ascii="Arial" w:hAnsi="Arial" w:cs="Arial"/>
          <w:color w:val="000000" w:themeColor="text1"/>
          <w:sz w:val="21"/>
          <w:szCs w:val="21"/>
        </w:rPr>
        <w:t>半小时经济圈</w:t>
      </w:r>
      <w:r w:rsidR="003B5EFD" w:rsidRPr="007B4794">
        <w:rPr>
          <w:rFonts w:ascii="Arial" w:hAnsi="Arial" w:cs="Arial"/>
          <w:color w:val="000000" w:themeColor="text1"/>
          <w:sz w:val="21"/>
          <w:szCs w:val="21"/>
        </w:rPr>
        <w:t>”</w:t>
      </w:r>
      <w:r w:rsidR="003B5EFD" w:rsidRPr="007B4794">
        <w:rPr>
          <w:rFonts w:ascii="Arial" w:hAnsi="Arial" w:cs="Arial"/>
          <w:color w:val="000000" w:themeColor="text1"/>
          <w:sz w:val="21"/>
          <w:szCs w:val="21"/>
        </w:rPr>
        <w:t>和海湾型城市建设重要组成部分。区内港口资源丰富，是海沧港区重要组成部分和闽东南重要的水陆交通枢纽。</w:t>
      </w:r>
    </w:p>
    <w:p w14:paraId="09FE6B6A" w14:textId="346C0B95" w:rsidR="006D68C2" w:rsidRPr="007B4794" w:rsidRDefault="003B5EFD" w:rsidP="003B5EFD">
      <w:pPr>
        <w:widowControl w:val="0"/>
        <w:adjustRightInd w:val="0"/>
        <w:snapToGrid w:val="0"/>
        <w:spacing w:line="480" w:lineRule="auto"/>
        <w:ind w:firstLineChars="200" w:firstLine="420"/>
        <w:rPr>
          <w:rFonts w:ascii="Arial" w:hAnsi="Arial" w:cs="Arial"/>
          <w:color w:val="000000" w:themeColor="text1"/>
          <w:sz w:val="21"/>
          <w:szCs w:val="21"/>
        </w:rPr>
      </w:pPr>
      <w:r w:rsidRPr="007B4794">
        <w:rPr>
          <w:rFonts w:ascii="Arial" w:hAnsi="Arial" w:cs="Arial"/>
          <w:color w:val="000000" w:themeColor="text1"/>
          <w:sz w:val="21"/>
          <w:szCs w:val="21"/>
        </w:rPr>
        <w:t>调研对象</w:t>
      </w:r>
      <w:r w:rsidR="006D68C2" w:rsidRPr="007B4794">
        <w:rPr>
          <w:rFonts w:ascii="Arial" w:hAnsi="Arial" w:cs="Arial" w:hint="eastAsia"/>
          <w:color w:val="000000" w:themeColor="text1"/>
          <w:sz w:val="21"/>
          <w:szCs w:val="21"/>
        </w:rPr>
        <w:t>位于</w:t>
      </w:r>
      <w:r w:rsidR="00432972" w:rsidRPr="007B4794">
        <w:rPr>
          <w:rFonts w:ascii="Arial" w:hAnsi="Arial" w:cs="Arial" w:hint="eastAsia"/>
          <w:color w:val="000000" w:themeColor="text1"/>
          <w:sz w:val="21"/>
          <w:szCs w:val="21"/>
        </w:rPr>
        <w:t>台商投资区</w:t>
      </w:r>
      <w:r w:rsidR="006D68C2" w:rsidRPr="007B4794">
        <w:rPr>
          <w:rFonts w:ascii="Arial" w:hAnsi="Arial" w:cs="Arial" w:hint="eastAsia"/>
          <w:color w:val="000000" w:themeColor="text1"/>
          <w:sz w:val="21"/>
          <w:szCs w:val="21"/>
        </w:rPr>
        <w:t>角美镇核心镇区，</w:t>
      </w:r>
      <w:r w:rsidRPr="007B4794">
        <w:rPr>
          <w:rFonts w:ascii="Arial" w:hAnsi="Arial" w:cs="Arial" w:hint="eastAsia"/>
          <w:color w:val="000000" w:themeColor="text1"/>
          <w:sz w:val="21"/>
          <w:szCs w:val="21"/>
        </w:rPr>
        <w:t>地块附属的道路交通体系连接厦门与漳州市，</w:t>
      </w:r>
      <w:r w:rsidR="006D68C2" w:rsidRPr="007B4794">
        <w:rPr>
          <w:rFonts w:ascii="Arial" w:hAnsi="Arial" w:cs="Arial" w:hint="eastAsia"/>
          <w:color w:val="000000" w:themeColor="text1"/>
          <w:sz w:val="21"/>
          <w:szCs w:val="21"/>
        </w:rPr>
        <w:t>且毗邻轨道交通站点，</w:t>
      </w:r>
      <w:r w:rsidRPr="007B4794">
        <w:rPr>
          <w:rFonts w:ascii="Arial" w:hAnsi="Arial" w:cs="Arial" w:hint="eastAsia"/>
          <w:color w:val="000000" w:themeColor="text1"/>
          <w:sz w:val="21"/>
          <w:szCs w:val="21"/>
        </w:rPr>
        <w:t>地块南侧毗邻厦门地铁</w:t>
      </w:r>
      <w:r w:rsidRPr="007B4794">
        <w:rPr>
          <w:rFonts w:ascii="Arial" w:hAnsi="Arial" w:cs="Arial"/>
          <w:color w:val="000000" w:themeColor="text1"/>
          <w:sz w:val="21"/>
          <w:szCs w:val="21"/>
        </w:rPr>
        <w:t>6</w:t>
      </w:r>
      <w:r w:rsidRPr="007B4794">
        <w:rPr>
          <w:rFonts w:ascii="Arial" w:hAnsi="Arial" w:cs="Arial"/>
          <w:color w:val="000000" w:themeColor="text1"/>
          <w:sz w:val="21"/>
          <w:szCs w:val="21"/>
        </w:rPr>
        <w:t>号线角美延伸段龟山站，</w:t>
      </w:r>
      <w:r w:rsidR="006D68C2" w:rsidRPr="007B4794">
        <w:rPr>
          <w:rFonts w:ascii="Arial" w:hAnsi="Arial" w:cs="Arial" w:hint="eastAsia"/>
          <w:color w:val="000000" w:themeColor="text1"/>
          <w:sz w:val="21"/>
          <w:szCs w:val="21"/>
        </w:rPr>
        <w:t>距离厦门海沧区</w:t>
      </w:r>
      <w:r w:rsidR="006D68C2" w:rsidRPr="007B4794">
        <w:rPr>
          <w:rFonts w:ascii="Arial" w:hAnsi="Arial" w:cs="Arial"/>
          <w:color w:val="000000" w:themeColor="text1"/>
          <w:sz w:val="21"/>
          <w:szCs w:val="21"/>
        </w:rPr>
        <w:t>17km</w:t>
      </w:r>
      <w:r w:rsidR="006D68C2" w:rsidRPr="007B4794">
        <w:rPr>
          <w:rFonts w:ascii="Arial" w:hAnsi="Arial" w:cs="Arial"/>
          <w:color w:val="000000" w:themeColor="text1"/>
          <w:sz w:val="21"/>
          <w:szCs w:val="21"/>
        </w:rPr>
        <w:t>，</w:t>
      </w:r>
      <w:r w:rsidR="006D68C2" w:rsidRPr="007B4794">
        <w:rPr>
          <w:rFonts w:ascii="Arial" w:hAnsi="Arial" w:cs="Arial"/>
          <w:color w:val="000000" w:themeColor="text1"/>
          <w:sz w:val="21"/>
          <w:szCs w:val="21"/>
        </w:rPr>
        <w:t>20</w:t>
      </w:r>
      <w:r w:rsidR="006D68C2" w:rsidRPr="007B4794">
        <w:rPr>
          <w:rFonts w:ascii="Arial" w:hAnsi="Arial" w:cs="Arial"/>
          <w:color w:val="000000" w:themeColor="text1"/>
          <w:sz w:val="21"/>
          <w:szCs w:val="21"/>
        </w:rPr>
        <w:t>分钟车程；</w:t>
      </w:r>
    </w:p>
    <w:p w14:paraId="1AEDB162" w14:textId="2C0F55E9" w:rsidR="003B5EFD" w:rsidRPr="007B4794" w:rsidRDefault="003B5EFD" w:rsidP="003B5EFD">
      <w:pPr>
        <w:rPr>
          <w:color w:val="000000" w:themeColor="text1"/>
        </w:rPr>
      </w:pPr>
      <w:r w:rsidRPr="007B4794">
        <w:rPr>
          <w:noProof/>
          <w:color w:val="000000" w:themeColor="text1"/>
        </w:rPr>
        <w:drawing>
          <wp:inline distT="0" distB="0" distL="0" distR="0" wp14:anchorId="613A76D5" wp14:editId="3297514F">
            <wp:extent cx="6000020" cy="2590800"/>
            <wp:effectExtent l="0" t="0" r="1270" b="0"/>
            <wp:docPr id="2" name="图片 2" descr="C:\Documents and Settings\Administrator\Application Data\Tencent\Users\273361491\QQ\WinTemp\RichOle\6`I)X@@X5O1UG5N0QQQK]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Application Data\Tencent\Users\273361491\QQ\WinTemp\RichOle\6`I)X@@X5O1UG5N0QQQK]9C.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1879" cy="2591603"/>
                    </a:xfrm>
                    <a:prstGeom prst="rect">
                      <a:avLst/>
                    </a:prstGeom>
                    <a:noFill/>
                    <a:ln>
                      <a:noFill/>
                    </a:ln>
                  </pic:spPr>
                </pic:pic>
              </a:graphicData>
            </a:graphic>
          </wp:inline>
        </w:drawing>
      </w:r>
    </w:p>
    <w:p w14:paraId="2BC73518" w14:textId="09415B69" w:rsidR="00111F0B" w:rsidRPr="007B4794" w:rsidRDefault="003B5EFD" w:rsidP="003B5EFD">
      <w:pPr>
        <w:widowControl w:val="0"/>
        <w:adjustRightInd w:val="0"/>
        <w:snapToGrid w:val="0"/>
        <w:spacing w:line="480" w:lineRule="auto"/>
        <w:jc w:val="right"/>
        <w:rPr>
          <w:rFonts w:ascii="Arial" w:hAnsi="Arial" w:cs="Arial"/>
          <w:color w:val="000000" w:themeColor="text1"/>
          <w:sz w:val="21"/>
          <w:szCs w:val="21"/>
        </w:rPr>
      </w:pPr>
      <w:r w:rsidRPr="007B4794">
        <w:rPr>
          <w:noProof/>
          <w:color w:val="000000" w:themeColor="text1"/>
        </w:rPr>
        <w:t xml:space="preserve"> </w:t>
      </w:r>
    </w:p>
    <w:bookmarkEnd w:id="41"/>
    <w:bookmarkEnd w:id="42"/>
    <w:bookmarkEnd w:id="43"/>
    <w:p w14:paraId="01B72445" w14:textId="77777777" w:rsidR="00B850AD" w:rsidRPr="007B4794" w:rsidRDefault="00B850AD" w:rsidP="00B850AD">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2</w:t>
      </w:r>
      <w:r w:rsidRPr="007B4794">
        <w:rPr>
          <w:rFonts w:ascii="Arial" w:hAnsi="Arial" w:cs="Arial" w:hint="eastAsia"/>
          <w:color w:val="000000" w:themeColor="text1"/>
          <w:sz w:val="21"/>
          <w:szCs w:val="21"/>
        </w:rPr>
        <w:t>、周边环境及四至</w:t>
      </w:r>
    </w:p>
    <w:p w14:paraId="2B2C7287" w14:textId="3F51CE44" w:rsidR="00B850AD" w:rsidRPr="007B4794" w:rsidRDefault="00913896" w:rsidP="003B5EFD">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调研对象</w:t>
      </w:r>
      <w:r w:rsidR="00B850AD" w:rsidRPr="007B4794">
        <w:rPr>
          <w:rFonts w:ascii="Arial" w:hAnsi="Arial" w:cs="Arial"/>
          <w:color w:val="000000" w:themeColor="text1"/>
          <w:sz w:val="21"/>
          <w:szCs w:val="21"/>
        </w:rPr>
        <w:t>位于</w:t>
      </w:r>
      <w:r w:rsidR="003B5EFD" w:rsidRPr="007B4794">
        <w:rPr>
          <w:rFonts w:ascii="Arial" w:hAnsi="Arial" w:cs="Arial" w:hint="eastAsia"/>
          <w:color w:val="000000" w:themeColor="text1"/>
          <w:sz w:val="21"/>
          <w:szCs w:val="21"/>
        </w:rPr>
        <w:t>福建省漳州市台商投资区湖中路以北</w:t>
      </w:r>
      <w:r w:rsidR="008E63FD" w:rsidRPr="007B4794">
        <w:rPr>
          <w:rFonts w:ascii="Arial" w:hAnsi="Arial" w:cs="Arial" w:hint="eastAsia"/>
          <w:color w:val="000000" w:themeColor="text1"/>
          <w:sz w:val="21"/>
          <w:szCs w:val="21"/>
        </w:rPr>
        <w:t>、</w:t>
      </w:r>
      <w:r w:rsidR="003B5EFD" w:rsidRPr="007B4794">
        <w:rPr>
          <w:rFonts w:ascii="Arial" w:hAnsi="Arial" w:cs="Arial" w:hint="eastAsia"/>
          <w:color w:val="000000" w:themeColor="text1"/>
          <w:sz w:val="21"/>
          <w:szCs w:val="21"/>
        </w:rPr>
        <w:t>锦江大道以东</w:t>
      </w:r>
      <w:r w:rsidR="00B850AD" w:rsidRPr="007B4794">
        <w:rPr>
          <w:rFonts w:ascii="Arial" w:hAnsi="Arial" w:cs="Arial"/>
          <w:color w:val="000000" w:themeColor="text1"/>
          <w:sz w:val="21"/>
          <w:szCs w:val="21"/>
        </w:rPr>
        <w:t>，项目</w:t>
      </w:r>
      <w:r w:rsidR="003B5EFD" w:rsidRPr="007B4794">
        <w:rPr>
          <w:rFonts w:ascii="Arial" w:hAnsi="Arial" w:cs="Arial" w:hint="eastAsia"/>
          <w:color w:val="000000" w:themeColor="text1"/>
          <w:sz w:val="21"/>
          <w:szCs w:val="21"/>
        </w:rPr>
        <w:t>北至</w:t>
      </w:r>
      <w:r w:rsidR="003B5EFD" w:rsidRPr="007B4794">
        <w:rPr>
          <w:rFonts w:ascii="Arial" w:hAnsi="Arial" w:cs="Arial"/>
          <w:color w:val="000000" w:themeColor="text1"/>
          <w:sz w:val="21"/>
          <w:szCs w:val="21"/>
        </w:rPr>
        <w:t>悦鹭云镜地块</w:t>
      </w:r>
      <w:r w:rsidR="003B5EFD" w:rsidRPr="007B4794">
        <w:rPr>
          <w:rFonts w:ascii="Arial" w:hAnsi="Arial" w:cs="Arial" w:hint="eastAsia"/>
          <w:color w:val="000000" w:themeColor="text1"/>
          <w:sz w:val="21"/>
          <w:szCs w:val="21"/>
        </w:rPr>
        <w:t>、</w:t>
      </w:r>
      <w:r w:rsidR="003B5EFD" w:rsidRPr="007B4794">
        <w:rPr>
          <w:rFonts w:ascii="Arial" w:hAnsi="Arial" w:cs="Arial"/>
          <w:color w:val="000000" w:themeColor="text1"/>
          <w:sz w:val="21"/>
          <w:szCs w:val="21"/>
        </w:rPr>
        <w:t>南</w:t>
      </w:r>
      <w:r w:rsidR="003B5EFD" w:rsidRPr="007B4794">
        <w:rPr>
          <w:rFonts w:ascii="Arial" w:hAnsi="Arial" w:cs="Arial" w:hint="eastAsia"/>
          <w:color w:val="000000" w:themeColor="text1"/>
          <w:sz w:val="21"/>
          <w:szCs w:val="21"/>
        </w:rPr>
        <w:t>至</w:t>
      </w:r>
      <w:r w:rsidR="003B5EFD" w:rsidRPr="007B4794">
        <w:rPr>
          <w:rFonts w:ascii="Arial" w:hAnsi="Arial" w:cs="Arial"/>
          <w:color w:val="000000" w:themeColor="text1"/>
          <w:sz w:val="21"/>
          <w:szCs w:val="21"/>
        </w:rPr>
        <w:t>第三实验小学</w:t>
      </w:r>
      <w:r w:rsidR="003B5EFD" w:rsidRPr="007B4794">
        <w:rPr>
          <w:rFonts w:ascii="Arial" w:hAnsi="Arial" w:cs="Arial" w:hint="eastAsia"/>
          <w:color w:val="000000" w:themeColor="text1"/>
          <w:sz w:val="21"/>
          <w:szCs w:val="21"/>
        </w:rPr>
        <w:t>、西至</w:t>
      </w:r>
      <w:r w:rsidR="003B5EFD" w:rsidRPr="007B4794">
        <w:rPr>
          <w:rFonts w:ascii="Arial" w:hAnsi="Arial" w:cs="Arial"/>
          <w:color w:val="000000" w:themeColor="text1"/>
          <w:sz w:val="21"/>
          <w:szCs w:val="21"/>
        </w:rPr>
        <w:t>临锦江大道</w:t>
      </w:r>
      <w:r w:rsidR="003B5EFD" w:rsidRPr="007B4794">
        <w:rPr>
          <w:rFonts w:ascii="Arial" w:hAnsi="Arial" w:cs="Arial" w:hint="eastAsia"/>
          <w:color w:val="000000" w:themeColor="text1"/>
          <w:sz w:val="21"/>
          <w:szCs w:val="21"/>
        </w:rPr>
        <w:t>、</w:t>
      </w:r>
      <w:r w:rsidR="003B5EFD" w:rsidRPr="007B4794">
        <w:rPr>
          <w:rFonts w:ascii="Arial" w:hAnsi="Arial" w:cs="Arial"/>
          <w:color w:val="000000" w:themeColor="text1"/>
          <w:sz w:val="21"/>
          <w:szCs w:val="21"/>
        </w:rPr>
        <w:t>东</w:t>
      </w:r>
      <w:r w:rsidR="003B5EFD" w:rsidRPr="007B4794">
        <w:rPr>
          <w:rFonts w:ascii="Arial" w:hAnsi="Arial" w:cs="Arial" w:hint="eastAsia"/>
          <w:color w:val="000000" w:themeColor="text1"/>
          <w:sz w:val="21"/>
          <w:szCs w:val="21"/>
        </w:rPr>
        <w:t>至</w:t>
      </w:r>
      <w:r w:rsidR="003B5EFD" w:rsidRPr="007B4794">
        <w:rPr>
          <w:rFonts w:ascii="Arial" w:hAnsi="Arial" w:cs="Arial"/>
          <w:color w:val="000000" w:themeColor="text1"/>
          <w:sz w:val="21"/>
          <w:szCs w:val="21"/>
        </w:rPr>
        <w:t>紧邻山水大道及龟山站</w:t>
      </w:r>
      <w:r w:rsidR="00B850AD" w:rsidRPr="007B4794">
        <w:rPr>
          <w:rFonts w:ascii="Arial" w:hAnsi="Arial" w:cs="Arial" w:hint="eastAsia"/>
          <w:color w:val="000000" w:themeColor="text1"/>
          <w:sz w:val="21"/>
          <w:szCs w:val="21"/>
        </w:rPr>
        <w:t>。</w:t>
      </w:r>
      <w:r w:rsidR="00B850AD" w:rsidRPr="007B4794">
        <w:rPr>
          <w:rFonts w:cs="Arial" w:hint="eastAsia"/>
          <w:color w:val="000000" w:themeColor="text1"/>
          <w:sz w:val="21"/>
          <w:szCs w:val="21"/>
        </w:rPr>
        <w:t>项目</w:t>
      </w:r>
      <w:r w:rsidR="003B5EFD" w:rsidRPr="007B4794">
        <w:rPr>
          <w:rFonts w:cs="Arial" w:hint="eastAsia"/>
          <w:color w:val="000000" w:themeColor="text1"/>
          <w:sz w:val="21"/>
          <w:szCs w:val="21"/>
        </w:rPr>
        <w:t>位于</w:t>
      </w:r>
      <w:r w:rsidR="00432972" w:rsidRPr="007B4794">
        <w:rPr>
          <w:rFonts w:ascii="Arial" w:hAnsi="Arial" w:cs="Arial" w:hint="eastAsia"/>
          <w:color w:val="000000" w:themeColor="text1"/>
          <w:sz w:val="21"/>
          <w:szCs w:val="21"/>
        </w:rPr>
        <w:t>台商投资区</w:t>
      </w:r>
      <w:r w:rsidR="003B5EFD" w:rsidRPr="007B4794">
        <w:rPr>
          <w:rFonts w:cs="Arial" w:hint="eastAsia"/>
          <w:color w:val="000000" w:themeColor="text1"/>
          <w:sz w:val="21"/>
          <w:szCs w:val="21"/>
        </w:rPr>
        <w:t>角美镇核心镇区</w:t>
      </w:r>
      <w:r w:rsidR="00B850AD" w:rsidRPr="007B4794">
        <w:rPr>
          <w:rFonts w:cs="Arial" w:hint="eastAsia"/>
          <w:color w:val="000000" w:themeColor="text1"/>
          <w:sz w:val="21"/>
          <w:szCs w:val="21"/>
        </w:rPr>
        <w:t>，</w:t>
      </w:r>
      <w:r w:rsidR="00C75619" w:rsidRPr="007B4794">
        <w:rPr>
          <w:rFonts w:cs="Arial" w:hint="eastAsia"/>
          <w:color w:val="000000" w:themeColor="text1"/>
          <w:sz w:val="21"/>
          <w:szCs w:val="21"/>
        </w:rPr>
        <w:t>东北</w:t>
      </w:r>
      <w:r w:rsidR="00B850AD" w:rsidRPr="007B4794">
        <w:rPr>
          <w:rFonts w:ascii="Arial" w:hAnsi="Arial" w:cs="Arial"/>
          <w:color w:val="000000" w:themeColor="text1"/>
          <w:sz w:val="21"/>
          <w:szCs w:val="21"/>
        </w:rPr>
        <w:t>距</w:t>
      </w:r>
      <w:r w:rsidR="00C75619" w:rsidRPr="007B4794">
        <w:rPr>
          <w:rFonts w:ascii="Arial" w:hAnsi="Arial" w:cs="Arial" w:hint="eastAsia"/>
          <w:color w:val="000000" w:themeColor="text1"/>
          <w:sz w:val="21"/>
          <w:szCs w:val="21"/>
        </w:rPr>
        <w:t>角美镇政府约</w:t>
      </w:r>
      <w:r w:rsidR="00C75619" w:rsidRPr="007B4794">
        <w:rPr>
          <w:rFonts w:ascii="Arial" w:hAnsi="Arial" w:cs="Arial" w:hint="eastAsia"/>
          <w:color w:val="000000" w:themeColor="text1"/>
          <w:sz w:val="21"/>
          <w:szCs w:val="21"/>
        </w:rPr>
        <w:t>2</w:t>
      </w:r>
      <w:r w:rsidR="00C75619" w:rsidRPr="007B4794">
        <w:rPr>
          <w:rFonts w:ascii="Arial" w:hAnsi="Arial" w:cs="Arial" w:hint="eastAsia"/>
          <w:color w:val="000000" w:themeColor="text1"/>
          <w:sz w:val="21"/>
          <w:szCs w:val="21"/>
        </w:rPr>
        <w:t>公里，北距角美</w:t>
      </w:r>
      <w:r w:rsidR="00B850AD" w:rsidRPr="007B4794">
        <w:rPr>
          <w:rFonts w:ascii="Arial" w:hAnsi="Arial" w:cs="Arial"/>
          <w:color w:val="000000" w:themeColor="text1"/>
          <w:sz w:val="21"/>
          <w:szCs w:val="21"/>
        </w:rPr>
        <w:t>站</w:t>
      </w:r>
      <w:r w:rsidR="00B850AD" w:rsidRPr="007B4794">
        <w:rPr>
          <w:rFonts w:ascii="Arial" w:hAnsi="Arial" w:cs="Arial" w:hint="eastAsia"/>
          <w:color w:val="000000" w:themeColor="text1"/>
          <w:sz w:val="21"/>
          <w:szCs w:val="21"/>
        </w:rPr>
        <w:t>约</w:t>
      </w:r>
      <w:r w:rsidR="00C75619" w:rsidRPr="007B4794">
        <w:rPr>
          <w:rFonts w:ascii="Arial" w:hAnsi="Arial" w:cs="Arial" w:hint="eastAsia"/>
          <w:color w:val="000000" w:themeColor="text1"/>
          <w:sz w:val="21"/>
          <w:szCs w:val="21"/>
        </w:rPr>
        <w:t>2</w:t>
      </w:r>
      <w:r w:rsidR="00B850AD" w:rsidRPr="007B4794">
        <w:rPr>
          <w:rFonts w:ascii="Arial" w:hAnsi="Arial" w:cs="Arial"/>
          <w:color w:val="000000" w:themeColor="text1"/>
          <w:sz w:val="21"/>
          <w:szCs w:val="21"/>
        </w:rPr>
        <w:t>公里，</w:t>
      </w:r>
      <w:r w:rsidR="00B850AD" w:rsidRPr="007B4794">
        <w:rPr>
          <w:rFonts w:ascii="Arial" w:hAnsi="Arial" w:cs="Arial" w:hint="eastAsia"/>
          <w:color w:val="000000" w:themeColor="text1"/>
          <w:sz w:val="21"/>
          <w:szCs w:val="21"/>
        </w:rPr>
        <w:t>距离</w:t>
      </w:r>
      <w:r w:rsidR="00C75619" w:rsidRPr="007B4794">
        <w:rPr>
          <w:rFonts w:ascii="Arial" w:hAnsi="Arial" w:cs="Arial" w:hint="eastAsia"/>
          <w:color w:val="000000" w:themeColor="text1"/>
          <w:sz w:val="21"/>
          <w:szCs w:val="21"/>
        </w:rPr>
        <w:t>厦门高崎</w:t>
      </w:r>
      <w:r w:rsidR="00B850AD" w:rsidRPr="007B4794">
        <w:rPr>
          <w:rFonts w:ascii="Arial" w:hAnsi="Arial" w:cs="Arial"/>
          <w:color w:val="000000" w:themeColor="text1"/>
          <w:sz w:val="21"/>
          <w:szCs w:val="21"/>
        </w:rPr>
        <w:t>机场</w:t>
      </w:r>
      <w:r w:rsidR="00C75619" w:rsidRPr="007B4794">
        <w:rPr>
          <w:rFonts w:ascii="Arial" w:hAnsi="Arial" w:cs="Arial" w:hint="eastAsia"/>
          <w:color w:val="000000" w:themeColor="text1"/>
          <w:sz w:val="21"/>
          <w:szCs w:val="21"/>
        </w:rPr>
        <w:t>24.5</w:t>
      </w:r>
      <w:r w:rsidR="00B850AD" w:rsidRPr="007B4794">
        <w:rPr>
          <w:rFonts w:ascii="Arial" w:hAnsi="Arial" w:cs="Arial"/>
          <w:color w:val="000000" w:themeColor="text1"/>
          <w:sz w:val="21"/>
          <w:szCs w:val="21"/>
        </w:rPr>
        <w:t>公里。</w:t>
      </w:r>
      <w:r w:rsidRPr="007B4794">
        <w:rPr>
          <w:rFonts w:ascii="Arial" w:hAnsi="Arial" w:cs="Arial"/>
          <w:color w:val="000000" w:themeColor="text1"/>
          <w:sz w:val="21"/>
          <w:szCs w:val="21"/>
        </w:rPr>
        <w:t>调研对象</w:t>
      </w:r>
      <w:r w:rsidR="00B850AD" w:rsidRPr="007B4794">
        <w:rPr>
          <w:rFonts w:ascii="Arial" w:hAnsi="Arial" w:cs="Arial" w:hint="eastAsia"/>
          <w:color w:val="000000" w:themeColor="text1"/>
          <w:sz w:val="21"/>
          <w:szCs w:val="21"/>
        </w:rPr>
        <w:t>周边住宅项目较多，已建成社区多集中于</w:t>
      </w:r>
      <w:r w:rsidRPr="007B4794">
        <w:rPr>
          <w:rFonts w:ascii="Arial" w:hAnsi="Arial" w:cs="Arial" w:hint="eastAsia"/>
          <w:color w:val="000000" w:themeColor="text1"/>
          <w:sz w:val="21"/>
          <w:szCs w:val="21"/>
        </w:rPr>
        <w:t>调研对象</w:t>
      </w:r>
      <w:r w:rsidR="00B850AD" w:rsidRPr="007B4794">
        <w:rPr>
          <w:rFonts w:ascii="Arial" w:hAnsi="Arial" w:cs="Arial" w:hint="eastAsia"/>
          <w:color w:val="000000" w:themeColor="text1"/>
          <w:sz w:val="21"/>
          <w:szCs w:val="21"/>
        </w:rPr>
        <w:t>以</w:t>
      </w:r>
      <w:r w:rsidR="00C75619" w:rsidRPr="007B4794">
        <w:rPr>
          <w:rFonts w:ascii="Arial" w:hAnsi="Arial" w:cs="Arial" w:hint="eastAsia"/>
          <w:color w:val="000000" w:themeColor="text1"/>
          <w:sz w:val="21"/>
          <w:szCs w:val="21"/>
        </w:rPr>
        <w:t>东及以南</w:t>
      </w:r>
      <w:r w:rsidR="00B850AD" w:rsidRPr="007B4794">
        <w:rPr>
          <w:rFonts w:ascii="Arial" w:hAnsi="Arial" w:cs="Arial" w:hint="eastAsia"/>
          <w:color w:val="000000" w:themeColor="text1"/>
          <w:sz w:val="21"/>
          <w:szCs w:val="21"/>
        </w:rPr>
        <w:t>，如</w:t>
      </w:r>
      <w:r w:rsidR="00C75619" w:rsidRPr="007B4794">
        <w:rPr>
          <w:rFonts w:ascii="Arial" w:hAnsi="Arial" w:cs="Arial" w:hint="eastAsia"/>
          <w:color w:val="000000" w:themeColor="text1"/>
          <w:sz w:val="21"/>
          <w:szCs w:val="21"/>
        </w:rPr>
        <w:t>学府花园</w:t>
      </w:r>
      <w:r w:rsidR="00B850AD" w:rsidRPr="007B4794">
        <w:rPr>
          <w:rFonts w:ascii="Arial" w:hAnsi="Arial" w:cs="Arial" w:hint="eastAsia"/>
          <w:color w:val="000000" w:themeColor="text1"/>
          <w:sz w:val="21"/>
          <w:szCs w:val="21"/>
        </w:rPr>
        <w:t>、</w:t>
      </w:r>
      <w:r w:rsidR="00C75619" w:rsidRPr="007B4794">
        <w:rPr>
          <w:rFonts w:ascii="Arial" w:hAnsi="Arial" w:cs="Arial" w:hint="eastAsia"/>
          <w:color w:val="000000" w:themeColor="text1"/>
          <w:sz w:val="21"/>
          <w:szCs w:val="21"/>
        </w:rPr>
        <w:t>万达中央华城</w:t>
      </w:r>
      <w:r w:rsidR="00B850AD" w:rsidRPr="007B4794">
        <w:rPr>
          <w:rFonts w:ascii="Arial" w:hAnsi="Arial" w:cs="Arial" w:hint="eastAsia"/>
          <w:color w:val="000000" w:themeColor="text1"/>
          <w:sz w:val="21"/>
          <w:szCs w:val="21"/>
        </w:rPr>
        <w:t>、</w:t>
      </w:r>
      <w:r w:rsidR="00C75619" w:rsidRPr="007B4794">
        <w:rPr>
          <w:rFonts w:ascii="Arial" w:hAnsi="Arial" w:cs="Arial" w:hint="eastAsia"/>
          <w:color w:val="000000" w:themeColor="text1"/>
          <w:sz w:val="21"/>
          <w:szCs w:val="21"/>
        </w:rPr>
        <w:t>角美中骏四</w:t>
      </w:r>
      <w:r w:rsidR="00C75619" w:rsidRPr="007B4794">
        <w:rPr>
          <w:rFonts w:ascii="Arial" w:hAnsi="Arial" w:cs="Arial" w:hint="eastAsia"/>
          <w:color w:val="000000" w:themeColor="text1"/>
          <w:sz w:val="21"/>
          <w:szCs w:val="21"/>
        </w:rPr>
        <w:lastRenderedPageBreak/>
        <w:t>季阳光</w:t>
      </w:r>
      <w:r w:rsidR="00B850AD" w:rsidRPr="007B4794">
        <w:rPr>
          <w:rFonts w:ascii="Arial" w:hAnsi="Arial" w:cs="Arial" w:hint="eastAsia"/>
          <w:color w:val="000000" w:themeColor="text1"/>
          <w:sz w:val="21"/>
          <w:szCs w:val="21"/>
        </w:rPr>
        <w:t>、</w:t>
      </w:r>
      <w:r w:rsidR="00C75619" w:rsidRPr="007B4794">
        <w:rPr>
          <w:rFonts w:ascii="Arial" w:hAnsi="Arial" w:cs="Arial" w:hint="eastAsia"/>
          <w:color w:val="000000" w:themeColor="text1"/>
          <w:sz w:val="21"/>
          <w:szCs w:val="21"/>
        </w:rPr>
        <w:t>龙泉绿苑</w:t>
      </w:r>
      <w:r w:rsidR="00B850AD" w:rsidRPr="007B4794">
        <w:rPr>
          <w:rFonts w:ascii="Arial" w:hAnsi="Arial" w:cs="Arial" w:hint="eastAsia"/>
          <w:color w:val="000000" w:themeColor="text1"/>
          <w:sz w:val="21"/>
          <w:szCs w:val="21"/>
        </w:rPr>
        <w:t>、</w:t>
      </w:r>
      <w:r w:rsidR="00C75619" w:rsidRPr="007B4794">
        <w:rPr>
          <w:rFonts w:ascii="Arial" w:hAnsi="Arial" w:cs="Arial" w:hint="eastAsia"/>
          <w:color w:val="000000" w:themeColor="text1"/>
          <w:sz w:val="21"/>
          <w:szCs w:val="21"/>
        </w:rPr>
        <w:t>水晶湖畔</w:t>
      </w:r>
      <w:r w:rsidR="00B850AD" w:rsidRPr="007B4794">
        <w:rPr>
          <w:rFonts w:ascii="Arial" w:hAnsi="Arial" w:cs="Arial" w:hint="eastAsia"/>
          <w:color w:val="000000" w:themeColor="text1"/>
          <w:sz w:val="21"/>
          <w:szCs w:val="21"/>
        </w:rPr>
        <w:t>等住宅小区，所在区域主要规划为居住用地，整体成熟度较好，生活气息较浓厚，处于发展较成熟阶段。</w:t>
      </w:r>
    </w:p>
    <w:p w14:paraId="02A10F7A" w14:textId="50F6D0B0" w:rsidR="00EA047A" w:rsidRPr="007B4794" w:rsidRDefault="00EA047A" w:rsidP="00EA047A">
      <w:pPr>
        <w:rPr>
          <w:color w:val="000000" w:themeColor="text1"/>
        </w:rPr>
      </w:pPr>
      <w:r w:rsidRPr="007B4794">
        <w:rPr>
          <w:noProof/>
          <w:color w:val="000000" w:themeColor="text1"/>
        </w:rPr>
        <w:drawing>
          <wp:inline distT="0" distB="0" distL="0" distR="0" wp14:anchorId="017F104D" wp14:editId="37F6658D">
            <wp:extent cx="5638800" cy="3057026"/>
            <wp:effectExtent l="0" t="0" r="0" b="0"/>
            <wp:docPr id="5170" name="图片 5170" descr="C:\Documents and Settings\Administrator\Application Data\Tencent\Users\273361491\QQ\WinTemp\RichOle\9APE0HN2J(A`WT8K6)35R4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Application Data\Tencent\Users\273361491\QQ\WinTemp\RichOle\9APE0HN2J(A`WT8K6)35R4O.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44089" cy="3059894"/>
                    </a:xfrm>
                    <a:prstGeom prst="rect">
                      <a:avLst/>
                    </a:prstGeom>
                    <a:noFill/>
                    <a:ln>
                      <a:noFill/>
                    </a:ln>
                  </pic:spPr>
                </pic:pic>
              </a:graphicData>
            </a:graphic>
          </wp:inline>
        </w:drawing>
      </w:r>
    </w:p>
    <w:p w14:paraId="5A4DB081" w14:textId="6E007E8D" w:rsidR="003B5EFD" w:rsidRPr="007B4794" w:rsidRDefault="003B5EFD" w:rsidP="003B5EFD">
      <w:pPr>
        <w:rPr>
          <w:color w:val="000000" w:themeColor="text1"/>
        </w:rPr>
      </w:pPr>
    </w:p>
    <w:p w14:paraId="540FCE80" w14:textId="37790F82" w:rsidR="00B850AD" w:rsidRPr="007B4794" w:rsidRDefault="003B5EFD" w:rsidP="00EA047A">
      <w:pPr>
        <w:rPr>
          <w:rFonts w:ascii="Arial" w:hAnsi="Arial" w:cs="Arial"/>
          <w:color w:val="000000" w:themeColor="text1"/>
          <w:szCs w:val="21"/>
        </w:rPr>
      </w:pPr>
      <w:r w:rsidRPr="007B4794">
        <w:rPr>
          <w:noProof/>
          <w:color w:val="000000" w:themeColor="text1"/>
        </w:rPr>
        <w:t xml:space="preserve"> </w:t>
      </w:r>
      <w:bookmarkStart w:id="47" w:name="_GoBack"/>
      <w:bookmarkEnd w:id="47"/>
      <w:r w:rsidR="00B850AD" w:rsidRPr="007B4794">
        <w:rPr>
          <w:rFonts w:ascii="Arial" w:hAnsi="Arial" w:cs="Arial" w:hint="eastAsia"/>
          <w:color w:val="000000" w:themeColor="text1"/>
          <w:sz w:val="21"/>
          <w:szCs w:val="21"/>
        </w:rPr>
        <w:t xml:space="preserve"> </w:t>
      </w:r>
      <w:r w:rsidR="00B850AD" w:rsidRPr="007B4794">
        <w:rPr>
          <w:rFonts w:ascii="Arial" w:hAnsi="Arial" w:cs="Arial" w:hint="eastAsia"/>
          <w:noProof/>
          <w:color w:val="000000" w:themeColor="text1"/>
          <w:szCs w:val="21"/>
        </w:rPr>
        <w:drawing>
          <wp:inline distT="0" distB="0" distL="0" distR="0" wp14:anchorId="777B58A9" wp14:editId="77A1F92B">
            <wp:extent cx="2684340" cy="2013255"/>
            <wp:effectExtent l="0" t="0" r="1905" b="6350"/>
            <wp:docPr id="5153" name="图片 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地块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84340" cy="2013255"/>
                    </a:xfrm>
                    <a:prstGeom prst="rect">
                      <a:avLst/>
                    </a:prstGeom>
                  </pic:spPr>
                </pic:pic>
              </a:graphicData>
            </a:graphic>
          </wp:inline>
        </w:drawing>
      </w:r>
      <w:r w:rsidR="00B850AD" w:rsidRPr="007B4794">
        <w:rPr>
          <w:rFonts w:ascii="Arial" w:hAnsi="Arial" w:cs="Arial" w:hint="eastAsia"/>
          <w:color w:val="000000" w:themeColor="text1"/>
          <w:szCs w:val="21"/>
        </w:rPr>
        <w:t xml:space="preserve">  </w:t>
      </w:r>
      <w:r w:rsidR="00B850AD" w:rsidRPr="007B4794">
        <w:rPr>
          <w:rFonts w:ascii="Arial" w:hAnsi="Arial" w:cs="Arial"/>
          <w:noProof/>
          <w:color w:val="000000" w:themeColor="text1"/>
          <w:szCs w:val="21"/>
        </w:rPr>
        <w:drawing>
          <wp:inline distT="0" distB="0" distL="0" distR="0" wp14:anchorId="3112343E" wp14:editId="1EF5738A">
            <wp:extent cx="2663117" cy="1997338"/>
            <wp:effectExtent l="0" t="0" r="4445" b="3175"/>
            <wp:docPr id="5154" name="图片 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地块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63117" cy="1997338"/>
                    </a:xfrm>
                    <a:prstGeom prst="rect">
                      <a:avLst/>
                    </a:prstGeom>
                  </pic:spPr>
                </pic:pic>
              </a:graphicData>
            </a:graphic>
          </wp:inline>
        </w:drawing>
      </w:r>
    </w:p>
    <w:p w14:paraId="7D71E800" w14:textId="77777777" w:rsidR="00B850AD" w:rsidRPr="007B4794" w:rsidRDefault="00B850AD" w:rsidP="00B850AD">
      <w:pPr>
        <w:ind w:leftChars="200" w:left="480"/>
        <w:jc w:val="center"/>
        <w:rPr>
          <w:rFonts w:ascii="Arial" w:hAnsi="Arial" w:cs="Arial"/>
          <w:color w:val="000000" w:themeColor="text1"/>
          <w:szCs w:val="21"/>
        </w:rPr>
      </w:pPr>
      <w:r w:rsidRPr="007B4794">
        <w:rPr>
          <w:rFonts w:ascii="Arial" w:eastAsia="华文细黑" w:hAnsi="Arial" w:cs="Arial" w:hint="eastAsia"/>
          <w:color w:val="000000" w:themeColor="text1"/>
          <w:sz w:val="18"/>
          <w:szCs w:val="18"/>
        </w:rPr>
        <w:t xml:space="preserve"> </w:t>
      </w:r>
      <w:r w:rsidRPr="007B4794">
        <w:rPr>
          <w:rFonts w:ascii="Arial" w:eastAsia="华文细黑" w:hAnsi="Arial" w:cs="Arial"/>
          <w:color w:val="000000" w:themeColor="text1"/>
          <w:sz w:val="18"/>
          <w:szCs w:val="18"/>
        </w:rPr>
        <w:t xml:space="preserve">                                      </w:t>
      </w:r>
    </w:p>
    <w:p w14:paraId="76F98923" w14:textId="5046C182" w:rsidR="00B850AD" w:rsidRPr="007B4794" w:rsidRDefault="00B850AD" w:rsidP="00B850AD">
      <w:pPr>
        <w:widowControl w:val="0"/>
        <w:adjustRightInd w:val="0"/>
        <w:snapToGrid w:val="0"/>
        <w:spacing w:line="480" w:lineRule="auto"/>
        <w:jc w:val="center"/>
        <w:rPr>
          <w:rFonts w:ascii="Arial" w:eastAsia="华文细黑" w:hAnsi="Arial" w:cs="Arial"/>
          <w:color w:val="000000" w:themeColor="text1"/>
          <w:sz w:val="21"/>
          <w:szCs w:val="21"/>
        </w:rPr>
      </w:pPr>
      <w:r w:rsidRPr="007B4794">
        <w:rPr>
          <w:rFonts w:ascii="Arial" w:eastAsia="华文细黑" w:hAnsi="Arial" w:cs="Arial" w:hint="eastAsia"/>
          <w:color w:val="000000" w:themeColor="text1"/>
          <w:sz w:val="21"/>
          <w:szCs w:val="21"/>
        </w:rPr>
        <w:t>调研对象现场状况</w:t>
      </w:r>
    </w:p>
    <w:p w14:paraId="157E5E05" w14:textId="77777777" w:rsidR="00B850AD" w:rsidRPr="007B4794" w:rsidRDefault="00B850AD" w:rsidP="00B850AD">
      <w:pPr>
        <w:widowControl w:val="0"/>
        <w:adjustRightInd w:val="0"/>
        <w:snapToGrid w:val="0"/>
        <w:spacing w:line="480" w:lineRule="auto"/>
        <w:jc w:val="center"/>
        <w:rPr>
          <w:rFonts w:ascii="Arial" w:eastAsia="华文细黑" w:hAnsi="Arial" w:cs="Arial"/>
          <w:color w:val="000000" w:themeColor="text1"/>
          <w:sz w:val="21"/>
          <w:szCs w:val="21"/>
        </w:rPr>
      </w:pPr>
    </w:p>
    <w:p w14:paraId="66267F71" w14:textId="3116AB4A" w:rsidR="00E352F7" w:rsidRPr="007B4794" w:rsidRDefault="00865F14" w:rsidP="00865F14">
      <w:pPr>
        <w:pStyle w:val="2"/>
        <w:spacing w:before="0" w:after="0" w:line="480" w:lineRule="auto"/>
        <w:rPr>
          <w:rFonts w:eastAsia="宋体" w:cs="Arial"/>
          <w:color w:val="000000" w:themeColor="text1"/>
          <w:sz w:val="21"/>
          <w:szCs w:val="21"/>
        </w:rPr>
      </w:pPr>
      <w:bookmarkStart w:id="48" w:name="_Toc54016583"/>
      <w:r w:rsidRPr="007B4794">
        <w:rPr>
          <w:rFonts w:eastAsia="宋体" w:cs="Arial" w:hint="eastAsia"/>
          <w:color w:val="000000" w:themeColor="text1"/>
          <w:sz w:val="21"/>
          <w:szCs w:val="21"/>
        </w:rPr>
        <w:t>二、</w:t>
      </w:r>
      <w:r w:rsidR="00E352F7" w:rsidRPr="007B4794">
        <w:rPr>
          <w:rFonts w:eastAsia="宋体" w:cs="Arial"/>
          <w:color w:val="000000" w:themeColor="text1"/>
          <w:sz w:val="21"/>
          <w:szCs w:val="21"/>
        </w:rPr>
        <w:t>项目建设规模</w:t>
      </w:r>
      <w:bookmarkEnd w:id="44"/>
      <w:bookmarkEnd w:id="45"/>
      <w:bookmarkEnd w:id="46"/>
      <w:bookmarkEnd w:id="48"/>
    </w:p>
    <w:p w14:paraId="53959273" w14:textId="77777777" w:rsidR="00B850AD" w:rsidRPr="007B4794" w:rsidRDefault="00B850AD" w:rsidP="00B850AD">
      <w:pPr>
        <w:adjustRightInd w:val="0"/>
        <w:snapToGrid w:val="0"/>
        <w:spacing w:line="480" w:lineRule="auto"/>
        <w:ind w:firstLineChars="200" w:firstLine="420"/>
        <w:jc w:val="both"/>
        <w:rPr>
          <w:rFonts w:ascii="Arial" w:hAnsi="Arial" w:cs="Arial"/>
          <w:color w:val="000000" w:themeColor="text1"/>
          <w:sz w:val="21"/>
          <w:szCs w:val="21"/>
        </w:rPr>
      </w:pPr>
      <w:bookmarkStart w:id="49" w:name="_Toc109118446"/>
      <w:bookmarkStart w:id="50" w:name="_Toc109119048"/>
      <w:bookmarkStart w:id="51" w:name="_Toc109122453"/>
      <w:r w:rsidRPr="007B4794">
        <w:rPr>
          <w:rFonts w:ascii="Arial" w:hAnsi="Arial" w:cs="Arial"/>
          <w:color w:val="000000" w:themeColor="text1"/>
          <w:sz w:val="21"/>
          <w:szCs w:val="21"/>
        </w:rPr>
        <w:t>1</w:t>
      </w:r>
      <w:r w:rsidRPr="007B4794">
        <w:rPr>
          <w:rFonts w:ascii="Arial" w:hAnsi="Arial" w:cs="Arial"/>
          <w:color w:val="000000" w:themeColor="text1"/>
          <w:sz w:val="21"/>
          <w:szCs w:val="21"/>
        </w:rPr>
        <w:t>、</w:t>
      </w:r>
      <w:bookmarkEnd w:id="49"/>
      <w:bookmarkEnd w:id="50"/>
      <w:bookmarkEnd w:id="51"/>
      <w:r w:rsidRPr="007B4794">
        <w:rPr>
          <w:rFonts w:ascii="Arial" w:hAnsi="Arial" w:cs="Arial"/>
          <w:color w:val="000000" w:themeColor="text1"/>
          <w:sz w:val="21"/>
          <w:szCs w:val="21"/>
        </w:rPr>
        <w:t>项目概况</w:t>
      </w:r>
      <w:permStart w:id="981020329" w:edGrp="everyone"/>
      <w:permEnd w:id="981020329"/>
    </w:p>
    <w:p w14:paraId="69246E27" w14:textId="152D21A1" w:rsidR="00B850AD" w:rsidRPr="007B4794" w:rsidRDefault="00B850AD" w:rsidP="00B850AD">
      <w:pPr>
        <w:adjustRightInd w:val="0"/>
        <w:snapToGrid w:val="0"/>
        <w:spacing w:line="480" w:lineRule="auto"/>
        <w:ind w:firstLineChars="200" w:firstLine="420"/>
        <w:rPr>
          <w:rFonts w:ascii="Arial" w:hAnsi="Arial" w:cs="Arial"/>
          <w:color w:val="000000" w:themeColor="text1"/>
          <w:sz w:val="21"/>
          <w:szCs w:val="21"/>
        </w:rPr>
      </w:pPr>
      <w:r w:rsidRPr="007B4794">
        <w:rPr>
          <w:rFonts w:ascii="Arial" w:hAnsi="Arial" w:cs="Arial" w:hint="eastAsia"/>
          <w:color w:val="000000" w:themeColor="text1"/>
          <w:sz w:val="21"/>
          <w:szCs w:val="21"/>
        </w:rPr>
        <w:t>根据《国有建设用地使用权出让合同》</w:t>
      </w:r>
      <w:r w:rsidRPr="007B4794">
        <w:rPr>
          <w:rFonts w:ascii="Arial" w:hAnsi="Arial" w:cs="Arial"/>
          <w:color w:val="000000" w:themeColor="text1"/>
          <w:sz w:val="21"/>
          <w:szCs w:val="21"/>
        </w:rPr>
        <w:t>[</w:t>
      </w:r>
      <w:r w:rsidR="006D68C2" w:rsidRPr="007B4794">
        <w:rPr>
          <w:rFonts w:ascii="Arial" w:hAnsi="Arial" w:cs="Arial" w:hint="eastAsia"/>
          <w:color w:val="000000" w:themeColor="text1"/>
          <w:sz w:val="21"/>
          <w:szCs w:val="21"/>
        </w:rPr>
        <w:t>电子监管号：</w:t>
      </w:r>
      <w:r w:rsidR="006D68C2" w:rsidRPr="007B4794">
        <w:rPr>
          <w:rFonts w:ascii="Arial" w:hAnsi="Arial" w:cs="Arial" w:hint="eastAsia"/>
          <w:color w:val="000000" w:themeColor="text1"/>
          <w:sz w:val="21"/>
          <w:szCs w:val="21"/>
        </w:rPr>
        <w:t>3506812020B01125</w:t>
      </w:r>
      <w:r w:rsidRPr="007B4794">
        <w:rPr>
          <w:rFonts w:ascii="Arial" w:hAnsi="Arial" w:cs="Arial"/>
          <w:color w:val="000000" w:themeColor="text1"/>
          <w:sz w:val="21"/>
          <w:szCs w:val="21"/>
        </w:rPr>
        <w:t>]</w:t>
      </w:r>
      <w:r w:rsidRPr="007B4794">
        <w:rPr>
          <w:rFonts w:ascii="Arial" w:hAnsi="Arial" w:cs="Arial" w:hint="eastAsia"/>
          <w:color w:val="000000" w:themeColor="text1"/>
          <w:sz w:val="21"/>
          <w:szCs w:val="21"/>
        </w:rPr>
        <w:t>及附件，该项目土地用途为</w:t>
      </w:r>
      <w:r w:rsidR="00C75619" w:rsidRPr="007B4794">
        <w:rPr>
          <w:rFonts w:ascii="Arial" w:hAnsi="Arial" w:cs="Arial" w:hint="eastAsia"/>
          <w:color w:val="000000" w:themeColor="text1"/>
          <w:sz w:val="21"/>
          <w:szCs w:val="21"/>
        </w:rPr>
        <w:t>住宅、商服</w:t>
      </w:r>
      <w:r w:rsidRPr="007B4794">
        <w:rPr>
          <w:rFonts w:ascii="Arial" w:hAnsi="Arial" w:cs="Arial" w:hint="eastAsia"/>
          <w:color w:val="000000" w:themeColor="text1"/>
          <w:sz w:val="21"/>
          <w:szCs w:val="21"/>
        </w:rPr>
        <w:t>用地，出让宗地面积为</w:t>
      </w:r>
      <w:r w:rsidR="00C75619" w:rsidRPr="007B4794">
        <w:rPr>
          <w:rFonts w:ascii="Arial" w:hAnsi="Arial" w:cs="Arial" w:hint="eastAsia"/>
          <w:color w:val="000000" w:themeColor="text1"/>
          <w:sz w:val="21"/>
          <w:szCs w:val="21"/>
        </w:rPr>
        <w:t>46645</w:t>
      </w:r>
      <w:r w:rsidRPr="007B4794">
        <w:rPr>
          <w:rFonts w:ascii="Arial" w:hAnsi="Arial" w:cs="Arial" w:hint="eastAsia"/>
          <w:color w:val="000000" w:themeColor="text1"/>
          <w:sz w:val="21"/>
          <w:szCs w:val="21"/>
        </w:rPr>
        <w:t>平方米，规划总建筑面积为</w:t>
      </w:r>
      <w:r w:rsidR="00C75619" w:rsidRPr="007B4794">
        <w:rPr>
          <w:rFonts w:ascii="Arial" w:hAnsi="Arial" w:cs="Arial"/>
          <w:color w:val="000000" w:themeColor="text1"/>
          <w:sz w:val="21"/>
          <w:szCs w:val="21"/>
        </w:rPr>
        <w:t>176032.74</w:t>
      </w:r>
      <w:r w:rsidRPr="007B4794">
        <w:rPr>
          <w:rFonts w:ascii="Arial" w:hAnsi="Arial" w:cs="Arial"/>
          <w:color w:val="000000" w:themeColor="text1"/>
          <w:sz w:val="21"/>
          <w:szCs w:val="21"/>
        </w:rPr>
        <w:t>平方米</w:t>
      </w:r>
      <w:r w:rsidRPr="007B4794">
        <w:rPr>
          <w:rFonts w:ascii="Arial" w:hAnsi="Arial" w:cs="Arial" w:hint="eastAsia"/>
          <w:color w:val="000000" w:themeColor="text1"/>
          <w:sz w:val="21"/>
          <w:szCs w:val="21"/>
        </w:rPr>
        <w:t>。根据建设单位提供的《</w:t>
      </w:r>
      <w:r w:rsidR="006D68C2" w:rsidRPr="007B4794">
        <w:rPr>
          <w:rFonts w:ascii="Arial" w:hAnsi="Arial" w:cs="Arial" w:hint="eastAsia"/>
          <w:color w:val="000000" w:themeColor="text1"/>
          <w:sz w:val="21"/>
          <w:szCs w:val="21"/>
        </w:rPr>
        <w:t>漳州台商投资区（角美）</w:t>
      </w:r>
      <w:r w:rsidR="006D68C2" w:rsidRPr="007B4794">
        <w:rPr>
          <w:rFonts w:ascii="Arial" w:hAnsi="Arial" w:cs="Arial" w:hint="eastAsia"/>
          <w:color w:val="000000" w:themeColor="text1"/>
          <w:sz w:val="21"/>
          <w:szCs w:val="21"/>
        </w:rPr>
        <w:t>05</w:t>
      </w:r>
      <w:r w:rsidR="006D68C2" w:rsidRPr="007B4794">
        <w:rPr>
          <w:rFonts w:ascii="Arial" w:hAnsi="Arial" w:cs="Arial" w:hint="eastAsia"/>
          <w:color w:val="000000" w:themeColor="text1"/>
          <w:sz w:val="21"/>
          <w:szCs w:val="21"/>
        </w:rPr>
        <w:t>地块目投资分析报告</w:t>
      </w:r>
      <w:r w:rsidRPr="007B4794">
        <w:rPr>
          <w:rFonts w:ascii="Arial" w:hAnsi="Arial" w:cs="Arial" w:hint="eastAsia"/>
          <w:color w:val="000000" w:themeColor="text1"/>
          <w:sz w:val="21"/>
          <w:szCs w:val="21"/>
        </w:rPr>
        <w:t>》，项目建设内容主要为住宅</w:t>
      </w:r>
      <w:r w:rsidR="0044079E" w:rsidRPr="007B4794">
        <w:rPr>
          <w:rFonts w:ascii="Arial" w:hAnsi="Arial" w:cs="Arial" w:hint="eastAsia"/>
          <w:color w:val="000000" w:themeColor="text1"/>
          <w:sz w:val="21"/>
          <w:szCs w:val="21"/>
        </w:rPr>
        <w:t>（平层、</w:t>
      </w:r>
      <w:r w:rsidR="0044079E" w:rsidRPr="007B4794">
        <w:rPr>
          <w:rFonts w:ascii="Arial" w:hAnsi="Arial" w:cs="Arial" w:hint="eastAsia"/>
          <w:color w:val="000000" w:themeColor="text1"/>
          <w:sz w:val="21"/>
          <w:szCs w:val="21"/>
        </w:rPr>
        <w:lastRenderedPageBreak/>
        <w:t>复式）</w:t>
      </w:r>
      <w:r w:rsidRPr="007B4794">
        <w:rPr>
          <w:rFonts w:ascii="Arial" w:hAnsi="Arial" w:cs="Arial" w:hint="eastAsia"/>
          <w:color w:val="000000" w:themeColor="text1"/>
          <w:sz w:val="21"/>
          <w:szCs w:val="21"/>
        </w:rPr>
        <w:t>、</w:t>
      </w:r>
      <w:r w:rsidR="00C75619" w:rsidRPr="007B4794">
        <w:rPr>
          <w:rFonts w:ascii="Arial" w:hAnsi="Arial" w:cs="Arial" w:hint="eastAsia"/>
          <w:color w:val="000000" w:themeColor="text1"/>
          <w:sz w:val="21"/>
          <w:szCs w:val="21"/>
        </w:rPr>
        <w:t>公寓、商业及地下车库</w:t>
      </w:r>
      <w:r w:rsidRPr="007B4794">
        <w:rPr>
          <w:rFonts w:ascii="Arial" w:hAnsi="Arial" w:cs="Arial" w:hint="eastAsia"/>
          <w:color w:val="000000" w:themeColor="text1"/>
          <w:sz w:val="21"/>
          <w:szCs w:val="21"/>
        </w:rPr>
        <w:t>。本项目可销售住宅共</w:t>
      </w:r>
      <w:r w:rsidR="00C75619" w:rsidRPr="007B4794">
        <w:rPr>
          <w:rFonts w:ascii="Arial" w:hAnsi="Arial" w:cs="Arial" w:hint="eastAsia"/>
          <w:color w:val="000000" w:themeColor="text1"/>
          <w:sz w:val="21"/>
          <w:szCs w:val="21"/>
        </w:rPr>
        <w:t>95269</w:t>
      </w:r>
      <w:r w:rsidRPr="007B4794">
        <w:rPr>
          <w:rFonts w:ascii="Arial" w:hAnsi="Arial" w:cs="Arial" w:hint="eastAsia"/>
          <w:color w:val="000000" w:themeColor="text1"/>
          <w:sz w:val="21"/>
          <w:szCs w:val="21"/>
        </w:rPr>
        <w:t>平方米，</w:t>
      </w:r>
      <w:r w:rsidR="006D3A7C" w:rsidRPr="007B4794">
        <w:rPr>
          <w:rFonts w:ascii="Arial" w:hAnsi="Arial" w:cs="Arial" w:hint="eastAsia"/>
          <w:color w:val="000000" w:themeColor="text1"/>
          <w:sz w:val="21"/>
          <w:szCs w:val="21"/>
        </w:rPr>
        <w:t>可销售公寓</w:t>
      </w:r>
      <w:r w:rsidR="006D3A7C" w:rsidRPr="007B4794">
        <w:rPr>
          <w:rFonts w:ascii="Arial" w:hAnsi="Arial" w:cs="Arial" w:hint="eastAsia"/>
          <w:color w:val="000000" w:themeColor="text1"/>
          <w:sz w:val="21"/>
          <w:szCs w:val="21"/>
        </w:rPr>
        <w:t>15000</w:t>
      </w:r>
      <w:r w:rsidR="006D3A7C" w:rsidRPr="007B4794">
        <w:rPr>
          <w:rFonts w:ascii="Arial" w:hAnsi="Arial" w:cs="Arial" w:hint="eastAsia"/>
          <w:color w:val="000000" w:themeColor="text1"/>
          <w:sz w:val="21"/>
          <w:szCs w:val="21"/>
        </w:rPr>
        <w:t>平方米，</w:t>
      </w:r>
      <w:r w:rsidRPr="007B4794">
        <w:rPr>
          <w:rFonts w:ascii="Arial" w:hAnsi="Arial" w:cs="Arial" w:hint="eastAsia"/>
          <w:color w:val="000000" w:themeColor="text1"/>
          <w:sz w:val="21"/>
          <w:szCs w:val="21"/>
        </w:rPr>
        <w:t>可销售</w:t>
      </w:r>
      <w:r w:rsidR="00C75619" w:rsidRPr="007B4794">
        <w:rPr>
          <w:rFonts w:ascii="Arial" w:hAnsi="Arial" w:cs="Arial" w:hint="eastAsia"/>
          <w:color w:val="000000" w:themeColor="text1"/>
          <w:sz w:val="21"/>
          <w:szCs w:val="21"/>
        </w:rPr>
        <w:t>商业</w:t>
      </w:r>
      <w:r w:rsidR="006D3A7C" w:rsidRPr="007B4794">
        <w:rPr>
          <w:rFonts w:ascii="Arial" w:hAnsi="Arial" w:cs="Arial" w:hint="eastAsia"/>
          <w:color w:val="000000" w:themeColor="text1"/>
          <w:sz w:val="21"/>
          <w:szCs w:val="21"/>
        </w:rPr>
        <w:t>7965</w:t>
      </w:r>
      <w:r w:rsidRPr="007B4794">
        <w:rPr>
          <w:rFonts w:ascii="Arial" w:hAnsi="Arial" w:cs="Arial" w:hint="eastAsia"/>
          <w:color w:val="000000" w:themeColor="text1"/>
          <w:sz w:val="21"/>
          <w:szCs w:val="21"/>
        </w:rPr>
        <w:t>平方米，可销售非人防地下车库共</w:t>
      </w:r>
      <w:r w:rsidR="006D3A7C" w:rsidRPr="007B4794">
        <w:rPr>
          <w:rFonts w:ascii="Arial" w:hAnsi="Arial" w:cs="Arial" w:hint="eastAsia"/>
          <w:color w:val="000000" w:themeColor="text1"/>
          <w:sz w:val="21"/>
          <w:szCs w:val="21"/>
        </w:rPr>
        <w:t>963</w:t>
      </w:r>
      <w:r w:rsidRPr="007B4794">
        <w:rPr>
          <w:rFonts w:ascii="Arial" w:hAnsi="Arial" w:cs="Arial" w:hint="eastAsia"/>
          <w:color w:val="000000" w:themeColor="text1"/>
          <w:sz w:val="21"/>
          <w:szCs w:val="21"/>
        </w:rPr>
        <w:t>个、人防车库</w:t>
      </w:r>
      <w:r w:rsidR="006D3A7C" w:rsidRPr="007B4794">
        <w:rPr>
          <w:rFonts w:ascii="Arial" w:hAnsi="Arial" w:cs="Arial" w:hint="eastAsia"/>
          <w:color w:val="000000" w:themeColor="text1"/>
          <w:sz w:val="21"/>
          <w:szCs w:val="21"/>
        </w:rPr>
        <w:t>214</w:t>
      </w:r>
      <w:r w:rsidRPr="007B4794">
        <w:rPr>
          <w:rFonts w:ascii="Arial" w:hAnsi="Arial" w:cs="Arial" w:hint="eastAsia"/>
          <w:color w:val="000000" w:themeColor="text1"/>
          <w:sz w:val="21"/>
          <w:szCs w:val="21"/>
        </w:rPr>
        <w:t>个。</w:t>
      </w:r>
    </w:p>
    <w:p w14:paraId="35A2B917" w14:textId="33363CE1" w:rsidR="00B850AD" w:rsidRPr="007B4794" w:rsidRDefault="00225405" w:rsidP="00B850AD">
      <w:pPr>
        <w:adjustRightInd w:val="0"/>
        <w:snapToGrid w:val="0"/>
        <w:spacing w:line="480" w:lineRule="auto"/>
        <w:rPr>
          <w:rFonts w:ascii="Arial" w:hAnsi="Arial" w:cs="Arial"/>
          <w:color w:val="000000" w:themeColor="text1"/>
          <w:sz w:val="21"/>
          <w:szCs w:val="21"/>
        </w:rPr>
      </w:pPr>
      <w:r w:rsidRPr="007B4794">
        <w:rPr>
          <w:rFonts w:ascii="Arial" w:hAnsi="Arial" w:cs="Arial" w:hint="eastAsia"/>
          <w:color w:val="000000" w:themeColor="text1"/>
          <w:sz w:val="21"/>
          <w:szCs w:val="21"/>
        </w:rPr>
        <w:t>项目当前经济技术指标详见下表：</w:t>
      </w:r>
    </w:p>
    <w:tbl>
      <w:tblPr>
        <w:tblW w:w="5000" w:type="pct"/>
        <w:tblCellMar>
          <w:top w:w="57" w:type="dxa"/>
          <w:left w:w="57" w:type="dxa"/>
          <w:bottom w:w="57" w:type="dxa"/>
          <w:right w:w="57" w:type="dxa"/>
        </w:tblCellMar>
        <w:tblLook w:val="04A0" w:firstRow="1" w:lastRow="0" w:firstColumn="1" w:lastColumn="0" w:noHBand="0" w:noVBand="1"/>
      </w:tblPr>
      <w:tblGrid>
        <w:gridCol w:w="3138"/>
        <w:gridCol w:w="3138"/>
        <w:gridCol w:w="3136"/>
      </w:tblGrid>
      <w:tr w:rsidR="00B011C2" w:rsidRPr="007B4794" w14:paraId="6809EF56" w14:textId="77777777" w:rsidTr="00B011C2">
        <w:trPr>
          <w:trHeight w:val="283"/>
        </w:trPr>
        <w:tc>
          <w:tcPr>
            <w:tcW w:w="3334" w:type="pct"/>
            <w:gridSpan w:val="2"/>
            <w:tcBorders>
              <w:top w:val="single" w:sz="4" w:space="0" w:color="auto"/>
              <w:left w:val="single" w:sz="4" w:space="0" w:color="auto"/>
              <w:bottom w:val="single" w:sz="4" w:space="0" w:color="auto"/>
              <w:right w:val="single" w:sz="4" w:space="0" w:color="auto"/>
            </w:tcBorders>
            <w:vAlign w:val="center"/>
            <w:hideMark/>
          </w:tcPr>
          <w:p w14:paraId="086D2592" w14:textId="77777777" w:rsidR="00B011C2" w:rsidRPr="007B4794" w:rsidRDefault="00B011C2" w:rsidP="00B011C2">
            <w:pPr>
              <w:adjustRightInd w:val="0"/>
              <w:snapToGrid w:val="0"/>
              <w:spacing w:line="0" w:lineRule="atLeast"/>
              <w:rPr>
                <w:rFonts w:ascii="华文细黑" w:eastAsia="华文细黑" w:hAnsi="华文细黑"/>
                <w:bCs/>
                <w:color w:val="000000" w:themeColor="text1"/>
                <w:sz w:val="18"/>
                <w:szCs w:val="18"/>
              </w:rPr>
            </w:pPr>
            <w:r w:rsidRPr="007B4794">
              <w:rPr>
                <w:rFonts w:ascii="华文细黑" w:eastAsia="华文细黑" w:hAnsi="华文细黑" w:hint="eastAsia"/>
                <w:bCs/>
                <w:color w:val="000000" w:themeColor="text1"/>
                <w:sz w:val="18"/>
                <w:szCs w:val="18"/>
              </w:rPr>
              <w:t>部位</w:t>
            </w:r>
          </w:p>
        </w:tc>
        <w:tc>
          <w:tcPr>
            <w:tcW w:w="1666" w:type="pct"/>
            <w:tcBorders>
              <w:top w:val="single" w:sz="4" w:space="0" w:color="auto"/>
              <w:left w:val="nil"/>
              <w:bottom w:val="single" w:sz="4" w:space="0" w:color="auto"/>
              <w:right w:val="single" w:sz="4" w:space="0" w:color="auto"/>
            </w:tcBorders>
            <w:noWrap/>
            <w:vAlign w:val="center"/>
            <w:hideMark/>
          </w:tcPr>
          <w:p w14:paraId="5E471553" w14:textId="77777777" w:rsidR="00B011C2" w:rsidRPr="007B4794" w:rsidRDefault="00B011C2" w:rsidP="00B011C2">
            <w:pPr>
              <w:adjustRightInd w:val="0"/>
              <w:snapToGrid w:val="0"/>
              <w:spacing w:line="0" w:lineRule="atLeast"/>
              <w:rPr>
                <w:rFonts w:ascii="华文细黑" w:eastAsia="华文细黑" w:hAnsi="华文细黑"/>
                <w:bCs/>
                <w:color w:val="000000" w:themeColor="text1"/>
                <w:sz w:val="18"/>
                <w:szCs w:val="18"/>
              </w:rPr>
            </w:pPr>
            <w:r w:rsidRPr="007B4794">
              <w:rPr>
                <w:rFonts w:ascii="华文细黑" w:eastAsia="华文细黑" w:hAnsi="华文细黑" w:hint="eastAsia"/>
                <w:bCs/>
                <w:color w:val="000000" w:themeColor="text1"/>
                <w:sz w:val="18"/>
                <w:szCs w:val="18"/>
              </w:rPr>
              <w:t>规划建筑面积（平方米）</w:t>
            </w:r>
          </w:p>
        </w:tc>
      </w:tr>
      <w:tr w:rsidR="00B011C2" w:rsidRPr="007B4794" w14:paraId="3D2A2578" w14:textId="77777777" w:rsidTr="00B011C2">
        <w:trPr>
          <w:trHeight w:val="283"/>
        </w:trPr>
        <w:tc>
          <w:tcPr>
            <w:tcW w:w="1667" w:type="pct"/>
            <w:vMerge w:val="restart"/>
            <w:tcBorders>
              <w:top w:val="single" w:sz="4" w:space="0" w:color="auto"/>
              <w:left w:val="single" w:sz="4" w:space="0" w:color="auto"/>
              <w:right w:val="single" w:sz="4" w:space="0" w:color="auto"/>
            </w:tcBorders>
            <w:vAlign w:val="center"/>
            <w:hideMark/>
          </w:tcPr>
          <w:p w14:paraId="602F9C71" w14:textId="77777777" w:rsidR="00B011C2" w:rsidRPr="007B4794" w:rsidRDefault="00B011C2" w:rsidP="00B011C2">
            <w:pPr>
              <w:adjustRightInd w:val="0"/>
              <w:snapToGrid w:val="0"/>
              <w:spacing w:line="0" w:lineRule="atLeast"/>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18"/>
                <w:szCs w:val="18"/>
              </w:rPr>
              <w:t>地上</w:t>
            </w:r>
          </w:p>
        </w:tc>
        <w:tc>
          <w:tcPr>
            <w:tcW w:w="1667" w:type="pct"/>
            <w:tcBorders>
              <w:top w:val="single" w:sz="4" w:space="0" w:color="auto"/>
              <w:left w:val="single" w:sz="4" w:space="0" w:color="auto"/>
              <w:bottom w:val="single" w:sz="4" w:space="0" w:color="auto"/>
              <w:right w:val="single" w:sz="4" w:space="0" w:color="auto"/>
            </w:tcBorders>
            <w:noWrap/>
            <w:vAlign w:val="center"/>
            <w:hideMark/>
          </w:tcPr>
          <w:p w14:paraId="1D9191F7" w14:textId="77777777" w:rsidR="00B011C2" w:rsidRPr="007B4794" w:rsidRDefault="00B011C2" w:rsidP="00B011C2">
            <w:pPr>
              <w:adjustRightInd w:val="0"/>
              <w:snapToGrid w:val="0"/>
              <w:spacing w:line="0" w:lineRule="atLeast"/>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20"/>
                <w:szCs w:val="20"/>
              </w:rPr>
              <w:t>高层住宅（平层）</w:t>
            </w:r>
          </w:p>
        </w:tc>
        <w:tc>
          <w:tcPr>
            <w:tcW w:w="1666" w:type="pct"/>
            <w:tcBorders>
              <w:top w:val="single" w:sz="4" w:space="0" w:color="auto"/>
              <w:left w:val="nil"/>
              <w:bottom w:val="single" w:sz="4" w:space="0" w:color="auto"/>
              <w:right w:val="single" w:sz="4" w:space="0" w:color="auto"/>
            </w:tcBorders>
            <w:noWrap/>
            <w:vAlign w:val="center"/>
            <w:hideMark/>
          </w:tcPr>
          <w:p w14:paraId="74996E52" w14:textId="77777777" w:rsidR="00B011C2" w:rsidRPr="007B4794" w:rsidRDefault="00B011C2" w:rsidP="00B011C2">
            <w:pPr>
              <w:adjustRightInd w:val="0"/>
              <w:snapToGrid w:val="0"/>
              <w:spacing w:line="0" w:lineRule="atLeast"/>
              <w:rPr>
                <w:rFonts w:ascii="华文细黑" w:eastAsia="华文细黑" w:hAnsi="华文细黑"/>
                <w:bCs/>
                <w:color w:val="000000" w:themeColor="text1"/>
                <w:sz w:val="18"/>
                <w:szCs w:val="18"/>
              </w:rPr>
            </w:pPr>
            <w:r w:rsidRPr="007B4794">
              <w:rPr>
                <w:rFonts w:ascii="华文细黑" w:eastAsia="华文细黑" w:hAnsi="华文细黑"/>
                <w:bCs/>
                <w:color w:val="000000" w:themeColor="text1"/>
                <w:sz w:val="18"/>
                <w:szCs w:val="18"/>
              </w:rPr>
              <w:t>45429</w:t>
            </w:r>
          </w:p>
        </w:tc>
      </w:tr>
      <w:tr w:rsidR="00B011C2" w:rsidRPr="007B4794" w14:paraId="37343EA5" w14:textId="77777777" w:rsidTr="00B011C2">
        <w:trPr>
          <w:trHeight w:val="283"/>
        </w:trPr>
        <w:tc>
          <w:tcPr>
            <w:tcW w:w="0" w:type="auto"/>
            <w:vMerge/>
            <w:tcBorders>
              <w:left w:val="single" w:sz="4" w:space="0" w:color="auto"/>
              <w:right w:val="single" w:sz="4" w:space="0" w:color="auto"/>
            </w:tcBorders>
            <w:vAlign w:val="center"/>
            <w:hideMark/>
          </w:tcPr>
          <w:p w14:paraId="14EC32CE" w14:textId="77777777" w:rsidR="00B011C2" w:rsidRPr="007B4794" w:rsidRDefault="00B011C2" w:rsidP="00B011C2">
            <w:pPr>
              <w:rPr>
                <w:rFonts w:ascii="华文细黑" w:eastAsia="华文细黑" w:hAnsi="华文细黑"/>
                <w:color w:val="000000" w:themeColor="text1"/>
                <w:sz w:val="18"/>
                <w:szCs w:val="18"/>
              </w:rPr>
            </w:pPr>
          </w:p>
        </w:tc>
        <w:tc>
          <w:tcPr>
            <w:tcW w:w="1667" w:type="pct"/>
            <w:tcBorders>
              <w:top w:val="nil"/>
              <w:left w:val="single" w:sz="4" w:space="0" w:color="auto"/>
              <w:bottom w:val="single" w:sz="4" w:space="0" w:color="auto"/>
              <w:right w:val="single" w:sz="4" w:space="0" w:color="auto"/>
            </w:tcBorders>
            <w:noWrap/>
            <w:vAlign w:val="center"/>
            <w:hideMark/>
          </w:tcPr>
          <w:p w14:paraId="4465C3E1" w14:textId="77777777" w:rsidR="00B011C2" w:rsidRPr="007B4794" w:rsidRDefault="00B011C2" w:rsidP="00B011C2">
            <w:pPr>
              <w:adjustRightInd w:val="0"/>
              <w:snapToGrid w:val="0"/>
              <w:spacing w:line="0" w:lineRule="atLeast"/>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20"/>
                <w:szCs w:val="20"/>
              </w:rPr>
              <w:t>高层住宅（复式）</w:t>
            </w:r>
          </w:p>
        </w:tc>
        <w:tc>
          <w:tcPr>
            <w:tcW w:w="1666" w:type="pct"/>
            <w:tcBorders>
              <w:top w:val="nil"/>
              <w:left w:val="nil"/>
              <w:bottom w:val="single" w:sz="4" w:space="0" w:color="auto"/>
              <w:right w:val="single" w:sz="4" w:space="0" w:color="auto"/>
            </w:tcBorders>
            <w:noWrap/>
            <w:vAlign w:val="center"/>
            <w:hideMark/>
          </w:tcPr>
          <w:p w14:paraId="0F186DAD" w14:textId="77777777" w:rsidR="00B011C2" w:rsidRPr="007B4794" w:rsidRDefault="00B011C2" w:rsidP="00B011C2">
            <w:pPr>
              <w:adjustRightInd w:val="0"/>
              <w:snapToGrid w:val="0"/>
              <w:spacing w:line="0" w:lineRule="atLeast"/>
              <w:rPr>
                <w:rFonts w:ascii="华文细黑" w:eastAsia="华文细黑" w:hAnsi="华文细黑"/>
                <w:bCs/>
                <w:color w:val="000000" w:themeColor="text1"/>
                <w:sz w:val="18"/>
                <w:szCs w:val="18"/>
              </w:rPr>
            </w:pPr>
            <w:r w:rsidRPr="007B4794">
              <w:rPr>
                <w:rFonts w:ascii="华文细黑" w:eastAsia="华文细黑" w:hAnsi="华文细黑"/>
                <w:bCs/>
                <w:color w:val="000000" w:themeColor="text1"/>
                <w:sz w:val="18"/>
                <w:szCs w:val="18"/>
              </w:rPr>
              <w:t>49840</w:t>
            </w:r>
          </w:p>
        </w:tc>
      </w:tr>
      <w:tr w:rsidR="00B011C2" w:rsidRPr="007B4794" w14:paraId="27833BA9" w14:textId="77777777" w:rsidTr="00B011C2">
        <w:trPr>
          <w:trHeight w:val="283"/>
        </w:trPr>
        <w:tc>
          <w:tcPr>
            <w:tcW w:w="0" w:type="auto"/>
            <w:vMerge/>
            <w:tcBorders>
              <w:left w:val="single" w:sz="4" w:space="0" w:color="auto"/>
              <w:right w:val="single" w:sz="4" w:space="0" w:color="auto"/>
            </w:tcBorders>
            <w:vAlign w:val="center"/>
            <w:hideMark/>
          </w:tcPr>
          <w:p w14:paraId="6A540DA4" w14:textId="77777777" w:rsidR="00B011C2" w:rsidRPr="007B4794" w:rsidRDefault="00B011C2" w:rsidP="00B011C2">
            <w:pPr>
              <w:rPr>
                <w:rFonts w:ascii="华文细黑" w:eastAsia="华文细黑" w:hAnsi="华文细黑"/>
                <w:color w:val="000000" w:themeColor="text1"/>
                <w:sz w:val="18"/>
                <w:szCs w:val="18"/>
              </w:rPr>
            </w:pPr>
          </w:p>
        </w:tc>
        <w:tc>
          <w:tcPr>
            <w:tcW w:w="1667" w:type="pct"/>
            <w:tcBorders>
              <w:top w:val="nil"/>
              <w:left w:val="single" w:sz="4" w:space="0" w:color="auto"/>
              <w:bottom w:val="single" w:sz="4" w:space="0" w:color="auto"/>
              <w:right w:val="single" w:sz="4" w:space="0" w:color="auto"/>
            </w:tcBorders>
            <w:noWrap/>
            <w:vAlign w:val="center"/>
            <w:hideMark/>
          </w:tcPr>
          <w:p w14:paraId="359C3448" w14:textId="77777777" w:rsidR="00B011C2" w:rsidRPr="007B4794" w:rsidRDefault="00B011C2" w:rsidP="00B011C2">
            <w:pPr>
              <w:adjustRightInd w:val="0"/>
              <w:snapToGrid w:val="0"/>
              <w:spacing w:line="0" w:lineRule="atLeast"/>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20"/>
                <w:szCs w:val="20"/>
              </w:rPr>
              <w:t>公寓</w:t>
            </w:r>
          </w:p>
        </w:tc>
        <w:tc>
          <w:tcPr>
            <w:tcW w:w="1666" w:type="pct"/>
            <w:tcBorders>
              <w:top w:val="nil"/>
              <w:left w:val="nil"/>
              <w:bottom w:val="single" w:sz="4" w:space="0" w:color="auto"/>
              <w:right w:val="single" w:sz="4" w:space="0" w:color="auto"/>
            </w:tcBorders>
            <w:noWrap/>
            <w:vAlign w:val="center"/>
            <w:hideMark/>
          </w:tcPr>
          <w:p w14:paraId="448E709E" w14:textId="77777777" w:rsidR="00B011C2" w:rsidRPr="007B4794" w:rsidRDefault="00B011C2" w:rsidP="00B011C2">
            <w:pPr>
              <w:adjustRightInd w:val="0"/>
              <w:snapToGrid w:val="0"/>
              <w:spacing w:line="0" w:lineRule="atLeast"/>
              <w:rPr>
                <w:rFonts w:ascii="华文细黑" w:eastAsia="华文细黑" w:hAnsi="华文细黑"/>
                <w:bCs/>
                <w:color w:val="000000" w:themeColor="text1"/>
                <w:sz w:val="18"/>
                <w:szCs w:val="18"/>
              </w:rPr>
            </w:pPr>
            <w:r w:rsidRPr="007B4794">
              <w:rPr>
                <w:rFonts w:ascii="华文细黑" w:eastAsia="华文细黑" w:hAnsi="华文细黑"/>
                <w:bCs/>
                <w:color w:val="000000" w:themeColor="text1"/>
                <w:sz w:val="18"/>
                <w:szCs w:val="18"/>
              </w:rPr>
              <w:t>15000</w:t>
            </w:r>
          </w:p>
        </w:tc>
      </w:tr>
      <w:tr w:rsidR="00B011C2" w:rsidRPr="007B4794" w14:paraId="72DF9544" w14:textId="77777777" w:rsidTr="00B011C2">
        <w:trPr>
          <w:trHeight w:val="283"/>
        </w:trPr>
        <w:tc>
          <w:tcPr>
            <w:tcW w:w="0" w:type="auto"/>
            <w:vMerge/>
            <w:tcBorders>
              <w:left w:val="single" w:sz="4" w:space="0" w:color="auto"/>
              <w:right w:val="single" w:sz="4" w:space="0" w:color="auto"/>
            </w:tcBorders>
            <w:vAlign w:val="center"/>
          </w:tcPr>
          <w:p w14:paraId="70948933" w14:textId="77777777" w:rsidR="00B011C2" w:rsidRPr="007B4794" w:rsidRDefault="00B011C2" w:rsidP="00B011C2">
            <w:pPr>
              <w:rPr>
                <w:rFonts w:ascii="华文细黑" w:eastAsia="华文细黑" w:hAnsi="华文细黑"/>
                <w:color w:val="000000" w:themeColor="text1"/>
                <w:sz w:val="18"/>
                <w:szCs w:val="18"/>
              </w:rPr>
            </w:pPr>
          </w:p>
        </w:tc>
        <w:tc>
          <w:tcPr>
            <w:tcW w:w="1667" w:type="pct"/>
            <w:tcBorders>
              <w:top w:val="nil"/>
              <w:left w:val="single" w:sz="4" w:space="0" w:color="auto"/>
              <w:bottom w:val="single" w:sz="4" w:space="0" w:color="auto"/>
              <w:right w:val="single" w:sz="4" w:space="0" w:color="auto"/>
            </w:tcBorders>
            <w:noWrap/>
            <w:vAlign w:val="center"/>
          </w:tcPr>
          <w:p w14:paraId="0D605C52" w14:textId="77777777" w:rsidR="00B011C2" w:rsidRPr="007B4794" w:rsidRDefault="00B011C2" w:rsidP="00B011C2">
            <w:pPr>
              <w:adjustRightInd w:val="0"/>
              <w:snapToGrid w:val="0"/>
              <w:spacing w:line="0" w:lineRule="atLeast"/>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20"/>
                <w:szCs w:val="20"/>
              </w:rPr>
              <w:t>商业</w:t>
            </w:r>
          </w:p>
        </w:tc>
        <w:tc>
          <w:tcPr>
            <w:tcW w:w="1666" w:type="pct"/>
            <w:tcBorders>
              <w:top w:val="nil"/>
              <w:left w:val="nil"/>
              <w:bottom w:val="single" w:sz="4" w:space="0" w:color="auto"/>
              <w:right w:val="single" w:sz="4" w:space="0" w:color="auto"/>
            </w:tcBorders>
            <w:noWrap/>
            <w:vAlign w:val="center"/>
          </w:tcPr>
          <w:p w14:paraId="44C273C1" w14:textId="77777777" w:rsidR="00B011C2" w:rsidRPr="007B4794" w:rsidRDefault="00B011C2" w:rsidP="00B011C2">
            <w:pPr>
              <w:adjustRightInd w:val="0"/>
              <w:snapToGrid w:val="0"/>
              <w:spacing w:line="0" w:lineRule="atLeast"/>
              <w:rPr>
                <w:rFonts w:ascii="华文细黑" w:eastAsia="华文细黑" w:hAnsi="华文细黑"/>
                <w:bCs/>
                <w:color w:val="000000" w:themeColor="text1"/>
                <w:sz w:val="18"/>
                <w:szCs w:val="18"/>
              </w:rPr>
            </w:pPr>
            <w:r w:rsidRPr="007B4794">
              <w:rPr>
                <w:rFonts w:ascii="华文细黑" w:eastAsia="华文细黑" w:hAnsi="华文细黑"/>
                <w:bCs/>
                <w:color w:val="000000" w:themeColor="text1"/>
                <w:sz w:val="18"/>
                <w:szCs w:val="18"/>
              </w:rPr>
              <w:t>7965</w:t>
            </w:r>
          </w:p>
        </w:tc>
      </w:tr>
      <w:tr w:rsidR="00B011C2" w:rsidRPr="007B4794" w14:paraId="211059C1" w14:textId="77777777" w:rsidTr="00B011C2">
        <w:trPr>
          <w:trHeight w:val="283"/>
        </w:trPr>
        <w:tc>
          <w:tcPr>
            <w:tcW w:w="0" w:type="auto"/>
            <w:vMerge/>
            <w:tcBorders>
              <w:left w:val="single" w:sz="4" w:space="0" w:color="auto"/>
              <w:right w:val="single" w:sz="4" w:space="0" w:color="auto"/>
            </w:tcBorders>
            <w:vAlign w:val="center"/>
            <w:hideMark/>
          </w:tcPr>
          <w:p w14:paraId="066E4FF6" w14:textId="77777777" w:rsidR="00B011C2" w:rsidRPr="007B4794" w:rsidRDefault="00B011C2" w:rsidP="00B011C2">
            <w:pPr>
              <w:rPr>
                <w:rFonts w:ascii="华文细黑" w:eastAsia="华文细黑" w:hAnsi="华文细黑"/>
                <w:color w:val="000000" w:themeColor="text1"/>
                <w:sz w:val="18"/>
                <w:szCs w:val="18"/>
              </w:rPr>
            </w:pPr>
          </w:p>
        </w:tc>
        <w:tc>
          <w:tcPr>
            <w:tcW w:w="1667" w:type="pct"/>
            <w:tcBorders>
              <w:top w:val="nil"/>
              <w:left w:val="single" w:sz="4" w:space="0" w:color="auto"/>
              <w:bottom w:val="single" w:sz="4" w:space="0" w:color="auto"/>
              <w:right w:val="single" w:sz="4" w:space="0" w:color="auto"/>
            </w:tcBorders>
            <w:noWrap/>
            <w:vAlign w:val="center"/>
            <w:hideMark/>
          </w:tcPr>
          <w:p w14:paraId="50FE4664" w14:textId="77777777" w:rsidR="00B011C2" w:rsidRPr="007B4794" w:rsidRDefault="00B011C2" w:rsidP="00B011C2">
            <w:pPr>
              <w:adjustRightInd w:val="0"/>
              <w:snapToGrid w:val="0"/>
              <w:spacing w:line="0" w:lineRule="atLeast"/>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20"/>
                <w:szCs w:val="20"/>
              </w:rPr>
              <w:t>公共配套、设备及其他</w:t>
            </w:r>
          </w:p>
        </w:tc>
        <w:tc>
          <w:tcPr>
            <w:tcW w:w="1666" w:type="pct"/>
            <w:tcBorders>
              <w:top w:val="nil"/>
              <w:left w:val="nil"/>
              <w:bottom w:val="single" w:sz="4" w:space="0" w:color="auto"/>
              <w:right w:val="single" w:sz="4" w:space="0" w:color="auto"/>
            </w:tcBorders>
            <w:noWrap/>
            <w:vAlign w:val="center"/>
            <w:hideMark/>
          </w:tcPr>
          <w:p w14:paraId="45DF42BE" w14:textId="77777777" w:rsidR="00B011C2" w:rsidRPr="007B4794" w:rsidRDefault="00B011C2" w:rsidP="00B011C2">
            <w:pPr>
              <w:adjustRightInd w:val="0"/>
              <w:snapToGrid w:val="0"/>
              <w:spacing w:line="0" w:lineRule="atLeast"/>
              <w:rPr>
                <w:rFonts w:ascii="华文细黑" w:eastAsia="华文细黑" w:hAnsi="华文细黑"/>
                <w:bCs/>
                <w:color w:val="000000" w:themeColor="text1"/>
                <w:sz w:val="18"/>
                <w:szCs w:val="18"/>
              </w:rPr>
            </w:pPr>
            <w:r w:rsidRPr="007B4794">
              <w:rPr>
                <w:rFonts w:ascii="华文细黑" w:eastAsia="华文细黑" w:hAnsi="华文细黑"/>
                <w:bCs/>
                <w:color w:val="000000" w:themeColor="text1"/>
                <w:sz w:val="18"/>
                <w:szCs w:val="18"/>
              </w:rPr>
              <w:t>18855</w:t>
            </w:r>
          </w:p>
        </w:tc>
      </w:tr>
      <w:tr w:rsidR="00B011C2" w:rsidRPr="007B4794" w14:paraId="63C0AD97" w14:textId="77777777" w:rsidTr="00B011C2">
        <w:trPr>
          <w:trHeight w:val="283"/>
        </w:trPr>
        <w:tc>
          <w:tcPr>
            <w:tcW w:w="0" w:type="auto"/>
            <w:vMerge/>
            <w:tcBorders>
              <w:left w:val="single" w:sz="4" w:space="0" w:color="auto"/>
              <w:bottom w:val="single" w:sz="4" w:space="0" w:color="auto"/>
              <w:right w:val="single" w:sz="4" w:space="0" w:color="auto"/>
            </w:tcBorders>
            <w:vAlign w:val="center"/>
            <w:hideMark/>
          </w:tcPr>
          <w:p w14:paraId="0B4FF5B7" w14:textId="77777777" w:rsidR="00B011C2" w:rsidRPr="007B4794" w:rsidRDefault="00B011C2" w:rsidP="00B011C2">
            <w:pPr>
              <w:rPr>
                <w:rFonts w:ascii="华文细黑" w:eastAsia="华文细黑" w:hAnsi="华文细黑"/>
                <w:color w:val="000000" w:themeColor="text1"/>
                <w:sz w:val="18"/>
                <w:szCs w:val="18"/>
              </w:rPr>
            </w:pPr>
          </w:p>
        </w:tc>
        <w:tc>
          <w:tcPr>
            <w:tcW w:w="1667" w:type="pct"/>
            <w:tcBorders>
              <w:top w:val="nil"/>
              <w:left w:val="single" w:sz="4" w:space="0" w:color="auto"/>
              <w:bottom w:val="single" w:sz="4" w:space="0" w:color="auto"/>
              <w:right w:val="single" w:sz="4" w:space="0" w:color="auto"/>
            </w:tcBorders>
            <w:noWrap/>
            <w:vAlign w:val="center"/>
            <w:hideMark/>
          </w:tcPr>
          <w:p w14:paraId="15923497" w14:textId="77777777" w:rsidR="00B011C2" w:rsidRPr="007B4794" w:rsidRDefault="00B011C2" w:rsidP="00B011C2">
            <w:pPr>
              <w:adjustRightInd w:val="0"/>
              <w:snapToGrid w:val="0"/>
              <w:spacing w:line="0" w:lineRule="atLeast"/>
              <w:rPr>
                <w:rFonts w:ascii="华文细黑" w:eastAsia="华文细黑" w:hAnsi="华文细黑"/>
                <w:bCs/>
                <w:color w:val="000000" w:themeColor="text1"/>
                <w:sz w:val="18"/>
                <w:szCs w:val="18"/>
              </w:rPr>
            </w:pPr>
            <w:r w:rsidRPr="007B4794">
              <w:rPr>
                <w:rFonts w:ascii="华文细黑" w:eastAsia="华文细黑" w:hAnsi="华文细黑" w:hint="eastAsia"/>
                <w:color w:val="000000" w:themeColor="text1"/>
                <w:sz w:val="20"/>
                <w:szCs w:val="20"/>
              </w:rPr>
              <w:t>小计</w:t>
            </w:r>
          </w:p>
        </w:tc>
        <w:tc>
          <w:tcPr>
            <w:tcW w:w="1666" w:type="pct"/>
            <w:tcBorders>
              <w:top w:val="nil"/>
              <w:left w:val="nil"/>
              <w:bottom w:val="single" w:sz="4" w:space="0" w:color="auto"/>
              <w:right w:val="single" w:sz="4" w:space="0" w:color="auto"/>
            </w:tcBorders>
            <w:noWrap/>
            <w:vAlign w:val="center"/>
            <w:hideMark/>
          </w:tcPr>
          <w:p w14:paraId="24F846CB" w14:textId="77777777" w:rsidR="00B011C2" w:rsidRPr="007B4794" w:rsidRDefault="00B011C2" w:rsidP="00B011C2">
            <w:pPr>
              <w:adjustRightInd w:val="0"/>
              <w:snapToGrid w:val="0"/>
              <w:spacing w:line="0" w:lineRule="atLeast"/>
              <w:rPr>
                <w:rFonts w:ascii="华文细黑" w:eastAsia="华文细黑" w:hAnsi="华文细黑"/>
                <w:bCs/>
                <w:color w:val="000000" w:themeColor="text1"/>
                <w:sz w:val="18"/>
                <w:szCs w:val="18"/>
              </w:rPr>
            </w:pPr>
            <w:r w:rsidRPr="007B4794">
              <w:rPr>
                <w:rFonts w:ascii="华文细黑" w:eastAsia="华文细黑" w:hAnsi="华文细黑"/>
                <w:bCs/>
                <w:color w:val="000000" w:themeColor="text1"/>
                <w:sz w:val="18"/>
                <w:szCs w:val="18"/>
              </w:rPr>
              <w:t>137089</w:t>
            </w:r>
          </w:p>
        </w:tc>
      </w:tr>
      <w:tr w:rsidR="00B011C2" w:rsidRPr="007B4794" w14:paraId="5467D882" w14:textId="77777777" w:rsidTr="00B011C2">
        <w:trPr>
          <w:trHeight w:val="283"/>
        </w:trPr>
        <w:tc>
          <w:tcPr>
            <w:tcW w:w="1667" w:type="pct"/>
            <w:vMerge w:val="restart"/>
            <w:tcBorders>
              <w:left w:val="single" w:sz="4" w:space="0" w:color="auto"/>
              <w:right w:val="single" w:sz="4" w:space="0" w:color="auto"/>
            </w:tcBorders>
            <w:vAlign w:val="center"/>
            <w:hideMark/>
          </w:tcPr>
          <w:p w14:paraId="71D05D82" w14:textId="77777777" w:rsidR="00B011C2" w:rsidRPr="007B4794" w:rsidRDefault="00B011C2" w:rsidP="00B011C2">
            <w:pPr>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18"/>
                <w:szCs w:val="18"/>
              </w:rPr>
              <w:t>地下</w:t>
            </w:r>
          </w:p>
        </w:tc>
        <w:tc>
          <w:tcPr>
            <w:tcW w:w="1667" w:type="pct"/>
            <w:tcBorders>
              <w:top w:val="nil"/>
              <w:left w:val="single" w:sz="4" w:space="0" w:color="auto"/>
              <w:bottom w:val="nil"/>
              <w:right w:val="single" w:sz="4" w:space="0" w:color="auto"/>
            </w:tcBorders>
            <w:noWrap/>
            <w:vAlign w:val="center"/>
            <w:hideMark/>
          </w:tcPr>
          <w:p w14:paraId="61A03464" w14:textId="77777777" w:rsidR="00B011C2" w:rsidRPr="007B4794" w:rsidRDefault="00B011C2" w:rsidP="00B011C2">
            <w:pPr>
              <w:adjustRightInd w:val="0"/>
              <w:snapToGrid w:val="0"/>
              <w:spacing w:line="0" w:lineRule="atLeast"/>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18"/>
                <w:szCs w:val="18"/>
              </w:rPr>
              <w:t>人防车库</w:t>
            </w:r>
          </w:p>
        </w:tc>
        <w:tc>
          <w:tcPr>
            <w:tcW w:w="1666" w:type="pct"/>
            <w:tcBorders>
              <w:top w:val="nil"/>
              <w:left w:val="nil"/>
              <w:bottom w:val="nil"/>
              <w:right w:val="single" w:sz="4" w:space="0" w:color="auto"/>
            </w:tcBorders>
            <w:noWrap/>
            <w:vAlign w:val="center"/>
            <w:hideMark/>
          </w:tcPr>
          <w:p w14:paraId="5A06DD62" w14:textId="77777777" w:rsidR="00B011C2" w:rsidRPr="007B4794" w:rsidRDefault="00B011C2" w:rsidP="00B011C2">
            <w:pPr>
              <w:adjustRightInd w:val="0"/>
              <w:snapToGrid w:val="0"/>
              <w:spacing w:line="0" w:lineRule="atLeast"/>
              <w:rPr>
                <w:rFonts w:ascii="华文细黑" w:eastAsia="华文细黑" w:hAnsi="华文细黑"/>
                <w:bCs/>
                <w:color w:val="000000" w:themeColor="text1"/>
                <w:sz w:val="18"/>
                <w:szCs w:val="18"/>
              </w:rPr>
            </w:pPr>
            <w:r w:rsidRPr="007B4794">
              <w:rPr>
                <w:rFonts w:ascii="华文细黑" w:eastAsia="华文细黑" w:hAnsi="华文细黑"/>
                <w:bCs/>
                <w:color w:val="000000" w:themeColor="text1"/>
                <w:sz w:val="18"/>
                <w:szCs w:val="18"/>
              </w:rPr>
              <w:t>8116.14</w:t>
            </w:r>
          </w:p>
        </w:tc>
      </w:tr>
      <w:tr w:rsidR="00B011C2" w:rsidRPr="007B4794" w14:paraId="0646B8D8" w14:textId="77777777" w:rsidTr="00B011C2">
        <w:trPr>
          <w:trHeight w:val="283"/>
        </w:trPr>
        <w:tc>
          <w:tcPr>
            <w:tcW w:w="0" w:type="auto"/>
            <w:vMerge/>
            <w:tcBorders>
              <w:left w:val="single" w:sz="4" w:space="0" w:color="auto"/>
              <w:right w:val="single" w:sz="4" w:space="0" w:color="auto"/>
            </w:tcBorders>
            <w:vAlign w:val="center"/>
            <w:hideMark/>
          </w:tcPr>
          <w:p w14:paraId="2EE9E040" w14:textId="77777777" w:rsidR="00B011C2" w:rsidRPr="007B4794" w:rsidRDefault="00B011C2" w:rsidP="00B011C2">
            <w:pPr>
              <w:rPr>
                <w:rFonts w:ascii="华文细黑" w:eastAsia="华文细黑" w:hAnsi="华文细黑"/>
                <w:color w:val="000000" w:themeColor="text1"/>
                <w:sz w:val="18"/>
                <w:szCs w:val="18"/>
              </w:rPr>
            </w:pPr>
          </w:p>
        </w:tc>
        <w:tc>
          <w:tcPr>
            <w:tcW w:w="1667" w:type="pct"/>
            <w:tcBorders>
              <w:top w:val="nil"/>
              <w:left w:val="single" w:sz="4" w:space="0" w:color="auto"/>
              <w:bottom w:val="single" w:sz="4" w:space="0" w:color="auto"/>
              <w:right w:val="single" w:sz="4" w:space="0" w:color="auto"/>
            </w:tcBorders>
            <w:noWrap/>
            <w:vAlign w:val="center"/>
            <w:hideMark/>
          </w:tcPr>
          <w:p w14:paraId="5D4CB5BD" w14:textId="77777777" w:rsidR="00B011C2" w:rsidRPr="007B4794" w:rsidRDefault="00B011C2" w:rsidP="00B011C2">
            <w:pPr>
              <w:adjustRightInd w:val="0"/>
              <w:snapToGrid w:val="0"/>
              <w:spacing w:line="0" w:lineRule="atLeast"/>
              <w:jc w:val="right"/>
              <w:rPr>
                <w:rFonts w:ascii="华文细黑" w:eastAsia="华文细黑" w:hAnsi="华文细黑"/>
                <w:i/>
                <w:iCs/>
                <w:color w:val="000000" w:themeColor="text1"/>
                <w:sz w:val="18"/>
                <w:szCs w:val="18"/>
              </w:rPr>
            </w:pPr>
            <w:r w:rsidRPr="007B4794">
              <w:rPr>
                <w:rFonts w:ascii="华文细黑" w:eastAsia="华文细黑" w:hAnsi="华文细黑" w:hint="eastAsia"/>
                <w:i/>
                <w:iCs/>
                <w:color w:val="000000" w:themeColor="text1"/>
                <w:sz w:val="18"/>
                <w:szCs w:val="18"/>
              </w:rPr>
              <w:t>个数</w:t>
            </w:r>
          </w:p>
        </w:tc>
        <w:tc>
          <w:tcPr>
            <w:tcW w:w="1666" w:type="pct"/>
            <w:tcBorders>
              <w:top w:val="nil"/>
              <w:left w:val="nil"/>
              <w:bottom w:val="single" w:sz="4" w:space="0" w:color="auto"/>
              <w:right w:val="single" w:sz="4" w:space="0" w:color="auto"/>
            </w:tcBorders>
            <w:noWrap/>
            <w:vAlign w:val="center"/>
            <w:hideMark/>
          </w:tcPr>
          <w:p w14:paraId="62E5003B" w14:textId="77777777" w:rsidR="00B011C2" w:rsidRPr="007B4794" w:rsidRDefault="00B011C2" w:rsidP="00B011C2">
            <w:pPr>
              <w:adjustRightInd w:val="0"/>
              <w:snapToGrid w:val="0"/>
              <w:spacing w:line="0" w:lineRule="atLeast"/>
              <w:rPr>
                <w:rFonts w:ascii="华文细黑" w:eastAsia="华文细黑" w:hAnsi="华文细黑"/>
                <w:bCs/>
                <w:color w:val="000000" w:themeColor="text1"/>
                <w:sz w:val="18"/>
                <w:szCs w:val="18"/>
              </w:rPr>
            </w:pPr>
            <w:r w:rsidRPr="007B4794">
              <w:rPr>
                <w:rFonts w:ascii="华文细黑" w:eastAsia="华文细黑" w:hAnsi="华文细黑"/>
                <w:bCs/>
                <w:color w:val="000000" w:themeColor="text1"/>
                <w:sz w:val="18"/>
                <w:szCs w:val="18"/>
              </w:rPr>
              <w:t>214</w:t>
            </w:r>
          </w:p>
        </w:tc>
      </w:tr>
      <w:tr w:rsidR="00B011C2" w:rsidRPr="007B4794" w14:paraId="2A932B1E" w14:textId="77777777" w:rsidTr="00B011C2">
        <w:trPr>
          <w:trHeight w:val="283"/>
        </w:trPr>
        <w:tc>
          <w:tcPr>
            <w:tcW w:w="0" w:type="auto"/>
            <w:vMerge/>
            <w:tcBorders>
              <w:left w:val="single" w:sz="4" w:space="0" w:color="auto"/>
              <w:right w:val="single" w:sz="4" w:space="0" w:color="auto"/>
            </w:tcBorders>
            <w:vAlign w:val="center"/>
            <w:hideMark/>
          </w:tcPr>
          <w:p w14:paraId="622DEF0A" w14:textId="77777777" w:rsidR="00B011C2" w:rsidRPr="007B4794" w:rsidRDefault="00B011C2" w:rsidP="00B011C2">
            <w:pPr>
              <w:rPr>
                <w:rFonts w:ascii="华文细黑" w:eastAsia="华文细黑" w:hAnsi="华文细黑"/>
                <w:color w:val="000000" w:themeColor="text1"/>
                <w:sz w:val="18"/>
                <w:szCs w:val="18"/>
              </w:rPr>
            </w:pPr>
          </w:p>
        </w:tc>
        <w:tc>
          <w:tcPr>
            <w:tcW w:w="1667" w:type="pct"/>
            <w:tcBorders>
              <w:top w:val="nil"/>
              <w:left w:val="single" w:sz="4" w:space="0" w:color="auto"/>
              <w:bottom w:val="nil"/>
              <w:right w:val="single" w:sz="4" w:space="0" w:color="auto"/>
            </w:tcBorders>
            <w:noWrap/>
            <w:vAlign w:val="center"/>
            <w:hideMark/>
          </w:tcPr>
          <w:p w14:paraId="173831CB" w14:textId="77777777" w:rsidR="00B011C2" w:rsidRPr="007B4794" w:rsidRDefault="00B011C2" w:rsidP="00B011C2">
            <w:pPr>
              <w:adjustRightInd w:val="0"/>
              <w:snapToGrid w:val="0"/>
              <w:spacing w:line="0" w:lineRule="atLeast"/>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18"/>
                <w:szCs w:val="18"/>
              </w:rPr>
              <w:t>地下车库及设备</w:t>
            </w:r>
          </w:p>
        </w:tc>
        <w:tc>
          <w:tcPr>
            <w:tcW w:w="1666" w:type="pct"/>
            <w:tcBorders>
              <w:top w:val="nil"/>
              <w:left w:val="nil"/>
              <w:bottom w:val="nil"/>
              <w:right w:val="single" w:sz="4" w:space="0" w:color="auto"/>
            </w:tcBorders>
            <w:noWrap/>
            <w:vAlign w:val="center"/>
            <w:hideMark/>
          </w:tcPr>
          <w:p w14:paraId="61DB0672" w14:textId="77777777" w:rsidR="00B011C2" w:rsidRPr="007B4794" w:rsidRDefault="00B011C2" w:rsidP="00B011C2">
            <w:pPr>
              <w:adjustRightInd w:val="0"/>
              <w:snapToGrid w:val="0"/>
              <w:spacing w:line="0" w:lineRule="atLeast"/>
              <w:rPr>
                <w:rFonts w:ascii="华文细黑" w:eastAsia="华文细黑" w:hAnsi="华文细黑"/>
                <w:color w:val="000000" w:themeColor="text1"/>
                <w:sz w:val="18"/>
                <w:szCs w:val="18"/>
              </w:rPr>
            </w:pPr>
            <w:r w:rsidRPr="007B4794">
              <w:rPr>
                <w:rFonts w:ascii="Arial" w:hAnsi="Arial" w:cs="Arial"/>
                <w:color w:val="000000" w:themeColor="text1"/>
                <w:sz w:val="20"/>
                <w:szCs w:val="20"/>
              </w:rPr>
              <w:t>30827.6</w:t>
            </w:r>
          </w:p>
        </w:tc>
      </w:tr>
      <w:tr w:rsidR="00B011C2" w:rsidRPr="007B4794" w14:paraId="3E0FFB07" w14:textId="77777777" w:rsidTr="00B011C2">
        <w:trPr>
          <w:trHeight w:val="283"/>
        </w:trPr>
        <w:tc>
          <w:tcPr>
            <w:tcW w:w="0" w:type="auto"/>
            <w:vMerge/>
            <w:tcBorders>
              <w:left w:val="single" w:sz="4" w:space="0" w:color="auto"/>
              <w:right w:val="single" w:sz="4" w:space="0" w:color="auto"/>
            </w:tcBorders>
            <w:vAlign w:val="center"/>
            <w:hideMark/>
          </w:tcPr>
          <w:p w14:paraId="6AE9E05C" w14:textId="77777777" w:rsidR="00B011C2" w:rsidRPr="007B4794" w:rsidRDefault="00B011C2" w:rsidP="00B011C2">
            <w:pPr>
              <w:rPr>
                <w:rFonts w:ascii="华文细黑" w:eastAsia="华文细黑" w:hAnsi="华文细黑"/>
                <w:color w:val="000000" w:themeColor="text1"/>
                <w:sz w:val="18"/>
                <w:szCs w:val="18"/>
              </w:rPr>
            </w:pPr>
          </w:p>
        </w:tc>
        <w:tc>
          <w:tcPr>
            <w:tcW w:w="1667" w:type="pct"/>
            <w:tcBorders>
              <w:top w:val="nil"/>
              <w:left w:val="single" w:sz="4" w:space="0" w:color="auto"/>
              <w:bottom w:val="single" w:sz="4" w:space="0" w:color="auto"/>
              <w:right w:val="single" w:sz="4" w:space="0" w:color="auto"/>
            </w:tcBorders>
            <w:noWrap/>
            <w:vAlign w:val="center"/>
            <w:hideMark/>
          </w:tcPr>
          <w:p w14:paraId="295107AF" w14:textId="77777777" w:rsidR="00B011C2" w:rsidRPr="007B4794" w:rsidRDefault="00B011C2" w:rsidP="00B011C2">
            <w:pPr>
              <w:adjustRightInd w:val="0"/>
              <w:snapToGrid w:val="0"/>
              <w:spacing w:line="0" w:lineRule="atLeast"/>
              <w:jc w:val="right"/>
              <w:rPr>
                <w:rFonts w:ascii="华文细黑" w:eastAsia="华文细黑" w:hAnsi="华文细黑"/>
                <w:i/>
                <w:iCs/>
                <w:color w:val="000000" w:themeColor="text1"/>
                <w:sz w:val="18"/>
                <w:szCs w:val="18"/>
              </w:rPr>
            </w:pPr>
            <w:r w:rsidRPr="007B4794">
              <w:rPr>
                <w:rFonts w:ascii="华文细黑" w:eastAsia="华文细黑" w:hAnsi="华文细黑" w:hint="eastAsia"/>
                <w:i/>
                <w:iCs/>
                <w:color w:val="000000" w:themeColor="text1"/>
                <w:sz w:val="18"/>
                <w:szCs w:val="18"/>
              </w:rPr>
              <w:t>个数</w:t>
            </w:r>
          </w:p>
        </w:tc>
        <w:tc>
          <w:tcPr>
            <w:tcW w:w="1666" w:type="pct"/>
            <w:tcBorders>
              <w:top w:val="nil"/>
              <w:left w:val="nil"/>
              <w:bottom w:val="single" w:sz="4" w:space="0" w:color="auto"/>
              <w:right w:val="single" w:sz="4" w:space="0" w:color="auto"/>
            </w:tcBorders>
            <w:noWrap/>
            <w:vAlign w:val="center"/>
            <w:hideMark/>
          </w:tcPr>
          <w:p w14:paraId="24A08B62" w14:textId="77777777" w:rsidR="00B011C2" w:rsidRPr="007B4794" w:rsidRDefault="00B011C2" w:rsidP="00B011C2">
            <w:pPr>
              <w:adjustRightInd w:val="0"/>
              <w:snapToGrid w:val="0"/>
              <w:spacing w:line="0" w:lineRule="atLeast"/>
              <w:rPr>
                <w:rFonts w:ascii="华文细黑" w:eastAsia="华文细黑" w:hAnsi="华文细黑"/>
                <w:i/>
                <w:iCs/>
                <w:color w:val="000000" w:themeColor="text1"/>
                <w:sz w:val="18"/>
                <w:szCs w:val="18"/>
              </w:rPr>
            </w:pPr>
            <w:r w:rsidRPr="007B4794">
              <w:rPr>
                <w:rFonts w:ascii="Arial" w:hAnsi="Arial" w:cs="Arial"/>
                <w:i/>
                <w:iCs/>
                <w:color w:val="000000" w:themeColor="text1"/>
                <w:sz w:val="20"/>
                <w:szCs w:val="20"/>
              </w:rPr>
              <w:t>963</w:t>
            </w:r>
          </w:p>
        </w:tc>
      </w:tr>
      <w:tr w:rsidR="00B011C2" w:rsidRPr="007B4794" w14:paraId="7AFA12E6" w14:textId="77777777" w:rsidTr="00B011C2">
        <w:trPr>
          <w:trHeight w:val="283"/>
        </w:trPr>
        <w:tc>
          <w:tcPr>
            <w:tcW w:w="0" w:type="auto"/>
            <w:vMerge/>
            <w:tcBorders>
              <w:left w:val="single" w:sz="4" w:space="0" w:color="auto"/>
              <w:bottom w:val="single" w:sz="4" w:space="0" w:color="auto"/>
              <w:right w:val="single" w:sz="4" w:space="0" w:color="auto"/>
            </w:tcBorders>
            <w:vAlign w:val="center"/>
            <w:hideMark/>
          </w:tcPr>
          <w:p w14:paraId="061E1FE0" w14:textId="77777777" w:rsidR="00B011C2" w:rsidRPr="007B4794" w:rsidRDefault="00B011C2" w:rsidP="00B011C2">
            <w:pPr>
              <w:rPr>
                <w:rFonts w:ascii="华文细黑" w:eastAsia="华文细黑" w:hAnsi="华文细黑"/>
                <w:color w:val="000000" w:themeColor="text1"/>
                <w:sz w:val="18"/>
                <w:szCs w:val="18"/>
              </w:rPr>
            </w:pPr>
          </w:p>
        </w:tc>
        <w:tc>
          <w:tcPr>
            <w:tcW w:w="1667" w:type="pct"/>
            <w:tcBorders>
              <w:top w:val="nil"/>
              <w:left w:val="single" w:sz="4" w:space="0" w:color="auto"/>
              <w:bottom w:val="single" w:sz="4" w:space="0" w:color="auto"/>
              <w:right w:val="single" w:sz="4" w:space="0" w:color="auto"/>
            </w:tcBorders>
            <w:noWrap/>
            <w:vAlign w:val="center"/>
            <w:hideMark/>
          </w:tcPr>
          <w:p w14:paraId="4CB9902B" w14:textId="77777777" w:rsidR="00B011C2" w:rsidRPr="007B4794" w:rsidRDefault="00B011C2" w:rsidP="00B011C2">
            <w:pPr>
              <w:adjustRightInd w:val="0"/>
              <w:snapToGrid w:val="0"/>
              <w:spacing w:line="0" w:lineRule="atLeast"/>
              <w:rPr>
                <w:rFonts w:ascii="华文细黑" w:eastAsia="华文细黑" w:hAnsi="华文细黑"/>
                <w:bCs/>
                <w:color w:val="000000" w:themeColor="text1"/>
                <w:sz w:val="18"/>
                <w:szCs w:val="18"/>
              </w:rPr>
            </w:pPr>
            <w:r w:rsidRPr="007B4794">
              <w:rPr>
                <w:rFonts w:ascii="华文细黑" w:eastAsia="华文细黑" w:hAnsi="华文细黑" w:hint="eastAsia"/>
                <w:bCs/>
                <w:color w:val="000000" w:themeColor="text1"/>
                <w:sz w:val="18"/>
                <w:szCs w:val="18"/>
              </w:rPr>
              <w:t>小计</w:t>
            </w:r>
          </w:p>
        </w:tc>
        <w:tc>
          <w:tcPr>
            <w:tcW w:w="1666" w:type="pct"/>
            <w:tcBorders>
              <w:top w:val="nil"/>
              <w:left w:val="nil"/>
              <w:bottom w:val="single" w:sz="4" w:space="0" w:color="auto"/>
              <w:right w:val="single" w:sz="4" w:space="0" w:color="auto"/>
            </w:tcBorders>
            <w:noWrap/>
            <w:vAlign w:val="center"/>
            <w:hideMark/>
          </w:tcPr>
          <w:p w14:paraId="05DC9984" w14:textId="77777777" w:rsidR="00B011C2" w:rsidRPr="007B4794" w:rsidRDefault="00B011C2" w:rsidP="00B011C2">
            <w:pPr>
              <w:adjustRightInd w:val="0"/>
              <w:snapToGrid w:val="0"/>
              <w:spacing w:line="0" w:lineRule="atLeast"/>
              <w:rPr>
                <w:rFonts w:ascii="华文细黑" w:eastAsia="华文细黑" w:hAnsi="华文细黑"/>
                <w:bCs/>
                <w:color w:val="000000" w:themeColor="text1"/>
                <w:sz w:val="18"/>
                <w:szCs w:val="18"/>
              </w:rPr>
            </w:pPr>
            <w:r w:rsidRPr="007B4794">
              <w:rPr>
                <w:rFonts w:ascii="Arial" w:eastAsia="华文细黑" w:hAnsi="Arial"/>
                <w:bCs/>
                <w:color w:val="000000" w:themeColor="text1"/>
                <w:sz w:val="18"/>
                <w:szCs w:val="18"/>
              </w:rPr>
              <w:t>38943.74</w:t>
            </w:r>
          </w:p>
        </w:tc>
      </w:tr>
      <w:tr w:rsidR="00B011C2" w:rsidRPr="007B4794" w14:paraId="3968B450" w14:textId="77777777" w:rsidTr="00B011C2">
        <w:trPr>
          <w:trHeight w:val="283"/>
        </w:trPr>
        <w:tc>
          <w:tcPr>
            <w:tcW w:w="3334" w:type="pct"/>
            <w:gridSpan w:val="2"/>
            <w:tcBorders>
              <w:top w:val="nil"/>
              <w:left w:val="single" w:sz="4" w:space="0" w:color="auto"/>
              <w:bottom w:val="single" w:sz="4" w:space="0" w:color="auto"/>
              <w:right w:val="single" w:sz="4" w:space="0" w:color="auto"/>
            </w:tcBorders>
            <w:vAlign w:val="center"/>
            <w:hideMark/>
          </w:tcPr>
          <w:p w14:paraId="66B3F95D" w14:textId="77777777" w:rsidR="00B011C2" w:rsidRPr="007B4794" w:rsidRDefault="00B011C2" w:rsidP="00B011C2">
            <w:pPr>
              <w:adjustRightInd w:val="0"/>
              <w:snapToGrid w:val="0"/>
              <w:spacing w:line="0" w:lineRule="atLeast"/>
              <w:rPr>
                <w:rFonts w:ascii="华文细黑" w:eastAsia="华文细黑" w:hAnsi="华文细黑"/>
                <w:bCs/>
                <w:color w:val="000000" w:themeColor="text1"/>
                <w:sz w:val="18"/>
                <w:szCs w:val="18"/>
              </w:rPr>
            </w:pPr>
            <w:r w:rsidRPr="007B4794">
              <w:rPr>
                <w:rFonts w:ascii="华文细黑" w:eastAsia="华文细黑" w:hAnsi="华文细黑" w:hint="eastAsia"/>
                <w:bCs/>
                <w:color w:val="000000" w:themeColor="text1"/>
                <w:sz w:val="18"/>
                <w:szCs w:val="18"/>
              </w:rPr>
              <w:t>合计</w:t>
            </w:r>
          </w:p>
        </w:tc>
        <w:tc>
          <w:tcPr>
            <w:tcW w:w="1666" w:type="pct"/>
            <w:tcBorders>
              <w:top w:val="nil"/>
              <w:left w:val="nil"/>
              <w:bottom w:val="single" w:sz="4" w:space="0" w:color="auto"/>
              <w:right w:val="single" w:sz="4" w:space="0" w:color="auto"/>
            </w:tcBorders>
            <w:noWrap/>
            <w:vAlign w:val="center"/>
            <w:hideMark/>
          </w:tcPr>
          <w:p w14:paraId="21724FB6" w14:textId="77777777" w:rsidR="00B011C2" w:rsidRPr="007B4794" w:rsidRDefault="00B011C2" w:rsidP="00B011C2">
            <w:pPr>
              <w:adjustRightInd w:val="0"/>
              <w:snapToGrid w:val="0"/>
              <w:spacing w:line="0" w:lineRule="atLeast"/>
              <w:rPr>
                <w:rFonts w:ascii="华文细黑" w:eastAsia="华文细黑" w:hAnsi="华文细黑"/>
                <w:bCs/>
                <w:color w:val="000000" w:themeColor="text1"/>
                <w:sz w:val="18"/>
                <w:szCs w:val="18"/>
              </w:rPr>
            </w:pPr>
            <w:r w:rsidRPr="007B4794">
              <w:rPr>
                <w:rFonts w:ascii="Arial" w:eastAsia="华文细黑" w:hAnsi="Arial"/>
                <w:bCs/>
                <w:color w:val="000000" w:themeColor="text1"/>
                <w:sz w:val="18"/>
                <w:szCs w:val="18"/>
              </w:rPr>
              <w:t>176032.74</w:t>
            </w:r>
          </w:p>
        </w:tc>
      </w:tr>
    </w:tbl>
    <w:p w14:paraId="1E2BB7A9" w14:textId="77777777" w:rsidR="00B011C2" w:rsidRPr="007B4794" w:rsidRDefault="00B011C2" w:rsidP="00B850AD">
      <w:pPr>
        <w:adjustRightInd w:val="0"/>
        <w:snapToGrid w:val="0"/>
        <w:spacing w:line="480" w:lineRule="auto"/>
        <w:rPr>
          <w:rFonts w:ascii="Arial" w:hAnsi="Arial" w:cs="Arial"/>
          <w:color w:val="000000" w:themeColor="text1"/>
          <w:sz w:val="21"/>
          <w:szCs w:val="21"/>
        </w:rPr>
      </w:pPr>
    </w:p>
    <w:p w14:paraId="1A21BAC1" w14:textId="77777777" w:rsidR="00B850AD" w:rsidRPr="007B4794" w:rsidRDefault="00B850AD" w:rsidP="00B850AD">
      <w:pPr>
        <w:adjustRightInd w:val="0"/>
        <w:snapToGrid w:val="0"/>
        <w:spacing w:line="480" w:lineRule="auto"/>
        <w:ind w:firstLineChars="200" w:firstLine="420"/>
        <w:rPr>
          <w:rFonts w:ascii="Arial" w:hAnsi="Arial" w:cs="Arial"/>
          <w:color w:val="000000" w:themeColor="text1"/>
          <w:sz w:val="21"/>
          <w:szCs w:val="21"/>
        </w:rPr>
      </w:pPr>
      <w:r w:rsidRPr="007B4794">
        <w:rPr>
          <w:rFonts w:ascii="Arial" w:hAnsi="Arial" w:cs="Arial"/>
          <w:color w:val="000000" w:themeColor="text1"/>
          <w:sz w:val="21"/>
          <w:szCs w:val="21"/>
        </w:rPr>
        <w:t>2</w:t>
      </w:r>
      <w:r w:rsidRPr="007B4794">
        <w:rPr>
          <w:rFonts w:ascii="Arial" w:hAnsi="Arial" w:cs="Arial" w:hint="eastAsia"/>
          <w:color w:val="000000" w:themeColor="text1"/>
          <w:sz w:val="21"/>
          <w:szCs w:val="21"/>
        </w:rPr>
        <w:t>、项目建造标准</w:t>
      </w:r>
    </w:p>
    <w:p w14:paraId="2C1A8A67" w14:textId="4C2CE2F5" w:rsidR="00B850AD" w:rsidRPr="007B4794" w:rsidRDefault="00B850AD" w:rsidP="00F21144">
      <w:pPr>
        <w:adjustRightInd w:val="0"/>
        <w:snapToGrid w:val="0"/>
        <w:spacing w:line="480" w:lineRule="auto"/>
        <w:ind w:firstLineChars="200" w:firstLine="420"/>
        <w:rPr>
          <w:rFonts w:ascii="华文细黑" w:eastAsia="华文细黑" w:hAnsi="华文细黑" w:cs="Arial"/>
          <w:color w:val="000000" w:themeColor="text1"/>
          <w:sz w:val="15"/>
          <w:szCs w:val="15"/>
        </w:rPr>
      </w:pPr>
      <w:r w:rsidRPr="007B4794">
        <w:rPr>
          <w:rFonts w:ascii="Arial" w:hAnsi="Arial" w:cs="Arial"/>
          <w:color w:val="000000" w:themeColor="text1"/>
          <w:sz w:val="21"/>
          <w:szCs w:val="21"/>
        </w:rPr>
        <w:t>项目</w:t>
      </w:r>
      <w:r w:rsidRPr="007B4794">
        <w:rPr>
          <w:rFonts w:ascii="Arial" w:hAnsi="Arial" w:cs="Arial" w:hint="eastAsia"/>
          <w:color w:val="000000" w:themeColor="text1"/>
          <w:sz w:val="21"/>
          <w:szCs w:val="21"/>
        </w:rPr>
        <w:t>住宅</w:t>
      </w:r>
      <w:r w:rsidRPr="007B4794">
        <w:rPr>
          <w:rFonts w:ascii="Arial" w:hAnsi="Arial" w:cs="Arial"/>
          <w:color w:val="000000" w:themeColor="text1"/>
          <w:sz w:val="21"/>
          <w:szCs w:val="21"/>
        </w:rPr>
        <w:t>拟</w:t>
      </w:r>
      <w:r w:rsidRPr="007B4794">
        <w:rPr>
          <w:rFonts w:ascii="Arial" w:hAnsi="Arial" w:cs="Arial" w:hint="eastAsia"/>
          <w:color w:val="000000" w:themeColor="text1"/>
          <w:sz w:val="21"/>
          <w:szCs w:val="21"/>
        </w:rPr>
        <w:t>建造</w:t>
      </w:r>
      <w:r w:rsidRPr="007B4794">
        <w:rPr>
          <w:rFonts w:ascii="Arial" w:hAnsi="Arial" w:cs="Arial"/>
          <w:color w:val="000000" w:themeColor="text1"/>
          <w:sz w:val="21"/>
          <w:szCs w:val="21"/>
        </w:rPr>
        <w:t>标准</w:t>
      </w:r>
      <w:r w:rsidRPr="007B4794">
        <w:rPr>
          <w:rFonts w:ascii="Arial" w:hAnsi="Arial" w:cs="Arial" w:hint="eastAsia"/>
          <w:color w:val="000000" w:themeColor="text1"/>
          <w:sz w:val="21"/>
          <w:szCs w:val="21"/>
        </w:rPr>
        <w:t>为</w:t>
      </w:r>
      <w:r w:rsidRPr="007B4794">
        <w:rPr>
          <w:rFonts w:ascii="Arial" w:hAnsi="Arial" w:cs="Arial"/>
          <w:color w:val="000000" w:themeColor="text1"/>
          <w:sz w:val="21"/>
          <w:szCs w:val="21"/>
        </w:rPr>
        <w:t>公共部分精装修</w:t>
      </w:r>
      <w:r w:rsidRPr="007B4794">
        <w:rPr>
          <w:rFonts w:ascii="Arial" w:hAnsi="Arial" w:cs="Arial" w:hint="eastAsia"/>
          <w:color w:val="000000" w:themeColor="text1"/>
          <w:sz w:val="21"/>
          <w:szCs w:val="21"/>
        </w:rPr>
        <w:t>，住宅</w:t>
      </w:r>
      <w:r w:rsidR="006D3A7C" w:rsidRPr="007B4794">
        <w:rPr>
          <w:rFonts w:ascii="Arial" w:hAnsi="Arial" w:cs="Arial" w:hint="eastAsia"/>
          <w:color w:val="000000" w:themeColor="text1"/>
          <w:sz w:val="21"/>
          <w:szCs w:val="21"/>
        </w:rPr>
        <w:t>、商业</w:t>
      </w:r>
      <w:r w:rsidR="00F21144" w:rsidRPr="007B4794">
        <w:rPr>
          <w:rFonts w:ascii="Arial" w:hAnsi="Arial" w:cs="Arial" w:hint="eastAsia"/>
          <w:color w:val="000000" w:themeColor="text1"/>
          <w:sz w:val="21"/>
          <w:szCs w:val="21"/>
        </w:rPr>
        <w:t>、公寓均</w:t>
      </w:r>
      <w:r w:rsidRPr="007B4794">
        <w:rPr>
          <w:rFonts w:ascii="Arial" w:hAnsi="Arial" w:cs="Arial" w:hint="eastAsia"/>
          <w:color w:val="000000" w:themeColor="text1"/>
          <w:sz w:val="21"/>
          <w:szCs w:val="21"/>
        </w:rPr>
        <w:t>为</w:t>
      </w:r>
      <w:r w:rsidR="006D3A7C" w:rsidRPr="007B4794">
        <w:rPr>
          <w:rFonts w:ascii="Arial" w:hAnsi="Arial" w:cs="Arial" w:hint="eastAsia"/>
          <w:color w:val="000000" w:themeColor="text1"/>
          <w:sz w:val="21"/>
          <w:szCs w:val="21"/>
        </w:rPr>
        <w:t>毛坯</w:t>
      </w:r>
      <w:r w:rsidRPr="007B4794">
        <w:rPr>
          <w:rFonts w:ascii="Arial" w:hAnsi="Arial" w:cs="Arial" w:hint="eastAsia"/>
          <w:color w:val="000000" w:themeColor="text1"/>
          <w:sz w:val="21"/>
          <w:szCs w:val="21"/>
        </w:rPr>
        <w:t>交付、</w:t>
      </w:r>
      <w:r w:rsidR="00F21144" w:rsidRPr="007B4794">
        <w:rPr>
          <w:rFonts w:ascii="Arial" w:hAnsi="Arial" w:cs="Arial" w:hint="eastAsia"/>
          <w:color w:val="000000" w:themeColor="text1"/>
          <w:sz w:val="21"/>
          <w:szCs w:val="21"/>
        </w:rPr>
        <w:t>地下车库均为简单装修</w:t>
      </w:r>
      <w:r w:rsidRPr="007B4794">
        <w:rPr>
          <w:rFonts w:ascii="Arial" w:hAnsi="Arial" w:cs="Arial" w:hint="eastAsia"/>
          <w:color w:val="000000" w:themeColor="text1"/>
          <w:sz w:val="21"/>
          <w:szCs w:val="21"/>
        </w:rPr>
        <w:t>交付</w:t>
      </w:r>
      <w:r w:rsidR="00F21144" w:rsidRPr="007B4794">
        <w:rPr>
          <w:rFonts w:ascii="Arial" w:hAnsi="Arial" w:cs="Arial" w:hint="eastAsia"/>
          <w:color w:val="000000" w:themeColor="text1"/>
          <w:sz w:val="21"/>
          <w:szCs w:val="21"/>
        </w:rPr>
        <w:t>，项目总计约</w:t>
      </w:r>
      <w:r w:rsidR="00F21144" w:rsidRPr="007B4794">
        <w:rPr>
          <w:rFonts w:ascii="Arial" w:hAnsi="Arial" w:cs="Arial" w:hint="eastAsia"/>
          <w:color w:val="000000" w:themeColor="text1"/>
          <w:sz w:val="21"/>
          <w:szCs w:val="21"/>
        </w:rPr>
        <w:t>1044</w:t>
      </w:r>
      <w:r w:rsidR="00F21144" w:rsidRPr="007B4794">
        <w:rPr>
          <w:rFonts w:ascii="Arial" w:hAnsi="Arial" w:cs="Arial" w:hint="eastAsia"/>
          <w:color w:val="000000" w:themeColor="text1"/>
          <w:sz w:val="21"/>
          <w:szCs w:val="21"/>
        </w:rPr>
        <w:t>户，复式住宅主力户型为</w:t>
      </w:r>
      <w:r w:rsidR="00F21144" w:rsidRPr="007B4794">
        <w:rPr>
          <w:rFonts w:ascii="Arial" w:hAnsi="Arial" w:cs="Arial" w:hint="eastAsia"/>
          <w:color w:val="000000" w:themeColor="text1"/>
          <w:sz w:val="21"/>
          <w:szCs w:val="21"/>
        </w:rPr>
        <w:t>89</w:t>
      </w:r>
      <w:r w:rsidR="00F21144" w:rsidRPr="007B4794">
        <w:rPr>
          <w:rFonts w:ascii="Arial" w:hAnsi="Arial" w:cs="Arial" w:hint="eastAsia"/>
          <w:color w:val="000000" w:themeColor="text1"/>
          <w:sz w:val="21"/>
          <w:szCs w:val="21"/>
        </w:rPr>
        <w:t>平方米，平层住宅主力户型为</w:t>
      </w:r>
      <w:r w:rsidR="00F21144" w:rsidRPr="007B4794">
        <w:rPr>
          <w:rFonts w:ascii="Arial" w:hAnsi="Arial" w:cs="Arial" w:hint="eastAsia"/>
          <w:color w:val="000000" w:themeColor="text1"/>
          <w:sz w:val="21"/>
          <w:szCs w:val="21"/>
        </w:rPr>
        <w:t>79</w:t>
      </w:r>
      <w:r w:rsidR="00F21144" w:rsidRPr="007B4794">
        <w:rPr>
          <w:rFonts w:ascii="Arial" w:hAnsi="Arial" w:cs="Arial" w:hint="eastAsia"/>
          <w:color w:val="000000" w:themeColor="text1"/>
          <w:sz w:val="21"/>
          <w:szCs w:val="21"/>
        </w:rPr>
        <w:t>平方米</w:t>
      </w:r>
      <w:r w:rsidR="00F21144" w:rsidRPr="007B4794">
        <w:rPr>
          <w:rFonts w:ascii="Arial" w:hAnsi="Arial" w:cs="Arial" w:hint="eastAsia"/>
          <w:color w:val="000000" w:themeColor="text1"/>
          <w:sz w:val="21"/>
          <w:szCs w:val="21"/>
        </w:rPr>
        <w:t>2</w:t>
      </w:r>
      <w:r w:rsidR="00F21144" w:rsidRPr="007B4794">
        <w:rPr>
          <w:rFonts w:ascii="Arial" w:hAnsi="Arial" w:cs="Arial" w:hint="eastAsia"/>
          <w:color w:val="000000" w:themeColor="text1"/>
          <w:sz w:val="21"/>
          <w:szCs w:val="21"/>
        </w:rPr>
        <w:t>室</w:t>
      </w:r>
      <w:r w:rsidR="00F21144" w:rsidRPr="007B4794">
        <w:rPr>
          <w:rFonts w:ascii="Arial" w:hAnsi="Arial" w:cs="Arial" w:hint="eastAsia"/>
          <w:color w:val="000000" w:themeColor="text1"/>
          <w:sz w:val="21"/>
          <w:szCs w:val="21"/>
        </w:rPr>
        <w:t>1</w:t>
      </w:r>
      <w:r w:rsidR="00F21144" w:rsidRPr="007B4794">
        <w:rPr>
          <w:rFonts w:ascii="Arial" w:hAnsi="Arial" w:cs="Arial" w:hint="eastAsia"/>
          <w:color w:val="000000" w:themeColor="text1"/>
          <w:sz w:val="21"/>
          <w:szCs w:val="21"/>
        </w:rPr>
        <w:t>厅及</w:t>
      </w:r>
      <w:r w:rsidR="00F21144" w:rsidRPr="007B4794">
        <w:rPr>
          <w:rFonts w:ascii="Arial" w:hAnsi="Arial" w:cs="Arial" w:hint="eastAsia"/>
          <w:color w:val="000000" w:themeColor="text1"/>
          <w:sz w:val="21"/>
          <w:szCs w:val="21"/>
        </w:rPr>
        <w:t>105</w:t>
      </w:r>
      <w:r w:rsidR="00F21144" w:rsidRPr="007B4794">
        <w:rPr>
          <w:rFonts w:ascii="Arial" w:hAnsi="Arial" w:cs="Arial" w:hint="eastAsia"/>
          <w:color w:val="000000" w:themeColor="text1"/>
          <w:sz w:val="21"/>
          <w:szCs w:val="21"/>
        </w:rPr>
        <w:t>平方米</w:t>
      </w:r>
      <w:r w:rsidR="00F21144" w:rsidRPr="007B4794">
        <w:rPr>
          <w:rFonts w:ascii="Arial" w:hAnsi="Arial" w:cs="Arial" w:hint="eastAsia"/>
          <w:color w:val="000000" w:themeColor="text1"/>
          <w:sz w:val="21"/>
          <w:szCs w:val="21"/>
        </w:rPr>
        <w:t>3</w:t>
      </w:r>
      <w:r w:rsidR="00F21144" w:rsidRPr="007B4794">
        <w:rPr>
          <w:rFonts w:ascii="Arial" w:hAnsi="Arial" w:cs="Arial" w:hint="eastAsia"/>
          <w:color w:val="000000" w:themeColor="text1"/>
          <w:sz w:val="21"/>
          <w:szCs w:val="21"/>
        </w:rPr>
        <w:t>室</w:t>
      </w:r>
      <w:r w:rsidR="00F21144" w:rsidRPr="007B4794">
        <w:rPr>
          <w:rFonts w:ascii="Arial" w:hAnsi="Arial" w:cs="Arial" w:hint="eastAsia"/>
          <w:color w:val="000000" w:themeColor="text1"/>
          <w:sz w:val="21"/>
          <w:szCs w:val="21"/>
        </w:rPr>
        <w:t>1</w:t>
      </w:r>
      <w:r w:rsidR="00F21144" w:rsidRPr="007B4794">
        <w:rPr>
          <w:rFonts w:ascii="Arial" w:hAnsi="Arial" w:cs="Arial" w:hint="eastAsia"/>
          <w:color w:val="000000" w:themeColor="text1"/>
          <w:sz w:val="21"/>
          <w:szCs w:val="21"/>
        </w:rPr>
        <w:t>厅，整个项目</w:t>
      </w:r>
      <w:r w:rsidRPr="007B4794">
        <w:rPr>
          <w:rFonts w:ascii="Arial" w:hAnsi="Arial" w:cs="Arial" w:hint="eastAsia"/>
          <w:color w:val="000000" w:themeColor="text1"/>
          <w:sz w:val="21"/>
          <w:szCs w:val="21"/>
        </w:rPr>
        <w:t>预计</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021</w:t>
      </w:r>
      <w:r w:rsidRPr="007B4794">
        <w:rPr>
          <w:rFonts w:ascii="Arial" w:hAnsi="Arial" w:cs="Arial" w:hint="eastAsia"/>
          <w:color w:val="000000" w:themeColor="text1"/>
          <w:sz w:val="21"/>
          <w:szCs w:val="21"/>
        </w:rPr>
        <w:t>年</w:t>
      </w:r>
      <w:r w:rsidR="00B011C2" w:rsidRPr="007B4794">
        <w:rPr>
          <w:rFonts w:ascii="Arial" w:hAnsi="Arial" w:cs="Arial" w:hint="eastAsia"/>
          <w:color w:val="000000" w:themeColor="text1"/>
          <w:sz w:val="21"/>
          <w:szCs w:val="21"/>
        </w:rPr>
        <w:t>2</w:t>
      </w:r>
      <w:r w:rsidRPr="007B4794">
        <w:rPr>
          <w:rFonts w:ascii="Arial" w:hAnsi="Arial" w:cs="Arial" w:hint="eastAsia"/>
          <w:color w:val="000000" w:themeColor="text1"/>
          <w:sz w:val="21"/>
          <w:szCs w:val="21"/>
        </w:rPr>
        <w:t>季度取得预售证</w:t>
      </w:r>
      <w:r w:rsidR="00F21144" w:rsidRPr="007B4794">
        <w:rPr>
          <w:rFonts w:ascii="Arial" w:hAnsi="Arial" w:cs="Arial" w:hint="eastAsia"/>
          <w:color w:val="000000" w:themeColor="text1"/>
          <w:sz w:val="21"/>
          <w:szCs w:val="21"/>
        </w:rPr>
        <w:t>并开始销售</w:t>
      </w:r>
      <w:r w:rsidRPr="007B4794">
        <w:rPr>
          <w:rFonts w:ascii="Arial" w:hAnsi="Arial" w:cs="Arial" w:hint="eastAsia"/>
          <w:color w:val="000000" w:themeColor="text1"/>
          <w:sz w:val="21"/>
          <w:szCs w:val="21"/>
        </w:rPr>
        <w:t>。</w:t>
      </w:r>
    </w:p>
    <w:p w14:paraId="66A4831C" w14:textId="77777777" w:rsidR="00B850AD" w:rsidRPr="007B4794" w:rsidRDefault="00B850AD" w:rsidP="00B850AD">
      <w:pPr>
        <w:adjustRightInd w:val="0"/>
        <w:snapToGrid w:val="0"/>
        <w:spacing w:line="480" w:lineRule="auto"/>
        <w:ind w:firstLineChars="200" w:firstLine="420"/>
        <w:jc w:val="both"/>
        <w:rPr>
          <w:rFonts w:ascii="Arial" w:hAnsi="Arial" w:cs="Arial"/>
          <w:color w:val="000000" w:themeColor="text1"/>
          <w:sz w:val="21"/>
          <w:szCs w:val="21"/>
        </w:rPr>
      </w:pPr>
    </w:p>
    <w:p w14:paraId="7D7B49DD" w14:textId="14E0990B" w:rsidR="00865F14" w:rsidRPr="007B4794" w:rsidRDefault="00865F14" w:rsidP="00865F14">
      <w:pPr>
        <w:pStyle w:val="2"/>
        <w:spacing w:before="0" w:after="0" w:line="480" w:lineRule="auto"/>
        <w:ind w:firstLineChars="98" w:firstLine="207"/>
        <w:rPr>
          <w:rFonts w:eastAsia="宋体" w:cs="Arial"/>
          <w:color w:val="000000" w:themeColor="text1"/>
          <w:sz w:val="21"/>
          <w:szCs w:val="21"/>
        </w:rPr>
      </w:pPr>
      <w:bookmarkStart w:id="52" w:name="_Toc54016584"/>
      <w:r w:rsidRPr="007B4794">
        <w:rPr>
          <w:rFonts w:eastAsia="宋体" w:cs="Arial" w:hint="eastAsia"/>
          <w:color w:val="000000" w:themeColor="text1"/>
          <w:sz w:val="21"/>
          <w:szCs w:val="21"/>
        </w:rPr>
        <w:t>三、项目区域情况</w:t>
      </w:r>
      <w:bookmarkEnd w:id="52"/>
    </w:p>
    <w:p w14:paraId="3A68B437" w14:textId="12BC394F" w:rsidR="00B850AD" w:rsidRPr="007B4794" w:rsidRDefault="00B850AD" w:rsidP="00B850AD">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1</w:t>
      </w:r>
      <w:r w:rsidRPr="007B4794">
        <w:rPr>
          <w:rFonts w:ascii="Arial" w:hAnsi="Arial" w:cs="Arial" w:hint="eastAsia"/>
          <w:color w:val="000000" w:themeColor="text1"/>
          <w:sz w:val="21"/>
          <w:szCs w:val="21"/>
        </w:rPr>
        <w:t>、区域交通情况</w:t>
      </w:r>
    </w:p>
    <w:p w14:paraId="5DD66FAE" w14:textId="77777777" w:rsidR="00B850AD" w:rsidRPr="007B4794" w:rsidRDefault="00B850AD" w:rsidP="00B850AD">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周边路面交通路网较为完善，交通通达性较好，</w:t>
      </w:r>
      <w:r w:rsidRPr="007B4794">
        <w:rPr>
          <w:rFonts w:ascii="Arial" w:hAnsi="Arial" w:cs="Arial" w:hint="eastAsia"/>
          <w:color w:val="000000" w:themeColor="text1"/>
          <w:sz w:val="21"/>
          <w:szCs w:val="21"/>
        </w:rPr>
        <w:t>临近北二环快</w:t>
      </w:r>
      <w:r w:rsidRPr="007B4794">
        <w:rPr>
          <w:rFonts w:ascii="Arial" w:hAnsi="Arial" w:cs="Arial"/>
          <w:color w:val="000000" w:themeColor="text1"/>
          <w:sz w:val="21"/>
          <w:szCs w:val="21"/>
        </w:rPr>
        <w:t>速</w:t>
      </w:r>
      <w:r w:rsidRPr="007B4794">
        <w:rPr>
          <w:rFonts w:ascii="Arial" w:hAnsi="Arial" w:cs="Arial" w:hint="eastAsia"/>
          <w:color w:val="000000" w:themeColor="text1"/>
          <w:sz w:val="21"/>
          <w:szCs w:val="21"/>
        </w:rPr>
        <w:t>路</w:t>
      </w:r>
      <w:r w:rsidRPr="007B4794">
        <w:rPr>
          <w:rFonts w:ascii="Arial" w:hAnsi="Arial" w:cs="Arial"/>
          <w:color w:val="000000" w:themeColor="text1"/>
          <w:sz w:val="21"/>
          <w:szCs w:val="21"/>
        </w:rPr>
        <w:t>。</w:t>
      </w:r>
    </w:p>
    <w:p w14:paraId="06874DEA" w14:textId="52A249D1" w:rsidR="00B850AD" w:rsidRPr="007B4794" w:rsidRDefault="00B850AD" w:rsidP="00B850AD">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公交：有</w:t>
      </w:r>
      <w:r w:rsidR="00D972DC" w:rsidRPr="007B4794">
        <w:rPr>
          <w:rFonts w:ascii="Arial" w:hAnsi="Arial" w:cs="Arial" w:hint="eastAsia"/>
          <w:color w:val="000000" w:themeColor="text1"/>
          <w:sz w:val="21"/>
          <w:szCs w:val="21"/>
        </w:rPr>
        <w:t>701</w:t>
      </w:r>
      <w:r w:rsidR="00D972DC" w:rsidRPr="007B4794">
        <w:rPr>
          <w:rFonts w:ascii="Arial" w:hAnsi="Arial" w:cs="Arial" w:hint="eastAsia"/>
          <w:color w:val="000000" w:themeColor="text1"/>
          <w:sz w:val="21"/>
          <w:szCs w:val="21"/>
        </w:rPr>
        <w:t>、</w:t>
      </w:r>
      <w:r w:rsidR="00D972DC" w:rsidRPr="007B4794">
        <w:rPr>
          <w:rFonts w:ascii="Arial" w:hAnsi="Arial" w:cs="Arial" w:hint="eastAsia"/>
          <w:color w:val="000000" w:themeColor="text1"/>
          <w:sz w:val="21"/>
          <w:szCs w:val="21"/>
        </w:rPr>
        <w:t>702</w:t>
      </w:r>
      <w:r w:rsidR="00D972DC" w:rsidRPr="007B4794">
        <w:rPr>
          <w:rFonts w:ascii="Arial" w:hAnsi="Arial" w:cs="Arial" w:hint="eastAsia"/>
          <w:color w:val="000000" w:themeColor="text1"/>
          <w:sz w:val="21"/>
          <w:szCs w:val="21"/>
        </w:rPr>
        <w:t>、</w:t>
      </w:r>
      <w:r w:rsidR="00D972DC" w:rsidRPr="007B4794">
        <w:rPr>
          <w:rFonts w:ascii="Arial" w:hAnsi="Arial" w:cs="Arial" w:hint="eastAsia"/>
          <w:color w:val="000000" w:themeColor="text1"/>
          <w:sz w:val="21"/>
          <w:szCs w:val="21"/>
        </w:rPr>
        <w:t>710</w:t>
      </w:r>
      <w:r w:rsidR="00D972DC" w:rsidRPr="007B4794">
        <w:rPr>
          <w:rFonts w:ascii="Arial" w:hAnsi="Arial" w:cs="Arial" w:hint="eastAsia"/>
          <w:color w:val="000000" w:themeColor="text1"/>
          <w:sz w:val="21"/>
          <w:szCs w:val="21"/>
        </w:rPr>
        <w:t>、</w:t>
      </w:r>
      <w:r w:rsidR="00D972DC" w:rsidRPr="007B4794">
        <w:rPr>
          <w:rFonts w:ascii="Arial" w:hAnsi="Arial" w:cs="Arial" w:hint="eastAsia"/>
          <w:color w:val="000000" w:themeColor="text1"/>
          <w:sz w:val="21"/>
          <w:szCs w:val="21"/>
        </w:rPr>
        <w:t>711</w:t>
      </w:r>
      <w:r w:rsidRPr="007B4794">
        <w:rPr>
          <w:rFonts w:ascii="Arial" w:hAnsi="Arial" w:cs="Arial" w:hint="eastAsia"/>
          <w:color w:val="000000" w:themeColor="text1"/>
          <w:sz w:val="21"/>
          <w:szCs w:val="21"/>
        </w:rPr>
        <w:t>路等多条公交线路</w:t>
      </w:r>
    </w:p>
    <w:p w14:paraId="0FC4CC79" w14:textId="668094BD" w:rsidR="00B850AD" w:rsidRPr="007B4794" w:rsidRDefault="00B850AD" w:rsidP="00B850AD">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地铁：距在建地铁</w:t>
      </w:r>
      <w:r w:rsidR="00D972DC" w:rsidRPr="007B4794">
        <w:rPr>
          <w:rFonts w:ascii="Arial" w:hAnsi="Arial" w:cs="Arial" w:hint="eastAsia"/>
          <w:color w:val="000000" w:themeColor="text1"/>
          <w:sz w:val="21"/>
          <w:szCs w:val="21"/>
        </w:rPr>
        <w:t>6</w:t>
      </w:r>
      <w:r w:rsidRPr="007B4794">
        <w:rPr>
          <w:rFonts w:ascii="Arial" w:hAnsi="Arial" w:cs="Arial"/>
          <w:color w:val="000000" w:themeColor="text1"/>
          <w:sz w:val="21"/>
          <w:szCs w:val="21"/>
        </w:rPr>
        <w:t>号线</w:t>
      </w:r>
      <w:r w:rsidR="00D972DC" w:rsidRPr="007B4794">
        <w:rPr>
          <w:rFonts w:ascii="Arial" w:hAnsi="Arial" w:cs="Arial" w:hint="eastAsia"/>
          <w:color w:val="000000" w:themeColor="text1"/>
          <w:sz w:val="21"/>
          <w:szCs w:val="21"/>
        </w:rPr>
        <w:t>延伸线龟山站</w:t>
      </w:r>
      <w:r w:rsidRPr="007B4794">
        <w:rPr>
          <w:rFonts w:ascii="Arial" w:hAnsi="Arial" w:cs="Arial"/>
          <w:color w:val="000000" w:themeColor="text1"/>
          <w:sz w:val="21"/>
          <w:szCs w:val="21"/>
        </w:rPr>
        <w:t>约</w:t>
      </w:r>
      <w:r w:rsidR="00D972DC" w:rsidRPr="007B4794">
        <w:rPr>
          <w:rFonts w:ascii="Arial" w:hAnsi="Arial" w:cs="Arial" w:hint="eastAsia"/>
          <w:color w:val="000000" w:themeColor="text1"/>
          <w:sz w:val="21"/>
          <w:szCs w:val="21"/>
        </w:rPr>
        <w:t>300</w:t>
      </w:r>
      <w:r w:rsidR="00D972DC" w:rsidRPr="007B4794">
        <w:rPr>
          <w:rFonts w:ascii="Arial" w:hAnsi="Arial" w:cs="Arial" w:hint="eastAsia"/>
          <w:color w:val="000000" w:themeColor="text1"/>
          <w:sz w:val="21"/>
          <w:szCs w:val="21"/>
        </w:rPr>
        <w:t>米</w:t>
      </w:r>
      <w:r w:rsidRPr="007B4794">
        <w:rPr>
          <w:rFonts w:ascii="Arial" w:hAnsi="Arial" w:cs="Arial"/>
          <w:color w:val="000000" w:themeColor="text1"/>
          <w:sz w:val="21"/>
          <w:szCs w:val="21"/>
        </w:rPr>
        <w:t>。</w:t>
      </w:r>
    </w:p>
    <w:p w14:paraId="0BE4F5DB" w14:textId="3C2C5C76" w:rsidR="00B850AD" w:rsidRPr="007B4794" w:rsidRDefault="00B850AD" w:rsidP="00B850AD">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高速及主干道：</w:t>
      </w:r>
      <w:r w:rsidRPr="007B4794">
        <w:rPr>
          <w:rFonts w:ascii="Arial" w:hAnsi="Arial" w:cs="Arial"/>
          <w:color w:val="000000" w:themeColor="text1"/>
          <w:sz w:val="21"/>
          <w:szCs w:val="21"/>
        </w:rPr>
        <w:t xml:space="preserve"> </w:t>
      </w:r>
      <w:r w:rsidRPr="007B4794">
        <w:rPr>
          <w:rFonts w:ascii="Arial" w:hAnsi="Arial" w:cs="Arial"/>
          <w:color w:val="000000" w:themeColor="text1"/>
          <w:sz w:val="21"/>
          <w:szCs w:val="21"/>
        </w:rPr>
        <w:t>南北方向：</w:t>
      </w:r>
      <w:r w:rsidR="00D972DC" w:rsidRPr="007B4794">
        <w:rPr>
          <w:rFonts w:ascii="Arial" w:hAnsi="Arial" w:cs="Arial" w:hint="eastAsia"/>
          <w:color w:val="000000" w:themeColor="text1"/>
          <w:sz w:val="21"/>
          <w:szCs w:val="21"/>
        </w:rPr>
        <w:t>厦蓉高速</w:t>
      </w:r>
      <w:r w:rsidRPr="007B4794">
        <w:rPr>
          <w:rFonts w:ascii="Arial" w:hAnsi="Arial" w:cs="Arial" w:hint="eastAsia"/>
          <w:color w:val="000000" w:themeColor="text1"/>
          <w:sz w:val="21"/>
          <w:szCs w:val="21"/>
        </w:rPr>
        <w:t>、</w:t>
      </w:r>
      <w:r w:rsidR="00D972DC" w:rsidRPr="007B4794">
        <w:rPr>
          <w:rFonts w:ascii="Arial" w:hAnsi="Arial" w:cs="Arial" w:hint="eastAsia"/>
          <w:color w:val="000000" w:themeColor="text1"/>
          <w:sz w:val="21"/>
          <w:szCs w:val="21"/>
        </w:rPr>
        <w:t>角海路</w:t>
      </w:r>
      <w:r w:rsidRPr="007B4794">
        <w:rPr>
          <w:rFonts w:ascii="Arial" w:hAnsi="Arial" w:cs="Arial"/>
          <w:color w:val="000000" w:themeColor="text1"/>
          <w:sz w:val="21"/>
          <w:szCs w:val="21"/>
        </w:rPr>
        <w:t>；东西方向：</w:t>
      </w:r>
      <w:r w:rsidR="00D972DC" w:rsidRPr="007B4794">
        <w:rPr>
          <w:rFonts w:ascii="Arial" w:hAnsi="Arial" w:cs="Arial" w:hint="eastAsia"/>
          <w:color w:val="000000" w:themeColor="text1"/>
          <w:sz w:val="21"/>
          <w:szCs w:val="21"/>
        </w:rPr>
        <w:t>沈海高速</w:t>
      </w:r>
      <w:r w:rsidRPr="007B4794">
        <w:rPr>
          <w:rFonts w:ascii="Arial" w:hAnsi="Arial" w:cs="Arial"/>
          <w:color w:val="000000" w:themeColor="text1"/>
          <w:sz w:val="21"/>
          <w:szCs w:val="21"/>
        </w:rPr>
        <w:t>、</w:t>
      </w:r>
      <w:r w:rsidR="00D972DC" w:rsidRPr="007B4794">
        <w:rPr>
          <w:rFonts w:ascii="Arial" w:hAnsi="Arial" w:cs="Arial" w:hint="eastAsia"/>
          <w:color w:val="000000" w:themeColor="text1"/>
          <w:sz w:val="21"/>
          <w:szCs w:val="21"/>
        </w:rPr>
        <w:t>角江路</w:t>
      </w:r>
      <w:r w:rsidR="0070665D" w:rsidRPr="007B4794">
        <w:rPr>
          <w:rFonts w:ascii="Arial" w:hAnsi="Arial" w:cs="Arial" w:hint="eastAsia"/>
          <w:color w:val="000000" w:themeColor="text1"/>
          <w:sz w:val="21"/>
          <w:szCs w:val="21"/>
        </w:rPr>
        <w:t>。</w:t>
      </w:r>
    </w:p>
    <w:p w14:paraId="69B8995D" w14:textId="4A7431BA" w:rsidR="00B850AD" w:rsidRPr="007B4794" w:rsidRDefault="00B850AD" w:rsidP="00B850AD">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2</w:t>
      </w:r>
      <w:r w:rsidRPr="007B4794">
        <w:rPr>
          <w:rFonts w:ascii="Arial" w:hAnsi="Arial" w:cs="Arial" w:hint="eastAsia"/>
          <w:color w:val="000000" w:themeColor="text1"/>
          <w:sz w:val="21"/>
          <w:szCs w:val="21"/>
        </w:rPr>
        <w:t>、区域配套情况</w:t>
      </w:r>
    </w:p>
    <w:p w14:paraId="69E07793" w14:textId="6A7BD5D4" w:rsidR="00B850AD" w:rsidRPr="007B4794" w:rsidRDefault="00B850AD" w:rsidP="00B850AD">
      <w:pPr>
        <w:widowControl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lastRenderedPageBreak/>
        <w:t>教育：周边有</w:t>
      </w:r>
      <w:r w:rsidR="00D972DC" w:rsidRPr="007B4794">
        <w:rPr>
          <w:rFonts w:ascii="Arial" w:hAnsi="Arial" w:cs="Arial" w:hint="eastAsia"/>
          <w:color w:val="000000" w:themeColor="text1"/>
          <w:sz w:val="21"/>
          <w:szCs w:val="21"/>
        </w:rPr>
        <w:t>双十中学（漳州校区）</w:t>
      </w:r>
      <w:r w:rsidRPr="007B4794">
        <w:rPr>
          <w:rFonts w:ascii="Arial" w:hAnsi="Arial" w:cs="Arial" w:hint="eastAsia"/>
          <w:color w:val="000000" w:themeColor="text1"/>
          <w:sz w:val="21"/>
          <w:szCs w:val="21"/>
        </w:rPr>
        <w:t>、</w:t>
      </w:r>
      <w:r w:rsidR="00D972DC" w:rsidRPr="007B4794">
        <w:rPr>
          <w:rFonts w:ascii="Arial" w:hAnsi="Arial" w:cs="Arial" w:hint="eastAsia"/>
          <w:color w:val="000000" w:themeColor="text1"/>
          <w:sz w:val="21"/>
          <w:szCs w:val="21"/>
        </w:rPr>
        <w:t>东山实验小学</w:t>
      </w:r>
      <w:r w:rsidRPr="007B4794">
        <w:rPr>
          <w:rFonts w:ascii="Arial" w:hAnsi="Arial" w:cs="Arial" w:hint="eastAsia"/>
          <w:color w:val="000000" w:themeColor="text1"/>
          <w:sz w:val="21"/>
          <w:szCs w:val="21"/>
        </w:rPr>
        <w:t>、</w:t>
      </w:r>
      <w:r w:rsidR="00D972DC" w:rsidRPr="007B4794">
        <w:rPr>
          <w:rFonts w:ascii="Arial" w:hAnsi="Arial" w:cs="Arial" w:hint="eastAsia"/>
          <w:color w:val="000000" w:themeColor="text1"/>
          <w:sz w:val="21"/>
          <w:szCs w:val="21"/>
        </w:rPr>
        <w:t>第三实验小学（闽南师范大学附属小学）</w:t>
      </w:r>
      <w:r w:rsidRPr="007B4794">
        <w:rPr>
          <w:rFonts w:ascii="Arial" w:hAnsi="Arial" w:cs="Arial" w:hint="eastAsia"/>
          <w:color w:val="000000" w:themeColor="text1"/>
          <w:sz w:val="21"/>
          <w:szCs w:val="21"/>
        </w:rPr>
        <w:t>、</w:t>
      </w:r>
      <w:r w:rsidR="00EA047A" w:rsidRPr="007B4794">
        <w:rPr>
          <w:rFonts w:ascii="Arial" w:hAnsi="Arial" w:cs="Arial" w:hint="eastAsia"/>
          <w:color w:val="000000" w:themeColor="text1"/>
          <w:sz w:val="21"/>
          <w:szCs w:val="21"/>
        </w:rPr>
        <w:t>周边</w:t>
      </w:r>
      <w:r w:rsidRPr="007B4794">
        <w:rPr>
          <w:rFonts w:ascii="Arial" w:hAnsi="Arial" w:cs="Arial" w:hint="eastAsia"/>
          <w:color w:val="000000" w:themeColor="text1"/>
          <w:sz w:val="21"/>
          <w:szCs w:val="21"/>
        </w:rPr>
        <w:t>教育资源</w:t>
      </w:r>
      <w:r w:rsidR="00EA047A" w:rsidRPr="007B4794">
        <w:rPr>
          <w:rFonts w:ascii="Arial" w:hAnsi="Arial" w:cs="Arial" w:hint="eastAsia"/>
          <w:color w:val="000000" w:themeColor="text1"/>
          <w:sz w:val="21"/>
          <w:szCs w:val="21"/>
        </w:rPr>
        <w:t>较</w:t>
      </w:r>
      <w:r w:rsidRPr="007B4794">
        <w:rPr>
          <w:rFonts w:ascii="Arial" w:hAnsi="Arial" w:cs="Arial" w:hint="eastAsia"/>
          <w:color w:val="000000" w:themeColor="text1"/>
          <w:sz w:val="21"/>
          <w:szCs w:val="21"/>
        </w:rPr>
        <w:t>丰富；</w:t>
      </w:r>
    </w:p>
    <w:p w14:paraId="635826BB" w14:textId="18A0DB0F" w:rsidR="00B850AD" w:rsidRPr="007B4794" w:rsidRDefault="00B850AD" w:rsidP="00B850AD">
      <w:pPr>
        <w:widowControl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公共配套：</w:t>
      </w:r>
      <w:r w:rsidR="00EA047A" w:rsidRPr="007B4794">
        <w:rPr>
          <w:rFonts w:ascii="Arial" w:hAnsi="Arial" w:cs="Arial" w:hint="eastAsia"/>
          <w:color w:val="000000" w:themeColor="text1"/>
          <w:sz w:val="21"/>
          <w:szCs w:val="21"/>
        </w:rPr>
        <w:t>项目南</w:t>
      </w:r>
      <w:r w:rsidRPr="007B4794">
        <w:rPr>
          <w:rFonts w:ascii="Arial" w:hAnsi="Arial" w:cs="Arial" w:hint="eastAsia"/>
          <w:color w:val="000000" w:themeColor="text1"/>
          <w:sz w:val="21"/>
          <w:szCs w:val="21"/>
        </w:rPr>
        <w:t>距离</w:t>
      </w:r>
      <w:r w:rsidR="00EA047A" w:rsidRPr="007B4794">
        <w:rPr>
          <w:rFonts w:ascii="Arial" w:hAnsi="Arial" w:cs="Arial" w:hint="eastAsia"/>
          <w:color w:val="000000" w:themeColor="text1"/>
          <w:sz w:val="21"/>
          <w:szCs w:val="21"/>
        </w:rPr>
        <w:t>万达广场（角美店）</w:t>
      </w:r>
      <w:r w:rsidRPr="007B4794">
        <w:rPr>
          <w:rFonts w:ascii="Arial" w:hAnsi="Arial" w:cs="Arial" w:hint="eastAsia"/>
          <w:color w:val="000000" w:themeColor="text1"/>
          <w:sz w:val="21"/>
          <w:szCs w:val="21"/>
        </w:rPr>
        <w:t>约</w:t>
      </w:r>
      <w:r w:rsidR="00EA047A" w:rsidRPr="007B4794">
        <w:rPr>
          <w:rFonts w:ascii="Arial" w:hAnsi="Arial" w:cs="Arial" w:hint="eastAsia"/>
          <w:color w:val="000000" w:themeColor="text1"/>
          <w:sz w:val="21"/>
          <w:szCs w:val="21"/>
        </w:rPr>
        <w:t>600</w:t>
      </w:r>
      <w:r w:rsidR="00EA047A" w:rsidRPr="007B4794">
        <w:rPr>
          <w:rFonts w:ascii="Arial" w:hAnsi="Arial" w:cs="Arial" w:hint="eastAsia"/>
          <w:color w:val="000000" w:themeColor="text1"/>
          <w:sz w:val="21"/>
          <w:szCs w:val="21"/>
        </w:rPr>
        <w:t>米，</w:t>
      </w:r>
      <w:r w:rsidRPr="007B4794">
        <w:rPr>
          <w:rFonts w:ascii="Arial" w:hAnsi="Arial" w:cs="Arial" w:hint="eastAsia"/>
          <w:color w:val="000000" w:themeColor="text1"/>
          <w:sz w:val="21"/>
          <w:szCs w:val="21"/>
        </w:rPr>
        <w:t>周边已建成居住项目社区配套商业等，医疗资源有</w:t>
      </w:r>
      <w:r w:rsidR="00EA047A" w:rsidRPr="007B4794">
        <w:rPr>
          <w:rFonts w:ascii="Arial" w:hAnsi="Arial" w:cs="Arial" w:hint="eastAsia"/>
          <w:color w:val="000000" w:themeColor="text1"/>
          <w:sz w:val="21"/>
          <w:szCs w:val="21"/>
        </w:rPr>
        <w:t>漳州市第五医院、漳州角美祥英妇产医院</w:t>
      </w:r>
      <w:r w:rsidRPr="007B4794">
        <w:rPr>
          <w:rFonts w:ascii="Arial" w:hAnsi="Arial" w:cs="Arial" w:hint="eastAsia"/>
          <w:color w:val="000000" w:themeColor="text1"/>
          <w:sz w:val="21"/>
          <w:szCs w:val="21"/>
        </w:rPr>
        <w:t>等，</w:t>
      </w:r>
      <w:r w:rsidRPr="007B4794">
        <w:rPr>
          <w:rFonts w:ascii="Arial" w:hAnsi="Arial" w:cs="Arial"/>
          <w:color w:val="000000" w:themeColor="text1"/>
          <w:sz w:val="21"/>
          <w:szCs w:val="21"/>
        </w:rPr>
        <w:t>可以满足周边居民的日常需求</w:t>
      </w:r>
      <w:r w:rsidRPr="007B4794">
        <w:rPr>
          <w:rFonts w:ascii="Arial" w:hAnsi="Arial" w:cs="Arial" w:hint="eastAsia"/>
          <w:color w:val="000000" w:themeColor="text1"/>
          <w:sz w:val="21"/>
          <w:szCs w:val="21"/>
        </w:rPr>
        <w:t>；另外项目地块临近</w:t>
      </w:r>
      <w:r w:rsidR="00EA047A" w:rsidRPr="007B4794">
        <w:rPr>
          <w:rFonts w:ascii="Arial" w:hAnsi="Arial" w:cs="Arial" w:hint="eastAsia"/>
          <w:color w:val="000000" w:themeColor="text1"/>
          <w:sz w:val="21"/>
          <w:szCs w:val="21"/>
        </w:rPr>
        <w:t>角美湿地公园</w:t>
      </w:r>
      <w:r w:rsidRPr="007B4794">
        <w:rPr>
          <w:rFonts w:ascii="Arial" w:hAnsi="Arial" w:cs="Arial" w:hint="eastAsia"/>
          <w:color w:val="000000" w:themeColor="text1"/>
          <w:sz w:val="21"/>
          <w:szCs w:val="21"/>
        </w:rPr>
        <w:t>，拥有一定的景观资源。</w:t>
      </w:r>
    </w:p>
    <w:p w14:paraId="42CA5389" w14:textId="77777777" w:rsidR="00225405" w:rsidRPr="007B4794" w:rsidRDefault="00225405" w:rsidP="00B850AD">
      <w:pPr>
        <w:rPr>
          <w:color w:val="000000" w:themeColor="text1"/>
        </w:rPr>
      </w:pPr>
    </w:p>
    <w:p w14:paraId="61C6DF4F" w14:textId="4311B36A" w:rsidR="00F32F92" w:rsidRPr="007B4794" w:rsidRDefault="00F32F92" w:rsidP="00F32F92">
      <w:pPr>
        <w:pStyle w:val="2"/>
        <w:spacing w:before="0" w:after="0" w:line="480" w:lineRule="auto"/>
        <w:ind w:firstLineChars="98" w:firstLine="207"/>
        <w:rPr>
          <w:rFonts w:eastAsia="宋体" w:cs="Arial"/>
          <w:color w:val="000000" w:themeColor="text1"/>
          <w:sz w:val="21"/>
          <w:szCs w:val="21"/>
        </w:rPr>
      </w:pPr>
      <w:bookmarkStart w:id="53" w:name="_Toc54016585"/>
      <w:r w:rsidRPr="007B4794">
        <w:rPr>
          <w:rFonts w:eastAsia="宋体" w:cs="Arial" w:hint="eastAsia"/>
          <w:color w:val="000000" w:themeColor="text1"/>
          <w:sz w:val="21"/>
          <w:szCs w:val="21"/>
        </w:rPr>
        <w:t>四、项目操盘团队分析</w:t>
      </w:r>
      <w:bookmarkEnd w:id="53"/>
    </w:p>
    <w:p w14:paraId="5E679E66" w14:textId="77777777" w:rsidR="00EA047A" w:rsidRPr="007B4794" w:rsidRDefault="00EA047A" w:rsidP="00EA047A">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1</w:t>
      </w:r>
      <w:r w:rsidRPr="007B4794">
        <w:rPr>
          <w:rFonts w:ascii="Arial" w:hAnsi="Arial" w:cs="Arial" w:hint="eastAsia"/>
          <w:color w:val="000000" w:themeColor="text1"/>
          <w:sz w:val="21"/>
          <w:szCs w:val="21"/>
        </w:rPr>
        <w:t>、工商信息</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844"/>
        <w:gridCol w:w="7455"/>
      </w:tblGrid>
      <w:tr w:rsidR="00EA047A" w:rsidRPr="007B4794" w14:paraId="113A4A15" w14:textId="77777777" w:rsidTr="00432972">
        <w:trPr>
          <w:trHeight w:val="283"/>
          <w:jc w:val="center"/>
        </w:trPr>
        <w:tc>
          <w:tcPr>
            <w:tcW w:w="1844" w:type="dxa"/>
            <w:tcBorders>
              <w:top w:val="single" w:sz="12" w:space="0" w:color="auto"/>
              <w:left w:val="nil"/>
              <w:right w:val="single" w:sz="12" w:space="0" w:color="auto"/>
            </w:tcBorders>
            <w:shd w:val="clear" w:color="auto" w:fill="auto"/>
            <w:noWrap/>
            <w:vAlign w:val="center"/>
          </w:tcPr>
          <w:p w14:paraId="53D728BB" w14:textId="77777777" w:rsidR="00EA047A" w:rsidRPr="007B4794" w:rsidRDefault="00EA047A" w:rsidP="00432972">
            <w:pPr>
              <w:widowControl w:val="0"/>
              <w:adjustRightInd w:val="0"/>
              <w:snapToGrid w:val="0"/>
              <w:jc w:val="both"/>
              <w:rPr>
                <w:rFonts w:ascii="Arial" w:eastAsia="华文细黑" w:hAnsi="Arial" w:cs="Arial"/>
                <w:color w:val="000000" w:themeColor="text1"/>
                <w:sz w:val="18"/>
                <w:szCs w:val="18"/>
              </w:rPr>
            </w:pPr>
            <w:r w:rsidRPr="007B4794">
              <w:rPr>
                <w:rFonts w:ascii="Arial" w:eastAsia="华文细黑" w:hAnsi="Arial" w:cs="Arial" w:hint="eastAsia"/>
                <w:color w:val="000000" w:themeColor="text1"/>
                <w:sz w:val="18"/>
                <w:szCs w:val="18"/>
              </w:rPr>
              <w:t>名称</w:t>
            </w:r>
          </w:p>
        </w:tc>
        <w:tc>
          <w:tcPr>
            <w:tcW w:w="7455" w:type="dxa"/>
            <w:tcBorders>
              <w:top w:val="single" w:sz="12" w:space="0" w:color="auto"/>
              <w:left w:val="single" w:sz="12" w:space="0" w:color="auto"/>
              <w:right w:val="nil"/>
            </w:tcBorders>
            <w:shd w:val="clear" w:color="auto" w:fill="auto"/>
            <w:noWrap/>
            <w:vAlign w:val="center"/>
          </w:tcPr>
          <w:p w14:paraId="00427976" w14:textId="77777777" w:rsidR="00EA047A" w:rsidRPr="007B4794" w:rsidRDefault="00EA047A" w:rsidP="00432972">
            <w:pPr>
              <w:widowControl w:val="0"/>
              <w:adjustRightInd w:val="0"/>
              <w:snapToGrid w:val="0"/>
              <w:jc w:val="both"/>
              <w:rPr>
                <w:rFonts w:ascii="Arial" w:eastAsia="华文细黑" w:hAnsi="Arial" w:cs="Arial"/>
                <w:color w:val="000000" w:themeColor="text1"/>
                <w:sz w:val="18"/>
                <w:szCs w:val="18"/>
              </w:rPr>
            </w:pPr>
            <w:r w:rsidRPr="007B4794">
              <w:rPr>
                <w:rFonts w:ascii="Arial" w:eastAsia="华文细黑" w:hAnsi="Arial" w:cs="Arial" w:hint="eastAsia"/>
                <w:color w:val="000000" w:themeColor="text1"/>
                <w:sz w:val="18"/>
                <w:szCs w:val="18"/>
              </w:rPr>
              <w:t>奥园集团有限公司</w:t>
            </w:r>
          </w:p>
        </w:tc>
      </w:tr>
      <w:tr w:rsidR="00EA047A" w:rsidRPr="007B4794" w14:paraId="18796BA2" w14:textId="77777777" w:rsidTr="00432972">
        <w:trPr>
          <w:trHeight w:val="283"/>
          <w:jc w:val="center"/>
        </w:trPr>
        <w:tc>
          <w:tcPr>
            <w:tcW w:w="1844" w:type="dxa"/>
            <w:tcBorders>
              <w:top w:val="single" w:sz="12" w:space="0" w:color="auto"/>
              <w:left w:val="nil"/>
              <w:right w:val="single" w:sz="12" w:space="0" w:color="auto"/>
            </w:tcBorders>
            <w:shd w:val="clear" w:color="auto" w:fill="auto"/>
            <w:noWrap/>
            <w:vAlign w:val="center"/>
          </w:tcPr>
          <w:p w14:paraId="0438D389" w14:textId="77777777" w:rsidR="00EA047A" w:rsidRPr="007B4794" w:rsidRDefault="00EA047A" w:rsidP="00432972">
            <w:pPr>
              <w:widowControl w:val="0"/>
              <w:adjustRightInd w:val="0"/>
              <w:snapToGrid w:val="0"/>
              <w:jc w:val="both"/>
              <w:rPr>
                <w:rFonts w:ascii="Arial" w:eastAsia="华文细黑" w:hAnsi="Arial" w:cs="Arial"/>
                <w:color w:val="000000" w:themeColor="text1"/>
                <w:sz w:val="18"/>
                <w:szCs w:val="18"/>
              </w:rPr>
            </w:pPr>
            <w:r w:rsidRPr="007B4794">
              <w:rPr>
                <w:rFonts w:ascii="Arial" w:eastAsia="华文细黑" w:hAnsi="Arial" w:cs="Arial" w:hint="eastAsia"/>
                <w:color w:val="000000" w:themeColor="text1"/>
                <w:sz w:val="18"/>
                <w:szCs w:val="18"/>
              </w:rPr>
              <w:t>统一社会信用代码</w:t>
            </w:r>
          </w:p>
        </w:tc>
        <w:tc>
          <w:tcPr>
            <w:tcW w:w="7455" w:type="dxa"/>
            <w:tcBorders>
              <w:top w:val="single" w:sz="12" w:space="0" w:color="auto"/>
              <w:left w:val="single" w:sz="12" w:space="0" w:color="auto"/>
              <w:right w:val="nil"/>
            </w:tcBorders>
            <w:shd w:val="clear" w:color="auto" w:fill="auto"/>
            <w:noWrap/>
            <w:vAlign w:val="center"/>
          </w:tcPr>
          <w:p w14:paraId="1317F0B1" w14:textId="77777777" w:rsidR="00EA047A" w:rsidRPr="007B4794" w:rsidRDefault="00EA047A" w:rsidP="00432972">
            <w:pPr>
              <w:widowControl w:val="0"/>
              <w:adjustRightInd w:val="0"/>
              <w:snapToGrid w:val="0"/>
              <w:jc w:val="both"/>
              <w:rPr>
                <w:rFonts w:ascii="Arial" w:eastAsia="华文细黑" w:hAnsi="Arial" w:cs="Arial"/>
                <w:color w:val="000000" w:themeColor="text1"/>
                <w:sz w:val="18"/>
                <w:szCs w:val="18"/>
              </w:rPr>
            </w:pPr>
            <w:r w:rsidRPr="007B4794">
              <w:rPr>
                <w:rFonts w:ascii="Arial" w:eastAsia="华文细黑" w:hAnsi="Arial" w:cs="Arial"/>
                <w:color w:val="000000" w:themeColor="text1"/>
                <w:sz w:val="18"/>
                <w:szCs w:val="18"/>
              </w:rPr>
              <w:t>91440101707660360J</w:t>
            </w:r>
          </w:p>
        </w:tc>
      </w:tr>
      <w:tr w:rsidR="00EA047A" w:rsidRPr="007B4794" w14:paraId="5FD58581" w14:textId="77777777" w:rsidTr="00432972">
        <w:trPr>
          <w:trHeight w:val="283"/>
          <w:jc w:val="center"/>
        </w:trPr>
        <w:tc>
          <w:tcPr>
            <w:tcW w:w="1844" w:type="dxa"/>
            <w:tcBorders>
              <w:left w:val="nil"/>
              <w:bottom w:val="nil"/>
              <w:right w:val="single" w:sz="12" w:space="0" w:color="auto"/>
            </w:tcBorders>
            <w:shd w:val="clear" w:color="auto" w:fill="auto"/>
            <w:noWrap/>
            <w:vAlign w:val="center"/>
          </w:tcPr>
          <w:p w14:paraId="0522EDC5" w14:textId="77777777" w:rsidR="00EA047A" w:rsidRPr="007B4794" w:rsidRDefault="00EA047A" w:rsidP="00432972">
            <w:pPr>
              <w:widowControl w:val="0"/>
              <w:adjustRightInd w:val="0"/>
              <w:snapToGrid w:val="0"/>
              <w:jc w:val="both"/>
              <w:rPr>
                <w:rFonts w:ascii="Arial" w:eastAsia="华文细黑" w:hAnsi="Arial" w:cs="Arial"/>
                <w:color w:val="000000" w:themeColor="text1"/>
                <w:sz w:val="18"/>
                <w:szCs w:val="18"/>
              </w:rPr>
            </w:pPr>
            <w:r w:rsidRPr="007B4794">
              <w:rPr>
                <w:rFonts w:ascii="Arial" w:eastAsia="华文细黑" w:hAnsi="Arial" w:cs="Arial" w:hint="eastAsia"/>
                <w:color w:val="000000" w:themeColor="text1"/>
                <w:sz w:val="18"/>
                <w:szCs w:val="18"/>
              </w:rPr>
              <w:t>类型</w:t>
            </w:r>
          </w:p>
        </w:tc>
        <w:tc>
          <w:tcPr>
            <w:tcW w:w="7455" w:type="dxa"/>
            <w:tcBorders>
              <w:left w:val="single" w:sz="12" w:space="0" w:color="auto"/>
              <w:bottom w:val="nil"/>
              <w:right w:val="nil"/>
            </w:tcBorders>
            <w:shd w:val="clear" w:color="auto" w:fill="auto"/>
            <w:noWrap/>
            <w:vAlign w:val="center"/>
          </w:tcPr>
          <w:p w14:paraId="280841EA" w14:textId="77777777" w:rsidR="00EA047A" w:rsidRPr="007B4794" w:rsidRDefault="00EA047A" w:rsidP="00432972">
            <w:pPr>
              <w:widowControl w:val="0"/>
              <w:adjustRightInd w:val="0"/>
              <w:snapToGrid w:val="0"/>
              <w:jc w:val="both"/>
              <w:rPr>
                <w:rFonts w:ascii="Arial" w:eastAsia="华文细黑" w:hAnsi="Arial" w:cs="Arial"/>
                <w:color w:val="000000" w:themeColor="text1"/>
                <w:sz w:val="18"/>
                <w:szCs w:val="18"/>
              </w:rPr>
            </w:pPr>
            <w:r w:rsidRPr="007B4794">
              <w:rPr>
                <w:rFonts w:ascii="Arial" w:eastAsia="华文细黑" w:hAnsi="Arial" w:cs="Arial" w:hint="eastAsia"/>
                <w:color w:val="000000" w:themeColor="text1"/>
                <w:sz w:val="18"/>
                <w:szCs w:val="18"/>
              </w:rPr>
              <w:t>有限责任公司</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中外合资</w:t>
            </w:r>
            <w:r w:rsidRPr="007B4794">
              <w:rPr>
                <w:rFonts w:ascii="Arial" w:eastAsia="华文细黑" w:hAnsi="Arial" w:cs="Arial"/>
                <w:color w:val="000000" w:themeColor="text1"/>
                <w:sz w:val="18"/>
                <w:szCs w:val="18"/>
              </w:rPr>
              <w:t>)</w:t>
            </w:r>
          </w:p>
        </w:tc>
      </w:tr>
      <w:tr w:rsidR="00EA047A" w:rsidRPr="007B4794" w14:paraId="3FD63AFA" w14:textId="77777777" w:rsidTr="00432972">
        <w:trPr>
          <w:trHeight w:val="283"/>
          <w:jc w:val="center"/>
        </w:trPr>
        <w:tc>
          <w:tcPr>
            <w:tcW w:w="1844" w:type="dxa"/>
            <w:tcBorders>
              <w:top w:val="nil"/>
              <w:left w:val="nil"/>
              <w:bottom w:val="nil"/>
              <w:right w:val="single" w:sz="12" w:space="0" w:color="auto"/>
            </w:tcBorders>
            <w:shd w:val="clear" w:color="auto" w:fill="auto"/>
            <w:noWrap/>
            <w:vAlign w:val="center"/>
          </w:tcPr>
          <w:p w14:paraId="1D6F8D91" w14:textId="77777777" w:rsidR="00EA047A" w:rsidRPr="007B4794" w:rsidRDefault="00EA047A" w:rsidP="00432972">
            <w:pPr>
              <w:widowControl w:val="0"/>
              <w:adjustRightInd w:val="0"/>
              <w:snapToGrid w:val="0"/>
              <w:jc w:val="both"/>
              <w:rPr>
                <w:rFonts w:ascii="Arial" w:eastAsia="华文细黑" w:hAnsi="Arial" w:cs="Arial"/>
                <w:color w:val="000000" w:themeColor="text1"/>
                <w:sz w:val="18"/>
                <w:szCs w:val="18"/>
              </w:rPr>
            </w:pPr>
            <w:r w:rsidRPr="007B4794">
              <w:rPr>
                <w:rFonts w:ascii="Arial" w:eastAsia="华文细黑" w:hAnsi="Arial" w:cs="Arial" w:hint="eastAsia"/>
                <w:color w:val="000000" w:themeColor="text1"/>
                <w:sz w:val="18"/>
                <w:szCs w:val="18"/>
              </w:rPr>
              <w:t>企业地址</w:t>
            </w:r>
          </w:p>
        </w:tc>
        <w:tc>
          <w:tcPr>
            <w:tcW w:w="7455" w:type="dxa"/>
            <w:tcBorders>
              <w:top w:val="nil"/>
              <w:left w:val="single" w:sz="12" w:space="0" w:color="auto"/>
              <w:bottom w:val="nil"/>
              <w:right w:val="nil"/>
            </w:tcBorders>
            <w:shd w:val="clear" w:color="auto" w:fill="auto"/>
            <w:noWrap/>
            <w:vAlign w:val="center"/>
          </w:tcPr>
          <w:p w14:paraId="5B96B623" w14:textId="77777777" w:rsidR="00EA047A" w:rsidRPr="007B4794" w:rsidRDefault="00EA047A" w:rsidP="00432972">
            <w:pPr>
              <w:widowControl w:val="0"/>
              <w:adjustRightInd w:val="0"/>
              <w:snapToGrid w:val="0"/>
              <w:jc w:val="both"/>
              <w:rPr>
                <w:rFonts w:ascii="Arial" w:eastAsia="华文细黑" w:hAnsi="Arial" w:cs="Arial"/>
                <w:color w:val="000000" w:themeColor="text1"/>
                <w:sz w:val="18"/>
                <w:szCs w:val="18"/>
              </w:rPr>
            </w:pPr>
            <w:r w:rsidRPr="007B4794">
              <w:rPr>
                <w:rFonts w:ascii="Arial" w:eastAsia="华文细黑" w:hAnsi="Arial" w:cs="Arial" w:hint="eastAsia"/>
                <w:color w:val="000000" w:themeColor="text1"/>
                <w:sz w:val="18"/>
                <w:szCs w:val="18"/>
              </w:rPr>
              <w:t>广州市番禺区南村镇万惠一路</w:t>
            </w:r>
            <w:r w:rsidRPr="007B4794">
              <w:rPr>
                <w:rFonts w:ascii="Arial" w:eastAsia="华文细黑" w:hAnsi="Arial" w:cs="Arial"/>
                <w:color w:val="000000" w:themeColor="text1"/>
                <w:sz w:val="18"/>
                <w:szCs w:val="18"/>
              </w:rPr>
              <w:t>48</w:t>
            </w:r>
            <w:r w:rsidRPr="007B4794">
              <w:rPr>
                <w:rFonts w:ascii="Arial" w:eastAsia="华文细黑" w:hAnsi="Arial" w:cs="Arial"/>
                <w:color w:val="000000" w:themeColor="text1"/>
                <w:sz w:val="18"/>
                <w:szCs w:val="18"/>
              </w:rPr>
              <w:t>号</w:t>
            </w:r>
            <w:r w:rsidRPr="007B4794">
              <w:rPr>
                <w:rFonts w:ascii="Arial" w:eastAsia="华文细黑" w:hAnsi="Arial" w:cs="Arial"/>
                <w:color w:val="000000" w:themeColor="text1"/>
                <w:sz w:val="18"/>
                <w:szCs w:val="18"/>
              </w:rPr>
              <w:t>2302</w:t>
            </w:r>
          </w:p>
        </w:tc>
      </w:tr>
      <w:tr w:rsidR="00EA047A" w:rsidRPr="007B4794" w14:paraId="519BB856" w14:textId="77777777" w:rsidTr="00432972">
        <w:trPr>
          <w:trHeight w:val="283"/>
          <w:jc w:val="center"/>
        </w:trPr>
        <w:tc>
          <w:tcPr>
            <w:tcW w:w="1844" w:type="dxa"/>
            <w:tcBorders>
              <w:top w:val="nil"/>
              <w:left w:val="nil"/>
              <w:bottom w:val="nil"/>
              <w:right w:val="single" w:sz="12" w:space="0" w:color="auto"/>
            </w:tcBorders>
            <w:shd w:val="clear" w:color="auto" w:fill="auto"/>
            <w:noWrap/>
            <w:vAlign w:val="center"/>
          </w:tcPr>
          <w:p w14:paraId="18A14FA1" w14:textId="77777777" w:rsidR="00EA047A" w:rsidRPr="007B4794" w:rsidRDefault="00EA047A" w:rsidP="00432972">
            <w:pPr>
              <w:widowControl w:val="0"/>
              <w:adjustRightInd w:val="0"/>
              <w:snapToGrid w:val="0"/>
              <w:jc w:val="both"/>
              <w:rPr>
                <w:rFonts w:ascii="Arial" w:eastAsia="华文细黑" w:hAnsi="Arial" w:cs="Arial"/>
                <w:color w:val="000000" w:themeColor="text1"/>
                <w:sz w:val="18"/>
                <w:szCs w:val="18"/>
              </w:rPr>
            </w:pPr>
            <w:r w:rsidRPr="007B4794">
              <w:rPr>
                <w:rFonts w:ascii="Arial" w:eastAsia="华文细黑" w:hAnsi="Arial" w:cs="Arial" w:hint="eastAsia"/>
                <w:color w:val="000000" w:themeColor="text1"/>
                <w:sz w:val="18"/>
                <w:szCs w:val="18"/>
              </w:rPr>
              <w:t>法定代表人</w:t>
            </w:r>
          </w:p>
        </w:tc>
        <w:tc>
          <w:tcPr>
            <w:tcW w:w="7455" w:type="dxa"/>
            <w:tcBorders>
              <w:top w:val="nil"/>
              <w:left w:val="single" w:sz="12" w:space="0" w:color="auto"/>
              <w:bottom w:val="nil"/>
              <w:right w:val="nil"/>
            </w:tcBorders>
            <w:shd w:val="clear" w:color="auto" w:fill="auto"/>
            <w:noWrap/>
            <w:vAlign w:val="center"/>
          </w:tcPr>
          <w:p w14:paraId="7F789FE9" w14:textId="77777777" w:rsidR="00EA047A" w:rsidRPr="007B4794" w:rsidRDefault="00EA047A" w:rsidP="00432972">
            <w:pPr>
              <w:widowControl w:val="0"/>
              <w:adjustRightInd w:val="0"/>
              <w:snapToGrid w:val="0"/>
              <w:jc w:val="both"/>
              <w:rPr>
                <w:rFonts w:ascii="Arial" w:eastAsia="华文细黑" w:hAnsi="Arial" w:cs="Arial"/>
                <w:color w:val="000000" w:themeColor="text1"/>
                <w:sz w:val="18"/>
                <w:szCs w:val="18"/>
              </w:rPr>
            </w:pPr>
            <w:r w:rsidRPr="007B4794">
              <w:rPr>
                <w:rFonts w:ascii="Arial" w:eastAsia="华文细黑" w:hAnsi="Arial" w:cs="Arial" w:hint="eastAsia"/>
                <w:color w:val="000000" w:themeColor="text1"/>
                <w:sz w:val="18"/>
                <w:szCs w:val="18"/>
              </w:rPr>
              <w:t>郭梓宁</w:t>
            </w:r>
          </w:p>
        </w:tc>
      </w:tr>
      <w:tr w:rsidR="00EA047A" w:rsidRPr="007B4794" w14:paraId="3FE66F1E" w14:textId="77777777" w:rsidTr="00432972">
        <w:trPr>
          <w:trHeight w:val="283"/>
          <w:jc w:val="center"/>
        </w:trPr>
        <w:tc>
          <w:tcPr>
            <w:tcW w:w="1844" w:type="dxa"/>
            <w:tcBorders>
              <w:top w:val="nil"/>
              <w:left w:val="nil"/>
              <w:bottom w:val="nil"/>
              <w:right w:val="single" w:sz="12" w:space="0" w:color="auto"/>
            </w:tcBorders>
            <w:shd w:val="clear" w:color="auto" w:fill="auto"/>
            <w:noWrap/>
            <w:vAlign w:val="center"/>
          </w:tcPr>
          <w:p w14:paraId="5DFB9D79" w14:textId="77777777" w:rsidR="00EA047A" w:rsidRPr="007B4794" w:rsidRDefault="00EA047A" w:rsidP="00432972">
            <w:pPr>
              <w:widowControl w:val="0"/>
              <w:adjustRightInd w:val="0"/>
              <w:snapToGrid w:val="0"/>
              <w:jc w:val="both"/>
              <w:rPr>
                <w:rFonts w:ascii="Arial" w:eastAsia="华文细黑" w:hAnsi="Arial" w:cs="Arial"/>
                <w:color w:val="000000" w:themeColor="text1"/>
                <w:sz w:val="18"/>
                <w:szCs w:val="18"/>
              </w:rPr>
            </w:pPr>
            <w:r w:rsidRPr="007B4794">
              <w:rPr>
                <w:rFonts w:ascii="Arial" w:eastAsia="华文细黑" w:hAnsi="Arial" w:cs="Arial" w:hint="eastAsia"/>
                <w:color w:val="000000" w:themeColor="text1"/>
                <w:sz w:val="18"/>
                <w:szCs w:val="18"/>
              </w:rPr>
              <w:t>注册资本</w:t>
            </w:r>
          </w:p>
        </w:tc>
        <w:tc>
          <w:tcPr>
            <w:tcW w:w="7455" w:type="dxa"/>
            <w:tcBorders>
              <w:top w:val="nil"/>
              <w:left w:val="single" w:sz="12" w:space="0" w:color="auto"/>
              <w:bottom w:val="nil"/>
              <w:right w:val="nil"/>
            </w:tcBorders>
            <w:shd w:val="clear" w:color="auto" w:fill="auto"/>
            <w:noWrap/>
            <w:vAlign w:val="center"/>
          </w:tcPr>
          <w:p w14:paraId="18D509D2" w14:textId="77777777" w:rsidR="00EA047A" w:rsidRPr="007B4794" w:rsidRDefault="00EA047A" w:rsidP="00432972">
            <w:pPr>
              <w:widowControl w:val="0"/>
              <w:adjustRightInd w:val="0"/>
              <w:snapToGrid w:val="0"/>
              <w:jc w:val="both"/>
              <w:rPr>
                <w:rFonts w:ascii="Arial" w:eastAsia="华文细黑" w:hAnsi="Arial" w:cs="Arial"/>
                <w:color w:val="000000" w:themeColor="text1"/>
                <w:sz w:val="18"/>
                <w:szCs w:val="18"/>
              </w:rPr>
            </w:pPr>
            <w:r w:rsidRPr="007B4794">
              <w:rPr>
                <w:rFonts w:ascii="Arial" w:eastAsia="华文细黑" w:hAnsi="Arial" w:cs="Arial"/>
                <w:color w:val="000000" w:themeColor="text1"/>
                <w:sz w:val="18"/>
                <w:szCs w:val="18"/>
              </w:rPr>
              <w:t>611000</w:t>
            </w:r>
            <w:r w:rsidRPr="007B4794">
              <w:rPr>
                <w:rFonts w:ascii="Arial" w:eastAsia="华文细黑" w:hAnsi="Arial" w:cs="Arial" w:hint="eastAsia"/>
                <w:color w:val="000000" w:themeColor="text1"/>
                <w:sz w:val="18"/>
                <w:szCs w:val="18"/>
              </w:rPr>
              <w:t>万元人民币</w:t>
            </w:r>
          </w:p>
        </w:tc>
      </w:tr>
      <w:tr w:rsidR="00EA047A" w:rsidRPr="007B4794" w14:paraId="76C3AAF7" w14:textId="77777777" w:rsidTr="00432972">
        <w:trPr>
          <w:trHeight w:val="283"/>
          <w:jc w:val="center"/>
        </w:trPr>
        <w:tc>
          <w:tcPr>
            <w:tcW w:w="1844" w:type="dxa"/>
            <w:tcBorders>
              <w:top w:val="nil"/>
              <w:left w:val="nil"/>
              <w:bottom w:val="nil"/>
              <w:right w:val="single" w:sz="12" w:space="0" w:color="auto"/>
            </w:tcBorders>
            <w:shd w:val="clear" w:color="auto" w:fill="auto"/>
            <w:noWrap/>
            <w:vAlign w:val="center"/>
          </w:tcPr>
          <w:p w14:paraId="0641A3B9" w14:textId="77777777" w:rsidR="00EA047A" w:rsidRPr="007B4794" w:rsidRDefault="00EA047A" w:rsidP="00432972">
            <w:pPr>
              <w:widowControl w:val="0"/>
              <w:adjustRightInd w:val="0"/>
              <w:snapToGrid w:val="0"/>
              <w:jc w:val="both"/>
              <w:rPr>
                <w:rFonts w:ascii="Arial" w:eastAsia="华文细黑" w:hAnsi="Arial" w:cs="Arial"/>
                <w:color w:val="000000" w:themeColor="text1"/>
                <w:sz w:val="18"/>
                <w:szCs w:val="18"/>
              </w:rPr>
            </w:pPr>
            <w:r w:rsidRPr="007B4794">
              <w:rPr>
                <w:rFonts w:ascii="Arial" w:eastAsia="华文细黑" w:hAnsi="Arial" w:cs="Arial" w:hint="eastAsia"/>
                <w:color w:val="000000" w:themeColor="text1"/>
                <w:sz w:val="18"/>
                <w:szCs w:val="18"/>
              </w:rPr>
              <w:t>成立日期</w:t>
            </w:r>
          </w:p>
        </w:tc>
        <w:tc>
          <w:tcPr>
            <w:tcW w:w="7455" w:type="dxa"/>
            <w:tcBorders>
              <w:top w:val="nil"/>
              <w:left w:val="single" w:sz="12" w:space="0" w:color="auto"/>
              <w:bottom w:val="nil"/>
              <w:right w:val="nil"/>
            </w:tcBorders>
            <w:shd w:val="clear" w:color="auto" w:fill="auto"/>
            <w:noWrap/>
            <w:vAlign w:val="center"/>
          </w:tcPr>
          <w:p w14:paraId="1F32B12C" w14:textId="77777777" w:rsidR="00EA047A" w:rsidRPr="007B4794" w:rsidRDefault="00EA047A" w:rsidP="00432972">
            <w:pPr>
              <w:widowControl w:val="0"/>
              <w:adjustRightInd w:val="0"/>
              <w:snapToGrid w:val="0"/>
              <w:jc w:val="both"/>
              <w:rPr>
                <w:rFonts w:ascii="Arial" w:eastAsia="华文细黑" w:hAnsi="Arial" w:cs="Arial"/>
                <w:color w:val="000000" w:themeColor="text1"/>
                <w:sz w:val="18"/>
                <w:szCs w:val="18"/>
              </w:rPr>
            </w:pPr>
            <w:r w:rsidRPr="007B4794">
              <w:rPr>
                <w:rFonts w:ascii="Arial" w:eastAsia="华文细黑" w:hAnsi="Arial" w:cs="Arial"/>
                <w:color w:val="000000" w:themeColor="text1"/>
                <w:sz w:val="18"/>
                <w:szCs w:val="18"/>
              </w:rPr>
              <w:t>1998</w:t>
            </w:r>
            <w:r w:rsidRPr="007B4794">
              <w:rPr>
                <w:rFonts w:ascii="Arial" w:eastAsia="华文细黑" w:hAnsi="Arial" w:cs="Arial"/>
                <w:color w:val="000000" w:themeColor="text1"/>
                <w:sz w:val="18"/>
                <w:szCs w:val="18"/>
              </w:rPr>
              <w:t>年</w:t>
            </w:r>
            <w:r w:rsidRPr="007B4794">
              <w:rPr>
                <w:rFonts w:ascii="Arial" w:eastAsia="华文细黑" w:hAnsi="Arial" w:cs="Arial"/>
                <w:color w:val="000000" w:themeColor="text1"/>
                <w:sz w:val="18"/>
                <w:szCs w:val="18"/>
              </w:rPr>
              <w:t>05</w:t>
            </w:r>
            <w:r w:rsidRPr="007B4794">
              <w:rPr>
                <w:rFonts w:ascii="Arial" w:eastAsia="华文细黑" w:hAnsi="Arial" w:cs="Arial"/>
                <w:color w:val="000000" w:themeColor="text1"/>
                <w:sz w:val="18"/>
                <w:szCs w:val="18"/>
              </w:rPr>
              <w:t>月</w:t>
            </w:r>
            <w:r w:rsidRPr="007B4794">
              <w:rPr>
                <w:rFonts w:ascii="Arial" w:eastAsia="华文细黑" w:hAnsi="Arial" w:cs="Arial"/>
                <w:color w:val="000000" w:themeColor="text1"/>
                <w:sz w:val="18"/>
                <w:szCs w:val="18"/>
              </w:rPr>
              <w:t>11</w:t>
            </w:r>
            <w:r w:rsidRPr="007B4794">
              <w:rPr>
                <w:rFonts w:ascii="Arial" w:eastAsia="华文细黑" w:hAnsi="Arial" w:cs="Arial"/>
                <w:color w:val="000000" w:themeColor="text1"/>
                <w:sz w:val="18"/>
                <w:szCs w:val="18"/>
              </w:rPr>
              <w:t>日</w:t>
            </w:r>
          </w:p>
        </w:tc>
      </w:tr>
      <w:tr w:rsidR="00EA047A" w:rsidRPr="007B4794" w14:paraId="5701A7DC" w14:textId="77777777" w:rsidTr="00432972">
        <w:trPr>
          <w:trHeight w:val="283"/>
          <w:jc w:val="center"/>
        </w:trPr>
        <w:tc>
          <w:tcPr>
            <w:tcW w:w="1844" w:type="dxa"/>
            <w:tcBorders>
              <w:top w:val="nil"/>
              <w:left w:val="nil"/>
              <w:bottom w:val="single" w:sz="12" w:space="0" w:color="auto"/>
              <w:right w:val="single" w:sz="12" w:space="0" w:color="auto"/>
            </w:tcBorders>
            <w:shd w:val="clear" w:color="auto" w:fill="auto"/>
            <w:noWrap/>
            <w:vAlign w:val="center"/>
          </w:tcPr>
          <w:p w14:paraId="4B82B898" w14:textId="77777777" w:rsidR="00EA047A" w:rsidRPr="007B4794" w:rsidRDefault="00EA047A" w:rsidP="00432972">
            <w:pPr>
              <w:widowControl w:val="0"/>
              <w:adjustRightInd w:val="0"/>
              <w:snapToGrid w:val="0"/>
              <w:jc w:val="both"/>
              <w:rPr>
                <w:rFonts w:ascii="Arial" w:eastAsia="华文细黑" w:hAnsi="Arial" w:cs="Arial"/>
                <w:color w:val="000000" w:themeColor="text1"/>
                <w:sz w:val="18"/>
                <w:szCs w:val="18"/>
              </w:rPr>
            </w:pPr>
            <w:r w:rsidRPr="007B4794">
              <w:rPr>
                <w:rFonts w:ascii="Arial" w:eastAsia="华文细黑" w:hAnsi="Arial" w:cs="Arial" w:hint="eastAsia"/>
                <w:color w:val="000000" w:themeColor="text1"/>
                <w:sz w:val="18"/>
                <w:szCs w:val="18"/>
              </w:rPr>
              <w:t>经营范围</w:t>
            </w:r>
          </w:p>
        </w:tc>
        <w:tc>
          <w:tcPr>
            <w:tcW w:w="7455" w:type="dxa"/>
            <w:tcBorders>
              <w:top w:val="nil"/>
              <w:left w:val="single" w:sz="12" w:space="0" w:color="auto"/>
              <w:bottom w:val="single" w:sz="12" w:space="0" w:color="auto"/>
              <w:right w:val="nil"/>
            </w:tcBorders>
            <w:shd w:val="clear" w:color="auto" w:fill="auto"/>
            <w:noWrap/>
            <w:vAlign w:val="center"/>
          </w:tcPr>
          <w:p w14:paraId="70F08A97" w14:textId="77777777" w:rsidR="00EA047A" w:rsidRPr="007B4794" w:rsidRDefault="00EA047A" w:rsidP="00432972">
            <w:pPr>
              <w:widowControl w:val="0"/>
              <w:adjustRightInd w:val="0"/>
              <w:snapToGrid w:val="0"/>
              <w:jc w:val="both"/>
              <w:rPr>
                <w:rFonts w:ascii="Arial" w:eastAsia="华文细黑" w:hAnsi="Arial" w:cs="Arial"/>
                <w:color w:val="000000" w:themeColor="text1"/>
                <w:sz w:val="18"/>
                <w:szCs w:val="18"/>
              </w:rPr>
            </w:pPr>
            <w:r w:rsidRPr="007B4794">
              <w:rPr>
                <w:rFonts w:ascii="Arial" w:eastAsia="华文细黑" w:hAnsi="Arial" w:cs="Arial" w:hint="eastAsia"/>
                <w:color w:val="000000" w:themeColor="text1"/>
                <w:sz w:val="18"/>
                <w:szCs w:val="18"/>
              </w:rPr>
              <w:t>房地产开发经营（主题公园，别墅除外）</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商品批发贸易（涉及外资准入特别管理规定和许可审批的商品除外）</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商品零售贸易</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涉及外资准入特别管理规定和许可审批的商品除外</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互联网商品销售（许可审批类商品除外）</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酒店管理</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餐饮管理</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向游客提供旅游、交通、住宿、餐饮等代理服务（不涉及旅行社业务）</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大型活动组织策划服务（大型活动指晚会、运动会、庆典、艺术和模特大赛、艺术节、电影节及公益演出、展览等，需专项审批的活动应在取得审批后方可经营，演出经纪机构除外）</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投资咨询服务</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商品信息咨询服务</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企业形象策划服务</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体育运动咨询服务</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体育、休闲娱乐工程设计服务</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体育组织</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室外体育设施工程施工</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室内体育场、娱乐设施工程服务</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竞技体育科技服务</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体育工程科技服务</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体育器材装备安装服务</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体育用品及器材批发</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体育用品及器材零售</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营养健康咨询服务</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养老产业投资、开发</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健康科学项目研究、开发</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健康科学项目研究成果技术推广</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科技信息咨询服务</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科技项目代理服务</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企业管理咨询服务</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贸易咨询服务</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网络技术的研究、开发</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计算机技术开发、技术服务</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教育咨询服务</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物业管理</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房地产中介服务</w:t>
            </w:r>
            <w:r w:rsidRPr="007B4794">
              <w:rPr>
                <w:rFonts w:ascii="Arial" w:eastAsia="华文细黑" w:hAnsi="Arial" w:cs="Arial"/>
                <w:color w:val="000000" w:themeColor="text1"/>
                <w:sz w:val="18"/>
                <w:szCs w:val="18"/>
              </w:rPr>
              <w:t>;</w:t>
            </w:r>
            <w:r w:rsidRPr="007B4794">
              <w:rPr>
                <w:rFonts w:ascii="Arial" w:eastAsia="华文细黑" w:hAnsi="Arial" w:cs="Arial"/>
                <w:color w:val="000000" w:themeColor="text1"/>
                <w:sz w:val="18"/>
                <w:szCs w:val="18"/>
              </w:rPr>
              <w:t>房地产咨询服务</w:t>
            </w:r>
            <w:r w:rsidRPr="007B4794">
              <w:rPr>
                <w:rFonts w:ascii="Arial" w:eastAsia="华文细黑" w:hAnsi="Arial" w:cs="Arial"/>
                <w:color w:val="000000" w:themeColor="text1"/>
                <w:sz w:val="18"/>
                <w:szCs w:val="18"/>
              </w:rPr>
              <w:t>;</w:t>
            </w:r>
          </w:p>
        </w:tc>
      </w:tr>
    </w:tbl>
    <w:p w14:paraId="75917710" w14:textId="77777777" w:rsidR="00EA047A" w:rsidRPr="007B4794" w:rsidRDefault="00EA047A" w:rsidP="00EA047A">
      <w:pPr>
        <w:adjustRightInd w:val="0"/>
        <w:snapToGrid w:val="0"/>
        <w:spacing w:line="480" w:lineRule="auto"/>
        <w:ind w:firstLineChars="200" w:firstLine="200"/>
        <w:jc w:val="both"/>
        <w:rPr>
          <w:rFonts w:ascii="Arial" w:hAnsi="Arial" w:cs="Arial"/>
          <w:color w:val="000000" w:themeColor="text1"/>
          <w:sz w:val="10"/>
          <w:szCs w:val="10"/>
        </w:rPr>
      </w:pPr>
    </w:p>
    <w:p w14:paraId="6891A057" w14:textId="77777777" w:rsidR="00EA047A" w:rsidRPr="007B4794" w:rsidRDefault="00EA047A" w:rsidP="00EA047A">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2</w:t>
      </w:r>
      <w:r w:rsidRPr="007B4794">
        <w:rPr>
          <w:rFonts w:ascii="Arial" w:hAnsi="Arial" w:cs="Arial" w:hint="eastAsia"/>
          <w:color w:val="000000" w:themeColor="text1"/>
          <w:sz w:val="21"/>
          <w:szCs w:val="21"/>
        </w:rPr>
        <w:t>、公司简介</w:t>
      </w:r>
    </w:p>
    <w:p w14:paraId="35C1094A" w14:textId="77777777" w:rsidR="00EA047A" w:rsidRPr="007B4794" w:rsidRDefault="00EA047A" w:rsidP="00EA047A">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奥园集团有限公司成立于</w:t>
      </w:r>
      <w:r w:rsidRPr="007B4794">
        <w:rPr>
          <w:rFonts w:ascii="Arial" w:hAnsi="Arial" w:cs="Arial"/>
          <w:color w:val="000000" w:themeColor="text1"/>
          <w:sz w:val="21"/>
          <w:szCs w:val="21"/>
        </w:rPr>
        <w:t>1998</w:t>
      </w:r>
      <w:r w:rsidRPr="007B4794">
        <w:rPr>
          <w:rFonts w:ascii="Arial" w:hAnsi="Arial" w:cs="Arial"/>
          <w:color w:val="000000" w:themeColor="text1"/>
          <w:sz w:val="21"/>
          <w:szCs w:val="21"/>
        </w:rPr>
        <w:t>年</w:t>
      </w:r>
      <w:r w:rsidRPr="007B4794">
        <w:rPr>
          <w:rFonts w:ascii="Arial" w:hAnsi="Arial" w:cs="Arial"/>
          <w:color w:val="000000" w:themeColor="text1"/>
          <w:sz w:val="21"/>
          <w:szCs w:val="21"/>
        </w:rPr>
        <w:t>05</w:t>
      </w:r>
      <w:r w:rsidRPr="007B4794">
        <w:rPr>
          <w:rFonts w:ascii="Arial" w:hAnsi="Arial" w:cs="Arial"/>
          <w:color w:val="000000" w:themeColor="text1"/>
          <w:sz w:val="21"/>
          <w:szCs w:val="21"/>
        </w:rPr>
        <w:t>月</w:t>
      </w:r>
      <w:r w:rsidRPr="007B4794">
        <w:rPr>
          <w:rFonts w:ascii="Arial" w:hAnsi="Arial" w:cs="Arial"/>
          <w:color w:val="000000" w:themeColor="text1"/>
          <w:sz w:val="21"/>
          <w:szCs w:val="21"/>
        </w:rPr>
        <w:t>11</w:t>
      </w:r>
      <w:r w:rsidRPr="007B4794">
        <w:rPr>
          <w:rFonts w:ascii="Arial" w:hAnsi="Arial" w:cs="Arial"/>
          <w:color w:val="000000" w:themeColor="text1"/>
          <w:sz w:val="21"/>
          <w:szCs w:val="21"/>
        </w:rPr>
        <w:t>日，注册地位于广州市番禺区南村镇万惠一路</w:t>
      </w:r>
      <w:r w:rsidRPr="007B4794">
        <w:rPr>
          <w:rFonts w:ascii="Arial" w:hAnsi="Arial" w:cs="Arial"/>
          <w:color w:val="000000" w:themeColor="text1"/>
          <w:sz w:val="21"/>
          <w:szCs w:val="21"/>
        </w:rPr>
        <w:t>48</w:t>
      </w:r>
      <w:r w:rsidRPr="007B4794">
        <w:rPr>
          <w:rFonts w:ascii="Arial" w:hAnsi="Arial" w:cs="Arial"/>
          <w:color w:val="000000" w:themeColor="text1"/>
          <w:sz w:val="21"/>
          <w:szCs w:val="21"/>
        </w:rPr>
        <w:t>号</w:t>
      </w:r>
      <w:r w:rsidRPr="007B4794">
        <w:rPr>
          <w:rFonts w:ascii="Arial" w:hAnsi="Arial" w:cs="Arial"/>
          <w:color w:val="000000" w:themeColor="text1"/>
          <w:sz w:val="21"/>
          <w:szCs w:val="21"/>
        </w:rPr>
        <w:t>2302</w:t>
      </w:r>
      <w:r w:rsidRPr="007B4794">
        <w:rPr>
          <w:rFonts w:ascii="Arial" w:hAnsi="Arial" w:cs="Arial"/>
          <w:color w:val="000000" w:themeColor="text1"/>
          <w:sz w:val="21"/>
          <w:szCs w:val="21"/>
        </w:rPr>
        <w:t>，法定代表人为郭梓宁。经营范围包括房地产开发经营（主题公园，别墅除外）</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商品批发贸易（涉及外资准入特别管理规定和许可审批的商品除外）</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商品零售贸易</w:t>
      </w:r>
      <w:r w:rsidRPr="007B4794">
        <w:rPr>
          <w:rFonts w:ascii="Arial" w:hAnsi="Arial" w:cs="Arial"/>
          <w:color w:val="000000" w:themeColor="text1"/>
          <w:sz w:val="21"/>
          <w:szCs w:val="21"/>
        </w:rPr>
        <w:t>(</w:t>
      </w:r>
      <w:r w:rsidRPr="007B4794">
        <w:rPr>
          <w:rFonts w:ascii="Arial" w:hAnsi="Arial" w:cs="Arial"/>
          <w:color w:val="000000" w:themeColor="text1"/>
          <w:sz w:val="21"/>
          <w:szCs w:val="21"/>
        </w:rPr>
        <w:t>涉及外资准入特别管理规定和许可审批的商品除外</w:t>
      </w:r>
      <w:r w:rsidRPr="007B4794">
        <w:rPr>
          <w:rFonts w:ascii="Arial" w:hAnsi="Arial" w:cs="Arial"/>
          <w:color w:val="000000" w:themeColor="text1"/>
          <w:sz w:val="21"/>
          <w:szCs w:val="21"/>
        </w:rPr>
        <w:t>);</w:t>
      </w:r>
      <w:r w:rsidRPr="007B4794">
        <w:rPr>
          <w:rFonts w:ascii="Arial" w:hAnsi="Arial" w:cs="Arial"/>
          <w:color w:val="000000" w:themeColor="text1"/>
          <w:sz w:val="21"/>
          <w:szCs w:val="21"/>
        </w:rPr>
        <w:t>互联网商品销售（许可审批类商品除外）</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酒店管理</w:t>
      </w:r>
      <w:r w:rsidRPr="007B4794">
        <w:rPr>
          <w:rFonts w:ascii="Arial" w:hAnsi="Arial" w:cs="Arial"/>
          <w:color w:val="000000" w:themeColor="text1"/>
          <w:sz w:val="21"/>
          <w:szCs w:val="21"/>
        </w:rPr>
        <w:t>;</w:t>
      </w:r>
      <w:r w:rsidRPr="007B4794">
        <w:rPr>
          <w:rFonts w:ascii="Arial" w:hAnsi="Arial" w:cs="Arial"/>
          <w:color w:val="000000" w:themeColor="text1"/>
          <w:sz w:val="21"/>
          <w:szCs w:val="21"/>
        </w:rPr>
        <w:t>餐饮管理</w:t>
      </w:r>
      <w:r w:rsidRPr="007B4794">
        <w:rPr>
          <w:rFonts w:ascii="Arial" w:hAnsi="Arial" w:cs="Arial"/>
          <w:color w:val="000000" w:themeColor="text1"/>
          <w:sz w:val="21"/>
          <w:szCs w:val="21"/>
        </w:rPr>
        <w:t>;</w:t>
      </w:r>
      <w:r w:rsidRPr="007B4794">
        <w:rPr>
          <w:rFonts w:ascii="Arial" w:hAnsi="Arial" w:cs="Arial"/>
          <w:color w:val="000000" w:themeColor="text1"/>
          <w:sz w:val="21"/>
          <w:szCs w:val="21"/>
        </w:rPr>
        <w:t>向游客提供旅游、交通、住宿、餐饮等代理服务（不涉及旅行社业务）</w:t>
      </w:r>
      <w:r w:rsidRPr="007B4794">
        <w:rPr>
          <w:rFonts w:ascii="Arial" w:hAnsi="Arial" w:cs="Arial"/>
          <w:color w:val="000000" w:themeColor="text1"/>
          <w:sz w:val="21"/>
          <w:szCs w:val="21"/>
        </w:rPr>
        <w:t>;</w:t>
      </w:r>
      <w:r w:rsidRPr="007B4794">
        <w:rPr>
          <w:rFonts w:ascii="Arial" w:hAnsi="Arial" w:cs="Arial"/>
          <w:color w:val="000000" w:themeColor="text1"/>
          <w:sz w:val="21"/>
          <w:szCs w:val="21"/>
        </w:rPr>
        <w:t>大型活动组织策划服务（大型活动指晚会、运动</w:t>
      </w:r>
      <w:r w:rsidRPr="007B4794">
        <w:rPr>
          <w:rFonts w:ascii="Arial" w:hAnsi="Arial" w:cs="Arial"/>
          <w:color w:val="000000" w:themeColor="text1"/>
          <w:sz w:val="21"/>
          <w:szCs w:val="21"/>
        </w:rPr>
        <w:lastRenderedPageBreak/>
        <w:t>会、庆典、艺术和模特大赛、艺术节、电影节及公益演出、展览等，需专项审批的活动应在取得审批后方可经营，演出经纪机构除外）</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投资咨询服务</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商品信息咨询服务</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企业形象策划服务</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体育运动咨询服务</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体育、休闲娱乐工程设计服务</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体育组织</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室外体育设施工程施工</w:t>
      </w:r>
      <w:r w:rsidRPr="007B4794">
        <w:rPr>
          <w:rFonts w:ascii="Arial" w:hAnsi="Arial" w:cs="Arial"/>
          <w:color w:val="000000" w:themeColor="text1"/>
          <w:sz w:val="21"/>
          <w:szCs w:val="21"/>
        </w:rPr>
        <w:t>;</w:t>
      </w:r>
      <w:r w:rsidRPr="007B4794">
        <w:rPr>
          <w:rFonts w:ascii="Arial" w:hAnsi="Arial" w:cs="Arial"/>
          <w:color w:val="000000" w:themeColor="text1"/>
          <w:sz w:val="21"/>
          <w:szCs w:val="21"/>
        </w:rPr>
        <w:t>室内体育场、娱乐设施工程服务</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竞技体育科技服务</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体育工程科技服务</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体育器材装备安装服务</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体育用品及器材批发</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体育用品及器材零售</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营养健康咨询服务</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养老产业投资、开发</w:t>
      </w:r>
      <w:r w:rsidRPr="007B4794">
        <w:rPr>
          <w:rFonts w:ascii="Arial" w:hAnsi="Arial" w:cs="Arial"/>
          <w:color w:val="000000" w:themeColor="text1"/>
          <w:sz w:val="21"/>
          <w:szCs w:val="21"/>
        </w:rPr>
        <w:t>;</w:t>
      </w:r>
      <w:r w:rsidRPr="007B4794">
        <w:rPr>
          <w:rFonts w:ascii="Arial" w:hAnsi="Arial" w:cs="Arial"/>
          <w:color w:val="000000" w:themeColor="text1"/>
          <w:sz w:val="21"/>
          <w:szCs w:val="21"/>
        </w:rPr>
        <w:t>健康科学项目研究、开发</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健康科学项目研究成果技术推广</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科技信息咨询服务</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科技项目代理服务</w:t>
      </w:r>
      <w:r w:rsidRPr="007B4794">
        <w:rPr>
          <w:rFonts w:ascii="Arial" w:hAnsi="Arial" w:cs="Arial"/>
          <w:color w:val="000000" w:themeColor="text1"/>
          <w:sz w:val="21"/>
          <w:szCs w:val="21"/>
        </w:rPr>
        <w:t>;</w:t>
      </w:r>
      <w:r w:rsidRPr="007B4794">
        <w:rPr>
          <w:rFonts w:ascii="Arial" w:hAnsi="Arial" w:cs="Arial"/>
          <w:color w:val="000000" w:themeColor="text1"/>
          <w:sz w:val="21"/>
          <w:szCs w:val="21"/>
        </w:rPr>
        <w:t>企业管理咨询服务</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贸易咨询服务</w:t>
      </w:r>
      <w:r w:rsidRPr="007B4794">
        <w:rPr>
          <w:rFonts w:ascii="Arial" w:hAnsi="Arial" w:cs="Arial"/>
          <w:color w:val="000000" w:themeColor="text1"/>
          <w:sz w:val="21"/>
          <w:szCs w:val="21"/>
        </w:rPr>
        <w:t>;</w:t>
      </w:r>
      <w:r w:rsidRPr="007B4794">
        <w:rPr>
          <w:rFonts w:ascii="Arial" w:hAnsi="Arial" w:cs="Arial"/>
          <w:color w:val="000000" w:themeColor="text1"/>
          <w:sz w:val="21"/>
          <w:szCs w:val="21"/>
        </w:rPr>
        <w:t>网络技术的研究、开发</w:t>
      </w:r>
      <w:r w:rsidRPr="007B4794">
        <w:rPr>
          <w:rFonts w:ascii="Arial" w:hAnsi="Arial" w:cs="Arial"/>
          <w:color w:val="000000" w:themeColor="text1"/>
          <w:sz w:val="21"/>
          <w:szCs w:val="21"/>
        </w:rPr>
        <w:t>;</w:t>
      </w:r>
      <w:r w:rsidRPr="007B4794">
        <w:rPr>
          <w:rFonts w:ascii="Arial" w:hAnsi="Arial" w:cs="Arial"/>
          <w:color w:val="000000" w:themeColor="text1"/>
          <w:sz w:val="21"/>
          <w:szCs w:val="21"/>
        </w:rPr>
        <w:t>计算机技术开发、技术服务</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教育咨询服务</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物业管理</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房地产中介服务</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房地产咨询服务</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奥园集团有限公司对外投资</w:t>
      </w:r>
      <w:r w:rsidRPr="007B4794">
        <w:rPr>
          <w:rFonts w:ascii="Arial" w:hAnsi="Arial" w:cs="Arial"/>
          <w:color w:val="000000" w:themeColor="text1"/>
          <w:sz w:val="21"/>
          <w:szCs w:val="21"/>
        </w:rPr>
        <w:t>89</w:t>
      </w:r>
      <w:r w:rsidRPr="007B4794">
        <w:rPr>
          <w:rFonts w:ascii="Arial" w:hAnsi="Arial" w:cs="Arial"/>
          <w:color w:val="000000" w:themeColor="text1"/>
          <w:sz w:val="21"/>
          <w:szCs w:val="21"/>
        </w:rPr>
        <w:t>家公司，具有</w:t>
      </w:r>
      <w:r w:rsidRPr="007B4794">
        <w:rPr>
          <w:rFonts w:ascii="Arial" w:hAnsi="Arial" w:cs="Arial"/>
          <w:color w:val="000000" w:themeColor="text1"/>
          <w:sz w:val="21"/>
          <w:szCs w:val="21"/>
        </w:rPr>
        <w:t>3</w:t>
      </w:r>
      <w:r w:rsidRPr="007B4794">
        <w:rPr>
          <w:rFonts w:ascii="Arial" w:hAnsi="Arial" w:cs="Arial"/>
          <w:color w:val="000000" w:themeColor="text1"/>
          <w:sz w:val="21"/>
          <w:szCs w:val="21"/>
        </w:rPr>
        <w:t>处分支机构。</w:t>
      </w:r>
    </w:p>
    <w:p w14:paraId="498E3400" w14:textId="77777777" w:rsidR="00EA047A" w:rsidRPr="007B4794" w:rsidRDefault="00EA047A" w:rsidP="00EA047A">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3</w:t>
      </w:r>
      <w:r w:rsidRPr="007B4794">
        <w:rPr>
          <w:rFonts w:ascii="Arial" w:hAnsi="Arial" w:cs="Arial" w:hint="eastAsia"/>
          <w:color w:val="000000" w:themeColor="text1"/>
          <w:sz w:val="21"/>
          <w:szCs w:val="21"/>
        </w:rPr>
        <w:t>、历史沿革及股权结构</w:t>
      </w:r>
    </w:p>
    <w:p w14:paraId="6F6DAEDA" w14:textId="77777777" w:rsidR="00EA047A" w:rsidRPr="007B4794" w:rsidRDefault="00EA047A" w:rsidP="00EA047A">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奥园集团原名广东金业集团有限公司，于</w:t>
      </w:r>
      <w:r w:rsidRPr="007B4794">
        <w:rPr>
          <w:rFonts w:ascii="Arial" w:hAnsi="Arial" w:cs="Arial"/>
          <w:color w:val="000000" w:themeColor="text1"/>
          <w:sz w:val="21"/>
          <w:szCs w:val="21"/>
        </w:rPr>
        <w:t>1998</w:t>
      </w:r>
      <w:r w:rsidRPr="007B4794">
        <w:rPr>
          <w:rFonts w:ascii="Arial" w:hAnsi="Arial" w:cs="Arial"/>
          <w:color w:val="000000" w:themeColor="text1"/>
          <w:sz w:val="21"/>
          <w:szCs w:val="21"/>
        </w:rPr>
        <w:t>年</w:t>
      </w:r>
      <w:r w:rsidRPr="007B4794">
        <w:rPr>
          <w:rFonts w:ascii="Arial" w:hAnsi="Arial" w:cs="Arial"/>
          <w:color w:val="000000" w:themeColor="text1"/>
          <w:sz w:val="21"/>
          <w:szCs w:val="21"/>
        </w:rPr>
        <w:t>5</w:t>
      </w:r>
      <w:r w:rsidRPr="007B4794">
        <w:rPr>
          <w:rFonts w:ascii="Arial" w:hAnsi="Arial" w:cs="Arial"/>
          <w:color w:val="000000" w:themeColor="text1"/>
          <w:sz w:val="21"/>
          <w:szCs w:val="21"/>
        </w:rPr>
        <w:t>月经广州市工商行政管理局批准成立，初始注册资本</w:t>
      </w:r>
      <w:r w:rsidRPr="007B4794">
        <w:rPr>
          <w:rFonts w:ascii="Arial" w:hAnsi="Arial" w:cs="Arial"/>
          <w:color w:val="000000" w:themeColor="text1"/>
          <w:sz w:val="21"/>
          <w:szCs w:val="21"/>
        </w:rPr>
        <w:t>2,038</w:t>
      </w:r>
      <w:r w:rsidRPr="007B4794">
        <w:rPr>
          <w:rFonts w:ascii="Arial" w:hAnsi="Arial" w:cs="Arial"/>
          <w:color w:val="000000" w:themeColor="text1"/>
          <w:sz w:val="21"/>
          <w:szCs w:val="21"/>
        </w:rPr>
        <w:t>万元。根据奥园集团</w:t>
      </w:r>
      <w:r w:rsidRPr="007B4794">
        <w:rPr>
          <w:rFonts w:ascii="Arial" w:hAnsi="Arial" w:cs="Arial"/>
          <w:color w:val="000000" w:themeColor="text1"/>
          <w:sz w:val="21"/>
          <w:szCs w:val="21"/>
        </w:rPr>
        <w:t>2003</w:t>
      </w:r>
      <w:r w:rsidRPr="007B4794">
        <w:rPr>
          <w:rFonts w:ascii="Arial" w:hAnsi="Arial" w:cs="Arial"/>
          <w:color w:val="000000" w:themeColor="text1"/>
          <w:sz w:val="21"/>
          <w:szCs w:val="21"/>
        </w:rPr>
        <w:t>年</w:t>
      </w:r>
      <w:r w:rsidRPr="007B4794">
        <w:rPr>
          <w:rFonts w:ascii="Arial" w:hAnsi="Arial" w:cs="Arial"/>
          <w:color w:val="000000" w:themeColor="text1"/>
          <w:sz w:val="21"/>
          <w:szCs w:val="21"/>
        </w:rPr>
        <w:t>7</w:t>
      </w:r>
      <w:r w:rsidRPr="007B4794">
        <w:rPr>
          <w:rFonts w:ascii="Arial" w:hAnsi="Arial" w:cs="Arial"/>
          <w:color w:val="000000" w:themeColor="text1"/>
          <w:sz w:val="21"/>
          <w:szCs w:val="21"/>
        </w:rPr>
        <w:t>月股东会决议，奥园集团名称变更为现名，奥园集团注册资本变更为</w:t>
      </w:r>
      <w:r w:rsidRPr="007B4794">
        <w:rPr>
          <w:rFonts w:ascii="Arial" w:hAnsi="Arial" w:cs="Arial"/>
          <w:color w:val="000000" w:themeColor="text1"/>
          <w:sz w:val="21"/>
          <w:szCs w:val="21"/>
        </w:rPr>
        <w:t>30,000</w:t>
      </w:r>
      <w:r w:rsidRPr="007B4794">
        <w:rPr>
          <w:rFonts w:ascii="Arial" w:hAnsi="Arial" w:cs="Arial"/>
          <w:color w:val="000000" w:themeColor="text1"/>
          <w:sz w:val="21"/>
          <w:szCs w:val="21"/>
        </w:rPr>
        <w:t>万元。后经数次增资及股东变更后，截至</w:t>
      </w:r>
      <w:r w:rsidRPr="007B4794">
        <w:rPr>
          <w:rFonts w:ascii="Arial" w:hAnsi="Arial" w:cs="Arial"/>
          <w:color w:val="000000" w:themeColor="text1"/>
          <w:sz w:val="21"/>
          <w:szCs w:val="21"/>
        </w:rPr>
        <w:t>2018</w:t>
      </w:r>
      <w:r w:rsidRPr="007B4794">
        <w:rPr>
          <w:rFonts w:ascii="Arial" w:hAnsi="Arial" w:cs="Arial"/>
          <w:color w:val="000000" w:themeColor="text1"/>
          <w:sz w:val="21"/>
          <w:szCs w:val="21"/>
        </w:rPr>
        <w:t>年</w:t>
      </w:r>
      <w:r w:rsidRPr="007B4794">
        <w:rPr>
          <w:rFonts w:ascii="Arial" w:hAnsi="Arial" w:cs="Arial"/>
          <w:color w:val="000000" w:themeColor="text1"/>
          <w:sz w:val="21"/>
          <w:szCs w:val="21"/>
        </w:rPr>
        <w:t>3</w:t>
      </w:r>
      <w:r w:rsidRPr="007B4794">
        <w:rPr>
          <w:rFonts w:ascii="Arial" w:hAnsi="Arial" w:cs="Arial"/>
          <w:color w:val="000000" w:themeColor="text1"/>
          <w:sz w:val="21"/>
          <w:szCs w:val="21"/>
        </w:rPr>
        <w:t>月底，奥园集团注册资本为</w:t>
      </w:r>
      <w:r w:rsidRPr="007B4794">
        <w:rPr>
          <w:rFonts w:ascii="Arial" w:hAnsi="Arial" w:cs="Arial"/>
          <w:color w:val="000000" w:themeColor="text1"/>
          <w:sz w:val="21"/>
          <w:szCs w:val="21"/>
        </w:rPr>
        <w:t>611,000</w:t>
      </w:r>
      <w:r w:rsidRPr="007B4794">
        <w:rPr>
          <w:rFonts w:ascii="Arial" w:hAnsi="Arial" w:cs="Arial"/>
          <w:color w:val="000000" w:themeColor="text1"/>
          <w:sz w:val="21"/>
          <w:szCs w:val="21"/>
        </w:rPr>
        <w:t>万元，其中</w:t>
      </w:r>
      <w:r w:rsidRPr="007B4794">
        <w:rPr>
          <w:rFonts w:ascii="Arial" w:hAnsi="Arial" w:cs="Arial"/>
          <w:color w:val="000000" w:themeColor="text1"/>
          <w:sz w:val="21"/>
          <w:szCs w:val="21"/>
        </w:rPr>
        <w:t>ADDLIONPROFITSLIMITED</w:t>
      </w:r>
      <w:r w:rsidRPr="007B4794">
        <w:rPr>
          <w:rFonts w:ascii="Arial" w:hAnsi="Arial" w:cs="Arial"/>
          <w:color w:val="000000" w:themeColor="text1"/>
          <w:sz w:val="21"/>
          <w:szCs w:val="21"/>
        </w:rPr>
        <w:t>持股</w:t>
      </w:r>
      <w:r w:rsidRPr="007B4794">
        <w:rPr>
          <w:rFonts w:ascii="Arial" w:hAnsi="Arial" w:cs="Arial"/>
          <w:color w:val="000000" w:themeColor="text1"/>
          <w:sz w:val="21"/>
          <w:szCs w:val="21"/>
        </w:rPr>
        <w:t>6.42%</w:t>
      </w:r>
      <w:r w:rsidRPr="007B4794">
        <w:rPr>
          <w:rFonts w:ascii="Arial" w:hAnsi="Arial" w:cs="Arial"/>
          <w:color w:val="000000" w:themeColor="text1"/>
          <w:sz w:val="21"/>
          <w:szCs w:val="21"/>
        </w:rPr>
        <w:t>，广东奥园置业有限公司持股</w:t>
      </w:r>
      <w:r w:rsidRPr="007B4794">
        <w:rPr>
          <w:rFonts w:ascii="Arial" w:hAnsi="Arial" w:cs="Arial"/>
          <w:color w:val="000000" w:themeColor="text1"/>
          <w:sz w:val="21"/>
          <w:szCs w:val="21"/>
        </w:rPr>
        <w:t>93.58%</w:t>
      </w:r>
      <w:r w:rsidRPr="007B4794">
        <w:rPr>
          <w:rFonts w:ascii="Arial" w:hAnsi="Arial" w:cs="Arial"/>
          <w:color w:val="000000" w:themeColor="text1"/>
          <w:sz w:val="21"/>
          <w:szCs w:val="21"/>
        </w:rPr>
        <w:t>，为奥园集团控股股东。</w:t>
      </w:r>
    </w:p>
    <w:p w14:paraId="5DD9CCA4" w14:textId="77777777" w:rsidR="00EA047A" w:rsidRPr="007B4794" w:rsidRDefault="00EA047A" w:rsidP="00EA047A">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奥园集团实际控制人为郭梓文先生。郭梓文先生，男，香港特别行政区居民，</w:t>
      </w:r>
      <w:r w:rsidRPr="007B4794">
        <w:rPr>
          <w:rFonts w:ascii="Arial" w:hAnsi="Arial" w:cs="Arial"/>
          <w:color w:val="000000" w:themeColor="text1"/>
          <w:sz w:val="21"/>
          <w:szCs w:val="21"/>
        </w:rPr>
        <w:t>1964</w:t>
      </w:r>
      <w:r w:rsidRPr="007B4794">
        <w:rPr>
          <w:rFonts w:ascii="Arial" w:hAnsi="Arial" w:cs="Arial"/>
          <w:color w:val="000000" w:themeColor="text1"/>
          <w:sz w:val="21"/>
          <w:szCs w:val="21"/>
        </w:rPr>
        <w:t>年出生，香港特别行政区居民身份证号码或护照号码为</w:t>
      </w:r>
      <w:r w:rsidRPr="007B4794">
        <w:rPr>
          <w:rFonts w:ascii="Arial" w:hAnsi="Arial" w:cs="Arial"/>
          <w:color w:val="000000" w:themeColor="text1"/>
          <w:sz w:val="21"/>
          <w:szCs w:val="21"/>
        </w:rPr>
        <w:t>R088809</w:t>
      </w:r>
      <w:r w:rsidRPr="007B4794">
        <w:rPr>
          <w:rFonts w:ascii="Arial" w:hAnsi="Arial" w:cs="Arial"/>
          <w:color w:val="000000" w:themeColor="text1"/>
          <w:sz w:val="21"/>
          <w:szCs w:val="21"/>
        </w:rPr>
        <w:t>（</w:t>
      </w:r>
      <w:r w:rsidRPr="007B4794">
        <w:rPr>
          <w:rFonts w:ascii="Arial" w:hAnsi="Arial" w:cs="Arial"/>
          <w:color w:val="000000" w:themeColor="text1"/>
          <w:sz w:val="21"/>
          <w:szCs w:val="21"/>
        </w:rPr>
        <w:t>4</w:t>
      </w:r>
      <w:r w:rsidRPr="007B4794">
        <w:rPr>
          <w:rFonts w:ascii="Arial" w:hAnsi="Arial" w:cs="Arial"/>
          <w:color w:val="000000" w:themeColor="text1"/>
          <w:sz w:val="21"/>
          <w:szCs w:val="21"/>
        </w:rPr>
        <w:t>），常住地：香港九龙何文田常盛街</w:t>
      </w:r>
      <w:r w:rsidRPr="007B4794">
        <w:rPr>
          <w:rFonts w:ascii="Arial" w:hAnsi="Arial" w:cs="Arial"/>
          <w:color w:val="000000" w:themeColor="text1"/>
          <w:sz w:val="21"/>
          <w:szCs w:val="21"/>
        </w:rPr>
        <w:t>80</w:t>
      </w:r>
      <w:r w:rsidRPr="007B4794">
        <w:rPr>
          <w:rFonts w:ascii="Arial" w:hAnsi="Arial" w:cs="Arial"/>
          <w:color w:val="000000" w:themeColor="text1"/>
          <w:sz w:val="21"/>
          <w:szCs w:val="21"/>
        </w:rPr>
        <w:t>号半山一号</w:t>
      </w:r>
      <w:r w:rsidRPr="007B4794">
        <w:rPr>
          <w:rFonts w:ascii="Arial" w:hAnsi="Arial" w:cs="Arial"/>
          <w:color w:val="000000" w:themeColor="text1"/>
          <w:sz w:val="21"/>
          <w:szCs w:val="21"/>
        </w:rPr>
        <w:t>37</w:t>
      </w:r>
      <w:r w:rsidRPr="007B4794">
        <w:rPr>
          <w:rFonts w:ascii="Arial" w:hAnsi="Arial" w:cs="Arial"/>
          <w:color w:val="000000" w:themeColor="text1"/>
          <w:sz w:val="21"/>
          <w:szCs w:val="21"/>
        </w:rPr>
        <w:t>座</w:t>
      </w:r>
      <w:r w:rsidRPr="007B4794">
        <w:rPr>
          <w:rFonts w:ascii="Arial" w:hAnsi="Arial" w:cs="Arial"/>
          <w:color w:val="000000" w:themeColor="text1"/>
          <w:sz w:val="21"/>
          <w:szCs w:val="21"/>
        </w:rPr>
        <w:t>33</w:t>
      </w:r>
      <w:r w:rsidRPr="007B4794">
        <w:rPr>
          <w:rFonts w:ascii="Arial" w:hAnsi="Arial" w:cs="Arial"/>
          <w:color w:val="000000" w:themeColor="text1"/>
          <w:sz w:val="21"/>
          <w:szCs w:val="21"/>
        </w:rPr>
        <w:t>楼。</w:t>
      </w:r>
    </w:p>
    <w:p w14:paraId="078C9B8E" w14:textId="77777777" w:rsidR="00EA047A" w:rsidRPr="007B4794" w:rsidRDefault="00EA047A" w:rsidP="00EA047A">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郭梓文先生为奥园集团董事长郭梓宁先生的兄弟。郭梓文先生现担任奥园集团的副董事长，亦在中国奥园地产集团股份有限公司（以下简称中国奥园，</w:t>
      </w:r>
      <w:r w:rsidRPr="007B4794">
        <w:rPr>
          <w:rFonts w:ascii="Arial" w:hAnsi="Arial" w:cs="Arial"/>
          <w:color w:val="000000" w:themeColor="text1"/>
          <w:sz w:val="21"/>
          <w:szCs w:val="21"/>
        </w:rPr>
        <w:t>3883.HK)</w:t>
      </w:r>
      <w:r w:rsidRPr="007B4794">
        <w:rPr>
          <w:rFonts w:ascii="Arial" w:hAnsi="Arial" w:cs="Arial"/>
          <w:color w:val="000000" w:themeColor="text1"/>
          <w:sz w:val="21"/>
          <w:szCs w:val="21"/>
        </w:rPr>
        <w:t>出任董事会主席兼执行董事，主要负责制订奥园集团的发展策略及提供指引以协助中国奥园的项目规划、融资及投资。</w:t>
      </w:r>
    </w:p>
    <w:p w14:paraId="5FBF8AE9" w14:textId="77777777" w:rsidR="00074032" w:rsidRDefault="00EA047A" w:rsidP="00074032">
      <w:pPr>
        <w:widowControl w:val="0"/>
        <w:adjustRightInd w:val="0"/>
        <w:snapToGrid w:val="0"/>
        <w:spacing w:line="480" w:lineRule="auto"/>
        <w:ind w:firstLineChars="200" w:firstLine="420"/>
        <w:jc w:val="both"/>
        <w:rPr>
          <w:rFonts w:ascii="Arial" w:hAnsi="Arial" w:cs="Arial" w:hint="eastAsia"/>
          <w:color w:val="000000" w:themeColor="text1"/>
          <w:sz w:val="21"/>
          <w:szCs w:val="21"/>
        </w:rPr>
      </w:pPr>
      <w:proofErr w:type="gramStart"/>
      <w:r w:rsidRPr="007B4794">
        <w:rPr>
          <w:rFonts w:ascii="Arial" w:hAnsi="Arial" w:cs="Arial"/>
          <w:color w:val="000000" w:themeColor="text1"/>
          <w:sz w:val="21"/>
          <w:szCs w:val="21"/>
        </w:rPr>
        <w:t>奥园集团</w:t>
      </w:r>
      <w:proofErr w:type="gramEnd"/>
      <w:r w:rsidRPr="007B4794">
        <w:rPr>
          <w:rFonts w:ascii="Arial" w:hAnsi="Arial" w:cs="Arial"/>
          <w:color w:val="000000" w:themeColor="text1"/>
          <w:sz w:val="21"/>
          <w:szCs w:val="21"/>
        </w:rPr>
        <w:t>上层股东</w:t>
      </w:r>
      <w:proofErr w:type="gramStart"/>
      <w:r w:rsidRPr="007B4794">
        <w:rPr>
          <w:rFonts w:ascii="Arial" w:hAnsi="Arial" w:cs="Arial"/>
          <w:color w:val="000000" w:themeColor="text1"/>
          <w:sz w:val="21"/>
          <w:szCs w:val="21"/>
        </w:rPr>
        <w:t>中国奥园为</w:t>
      </w:r>
      <w:proofErr w:type="gramEnd"/>
      <w:r w:rsidRPr="007B4794">
        <w:rPr>
          <w:rFonts w:ascii="Arial" w:hAnsi="Arial" w:cs="Arial"/>
          <w:color w:val="000000" w:themeColor="text1"/>
          <w:sz w:val="21"/>
          <w:szCs w:val="21"/>
        </w:rPr>
        <w:t>港股上市公司，股票代码</w:t>
      </w:r>
      <w:r w:rsidRPr="007B4794">
        <w:rPr>
          <w:rFonts w:ascii="Arial" w:hAnsi="Arial" w:cs="Arial"/>
          <w:color w:val="000000" w:themeColor="text1"/>
          <w:sz w:val="21"/>
          <w:szCs w:val="21"/>
        </w:rPr>
        <w:t>3883.HK</w:t>
      </w:r>
      <w:r w:rsidRPr="007B4794">
        <w:rPr>
          <w:rFonts w:ascii="Arial" w:hAnsi="Arial" w:cs="Arial"/>
          <w:color w:val="000000" w:themeColor="text1"/>
          <w:sz w:val="21"/>
          <w:szCs w:val="21"/>
        </w:rPr>
        <w:t>，</w:t>
      </w:r>
      <w:proofErr w:type="gramStart"/>
      <w:r w:rsidRPr="007B4794">
        <w:rPr>
          <w:rFonts w:ascii="Arial" w:hAnsi="Arial" w:cs="Arial"/>
          <w:color w:val="000000" w:themeColor="text1"/>
          <w:sz w:val="21"/>
          <w:szCs w:val="21"/>
        </w:rPr>
        <w:t>奥园集团</w:t>
      </w:r>
      <w:proofErr w:type="gramEnd"/>
      <w:r w:rsidRPr="007B4794">
        <w:rPr>
          <w:rFonts w:ascii="Arial" w:hAnsi="Arial" w:cs="Arial"/>
          <w:color w:val="000000" w:themeColor="text1"/>
          <w:sz w:val="21"/>
          <w:szCs w:val="21"/>
        </w:rPr>
        <w:t>为</w:t>
      </w:r>
      <w:proofErr w:type="gramStart"/>
      <w:r w:rsidRPr="007B4794">
        <w:rPr>
          <w:rFonts w:ascii="Arial" w:hAnsi="Arial" w:cs="Arial"/>
          <w:color w:val="000000" w:themeColor="text1"/>
          <w:sz w:val="21"/>
          <w:szCs w:val="21"/>
        </w:rPr>
        <w:t>中国奥园在</w:t>
      </w:r>
      <w:proofErr w:type="gramEnd"/>
      <w:r w:rsidRPr="007B4794">
        <w:rPr>
          <w:rFonts w:ascii="Arial" w:hAnsi="Arial" w:cs="Arial"/>
          <w:color w:val="000000" w:themeColor="text1"/>
          <w:sz w:val="21"/>
          <w:szCs w:val="21"/>
        </w:rPr>
        <w:t>境内最大经营主体。</w:t>
      </w:r>
    </w:p>
    <w:p w14:paraId="0D7BC19E" w14:textId="5240F58B" w:rsidR="00074032" w:rsidRPr="00074032" w:rsidRDefault="00074032" w:rsidP="00074032">
      <w:pPr>
        <w:widowControl w:val="0"/>
        <w:adjustRightInd w:val="0"/>
        <w:snapToGrid w:val="0"/>
        <w:spacing w:line="480" w:lineRule="auto"/>
        <w:ind w:firstLineChars="200" w:firstLine="420"/>
        <w:jc w:val="both"/>
        <w:rPr>
          <w:rFonts w:ascii="华文楷体" w:eastAsia="华文楷体" w:hAnsi="华文楷体" w:cs="Arial"/>
          <w:color w:val="000000" w:themeColor="text1"/>
          <w:sz w:val="21"/>
          <w:szCs w:val="21"/>
        </w:rPr>
      </w:pPr>
      <w:r w:rsidRPr="00074032">
        <w:rPr>
          <w:rFonts w:ascii="华文楷体" w:eastAsia="华文楷体" w:hAnsi="华文楷体" w:cs="Arial" w:hint="eastAsia"/>
          <w:color w:val="000000" w:themeColor="text1"/>
          <w:sz w:val="21"/>
          <w:szCs w:val="21"/>
        </w:rPr>
        <w:t>（转下页）</w:t>
      </w:r>
    </w:p>
    <w:p w14:paraId="3838403F" w14:textId="77777777" w:rsidR="00EA047A" w:rsidRDefault="00EA047A" w:rsidP="00074032">
      <w:pPr>
        <w:adjustRightInd w:val="0"/>
        <w:snapToGrid w:val="0"/>
        <w:spacing w:line="480" w:lineRule="auto"/>
        <w:ind w:firstLineChars="200" w:firstLine="422"/>
        <w:jc w:val="both"/>
        <w:rPr>
          <w:rFonts w:ascii="Arial" w:hAnsi="Arial" w:cs="Arial" w:hint="eastAsia"/>
          <w:b/>
          <w:color w:val="000000" w:themeColor="text1"/>
          <w:sz w:val="21"/>
          <w:szCs w:val="21"/>
        </w:rPr>
      </w:pPr>
    </w:p>
    <w:p w14:paraId="2118BABA" w14:textId="77777777" w:rsidR="00074032" w:rsidRDefault="00074032" w:rsidP="00074032">
      <w:pPr>
        <w:adjustRightInd w:val="0"/>
        <w:snapToGrid w:val="0"/>
        <w:spacing w:line="480" w:lineRule="auto"/>
        <w:ind w:firstLineChars="200" w:firstLine="422"/>
        <w:jc w:val="both"/>
        <w:rPr>
          <w:rFonts w:ascii="Arial" w:hAnsi="Arial" w:cs="Arial" w:hint="eastAsia"/>
          <w:b/>
          <w:color w:val="000000" w:themeColor="text1"/>
          <w:sz w:val="21"/>
          <w:szCs w:val="21"/>
        </w:rPr>
      </w:pPr>
    </w:p>
    <w:p w14:paraId="4CC03442" w14:textId="77777777" w:rsidR="00074032" w:rsidRPr="00074032" w:rsidRDefault="00074032" w:rsidP="00074032">
      <w:pPr>
        <w:adjustRightInd w:val="0"/>
        <w:snapToGrid w:val="0"/>
        <w:spacing w:line="480" w:lineRule="auto"/>
        <w:ind w:firstLineChars="200" w:firstLine="422"/>
        <w:jc w:val="both"/>
        <w:rPr>
          <w:rFonts w:ascii="Arial" w:hAnsi="Arial" w:cs="Arial"/>
          <w:b/>
          <w:color w:val="000000" w:themeColor="text1"/>
          <w:sz w:val="21"/>
          <w:szCs w:val="21"/>
        </w:rPr>
      </w:pPr>
    </w:p>
    <w:p w14:paraId="0446235B" w14:textId="77777777" w:rsidR="00EA047A" w:rsidRPr="007B4794" w:rsidRDefault="00EA047A" w:rsidP="00EA047A">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lastRenderedPageBreak/>
        <w:t>4</w:t>
      </w:r>
      <w:r w:rsidRPr="007B4794">
        <w:rPr>
          <w:rFonts w:ascii="Arial" w:hAnsi="Arial" w:cs="Arial" w:hint="eastAsia"/>
          <w:color w:val="000000" w:themeColor="text1"/>
          <w:sz w:val="21"/>
          <w:szCs w:val="21"/>
        </w:rPr>
        <w:t>、经营情况</w:t>
      </w:r>
    </w:p>
    <w:p w14:paraId="214CD161" w14:textId="77777777" w:rsidR="00EA047A" w:rsidRPr="007B4794" w:rsidRDefault="00EA047A" w:rsidP="00EA047A">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2019</w:t>
      </w:r>
      <w:r w:rsidRPr="007B4794">
        <w:rPr>
          <w:rFonts w:ascii="Arial" w:hAnsi="Arial" w:cs="Arial" w:hint="eastAsia"/>
          <w:color w:val="000000" w:themeColor="text1"/>
          <w:sz w:val="21"/>
          <w:szCs w:val="21"/>
        </w:rPr>
        <w:t>年，公司实现营业收入</w:t>
      </w:r>
      <w:r w:rsidRPr="007B4794">
        <w:rPr>
          <w:rFonts w:ascii="Arial" w:hAnsi="Arial" w:cs="Arial"/>
          <w:color w:val="000000" w:themeColor="text1"/>
          <w:sz w:val="21"/>
          <w:szCs w:val="21"/>
        </w:rPr>
        <w:t>486.7</w:t>
      </w:r>
      <w:r w:rsidRPr="007B4794">
        <w:rPr>
          <w:rFonts w:ascii="Arial" w:hAnsi="Arial" w:cs="Arial" w:hint="eastAsia"/>
          <w:color w:val="000000" w:themeColor="text1"/>
          <w:sz w:val="21"/>
          <w:szCs w:val="21"/>
        </w:rPr>
        <w:t>亿元，同比增长</w:t>
      </w:r>
      <w:r w:rsidRPr="007B4794">
        <w:rPr>
          <w:rFonts w:ascii="Arial" w:hAnsi="Arial" w:cs="Arial" w:hint="eastAsia"/>
          <w:color w:val="000000" w:themeColor="text1"/>
          <w:sz w:val="21"/>
          <w:szCs w:val="21"/>
        </w:rPr>
        <w:t>5</w:t>
      </w:r>
      <w:r w:rsidRPr="007B4794">
        <w:rPr>
          <w:rFonts w:ascii="Arial" w:hAnsi="Arial" w:cs="Arial"/>
          <w:color w:val="000000" w:themeColor="text1"/>
          <w:sz w:val="21"/>
          <w:szCs w:val="21"/>
        </w:rPr>
        <w:t>8.29</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，主要系交付物业面积大幅增加所致；实现净利润</w:t>
      </w:r>
      <w:r w:rsidRPr="007B4794">
        <w:rPr>
          <w:rFonts w:ascii="Arial" w:hAnsi="Arial" w:cs="Arial"/>
          <w:color w:val="000000" w:themeColor="text1"/>
          <w:sz w:val="21"/>
          <w:szCs w:val="21"/>
        </w:rPr>
        <w:t>66.75</w:t>
      </w:r>
      <w:r w:rsidRPr="007B4794">
        <w:rPr>
          <w:rFonts w:ascii="Arial" w:hAnsi="Arial" w:cs="Arial" w:hint="eastAsia"/>
          <w:color w:val="000000" w:themeColor="text1"/>
          <w:sz w:val="21"/>
          <w:szCs w:val="21"/>
        </w:rPr>
        <w:t>亿元，同比增长</w:t>
      </w:r>
      <w:r w:rsidRPr="007B4794">
        <w:rPr>
          <w:rFonts w:ascii="Arial" w:hAnsi="Arial" w:cs="Arial"/>
          <w:color w:val="000000" w:themeColor="text1"/>
          <w:sz w:val="21"/>
          <w:szCs w:val="21"/>
        </w:rPr>
        <w:t>65.84</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，其中归属于母公司所有者的净利润</w:t>
      </w:r>
      <w:r w:rsidRPr="007B4794">
        <w:rPr>
          <w:rFonts w:ascii="Arial" w:hAnsi="Arial" w:cs="Arial"/>
          <w:color w:val="000000" w:themeColor="text1"/>
          <w:sz w:val="21"/>
          <w:szCs w:val="21"/>
        </w:rPr>
        <w:t>46.72</w:t>
      </w:r>
      <w:r w:rsidRPr="007B4794">
        <w:rPr>
          <w:rFonts w:ascii="Arial" w:hAnsi="Arial" w:cs="Arial" w:hint="eastAsia"/>
          <w:color w:val="000000" w:themeColor="text1"/>
          <w:sz w:val="21"/>
          <w:szCs w:val="21"/>
        </w:rPr>
        <w:t>亿元。</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020</w:t>
      </w:r>
      <w:r w:rsidRPr="007B4794">
        <w:rPr>
          <w:rFonts w:ascii="Arial" w:hAnsi="Arial" w:cs="Arial" w:hint="eastAsia"/>
          <w:color w:val="000000" w:themeColor="text1"/>
          <w:sz w:val="21"/>
          <w:szCs w:val="21"/>
        </w:rPr>
        <w:t>年上半年，公司实现营业收入</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72.68</w:t>
      </w:r>
      <w:r w:rsidRPr="007B4794">
        <w:rPr>
          <w:rFonts w:ascii="Arial" w:hAnsi="Arial" w:cs="Arial" w:hint="eastAsia"/>
          <w:color w:val="000000" w:themeColor="text1"/>
          <w:sz w:val="21"/>
          <w:szCs w:val="21"/>
        </w:rPr>
        <w:t>亿元，同比增长</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4.07</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，继续保持良好增长势头。</w:t>
      </w:r>
    </w:p>
    <w:p w14:paraId="1B092765" w14:textId="77777777" w:rsidR="00EA047A" w:rsidRPr="007B4794" w:rsidRDefault="00EA047A" w:rsidP="00EA047A">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从收入构成来看，</w:t>
      </w:r>
      <w:r w:rsidRPr="007B4794">
        <w:rPr>
          <w:rFonts w:ascii="Arial" w:hAnsi="Arial" w:cs="Arial"/>
          <w:color w:val="000000" w:themeColor="text1"/>
          <w:sz w:val="21"/>
          <w:szCs w:val="21"/>
        </w:rPr>
        <w:t>2019</w:t>
      </w:r>
      <w:r w:rsidRPr="007B4794">
        <w:rPr>
          <w:rFonts w:ascii="Arial" w:hAnsi="Arial" w:cs="Arial" w:hint="eastAsia"/>
          <w:color w:val="000000" w:themeColor="text1"/>
          <w:sz w:val="21"/>
          <w:szCs w:val="21"/>
        </w:rPr>
        <w:t>年，公司实现房地产销售收入</w:t>
      </w:r>
      <w:r w:rsidRPr="007B4794">
        <w:rPr>
          <w:rFonts w:ascii="Arial" w:hAnsi="Arial" w:cs="Arial"/>
          <w:color w:val="000000" w:themeColor="text1"/>
          <w:sz w:val="21"/>
          <w:szCs w:val="21"/>
        </w:rPr>
        <w:t>467.76</w:t>
      </w:r>
      <w:r w:rsidRPr="007B4794">
        <w:rPr>
          <w:rFonts w:ascii="Arial" w:hAnsi="Arial" w:cs="Arial" w:hint="eastAsia"/>
          <w:color w:val="000000" w:themeColor="text1"/>
          <w:sz w:val="21"/>
          <w:szCs w:val="21"/>
        </w:rPr>
        <w:t>亿元，占营业收入的</w:t>
      </w:r>
      <w:r w:rsidRPr="007B4794">
        <w:rPr>
          <w:rFonts w:ascii="Arial" w:hAnsi="Arial" w:cs="Arial"/>
          <w:color w:val="000000" w:themeColor="text1"/>
          <w:sz w:val="21"/>
          <w:szCs w:val="21"/>
        </w:rPr>
        <w:t>96.10</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，仍为公司最核心收入来源；公司其他业务收入主要包括租金收入、物业管理收入和酒店收入等，</w:t>
      </w:r>
      <w:r w:rsidRPr="007B4794">
        <w:rPr>
          <w:rFonts w:ascii="Arial" w:hAnsi="Arial" w:cs="Arial" w:hint="eastAsia"/>
          <w:color w:val="000000" w:themeColor="text1"/>
          <w:sz w:val="21"/>
          <w:szCs w:val="21"/>
        </w:rPr>
        <w:t>201</w:t>
      </w:r>
      <w:r w:rsidRPr="007B4794">
        <w:rPr>
          <w:rFonts w:ascii="Arial" w:hAnsi="Arial" w:cs="Arial"/>
          <w:color w:val="000000" w:themeColor="text1"/>
          <w:sz w:val="21"/>
          <w:szCs w:val="21"/>
        </w:rPr>
        <w:t>9</w:t>
      </w:r>
      <w:r w:rsidRPr="007B4794">
        <w:rPr>
          <w:rFonts w:ascii="Arial" w:hAnsi="Arial" w:cs="Arial" w:hint="eastAsia"/>
          <w:color w:val="000000" w:themeColor="text1"/>
          <w:sz w:val="21"/>
          <w:szCs w:val="21"/>
        </w:rPr>
        <w:t>年公司实现其他业务收入</w:t>
      </w:r>
      <w:r w:rsidRPr="007B4794">
        <w:rPr>
          <w:rFonts w:ascii="Arial" w:hAnsi="Arial" w:cs="Arial"/>
          <w:color w:val="000000" w:themeColor="text1"/>
          <w:sz w:val="21"/>
          <w:szCs w:val="21"/>
        </w:rPr>
        <w:t>18.98</w:t>
      </w:r>
      <w:r w:rsidRPr="007B4794">
        <w:rPr>
          <w:rFonts w:ascii="Arial" w:hAnsi="Arial" w:cs="Arial" w:hint="eastAsia"/>
          <w:color w:val="000000" w:themeColor="text1"/>
          <w:sz w:val="21"/>
          <w:szCs w:val="21"/>
        </w:rPr>
        <w:t>亿元，占营业收入的比重不大。</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020</w:t>
      </w:r>
      <w:r w:rsidRPr="007B4794">
        <w:rPr>
          <w:rFonts w:ascii="Arial" w:hAnsi="Arial" w:cs="Arial" w:hint="eastAsia"/>
          <w:color w:val="000000" w:themeColor="text1"/>
          <w:sz w:val="21"/>
          <w:szCs w:val="21"/>
        </w:rPr>
        <w:t>年上半年，房产开发仍然是公司主要收入来源，房地产销售收入实现</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66.44</w:t>
      </w:r>
      <w:r w:rsidRPr="007B4794">
        <w:rPr>
          <w:rFonts w:ascii="Arial" w:hAnsi="Arial" w:cs="Arial" w:hint="eastAsia"/>
          <w:color w:val="000000" w:themeColor="text1"/>
          <w:sz w:val="21"/>
          <w:szCs w:val="21"/>
        </w:rPr>
        <w:t>亿元，占比达到</w:t>
      </w:r>
      <w:r w:rsidRPr="007B4794">
        <w:rPr>
          <w:rFonts w:ascii="Arial" w:hAnsi="Arial" w:cs="Arial" w:hint="eastAsia"/>
          <w:color w:val="000000" w:themeColor="text1"/>
          <w:sz w:val="21"/>
          <w:szCs w:val="21"/>
        </w:rPr>
        <w:t>9</w:t>
      </w:r>
      <w:r w:rsidRPr="007B4794">
        <w:rPr>
          <w:rFonts w:ascii="Arial" w:hAnsi="Arial" w:cs="Arial"/>
          <w:color w:val="000000" w:themeColor="text1"/>
          <w:sz w:val="21"/>
          <w:szCs w:val="21"/>
        </w:rPr>
        <w:t>7.71</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。营业收入同比增长</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4.07</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，营业成本同比增长</w:t>
      </w:r>
      <w:r w:rsidRPr="007B4794">
        <w:rPr>
          <w:rFonts w:ascii="Arial" w:hAnsi="Arial" w:cs="Arial" w:hint="eastAsia"/>
          <w:color w:val="000000" w:themeColor="text1"/>
          <w:sz w:val="21"/>
          <w:szCs w:val="21"/>
        </w:rPr>
        <w:t>3</w:t>
      </w:r>
      <w:r w:rsidRPr="007B4794">
        <w:rPr>
          <w:rFonts w:ascii="Arial" w:hAnsi="Arial" w:cs="Arial"/>
          <w:color w:val="000000" w:themeColor="text1"/>
          <w:sz w:val="21"/>
          <w:szCs w:val="21"/>
        </w:rPr>
        <w:t>0.41</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，主要系公司交付的物业总面积增加所致。</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020</w:t>
      </w:r>
      <w:r w:rsidRPr="007B4794">
        <w:rPr>
          <w:rFonts w:ascii="Arial" w:hAnsi="Arial" w:cs="Arial" w:hint="eastAsia"/>
          <w:color w:val="000000" w:themeColor="text1"/>
          <w:sz w:val="21"/>
          <w:szCs w:val="21"/>
        </w:rPr>
        <w:t>年上半年，公司租金收入及酒店收入整体比重较小，酒店收入较上年同期下降</w:t>
      </w:r>
      <w:r w:rsidRPr="007B4794">
        <w:rPr>
          <w:rFonts w:ascii="Arial" w:hAnsi="Arial" w:cs="Arial" w:hint="eastAsia"/>
          <w:color w:val="000000" w:themeColor="text1"/>
          <w:sz w:val="21"/>
          <w:szCs w:val="21"/>
        </w:rPr>
        <w:t>6</w:t>
      </w:r>
      <w:r w:rsidRPr="007B4794">
        <w:rPr>
          <w:rFonts w:ascii="Arial" w:hAnsi="Arial" w:cs="Arial"/>
          <w:color w:val="000000" w:themeColor="text1"/>
          <w:sz w:val="21"/>
          <w:szCs w:val="21"/>
        </w:rPr>
        <w:t>0.97</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，主要系受新冠疫情影响所致。</w:t>
      </w:r>
    </w:p>
    <w:p w14:paraId="698E665B" w14:textId="5BB6EA71" w:rsidR="00EA047A" w:rsidRPr="007B4794" w:rsidRDefault="00EA047A" w:rsidP="00EA047A">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毛利率方面，</w:t>
      </w:r>
      <w:r w:rsidRPr="007B4794">
        <w:rPr>
          <w:rFonts w:ascii="Arial" w:hAnsi="Arial" w:cs="Arial" w:hint="eastAsia"/>
          <w:color w:val="000000" w:themeColor="text1"/>
          <w:sz w:val="21"/>
          <w:szCs w:val="21"/>
        </w:rPr>
        <w:t>201</w:t>
      </w:r>
      <w:r w:rsidRPr="007B4794">
        <w:rPr>
          <w:rFonts w:ascii="Arial" w:hAnsi="Arial" w:cs="Arial"/>
          <w:color w:val="000000" w:themeColor="text1"/>
          <w:sz w:val="21"/>
          <w:szCs w:val="21"/>
        </w:rPr>
        <w:t>9</w:t>
      </w:r>
      <w:r w:rsidRPr="007B4794">
        <w:rPr>
          <w:rFonts w:ascii="Arial" w:hAnsi="Arial" w:cs="Arial" w:hint="eastAsia"/>
          <w:color w:val="000000" w:themeColor="text1"/>
          <w:sz w:val="21"/>
          <w:szCs w:val="21"/>
        </w:rPr>
        <w:t>年，公司房地产销售业务毛利率为</w:t>
      </w:r>
      <w:r w:rsidRPr="007B4794">
        <w:rPr>
          <w:rFonts w:ascii="Arial" w:hAnsi="Arial" w:cs="Arial" w:hint="eastAsia"/>
          <w:color w:val="000000" w:themeColor="text1"/>
          <w:sz w:val="21"/>
          <w:szCs w:val="21"/>
        </w:rPr>
        <w:t>33.</w:t>
      </w:r>
      <w:r w:rsidRPr="007B4794">
        <w:rPr>
          <w:rFonts w:ascii="Arial" w:hAnsi="Arial" w:cs="Arial"/>
          <w:color w:val="000000" w:themeColor="text1"/>
          <w:sz w:val="21"/>
          <w:szCs w:val="21"/>
        </w:rPr>
        <w:t>47</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，与</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018</w:t>
      </w:r>
      <w:r w:rsidRPr="007B4794">
        <w:rPr>
          <w:rFonts w:ascii="Arial" w:hAnsi="Arial" w:cs="Arial" w:hint="eastAsia"/>
          <w:color w:val="000000" w:themeColor="text1"/>
          <w:sz w:val="21"/>
          <w:szCs w:val="21"/>
        </w:rPr>
        <w:t>年相比，变动不大；公司其他业务毛利率为</w:t>
      </w:r>
      <w:r w:rsidRPr="007B4794">
        <w:rPr>
          <w:rFonts w:ascii="Arial" w:hAnsi="Arial" w:cs="Arial" w:hint="eastAsia"/>
          <w:color w:val="000000" w:themeColor="text1"/>
          <w:sz w:val="21"/>
          <w:szCs w:val="21"/>
        </w:rPr>
        <w:t>1</w:t>
      </w:r>
      <w:r w:rsidRPr="007B4794">
        <w:rPr>
          <w:rFonts w:ascii="Arial" w:hAnsi="Arial" w:cs="Arial"/>
          <w:color w:val="000000" w:themeColor="text1"/>
          <w:sz w:val="21"/>
          <w:szCs w:val="21"/>
        </w:rPr>
        <w:t>4.25</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，同比下降</w:t>
      </w:r>
      <w:r w:rsidRPr="007B4794">
        <w:rPr>
          <w:rFonts w:ascii="Arial" w:hAnsi="Arial" w:cs="Arial"/>
          <w:color w:val="000000" w:themeColor="text1"/>
          <w:sz w:val="21"/>
          <w:szCs w:val="21"/>
        </w:rPr>
        <w:t>37.8</w:t>
      </w:r>
      <w:r w:rsidRPr="007B4794">
        <w:rPr>
          <w:rFonts w:ascii="Arial" w:hAnsi="Arial" w:cs="Arial" w:hint="eastAsia"/>
          <w:color w:val="000000" w:themeColor="text1"/>
          <w:sz w:val="21"/>
          <w:szCs w:val="21"/>
        </w:rPr>
        <w:t>个百分点，但公司其他业务对公司收入贡献不大，对盈利能力影响有限。</w:t>
      </w:r>
      <w:r w:rsidRPr="007B4794">
        <w:rPr>
          <w:rFonts w:ascii="Arial" w:hAnsi="Arial" w:cs="Arial" w:hint="eastAsia"/>
          <w:color w:val="000000" w:themeColor="text1"/>
          <w:sz w:val="21"/>
          <w:szCs w:val="21"/>
        </w:rPr>
        <w:t>201</w:t>
      </w:r>
      <w:r w:rsidRPr="007B4794">
        <w:rPr>
          <w:rFonts w:ascii="Arial" w:hAnsi="Arial" w:cs="Arial"/>
          <w:color w:val="000000" w:themeColor="text1"/>
          <w:sz w:val="21"/>
          <w:szCs w:val="21"/>
        </w:rPr>
        <w:t>9</w:t>
      </w:r>
      <w:r w:rsidRPr="007B4794">
        <w:rPr>
          <w:rFonts w:ascii="Arial" w:hAnsi="Arial" w:cs="Arial" w:hint="eastAsia"/>
          <w:color w:val="000000" w:themeColor="text1"/>
          <w:sz w:val="21"/>
          <w:szCs w:val="21"/>
        </w:rPr>
        <w:t>年，公司综合毛利率为</w:t>
      </w:r>
      <w:r w:rsidRPr="007B4794">
        <w:rPr>
          <w:rFonts w:ascii="Arial" w:hAnsi="Arial" w:cs="Arial" w:hint="eastAsia"/>
          <w:color w:val="000000" w:themeColor="text1"/>
          <w:sz w:val="21"/>
          <w:szCs w:val="21"/>
        </w:rPr>
        <w:t>3</w:t>
      </w:r>
      <w:r w:rsidRPr="007B4794">
        <w:rPr>
          <w:rFonts w:ascii="Arial" w:hAnsi="Arial" w:cs="Arial"/>
          <w:color w:val="000000" w:themeColor="text1"/>
          <w:sz w:val="21"/>
          <w:szCs w:val="21"/>
        </w:rPr>
        <w:t>2.72</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，同比下降</w:t>
      </w:r>
      <w:r w:rsidRPr="007B4794">
        <w:rPr>
          <w:rFonts w:ascii="Arial" w:hAnsi="Arial" w:cs="Arial"/>
          <w:color w:val="000000" w:themeColor="text1"/>
          <w:sz w:val="21"/>
          <w:szCs w:val="21"/>
        </w:rPr>
        <w:t>1.71</w:t>
      </w:r>
      <w:r w:rsidRPr="007B4794">
        <w:rPr>
          <w:rFonts w:ascii="Arial" w:hAnsi="Arial" w:cs="Arial" w:hint="eastAsia"/>
          <w:color w:val="000000" w:themeColor="text1"/>
          <w:sz w:val="21"/>
          <w:szCs w:val="21"/>
        </w:rPr>
        <w:t>个百分点。</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020</w:t>
      </w:r>
      <w:r w:rsidRPr="007B4794">
        <w:rPr>
          <w:rFonts w:ascii="Arial" w:hAnsi="Arial" w:cs="Arial" w:hint="eastAsia"/>
          <w:color w:val="000000" w:themeColor="text1"/>
          <w:sz w:val="21"/>
          <w:szCs w:val="21"/>
        </w:rPr>
        <w:t>年上半年，公司房地产销售业务毛利率为</w:t>
      </w:r>
      <w:r w:rsidRPr="007B4794">
        <w:rPr>
          <w:rFonts w:ascii="Arial" w:hAnsi="Arial" w:cs="Arial" w:hint="eastAsia"/>
          <w:color w:val="000000" w:themeColor="text1"/>
          <w:sz w:val="21"/>
          <w:szCs w:val="21"/>
        </w:rPr>
        <w:t>3</w:t>
      </w:r>
      <w:r w:rsidRPr="007B4794">
        <w:rPr>
          <w:rFonts w:ascii="Arial" w:hAnsi="Arial" w:cs="Arial"/>
          <w:color w:val="000000" w:themeColor="text1"/>
          <w:sz w:val="21"/>
          <w:szCs w:val="21"/>
        </w:rPr>
        <w:t>2.81</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，综合毛利率为</w:t>
      </w:r>
      <w:r w:rsidRPr="007B4794">
        <w:rPr>
          <w:rFonts w:ascii="Arial" w:hAnsi="Arial" w:cs="Arial" w:hint="eastAsia"/>
          <w:color w:val="000000" w:themeColor="text1"/>
          <w:sz w:val="21"/>
          <w:szCs w:val="21"/>
        </w:rPr>
        <w:t>3</w:t>
      </w:r>
      <w:r w:rsidRPr="007B4794">
        <w:rPr>
          <w:rFonts w:ascii="Arial" w:hAnsi="Arial" w:cs="Arial"/>
          <w:color w:val="000000" w:themeColor="text1"/>
          <w:sz w:val="21"/>
          <w:szCs w:val="21"/>
        </w:rPr>
        <w:t>2.66</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，相比去年基本保持平稳。</w:t>
      </w:r>
    </w:p>
    <w:p w14:paraId="16F9ADD1" w14:textId="77777777" w:rsidR="00EA047A" w:rsidRPr="007B4794" w:rsidRDefault="00EA047A" w:rsidP="00EA047A">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5</w:t>
      </w:r>
      <w:r w:rsidRPr="007B4794">
        <w:rPr>
          <w:rFonts w:ascii="Arial" w:hAnsi="Arial" w:cs="Arial" w:hint="eastAsia"/>
          <w:color w:val="000000" w:themeColor="text1"/>
          <w:sz w:val="21"/>
          <w:szCs w:val="21"/>
        </w:rPr>
        <w:t>、土地储备情况</w:t>
      </w:r>
    </w:p>
    <w:p w14:paraId="038DEEF7" w14:textId="75FA5E62" w:rsidR="00EA047A" w:rsidRPr="007B4794" w:rsidRDefault="00EA047A" w:rsidP="00EA047A">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从公司项目获取情况看，</w:t>
      </w:r>
      <w:r w:rsidRPr="007B4794">
        <w:rPr>
          <w:rFonts w:ascii="Arial" w:hAnsi="Arial" w:cs="Arial"/>
          <w:color w:val="000000" w:themeColor="text1"/>
          <w:sz w:val="21"/>
          <w:szCs w:val="21"/>
        </w:rPr>
        <w:t>2019</w:t>
      </w:r>
      <w:r w:rsidRPr="007B4794">
        <w:rPr>
          <w:rFonts w:ascii="Arial" w:hAnsi="Arial" w:cs="Arial" w:hint="eastAsia"/>
          <w:color w:val="000000" w:themeColor="text1"/>
          <w:sz w:val="21"/>
          <w:szCs w:val="21"/>
        </w:rPr>
        <w:t>年，公司保持了较大的项目获取力度，新获取项目储备权益建筑面积</w:t>
      </w:r>
      <w:r w:rsidRPr="007B4794">
        <w:rPr>
          <w:rFonts w:ascii="Arial" w:hAnsi="Arial" w:cs="Arial"/>
          <w:color w:val="000000" w:themeColor="text1"/>
          <w:sz w:val="21"/>
          <w:szCs w:val="21"/>
        </w:rPr>
        <w:t>1,184.63</w:t>
      </w:r>
      <w:r w:rsidRPr="007B4794">
        <w:rPr>
          <w:rFonts w:ascii="Arial" w:hAnsi="Arial" w:cs="Arial" w:hint="eastAsia"/>
          <w:color w:val="000000" w:themeColor="text1"/>
          <w:sz w:val="21"/>
          <w:szCs w:val="21"/>
        </w:rPr>
        <w:t>万平方米，同比增多</w:t>
      </w:r>
      <w:r w:rsidRPr="007B4794">
        <w:rPr>
          <w:rFonts w:ascii="Arial" w:hAnsi="Arial" w:cs="Arial"/>
          <w:color w:val="000000" w:themeColor="text1"/>
          <w:sz w:val="21"/>
          <w:szCs w:val="21"/>
        </w:rPr>
        <w:t>31.75%</w:t>
      </w:r>
      <w:r w:rsidRPr="007B4794">
        <w:rPr>
          <w:rFonts w:ascii="Arial" w:hAnsi="Arial" w:cs="Arial" w:hint="eastAsia"/>
          <w:color w:val="000000" w:themeColor="text1"/>
          <w:sz w:val="21"/>
          <w:szCs w:val="21"/>
        </w:rPr>
        <w:t>；新获取土地权益地价</w:t>
      </w:r>
      <w:r w:rsidRPr="007B4794">
        <w:rPr>
          <w:rFonts w:ascii="Arial" w:hAnsi="Arial" w:cs="Arial"/>
          <w:color w:val="000000" w:themeColor="text1"/>
          <w:sz w:val="21"/>
          <w:szCs w:val="21"/>
        </w:rPr>
        <w:t>325.99</w:t>
      </w:r>
      <w:r w:rsidRPr="007B4794">
        <w:rPr>
          <w:rFonts w:ascii="Arial" w:hAnsi="Arial" w:cs="Arial" w:hint="eastAsia"/>
          <w:color w:val="000000" w:themeColor="text1"/>
          <w:sz w:val="21"/>
          <w:szCs w:val="21"/>
        </w:rPr>
        <w:t>亿元，同比增长</w:t>
      </w:r>
      <w:r w:rsidRPr="007B4794">
        <w:rPr>
          <w:rFonts w:ascii="Arial" w:hAnsi="Arial" w:cs="Arial"/>
          <w:color w:val="000000" w:themeColor="text1"/>
          <w:sz w:val="21"/>
          <w:szCs w:val="21"/>
        </w:rPr>
        <w:t>44.04%</w:t>
      </w:r>
      <w:r w:rsidRPr="007B4794">
        <w:rPr>
          <w:rFonts w:ascii="Arial" w:hAnsi="Arial" w:cs="Arial" w:hint="eastAsia"/>
          <w:color w:val="000000" w:themeColor="text1"/>
          <w:sz w:val="21"/>
          <w:szCs w:val="21"/>
        </w:rPr>
        <w:t>（截至</w:t>
      </w:r>
      <w:r w:rsidRPr="007B4794">
        <w:rPr>
          <w:rFonts w:ascii="Arial" w:hAnsi="Arial" w:cs="Arial"/>
          <w:color w:val="000000" w:themeColor="text1"/>
          <w:sz w:val="21"/>
          <w:szCs w:val="21"/>
        </w:rPr>
        <w:t>2019</w:t>
      </w:r>
      <w:r w:rsidRPr="007B4794">
        <w:rPr>
          <w:rFonts w:ascii="Arial" w:hAnsi="Arial" w:cs="Arial" w:hint="eastAsia"/>
          <w:color w:val="000000" w:themeColor="text1"/>
          <w:sz w:val="21"/>
          <w:szCs w:val="21"/>
        </w:rPr>
        <w:t>年底已支付</w:t>
      </w:r>
      <w:r w:rsidRPr="007B4794">
        <w:rPr>
          <w:rFonts w:ascii="Arial" w:hAnsi="Arial" w:cs="Arial"/>
          <w:color w:val="000000" w:themeColor="text1"/>
          <w:sz w:val="21"/>
          <w:szCs w:val="21"/>
        </w:rPr>
        <w:t>224.43</w:t>
      </w:r>
      <w:r w:rsidRPr="007B4794">
        <w:rPr>
          <w:rFonts w:ascii="Arial" w:hAnsi="Arial" w:cs="Arial" w:hint="eastAsia"/>
          <w:color w:val="000000" w:themeColor="text1"/>
          <w:sz w:val="21"/>
          <w:szCs w:val="21"/>
        </w:rPr>
        <w:t>亿元，尚未支付</w:t>
      </w:r>
      <w:r w:rsidRPr="007B4794">
        <w:rPr>
          <w:rFonts w:ascii="Arial" w:hAnsi="Arial" w:cs="Arial"/>
          <w:color w:val="000000" w:themeColor="text1"/>
          <w:sz w:val="21"/>
          <w:szCs w:val="21"/>
        </w:rPr>
        <w:t>101.56</w:t>
      </w:r>
      <w:r w:rsidRPr="007B4794">
        <w:rPr>
          <w:rFonts w:ascii="Arial" w:hAnsi="Arial" w:cs="Arial" w:hint="eastAsia"/>
          <w:color w:val="000000" w:themeColor="text1"/>
          <w:sz w:val="21"/>
          <w:szCs w:val="21"/>
        </w:rPr>
        <w:t>亿元）；公司新获取土地楼面均价为</w:t>
      </w:r>
      <w:r w:rsidRPr="007B4794">
        <w:rPr>
          <w:rFonts w:ascii="Arial" w:hAnsi="Arial" w:cs="Arial"/>
          <w:color w:val="000000" w:themeColor="text1"/>
          <w:sz w:val="21"/>
          <w:szCs w:val="21"/>
        </w:rPr>
        <w:t>3,166.95</w:t>
      </w:r>
      <w:r w:rsidRPr="007B4794">
        <w:rPr>
          <w:rFonts w:ascii="Arial" w:hAnsi="Arial" w:cs="Arial" w:hint="eastAsia"/>
          <w:color w:val="000000" w:themeColor="text1"/>
          <w:sz w:val="21"/>
          <w:szCs w:val="21"/>
        </w:rPr>
        <w:t>元</w:t>
      </w:r>
      <w:r w:rsidRPr="007B4794">
        <w:rPr>
          <w:rFonts w:ascii="Arial" w:hAnsi="Arial" w:cs="Arial"/>
          <w:color w:val="000000" w:themeColor="text1"/>
          <w:sz w:val="21"/>
          <w:szCs w:val="21"/>
        </w:rPr>
        <w:t>/</w:t>
      </w:r>
      <w:r w:rsidRPr="007B4794">
        <w:rPr>
          <w:rFonts w:ascii="Arial" w:hAnsi="Arial" w:cs="Arial" w:hint="eastAsia"/>
          <w:color w:val="000000" w:themeColor="text1"/>
          <w:sz w:val="21"/>
          <w:szCs w:val="21"/>
        </w:rPr>
        <w:t>平方米，同比提升</w:t>
      </w:r>
      <w:r w:rsidRPr="007B4794">
        <w:rPr>
          <w:rFonts w:ascii="Arial" w:hAnsi="Arial" w:cs="Arial"/>
          <w:color w:val="000000" w:themeColor="text1"/>
          <w:sz w:val="21"/>
          <w:szCs w:val="21"/>
        </w:rPr>
        <w:t>29.58%</w:t>
      </w:r>
      <w:r w:rsidRPr="007B4794">
        <w:rPr>
          <w:rFonts w:ascii="Arial" w:hAnsi="Arial" w:cs="Arial" w:hint="eastAsia"/>
          <w:color w:val="000000" w:themeColor="text1"/>
          <w:sz w:val="21"/>
          <w:szCs w:val="21"/>
        </w:rPr>
        <w:t>。</w:t>
      </w:r>
    </w:p>
    <w:p w14:paraId="020CA096" w14:textId="77777777" w:rsidR="00EA047A" w:rsidRPr="007B4794" w:rsidRDefault="00EA047A" w:rsidP="00EA047A">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公司土地储备按照收入结转时点进行统计，统计口径为尚未结转收入土地的建筑面积（包含待发展物业建筑面积、发展中物业建筑面积、完工未售建筑面积）。截至</w:t>
      </w:r>
      <w:r w:rsidRPr="007B4794">
        <w:rPr>
          <w:rFonts w:ascii="Arial" w:hAnsi="Arial" w:cs="Arial"/>
          <w:color w:val="000000" w:themeColor="text1"/>
          <w:sz w:val="21"/>
          <w:szCs w:val="21"/>
        </w:rPr>
        <w:t xml:space="preserve">2019 </w:t>
      </w:r>
      <w:r w:rsidRPr="007B4794">
        <w:rPr>
          <w:rFonts w:ascii="Arial" w:hAnsi="Arial" w:cs="Arial" w:hint="eastAsia"/>
          <w:color w:val="000000" w:themeColor="text1"/>
          <w:sz w:val="21"/>
          <w:szCs w:val="21"/>
        </w:rPr>
        <w:t>年末，公司拥有</w:t>
      </w:r>
      <w:r w:rsidRPr="007B4794">
        <w:rPr>
          <w:rFonts w:ascii="Arial" w:hAnsi="Arial" w:cs="Arial"/>
          <w:color w:val="000000" w:themeColor="text1"/>
          <w:sz w:val="21"/>
          <w:szCs w:val="21"/>
        </w:rPr>
        <w:t xml:space="preserve">253 </w:t>
      </w:r>
      <w:r w:rsidRPr="007B4794">
        <w:rPr>
          <w:rFonts w:ascii="Arial" w:hAnsi="Arial" w:cs="Arial" w:hint="eastAsia"/>
          <w:color w:val="000000" w:themeColor="text1"/>
          <w:sz w:val="21"/>
          <w:szCs w:val="21"/>
        </w:rPr>
        <w:t>个项目的土地储备，规划建筑面积</w:t>
      </w:r>
      <w:r w:rsidRPr="007B4794">
        <w:rPr>
          <w:rFonts w:ascii="Arial" w:hAnsi="Arial" w:cs="Arial"/>
          <w:color w:val="000000" w:themeColor="text1"/>
          <w:sz w:val="21"/>
          <w:szCs w:val="21"/>
        </w:rPr>
        <w:t>4,149.20</w:t>
      </w:r>
      <w:r w:rsidRPr="007B4794">
        <w:rPr>
          <w:rFonts w:ascii="Arial" w:hAnsi="Arial" w:cs="Arial" w:hint="eastAsia"/>
          <w:color w:val="000000" w:themeColor="text1"/>
          <w:sz w:val="21"/>
          <w:szCs w:val="21"/>
        </w:rPr>
        <w:t>万平方米（其中完工未售建筑面积</w:t>
      </w:r>
      <w:r w:rsidRPr="007B4794">
        <w:rPr>
          <w:rFonts w:ascii="Arial" w:hAnsi="Arial" w:cs="Arial"/>
          <w:color w:val="000000" w:themeColor="text1"/>
          <w:sz w:val="21"/>
          <w:szCs w:val="21"/>
        </w:rPr>
        <w:t>427.1</w:t>
      </w:r>
      <w:r w:rsidRPr="007B4794">
        <w:rPr>
          <w:rFonts w:ascii="Arial" w:hAnsi="Arial" w:cs="Arial" w:hint="eastAsia"/>
          <w:color w:val="000000" w:themeColor="text1"/>
          <w:sz w:val="21"/>
          <w:szCs w:val="21"/>
        </w:rPr>
        <w:t>0</w:t>
      </w:r>
      <w:r w:rsidRPr="007B4794">
        <w:rPr>
          <w:rFonts w:ascii="Arial" w:hAnsi="Arial" w:cs="Arial" w:hint="eastAsia"/>
          <w:color w:val="000000" w:themeColor="text1"/>
          <w:sz w:val="21"/>
          <w:szCs w:val="21"/>
        </w:rPr>
        <w:t>万平方米，发展中物业建筑面积</w:t>
      </w:r>
      <w:r w:rsidRPr="007B4794">
        <w:rPr>
          <w:rFonts w:ascii="Arial" w:hAnsi="Arial" w:cs="Arial"/>
          <w:color w:val="000000" w:themeColor="text1"/>
          <w:sz w:val="21"/>
          <w:szCs w:val="21"/>
        </w:rPr>
        <w:t>2,195.80</w:t>
      </w:r>
      <w:r w:rsidRPr="007B4794">
        <w:rPr>
          <w:rFonts w:ascii="Arial" w:hAnsi="Arial" w:cs="Arial" w:hint="eastAsia"/>
          <w:color w:val="000000" w:themeColor="text1"/>
          <w:sz w:val="21"/>
          <w:szCs w:val="21"/>
        </w:rPr>
        <w:t>万平方米，待发展物业建筑面积</w:t>
      </w:r>
      <w:r w:rsidRPr="007B4794">
        <w:rPr>
          <w:rFonts w:ascii="Arial" w:hAnsi="Arial" w:cs="Arial"/>
          <w:color w:val="000000" w:themeColor="text1"/>
          <w:sz w:val="21"/>
          <w:szCs w:val="21"/>
        </w:rPr>
        <w:t>1,526.40</w:t>
      </w:r>
      <w:r w:rsidRPr="007B4794">
        <w:rPr>
          <w:rFonts w:ascii="Arial" w:hAnsi="Arial" w:cs="Arial" w:hint="eastAsia"/>
          <w:color w:val="000000" w:themeColor="text1"/>
          <w:sz w:val="21"/>
          <w:szCs w:val="21"/>
        </w:rPr>
        <w:t>万平方米），权益规划建筑面积</w:t>
      </w:r>
      <w:r w:rsidRPr="007B4794">
        <w:rPr>
          <w:rFonts w:ascii="Arial" w:hAnsi="Arial" w:cs="Arial"/>
          <w:color w:val="000000" w:themeColor="text1"/>
          <w:sz w:val="21"/>
          <w:szCs w:val="21"/>
        </w:rPr>
        <w:t>3,271.19</w:t>
      </w:r>
      <w:r w:rsidRPr="007B4794">
        <w:rPr>
          <w:rFonts w:ascii="Arial" w:hAnsi="Arial" w:cs="Arial" w:hint="eastAsia"/>
          <w:color w:val="000000" w:themeColor="text1"/>
          <w:sz w:val="21"/>
          <w:szCs w:val="21"/>
        </w:rPr>
        <w:t>万平方米，公司项目储备充足。从土地储备区域分布上来看，公司土地储备分布较广，以二</w:t>
      </w:r>
      <w:r w:rsidRPr="007B4794">
        <w:rPr>
          <w:rFonts w:ascii="Arial" w:hAnsi="Arial" w:cs="Arial" w:hint="eastAsia"/>
          <w:color w:val="000000" w:themeColor="text1"/>
          <w:sz w:val="21"/>
          <w:szCs w:val="21"/>
        </w:rPr>
        <w:lastRenderedPageBreak/>
        <w:t>三线城市为主，其中广东省各市区占比相对较高。整体看，公司土地储备较为充裕，区位分布较为广泛，项目获取成本较低，整体公司土地储备质量较好。</w:t>
      </w:r>
    </w:p>
    <w:p w14:paraId="3979486D" w14:textId="77777777" w:rsidR="00EA047A" w:rsidRPr="007B4794" w:rsidRDefault="00EA047A" w:rsidP="00EA047A">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总体看，公司土地储备规模较大，可以满足公司的开发节奏；公司土地储备区域分布较广，在聚焦粤港澳大湾区的同时在二三线区域有梯度的布局项目，整体土地储备的情况较好。</w:t>
      </w:r>
    </w:p>
    <w:p w14:paraId="7CDC3E56" w14:textId="77777777" w:rsidR="00EA047A" w:rsidRPr="007B4794" w:rsidRDefault="00EA047A" w:rsidP="00EA047A">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6</w:t>
      </w:r>
      <w:r w:rsidRPr="007B4794">
        <w:rPr>
          <w:rFonts w:ascii="Arial" w:hAnsi="Arial" w:cs="Arial" w:hint="eastAsia"/>
          <w:color w:val="000000" w:themeColor="text1"/>
          <w:sz w:val="21"/>
          <w:szCs w:val="21"/>
        </w:rPr>
        <w:t>、项目开发情况</w:t>
      </w:r>
    </w:p>
    <w:p w14:paraId="285057B0" w14:textId="77777777" w:rsidR="00EA047A" w:rsidRPr="007B4794" w:rsidRDefault="00EA047A" w:rsidP="00EA047A">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从项目开发规模来看，</w:t>
      </w:r>
      <w:r w:rsidRPr="007B4794">
        <w:rPr>
          <w:rFonts w:ascii="Arial" w:hAnsi="Arial" w:cs="Arial"/>
          <w:color w:val="000000" w:themeColor="text1"/>
          <w:sz w:val="21"/>
          <w:szCs w:val="21"/>
        </w:rPr>
        <w:t xml:space="preserve">2019 </w:t>
      </w:r>
      <w:r w:rsidRPr="007B4794">
        <w:rPr>
          <w:rFonts w:ascii="Arial" w:hAnsi="Arial" w:cs="Arial" w:hint="eastAsia"/>
          <w:color w:val="000000" w:themeColor="text1"/>
          <w:sz w:val="21"/>
          <w:szCs w:val="21"/>
        </w:rPr>
        <w:t>年，公司进一步加大开工力度，新开工面积</w:t>
      </w:r>
      <w:r w:rsidRPr="007B4794">
        <w:rPr>
          <w:rFonts w:ascii="Arial" w:hAnsi="Arial" w:cs="Arial"/>
          <w:color w:val="000000" w:themeColor="text1"/>
          <w:sz w:val="21"/>
          <w:szCs w:val="21"/>
        </w:rPr>
        <w:t>1,148.01</w:t>
      </w:r>
      <w:r w:rsidRPr="007B4794">
        <w:rPr>
          <w:rFonts w:ascii="Arial" w:hAnsi="Arial" w:cs="Arial" w:hint="eastAsia"/>
          <w:color w:val="000000" w:themeColor="text1"/>
          <w:sz w:val="21"/>
          <w:szCs w:val="21"/>
        </w:rPr>
        <w:t>万平方米，同比增多</w:t>
      </w:r>
      <w:r w:rsidRPr="007B4794">
        <w:rPr>
          <w:rFonts w:ascii="Arial" w:hAnsi="Arial" w:cs="Arial"/>
          <w:color w:val="000000" w:themeColor="text1"/>
          <w:sz w:val="21"/>
          <w:szCs w:val="21"/>
        </w:rPr>
        <w:t>47.89%</w:t>
      </w:r>
      <w:r w:rsidRPr="007B4794">
        <w:rPr>
          <w:rFonts w:ascii="Arial" w:hAnsi="Arial" w:cs="Arial" w:hint="eastAsia"/>
          <w:color w:val="000000" w:themeColor="text1"/>
          <w:sz w:val="21"/>
          <w:szCs w:val="21"/>
        </w:rPr>
        <w:t>；竣工面积</w:t>
      </w:r>
      <w:r w:rsidRPr="007B4794">
        <w:rPr>
          <w:rFonts w:ascii="Arial" w:hAnsi="Arial" w:cs="Arial"/>
          <w:color w:val="000000" w:themeColor="text1"/>
          <w:sz w:val="21"/>
          <w:szCs w:val="21"/>
        </w:rPr>
        <w:t>680.47</w:t>
      </w:r>
      <w:r w:rsidRPr="007B4794">
        <w:rPr>
          <w:rFonts w:ascii="Arial" w:hAnsi="Arial" w:cs="Arial" w:hint="eastAsia"/>
          <w:color w:val="000000" w:themeColor="text1"/>
          <w:sz w:val="21"/>
          <w:szCs w:val="21"/>
        </w:rPr>
        <w:t>万平方米，同比增长</w:t>
      </w:r>
      <w:r w:rsidRPr="007B4794">
        <w:rPr>
          <w:rFonts w:ascii="Arial" w:hAnsi="Arial" w:cs="Arial"/>
          <w:color w:val="000000" w:themeColor="text1"/>
          <w:sz w:val="21"/>
          <w:szCs w:val="21"/>
        </w:rPr>
        <w:t>89.59%</w:t>
      </w:r>
      <w:r w:rsidRPr="007B4794">
        <w:rPr>
          <w:rFonts w:ascii="Arial" w:hAnsi="Arial" w:cs="Arial" w:hint="eastAsia"/>
          <w:color w:val="000000" w:themeColor="text1"/>
          <w:sz w:val="21"/>
          <w:szCs w:val="21"/>
        </w:rPr>
        <w:t>，随着公司施工面积提升而逐年增长。截至</w:t>
      </w:r>
      <w:r w:rsidRPr="007B4794">
        <w:rPr>
          <w:rFonts w:ascii="Arial" w:hAnsi="Arial" w:cs="Arial"/>
          <w:color w:val="000000" w:themeColor="text1"/>
          <w:sz w:val="21"/>
          <w:szCs w:val="21"/>
        </w:rPr>
        <w:t xml:space="preserve">2019 </w:t>
      </w:r>
      <w:r w:rsidRPr="007B4794">
        <w:rPr>
          <w:rFonts w:ascii="Arial" w:hAnsi="Arial" w:cs="Arial" w:hint="eastAsia"/>
          <w:color w:val="000000" w:themeColor="text1"/>
          <w:sz w:val="21"/>
          <w:szCs w:val="21"/>
        </w:rPr>
        <w:t>年末，公司期末在建面积</w:t>
      </w:r>
      <w:r w:rsidRPr="007B4794">
        <w:rPr>
          <w:rFonts w:ascii="Arial" w:hAnsi="Arial" w:cs="Arial"/>
          <w:color w:val="000000" w:themeColor="text1"/>
          <w:sz w:val="21"/>
          <w:szCs w:val="21"/>
        </w:rPr>
        <w:t>1,959.25</w:t>
      </w:r>
      <w:r w:rsidRPr="007B4794">
        <w:rPr>
          <w:rFonts w:ascii="Arial" w:hAnsi="Arial" w:cs="Arial" w:hint="eastAsia"/>
          <w:color w:val="000000" w:themeColor="text1"/>
          <w:sz w:val="21"/>
          <w:szCs w:val="21"/>
        </w:rPr>
        <w:t>万平方米。</w:t>
      </w:r>
    </w:p>
    <w:p w14:paraId="2D40CABD" w14:textId="28AD0E59" w:rsidR="00EA047A" w:rsidRPr="007B4794" w:rsidRDefault="00EA047A" w:rsidP="00EA047A">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截至</w:t>
      </w:r>
      <w:r w:rsidRPr="007B4794">
        <w:rPr>
          <w:rFonts w:ascii="Arial" w:hAnsi="Arial" w:cs="Arial"/>
          <w:color w:val="000000" w:themeColor="text1"/>
          <w:sz w:val="21"/>
          <w:szCs w:val="21"/>
        </w:rPr>
        <w:t xml:space="preserve">2019 </w:t>
      </w:r>
      <w:r w:rsidRPr="007B4794">
        <w:rPr>
          <w:rFonts w:ascii="Arial" w:hAnsi="Arial" w:cs="Arial" w:hint="eastAsia"/>
          <w:color w:val="000000" w:themeColor="text1"/>
          <w:sz w:val="21"/>
          <w:szCs w:val="21"/>
        </w:rPr>
        <w:t>年末，公司在建项目数量合计</w:t>
      </w:r>
      <w:r w:rsidRPr="007B4794">
        <w:rPr>
          <w:rFonts w:ascii="Arial" w:hAnsi="Arial" w:cs="Arial"/>
          <w:color w:val="000000" w:themeColor="text1"/>
          <w:sz w:val="21"/>
          <w:szCs w:val="21"/>
        </w:rPr>
        <w:t>209</w:t>
      </w:r>
      <w:r w:rsidRPr="007B4794">
        <w:rPr>
          <w:rFonts w:ascii="Arial" w:hAnsi="Arial" w:cs="Arial" w:hint="eastAsia"/>
          <w:color w:val="000000" w:themeColor="text1"/>
          <w:sz w:val="21"/>
          <w:szCs w:val="21"/>
        </w:rPr>
        <w:t>个，在建项目规划总建筑面积（不含地下）</w:t>
      </w:r>
      <w:r w:rsidRPr="007B4794">
        <w:rPr>
          <w:rFonts w:ascii="Arial" w:hAnsi="Arial" w:cs="Arial"/>
          <w:color w:val="000000" w:themeColor="text1"/>
          <w:sz w:val="21"/>
          <w:szCs w:val="21"/>
        </w:rPr>
        <w:t>4,866.11</w:t>
      </w:r>
      <w:r w:rsidRPr="007B4794">
        <w:rPr>
          <w:rFonts w:ascii="Arial" w:hAnsi="Arial" w:cs="Arial" w:hint="eastAsia"/>
          <w:color w:val="000000" w:themeColor="text1"/>
          <w:sz w:val="21"/>
          <w:szCs w:val="21"/>
        </w:rPr>
        <w:t>万平方米，权益建筑面积（不含车库）</w:t>
      </w:r>
      <w:r w:rsidRPr="007B4794">
        <w:rPr>
          <w:rFonts w:ascii="Arial" w:hAnsi="Arial" w:cs="Arial"/>
          <w:color w:val="000000" w:themeColor="text1"/>
          <w:sz w:val="21"/>
          <w:szCs w:val="21"/>
        </w:rPr>
        <w:t xml:space="preserve">3,907.09 </w:t>
      </w:r>
      <w:r w:rsidRPr="007B4794">
        <w:rPr>
          <w:rFonts w:ascii="Arial" w:hAnsi="Arial" w:cs="Arial" w:hint="eastAsia"/>
          <w:color w:val="000000" w:themeColor="text1"/>
          <w:sz w:val="21"/>
          <w:szCs w:val="21"/>
        </w:rPr>
        <w:t>万平方米，计划权益总投资约</w:t>
      </w:r>
      <w:r w:rsidRPr="007B4794">
        <w:rPr>
          <w:rFonts w:ascii="Arial" w:hAnsi="Arial" w:cs="Arial"/>
          <w:color w:val="000000" w:themeColor="text1"/>
          <w:sz w:val="21"/>
          <w:szCs w:val="21"/>
        </w:rPr>
        <w:t xml:space="preserve">3,182.98 </w:t>
      </w:r>
      <w:r w:rsidRPr="007B4794">
        <w:rPr>
          <w:rFonts w:ascii="Arial" w:hAnsi="Arial" w:cs="Arial" w:hint="eastAsia"/>
          <w:color w:val="000000" w:themeColor="text1"/>
          <w:sz w:val="21"/>
          <w:szCs w:val="21"/>
        </w:rPr>
        <w:t>亿元，已完成权益投资约</w:t>
      </w:r>
      <w:r w:rsidRPr="007B4794">
        <w:rPr>
          <w:rFonts w:ascii="Arial" w:hAnsi="Arial" w:cs="Arial"/>
          <w:color w:val="000000" w:themeColor="text1"/>
          <w:sz w:val="21"/>
          <w:szCs w:val="21"/>
        </w:rPr>
        <w:t>1,795.05</w:t>
      </w:r>
      <w:r w:rsidRPr="007B4794">
        <w:rPr>
          <w:rFonts w:ascii="Arial" w:hAnsi="Arial" w:cs="Arial" w:hint="eastAsia"/>
          <w:color w:val="000000" w:themeColor="text1"/>
          <w:sz w:val="21"/>
          <w:szCs w:val="21"/>
        </w:rPr>
        <w:t>亿元，尚需权益投资约</w:t>
      </w:r>
      <w:r w:rsidRPr="007B4794">
        <w:rPr>
          <w:rFonts w:ascii="Arial" w:hAnsi="Arial" w:cs="Arial"/>
          <w:color w:val="000000" w:themeColor="text1"/>
          <w:sz w:val="21"/>
          <w:szCs w:val="21"/>
        </w:rPr>
        <w:t xml:space="preserve">1,387.93 </w:t>
      </w:r>
      <w:r w:rsidRPr="007B4794">
        <w:rPr>
          <w:rFonts w:ascii="Arial" w:hAnsi="Arial" w:cs="Arial" w:hint="eastAsia"/>
          <w:color w:val="000000" w:themeColor="text1"/>
          <w:sz w:val="21"/>
          <w:szCs w:val="21"/>
        </w:rPr>
        <w:t>亿元</w:t>
      </w:r>
      <w:r w:rsidRPr="007B4794">
        <w:rPr>
          <w:rFonts w:ascii="Arial" w:hAnsi="Arial" w:cs="Arial"/>
          <w:color w:val="000000" w:themeColor="text1"/>
          <w:sz w:val="21"/>
          <w:szCs w:val="21"/>
        </w:rPr>
        <w:t>1</w:t>
      </w:r>
      <w:r w:rsidRPr="007B4794">
        <w:rPr>
          <w:rFonts w:ascii="Arial" w:hAnsi="Arial" w:cs="Arial" w:hint="eastAsia"/>
          <w:color w:val="000000" w:themeColor="text1"/>
          <w:sz w:val="21"/>
          <w:szCs w:val="21"/>
        </w:rPr>
        <w:t>；公司在建项目规模较大，为后续收入来源提供了保障，但也带来了一定的开发建设支出压力。</w:t>
      </w:r>
    </w:p>
    <w:p w14:paraId="25701AC6" w14:textId="77777777" w:rsidR="00EA047A" w:rsidRPr="007B4794" w:rsidRDefault="00EA047A" w:rsidP="00EA047A">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公司项目主要通过收并购方式获得，合作开发占比较高；所开发产品结构上以住宅类为主，商业类为辅；其中快周转刚需类产品占比较高。从项目开发规模来看，</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017</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2019</w:t>
      </w:r>
      <w:r w:rsidRPr="007B4794">
        <w:rPr>
          <w:rFonts w:ascii="Arial" w:hAnsi="Arial" w:cs="Arial" w:hint="eastAsia"/>
          <w:color w:val="000000" w:themeColor="text1"/>
          <w:sz w:val="21"/>
          <w:szCs w:val="21"/>
        </w:rPr>
        <w:t>年，公司项目开发建设规模逐年加大，公司新开工面积分别为</w:t>
      </w:r>
      <w:r w:rsidRPr="007B4794">
        <w:rPr>
          <w:rFonts w:ascii="Arial" w:hAnsi="Arial" w:cs="Arial" w:hint="eastAsia"/>
          <w:color w:val="000000" w:themeColor="text1"/>
          <w:sz w:val="21"/>
          <w:szCs w:val="21"/>
        </w:rPr>
        <w:t>5</w:t>
      </w:r>
      <w:r w:rsidRPr="007B4794">
        <w:rPr>
          <w:rFonts w:ascii="Arial" w:hAnsi="Arial" w:cs="Arial"/>
          <w:color w:val="000000" w:themeColor="text1"/>
          <w:sz w:val="21"/>
          <w:szCs w:val="21"/>
        </w:rPr>
        <w:t>09.75</w:t>
      </w:r>
      <w:r w:rsidRPr="007B4794">
        <w:rPr>
          <w:rFonts w:ascii="Arial" w:hAnsi="Arial" w:cs="Arial" w:hint="eastAsia"/>
          <w:color w:val="000000" w:themeColor="text1"/>
          <w:sz w:val="21"/>
          <w:szCs w:val="21"/>
        </w:rPr>
        <w:t>万平方米、</w:t>
      </w:r>
      <w:r w:rsidRPr="007B4794">
        <w:rPr>
          <w:rFonts w:ascii="Arial" w:hAnsi="Arial" w:cs="Arial" w:hint="eastAsia"/>
          <w:color w:val="000000" w:themeColor="text1"/>
          <w:sz w:val="21"/>
          <w:szCs w:val="21"/>
        </w:rPr>
        <w:t>9</w:t>
      </w:r>
      <w:r w:rsidRPr="007B4794">
        <w:rPr>
          <w:rFonts w:ascii="Arial" w:hAnsi="Arial" w:cs="Arial"/>
          <w:color w:val="000000" w:themeColor="text1"/>
          <w:sz w:val="21"/>
          <w:szCs w:val="21"/>
        </w:rPr>
        <w:t>58.85</w:t>
      </w:r>
      <w:r w:rsidRPr="007B4794">
        <w:rPr>
          <w:rFonts w:ascii="Arial" w:hAnsi="Arial" w:cs="Arial" w:hint="eastAsia"/>
          <w:color w:val="000000" w:themeColor="text1"/>
          <w:sz w:val="21"/>
          <w:szCs w:val="21"/>
        </w:rPr>
        <w:t>万平方米和</w:t>
      </w:r>
      <w:r w:rsidRPr="007B4794">
        <w:rPr>
          <w:rFonts w:ascii="Arial" w:hAnsi="Arial" w:cs="Arial" w:hint="eastAsia"/>
          <w:color w:val="000000" w:themeColor="text1"/>
          <w:sz w:val="21"/>
          <w:szCs w:val="21"/>
        </w:rPr>
        <w:t>1</w:t>
      </w:r>
      <w:r w:rsidRPr="007B4794">
        <w:rPr>
          <w:rFonts w:ascii="Arial" w:hAnsi="Arial" w:cs="Arial"/>
          <w:color w:val="000000" w:themeColor="text1"/>
          <w:sz w:val="21"/>
          <w:szCs w:val="21"/>
        </w:rPr>
        <w:t>148.01</w:t>
      </w:r>
      <w:r w:rsidRPr="007B4794">
        <w:rPr>
          <w:rFonts w:ascii="Arial" w:hAnsi="Arial" w:cs="Arial" w:hint="eastAsia"/>
          <w:color w:val="000000" w:themeColor="text1"/>
          <w:sz w:val="21"/>
          <w:szCs w:val="21"/>
        </w:rPr>
        <w:t>万平方米，呈不断增长态势。</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017</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2019</w:t>
      </w:r>
      <w:r w:rsidRPr="007B4794">
        <w:rPr>
          <w:rFonts w:ascii="Arial" w:hAnsi="Arial" w:cs="Arial" w:hint="eastAsia"/>
          <w:color w:val="000000" w:themeColor="text1"/>
          <w:sz w:val="21"/>
          <w:szCs w:val="21"/>
        </w:rPr>
        <w:t>年，公司竣工面积分别为</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49.68</w:t>
      </w:r>
      <w:r w:rsidRPr="007B4794">
        <w:rPr>
          <w:rFonts w:ascii="Arial" w:hAnsi="Arial" w:cs="Arial" w:hint="eastAsia"/>
          <w:color w:val="000000" w:themeColor="text1"/>
          <w:sz w:val="21"/>
          <w:szCs w:val="21"/>
        </w:rPr>
        <w:t>万平方米、</w:t>
      </w:r>
      <w:r w:rsidRPr="007B4794">
        <w:rPr>
          <w:rFonts w:ascii="Arial" w:hAnsi="Arial" w:cs="Arial" w:hint="eastAsia"/>
          <w:color w:val="000000" w:themeColor="text1"/>
          <w:sz w:val="21"/>
          <w:szCs w:val="21"/>
        </w:rPr>
        <w:t>3</w:t>
      </w:r>
      <w:r w:rsidRPr="007B4794">
        <w:rPr>
          <w:rFonts w:ascii="Arial" w:hAnsi="Arial" w:cs="Arial"/>
          <w:color w:val="000000" w:themeColor="text1"/>
          <w:sz w:val="21"/>
          <w:szCs w:val="21"/>
        </w:rPr>
        <w:t>58.91</w:t>
      </w:r>
      <w:r w:rsidRPr="007B4794">
        <w:rPr>
          <w:rFonts w:ascii="Arial" w:hAnsi="Arial" w:cs="Arial" w:hint="eastAsia"/>
          <w:color w:val="000000" w:themeColor="text1"/>
          <w:sz w:val="21"/>
          <w:szCs w:val="21"/>
        </w:rPr>
        <w:t>万平方米和</w:t>
      </w:r>
      <w:r w:rsidRPr="007B4794">
        <w:rPr>
          <w:rFonts w:ascii="Arial" w:hAnsi="Arial" w:cs="Arial" w:hint="eastAsia"/>
          <w:color w:val="000000" w:themeColor="text1"/>
          <w:sz w:val="21"/>
          <w:szCs w:val="21"/>
        </w:rPr>
        <w:t>6</w:t>
      </w:r>
      <w:r w:rsidRPr="007B4794">
        <w:rPr>
          <w:rFonts w:ascii="Arial" w:hAnsi="Arial" w:cs="Arial"/>
          <w:color w:val="000000" w:themeColor="text1"/>
          <w:sz w:val="21"/>
          <w:szCs w:val="21"/>
        </w:rPr>
        <w:t>80.47</w:t>
      </w:r>
      <w:r w:rsidRPr="007B4794">
        <w:rPr>
          <w:rFonts w:ascii="Arial" w:hAnsi="Arial" w:cs="Arial" w:hint="eastAsia"/>
          <w:color w:val="000000" w:themeColor="text1"/>
          <w:sz w:val="21"/>
          <w:szCs w:val="21"/>
        </w:rPr>
        <w:t>万平方米，随着公司施工面积提升而逐年增长。</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017</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2019</w:t>
      </w:r>
      <w:r w:rsidRPr="007B4794">
        <w:rPr>
          <w:rFonts w:ascii="Arial" w:hAnsi="Arial" w:cs="Arial" w:hint="eastAsia"/>
          <w:color w:val="000000" w:themeColor="text1"/>
          <w:sz w:val="21"/>
          <w:szCs w:val="21"/>
        </w:rPr>
        <w:t>年，公司期末在建面积分别为</w:t>
      </w:r>
      <w:r w:rsidRPr="007B4794">
        <w:rPr>
          <w:rFonts w:ascii="Arial" w:hAnsi="Arial" w:cs="Arial" w:hint="eastAsia"/>
          <w:color w:val="000000" w:themeColor="text1"/>
          <w:sz w:val="21"/>
          <w:szCs w:val="21"/>
        </w:rPr>
        <w:t>6</w:t>
      </w:r>
      <w:r w:rsidRPr="007B4794">
        <w:rPr>
          <w:rFonts w:ascii="Arial" w:hAnsi="Arial" w:cs="Arial"/>
          <w:color w:val="000000" w:themeColor="text1"/>
          <w:sz w:val="21"/>
          <w:szCs w:val="21"/>
        </w:rPr>
        <w:t>21.76</w:t>
      </w:r>
      <w:r w:rsidRPr="007B4794">
        <w:rPr>
          <w:rFonts w:ascii="Arial" w:hAnsi="Arial" w:cs="Arial" w:hint="eastAsia"/>
          <w:color w:val="000000" w:themeColor="text1"/>
          <w:sz w:val="21"/>
          <w:szCs w:val="21"/>
        </w:rPr>
        <w:t>万平方米、</w:t>
      </w:r>
      <w:r w:rsidRPr="007B4794">
        <w:rPr>
          <w:rFonts w:ascii="Arial" w:hAnsi="Arial" w:cs="Arial" w:hint="eastAsia"/>
          <w:color w:val="000000" w:themeColor="text1"/>
          <w:sz w:val="21"/>
          <w:szCs w:val="21"/>
        </w:rPr>
        <w:t>1</w:t>
      </w:r>
      <w:r w:rsidRPr="007B4794">
        <w:rPr>
          <w:rFonts w:ascii="Arial" w:hAnsi="Arial" w:cs="Arial"/>
          <w:color w:val="000000" w:themeColor="text1"/>
          <w:sz w:val="21"/>
          <w:szCs w:val="21"/>
        </w:rPr>
        <w:t>221.71</w:t>
      </w:r>
      <w:r w:rsidRPr="007B4794">
        <w:rPr>
          <w:rFonts w:ascii="Arial" w:hAnsi="Arial" w:cs="Arial" w:hint="eastAsia"/>
          <w:color w:val="000000" w:themeColor="text1"/>
          <w:sz w:val="21"/>
          <w:szCs w:val="21"/>
        </w:rPr>
        <w:t>万平方米和</w:t>
      </w:r>
      <w:r w:rsidRPr="007B4794">
        <w:rPr>
          <w:rFonts w:ascii="Arial" w:hAnsi="Arial" w:cs="Arial" w:hint="eastAsia"/>
          <w:color w:val="000000" w:themeColor="text1"/>
          <w:sz w:val="21"/>
          <w:szCs w:val="21"/>
        </w:rPr>
        <w:t>1</w:t>
      </w:r>
      <w:r w:rsidRPr="007B4794">
        <w:rPr>
          <w:rFonts w:ascii="Arial" w:hAnsi="Arial" w:cs="Arial"/>
          <w:color w:val="000000" w:themeColor="text1"/>
          <w:sz w:val="21"/>
          <w:szCs w:val="21"/>
        </w:rPr>
        <w:t>959.25</w:t>
      </w:r>
      <w:r w:rsidRPr="007B4794">
        <w:rPr>
          <w:rFonts w:ascii="Arial" w:hAnsi="Arial" w:cs="Arial" w:hint="eastAsia"/>
          <w:color w:val="000000" w:themeColor="text1"/>
          <w:sz w:val="21"/>
          <w:szCs w:val="21"/>
        </w:rPr>
        <w:t>万平方米。</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020</w:t>
      </w:r>
      <w:r w:rsidRPr="007B4794">
        <w:rPr>
          <w:rFonts w:ascii="Arial" w:hAnsi="Arial" w:cs="Arial" w:hint="eastAsia"/>
          <w:color w:val="000000" w:themeColor="text1"/>
          <w:sz w:val="21"/>
          <w:szCs w:val="21"/>
        </w:rPr>
        <w:t>年</w:t>
      </w:r>
      <w:r w:rsidRPr="007B4794">
        <w:rPr>
          <w:rFonts w:ascii="Arial" w:hAnsi="Arial" w:cs="Arial" w:hint="eastAsia"/>
          <w:color w:val="000000" w:themeColor="text1"/>
          <w:sz w:val="21"/>
          <w:szCs w:val="21"/>
        </w:rPr>
        <w:t>1-</w:t>
      </w:r>
      <w:r w:rsidRPr="007B4794">
        <w:rPr>
          <w:rFonts w:ascii="Arial" w:hAnsi="Arial" w:cs="Arial"/>
          <w:color w:val="000000" w:themeColor="text1"/>
          <w:sz w:val="21"/>
          <w:szCs w:val="21"/>
        </w:rPr>
        <w:t>3</w:t>
      </w:r>
      <w:r w:rsidRPr="007B4794">
        <w:rPr>
          <w:rFonts w:ascii="Arial" w:hAnsi="Arial" w:cs="Arial" w:hint="eastAsia"/>
          <w:color w:val="000000" w:themeColor="text1"/>
          <w:sz w:val="21"/>
          <w:szCs w:val="21"/>
        </w:rPr>
        <w:t>月，公司新开工面积</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13.78</w:t>
      </w:r>
      <w:r w:rsidRPr="007B4794">
        <w:rPr>
          <w:rFonts w:ascii="Arial" w:hAnsi="Arial" w:cs="Arial" w:hint="eastAsia"/>
          <w:color w:val="000000" w:themeColor="text1"/>
          <w:sz w:val="21"/>
          <w:szCs w:val="21"/>
        </w:rPr>
        <w:t>万平方米，竣工面积</w:t>
      </w:r>
      <w:r w:rsidRPr="007B4794">
        <w:rPr>
          <w:rFonts w:ascii="Arial" w:hAnsi="Arial" w:cs="Arial" w:hint="eastAsia"/>
          <w:color w:val="000000" w:themeColor="text1"/>
          <w:sz w:val="21"/>
          <w:szCs w:val="21"/>
        </w:rPr>
        <w:t>3</w:t>
      </w:r>
      <w:r w:rsidRPr="007B4794">
        <w:rPr>
          <w:rFonts w:ascii="Arial" w:hAnsi="Arial" w:cs="Arial"/>
          <w:color w:val="000000" w:themeColor="text1"/>
          <w:sz w:val="21"/>
          <w:szCs w:val="21"/>
        </w:rPr>
        <w:t>9.20</w:t>
      </w:r>
      <w:r w:rsidRPr="007B4794">
        <w:rPr>
          <w:rFonts w:ascii="Arial" w:hAnsi="Arial" w:cs="Arial" w:hint="eastAsia"/>
          <w:color w:val="000000" w:themeColor="text1"/>
          <w:sz w:val="21"/>
          <w:szCs w:val="21"/>
        </w:rPr>
        <w:t>万平方米，期末在建面积</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133.83</w:t>
      </w:r>
      <w:r w:rsidRPr="007B4794">
        <w:rPr>
          <w:rFonts w:ascii="Arial" w:hAnsi="Arial" w:cs="Arial" w:hint="eastAsia"/>
          <w:color w:val="000000" w:themeColor="text1"/>
          <w:sz w:val="21"/>
          <w:szCs w:val="21"/>
        </w:rPr>
        <w:t>万平方米。</w:t>
      </w:r>
    </w:p>
    <w:p w14:paraId="540D5AB7" w14:textId="77777777" w:rsidR="00EA047A" w:rsidRPr="007B4794" w:rsidRDefault="00EA047A" w:rsidP="00EA047A">
      <w:pPr>
        <w:adjustRightInd w:val="0"/>
        <w:snapToGrid w:val="0"/>
        <w:spacing w:line="480" w:lineRule="auto"/>
        <w:ind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7</w:t>
      </w:r>
      <w:r w:rsidRPr="007B4794">
        <w:rPr>
          <w:rFonts w:ascii="Arial" w:hAnsi="Arial" w:cs="Arial" w:hint="eastAsia"/>
          <w:color w:val="000000" w:themeColor="text1"/>
          <w:sz w:val="21"/>
          <w:szCs w:val="21"/>
        </w:rPr>
        <w:t>、房地产销售情况</w:t>
      </w:r>
    </w:p>
    <w:p w14:paraId="000B0762" w14:textId="7B997B67" w:rsidR="00EA047A" w:rsidRPr="007B4794" w:rsidRDefault="00EA047A" w:rsidP="00E04B1A">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201</w:t>
      </w:r>
      <w:r w:rsidRPr="007B4794">
        <w:rPr>
          <w:rFonts w:ascii="Arial" w:hAnsi="Arial" w:cs="Arial"/>
          <w:color w:val="000000" w:themeColor="text1"/>
          <w:sz w:val="21"/>
          <w:szCs w:val="21"/>
        </w:rPr>
        <w:t>9</w:t>
      </w:r>
      <w:r w:rsidRPr="007B4794">
        <w:rPr>
          <w:rFonts w:ascii="Arial" w:hAnsi="Arial" w:cs="Arial" w:hint="eastAsia"/>
          <w:color w:val="000000" w:themeColor="text1"/>
          <w:sz w:val="21"/>
          <w:szCs w:val="21"/>
        </w:rPr>
        <w:t>年，公司推盘节奏进一步加快，实现协议销售面积</w:t>
      </w:r>
      <w:r w:rsidRPr="007B4794">
        <w:rPr>
          <w:rFonts w:ascii="Arial" w:hAnsi="Arial" w:cs="Arial" w:hint="eastAsia"/>
          <w:color w:val="000000" w:themeColor="text1"/>
          <w:sz w:val="21"/>
          <w:szCs w:val="21"/>
        </w:rPr>
        <w:t>1</w:t>
      </w:r>
      <w:r w:rsidRPr="007B4794">
        <w:rPr>
          <w:rFonts w:ascii="Arial" w:hAnsi="Arial" w:cs="Arial"/>
          <w:color w:val="000000" w:themeColor="text1"/>
          <w:sz w:val="21"/>
          <w:szCs w:val="21"/>
        </w:rPr>
        <w:t>,112.69</w:t>
      </w:r>
      <w:r w:rsidRPr="007B4794">
        <w:rPr>
          <w:rFonts w:ascii="Arial" w:hAnsi="Arial" w:cs="Arial" w:hint="eastAsia"/>
          <w:color w:val="000000" w:themeColor="text1"/>
          <w:sz w:val="21"/>
          <w:szCs w:val="21"/>
        </w:rPr>
        <w:t>万平方米，较</w:t>
      </w:r>
      <w:r w:rsidRPr="007B4794">
        <w:rPr>
          <w:rFonts w:ascii="Arial" w:hAnsi="Arial" w:cs="Arial" w:hint="eastAsia"/>
          <w:color w:val="000000" w:themeColor="text1"/>
          <w:sz w:val="21"/>
          <w:szCs w:val="21"/>
        </w:rPr>
        <w:t>201</w:t>
      </w:r>
      <w:r w:rsidRPr="007B4794">
        <w:rPr>
          <w:rFonts w:ascii="Arial" w:hAnsi="Arial" w:cs="Arial"/>
          <w:color w:val="000000" w:themeColor="text1"/>
          <w:sz w:val="21"/>
          <w:szCs w:val="21"/>
        </w:rPr>
        <w:t>8</w:t>
      </w:r>
      <w:r w:rsidRPr="007B4794">
        <w:rPr>
          <w:rFonts w:ascii="Arial" w:hAnsi="Arial" w:cs="Arial" w:hint="eastAsia"/>
          <w:color w:val="000000" w:themeColor="text1"/>
          <w:sz w:val="21"/>
          <w:szCs w:val="21"/>
        </w:rPr>
        <w:t>年的</w:t>
      </w:r>
      <w:r w:rsidRPr="007B4794">
        <w:rPr>
          <w:rFonts w:ascii="Arial" w:hAnsi="Arial" w:cs="Arial" w:hint="eastAsia"/>
          <w:color w:val="000000" w:themeColor="text1"/>
          <w:sz w:val="21"/>
          <w:szCs w:val="21"/>
        </w:rPr>
        <w:t>8</w:t>
      </w:r>
      <w:r w:rsidRPr="007B4794">
        <w:rPr>
          <w:rFonts w:ascii="Arial" w:hAnsi="Arial" w:cs="Arial"/>
          <w:color w:val="000000" w:themeColor="text1"/>
          <w:sz w:val="21"/>
          <w:szCs w:val="21"/>
        </w:rPr>
        <w:t>14.12</w:t>
      </w:r>
      <w:r w:rsidRPr="007B4794">
        <w:rPr>
          <w:rFonts w:ascii="Arial" w:hAnsi="Arial" w:cs="Arial" w:hint="eastAsia"/>
          <w:color w:val="000000" w:themeColor="text1"/>
          <w:sz w:val="21"/>
          <w:szCs w:val="21"/>
        </w:rPr>
        <w:t>万平方米大幅增长</w:t>
      </w:r>
      <w:r w:rsidRPr="007B4794">
        <w:rPr>
          <w:rFonts w:ascii="Arial" w:hAnsi="Arial" w:cs="Arial"/>
          <w:color w:val="000000" w:themeColor="text1"/>
          <w:sz w:val="21"/>
          <w:szCs w:val="21"/>
        </w:rPr>
        <w:t>36.54</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；实现协议销售金额</w:t>
      </w:r>
      <w:r w:rsidRPr="007B4794">
        <w:rPr>
          <w:rFonts w:ascii="Arial" w:hAnsi="Arial" w:cs="Arial" w:hint="eastAsia"/>
          <w:color w:val="000000" w:themeColor="text1"/>
          <w:sz w:val="21"/>
          <w:szCs w:val="21"/>
        </w:rPr>
        <w:t>1</w:t>
      </w:r>
      <w:r w:rsidRPr="007B4794">
        <w:rPr>
          <w:rFonts w:ascii="Arial" w:hAnsi="Arial" w:cs="Arial"/>
          <w:color w:val="000000" w:themeColor="text1"/>
          <w:sz w:val="21"/>
          <w:szCs w:val="21"/>
        </w:rPr>
        <w:t>,087.98</w:t>
      </w:r>
      <w:r w:rsidRPr="007B4794">
        <w:rPr>
          <w:rFonts w:ascii="Arial" w:hAnsi="Arial" w:cs="Arial" w:hint="eastAsia"/>
          <w:color w:val="000000" w:themeColor="text1"/>
          <w:sz w:val="21"/>
          <w:szCs w:val="21"/>
        </w:rPr>
        <w:t>亿元，同比增长</w:t>
      </w:r>
      <w:r w:rsidRPr="007B4794">
        <w:rPr>
          <w:rFonts w:ascii="Arial" w:hAnsi="Arial" w:cs="Arial" w:hint="eastAsia"/>
          <w:color w:val="000000" w:themeColor="text1"/>
          <w:sz w:val="21"/>
          <w:szCs w:val="21"/>
        </w:rPr>
        <w:t>3</w:t>
      </w:r>
      <w:r w:rsidRPr="007B4794">
        <w:rPr>
          <w:rFonts w:ascii="Arial" w:hAnsi="Arial" w:cs="Arial"/>
          <w:color w:val="000000" w:themeColor="text1"/>
          <w:sz w:val="21"/>
          <w:szCs w:val="21"/>
        </w:rPr>
        <w:t>2.02</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；协议销售均价</w:t>
      </w:r>
      <w:r w:rsidRPr="007B4794">
        <w:rPr>
          <w:rFonts w:ascii="Arial" w:hAnsi="Arial" w:cs="Arial" w:hint="eastAsia"/>
          <w:color w:val="000000" w:themeColor="text1"/>
          <w:sz w:val="21"/>
          <w:szCs w:val="21"/>
        </w:rPr>
        <w:t>0</w:t>
      </w:r>
      <w:r w:rsidRPr="007B4794">
        <w:rPr>
          <w:rFonts w:ascii="Arial" w:hAnsi="Arial" w:cs="Arial"/>
          <w:color w:val="000000" w:themeColor="text1"/>
          <w:sz w:val="21"/>
          <w:szCs w:val="21"/>
        </w:rPr>
        <w:t>.98</w:t>
      </w:r>
      <w:r w:rsidRPr="007B4794">
        <w:rPr>
          <w:rFonts w:ascii="Arial" w:hAnsi="Arial" w:cs="Arial" w:hint="eastAsia"/>
          <w:color w:val="000000" w:themeColor="text1"/>
          <w:sz w:val="21"/>
          <w:szCs w:val="21"/>
        </w:rPr>
        <w:t>万元</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平方米，同比下降</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.97</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，有所回落。销售回款方面，</w:t>
      </w:r>
      <w:r w:rsidRPr="007B4794">
        <w:rPr>
          <w:rFonts w:ascii="Arial" w:hAnsi="Arial" w:cs="Arial" w:hint="eastAsia"/>
          <w:color w:val="000000" w:themeColor="text1"/>
          <w:sz w:val="21"/>
          <w:szCs w:val="21"/>
        </w:rPr>
        <w:t>2017~201</w:t>
      </w:r>
      <w:r w:rsidRPr="007B4794">
        <w:rPr>
          <w:rFonts w:ascii="Arial" w:hAnsi="Arial" w:cs="Arial"/>
          <w:color w:val="000000" w:themeColor="text1"/>
          <w:sz w:val="21"/>
          <w:szCs w:val="21"/>
        </w:rPr>
        <w:t>9</w:t>
      </w:r>
      <w:r w:rsidRPr="007B4794">
        <w:rPr>
          <w:rFonts w:ascii="Arial" w:hAnsi="Arial" w:cs="Arial" w:hint="eastAsia"/>
          <w:color w:val="000000" w:themeColor="text1"/>
          <w:sz w:val="21"/>
          <w:szCs w:val="21"/>
        </w:rPr>
        <w:t>年，公司销售回款率分别为</w:t>
      </w:r>
      <w:r w:rsidRPr="007B4794">
        <w:rPr>
          <w:rFonts w:ascii="Arial" w:hAnsi="Arial" w:cs="Arial" w:hint="eastAsia"/>
          <w:color w:val="000000" w:themeColor="text1"/>
          <w:sz w:val="21"/>
          <w:szCs w:val="21"/>
        </w:rPr>
        <w:t>80%</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78%</w:t>
      </w:r>
      <w:r w:rsidRPr="007B4794">
        <w:rPr>
          <w:rFonts w:ascii="Arial" w:hAnsi="Arial" w:cs="Arial" w:hint="eastAsia"/>
          <w:color w:val="000000" w:themeColor="text1"/>
          <w:sz w:val="21"/>
          <w:szCs w:val="21"/>
        </w:rPr>
        <w:t>和</w:t>
      </w:r>
      <w:r w:rsidRPr="007B4794">
        <w:rPr>
          <w:rFonts w:ascii="Arial" w:hAnsi="Arial" w:cs="Arial" w:hint="eastAsia"/>
          <w:color w:val="000000" w:themeColor="text1"/>
          <w:sz w:val="21"/>
          <w:szCs w:val="21"/>
        </w:rPr>
        <w:t>75%</w:t>
      </w:r>
      <w:r w:rsidRPr="007B4794">
        <w:rPr>
          <w:rFonts w:ascii="Arial" w:hAnsi="Arial" w:cs="Arial" w:hint="eastAsia"/>
          <w:color w:val="000000" w:themeColor="text1"/>
          <w:sz w:val="21"/>
          <w:szCs w:val="21"/>
        </w:rPr>
        <w:t>，受银行对房地产的信贷收缩政策影响按揭回款有所减慢，公司销售回款率有待提高。</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020</w:t>
      </w:r>
      <w:r w:rsidRPr="007B4794">
        <w:rPr>
          <w:rFonts w:ascii="Arial" w:hAnsi="Arial" w:cs="Arial" w:hint="eastAsia"/>
          <w:color w:val="000000" w:themeColor="text1"/>
          <w:sz w:val="21"/>
          <w:szCs w:val="21"/>
        </w:rPr>
        <w:t>年</w:t>
      </w:r>
      <w:r w:rsidRPr="007B4794">
        <w:rPr>
          <w:rFonts w:ascii="Arial" w:hAnsi="Arial" w:cs="Arial" w:hint="eastAsia"/>
          <w:color w:val="000000" w:themeColor="text1"/>
          <w:sz w:val="21"/>
          <w:szCs w:val="21"/>
        </w:rPr>
        <w:t>1-</w:t>
      </w:r>
      <w:r w:rsidRPr="007B4794">
        <w:rPr>
          <w:rFonts w:ascii="Arial" w:hAnsi="Arial" w:cs="Arial"/>
          <w:color w:val="000000" w:themeColor="text1"/>
          <w:sz w:val="21"/>
          <w:szCs w:val="21"/>
        </w:rPr>
        <w:t>3</w:t>
      </w:r>
      <w:r w:rsidRPr="007B4794">
        <w:rPr>
          <w:rFonts w:ascii="Arial" w:hAnsi="Arial" w:cs="Arial" w:hint="eastAsia"/>
          <w:color w:val="000000" w:themeColor="text1"/>
          <w:sz w:val="21"/>
          <w:szCs w:val="21"/>
        </w:rPr>
        <w:t>月，公司实现协议销售面积</w:t>
      </w:r>
      <w:r w:rsidRPr="007B4794">
        <w:rPr>
          <w:rFonts w:ascii="Arial" w:hAnsi="Arial" w:cs="Arial" w:hint="eastAsia"/>
          <w:color w:val="000000" w:themeColor="text1"/>
          <w:sz w:val="21"/>
          <w:szCs w:val="21"/>
        </w:rPr>
        <w:t>9</w:t>
      </w:r>
      <w:r w:rsidRPr="007B4794">
        <w:rPr>
          <w:rFonts w:ascii="Arial" w:hAnsi="Arial" w:cs="Arial"/>
          <w:color w:val="000000" w:themeColor="text1"/>
          <w:sz w:val="21"/>
          <w:szCs w:val="21"/>
        </w:rPr>
        <w:t>9.80</w:t>
      </w:r>
      <w:r w:rsidRPr="007B4794">
        <w:rPr>
          <w:rFonts w:ascii="Arial" w:hAnsi="Arial" w:cs="Arial" w:hint="eastAsia"/>
          <w:color w:val="000000" w:themeColor="text1"/>
          <w:sz w:val="21"/>
          <w:szCs w:val="21"/>
        </w:rPr>
        <w:t>万平方米，同比下降</w:t>
      </w:r>
      <w:r w:rsidRPr="007B4794">
        <w:rPr>
          <w:rFonts w:ascii="Arial" w:hAnsi="Arial" w:cs="Arial" w:hint="eastAsia"/>
          <w:color w:val="000000" w:themeColor="text1"/>
          <w:sz w:val="21"/>
          <w:szCs w:val="21"/>
        </w:rPr>
        <w:t>3</w:t>
      </w:r>
      <w:r w:rsidRPr="007B4794">
        <w:rPr>
          <w:rFonts w:ascii="Arial" w:hAnsi="Arial" w:cs="Arial"/>
          <w:color w:val="000000" w:themeColor="text1"/>
          <w:sz w:val="21"/>
          <w:szCs w:val="21"/>
        </w:rPr>
        <w:t>9.40</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，主要系受疫情影响</w:t>
      </w:r>
      <w:r w:rsidRPr="007B4794">
        <w:rPr>
          <w:rFonts w:ascii="Arial" w:hAnsi="Arial" w:cs="Arial" w:hint="eastAsia"/>
          <w:color w:val="000000" w:themeColor="text1"/>
          <w:sz w:val="21"/>
          <w:szCs w:val="21"/>
        </w:rPr>
        <w:lastRenderedPageBreak/>
        <w:t>所致；实现协议销售金额</w:t>
      </w:r>
      <w:r w:rsidRPr="007B4794">
        <w:rPr>
          <w:rFonts w:ascii="Arial" w:hAnsi="Arial" w:cs="Arial" w:hint="eastAsia"/>
          <w:color w:val="000000" w:themeColor="text1"/>
          <w:sz w:val="21"/>
          <w:szCs w:val="21"/>
        </w:rPr>
        <w:t>1</w:t>
      </w:r>
      <w:r w:rsidRPr="007B4794">
        <w:rPr>
          <w:rFonts w:ascii="Arial" w:hAnsi="Arial" w:cs="Arial"/>
          <w:color w:val="000000" w:themeColor="text1"/>
          <w:sz w:val="21"/>
          <w:szCs w:val="21"/>
        </w:rPr>
        <w:t>10.53</w:t>
      </w:r>
      <w:r w:rsidRPr="007B4794">
        <w:rPr>
          <w:rFonts w:ascii="Arial" w:hAnsi="Arial" w:cs="Arial" w:hint="eastAsia"/>
          <w:color w:val="000000" w:themeColor="text1"/>
          <w:sz w:val="21"/>
          <w:szCs w:val="21"/>
        </w:rPr>
        <w:t>亿元，同比下降</w:t>
      </w:r>
      <w:r w:rsidRPr="007B4794">
        <w:rPr>
          <w:rFonts w:ascii="Arial" w:hAnsi="Arial" w:cs="Arial" w:hint="eastAsia"/>
          <w:color w:val="000000" w:themeColor="text1"/>
          <w:sz w:val="21"/>
          <w:szCs w:val="21"/>
        </w:rPr>
        <w:t>3</w:t>
      </w:r>
      <w:r w:rsidRPr="007B4794">
        <w:rPr>
          <w:rFonts w:ascii="Arial" w:hAnsi="Arial" w:cs="Arial"/>
          <w:color w:val="000000" w:themeColor="text1"/>
          <w:sz w:val="21"/>
          <w:szCs w:val="21"/>
        </w:rPr>
        <w:t>1.31</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。截至</w:t>
      </w:r>
      <w:r w:rsidRPr="007B4794">
        <w:rPr>
          <w:rFonts w:ascii="Arial" w:hAnsi="Arial" w:cs="Arial"/>
          <w:color w:val="000000" w:themeColor="text1"/>
          <w:sz w:val="21"/>
          <w:szCs w:val="21"/>
        </w:rPr>
        <w:t>2020</w:t>
      </w:r>
      <w:r w:rsidRPr="007B4794">
        <w:rPr>
          <w:rFonts w:ascii="Arial" w:hAnsi="Arial" w:cs="Arial" w:hint="eastAsia"/>
          <w:color w:val="000000" w:themeColor="text1"/>
          <w:sz w:val="21"/>
          <w:szCs w:val="21"/>
        </w:rPr>
        <w:t>年</w:t>
      </w:r>
      <w:r w:rsidRPr="007B4794">
        <w:rPr>
          <w:rFonts w:ascii="Arial" w:hAnsi="Arial" w:cs="Arial" w:hint="eastAsia"/>
          <w:color w:val="000000" w:themeColor="text1"/>
          <w:sz w:val="21"/>
          <w:szCs w:val="21"/>
        </w:rPr>
        <w:t>3</w:t>
      </w:r>
      <w:r w:rsidRPr="007B4794">
        <w:rPr>
          <w:rFonts w:ascii="Arial" w:hAnsi="Arial" w:cs="Arial" w:hint="eastAsia"/>
          <w:color w:val="000000" w:themeColor="text1"/>
          <w:sz w:val="21"/>
          <w:szCs w:val="21"/>
        </w:rPr>
        <w:t>月底，公司已竣工及在建项目剩余可售面积</w:t>
      </w:r>
      <w:r w:rsidRPr="007B4794">
        <w:rPr>
          <w:rFonts w:ascii="Arial" w:hAnsi="Arial" w:cs="Arial"/>
          <w:color w:val="000000" w:themeColor="text1"/>
          <w:sz w:val="21"/>
          <w:szCs w:val="21"/>
        </w:rPr>
        <w:t>2123.92</w:t>
      </w:r>
      <w:r w:rsidRPr="007B4794">
        <w:rPr>
          <w:rFonts w:ascii="Arial" w:hAnsi="Arial" w:cs="Arial" w:hint="eastAsia"/>
          <w:color w:val="000000" w:themeColor="text1"/>
          <w:sz w:val="21"/>
          <w:szCs w:val="21"/>
        </w:rPr>
        <w:t>万平方米，能满足公司未来</w:t>
      </w:r>
      <w:r w:rsidRPr="007B4794">
        <w:rPr>
          <w:rFonts w:ascii="Arial" w:hAnsi="Arial" w:cs="Arial"/>
          <w:color w:val="000000" w:themeColor="text1"/>
          <w:sz w:val="21"/>
          <w:szCs w:val="21"/>
        </w:rPr>
        <w:t>1~2</w:t>
      </w:r>
      <w:r w:rsidRPr="007B4794">
        <w:rPr>
          <w:rFonts w:ascii="Arial" w:hAnsi="Arial" w:cs="Arial" w:hint="eastAsia"/>
          <w:color w:val="000000" w:themeColor="text1"/>
          <w:sz w:val="21"/>
          <w:szCs w:val="21"/>
        </w:rPr>
        <w:t>年的销售需求，可售面积较为充足；从公司项目去化情况看，已取得预售证面积整体去化率为</w:t>
      </w:r>
      <w:r w:rsidRPr="007B4794">
        <w:rPr>
          <w:rFonts w:ascii="Arial" w:hAnsi="Arial" w:cs="Arial"/>
          <w:color w:val="000000" w:themeColor="text1"/>
          <w:sz w:val="21"/>
          <w:szCs w:val="21"/>
        </w:rPr>
        <w:t>88.65%</w:t>
      </w:r>
      <w:r w:rsidRPr="007B4794">
        <w:rPr>
          <w:rFonts w:ascii="Arial" w:hAnsi="Arial" w:cs="Arial" w:hint="eastAsia"/>
          <w:color w:val="000000" w:themeColor="text1"/>
          <w:sz w:val="21"/>
          <w:szCs w:val="21"/>
        </w:rPr>
        <w:t>，去化水平良好。</w:t>
      </w:r>
    </w:p>
    <w:p w14:paraId="4226F2B9" w14:textId="0CE3EE44" w:rsidR="00EA047A" w:rsidRPr="007B4794" w:rsidRDefault="00EA047A" w:rsidP="00EA047A">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总体看，</w:t>
      </w:r>
      <w:r w:rsidRPr="007B4794">
        <w:rPr>
          <w:rFonts w:ascii="Arial" w:hAnsi="Arial" w:cs="Arial" w:hint="eastAsia"/>
          <w:color w:val="000000" w:themeColor="text1"/>
          <w:sz w:val="21"/>
          <w:szCs w:val="21"/>
        </w:rPr>
        <w:t>2019</w:t>
      </w:r>
      <w:r w:rsidRPr="007B4794">
        <w:rPr>
          <w:rFonts w:ascii="Arial" w:hAnsi="Arial" w:cs="Arial" w:hint="eastAsia"/>
          <w:color w:val="000000" w:themeColor="text1"/>
          <w:sz w:val="21"/>
          <w:szCs w:val="21"/>
        </w:rPr>
        <w:t>年，公司协议销售面积与协议销售金额保持较快增长；受银行对房地产的信贷收缩政策影响按揭回款有所减慢影响销售回款率有所回落；公司在售</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可售面积较为充足，为公司实现销售目标提供了基础保证</w:t>
      </w:r>
      <w:r w:rsidR="0070665D" w:rsidRPr="007B4794">
        <w:rPr>
          <w:rFonts w:ascii="Arial" w:hAnsi="Arial" w:cs="Arial" w:hint="eastAsia"/>
          <w:color w:val="000000" w:themeColor="text1"/>
          <w:sz w:val="21"/>
          <w:szCs w:val="21"/>
        </w:rPr>
        <w:t>。</w:t>
      </w:r>
    </w:p>
    <w:p w14:paraId="6B3A7EEB" w14:textId="77777777" w:rsidR="00EA047A" w:rsidRPr="007B4794" w:rsidRDefault="00EA047A" w:rsidP="00EA047A">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8</w:t>
      </w:r>
      <w:r w:rsidRPr="007B4794">
        <w:rPr>
          <w:rFonts w:ascii="Arial" w:hAnsi="Arial" w:cs="Arial" w:hint="eastAsia"/>
          <w:color w:val="000000" w:themeColor="text1"/>
          <w:sz w:val="21"/>
          <w:szCs w:val="21"/>
        </w:rPr>
        <w:t>、自持物业</w:t>
      </w:r>
    </w:p>
    <w:p w14:paraId="3E23F16F" w14:textId="77777777" w:rsidR="00EA047A" w:rsidRPr="007B4794" w:rsidRDefault="00EA047A" w:rsidP="00EA047A">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目前，公司自持物业规模并不大，大部分处于未完工或招商中状态。从物业类型看，公司自持物业主要是商用、零售商店、商业购物中心等。自持物业中，广州南国奥园、广奥、广州奥园养生广场、沈阳奥园国际城等项目较为成熟，已经全部对外出租。</w:t>
      </w:r>
    </w:p>
    <w:p w14:paraId="03F2171B" w14:textId="77777777" w:rsidR="00EA047A" w:rsidRPr="007B4794" w:rsidRDefault="00EA047A" w:rsidP="00EA047A">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2020</w:t>
      </w:r>
      <w:r w:rsidRPr="007B4794">
        <w:rPr>
          <w:rFonts w:ascii="Arial" w:hAnsi="Arial" w:cs="Arial"/>
          <w:color w:val="000000" w:themeColor="text1"/>
          <w:sz w:val="21"/>
          <w:szCs w:val="21"/>
        </w:rPr>
        <w:t>年</w:t>
      </w:r>
      <w:r w:rsidRPr="007B4794">
        <w:rPr>
          <w:rFonts w:ascii="Arial" w:hAnsi="Arial" w:cs="Arial"/>
          <w:color w:val="000000" w:themeColor="text1"/>
          <w:sz w:val="21"/>
          <w:szCs w:val="21"/>
        </w:rPr>
        <w:t>1-3</w:t>
      </w:r>
      <w:r w:rsidRPr="007B4794">
        <w:rPr>
          <w:rFonts w:ascii="Arial" w:hAnsi="Arial" w:cs="Arial"/>
          <w:color w:val="000000" w:themeColor="text1"/>
          <w:sz w:val="21"/>
          <w:szCs w:val="21"/>
        </w:rPr>
        <w:t>月，公司实现租金收入</w:t>
      </w:r>
      <w:r w:rsidRPr="007B4794">
        <w:rPr>
          <w:rFonts w:ascii="Arial" w:hAnsi="Arial" w:cs="Arial"/>
          <w:color w:val="000000" w:themeColor="text1"/>
          <w:sz w:val="21"/>
          <w:szCs w:val="21"/>
        </w:rPr>
        <w:t>2391.21</w:t>
      </w:r>
      <w:r w:rsidRPr="007B4794">
        <w:rPr>
          <w:rFonts w:ascii="Arial" w:hAnsi="Arial" w:cs="Arial"/>
          <w:color w:val="000000" w:themeColor="text1"/>
          <w:sz w:val="21"/>
          <w:szCs w:val="21"/>
        </w:rPr>
        <w:t>万元，同比增长</w:t>
      </w:r>
      <w:r w:rsidRPr="007B4794">
        <w:rPr>
          <w:rFonts w:ascii="Arial" w:hAnsi="Arial" w:cs="Arial"/>
          <w:color w:val="000000" w:themeColor="text1"/>
          <w:sz w:val="21"/>
          <w:szCs w:val="21"/>
        </w:rPr>
        <w:t>23.73%</w:t>
      </w:r>
      <w:r w:rsidRPr="007B4794">
        <w:rPr>
          <w:rFonts w:ascii="Arial" w:hAnsi="Arial" w:cs="Arial"/>
          <w:color w:val="000000" w:themeColor="text1"/>
          <w:sz w:val="21"/>
          <w:szCs w:val="21"/>
        </w:rPr>
        <w:t>，虽然受疫情冲击商业物业租赁受到一定影响，但公司的租金收入实现同比增长，主要系不断有新的物业进入稳定经营期所致。</w:t>
      </w:r>
    </w:p>
    <w:p w14:paraId="4A202297" w14:textId="77777777" w:rsidR="00E04B1A" w:rsidRPr="007B4794" w:rsidRDefault="00EA047A" w:rsidP="00EA047A">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总体看，公司自持物业规模一般，且大部分处于未完工或招商中状态，随着公司自持物业逐渐完工并投入运营，自持物业租金收入有望为公司提供一定的现金流补充。</w:t>
      </w:r>
    </w:p>
    <w:p w14:paraId="089B709C" w14:textId="0FCC9782" w:rsidR="00BA2780" w:rsidRPr="007B4794" w:rsidRDefault="0070665D" w:rsidP="00EA047A">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9</w:t>
      </w:r>
      <w:r w:rsidR="00F229AE" w:rsidRPr="007B4794">
        <w:rPr>
          <w:rFonts w:ascii="Arial" w:hAnsi="Arial" w:cs="Arial" w:hint="eastAsia"/>
          <w:color w:val="000000" w:themeColor="text1"/>
          <w:sz w:val="21"/>
          <w:szCs w:val="21"/>
        </w:rPr>
        <w:t>、</w:t>
      </w:r>
      <w:r w:rsidR="00E04B1A" w:rsidRPr="007B4794">
        <w:rPr>
          <w:rFonts w:ascii="Arial" w:hAnsi="Arial" w:cs="Arial" w:hint="eastAsia"/>
          <w:color w:val="000000" w:themeColor="text1"/>
          <w:sz w:val="21"/>
          <w:szCs w:val="21"/>
        </w:rPr>
        <w:t>奥园集团台商投资区</w:t>
      </w:r>
      <w:r w:rsidR="00BA2780" w:rsidRPr="007B4794">
        <w:rPr>
          <w:rFonts w:ascii="Arial" w:hAnsi="Arial" w:cs="Arial" w:hint="eastAsia"/>
          <w:color w:val="000000" w:themeColor="text1"/>
          <w:sz w:val="21"/>
          <w:szCs w:val="21"/>
        </w:rPr>
        <w:t>市场表现</w:t>
      </w:r>
    </w:p>
    <w:p w14:paraId="5BFE0E67" w14:textId="628660C2" w:rsidR="008B4BA1" w:rsidRPr="007B4794" w:rsidRDefault="00E04B1A" w:rsidP="00E04B1A">
      <w:pPr>
        <w:adjustRightInd w:val="0"/>
        <w:snapToGrid w:val="0"/>
        <w:spacing w:line="480" w:lineRule="auto"/>
        <w:ind w:firstLineChars="200" w:firstLine="420"/>
        <w:jc w:val="both"/>
        <w:rPr>
          <w:rFonts w:ascii="Arial" w:hAnsi="Arial" w:cs="Arial"/>
          <w:color w:val="000000" w:themeColor="text1"/>
          <w:sz w:val="21"/>
          <w:szCs w:val="21"/>
        </w:rPr>
        <w:sectPr w:rsidR="008B4BA1" w:rsidRPr="007B4794" w:rsidSect="009B0B0F">
          <w:headerReference w:type="even" r:id="rId26"/>
          <w:headerReference w:type="default" r:id="rId27"/>
          <w:headerReference w:type="first" r:id="rId28"/>
          <w:pgSz w:w="11906" w:h="16838" w:code="9"/>
          <w:pgMar w:top="1843" w:right="1304" w:bottom="1134" w:left="1304" w:header="1134" w:footer="907" w:gutter="0"/>
          <w:cols w:space="425"/>
          <w:titlePg/>
          <w:docGrid w:linePitch="312"/>
        </w:sectPr>
      </w:pPr>
      <w:r w:rsidRPr="007B4794">
        <w:rPr>
          <w:rFonts w:ascii="Arial" w:hAnsi="Arial" w:cs="Arial" w:hint="eastAsia"/>
          <w:color w:val="000000" w:themeColor="text1"/>
          <w:sz w:val="21"/>
          <w:szCs w:val="21"/>
        </w:rPr>
        <w:t>奥园集团</w:t>
      </w:r>
      <w:r w:rsidR="00B457FF" w:rsidRPr="007B4794">
        <w:rPr>
          <w:rFonts w:ascii="Arial" w:hAnsi="Arial" w:cs="Arial" w:hint="eastAsia"/>
          <w:color w:val="000000" w:themeColor="text1"/>
          <w:sz w:val="21"/>
          <w:szCs w:val="21"/>
        </w:rPr>
        <w:t>于</w:t>
      </w:r>
      <w:r w:rsidR="00B457FF" w:rsidRPr="007B4794">
        <w:rPr>
          <w:rFonts w:ascii="Arial" w:hAnsi="Arial" w:cs="Arial" w:hint="eastAsia"/>
          <w:color w:val="000000" w:themeColor="text1"/>
          <w:sz w:val="21"/>
          <w:szCs w:val="21"/>
        </w:rPr>
        <w:t>2</w:t>
      </w:r>
      <w:r w:rsidR="00B457FF" w:rsidRPr="007B4794">
        <w:rPr>
          <w:rFonts w:ascii="Arial" w:hAnsi="Arial" w:cs="Arial"/>
          <w:color w:val="000000" w:themeColor="text1"/>
          <w:sz w:val="21"/>
          <w:szCs w:val="21"/>
        </w:rPr>
        <w:t>0</w:t>
      </w:r>
      <w:r w:rsidR="00913896" w:rsidRPr="007B4794">
        <w:rPr>
          <w:rFonts w:ascii="Arial" w:hAnsi="Arial" w:cs="Arial" w:hint="eastAsia"/>
          <w:color w:val="000000" w:themeColor="text1"/>
          <w:sz w:val="21"/>
          <w:szCs w:val="21"/>
        </w:rPr>
        <w:t>20</w:t>
      </w:r>
      <w:r w:rsidR="00B457FF" w:rsidRPr="007B4794">
        <w:rPr>
          <w:rFonts w:ascii="Arial" w:hAnsi="Arial" w:cs="Arial" w:hint="eastAsia"/>
          <w:color w:val="000000" w:themeColor="text1"/>
          <w:sz w:val="21"/>
          <w:szCs w:val="21"/>
        </w:rPr>
        <w:t>年</w:t>
      </w:r>
      <w:r w:rsidR="004D7439" w:rsidRPr="007B4794">
        <w:rPr>
          <w:rFonts w:ascii="Arial" w:hAnsi="Arial" w:cs="Arial" w:hint="eastAsia"/>
          <w:color w:val="000000" w:themeColor="text1"/>
          <w:sz w:val="21"/>
          <w:szCs w:val="21"/>
        </w:rPr>
        <w:t>进入</w:t>
      </w:r>
      <w:r w:rsidRPr="007B4794">
        <w:rPr>
          <w:rFonts w:ascii="Arial" w:hAnsi="Arial" w:cs="Arial" w:hint="eastAsia"/>
          <w:color w:val="000000" w:themeColor="text1"/>
          <w:sz w:val="21"/>
          <w:szCs w:val="21"/>
        </w:rPr>
        <w:t>台商投资区</w:t>
      </w:r>
      <w:r w:rsidR="004D7439" w:rsidRPr="007B4794">
        <w:rPr>
          <w:rFonts w:ascii="Arial" w:hAnsi="Arial" w:cs="Arial" w:hint="eastAsia"/>
          <w:color w:val="000000" w:themeColor="text1"/>
          <w:sz w:val="21"/>
          <w:szCs w:val="21"/>
        </w:rPr>
        <w:t>市场，</w:t>
      </w:r>
      <w:r w:rsidR="00913896" w:rsidRPr="007B4794">
        <w:rPr>
          <w:rFonts w:ascii="Arial" w:hAnsi="Arial" w:cs="Arial" w:hint="eastAsia"/>
          <w:color w:val="000000" w:themeColor="text1"/>
          <w:sz w:val="21"/>
          <w:szCs w:val="21"/>
        </w:rPr>
        <w:t>2020</w:t>
      </w:r>
      <w:r w:rsidR="00913896" w:rsidRPr="007B4794">
        <w:rPr>
          <w:rFonts w:ascii="Arial" w:hAnsi="Arial" w:cs="Arial" w:hint="eastAsia"/>
          <w:color w:val="000000" w:themeColor="text1"/>
          <w:sz w:val="21"/>
          <w:szCs w:val="21"/>
        </w:rPr>
        <w:t>年</w:t>
      </w:r>
      <w:r w:rsidR="00913896" w:rsidRPr="007B4794">
        <w:rPr>
          <w:rFonts w:ascii="Arial" w:hAnsi="Arial" w:cs="Arial" w:hint="eastAsia"/>
          <w:color w:val="000000" w:themeColor="text1"/>
          <w:sz w:val="21"/>
          <w:szCs w:val="21"/>
        </w:rPr>
        <w:t>5</w:t>
      </w:r>
      <w:r w:rsidR="00913896" w:rsidRPr="007B4794">
        <w:rPr>
          <w:rFonts w:ascii="Arial" w:hAnsi="Arial" w:cs="Arial" w:hint="eastAsia"/>
          <w:color w:val="000000" w:themeColor="text1"/>
          <w:sz w:val="21"/>
          <w:szCs w:val="21"/>
        </w:rPr>
        <w:t>月</w:t>
      </w:r>
      <w:r w:rsidRPr="007B4794">
        <w:rPr>
          <w:rFonts w:ascii="Arial" w:hAnsi="Arial" w:cs="Arial" w:hint="eastAsia"/>
          <w:color w:val="000000" w:themeColor="text1"/>
          <w:sz w:val="21"/>
          <w:szCs w:val="21"/>
        </w:rPr>
        <w:t>奥园集团</w:t>
      </w:r>
      <w:r w:rsidR="00913896" w:rsidRPr="007B4794">
        <w:rPr>
          <w:rFonts w:ascii="Arial" w:hAnsi="Arial" w:cs="Arial" w:hint="eastAsia"/>
          <w:color w:val="000000" w:themeColor="text1"/>
          <w:sz w:val="21"/>
          <w:szCs w:val="21"/>
        </w:rPr>
        <w:t>取得</w:t>
      </w:r>
      <w:r w:rsidRPr="007B4794">
        <w:rPr>
          <w:rFonts w:ascii="Arial" w:hAnsi="Arial" w:cs="Arial" w:hint="eastAsia"/>
          <w:color w:val="000000" w:themeColor="text1"/>
          <w:sz w:val="21"/>
          <w:szCs w:val="21"/>
        </w:rPr>
        <w:t>角美镇翁角路以南、锦江大道以东</w:t>
      </w:r>
      <w:r w:rsidR="00913896"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2020P02</w:t>
      </w:r>
      <w:r w:rsidR="00913896" w:rsidRPr="007B4794">
        <w:rPr>
          <w:rFonts w:ascii="Arial" w:hAnsi="Arial" w:cs="Arial"/>
          <w:color w:val="000000" w:themeColor="text1"/>
          <w:sz w:val="21"/>
          <w:szCs w:val="21"/>
        </w:rPr>
        <w:t>号地块</w:t>
      </w:r>
      <w:r w:rsidR="00913896" w:rsidRPr="007B4794">
        <w:rPr>
          <w:rFonts w:ascii="Arial" w:hAnsi="Arial" w:cs="Arial" w:hint="eastAsia"/>
          <w:color w:val="000000" w:themeColor="text1"/>
          <w:sz w:val="21"/>
          <w:szCs w:val="21"/>
        </w:rPr>
        <w:t>）</w:t>
      </w:r>
      <w:r w:rsidR="00913896" w:rsidRPr="007B4794">
        <w:rPr>
          <w:rFonts w:ascii="Arial" w:hAnsi="Arial" w:cs="Arial"/>
          <w:color w:val="000000" w:themeColor="text1"/>
          <w:sz w:val="21"/>
          <w:szCs w:val="21"/>
        </w:rPr>
        <w:t>居住、</w:t>
      </w:r>
      <w:r w:rsidRPr="007B4794">
        <w:rPr>
          <w:rFonts w:ascii="Arial" w:hAnsi="Arial" w:cs="Arial" w:hint="eastAsia"/>
          <w:color w:val="000000" w:themeColor="text1"/>
          <w:sz w:val="21"/>
          <w:szCs w:val="21"/>
        </w:rPr>
        <w:t>商服</w:t>
      </w:r>
      <w:r w:rsidR="00913896" w:rsidRPr="007B4794">
        <w:rPr>
          <w:rFonts w:ascii="Arial" w:hAnsi="Arial" w:cs="Arial"/>
          <w:color w:val="000000" w:themeColor="text1"/>
          <w:sz w:val="21"/>
          <w:szCs w:val="21"/>
        </w:rPr>
        <w:t>用地，总价</w:t>
      </w:r>
      <w:r w:rsidRPr="007B4794">
        <w:rPr>
          <w:rFonts w:ascii="Arial" w:hAnsi="Arial" w:cs="Arial" w:hint="eastAsia"/>
          <w:color w:val="000000" w:themeColor="text1"/>
          <w:sz w:val="21"/>
          <w:szCs w:val="21"/>
        </w:rPr>
        <w:t>9.04</w:t>
      </w:r>
      <w:r w:rsidR="00913896" w:rsidRPr="007B4794">
        <w:rPr>
          <w:rFonts w:ascii="Arial" w:hAnsi="Arial" w:cs="Arial"/>
          <w:color w:val="000000" w:themeColor="text1"/>
          <w:sz w:val="21"/>
          <w:szCs w:val="21"/>
        </w:rPr>
        <w:t>亿元，溢价率</w:t>
      </w:r>
      <w:r w:rsidRPr="007B4794">
        <w:rPr>
          <w:rFonts w:ascii="Arial" w:hAnsi="Arial" w:cs="Arial" w:hint="eastAsia"/>
          <w:color w:val="000000" w:themeColor="text1"/>
          <w:sz w:val="21"/>
          <w:szCs w:val="21"/>
        </w:rPr>
        <w:t>32.55</w:t>
      </w:r>
      <w:r w:rsidR="00913896" w:rsidRPr="007B4794">
        <w:rPr>
          <w:rFonts w:ascii="Arial" w:hAnsi="Arial" w:cs="Arial"/>
          <w:color w:val="000000" w:themeColor="text1"/>
          <w:sz w:val="21"/>
          <w:szCs w:val="21"/>
        </w:rPr>
        <w:t>%</w:t>
      </w:r>
      <w:r w:rsidR="00913896" w:rsidRPr="007B4794">
        <w:rPr>
          <w:rFonts w:ascii="Arial" w:hAnsi="Arial" w:cs="Arial"/>
          <w:color w:val="000000" w:themeColor="text1"/>
          <w:sz w:val="21"/>
          <w:szCs w:val="21"/>
        </w:rPr>
        <w:t>，地块成交</w:t>
      </w:r>
      <w:r w:rsidR="00913896" w:rsidRPr="007B4794">
        <w:rPr>
          <w:rFonts w:ascii="Arial" w:hAnsi="Arial" w:cs="Arial" w:hint="eastAsia"/>
          <w:color w:val="000000" w:themeColor="text1"/>
          <w:sz w:val="21"/>
          <w:szCs w:val="21"/>
        </w:rPr>
        <w:t>楼面</w:t>
      </w:r>
      <w:r w:rsidR="00913896" w:rsidRPr="007B4794">
        <w:rPr>
          <w:rFonts w:ascii="Arial" w:hAnsi="Arial" w:cs="Arial"/>
          <w:color w:val="000000" w:themeColor="text1"/>
          <w:sz w:val="21"/>
          <w:szCs w:val="21"/>
        </w:rPr>
        <w:t>单价</w:t>
      </w:r>
      <w:r w:rsidRPr="007B4794">
        <w:rPr>
          <w:rFonts w:ascii="Arial" w:hAnsi="Arial" w:cs="Arial" w:hint="eastAsia"/>
          <w:color w:val="000000" w:themeColor="text1"/>
          <w:sz w:val="21"/>
          <w:szCs w:val="21"/>
        </w:rPr>
        <w:t>8612.88</w:t>
      </w:r>
      <w:r w:rsidR="00913896" w:rsidRPr="007B4794">
        <w:rPr>
          <w:rFonts w:ascii="Arial" w:hAnsi="Arial" w:cs="Arial"/>
          <w:color w:val="000000" w:themeColor="text1"/>
          <w:sz w:val="21"/>
          <w:szCs w:val="21"/>
        </w:rPr>
        <w:t>元</w:t>
      </w:r>
      <w:r w:rsidR="00913896" w:rsidRPr="007B4794">
        <w:rPr>
          <w:rFonts w:ascii="Arial" w:hAnsi="Arial" w:cs="Arial"/>
          <w:color w:val="000000" w:themeColor="text1"/>
          <w:sz w:val="21"/>
          <w:szCs w:val="21"/>
        </w:rPr>
        <w:t>/</w:t>
      </w:r>
      <w:r w:rsidR="00913896" w:rsidRPr="007B4794">
        <w:rPr>
          <w:rFonts w:ascii="Arial" w:hAnsi="Arial" w:cs="Arial" w:hint="eastAsia"/>
          <w:color w:val="000000" w:themeColor="text1"/>
          <w:sz w:val="21"/>
          <w:szCs w:val="21"/>
        </w:rPr>
        <w:t>平方米</w:t>
      </w:r>
      <w:r w:rsidR="00913896" w:rsidRPr="007B4794">
        <w:rPr>
          <w:rFonts w:ascii="Arial" w:hAnsi="Arial" w:cs="Arial"/>
          <w:color w:val="000000" w:themeColor="text1"/>
          <w:sz w:val="21"/>
          <w:szCs w:val="21"/>
        </w:rPr>
        <w:t>，</w:t>
      </w:r>
      <w:r w:rsidR="00913896" w:rsidRPr="007B4794">
        <w:rPr>
          <w:rFonts w:ascii="Arial" w:hAnsi="Arial" w:cs="Arial" w:hint="eastAsia"/>
          <w:color w:val="000000" w:themeColor="text1"/>
          <w:sz w:val="21"/>
          <w:szCs w:val="21"/>
        </w:rPr>
        <w:t>截至报告出具日，该项目</w:t>
      </w:r>
      <w:r w:rsidRPr="007B4794">
        <w:rPr>
          <w:rFonts w:ascii="Arial" w:hAnsi="Arial" w:cs="Arial" w:hint="eastAsia"/>
          <w:color w:val="000000" w:themeColor="text1"/>
          <w:sz w:val="21"/>
          <w:szCs w:val="21"/>
        </w:rPr>
        <w:t>已开工建设。预计于</w:t>
      </w:r>
      <w:r w:rsidRPr="007B4794">
        <w:rPr>
          <w:rFonts w:ascii="Arial" w:hAnsi="Arial" w:cs="Arial" w:hint="eastAsia"/>
          <w:color w:val="000000" w:themeColor="text1"/>
          <w:sz w:val="21"/>
          <w:szCs w:val="21"/>
        </w:rPr>
        <w:t>2020</w:t>
      </w:r>
      <w:r w:rsidRPr="007B4794">
        <w:rPr>
          <w:rFonts w:ascii="Arial" w:hAnsi="Arial" w:cs="Arial" w:hint="eastAsia"/>
          <w:color w:val="000000" w:themeColor="text1"/>
          <w:sz w:val="21"/>
          <w:szCs w:val="21"/>
        </w:rPr>
        <w:t>年</w:t>
      </w:r>
      <w:r w:rsidRPr="007B4794">
        <w:rPr>
          <w:rFonts w:ascii="Arial" w:hAnsi="Arial" w:cs="Arial" w:hint="eastAsia"/>
          <w:color w:val="000000" w:themeColor="text1"/>
          <w:sz w:val="21"/>
          <w:szCs w:val="21"/>
        </w:rPr>
        <w:t>11</w:t>
      </w:r>
      <w:r w:rsidRPr="007B4794">
        <w:rPr>
          <w:rFonts w:ascii="Arial" w:hAnsi="Arial" w:cs="Arial" w:hint="eastAsia"/>
          <w:color w:val="000000" w:themeColor="text1"/>
          <w:sz w:val="21"/>
          <w:szCs w:val="21"/>
        </w:rPr>
        <w:t>月</w:t>
      </w:r>
      <w:r w:rsidRPr="007B4794">
        <w:rPr>
          <w:rFonts w:ascii="Arial" w:hAnsi="Arial" w:cs="Arial" w:hint="eastAsia"/>
          <w:color w:val="000000" w:themeColor="text1"/>
          <w:sz w:val="21"/>
          <w:szCs w:val="21"/>
        </w:rPr>
        <w:t>28</w:t>
      </w:r>
      <w:r w:rsidRPr="007B4794">
        <w:rPr>
          <w:rFonts w:ascii="Arial" w:hAnsi="Arial" w:cs="Arial" w:hint="eastAsia"/>
          <w:color w:val="000000" w:themeColor="text1"/>
          <w:sz w:val="21"/>
          <w:szCs w:val="21"/>
        </w:rPr>
        <w:t>日开盘，首批推出</w:t>
      </w:r>
      <w:r w:rsidRPr="007B4794">
        <w:rPr>
          <w:rFonts w:ascii="Arial" w:hAnsi="Arial" w:cs="Arial" w:hint="eastAsia"/>
          <w:color w:val="000000" w:themeColor="text1"/>
          <w:sz w:val="21"/>
          <w:szCs w:val="21"/>
        </w:rPr>
        <w:t>2</w:t>
      </w:r>
      <w:r w:rsidRPr="007B4794">
        <w:rPr>
          <w:rFonts w:ascii="Arial" w:hAnsi="Arial" w:cs="Arial" w:hint="eastAsia"/>
          <w:color w:val="000000" w:themeColor="text1"/>
          <w:sz w:val="21"/>
          <w:szCs w:val="21"/>
        </w:rPr>
        <w:t>栋楼共计约</w:t>
      </w:r>
      <w:r w:rsidRPr="007B4794">
        <w:rPr>
          <w:rFonts w:ascii="Arial" w:hAnsi="Arial" w:cs="Arial" w:hint="eastAsia"/>
          <w:color w:val="000000" w:themeColor="text1"/>
          <w:sz w:val="21"/>
          <w:szCs w:val="21"/>
        </w:rPr>
        <w:t>200</w:t>
      </w:r>
      <w:r w:rsidRPr="007B4794">
        <w:rPr>
          <w:rFonts w:ascii="Arial" w:hAnsi="Arial" w:cs="Arial" w:hint="eastAsia"/>
          <w:color w:val="000000" w:themeColor="text1"/>
          <w:sz w:val="21"/>
          <w:szCs w:val="21"/>
        </w:rPr>
        <w:t>多套住宅用房</w:t>
      </w:r>
      <w:r w:rsidR="00932C22" w:rsidRPr="007B4794">
        <w:rPr>
          <w:rFonts w:ascii="Arial" w:hAnsi="Arial" w:cs="Arial" w:hint="eastAsia"/>
          <w:color w:val="000000" w:themeColor="text1"/>
          <w:sz w:val="21"/>
          <w:szCs w:val="21"/>
        </w:rPr>
        <w:t>。</w:t>
      </w:r>
    </w:p>
    <w:p w14:paraId="17D73164" w14:textId="3A9FF132" w:rsidR="00E352F7" w:rsidRPr="007B4794" w:rsidRDefault="00E352F7" w:rsidP="00052E9B">
      <w:pPr>
        <w:adjustRightInd w:val="0"/>
        <w:snapToGrid w:val="0"/>
        <w:spacing w:line="480" w:lineRule="auto"/>
        <w:rPr>
          <w:rFonts w:ascii="Arial" w:hAnsi="Arial" w:cs="Arial"/>
          <w:b/>
          <w:bCs/>
          <w:color w:val="000000" w:themeColor="text1"/>
          <w:sz w:val="2"/>
          <w:szCs w:val="2"/>
        </w:rPr>
      </w:pPr>
    </w:p>
    <w:p w14:paraId="358E960E" w14:textId="70A18709" w:rsidR="00E352F7" w:rsidRPr="007B4794" w:rsidRDefault="00E352F7" w:rsidP="00FD69CD">
      <w:pPr>
        <w:pStyle w:val="1"/>
        <w:spacing w:before="240"/>
        <w:rPr>
          <w:rFonts w:ascii="Arial" w:eastAsia="方正黑体简体" w:hAnsi="Arial" w:cs="Arial"/>
          <w:b w:val="0"/>
          <w:bCs/>
          <w:color w:val="000000" w:themeColor="text1"/>
          <w:sz w:val="32"/>
          <w:szCs w:val="32"/>
        </w:rPr>
      </w:pPr>
      <w:bookmarkStart w:id="54" w:name="_Toc54016586"/>
      <w:r w:rsidRPr="007B4794">
        <w:rPr>
          <w:rFonts w:ascii="Arial" w:eastAsia="方正黑体简体" w:hAnsi="Arial" w:cs="Arial"/>
          <w:b w:val="0"/>
          <w:bCs/>
          <w:color w:val="000000" w:themeColor="text1"/>
          <w:sz w:val="32"/>
          <w:szCs w:val="32"/>
        </w:rPr>
        <w:t>第三章</w:t>
      </w:r>
      <w:r w:rsidRPr="007B4794">
        <w:rPr>
          <w:rFonts w:ascii="Arial" w:eastAsia="方正黑体简体" w:hAnsi="Arial" w:cs="Arial"/>
          <w:b w:val="0"/>
          <w:bCs/>
          <w:color w:val="000000" w:themeColor="text1"/>
          <w:sz w:val="32"/>
          <w:szCs w:val="32"/>
        </w:rPr>
        <w:t xml:space="preserve">  </w:t>
      </w:r>
      <w:r w:rsidR="00F32F92" w:rsidRPr="007B4794">
        <w:rPr>
          <w:rFonts w:ascii="Arial" w:eastAsia="方正黑体简体" w:hAnsi="Arial" w:cs="Arial" w:hint="eastAsia"/>
          <w:b w:val="0"/>
          <w:bCs/>
          <w:color w:val="000000" w:themeColor="text1"/>
          <w:sz w:val="32"/>
          <w:szCs w:val="32"/>
        </w:rPr>
        <w:t>宏观市场</w:t>
      </w:r>
      <w:r w:rsidR="004E258D" w:rsidRPr="007B4794">
        <w:rPr>
          <w:rFonts w:ascii="Arial" w:eastAsia="方正黑体简体" w:hAnsi="Arial" w:cs="Arial" w:hint="eastAsia"/>
          <w:b w:val="0"/>
          <w:bCs/>
          <w:color w:val="000000" w:themeColor="text1"/>
          <w:sz w:val="32"/>
          <w:szCs w:val="32"/>
        </w:rPr>
        <w:t>分析</w:t>
      </w:r>
      <w:bookmarkEnd w:id="54"/>
    </w:p>
    <w:p w14:paraId="3A1F70ED" w14:textId="3DD73BB2" w:rsidR="00E352F7" w:rsidRPr="007B4794" w:rsidRDefault="00E352F7" w:rsidP="007C540C">
      <w:pPr>
        <w:pStyle w:val="2"/>
        <w:tabs>
          <w:tab w:val="left" w:pos="5220"/>
        </w:tabs>
        <w:spacing w:before="0" w:after="0" w:line="480" w:lineRule="auto"/>
        <w:ind w:firstLineChars="98" w:firstLine="207"/>
        <w:jc w:val="both"/>
        <w:rPr>
          <w:rFonts w:eastAsia="宋体" w:cs="Arial"/>
          <w:color w:val="000000" w:themeColor="text1"/>
          <w:sz w:val="21"/>
          <w:szCs w:val="21"/>
        </w:rPr>
      </w:pPr>
      <w:bookmarkStart w:id="55" w:name="_Toc187666144"/>
      <w:bookmarkStart w:id="56" w:name="_Toc54016587"/>
      <w:r w:rsidRPr="007B4794">
        <w:rPr>
          <w:rFonts w:eastAsia="宋体" w:cs="Arial"/>
          <w:color w:val="000000" w:themeColor="text1"/>
          <w:sz w:val="21"/>
          <w:szCs w:val="21"/>
        </w:rPr>
        <w:t>一、</w:t>
      </w:r>
      <w:bookmarkEnd w:id="55"/>
      <w:r w:rsidR="00F32F92" w:rsidRPr="007B4794">
        <w:rPr>
          <w:rFonts w:eastAsia="宋体" w:cs="Arial" w:hint="eastAsia"/>
          <w:color w:val="000000" w:themeColor="text1"/>
          <w:sz w:val="21"/>
          <w:szCs w:val="21"/>
        </w:rPr>
        <w:t>自然环境</w:t>
      </w:r>
      <w:bookmarkEnd w:id="56"/>
    </w:p>
    <w:p w14:paraId="06B23525" w14:textId="77777777" w:rsidR="00AE01CB" w:rsidRPr="007B4794" w:rsidRDefault="00AE01CB" w:rsidP="00AE01CB">
      <w:pPr>
        <w:pStyle w:val="2"/>
        <w:keepNext w:val="0"/>
        <w:keepLines w:val="0"/>
        <w:widowControl w:val="0"/>
        <w:tabs>
          <w:tab w:val="left" w:pos="5220"/>
        </w:tabs>
        <w:spacing w:before="0" w:after="0" w:line="480" w:lineRule="auto"/>
        <w:ind w:firstLineChars="98" w:firstLine="207"/>
        <w:jc w:val="both"/>
        <w:rPr>
          <w:rFonts w:eastAsia="宋体" w:cs="Arial"/>
          <w:color w:val="000000" w:themeColor="text1"/>
          <w:sz w:val="21"/>
          <w:szCs w:val="21"/>
        </w:rPr>
      </w:pPr>
      <w:bookmarkStart w:id="57" w:name="_Toc244917051"/>
      <w:bookmarkStart w:id="58" w:name="_Toc43885856"/>
      <w:bookmarkStart w:id="59" w:name="_Toc47300698"/>
      <w:bookmarkStart w:id="60" w:name="_Toc54016588"/>
      <w:bookmarkStart w:id="61" w:name="_Toc187666147"/>
      <w:r w:rsidRPr="007B4794">
        <w:rPr>
          <w:rFonts w:eastAsia="宋体" w:cs="Arial"/>
          <w:color w:val="000000" w:themeColor="text1"/>
          <w:sz w:val="21"/>
          <w:szCs w:val="21"/>
        </w:rPr>
        <w:t>（</w:t>
      </w:r>
      <w:r w:rsidRPr="007B4794">
        <w:rPr>
          <w:rFonts w:eastAsia="宋体" w:cs="Arial" w:hint="eastAsia"/>
          <w:color w:val="000000" w:themeColor="text1"/>
          <w:sz w:val="21"/>
          <w:szCs w:val="21"/>
        </w:rPr>
        <w:t>一</w:t>
      </w:r>
      <w:r w:rsidRPr="007B4794">
        <w:rPr>
          <w:rFonts w:eastAsia="宋体" w:cs="Arial"/>
          <w:color w:val="000000" w:themeColor="text1"/>
          <w:sz w:val="21"/>
          <w:szCs w:val="21"/>
        </w:rPr>
        <w:t>）</w:t>
      </w:r>
      <w:bookmarkEnd w:id="57"/>
      <w:r w:rsidRPr="007B4794">
        <w:rPr>
          <w:rFonts w:eastAsia="宋体" w:cs="Arial" w:hint="eastAsia"/>
          <w:color w:val="000000" w:themeColor="text1"/>
          <w:sz w:val="21"/>
          <w:szCs w:val="21"/>
        </w:rPr>
        <w:t>城市概况</w:t>
      </w:r>
      <w:bookmarkEnd w:id="58"/>
      <w:bookmarkEnd w:id="59"/>
      <w:bookmarkEnd w:id="60"/>
    </w:p>
    <w:p w14:paraId="7DAD7666" w14:textId="5F8C5C78" w:rsidR="00AE01CB" w:rsidRPr="007B4794" w:rsidRDefault="00A61F97" w:rsidP="00A61F97">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noProof/>
          <w:color w:val="000000" w:themeColor="text1"/>
          <w:sz w:val="21"/>
          <w:szCs w:val="21"/>
        </w:rPr>
        <w:drawing>
          <wp:anchor distT="0" distB="0" distL="114300" distR="114300" simplePos="0" relativeHeight="251681280" behindDoc="0" locked="0" layoutInCell="1" allowOverlap="1" wp14:anchorId="28F0CA3E" wp14:editId="224D16D0">
            <wp:simplePos x="0" y="0"/>
            <wp:positionH relativeFrom="column">
              <wp:posOffset>2360295</wp:posOffset>
            </wp:positionH>
            <wp:positionV relativeFrom="paragraph">
              <wp:posOffset>1248410</wp:posOffset>
            </wp:positionV>
            <wp:extent cx="3498850" cy="3826510"/>
            <wp:effectExtent l="0" t="0" r="6350" b="2540"/>
            <wp:wrapSquare wrapText="bothSides"/>
            <wp:docPr id="5158" name="图片 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498850" cy="3826510"/>
                    </a:xfrm>
                    <a:prstGeom prst="rect">
                      <a:avLst/>
                    </a:prstGeom>
                  </pic:spPr>
                </pic:pic>
              </a:graphicData>
            </a:graphic>
            <wp14:sizeRelH relativeFrom="margin">
              <wp14:pctWidth>0</wp14:pctWidth>
            </wp14:sizeRelH>
            <wp14:sizeRelV relativeFrom="margin">
              <wp14:pctHeight>0</wp14:pctHeight>
            </wp14:sizeRelV>
          </wp:anchor>
        </w:drawing>
      </w:r>
      <w:r w:rsidRPr="007B4794">
        <w:rPr>
          <w:rFonts w:hint="eastAsia"/>
          <w:noProof/>
          <w:color w:val="000000" w:themeColor="text1"/>
          <w:sz w:val="21"/>
          <w:szCs w:val="21"/>
        </w:rPr>
        <w:t>漳州市位于福建</w:t>
      </w:r>
      <w:r w:rsidRPr="007B4794">
        <w:rPr>
          <w:rFonts w:ascii="Arial" w:hAnsi="Arial" w:cs="Arial" w:hint="eastAsia"/>
          <w:noProof/>
          <w:color w:val="000000" w:themeColor="text1"/>
          <w:sz w:val="21"/>
          <w:szCs w:val="21"/>
        </w:rPr>
        <w:t>省东南部，九龙江下游，地处东经</w:t>
      </w:r>
      <w:r w:rsidRPr="007B4794">
        <w:rPr>
          <w:rFonts w:ascii="Arial" w:hAnsi="Arial" w:cs="Arial"/>
          <w:noProof/>
          <w:color w:val="000000" w:themeColor="text1"/>
          <w:sz w:val="21"/>
          <w:szCs w:val="21"/>
        </w:rPr>
        <w:t>117°-118°</w:t>
      </w:r>
      <w:r w:rsidRPr="007B4794">
        <w:rPr>
          <w:rFonts w:ascii="Arial" w:hAnsi="Arial" w:cs="Arial"/>
          <w:noProof/>
          <w:color w:val="000000" w:themeColor="text1"/>
          <w:sz w:val="21"/>
          <w:szCs w:val="21"/>
        </w:rPr>
        <w:t>、北纬</w:t>
      </w:r>
      <w:r w:rsidRPr="007B4794">
        <w:rPr>
          <w:rFonts w:ascii="Arial" w:hAnsi="Arial" w:cs="Arial"/>
          <w:noProof/>
          <w:color w:val="000000" w:themeColor="text1"/>
          <w:sz w:val="21"/>
          <w:szCs w:val="21"/>
        </w:rPr>
        <w:t>23.8°-25°</w:t>
      </w:r>
      <w:r w:rsidRPr="007B4794">
        <w:rPr>
          <w:rFonts w:ascii="Arial" w:hAnsi="Arial" w:cs="Arial"/>
          <w:noProof/>
          <w:color w:val="000000" w:themeColor="text1"/>
          <w:sz w:val="21"/>
          <w:szCs w:val="21"/>
        </w:rPr>
        <w:t>之间，东濒台湾海峡，与厦门隔海相望，东北与泉州接壤，西北与龙岩相接，西南与广东的汕头毗邻</w:t>
      </w:r>
      <w:r w:rsidR="00AE01CB" w:rsidRPr="007B4794">
        <w:rPr>
          <w:rFonts w:ascii="Arial" w:hAnsi="Arial" w:cs="Arial"/>
          <w:noProof/>
          <w:color w:val="000000" w:themeColor="text1"/>
          <w:sz w:val="21"/>
          <w:szCs w:val="21"/>
        </w:rPr>
        <w:t>。</w:t>
      </w:r>
    </w:p>
    <w:p w14:paraId="02A43377" w14:textId="07C95D76" w:rsidR="00AE01CB" w:rsidRPr="007B4794" w:rsidRDefault="0045240B" w:rsidP="00A61F97">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漳州系历史文化名城，早于一万年前就有先民在这片沃土上繁衍生息。秦始皇二十五年（公元前</w:t>
      </w:r>
      <w:r w:rsidRPr="007B4794">
        <w:rPr>
          <w:rFonts w:ascii="Arial" w:hAnsi="Arial" w:cs="Arial"/>
          <w:noProof/>
          <w:color w:val="000000" w:themeColor="text1"/>
          <w:sz w:val="21"/>
          <w:szCs w:val="21"/>
        </w:rPr>
        <w:t>222</w:t>
      </w:r>
      <w:r w:rsidRPr="007B4794">
        <w:rPr>
          <w:rFonts w:ascii="Arial" w:hAnsi="Arial" w:cs="Arial"/>
          <w:noProof/>
          <w:color w:val="000000" w:themeColor="text1"/>
          <w:sz w:val="21"/>
          <w:szCs w:val="21"/>
        </w:rPr>
        <w:t>年），列入秦中央版图，属闽中郡。汉代，以梁山（今地名）为界，分属南越、闽越，延至隋开皇十二年（公元</w:t>
      </w:r>
      <w:r w:rsidRPr="007B4794">
        <w:rPr>
          <w:rFonts w:ascii="Arial" w:hAnsi="Arial" w:cs="Arial"/>
          <w:noProof/>
          <w:color w:val="000000" w:themeColor="text1"/>
          <w:sz w:val="21"/>
          <w:szCs w:val="21"/>
        </w:rPr>
        <w:t>592</w:t>
      </w:r>
      <w:r w:rsidRPr="007B4794">
        <w:rPr>
          <w:rFonts w:ascii="Arial" w:hAnsi="Arial" w:cs="Arial"/>
          <w:noProof/>
          <w:color w:val="000000" w:themeColor="text1"/>
          <w:sz w:val="21"/>
          <w:szCs w:val="21"/>
        </w:rPr>
        <w:t>年）归于一统。唐垂拱二年（公元</w:t>
      </w:r>
      <w:r w:rsidRPr="007B4794">
        <w:rPr>
          <w:rFonts w:ascii="Arial" w:hAnsi="Arial" w:cs="Arial"/>
          <w:noProof/>
          <w:color w:val="000000" w:themeColor="text1"/>
          <w:sz w:val="21"/>
          <w:szCs w:val="21"/>
        </w:rPr>
        <w:t>686</w:t>
      </w:r>
      <w:r w:rsidRPr="007B4794">
        <w:rPr>
          <w:rFonts w:ascii="Arial" w:hAnsi="Arial" w:cs="Arial"/>
          <w:noProof/>
          <w:color w:val="000000" w:themeColor="text1"/>
          <w:sz w:val="21"/>
          <w:szCs w:val="21"/>
        </w:rPr>
        <w:t>年），陈元光将军请建漳州获准，始设漳州州治，后又改称漳州郡、漳州府等，迄今已有一千三百余年历史。</w:t>
      </w:r>
      <w:r w:rsidRPr="007B4794">
        <w:rPr>
          <w:rFonts w:ascii="Arial" w:hAnsi="Arial" w:cs="Arial"/>
          <w:noProof/>
          <w:color w:val="000000" w:themeColor="text1"/>
          <w:sz w:val="21"/>
          <w:szCs w:val="21"/>
        </w:rPr>
        <w:t>1949</w:t>
      </w:r>
      <w:r w:rsidRPr="007B4794">
        <w:rPr>
          <w:rFonts w:ascii="Arial" w:hAnsi="Arial" w:cs="Arial"/>
          <w:noProof/>
          <w:color w:val="000000" w:themeColor="text1"/>
          <w:sz w:val="21"/>
          <w:szCs w:val="21"/>
        </w:rPr>
        <w:t>年中华人民共和国成立后改为福建省第六行政区，又叫龙溪专区，</w:t>
      </w:r>
      <w:r w:rsidRPr="007B4794">
        <w:rPr>
          <w:rFonts w:ascii="Arial" w:hAnsi="Arial" w:cs="Arial"/>
          <w:noProof/>
          <w:color w:val="000000" w:themeColor="text1"/>
          <w:sz w:val="21"/>
          <w:szCs w:val="21"/>
        </w:rPr>
        <w:t>1969</w:t>
      </w:r>
      <w:r w:rsidRPr="007B4794">
        <w:rPr>
          <w:rFonts w:ascii="Arial" w:hAnsi="Arial" w:cs="Arial"/>
          <w:noProof/>
          <w:color w:val="000000" w:themeColor="text1"/>
          <w:sz w:val="21"/>
          <w:szCs w:val="21"/>
        </w:rPr>
        <w:t>年改为龙溪地区，</w:t>
      </w:r>
      <w:r w:rsidRPr="007B4794">
        <w:rPr>
          <w:rFonts w:ascii="Arial" w:hAnsi="Arial" w:cs="Arial"/>
          <w:noProof/>
          <w:color w:val="000000" w:themeColor="text1"/>
          <w:sz w:val="21"/>
          <w:szCs w:val="21"/>
        </w:rPr>
        <w:t>1985</w:t>
      </w:r>
      <w:r w:rsidRPr="007B4794">
        <w:rPr>
          <w:rFonts w:ascii="Arial" w:hAnsi="Arial" w:cs="Arial"/>
          <w:noProof/>
          <w:color w:val="000000" w:themeColor="text1"/>
          <w:sz w:val="21"/>
          <w:szCs w:val="21"/>
        </w:rPr>
        <w:t>年改为漳州市。</w:t>
      </w:r>
      <w:r w:rsidRPr="007B4794">
        <w:rPr>
          <w:rFonts w:ascii="Arial" w:hAnsi="Arial" w:cs="Arial"/>
          <w:noProof/>
          <w:color w:val="000000" w:themeColor="text1"/>
          <w:sz w:val="21"/>
          <w:szCs w:val="21"/>
        </w:rPr>
        <w:t>1985</w:t>
      </w:r>
      <w:r w:rsidRPr="007B4794">
        <w:rPr>
          <w:rFonts w:ascii="Arial" w:hAnsi="Arial" w:cs="Arial"/>
          <w:noProof/>
          <w:color w:val="000000" w:themeColor="text1"/>
          <w:sz w:val="21"/>
          <w:szCs w:val="21"/>
        </w:rPr>
        <w:t>年被国务院列为全国沿海经济开放区，是</w:t>
      </w:r>
      <w:r w:rsidRPr="007B4794">
        <w:rPr>
          <w:noProof/>
          <w:color w:val="000000" w:themeColor="text1"/>
          <w:sz w:val="21"/>
          <w:szCs w:val="21"/>
        </w:rPr>
        <w:t>全国较早实行对外开放的地区之一</w:t>
      </w:r>
      <w:r w:rsidR="00AE01CB" w:rsidRPr="007B4794">
        <w:rPr>
          <w:rFonts w:ascii="Arial" w:hAnsi="Arial" w:cs="Arial"/>
          <w:noProof/>
          <w:color w:val="000000" w:themeColor="text1"/>
          <w:sz w:val="21"/>
          <w:szCs w:val="21"/>
        </w:rPr>
        <w:t>。</w:t>
      </w:r>
    </w:p>
    <w:p w14:paraId="309BDAEC" w14:textId="77777777" w:rsidR="00A61F97" w:rsidRPr="007B4794" w:rsidRDefault="00A61F97" w:rsidP="00A61F97">
      <w:pPr>
        <w:widowControl w:val="0"/>
        <w:adjustRightInd w:val="0"/>
        <w:snapToGrid w:val="0"/>
        <w:spacing w:line="480" w:lineRule="auto"/>
        <w:ind w:firstLineChars="200" w:firstLine="420"/>
        <w:rPr>
          <w:rFonts w:ascii="Arial" w:hAnsi="Arial" w:cs="Arial"/>
          <w:noProof/>
          <w:color w:val="000000" w:themeColor="text1"/>
          <w:sz w:val="21"/>
          <w:szCs w:val="21"/>
        </w:rPr>
      </w:pPr>
      <w:r w:rsidRPr="007B4794">
        <w:rPr>
          <w:rFonts w:ascii="Arial" w:hAnsi="Arial" w:cs="Arial"/>
          <w:noProof/>
          <w:color w:val="000000" w:themeColor="text1"/>
          <w:sz w:val="21"/>
          <w:szCs w:val="21"/>
        </w:rPr>
        <w:t>【</w:t>
      </w:r>
      <w:r w:rsidRPr="007B4794">
        <w:rPr>
          <w:rFonts w:ascii="Arial" w:hAnsi="Arial" w:cs="Arial" w:hint="eastAsia"/>
          <w:noProof/>
          <w:color w:val="000000" w:themeColor="text1"/>
          <w:sz w:val="21"/>
          <w:szCs w:val="21"/>
        </w:rPr>
        <w:t>地理位置</w:t>
      </w:r>
      <w:r w:rsidRPr="007B4794">
        <w:rPr>
          <w:rFonts w:ascii="Arial" w:hAnsi="Arial" w:cs="Arial"/>
          <w:noProof/>
          <w:color w:val="000000" w:themeColor="text1"/>
          <w:sz w:val="21"/>
          <w:szCs w:val="21"/>
        </w:rPr>
        <w:t>】</w:t>
      </w:r>
      <w:r w:rsidRPr="007B4794">
        <w:rPr>
          <w:rFonts w:ascii="Arial" w:hAnsi="Arial" w:cs="Arial" w:hint="eastAsia"/>
          <w:noProof/>
          <w:color w:val="000000" w:themeColor="text1"/>
          <w:sz w:val="21"/>
          <w:szCs w:val="21"/>
        </w:rPr>
        <w:t>位于东经</w:t>
      </w:r>
      <w:r w:rsidRPr="007B4794">
        <w:rPr>
          <w:rFonts w:ascii="Arial" w:hAnsi="Arial" w:cs="Arial"/>
          <w:noProof/>
          <w:color w:val="000000" w:themeColor="text1"/>
          <w:sz w:val="21"/>
          <w:szCs w:val="21"/>
        </w:rPr>
        <w:t>116°53′—118°09′</w:t>
      </w:r>
      <w:r w:rsidRPr="007B4794">
        <w:rPr>
          <w:rFonts w:ascii="Arial" w:hAnsi="Arial" w:cs="Arial"/>
          <w:noProof/>
          <w:color w:val="000000" w:themeColor="text1"/>
          <w:sz w:val="21"/>
          <w:szCs w:val="21"/>
        </w:rPr>
        <w:t>，北纬</w:t>
      </w:r>
      <w:r w:rsidRPr="007B4794">
        <w:rPr>
          <w:rFonts w:ascii="Arial" w:hAnsi="Arial" w:cs="Arial"/>
          <w:noProof/>
          <w:color w:val="000000" w:themeColor="text1"/>
          <w:sz w:val="21"/>
          <w:szCs w:val="21"/>
        </w:rPr>
        <w:t>23°32′—25°13′</w:t>
      </w:r>
      <w:r w:rsidRPr="007B4794">
        <w:rPr>
          <w:rFonts w:ascii="Arial" w:hAnsi="Arial" w:cs="Arial"/>
          <w:noProof/>
          <w:color w:val="000000" w:themeColor="text1"/>
          <w:sz w:val="21"/>
          <w:szCs w:val="21"/>
        </w:rPr>
        <w:t>，地处闽南金三角南端。漳州全市陆地面积</w:t>
      </w:r>
      <w:r w:rsidRPr="007B4794">
        <w:rPr>
          <w:rFonts w:ascii="Arial" w:hAnsi="Arial" w:cs="Arial"/>
          <w:noProof/>
          <w:color w:val="000000" w:themeColor="text1"/>
          <w:sz w:val="21"/>
          <w:szCs w:val="21"/>
        </w:rPr>
        <w:t>1.26</w:t>
      </w:r>
      <w:r w:rsidRPr="007B4794">
        <w:rPr>
          <w:rFonts w:ascii="Arial" w:hAnsi="Arial" w:cs="Arial"/>
          <w:noProof/>
          <w:color w:val="000000" w:themeColor="text1"/>
          <w:sz w:val="21"/>
          <w:szCs w:val="21"/>
        </w:rPr>
        <w:t>万平方公里，海域面积</w:t>
      </w:r>
      <w:r w:rsidRPr="007B4794">
        <w:rPr>
          <w:rFonts w:ascii="Arial" w:hAnsi="Arial" w:cs="Arial"/>
          <w:noProof/>
          <w:color w:val="000000" w:themeColor="text1"/>
          <w:sz w:val="21"/>
          <w:szCs w:val="21"/>
        </w:rPr>
        <w:t>1.86</w:t>
      </w:r>
      <w:r w:rsidRPr="007B4794">
        <w:rPr>
          <w:rFonts w:ascii="Arial" w:hAnsi="Arial" w:cs="Arial"/>
          <w:noProof/>
          <w:color w:val="000000" w:themeColor="text1"/>
          <w:sz w:val="21"/>
          <w:szCs w:val="21"/>
        </w:rPr>
        <w:t>万平方公里。辖区地势由北西向东南倾斜，地貌依次为中低山、丘陵台地和冲海积平原，有福建省最大的平原</w:t>
      </w:r>
      <w:r w:rsidRPr="007B4794">
        <w:rPr>
          <w:rFonts w:ascii="Arial" w:hAnsi="Arial" w:cs="Arial"/>
          <w:noProof/>
          <w:color w:val="000000" w:themeColor="text1"/>
          <w:sz w:val="21"/>
          <w:szCs w:val="21"/>
        </w:rPr>
        <w:t>——</w:t>
      </w:r>
      <w:r w:rsidRPr="007B4794">
        <w:rPr>
          <w:rFonts w:ascii="Arial" w:hAnsi="Arial" w:cs="Arial"/>
          <w:noProof/>
          <w:color w:val="000000" w:themeColor="text1"/>
          <w:sz w:val="21"/>
          <w:szCs w:val="21"/>
        </w:rPr>
        <w:t>漳州平原。</w:t>
      </w:r>
    </w:p>
    <w:p w14:paraId="481BB3C1" w14:textId="77777777" w:rsidR="00A61F97" w:rsidRPr="007B4794" w:rsidRDefault="00A61F97" w:rsidP="00A61F97">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noProof/>
          <w:color w:val="000000" w:themeColor="text1"/>
          <w:sz w:val="21"/>
          <w:szCs w:val="21"/>
        </w:rPr>
        <w:t>【</w:t>
      </w:r>
      <w:r w:rsidRPr="007B4794">
        <w:rPr>
          <w:rFonts w:ascii="Arial" w:hAnsi="Arial" w:cs="Arial" w:hint="eastAsia"/>
          <w:noProof/>
          <w:color w:val="000000" w:themeColor="text1"/>
          <w:sz w:val="21"/>
          <w:szCs w:val="21"/>
        </w:rPr>
        <w:t>地理环境</w:t>
      </w:r>
      <w:r w:rsidRPr="007B4794">
        <w:rPr>
          <w:rFonts w:ascii="Arial" w:hAnsi="Arial" w:cs="Arial"/>
          <w:noProof/>
          <w:color w:val="000000" w:themeColor="text1"/>
          <w:sz w:val="21"/>
          <w:szCs w:val="21"/>
        </w:rPr>
        <w:t>】</w:t>
      </w:r>
      <w:r w:rsidRPr="007B4794">
        <w:rPr>
          <w:rFonts w:ascii="Arial" w:hAnsi="Arial" w:cs="Arial" w:hint="eastAsia"/>
          <w:noProof/>
          <w:color w:val="000000" w:themeColor="text1"/>
          <w:sz w:val="21"/>
          <w:szCs w:val="21"/>
        </w:rPr>
        <w:t>漳州市陆域南北长</w:t>
      </w:r>
      <w:r w:rsidRPr="007B4794">
        <w:rPr>
          <w:rFonts w:ascii="Arial" w:hAnsi="Arial" w:cs="Arial"/>
          <w:noProof/>
          <w:color w:val="000000" w:themeColor="text1"/>
          <w:sz w:val="21"/>
          <w:szCs w:val="21"/>
        </w:rPr>
        <w:t>187</w:t>
      </w:r>
      <w:r w:rsidRPr="007B4794">
        <w:rPr>
          <w:rFonts w:ascii="Arial" w:hAnsi="Arial" w:cs="Arial"/>
          <w:noProof/>
          <w:color w:val="000000" w:themeColor="text1"/>
          <w:sz w:val="21"/>
          <w:szCs w:val="21"/>
        </w:rPr>
        <w:t>公里，东西宽</w:t>
      </w:r>
      <w:r w:rsidRPr="007B4794">
        <w:rPr>
          <w:rFonts w:ascii="Arial" w:hAnsi="Arial" w:cs="Arial"/>
          <w:noProof/>
          <w:color w:val="000000" w:themeColor="text1"/>
          <w:sz w:val="21"/>
          <w:szCs w:val="21"/>
        </w:rPr>
        <w:t>127</w:t>
      </w:r>
      <w:r w:rsidRPr="007B4794">
        <w:rPr>
          <w:rFonts w:ascii="Arial" w:hAnsi="Arial" w:cs="Arial"/>
          <w:noProof/>
          <w:color w:val="000000" w:themeColor="text1"/>
          <w:sz w:val="21"/>
          <w:szCs w:val="21"/>
        </w:rPr>
        <w:t>公里，</w:t>
      </w:r>
      <w:r w:rsidRPr="007B4794">
        <w:rPr>
          <w:rFonts w:ascii="Arial" w:hAnsi="Arial" w:cs="Arial"/>
          <w:noProof/>
          <w:color w:val="000000" w:themeColor="text1"/>
          <w:sz w:val="21"/>
          <w:szCs w:val="21"/>
        </w:rPr>
        <w:t xml:space="preserve"> </w:t>
      </w:r>
      <w:r w:rsidRPr="007B4794">
        <w:rPr>
          <w:rFonts w:ascii="Arial" w:hAnsi="Arial" w:cs="Arial"/>
          <w:noProof/>
          <w:color w:val="000000" w:themeColor="text1"/>
          <w:sz w:val="21"/>
          <w:szCs w:val="21"/>
        </w:rPr>
        <w:t>面积</w:t>
      </w:r>
      <w:r w:rsidRPr="007B4794">
        <w:rPr>
          <w:rFonts w:ascii="Arial" w:hAnsi="Arial" w:cs="Arial"/>
          <w:noProof/>
          <w:color w:val="000000" w:themeColor="text1"/>
          <w:sz w:val="21"/>
          <w:szCs w:val="21"/>
        </w:rPr>
        <w:t>12607</w:t>
      </w:r>
      <w:r w:rsidRPr="007B4794">
        <w:rPr>
          <w:rFonts w:ascii="Arial" w:hAnsi="Arial" w:cs="Arial"/>
          <w:noProof/>
          <w:color w:val="000000" w:themeColor="text1"/>
          <w:sz w:val="21"/>
          <w:szCs w:val="21"/>
        </w:rPr>
        <w:t>平方公里。博平岭横亘于西北，戴云山余脉深入北部境内。平和县的大芹山主峰海拔</w:t>
      </w:r>
      <w:r w:rsidRPr="007B4794">
        <w:rPr>
          <w:rFonts w:ascii="Arial" w:hAnsi="Arial" w:cs="Arial"/>
          <w:noProof/>
          <w:color w:val="000000" w:themeColor="text1"/>
          <w:sz w:val="21"/>
          <w:szCs w:val="21"/>
        </w:rPr>
        <w:t>1544.5</w:t>
      </w:r>
      <w:r w:rsidRPr="007B4794">
        <w:rPr>
          <w:rFonts w:ascii="Arial" w:hAnsi="Arial" w:cs="Arial"/>
          <w:noProof/>
          <w:color w:val="000000" w:themeColor="text1"/>
          <w:sz w:val="21"/>
          <w:szCs w:val="21"/>
        </w:rPr>
        <w:t>米，为全市第一高峰。九龙江全长</w:t>
      </w:r>
      <w:r w:rsidRPr="007B4794">
        <w:rPr>
          <w:rFonts w:ascii="Arial" w:hAnsi="Arial" w:cs="Arial"/>
          <w:noProof/>
          <w:color w:val="000000" w:themeColor="text1"/>
          <w:sz w:val="21"/>
          <w:szCs w:val="21"/>
        </w:rPr>
        <w:t>1923</w:t>
      </w:r>
      <w:r w:rsidRPr="007B4794">
        <w:rPr>
          <w:rFonts w:ascii="Arial" w:hAnsi="Arial" w:cs="Arial"/>
          <w:noProof/>
          <w:color w:val="000000" w:themeColor="text1"/>
          <w:sz w:val="21"/>
          <w:szCs w:val="21"/>
        </w:rPr>
        <w:t>公里，为福建第二大河。流域面积</w:t>
      </w:r>
      <w:r w:rsidRPr="007B4794">
        <w:rPr>
          <w:rFonts w:ascii="Arial" w:hAnsi="Arial" w:cs="Arial"/>
          <w:noProof/>
          <w:color w:val="000000" w:themeColor="text1"/>
          <w:sz w:val="21"/>
          <w:szCs w:val="21"/>
        </w:rPr>
        <w:t>14741</w:t>
      </w:r>
      <w:r w:rsidRPr="007B4794">
        <w:rPr>
          <w:rFonts w:ascii="Arial" w:hAnsi="Arial" w:cs="Arial"/>
          <w:noProof/>
          <w:color w:val="000000" w:themeColor="text1"/>
          <w:sz w:val="21"/>
          <w:szCs w:val="21"/>
        </w:rPr>
        <w:t>平方公里，</w:t>
      </w:r>
      <w:r w:rsidRPr="007B4794">
        <w:rPr>
          <w:rFonts w:ascii="Arial" w:hAnsi="Arial" w:cs="Arial"/>
          <w:noProof/>
          <w:color w:val="000000" w:themeColor="text1"/>
          <w:sz w:val="21"/>
          <w:szCs w:val="21"/>
        </w:rPr>
        <w:t xml:space="preserve"> </w:t>
      </w:r>
      <w:r w:rsidRPr="007B4794">
        <w:rPr>
          <w:rFonts w:ascii="Arial" w:hAnsi="Arial" w:cs="Arial"/>
          <w:noProof/>
          <w:color w:val="000000" w:themeColor="text1"/>
          <w:sz w:val="21"/>
          <w:szCs w:val="21"/>
        </w:rPr>
        <w:t>在漳州境内流域面积</w:t>
      </w:r>
      <w:r w:rsidRPr="007B4794">
        <w:rPr>
          <w:rFonts w:ascii="Arial" w:hAnsi="Arial" w:cs="Arial"/>
          <w:noProof/>
          <w:color w:val="000000" w:themeColor="text1"/>
          <w:sz w:val="21"/>
          <w:szCs w:val="21"/>
        </w:rPr>
        <w:t>7586</w:t>
      </w:r>
      <w:r w:rsidRPr="007B4794">
        <w:rPr>
          <w:rFonts w:ascii="Arial" w:hAnsi="Arial" w:cs="Arial"/>
          <w:noProof/>
          <w:color w:val="000000" w:themeColor="text1"/>
          <w:sz w:val="21"/>
          <w:szCs w:val="21"/>
        </w:rPr>
        <w:t>平方公里。</w:t>
      </w:r>
      <w:r w:rsidRPr="007B4794">
        <w:rPr>
          <w:rFonts w:ascii="Arial" w:hAnsi="Arial" w:cs="Arial"/>
          <w:noProof/>
          <w:color w:val="000000" w:themeColor="text1"/>
          <w:sz w:val="21"/>
          <w:szCs w:val="21"/>
        </w:rPr>
        <w:lastRenderedPageBreak/>
        <w:t>此外还有鹿溪、漳江、东溪等主要河流。九龙江中下游平原面积</w:t>
      </w:r>
      <w:r w:rsidRPr="007B4794">
        <w:rPr>
          <w:rFonts w:ascii="Arial" w:hAnsi="Arial" w:cs="Arial"/>
          <w:noProof/>
          <w:color w:val="000000" w:themeColor="text1"/>
          <w:sz w:val="21"/>
          <w:szCs w:val="21"/>
        </w:rPr>
        <w:t>720</w:t>
      </w:r>
      <w:r w:rsidRPr="007B4794">
        <w:rPr>
          <w:rFonts w:ascii="Arial" w:hAnsi="Arial" w:cs="Arial"/>
          <w:noProof/>
          <w:color w:val="000000" w:themeColor="text1"/>
          <w:sz w:val="21"/>
          <w:szCs w:val="21"/>
        </w:rPr>
        <w:t>平方公里，是省内最大平原。</w:t>
      </w:r>
      <w:r w:rsidRPr="007B4794">
        <w:rPr>
          <w:rFonts w:ascii="Arial" w:hAnsi="Arial" w:cs="Arial"/>
          <w:noProof/>
          <w:color w:val="000000" w:themeColor="text1"/>
          <w:sz w:val="21"/>
          <w:szCs w:val="21"/>
        </w:rPr>
        <w:t xml:space="preserve"> </w:t>
      </w:r>
      <w:r w:rsidRPr="007B4794">
        <w:rPr>
          <w:rFonts w:ascii="Arial" w:hAnsi="Arial" w:cs="Arial"/>
          <w:noProof/>
          <w:color w:val="000000" w:themeColor="text1"/>
          <w:sz w:val="21"/>
          <w:szCs w:val="21"/>
        </w:rPr>
        <w:t>海域面积略大于陆域面积。大陆岸线</w:t>
      </w:r>
      <w:r w:rsidRPr="007B4794">
        <w:rPr>
          <w:rFonts w:ascii="Arial" w:hAnsi="Arial" w:cs="Arial"/>
          <w:noProof/>
          <w:color w:val="000000" w:themeColor="text1"/>
          <w:sz w:val="21"/>
          <w:szCs w:val="21"/>
        </w:rPr>
        <w:t>519</w:t>
      </w:r>
      <w:r w:rsidRPr="007B4794">
        <w:rPr>
          <w:rFonts w:ascii="Arial" w:hAnsi="Arial" w:cs="Arial"/>
          <w:noProof/>
          <w:color w:val="000000" w:themeColor="text1"/>
          <w:sz w:val="21"/>
          <w:szCs w:val="21"/>
        </w:rPr>
        <w:t>公里，岛屿岸线</w:t>
      </w:r>
      <w:r w:rsidRPr="007B4794">
        <w:rPr>
          <w:rFonts w:ascii="Arial" w:hAnsi="Arial" w:cs="Arial"/>
          <w:noProof/>
          <w:color w:val="000000" w:themeColor="text1"/>
          <w:sz w:val="21"/>
          <w:szCs w:val="21"/>
        </w:rPr>
        <w:t>112</w:t>
      </w:r>
      <w:r w:rsidRPr="007B4794">
        <w:rPr>
          <w:rFonts w:ascii="Arial" w:hAnsi="Arial" w:cs="Arial"/>
          <w:noProof/>
          <w:color w:val="000000" w:themeColor="text1"/>
          <w:sz w:val="21"/>
          <w:szCs w:val="21"/>
        </w:rPr>
        <w:t>公里，正面宽约</w:t>
      </w:r>
      <w:r w:rsidRPr="007B4794">
        <w:rPr>
          <w:rFonts w:ascii="Arial" w:hAnsi="Arial" w:cs="Arial"/>
          <w:noProof/>
          <w:color w:val="000000" w:themeColor="text1"/>
          <w:sz w:val="21"/>
          <w:szCs w:val="21"/>
        </w:rPr>
        <w:t>128</w:t>
      </w:r>
      <w:r w:rsidRPr="007B4794">
        <w:rPr>
          <w:rFonts w:ascii="Arial" w:hAnsi="Arial" w:cs="Arial"/>
          <w:noProof/>
          <w:color w:val="000000" w:themeColor="text1"/>
          <w:sz w:val="21"/>
          <w:szCs w:val="21"/>
        </w:rPr>
        <w:t>公里</w:t>
      </w:r>
      <w:r w:rsidRPr="007B4794">
        <w:rPr>
          <w:rFonts w:ascii="Arial" w:hAnsi="Arial" w:cs="Arial"/>
          <w:noProof/>
          <w:color w:val="000000" w:themeColor="text1"/>
          <w:sz w:val="21"/>
          <w:szCs w:val="21"/>
        </w:rPr>
        <w:t>,</w:t>
      </w:r>
      <w:r w:rsidRPr="007B4794">
        <w:rPr>
          <w:rFonts w:ascii="Arial" w:hAnsi="Arial" w:cs="Arial"/>
          <w:noProof/>
          <w:color w:val="000000" w:themeColor="text1"/>
          <w:sz w:val="21"/>
          <w:szCs w:val="21"/>
        </w:rPr>
        <w:t>呈北东走向。零米高程以上滩涂面积</w:t>
      </w:r>
      <w:r w:rsidRPr="007B4794">
        <w:rPr>
          <w:rFonts w:ascii="Arial" w:hAnsi="Arial" w:cs="Arial"/>
          <w:noProof/>
          <w:color w:val="000000" w:themeColor="text1"/>
          <w:sz w:val="21"/>
          <w:szCs w:val="21"/>
        </w:rPr>
        <w:t>285.5</w:t>
      </w:r>
      <w:r w:rsidRPr="007B4794">
        <w:rPr>
          <w:rFonts w:ascii="Arial" w:hAnsi="Arial" w:cs="Arial"/>
          <w:noProof/>
          <w:color w:val="000000" w:themeColor="text1"/>
          <w:sz w:val="21"/>
          <w:szCs w:val="21"/>
        </w:rPr>
        <w:t>平方公里，</w:t>
      </w:r>
      <w:r w:rsidRPr="007B4794">
        <w:rPr>
          <w:rFonts w:ascii="Arial" w:hAnsi="Arial" w:cs="Arial"/>
          <w:noProof/>
          <w:color w:val="000000" w:themeColor="text1"/>
          <w:sz w:val="21"/>
          <w:szCs w:val="21"/>
        </w:rPr>
        <w:t xml:space="preserve"> </w:t>
      </w:r>
      <w:r w:rsidRPr="007B4794">
        <w:rPr>
          <w:rFonts w:ascii="Arial" w:hAnsi="Arial" w:cs="Arial"/>
          <w:noProof/>
          <w:color w:val="000000" w:themeColor="text1"/>
          <w:sz w:val="21"/>
          <w:szCs w:val="21"/>
        </w:rPr>
        <w:t>可利用水产</w:t>
      </w:r>
      <w:r w:rsidRPr="007B4794">
        <w:rPr>
          <w:rFonts w:ascii="Arial" w:hAnsi="Arial" w:cs="Arial" w:hint="eastAsia"/>
          <w:noProof/>
          <w:color w:val="000000" w:themeColor="text1"/>
          <w:sz w:val="21"/>
          <w:szCs w:val="21"/>
        </w:rPr>
        <w:t>养殖面积</w:t>
      </w:r>
      <w:r w:rsidRPr="007B4794">
        <w:rPr>
          <w:rFonts w:ascii="Arial" w:hAnsi="Arial" w:cs="Arial"/>
          <w:noProof/>
          <w:color w:val="000000" w:themeColor="text1"/>
          <w:sz w:val="21"/>
          <w:szCs w:val="21"/>
        </w:rPr>
        <w:t>117.2</w:t>
      </w:r>
      <w:r w:rsidRPr="007B4794">
        <w:rPr>
          <w:rFonts w:ascii="Arial" w:hAnsi="Arial" w:cs="Arial"/>
          <w:noProof/>
          <w:color w:val="000000" w:themeColor="text1"/>
          <w:sz w:val="21"/>
          <w:szCs w:val="21"/>
        </w:rPr>
        <w:t>平方公里。</w:t>
      </w:r>
    </w:p>
    <w:p w14:paraId="3546C623" w14:textId="4C407668" w:rsidR="00AE01CB" w:rsidRPr="007B4794" w:rsidRDefault="00A61F97" w:rsidP="00A61F97">
      <w:pPr>
        <w:widowControl w:val="0"/>
        <w:adjustRightInd w:val="0"/>
        <w:snapToGrid w:val="0"/>
        <w:spacing w:line="480" w:lineRule="auto"/>
        <w:ind w:firstLineChars="200" w:firstLine="480"/>
        <w:jc w:val="both"/>
        <w:rPr>
          <w:rFonts w:ascii="Arial" w:hAnsi="Arial" w:cs="Arial"/>
          <w:noProof/>
          <w:color w:val="000000" w:themeColor="text1"/>
          <w:sz w:val="21"/>
          <w:szCs w:val="21"/>
        </w:rPr>
      </w:pPr>
      <w:r w:rsidRPr="007B4794">
        <w:rPr>
          <w:noProof/>
          <w:color w:val="000000" w:themeColor="text1"/>
        </w:rPr>
        <w:drawing>
          <wp:anchor distT="0" distB="0" distL="114300" distR="114300" simplePos="0" relativeHeight="251682304" behindDoc="1" locked="0" layoutInCell="1" allowOverlap="1" wp14:anchorId="556C816A" wp14:editId="708C692A">
            <wp:simplePos x="0" y="0"/>
            <wp:positionH relativeFrom="column">
              <wp:posOffset>2096135</wp:posOffset>
            </wp:positionH>
            <wp:positionV relativeFrom="paragraph">
              <wp:posOffset>422910</wp:posOffset>
            </wp:positionV>
            <wp:extent cx="3902400" cy="4460400"/>
            <wp:effectExtent l="0" t="0" r="3175" b="0"/>
            <wp:wrapTight wrapText="bothSides">
              <wp:wrapPolygon edited="0">
                <wp:start x="0" y="0"/>
                <wp:lineTo x="0" y="21495"/>
                <wp:lineTo x="21512" y="21495"/>
                <wp:lineTo x="21512" y="0"/>
                <wp:lineTo x="0" y="0"/>
              </wp:wrapPolygon>
            </wp:wrapTight>
            <wp:docPr id="5159" name="图片 5159" descr="C:\Documents and Settings\Administrator\Application Data\Tencent\Users\273361491\QQ\WinTemp\RichOle\LX6~[[EC__MJNOI9T(DJP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Application Data\Tencent\Users\273361491\QQ\WinTemp\RichOle\LX6~[[EC__MJNOI9T(DJP5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02400" cy="446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01CB" w:rsidRPr="007B4794">
        <w:rPr>
          <w:rFonts w:ascii="Arial" w:hAnsi="Arial" w:cs="Arial"/>
          <w:noProof/>
          <w:color w:val="000000" w:themeColor="text1"/>
          <w:sz w:val="21"/>
          <w:szCs w:val="21"/>
        </w:rPr>
        <w:t>【行政区划】</w:t>
      </w:r>
      <w:r w:rsidR="0045240B" w:rsidRPr="007B4794">
        <w:rPr>
          <w:rFonts w:ascii="Arial" w:hAnsi="Arial" w:cs="Arial" w:hint="eastAsia"/>
          <w:noProof/>
          <w:color w:val="000000" w:themeColor="text1"/>
          <w:sz w:val="21"/>
          <w:szCs w:val="21"/>
        </w:rPr>
        <w:t>全市现辖二区一市八县，即芗城区、龙文区、龙海市、漳浦县、云霄县、诏安县、东山县、南靖县、平和县、长泰县和华安县，下设</w:t>
      </w:r>
      <w:r w:rsidR="0045240B" w:rsidRPr="007B4794">
        <w:rPr>
          <w:rFonts w:ascii="Arial" w:hAnsi="Arial" w:cs="Arial"/>
          <w:noProof/>
          <w:color w:val="000000" w:themeColor="text1"/>
          <w:sz w:val="21"/>
          <w:szCs w:val="21"/>
        </w:rPr>
        <w:t>121</w:t>
      </w:r>
      <w:r w:rsidR="0045240B" w:rsidRPr="007B4794">
        <w:rPr>
          <w:rFonts w:ascii="Arial" w:hAnsi="Arial" w:cs="Arial"/>
          <w:noProof/>
          <w:color w:val="000000" w:themeColor="text1"/>
          <w:sz w:val="21"/>
          <w:szCs w:val="21"/>
        </w:rPr>
        <w:t>个乡、镇、街道，</w:t>
      </w:r>
      <w:r w:rsidR="0045240B" w:rsidRPr="007B4794">
        <w:rPr>
          <w:rFonts w:ascii="Arial" w:hAnsi="Arial" w:cs="Arial"/>
          <w:noProof/>
          <w:color w:val="000000" w:themeColor="text1"/>
          <w:sz w:val="21"/>
          <w:szCs w:val="21"/>
        </w:rPr>
        <w:t>247</w:t>
      </w:r>
      <w:r w:rsidR="0045240B" w:rsidRPr="007B4794">
        <w:rPr>
          <w:rFonts w:ascii="Arial" w:hAnsi="Arial" w:cs="Arial"/>
          <w:noProof/>
          <w:color w:val="000000" w:themeColor="text1"/>
          <w:sz w:val="21"/>
          <w:szCs w:val="21"/>
        </w:rPr>
        <w:t>个社区、居委会，</w:t>
      </w:r>
      <w:r w:rsidR="0045240B" w:rsidRPr="007B4794">
        <w:rPr>
          <w:rFonts w:ascii="Arial" w:hAnsi="Arial" w:cs="Arial"/>
          <w:noProof/>
          <w:color w:val="000000" w:themeColor="text1"/>
          <w:sz w:val="21"/>
          <w:szCs w:val="21"/>
        </w:rPr>
        <w:t>1667</w:t>
      </w:r>
      <w:r w:rsidR="0045240B" w:rsidRPr="007B4794">
        <w:rPr>
          <w:rFonts w:ascii="Arial" w:hAnsi="Arial" w:cs="Arial"/>
          <w:noProof/>
          <w:color w:val="000000" w:themeColor="text1"/>
          <w:sz w:val="21"/>
          <w:szCs w:val="21"/>
        </w:rPr>
        <w:t>个村民委员会</w:t>
      </w:r>
      <w:r w:rsidR="00AE01CB" w:rsidRPr="007B4794">
        <w:rPr>
          <w:rFonts w:ascii="Arial" w:hAnsi="Arial" w:cs="Arial"/>
          <w:noProof/>
          <w:color w:val="000000" w:themeColor="text1"/>
          <w:sz w:val="21"/>
          <w:szCs w:val="21"/>
        </w:rPr>
        <w:t>。</w:t>
      </w:r>
    </w:p>
    <w:p w14:paraId="55AB673E" w14:textId="77777777" w:rsidR="00BA1A3D" w:rsidRPr="007B4794" w:rsidRDefault="00AE01CB" w:rsidP="00A61F97">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noProof/>
          <w:color w:val="000000" w:themeColor="text1"/>
          <w:sz w:val="21"/>
          <w:szCs w:val="21"/>
        </w:rPr>
        <w:t>【人口】</w:t>
      </w:r>
      <w:r w:rsidR="00A61F97" w:rsidRPr="007B4794">
        <w:rPr>
          <w:rFonts w:ascii="Arial" w:hAnsi="Arial" w:cs="Arial" w:hint="eastAsia"/>
          <w:noProof/>
          <w:color w:val="000000" w:themeColor="text1"/>
          <w:sz w:val="21"/>
          <w:szCs w:val="21"/>
        </w:rPr>
        <w:t>漳州古代居民属于闽越族，现在居民主要是汉族。此外，还有畲族、回族、高山族等</w:t>
      </w:r>
      <w:r w:rsidR="00A61F97" w:rsidRPr="007B4794">
        <w:rPr>
          <w:rFonts w:ascii="Arial" w:hAnsi="Arial" w:cs="Arial"/>
          <w:noProof/>
          <w:color w:val="000000" w:themeColor="text1"/>
          <w:sz w:val="21"/>
          <w:szCs w:val="21"/>
        </w:rPr>
        <w:t>21</w:t>
      </w:r>
      <w:r w:rsidR="00A61F97" w:rsidRPr="007B4794">
        <w:rPr>
          <w:rFonts w:ascii="Arial" w:hAnsi="Arial" w:cs="Arial"/>
          <w:noProof/>
          <w:color w:val="000000" w:themeColor="text1"/>
          <w:sz w:val="21"/>
          <w:szCs w:val="21"/>
        </w:rPr>
        <w:t>个民族居住，通用语言为普通话、闽南话。</w:t>
      </w:r>
    </w:p>
    <w:p w14:paraId="4328CAE6" w14:textId="2BA4A073" w:rsidR="00A849C5" w:rsidRPr="007B4794" w:rsidRDefault="00A61F97" w:rsidP="00A61F97">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noProof/>
          <w:color w:val="000000" w:themeColor="text1"/>
          <w:sz w:val="21"/>
          <w:szCs w:val="21"/>
        </w:rPr>
        <w:t>2019</w:t>
      </w:r>
      <w:r w:rsidRPr="007B4794">
        <w:rPr>
          <w:rFonts w:ascii="Arial" w:hAnsi="Arial" w:cs="Arial"/>
          <w:noProof/>
          <w:color w:val="000000" w:themeColor="text1"/>
          <w:sz w:val="21"/>
          <w:szCs w:val="21"/>
        </w:rPr>
        <w:t>年末，漳州全市户籍总户数</w:t>
      </w:r>
      <w:r w:rsidRPr="007B4794">
        <w:rPr>
          <w:rFonts w:ascii="Arial" w:hAnsi="Arial" w:cs="Arial"/>
          <w:noProof/>
          <w:color w:val="000000" w:themeColor="text1"/>
          <w:sz w:val="21"/>
          <w:szCs w:val="21"/>
        </w:rPr>
        <w:t>147.46</w:t>
      </w:r>
      <w:r w:rsidRPr="007B4794">
        <w:rPr>
          <w:rFonts w:ascii="Arial" w:hAnsi="Arial" w:cs="Arial"/>
          <w:noProof/>
          <w:color w:val="000000" w:themeColor="text1"/>
          <w:sz w:val="21"/>
          <w:szCs w:val="21"/>
        </w:rPr>
        <w:t>万户，户籍人口</w:t>
      </w:r>
      <w:r w:rsidRPr="007B4794">
        <w:rPr>
          <w:rFonts w:ascii="Arial" w:hAnsi="Arial" w:cs="Arial"/>
          <w:noProof/>
          <w:color w:val="000000" w:themeColor="text1"/>
          <w:sz w:val="21"/>
          <w:szCs w:val="21"/>
        </w:rPr>
        <w:t>522.31</w:t>
      </w:r>
      <w:r w:rsidRPr="007B4794">
        <w:rPr>
          <w:rFonts w:ascii="Arial" w:hAnsi="Arial" w:cs="Arial"/>
          <w:noProof/>
          <w:color w:val="000000" w:themeColor="text1"/>
          <w:sz w:val="21"/>
          <w:szCs w:val="21"/>
        </w:rPr>
        <w:t>万人，比上年末增加</w:t>
      </w:r>
      <w:r w:rsidRPr="007B4794">
        <w:rPr>
          <w:rFonts w:ascii="Arial" w:hAnsi="Arial" w:cs="Arial"/>
          <w:noProof/>
          <w:color w:val="000000" w:themeColor="text1"/>
          <w:sz w:val="21"/>
          <w:szCs w:val="21"/>
        </w:rPr>
        <w:t>1.51</w:t>
      </w:r>
      <w:r w:rsidRPr="007B4794">
        <w:rPr>
          <w:rFonts w:ascii="Arial" w:hAnsi="Arial" w:cs="Arial"/>
          <w:noProof/>
          <w:color w:val="000000" w:themeColor="text1"/>
          <w:sz w:val="21"/>
          <w:szCs w:val="21"/>
        </w:rPr>
        <w:t>万人，增长</w:t>
      </w:r>
      <w:r w:rsidRPr="007B4794">
        <w:rPr>
          <w:rFonts w:ascii="Arial" w:hAnsi="Arial" w:cs="Arial"/>
          <w:noProof/>
          <w:color w:val="000000" w:themeColor="text1"/>
          <w:sz w:val="21"/>
          <w:szCs w:val="21"/>
        </w:rPr>
        <w:t>2.89%</w:t>
      </w:r>
      <w:r w:rsidRPr="007B4794">
        <w:rPr>
          <w:rFonts w:ascii="Arial" w:hAnsi="Arial" w:cs="Arial"/>
          <w:noProof/>
          <w:color w:val="000000" w:themeColor="text1"/>
          <w:sz w:val="21"/>
          <w:szCs w:val="21"/>
        </w:rPr>
        <w:t>。全年户籍出生人口</w:t>
      </w:r>
      <w:r w:rsidRPr="007B4794">
        <w:rPr>
          <w:rFonts w:ascii="Arial" w:hAnsi="Arial" w:cs="Arial"/>
          <w:noProof/>
          <w:color w:val="000000" w:themeColor="text1"/>
          <w:sz w:val="21"/>
          <w:szCs w:val="21"/>
        </w:rPr>
        <w:t>7.31</w:t>
      </w:r>
      <w:r w:rsidRPr="007B4794">
        <w:rPr>
          <w:rFonts w:ascii="Arial" w:hAnsi="Arial" w:cs="Arial"/>
          <w:noProof/>
          <w:color w:val="000000" w:themeColor="text1"/>
          <w:sz w:val="21"/>
          <w:szCs w:val="21"/>
        </w:rPr>
        <w:t>万人，出生率为</w:t>
      </w:r>
      <w:r w:rsidRPr="007B4794">
        <w:rPr>
          <w:rFonts w:ascii="Arial" w:hAnsi="Arial" w:cs="Arial"/>
          <w:noProof/>
          <w:color w:val="000000" w:themeColor="text1"/>
          <w:sz w:val="21"/>
          <w:szCs w:val="21"/>
        </w:rPr>
        <w:t>14.01‰</w:t>
      </w:r>
      <w:r w:rsidRPr="007B4794">
        <w:rPr>
          <w:rFonts w:ascii="Arial" w:hAnsi="Arial" w:cs="Arial"/>
          <w:noProof/>
          <w:color w:val="000000" w:themeColor="text1"/>
          <w:sz w:val="21"/>
          <w:szCs w:val="21"/>
        </w:rPr>
        <w:t>；死亡人口</w:t>
      </w:r>
      <w:r w:rsidRPr="007B4794">
        <w:rPr>
          <w:rFonts w:ascii="Arial" w:hAnsi="Arial" w:cs="Arial"/>
          <w:noProof/>
          <w:color w:val="000000" w:themeColor="text1"/>
          <w:sz w:val="21"/>
          <w:szCs w:val="21"/>
        </w:rPr>
        <w:t>3.53</w:t>
      </w:r>
      <w:r w:rsidRPr="007B4794">
        <w:rPr>
          <w:rFonts w:ascii="Arial" w:hAnsi="Arial" w:cs="Arial"/>
          <w:noProof/>
          <w:color w:val="000000" w:themeColor="text1"/>
          <w:sz w:val="21"/>
          <w:szCs w:val="21"/>
        </w:rPr>
        <w:t>万人，死亡率为</w:t>
      </w:r>
      <w:r w:rsidRPr="007B4794">
        <w:rPr>
          <w:rFonts w:ascii="Arial" w:hAnsi="Arial" w:cs="Arial"/>
          <w:noProof/>
          <w:color w:val="000000" w:themeColor="text1"/>
          <w:sz w:val="21"/>
          <w:szCs w:val="21"/>
        </w:rPr>
        <w:t>6.76‰</w:t>
      </w:r>
      <w:r w:rsidRPr="007B4794">
        <w:rPr>
          <w:rFonts w:ascii="Arial" w:hAnsi="Arial" w:cs="Arial"/>
          <w:noProof/>
          <w:color w:val="000000" w:themeColor="text1"/>
          <w:sz w:val="21"/>
          <w:szCs w:val="21"/>
        </w:rPr>
        <w:t>；自然增长率为</w:t>
      </w:r>
      <w:r w:rsidRPr="007B4794">
        <w:rPr>
          <w:rFonts w:ascii="Arial" w:hAnsi="Arial" w:cs="Arial"/>
          <w:noProof/>
          <w:color w:val="000000" w:themeColor="text1"/>
          <w:sz w:val="21"/>
          <w:szCs w:val="21"/>
        </w:rPr>
        <w:t>7.25‰</w:t>
      </w:r>
      <w:r w:rsidRPr="007B4794">
        <w:rPr>
          <w:rFonts w:ascii="Arial" w:hAnsi="Arial" w:cs="Arial"/>
          <w:noProof/>
          <w:color w:val="000000" w:themeColor="text1"/>
          <w:sz w:val="21"/>
          <w:szCs w:val="21"/>
        </w:rPr>
        <w:t>。</w:t>
      </w:r>
    </w:p>
    <w:p w14:paraId="2202E8C9" w14:textId="0EFCA4B6" w:rsidR="00A61F97" w:rsidRPr="007B4794" w:rsidRDefault="00A61F97" w:rsidP="00A61F97">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noProof/>
          <w:color w:val="000000" w:themeColor="text1"/>
          <w:sz w:val="21"/>
          <w:szCs w:val="21"/>
        </w:rPr>
        <w:t>2019</w:t>
      </w:r>
      <w:r w:rsidRPr="007B4794">
        <w:rPr>
          <w:rFonts w:ascii="Arial" w:hAnsi="Arial" w:cs="Arial"/>
          <w:noProof/>
          <w:color w:val="000000" w:themeColor="text1"/>
          <w:sz w:val="21"/>
          <w:szCs w:val="21"/>
        </w:rPr>
        <w:t>年末，漳州全市常住人口</w:t>
      </w:r>
      <w:r w:rsidRPr="007B4794">
        <w:rPr>
          <w:rFonts w:ascii="Arial" w:hAnsi="Arial" w:cs="Arial"/>
          <w:noProof/>
          <w:color w:val="000000" w:themeColor="text1"/>
          <w:sz w:val="21"/>
          <w:szCs w:val="21"/>
        </w:rPr>
        <w:t>516</w:t>
      </w:r>
      <w:r w:rsidRPr="007B4794">
        <w:rPr>
          <w:rFonts w:ascii="Arial" w:hAnsi="Arial" w:cs="Arial"/>
          <w:noProof/>
          <w:color w:val="000000" w:themeColor="text1"/>
          <w:sz w:val="21"/>
          <w:szCs w:val="21"/>
        </w:rPr>
        <w:t>万人，比上年末增加</w:t>
      </w:r>
      <w:r w:rsidRPr="007B4794">
        <w:rPr>
          <w:rFonts w:ascii="Arial" w:hAnsi="Arial" w:cs="Arial"/>
          <w:noProof/>
          <w:color w:val="000000" w:themeColor="text1"/>
          <w:sz w:val="21"/>
          <w:szCs w:val="21"/>
        </w:rPr>
        <w:t>2</w:t>
      </w:r>
      <w:r w:rsidRPr="007B4794">
        <w:rPr>
          <w:rFonts w:ascii="Arial" w:hAnsi="Arial" w:cs="Arial"/>
          <w:noProof/>
          <w:color w:val="000000" w:themeColor="text1"/>
          <w:sz w:val="21"/>
          <w:szCs w:val="21"/>
        </w:rPr>
        <w:t>万人。</w:t>
      </w:r>
      <w:r w:rsidRPr="007B4794">
        <w:rPr>
          <w:rFonts w:ascii="Arial" w:hAnsi="Arial" w:cs="Arial"/>
          <w:noProof/>
          <w:color w:val="000000" w:themeColor="text1"/>
          <w:sz w:val="21"/>
          <w:szCs w:val="21"/>
        </w:rPr>
        <w:t>2019</w:t>
      </w:r>
      <w:r w:rsidRPr="007B4794">
        <w:rPr>
          <w:rFonts w:ascii="Arial" w:hAnsi="Arial" w:cs="Arial"/>
          <w:noProof/>
          <w:color w:val="000000" w:themeColor="text1"/>
          <w:sz w:val="21"/>
          <w:szCs w:val="21"/>
        </w:rPr>
        <w:t>年，漳州常住人口城镇化率为</w:t>
      </w:r>
      <w:r w:rsidRPr="007B4794">
        <w:rPr>
          <w:rFonts w:ascii="Arial" w:hAnsi="Arial" w:cs="Arial"/>
          <w:noProof/>
          <w:color w:val="000000" w:themeColor="text1"/>
          <w:sz w:val="21"/>
          <w:szCs w:val="21"/>
        </w:rPr>
        <w:t>60.0%</w:t>
      </w:r>
      <w:r w:rsidRPr="007B4794">
        <w:rPr>
          <w:rFonts w:ascii="Arial" w:hAnsi="Arial" w:cs="Arial"/>
          <w:noProof/>
          <w:color w:val="000000" w:themeColor="text1"/>
          <w:sz w:val="21"/>
          <w:szCs w:val="21"/>
        </w:rPr>
        <w:t>，全年出生人口</w:t>
      </w:r>
      <w:r w:rsidRPr="007B4794">
        <w:rPr>
          <w:rFonts w:ascii="Arial" w:hAnsi="Arial" w:cs="Arial"/>
          <w:noProof/>
          <w:color w:val="000000" w:themeColor="text1"/>
          <w:sz w:val="21"/>
          <w:szCs w:val="21"/>
        </w:rPr>
        <w:t>7.3</w:t>
      </w:r>
      <w:r w:rsidRPr="007B4794">
        <w:rPr>
          <w:rFonts w:ascii="Arial" w:hAnsi="Arial" w:cs="Arial"/>
          <w:noProof/>
          <w:color w:val="000000" w:themeColor="text1"/>
          <w:sz w:val="21"/>
          <w:szCs w:val="21"/>
        </w:rPr>
        <w:t>万人，出生率为</w:t>
      </w:r>
      <w:r w:rsidRPr="007B4794">
        <w:rPr>
          <w:rFonts w:ascii="Arial" w:hAnsi="Arial" w:cs="Arial"/>
          <w:noProof/>
          <w:color w:val="000000" w:themeColor="text1"/>
          <w:sz w:val="21"/>
          <w:szCs w:val="21"/>
        </w:rPr>
        <w:t>14.2‰</w:t>
      </w:r>
      <w:r w:rsidRPr="007B4794">
        <w:rPr>
          <w:rFonts w:ascii="Arial" w:hAnsi="Arial" w:cs="Arial"/>
          <w:noProof/>
          <w:color w:val="000000" w:themeColor="text1"/>
          <w:sz w:val="21"/>
          <w:szCs w:val="21"/>
        </w:rPr>
        <w:t>，死亡人口</w:t>
      </w:r>
      <w:r w:rsidRPr="007B4794">
        <w:rPr>
          <w:rFonts w:ascii="Arial" w:hAnsi="Arial" w:cs="Arial"/>
          <w:noProof/>
          <w:color w:val="000000" w:themeColor="text1"/>
          <w:sz w:val="21"/>
          <w:szCs w:val="21"/>
        </w:rPr>
        <w:t>3.3</w:t>
      </w:r>
      <w:r w:rsidRPr="007B4794">
        <w:rPr>
          <w:rFonts w:ascii="Arial" w:hAnsi="Arial" w:cs="Arial"/>
          <w:noProof/>
          <w:color w:val="000000" w:themeColor="text1"/>
          <w:sz w:val="21"/>
          <w:szCs w:val="21"/>
        </w:rPr>
        <w:t>万人，死亡率为</w:t>
      </w:r>
      <w:r w:rsidRPr="007B4794">
        <w:rPr>
          <w:rFonts w:ascii="Arial" w:hAnsi="Arial" w:cs="Arial"/>
          <w:noProof/>
          <w:color w:val="000000" w:themeColor="text1"/>
          <w:sz w:val="21"/>
          <w:szCs w:val="21"/>
        </w:rPr>
        <w:t>6.4‰</w:t>
      </w:r>
      <w:r w:rsidRPr="007B4794">
        <w:rPr>
          <w:rFonts w:ascii="Arial" w:hAnsi="Arial" w:cs="Arial"/>
          <w:noProof/>
          <w:color w:val="000000" w:themeColor="text1"/>
          <w:sz w:val="21"/>
          <w:szCs w:val="21"/>
        </w:rPr>
        <w:t>，自然增长率为</w:t>
      </w:r>
      <w:r w:rsidRPr="007B4794">
        <w:rPr>
          <w:rFonts w:ascii="Arial" w:hAnsi="Arial" w:cs="Arial"/>
          <w:noProof/>
          <w:color w:val="000000" w:themeColor="text1"/>
          <w:sz w:val="21"/>
          <w:szCs w:val="21"/>
        </w:rPr>
        <w:t>7.8‰</w:t>
      </w:r>
      <w:r w:rsidRPr="007B4794">
        <w:rPr>
          <w:rFonts w:ascii="Arial" w:hAnsi="Arial" w:cs="Arial"/>
          <w:noProof/>
          <w:color w:val="000000" w:themeColor="text1"/>
          <w:sz w:val="21"/>
          <w:szCs w:val="21"/>
        </w:rPr>
        <w:t>。</w:t>
      </w:r>
    </w:p>
    <w:p w14:paraId="3C3A6F65" w14:textId="3E116B2F" w:rsidR="00AE01CB" w:rsidRPr="007B4794" w:rsidRDefault="00AE01CB" w:rsidP="00AE01CB">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noProof/>
          <w:color w:val="000000" w:themeColor="text1"/>
          <w:sz w:val="21"/>
          <w:szCs w:val="21"/>
        </w:rPr>
        <w:t>【</w:t>
      </w:r>
      <w:r w:rsidR="0045240B" w:rsidRPr="007B4794">
        <w:rPr>
          <w:rFonts w:ascii="Arial" w:hAnsi="Arial" w:cs="Arial" w:hint="eastAsia"/>
          <w:noProof/>
          <w:color w:val="000000" w:themeColor="text1"/>
          <w:sz w:val="21"/>
          <w:szCs w:val="21"/>
        </w:rPr>
        <w:t>气候条件</w:t>
      </w:r>
      <w:r w:rsidRPr="007B4794">
        <w:rPr>
          <w:rFonts w:ascii="Arial" w:hAnsi="Arial" w:cs="Arial"/>
          <w:noProof/>
          <w:color w:val="000000" w:themeColor="text1"/>
          <w:sz w:val="21"/>
          <w:szCs w:val="21"/>
        </w:rPr>
        <w:t>】</w:t>
      </w:r>
      <w:r w:rsidR="0045240B" w:rsidRPr="007B4794">
        <w:rPr>
          <w:rFonts w:ascii="Arial" w:hAnsi="Arial" w:cs="Arial" w:hint="eastAsia"/>
          <w:noProof/>
          <w:color w:val="000000" w:themeColor="text1"/>
          <w:sz w:val="21"/>
          <w:szCs w:val="21"/>
        </w:rPr>
        <w:t>气候温和，属亚热带季风性湿润气候，年平均气温</w:t>
      </w:r>
      <w:r w:rsidR="0045240B" w:rsidRPr="007B4794">
        <w:rPr>
          <w:rFonts w:ascii="Arial" w:hAnsi="Arial" w:cs="Arial"/>
          <w:noProof/>
          <w:color w:val="000000" w:themeColor="text1"/>
          <w:sz w:val="21"/>
          <w:szCs w:val="21"/>
        </w:rPr>
        <w:t>21</w:t>
      </w:r>
      <w:r w:rsidR="0045240B" w:rsidRPr="007B4794">
        <w:rPr>
          <w:rFonts w:hint="eastAsia"/>
          <w:noProof/>
          <w:color w:val="000000" w:themeColor="text1"/>
          <w:sz w:val="21"/>
          <w:szCs w:val="21"/>
        </w:rPr>
        <w:t>℃</w:t>
      </w:r>
      <w:r w:rsidR="0045240B" w:rsidRPr="007B4794">
        <w:rPr>
          <w:rFonts w:ascii="Arial" w:hAnsi="Arial" w:cs="Arial"/>
          <w:noProof/>
          <w:color w:val="000000" w:themeColor="text1"/>
          <w:sz w:val="21"/>
          <w:szCs w:val="21"/>
        </w:rPr>
        <w:t>，年日照</w:t>
      </w:r>
      <w:r w:rsidR="0045240B" w:rsidRPr="007B4794">
        <w:rPr>
          <w:rFonts w:ascii="Arial" w:hAnsi="Arial" w:cs="Arial"/>
          <w:noProof/>
          <w:color w:val="000000" w:themeColor="text1"/>
          <w:sz w:val="21"/>
          <w:szCs w:val="21"/>
        </w:rPr>
        <w:t>2000</w:t>
      </w:r>
      <w:r w:rsidR="0045240B" w:rsidRPr="007B4794">
        <w:rPr>
          <w:rFonts w:ascii="Arial" w:hAnsi="Arial" w:cs="Arial"/>
          <w:noProof/>
          <w:color w:val="000000" w:themeColor="text1"/>
          <w:sz w:val="21"/>
          <w:szCs w:val="21"/>
        </w:rPr>
        <w:t>个小时，雨量充沛，无霜期</w:t>
      </w:r>
      <w:r w:rsidR="0045240B" w:rsidRPr="007B4794">
        <w:rPr>
          <w:rFonts w:ascii="Arial" w:hAnsi="Arial" w:cs="Arial"/>
          <w:noProof/>
          <w:color w:val="000000" w:themeColor="text1"/>
          <w:sz w:val="21"/>
          <w:szCs w:val="21"/>
        </w:rPr>
        <w:t>330</w:t>
      </w:r>
      <w:r w:rsidR="0045240B" w:rsidRPr="007B4794">
        <w:rPr>
          <w:rFonts w:ascii="Arial" w:hAnsi="Arial" w:cs="Arial"/>
          <w:noProof/>
          <w:color w:val="000000" w:themeColor="text1"/>
          <w:sz w:val="21"/>
          <w:szCs w:val="21"/>
        </w:rPr>
        <w:t>天以上，平均降雨量</w:t>
      </w:r>
      <w:r w:rsidR="0045240B" w:rsidRPr="007B4794">
        <w:rPr>
          <w:rFonts w:ascii="Arial" w:hAnsi="Arial" w:cs="Arial"/>
          <w:noProof/>
          <w:color w:val="000000" w:themeColor="text1"/>
          <w:sz w:val="21"/>
          <w:szCs w:val="21"/>
        </w:rPr>
        <w:t>1500</w:t>
      </w:r>
      <w:r w:rsidR="0045240B" w:rsidRPr="007B4794">
        <w:rPr>
          <w:rFonts w:ascii="Arial" w:hAnsi="Arial" w:cs="Arial"/>
          <w:noProof/>
          <w:color w:val="000000" w:themeColor="text1"/>
          <w:sz w:val="21"/>
          <w:szCs w:val="21"/>
        </w:rPr>
        <w:t>毫米左右，是个天然</w:t>
      </w:r>
      <w:r w:rsidR="0045240B" w:rsidRPr="007B4794">
        <w:rPr>
          <w:rFonts w:ascii="Arial" w:hAnsi="Arial" w:cs="Arial"/>
          <w:noProof/>
          <w:color w:val="000000" w:themeColor="text1"/>
          <w:sz w:val="21"/>
          <w:szCs w:val="21"/>
        </w:rPr>
        <w:t>“</w:t>
      </w:r>
      <w:r w:rsidR="0045240B" w:rsidRPr="007B4794">
        <w:rPr>
          <w:rFonts w:ascii="Arial" w:hAnsi="Arial" w:cs="Arial"/>
          <w:noProof/>
          <w:color w:val="000000" w:themeColor="text1"/>
          <w:sz w:val="21"/>
          <w:szCs w:val="21"/>
        </w:rPr>
        <w:t>大温室</w:t>
      </w:r>
      <w:r w:rsidRPr="007B4794">
        <w:rPr>
          <w:rFonts w:ascii="Arial" w:hAnsi="Arial" w:cs="Arial"/>
          <w:noProof/>
          <w:color w:val="000000" w:themeColor="text1"/>
          <w:sz w:val="21"/>
          <w:szCs w:val="21"/>
        </w:rPr>
        <w:t>。</w:t>
      </w:r>
    </w:p>
    <w:p w14:paraId="28D05BAC" w14:textId="6FF77CF2" w:rsidR="00AE01CB" w:rsidRPr="007B4794" w:rsidRDefault="00AE01CB" w:rsidP="00AE01CB">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noProof/>
          <w:color w:val="000000" w:themeColor="text1"/>
          <w:sz w:val="21"/>
          <w:szCs w:val="21"/>
        </w:rPr>
        <w:t>【</w:t>
      </w:r>
      <w:r w:rsidR="0045240B" w:rsidRPr="007B4794">
        <w:rPr>
          <w:rFonts w:ascii="Arial" w:hAnsi="Arial" w:cs="Arial" w:hint="eastAsia"/>
          <w:noProof/>
          <w:color w:val="000000" w:themeColor="text1"/>
          <w:sz w:val="21"/>
          <w:szCs w:val="21"/>
        </w:rPr>
        <w:t>自然资源</w:t>
      </w:r>
      <w:r w:rsidRPr="007B4794">
        <w:rPr>
          <w:rFonts w:ascii="Arial" w:hAnsi="Arial" w:cs="Arial"/>
          <w:noProof/>
          <w:color w:val="000000" w:themeColor="text1"/>
          <w:sz w:val="21"/>
          <w:szCs w:val="21"/>
        </w:rPr>
        <w:t>】</w:t>
      </w:r>
      <w:r w:rsidR="0045240B" w:rsidRPr="007B4794">
        <w:rPr>
          <w:rFonts w:ascii="Arial" w:hAnsi="Arial" w:cs="Arial" w:hint="eastAsia"/>
          <w:noProof/>
          <w:color w:val="000000" w:themeColor="text1"/>
          <w:sz w:val="21"/>
          <w:szCs w:val="21"/>
        </w:rPr>
        <w:t>漳州平原是全省第一大平原，九龙江是福建省第二大河，农业产品颇多，水果有</w:t>
      </w:r>
      <w:r w:rsidR="0045240B" w:rsidRPr="007B4794">
        <w:rPr>
          <w:rFonts w:ascii="Arial" w:hAnsi="Arial" w:cs="Arial"/>
          <w:noProof/>
          <w:color w:val="000000" w:themeColor="text1"/>
          <w:sz w:val="21"/>
          <w:szCs w:val="21"/>
        </w:rPr>
        <w:t>47</w:t>
      </w:r>
      <w:r w:rsidR="0045240B" w:rsidRPr="007B4794">
        <w:rPr>
          <w:rFonts w:ascii="Arial" w:hAnsi="Arial" w:cs="Arial"/>
          <w:noProof/>
          <w:color w:val="000000" w:themeColor="text1"/>
          <w:sz w:val="21"/>
          <w:szCs w:val="21"/>
        </w:rPr>
        <w:lastRenderedPageBreak/>
        <w:t>种、蔬菜有</w:t>
      </w:r>
      <w:r w:rsidR="0045240B" w:rsidRPr="007B4794">
        <w:rPr>
          <w:rFonts w:ascii="Arial" w:hAnsi="Arial" w:cs="Arial"/>
          <w:noProof/>
          <w:color w:val="000000" w:themeColor="text1"/>
          <w:sz w:val="21"/>
          <w:szCs w:val="21"/>
        </w:rPr>
        <w:t>35</w:t>
      </w:r>
      <w:r w:rsidR="0045240B" w:rsidRPr="007B4794">
        <w:rPr>
          <w:rFonts w:ascii="Arial" w:hAnsi="Arial" w:cs="Arial"/>
          <w:noProof/>
          <w:color w:val="000000" w:themeColor="text1"/>
          <w:sz w:val="21"/>
          <w:szCs w:val="21"/>
        </w:rPr>
        <w:t>种、花卉有</w:t>
      </w:r>
      <w:r w:rsidR="0045240B" w:rsidRPr="007B4794">
        <w:rPr>
          <w:rFonts w:ascii="Arial" w:hAnsi="Arial" w:cs="Arial"/>
          <w:noProof/>
          <w:color w:val="000000" w:themeColor="text1"/>
          <w:sz w:val="21"/>
          <w:szCs w:val="21"/>
        </w:rPr>
        <w:t>1200</w:t>
      </w:r>
      <w:r w:rsidR="0045240B" w:rsidRPr="007B4794">
        <w:rPr>
          <w:rFonts w:ascii="Arial" w:hAnsi="Arial" w:cs="Arial"/>
          <w:noProof/>
          <w:color w:val="000000" w:themeColor="text1"/>
          <w:sz w:val="21"/>
          <w:szCs w:val="21"/>
        </w:rPr>
        <w:t>多个品种、其他草本、木本、藤本植物有</w:t>
      </w:r>
      <w:r w:rsidR="0045240B" w:rsidRPr="007B4794">
        <w:rPr>
          <w:rFonts w:ascii="Arial" w:hAnsi="Arial" w:cs="Arial"/>
          <w:noProof/>
          <w:color w:val="000000" w:themeColor="text1"/>
          <w:sz w:val="21"/>
          <w:szCs w:val="21"/>
        </w:rPr>
        <w:t>1000</w:t>
      </w:r>
      <w:r w:rsidR="0045240B" w:rsidRPr="007B4794">
        <w:rPr>
          <w:rFonts w:ascii="Arial" w:hAnsi="Arial" w:cs="Arial"/>
          <w:noProof/>
          <w:color w:val="000000" w:themeColor="text1"/>
          <w:sz w:val="21"/>
          <w:szCs w:val="21"/>
        </w:rPr>
        <w:t>多种、各种鱼、虾、贝、藻等</w:t>
      </w:r>
      <w:r w:rsidR="0045240B" w:rsidRPr="007B4794">
        <w:rPr>
          <w:rFonts w:ascii="Arial" w:hAnsi="Arial" w:cs="Arial"/>
          <w:noProof/>
          <w:color w:val="000000" w:themeColor="text1"/>
          <w:sz w:val="21"/>
          <w:szCs w:val="21"/>
        </w:rPr>
        <w:t>400</w:t>
      </w:r>
      <w:r w:rsidR="0045240B" w:rsidRPr="007B4794">
        <w:rPr>
          <w:rFonts w:ascii="Arial" w:hAnsi="Arial" w:cs="Arial"/>
          <w:noProof/>
          <w:color w:val="000000" w:themeColor="text1"/>
          <w:sz w:val="21"/>
          <w:szCs w:val="21"/>
        </w:rPr>
        <w:t>多种；水资源比较丰富，总量</w:t>
      </w:r>
      <w:r w:rsidR="0045240B" w:rsidRPr="007B4794">
        <w:rPr>
          <w:rFonts w:ascii="Arial" w:hAnsi="Arial" w:cs="Arial"/>
          <w:noProof/>
          <w:color w:val="000000" w:themeColor="text1"/>
          <w:sz w:val="21"/>
          <w:szCs w:val="21"/>
        </w:rPr>
        <w:t>178</w:t>
      </w:r>
      <w:r w:rsidR="0045240B" w:rsidRPr="007B4794">
        <w:rPr>
          <w:rFonts w:ascii="Arial" w:hAnsi="Arial" w:cs="Arial"/>
          <w:noProof/>
          <w:color w:val="000000" w:themeColor="text1"/>
          <w:sz w:val="21"/>
          <w:szCs w:val="21"/>
        </w:rPr>
        <w:t>亿ｍ</w:t>
      </w:r>
      <w:r w:rsidR="0045240B" w:rsidRPr="007B4794">
        <w:rPr>
          <w:rFonts w:ascii="Arial" w:hAnsi="Arial" w:cs="Arial"/>
          <w:noProof/>
          <w:color w:val="000000" w:themeColor="text1"/>
          <w:sz w:val="21"/>
          <w:szCs w:val="21"/>
        </w:rPr>
        <w:t>3</w:t>
      </w:r>
      <w:r w:rsidR="0045240B" w:rsidRPr="007B4794">
        <w:rPr>
          <w:rFonts w:ascii="Arial" w:hAnsi="Arial" w:cs="Arial"/>
          <w:noProof/>
          <w:color w:val="000000" w:themeColor="text1"/>
          <w:sz w:val="21"/>
          <w:szCs w:val="21"/>
        </w:rPr>
        <w:t>，人均占有水资源量约</w:t>
      </w:r>
      <w:r w:rsidR="0045240B" w:rsidRPr="007B4794">
        <w:rPr>
          <w:rFonts w:ascii="Arial" w:hAnsi="Arial" w:cs="Arial"/>
          <w:noProof/>
          <w:color w:val="000000" w:themeColor="text1"/>
          <w:sz w:val="21"/>
          <w:szCs w:val="21"/>
        </w:rPr>
        <w:t>4000</w:t>
      </w:r>
      <w:r w:rsidR="0045240B" w:rsidRPr="007B4794">
        <w:rPr>
          <w:rFonts w:ascii="Arial" w:hAnsi="Arial" w:cs="Arial"/>
          <w:noProof/>
          <w:color w:val="000000" w:themeColor="text1"/>
          <w:sz w:val="21"/>
          <w:szCs w:val="21"/>
        </w:rPr>
        <w:t>ｍ</w:t>
      </w:r>
      <w:r w:rsidR="0045240B" w:rsidRPr="007B4794">
        <w:rPr>
          <w:rFonts w:ascii="Arial" w:hAnsi="Arial" w:cs="Arial"/>
          <w:noProof/>
          <w:color w:val="000000" w:themeColor="text1"/>
          <w:sz w:val="21"/>
          <w:szCs w:val="21"/>
        </w:rPr>
        <w:t>3</w:t>
      </w:r>
      <w:r w:rsidR="0045240B" w:rsidRPr="007B4794">
        <w:rPr>
          <w:rFonts w:ascii="Arial" w:hAnsi="Arial" w:cs="Arial"/>
          <w:noProof/>
          <w:color w:val="000000" w:themeColor="text1"/>
          <w:sz w:val="21"/>
          <w:szCs w:val="21"/>
        </w:rPr>
        <w:t>；地下矿产不少，全市已发现矿产</w:t>
      </w:r>
      <w:r w:rsidR="0045240B" w:rsidRPr="007B4794">
        <w:rPr>
          <w:rFonts w:ascii="Arial" w:hAnsi="Arial" w:cs="Arial"/>
          <w:noProof/>
          <w:color w:val="000000" w:themeColor="text1"/>
          <w:sz w:val="21"/>
          <w:szCs w:val="21"/>
        </w:rPr>
        <w:t>41</w:t>
      </w:r>
      <w:r w:rsidR="0045240B" w:rsidRPr="007B4794">
        <w:rPr>
          <w:rFonts w:ascii="Arial" w:hAnsi="Arial" w:cs="Arial"/>
          <w:noProof/>
          <w:color w:val="000000" w:themeColor="text1"/>
          <w:sz w:val="21"/>
          <w:szCs w:val="21"/>
        </w:rPr>
        <w:t>种（含</w:t>
      </w:r>
      <w:r w:rsidR="0045240B" w:rsidRPr="007B4794">
        <w:rPr>
          <w:rFonts w:ascii="Arial" w:hAnsi="Arial" w:cs="Arial"/>
          <w:noProof/>
          <w:color w:val="000000" w:themeColor="text1"/>
          <w:sz w:val="21"/>
          <w:szCs w:val="21"/>
        </w:rPr>
        <w:t>11</w:t>
      </w:r>
      <w:r w:rsidR="0045240B" w:rsidRPr="007B4794">
        <w:rPr>
          <w:rFonts w:ascii="Arial" w:hAnsi="Arial" w:cs="Arial"/>
          <w:noProof/>
          <w:color w:val="000000" w:themeColor="text1"/>
          <w:sz w:val="21"/>
          <w:szCs w:val="21"/>
        </w:rPr>
        <w:t>亚种），经过地质勘查探明资源储量的矿产</w:t>
      </w:r>
      <w:r w:rsidR="0045240B" w:rsidRPr="007B4794">
        <w:rPr>
          <w:rFonts w:ascii="Arial" w:hAnsi="Arial" w:cs="Arial"/>
          <w:noProof/>
          <w:color w:val="000000" w:themeColor="text1"/>
          <w:sz w:val="21"/>
          <w:szCs w:val="21"/>
        </w:rPr>
        <w:t>36</w:t>
      </w:r>
      <w:r w:rsidR="0045240B" w:rsidRPr="007B4794">
        <w:rPr>
          <w:rFonts w:ascii="Arial" w:hAnsi="Arial" w:cs="Arial"/>
          <w:noProof/>
          <w:color w:val="000000" w:themeColor="text1"/>
          <w:sz w:val="21"/>
          <w:szCs w:val="21"/>
        </w:rPr>
        <w:t>种（含</w:t>
      </w:r>
      <w:r w:rsidR="0045240B" w:rsidRPr="007B4794">
        <w:rPr>
          <w:rFonts w:ascii="Arial" w:hAnsi="Arial" w:cs="Arial"/>
          <w:noProof/>
          <w:color w:val="000000" w:themeColor="text1"/>
          <w:sz w:val="21"/>
          <w:szCs w:val="21"/>
        </w:rPr>
        <w:t>11</w:t>
      </w:r>
      <w:r w:rsidR="0045240B" w:rsidRPr="007B4794">
        <w:rPr>
          <w:rFonts w:ascii="Arial" w:hAnsi="Arial" w:cs="Arial"/>
          <w:noProof/>
          <w:color w:val="000000" w:themeColor="text1"/>
          <w:sz w:val="21"/>
          <w:szCs w:val="21"/>
        </w:rPr>
        <w:t>亚种），其中，优势、特色矿产有：天然石英砂、花岗岩、华安玉、银、金、铜及铅锌等金属矿、高岭土、地热、矿泉水等</w:t>
      </w:r>
      <w:r w:rsidRPr="007B4794">
        <w:rPr>
          <w:rFonts w:ascii="Arial" w:hAnsi="Arial" w:cs="Arial"/>
          <w:noProof/>
          <w:color w:val="000000" w:themeColor="text1"/>
          <w:sz w:val="21"/>
          <w:szCs w:val="21"/>
        </w:rPr>
        <w:t>。</w:t>
      </w:r>
    </w:p>
    <w:p w14:paraId="04814A5A" w14:textId="67D87ED5" w:rsidR="0045240B" w:rsidRPr="007B4794" w:rsidRDefault="00A849C5" w:rsidP="0045240B">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noProof/>
          <w:color w:val="000000" w:themeColor="text1"/>
          <w:sz w:val="21"/>
          <w:szCs w:val="21"/>
        </w:rPr>
        <w:t>【</w:t>
      </w:r>
      <w:r w:rsidR="0045240B" w:rsidRPr="007B4794">
        <w:rPr>
          <w:rFonts w:ascii="Arial" w:hAnsi="Arial" w:cs="Arial" w:hint="eastAsia"/>
          <w:noProof/>
          <w:color w:val="000000" w:themeColor="text1"/>
          <w:sz w:val="21"/>
          <w:szCs w:val="21"/>
        </w:rPr>
        <w:t>交通便利</w:t>
      </w:r>
      <w:r w:rsidRPr="007B4794">
        <w:rPr>
          <w:rFonts w:ascii="Arial" w:hAnsi="Arial" w:cs="Arial"/>
          <w:noProof/>
          <w:color w:val="000000" w:themeColor="text1"/>
          <w:sz w:val="21"/>
          <w:szCs w:val="21"/>
        </w:rPr>
        <w:t>】</w:t>
      </w:r>
      <w:r w:rsidR="0045240B" w:rsidRPr="007B4794">
        <w:rPr>
          <w:rFonts w:ascii="Arial" w:hAnsi="Arial" w:cs="Arial" w:hint="eastAsia"/>
          <w:noProof/>
          <w:color w:val="000000" w:themeColor="text1"/>
          <w:sz w:val="21"/>
          <w:szCs w:val="21"/>
        </w:rPr>
        <w:t>辖区内有</w:t>
      </w:r>
      <w:r w:rsidR="0045240B" w:rsidRPr="007B4794">
        <w:rPr>
          <w:rFonts w:ascii="Arial" w:hAnsi="Arial" w:cs="Arial"/>
          <w:noProof/>
          <w:color w:val="000000" w:themeColor="text1"/>
          <w:sz w:val="21"/>
          <w:szCs w:val="21"/>
        </w:rPr>
        <w:t>324</w:t>
      </w:r>
      <w:r w:rsidR="0045240B" w:rsidRPr="007B4794">
        <w:rPr>
          <w:rFonts w:ascii="Arial" w:hAnsi="Arial" w:cs="Arial"/>
          <w:noProof/>
          <w:color w:val="000000" w:themeColor="text1"/>
          <w:sz w:val="21"/>
          <w:szCs w:val="21"/>
        </w:rPr>
        <w:t>、</w:t>
      </w:r>
      <w:r w:rsidR="0045240B" w:rsidRPr="007B4794">
        <w:rPr>
          <w:rFonts w:ascii="Arial" w:hAnsi="Arial" w:cs="Arial"/>
          <w:noProof/>
          <w:color w:val="000000" w:themeColor="text1"/>
          <w:sz w:val="21"/>
          <w:szCs w:val="21"/>
        </w:rPr>
        <w:t>319</w:t>
      </w:r>
      <w:r w:rsidR="0045240B" w:rsidRPr="007B4794">
        <w:rPr>
          <w:rFonts w:ascii="Arial" w:hAnsi="Arial" w:cs="Arial"/>
          <w:noProof/>
          <w:color w:val="000000" w:themeColor="text1"/>
          <w:sz w:val="21"/>
          <w:szCs w:val="21"/>
        </w:rPr>
        <w:t>二条国道、厦漳、漳诏、漳龙三条高速公路及鹰厦铁路和厦深、龙厦二条高速铁路穿境而过，漳州港可直通东南亚国家，形成铁路、公路、水路立体交通网络。市区到厦门国际机场</w:t>
      </w:r>
      <w:r w:rsidR="0045240B" w:rsidRPr="007B4794">
        <w:rPr>
          <w:rFonts w:ascii="Arial" w:hAnsi="Arial" w:cs="Arial"/>
          <w:noProof/>
          <w:color w:val="000000" w:themeColor="text1"/>
          <w:sz w:val="21"/>
          <w:szCs w:val="21"/>
        </w:rPr>
        <w:t>58.9</w:t>
      </w:r>
      <w:r w:rsidR="0045240B" w:rsidRPr="007B4794">
        <w:rPr>
          <w:rFonts w:ascii="Arial" w:hAnsi="Arial" w:cs="Arial"/>
          <w:noProof/>
          <w:color w:val="000000" w:themeColor="text1"/>
          <w:sz w:val="21"/>
          <w:szCs w:val="21"/>
        </w:rPr>
        <w:t>公里。</w:t>
      </w:r>
    </w:p>
    <w:p w14:paraId="5C599120" w14:textId="1E6CDB37" w:rsidR="00AE01CB" w:rsidRPr="007B4794" w:rsidRDefault="00AE01CB" w:rsidP="00AE01CB">
      <w:pPr>
        <w:pStyle w:val="2"/>
        <w:keepNext w:val="0"/>
        <w:keepLines w:val="0"/>
        <w:widowControl w:val="0"/>
        <w:tabs>
          <w:tab w:val="left" w:pos="5220"/>
        </w:tabs>
        <w:spacing w:before="0" w:after="0" w:line="480" w:lineRule="auto"/>
        <w:ind w:firstLineChars="98" w:firstLine="207"/>
        <w:jc w:val="both"/>
        <w:rPr>
          <w:rFonts w:eastAsia="宋体" w:cs="Arial"/>
          <w:color w:val="000000" w:themeColor="text1"/>
          <w:sz w:val="21"/>
          <w:szCs w:val="21"/>
        </w:rPr>
      </w:pPr>
      <w:bookmarkStart w:id="62" w:name="_Toc43885857"/>
      <w:bookmarkStart w:id="63" w:name="_Toc54016589"/>
      <w:r w:rsidRPr="007B4794">
        <w:rPr>
          <w:rFonts w:eastAsia="宋体" w:cs="Arial"/>
          <w:color w:val="000000" w:themeColor="text1"/>
          <w:sz w:val="21"/>
          <w:szCs w:val="21"/>
        </w:rPr>
        <w:t>（</w:t>
      </w:r>
      <w:r w:rsidRPr="007B4794">
        <w:rPr>
          <w:rFonts w:eastAsia="宋体" w:cs="Arial" w:hint="eastAsia"/>
          <w:color w:val="000000" w:themeColor="text1"/>
          <w:sz w:val="21"/>
          <w:szCs w:val="21"/>
        </w:rPr>
        <w:t>二</w:t>
      </w:r>
      <w:r w:rsidRPr="007B4794">
        <w:rPr>
          <w:rFonts w:eastAsia="宋体" w:cs="Arial"/>
          <w:color w:val="000000" w:themeColor="text1"/>
          <w:sz w:val="21"/>
          <w:szCs w:val="21"/>
        </w:rPr>
        <w:t>）</w:t>
      </w:r>
      <w:r w:rsidRPr="007B4794">
        <w:rPr>
          <w:rFonts w:eastAsia="宋体" w:cs="Arial" w:hint="eastAsia"/>
          <w:color w:val="000000" w:themeColor="text1"/>
          <w:sz w:val="21"/>
          <w:szCs w:val="21"/>
        </w:rPr>
        <w:t>经济运行</w:t>
      </w:r>
      <w:r w:rsidRPr="007B4794">
        <w:rPr>
          <w:rFonts w:eastAsia="宋体" w:cs="Arial"/>
          <w:color w:val="000000" w:themeColor="text1"/>
          <w:sz w:val="21"/>
          <w:szCs w:val="21"/>
        </w:rPr>
        <w:t>概况</w:t>
      </w:r>
      <w:r w:rsidRPr="007B4794">
        <w:rPr>
          <w:rFonts w:eastAsia="宋体" w:cs="Arial" w:hint="eastAsia"/>
          <w:color w:val="000000" w:themeColor="text1"/>
          <w:sz w:val="21"/>
          <w:szCs w:val="21"/>
        </w:rPr>
        <w:t>（</w:t>
      </w:r>
      <w:r w:rsidRPr="007B4794">
        <w:rPr>
          <w:rFonts w:eastAsia="宋体" w:cs="Arial" w:hint="eastAsia"/>
          <w:color w:val="000000" w:themeColor="text1"/>
          <w:sz w:val="21"/>
          <w:szCs w:val="21"/>
        </w:rPr>
        <w:t>2019</w:t>
      </w:r>
      <w:r w:rsidRPr="007B4794">
        <w:rPr>
          <w:rFonts w:eastAsia="宋体" w:cs="Arial" w:hint="eastAsia"/>
          <w:color w:val="000000" w:themeColor="text1"/>
          <w:sz w:val="21"/>
          <w:szCs w:val="21"/>
        </w:rPr>
        <w:t>年至</w:t>
      </w:r>
      <w:r w:rsidRPr="007B4794">
        <w:rPr>
          <w:rFonts w:eastAsia="宋体" w:cs="Arial" w:hint="eastAsia"/>
          <w:color w:val="000000" w:themeColor="text1"/>
          <w:sz w:val="21"/>
          <w:szCs w:val="21"/>
        </w:rPr>
        <w:t>2020</w:t>
      </w:r>
      <w:r w:rsidRPr="007B4794">
        <w:rPr>
          <w:rFonts w:eastAsia="宋体" w:cs="Arial" w:hint="eastAsia"/>
          <w:color w:val="000000" w:themeColor="text1"/>
          <w:sz w:val="21"/>
          <w:szCs w:val="21"/>
        </w:rPr>
        <w:t>年</w:t>
      </w:r>
      <w:r w:rsidR="00786D68" w:rsidRPr="007B4794">
        <w:rPr>
          <w:rFonts w:eastAsia="宋体" w:cs="Arial" w:hint="eastAsia"/>
          <w:color w:val="000000" w:themeColor="text1"/>
          <w:sz w:val="21"/>
          <w:szCs w:val="21"/>
        </w:rPr>
        <w:t>1-10</w:t>
      </w:r>
      <w:r w:rsidR="00786D68" w:rsidRPr="007B4794">
        <w:rPr>
          <w:rFonts w:eastAsia="宋体" w:cs="Arial" w:hint="eastAsia"/>
          <w:color w:val="000000" w:themeColor="text1"/>
          <w:sz w:val="21"/>
          <w:szCs w:val="21"/>
        </w:rPr>
        <w:t>月</w:t>
      </w:r>
      <w:r w:rsidRPr="007B4794">
        <w:rPr>
          <w:rFonts w:eastAsia="宋体" w:cs="Arial" w:hint="eastAsia"/>
          <w:color w:val="000000" w:themeColor="text1"/>
          <w:sz w:val="21"/>
          <w:szCs w:val="21"/>
        </w:rPr>
        <w:t>）</w:t>
      </w:r>
      <w:bookmarkEnd w:id="62"/>
      <w:bookmarkEnd w:id="63"/>
    </w:p>
    <w:p w14:paraId="732168F1" w14:textId="77777777" w:rsidR="00AE01CB" w:rsidRPr="007B4794" w:rsidRDefault="00AE01CB" w:rsidP="00AE01CB">
      <w:pPr>
        <w:pStyle w:val="af1"/>
        <w:widowControl w:val="0"/>
        <w:numPr>
          <w:ilvl w:val="0"/>
          <w:numId w:val="18"/>
        </w:numPr>
        <w:adjustRightInd w:val="0"/>
        <w:snapToGrid w:val="0"/>
        <w:spacing w:line="480" w:lineRule="auto"/>
        <w:ind w:firstLineChars="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2019</w:t>
      </w:r>
      <w:r w:rsidRPr="007B4794">
        <w:rPr>
          <w:rFonts w:ascii="Arial" w:hAnsi="Arial" w:cs="Arial" w:hint="eastAsia"/>
          <w:noProof/>
          <w:color w:val="000000" w:themeColor="text1"/>
          <w:sz w:val="21"/>
          <w:szCs w:val="21"/>
        </w:rPr>
        <w:t>年</w:t>
      </w:r>
    </w:p>
    <w:p w14:paraId="63C3CA1A" w14:textId="01DFA894" w:rsidR="00AE01CB" w:rsidRPr="007B4794" w:rsidRDefault="00AE01CB" w:rsidP="00AE01CB">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noProof/>
          <w:color w:val="000000" w:themeColor="text1"/>
          <w:sz w:val="21"/>
          <w:szCs w:val="21"/>
        </w:rPr>
        <w:t>2019</w:t>
      </w:r>
      <w:r w:rsidRPr="007B4794">
        <w:rPr>
          <w:rFonts w:ascii="Arial" w:hAnsi="Arial" w:cs="Arial"/>
          <w:noProof/>
          <w:color w:val="000000" w:themeColor="text1"/>
          <w:sz w:val="21"/>
          <w:szCs w:val="21"/>
        </w:rPr>
        <w:t>年，</w:t>
      </w:r>
      <w:r w:rsidR="00786D68" w:rsidRPr="007B4794">
        <w:rPr>
          <w:rFonts w:ascii="Arial" w:hAnsi="Arial" w:cs="Arial" w:hint="eastAsia"/>
          <w:noProof/>
          <w:color w:val="000000" w:themeColor="text1"/>
          <w:sz w:val="21"/>
          <w:szCs w:val="21"/>
        </w:rPr>
        <w:t>漳州市实现地区生产总值</w:t>
      </w:r>
      <w:r w:rsidR="00786D68" w:rsidRPr="007B4794">
        <w:rPr>
          <w:rFonts w:ascii="Arial" w:hAnsi="Arial" w:cs="Arial"/>
          <w:noProof/>
          <w:color w:val="000000" w:themeColor="text1"/>
          <w:sz w:val="21"/>
          <w:szCs w:val="21"/>
        </w:rPr>
        <w:t>4741.83</w:t>
      </w:r>
      <w:r w:rsidR="00786D68" w:rsidRPr="007B4794">
        <w:rPr>
          <w:rFonts w:ascii="Arial" w:hAnsi="Arial" w:cs="Arial"/>
          <w:noProof/>
          <w:color w:val="000000" w:themeColor="text1"/>
          <w:sz w:val="21"/>
          <w:szCs w:val="21"/>
        </w:rPr>
        <w:t>亿元，比上年增长</w:t>
      </w:r>
      <w:r w:rsidR="00786D68" w:rsidRPr="007B4794">
        <w:rPr>
          <w:rFonts w:ascii="Arial" w:hAnsi="Arial" w:cs="Arial"/>
          <w:noProof/>
          <w:color w:val="000000" w:themeColor="text1"/>
          <w:sz w:val="21"/>
          <w:szCs w:val="21"/>
        </w:rPr>
        <w:t>6.5%</w:t>
      </w:r>
      <w:r w:rsidR="00786D68" w:rsidRPr="007B4794">
        <w:rPr>
          <w:rFonts w:ascii="Arial" w:hAnsi="Arial" w:cs="Arial"/>
          <w:noProof/>
          <w:color w:val="000000" w:themeColor="text1"/>
          <w:sz w:val="21"/>
          <w:szCs w:val="21"/>
        </w:rPr>
        <w:t>。其中，第一产业增加值</w:t>
      </w:r>
      <w:r w:rsidR="00786D68" w:rsidRPr="007B4794">
        <w:rPr>
          <w:rFonts w:ascii="Arial" w:hAnsi="Arial" w:cs="Arial"/>
          <w:noProof/>
          <w:color w:val="000000" w:themeColor="text1"/>
          <w:sz w:val="21"/>
          <w:szCs w:val="21"/>
        </w:rPr>
        <w:t>480.90</w:t>
      </w:r>
      <w:r w:rsidR="00786D68" w:rsidRPr="007B4794">
        <w:rPr>
          <w:rFonts w:ascii="Arial" w:hAnsi="Arial" w:cs="Arial"/>
          <w:noProof/>
          <w:color w:val="000000" w:themeColor="text1"/>
          <w:sz w:val="21"/>
          <w:szCs w:val="21"/>
        </w:rPr>
        <w:t>亿元，增长</w:t>
      </w:r>
      <w:r w:rsidR="00786D68" w:rsidRPr="007B4794">
        <w:rPr>
          <w:rFonts w:ascii="Arial" w:hAnsi="Arial" w:cs="Arial"/>
          <w:noProof/>
          <w:color w:val="000000" w:themeColor="text1"/>
          <w:sz w:val="21"/>
          <w:szCs w:val="21"/>
        </w:rPr>
        <w:t>3.9%</w:t>
      </w:r>
      <w:r w:rsidR="00786D68" w:rsidRPr="007B4794">
        <w:rPr>
          <w:rFonts w:ascii="Arial" w:hAnsi="Arial" w:cs="Arial"/>
          <w:noProof/>
          <w:color w:val="000000" w:themeColor="text1"/>
          <w:sz w:val="21"/>
          <w:szCs w:val="21"/>
        </w:rPr>
        <w:t>；第二产业增加值</w:t>
      </w:r>
      <w:r w:rsidR="00786D68" w:rsidRPr="007B4794">
        <w:rPr>
          <w:rFonts w:ascii="Arial" w:hAnsi="Arial" w:cs="Arial"/>
          <w:noProof/>
          <w:color w:val="000000" w:themeColor="text1"/>
          <w:sz w:val="21"/>
          <w:szCs w:val="21"/>
        </w:rPr>
        <w:t>2315.26</w:t>
      </w:r>
      <w:r w:rsidR="00786D68" w:rsidRPr="007B4794">
        <w:rPr>
          <w:rFonts w:ascii="Arial" w:hAnsi="Arial" w:cs="Arial"/>
          <w:noProof/>
          <w:color w:val="000000" w:themeColor="text1"/>
          <w:sz w:val="21"/>
          <w:szCs w:val="21"/>
        </w:rPr>
        <w:t>亿元，增长</w:t>
      </w:r>
      <w:r w:rsidR="00786D68" w:rsidRPr="007B4794">
        <w:rPr>
          <w:rFonts w:ascii="Arial" w:hAnsi="Arial" w:cs="Arial"/>
          <w:noProof/>
          <w:color w:val="000000" w:themeColor="text1"/>
          <w:sz w:val="21"/>
          <w:szCs w:val="21"/>
        </w:rPr>
        <w:t>7.6%</w:t>
      </w:r>
      <w:r w:rsidR="00786D68" w:rsidRPr="007B4794">
        <w:rPr>
          <w:rFonts w:ascii="Arial" w:hAnsi="Arial" w:cs="Arial"/>
          <w:noProof/>
          <w:color w:val="000000" w:themeColor="text1"/>
          <w:sz w:val="21"/>
          <w:szCs w:val="21"/>
        </w:rPr>
        <w:t>；第三产业增加值</w:t>
      </w:r>
      <w:r w:rsidR="00786D68" w:rsidRPr="007B4794">
        <w:rPr>
          <w:rFonts w:ascii="Arial" w:hAnsi="Arial" w:cs="Arial"/>
          <w:noProof/>
          <w:color w:val="000000" w:themeColor="text1"/>
          <w:sz w:val="21"/>
          <w:szCs w:val="21"/>
        </w:rPr>
        <w:t>1945.67</w:t>
      </w:r>
      <w:r w:rsidR="00786D68" w:rsidRPr="007B4794">
        <w:rPr>
          <w:rFonts w:ascii="Arial" w:hAnsi="Arial" w:cs="Arial"/>
          <w:noProof/>
          <w:color w:val="000000" w:themeColor="text1"/>
          <w:sz w:val="21"/>
          <w:szCs w:val="21"/>
        </w:rPr>
        <w:t>亿元，增长</w:t>
      </w:r>
      <w:r w:rsidR="00786D68" w:rsidRPr="007B4794">
        <w:rPr>
          <w:rFonts w:ascii="Arial" w:hAnsi="Arial" w:cs="Arial"/>
          <w:noProof/>
          <w:color w:val="000000" w:themeColor="text1"/>
          <w:sz w:val="21"/>
          <w:szCs w:val="21"/>
        </w:rPr>
        <w:t>5.5%</w:t>
      </w:r>
      <w:r w:rsidR="00786D68" w:rsidRPr="007B4794">
        <w:rPr>
          <w:rFonts w:ascii="Arial" w:hAnsi="Arial" w:cs="Arial"/>
          <w:noProof/>
          <w:color w:val="000000" w:themeColor="text1"/>
          <w:sz w:val="21"/>
          <w:szCs w:val="21"/>
        </w:rPr>
        <w:t>。三次产业比例由上年的</w:t>
      </w:r>
      <w:r w:rsidR="00786D68" w:rsidRPr="007B4794">
        <w:rPr>
          <w:rFonts w:ascii="Arial" w:hAnsi="Arial" w:cs="Arial"/>
          <w:noProof/>
          <w:color w:val="000000" w:themeColor="text1"/>
          <w:sz w:val="21"/>
          <w:szCs w:val="21"/>
        </w:rPr>
        <w:t>10.0:49.0:41.0</w:t>
      </w:r>
      <w:r w:rsidR="00786D68" w:rsidRPr="007B4794">
        <w:rPr>
          <w:rFonts w:ascii="Arial" w:hAnsi="Arial" w:cs="Arial"/>
          <w:noProof/>
          <w:color w:val="000000" w:themeColor="text1"/>
          <w:sz w:val="21"/>
          <w:szCs w:val="21"/>
        </w:rPr>
        <w:t>调整为</w:t>
      </w:r>
      <w:r w:rsidR="00786D68" w:rsidRPr="007B4794">
        <w:rPr>
          <w:rFonts w:ascii="Arial" w:hAnsi="Arial" w:cs="Arial"/>
          <w:noProof/>
          <w:color w:val="000000" w:themeColor="text1"/>
          <w:sz w:val="21"/>
          <w:szCs w:val="21"/>
        </w:rPr>
        <w:t>10.1:48.9:41.0</w:t>
      </w:r>
      <w:r w:rsidR="00786D68" w:rsidRPr="007B4794">
        <w:rPr>
          <w:rFonts w:ascii="Arial" w:hAnsi="Arial" w:cs="Arial"/>
          <w:noProof/>
          <w:color w:val="000000" w:themeColor="text1"/>
          <w:sz w:val="21"/>
          <w:szCs w:val="21"/>
        </w:rPr>
        <w:t>。人均地区生产总值</w:t>
      </w:r>
      <w:r w:rsidR="00786D68" w:rsidRPr="007B4794">
        <w:rPr>
          <w:rFonts w:ascii="Arial" w:hAnsi="Arial" w:cs="Arial"/>
          <w:noProof/>
          <w:color w:val="000000" w:themeColor="text1"/>
          <w:sz w:val="21"/>
          <w:szCs w:val="21"/>
        </w:rPr>
        <w:t>92074</w:t>
      </w:r>
      <w:r w:rsidR="00786D68" w:rsidRPr="007B4794">
        <w:rPr>
          <w:rFonts w:ascii="Arial" w:hAnsi="Arial" w:cs="Arial"/>
          <w:noProof/>
          <w:color w:val="000000" w:themeColor="text1"/>
          <w:sz w:val="21"/>
          <w:szCs w:val="21"/>
        </w:rPr>
        <w:t>元，比上年增长</w:t>
      </w:r>
      <w:r w:rsidR="00786D68" w:rsidRPr="007B4794">
        <w:rPr>
          <w:rFonts w:ascii="Arial" w:hAnsi="Arial" w:cs="Arial"/>
          <w:noProof/>
          <w:color w:val="000000" w:themeColor="text1"/>
          <w:sz w:val="21"/>
          <w:szCs w:val="21"/>
        </w:rPr>
        <w:t>5.8%</w:t>
      </w:r>
      <w:r w:rsidR="00786D68" w:rsidRPr="007B4794">
        <w:rPr>
          <w:rFonts w:ascii="Arial" w:hAnsi="Arial" w:cs="Arial"/>
          <w:noProof/>
          <w:color w:val="000000" w:themeColor="text1"/>
          <w:sz w:val="21"/>
          <w:szCs w:val="21"/>
        </w:rPr>
        <w:t>。</w:t>
      </w:r>
    </w:p>
    <w:p w14:paraId="2BE90B1E" w14:textId="77777777" w:rsidR="00786D68" w:rsidRPr="007B4794" w:rsidRDefault="00AE01CB"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1</w:t>
      </w:r>
      <w:r w:rsidRPr="007B4794">
        <w:rPr>
          <w:rFonts w:ascii="Arial" w:hAnsi="Arial" w:cs="Arial" w:hint="eastAsia"/>
          <w:noProof/>
          <w:color w:val="000000" w:themeColor="text1"/>
          <w:sz w:val="21"/>
          <w:szCs w:val="21"/>
        </w:rPr>
        <w:t>、</w:t>
      </w:r>
      <w:r w:rsidR="00786D68" w:rsidRPr="007B4794">
        <w:rPr>
          <w:rFonts w:ascii="Arial" w:hAnsi="Arial" w:cs="Arial" w:hint="eastAsia"/>
          <w:noProof/>
          <w:color w:val="000000" w:themeColor="text1"/>
          <w:sz w:val="21"/>
          <w:szCs w:val="21"/>
        </w:rPr>
        <w:t>农业</w:t>
      </w:r>
    </w:p>
    <w:p w14:paraId="07C3CCC2" w14:textId="7B6DECD5" w:rsidR="00AE01CB" w:rsidRPr="007B4794" w:rsidRDefault="00786D68"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2019</w:t>
      </w:r>
      <w:r w:rsidRPr="007B4794">
        <w:rPr>
          <w:rFonts w:ascii="Arial" w:hAnsi="Arial" w:cs="Arial" w:hint="eastAsia"/>
          <w:noProof/>
          <w:color w:val="000000" w:themeColor="text1"/>
          <w:sz w:val="21"/>
          <w:szCs w:val="21"/>
        </w:rPr>
        <w:t>年农林牧渔业完成总产值</w:t>
      </w:r>
      <w:r w:rsidRPr="007B4794">
        <w:rPr>
          <w:rFonts w:ascii="Arial" w:hAnsi="Arial" w:cs="Arial"/>
          <w:noProof/>
          <w:color w:val="000000" w:themeColor="text1"/>
          <w:sz w:val="21"/>
          <w:szCs w:val="21"/>
        </w:rPr>
        <w:t>882.20</w:t>
      </w:r>
      <w:r w:rsidRPr="007B4794">
        <w:rPr>
          <w:rFonts w:ascii="Arial" w:hAnsi="Arial" w:cs="Arial"/>
          <w:noProof/>
          <w:color w:val="000000" w:themeColor="text1"/>
          <w:sz w:val="21"/>
          <w:szCs w:val="21"/>
        </w:rPr>
        <w:t>亿元，比上年增长</w:t>
      </w:r>
      <w:r w:rsidRPr="007B4794">
        <w:rPr>
          <w:rFonts w:ascii="Arial" w:hAnsi="Arial" w:cs="Arial"/>
          <w:noProof/>
          <w:color w:val="000000" w:themeColor="text1"/>
          <w:sz w:val="21"/>
          <w:szCs w:val="21"/>
        </w:rPr>
        <w:t>4.0%</w:t>
      </w:r>
      <w:r w:rsidRPr="007B4794">
        <w:rPr>
          <w:rFonts w:ascii="Arial" w:hAnsi="Arial" w:cs="Arial"/>
          <w:noProof/>
          <w:color w:val="000000" w:themeColor="text1"/>
          <w:sz w:val="21"/>
          <w:szCs w:val="21"/>
        </w:rPr>
        <w:t>，其中，农业增加值</w:t>
      </w:r>
      <w:r w:rsidRPr="007B4794">
        <w:rPr>
          <w:rFonts w:ascii="Arial" w:hAnsi="Arial" w:cs="Arial"/>
          <w:noProof/>
          <w:color w:val="000000" w:themeColor="text1"/>
          <w:sz w:val="21"/>
          <w:szCs w:val="21"/>
        </w:rPr>
        <w:t>374.59</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3.3%</w:t>
      </w:r>
      <w:r w:rsidRPr="007B4794">
        <w:rPr>
          <w:rFonts w:ascii="Arial" w:hAnsi="Arial" w:cs="Arial"/>
          <w:noProof/>
          <w:color w:val="000000" w:themeColor="text1"/>
          <w:sz w:val="21"/>
          <w:szCs w:val="21"/>
        </w:rPr>
        <w:t>；林业增加值</w:t>
      </w:r>
      <w:r w:rsidRPr="007B4794">
        <w:rPr>
          <w:rFonts w:ascii="Arial" w:hAnsi="Arial" w:cs="Arial"/>
          <w:noProof/>
          <w:color w:val="000000" w:themeColor="text1"/>
          <w:sz w:val="21"/>
          <w:szCs w:val="21"/>
        </w:rPr>
        <w:t>39.68</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7.5%</w:t>
      </w:r>
      <w:r w:rsidRPr="007B4794">
        <w:rPr>
          <w:rFonts w:ascii="Arial" w:hAnsi="Arial" w:cs="Arial"/>
          <w:noProof/>
          <w:color w:val="000000" w:themeColor="text1"/>
          <w:sz w:val="21"/>
          <w:szCs w:val="21"/>
        </w:rPr>
        <w:t>；牧业增加值</w:t>
      </w:r>
      <w:r w:rsidRPr="007B4794">
        <w:rPr>
          <w:rFonts w:ascii="Arial" w:hAnsi="Arial" w:cs="Arial"/>
          <w:noProof/>
          <w:color w:val="000000" w:themeColor="text1"/>
          <w:sz w:val="21"/>
          <w:szCs w:val="21"/>
        </w:rPr>
        <w:t>139.24</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2.1%</w:t>
      </w:r>
      <w:r w:rsidRPr="007B4794">
        <w:rPr>
          <w:rFonts w:ascii="Arial" w:hAnsi="Arial" w:cs="Arial"/>
          <w:noProof/>
          <w:color w:val="000000" w:themeColor="text1"/>
          <w:sz w:val="21"/>
          <w:szCs w:val="21"/>
        </w:rPr>
        <w:t>；渔业增加值</w:t>
      </w:r>
      <w:r w:rsidRPr="007B4794">
        <w:rPr>
          <w:rFonts w:ascii="Arial" w:hAnsi="Arial" w:cs="Arial"/>
          <w:noProof/>
          <w:color w:val="000000" w:themeColor="text1"/>
          <w:sz w:val="21"/>
          <w:szCs w:val="21"/>
        </w:rPr>
        <w:t>283.43</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5.0%</w:t>
      </w:r>
      <w:r w:rsidRPr="007B4794">
        <w:rPr>
          <w:rFonts w:ascii="Arial" w:hAnsi="Arial" w:cs="Arial"/>
          <w:noProof/>
          <w:color w:val="000000" w:themeColor="text1"/>
          <w:sz w:val="21"/>
          <w:szCs w:val="21"/>
        </w:rPr>
        <w:t>。粮食总产量</w:t>
      </w:r>
      <w:r w:rsidRPr="007B4794">
        <w:rPr>
          <w:rFonts w:ascii="Arial" w:hAnsi="Arial" w:cs="Arial"/>
          <w:noProof/>
          <w:color w:val="000000" w:themeColor="text1"/>
          <w:sz w:val="21"/>
          <w:szCs w:val="21"/>
        </w:rPr>
        <w:t>40.82</w:t>
      </w:r>
      <w:r w:rsidRPr="007B4794">
        <w:rPr>
          <w:rFonts w:ascii="Arial" w:hAnsi="Arial" w:cs="Arial"/>
          <w:noProof/>
          <w:color w:val="000000" w:themeColor="text1"/>
          <w:sz w:val="21"/>
          <w:szCs w:val="21"/>
        </w:rPr>
        <w:t>万吨，下降</w:t>
      </w:r>
      <w:r w:rsidRPr="007B4794">
        <w:rPr>
          <w:rFonts w:ascii="Arial" w:hAnsi="Arial" w:cs="Arial"/>
          <w:noProof/>
          <w:color w:val="000000" w:themeColor="text1"/>
          <w:sz w:val="21"/>
          <w:szCs w:val="21"/>
        </w:rPr>
        <w:t>1.1%</w:t>
      </w:r>
      <w:r w:rsidRPr="007B4794">
        <w:rPr>
          <w:rFonts w:ascii="Arial" w:hAnsi="Arial" w:cs="Arial"/>
          <w:noProof/>
          <w:color w:val="000000" w:themeColor="text1"/>
          <w:sz w:val="21"/>
          <w:szCs w:val="21"/>
        </w:rPr>
        <w:t>，油料产量</w:t>
      </w:r>
      <w:r w:rsidRPr="007B4794">
        <w:rPr>
          <w:rFonts w:ascii="Arial" w:hAnsi="Arial" w:cs="Arial"/>
          <w:noProof/>
          <w:color w:val="000000" w:themeColor="text1"/>
          <w:sz w:val="21"/>
          <w:szCs w:val="21"/>
        </w:rPr>
        <w:t>3.22</w:t>
      </w:r>
      <w:r w:rsidRPr="007B4794">
        <w:rPr>
          <w:rFonts w:ascii="Arial" w:hAnsi="Arial" w:cs="Arial"/>
          <w:noProof/>
          <w:color w:val="000000" w:themeColor="text1"/>
          <w:sz w:val="21"/>
          <w:szCs w:val="21"/>
        </w:rPr>
        <w:t>万吨，增长</w:t>
      </w:r>
      <w:r w:rsidRPr="007B4794">
        <w:rPr>
          <w:rFonts w:ascii="Arial" w:hAnsi="Arial" w:cs="Arial"/>
          <w:noProof/>
          <w:color w:val="000000" w:themeColor="text1"/>
          <w:sz w:val="21"/>
          <w:szCs w:val="21"/>
        </w:rPr>
        <w:t>3.4%</w:t>
      </w:r>
      <w:r w:rsidRPr="007B4794">
        <w:rPr>
          <w:rFonts w:ascii="Arial" w:hAnsi="Arial" w:cs="Arial"/>
          <w:noProof/>
          <w:color w:val="000000" w:themeColor="text1"/>
          <w:sz w:val="21"/>
          <w:szCs w:val="21"/>
        </w:rPr>
        <w:t>，糖料产量</w:t>
      </w:r>
      <w:r w:rsidRPr="007B4794">
        <w:rPr>
          <w:rFonts w:ascii="Arial" w:hAnsi="Arial" w:cs="Arial"/>
          <w:noProof/>
          <w:color w:val="000000" w:themeColor="text1"/>
          <w:sz w:val="21"/>
          <w:szCs w:val="21"/>
        </w:rPr>
        <w:t>2.05</w:t>
      </w:r>
      <w:r w:rsidRPr="007B4794">
        <w:rPr>
          <w:rFonts w:ascii="Arial" w:hAnsi="Arial" w:cs="Arial"/>
          <w:noProof/>
          <w:color w:val="000000" w:themeColor="text1"/>
          <w:sz w:val="21"/>
          <w:szCs w:val="21"/>
        </w:rPr>
        <w:t>万吨，增长</w:t>
      </w:r>
      <w:r w:rsidRPr="007B4794">
        <w:rPr>
          <w:rFonts w:ascii="Arial" w:hAnsi="Arial" w:cs="Arial"/>
          <w:noProof/>
          <w:color w:val="000000" w:themeColor="text1"/>
          <w:sz w:val="21"/>
          <w:szCs w:val="21"/>
        </w:rPr>
        <w:t>1.6%</w:t>
      </w:r>
      <w:r w:rsidRPr="007B4794">
        <w:rPr>
          <w:rFonts w:ascii="Arial" w:hAnsi="Arial" w:cs="Arial"/>
          <w:noProof/>
          <w:color w:val="000000" w:themeColor="text1"/>
          <w:sz w:val="21"/>
          <w:szCs w:val="21"/>
        </w:rPr>
        <w:t>，茶叶产量</w:t>
      </w:r>
      <w:r w:rsidRPr="007B4794">
        <w:rPr>
          <w:rFonts w:ascii="Arial" w:hAnsi="Arial" w:cs="Arial"/>
          <w:noProof/>
          <w:color w:val="000000" w:themeColor="text1"/>
          <w:sz w:val="21"/>
          <w:szCs w:val="21"/>
        </w:rPr>
        <w:t>5.59</w:t>
      </w:r>
      <w:r w:rsidRPr="007B4794">
        <w:rPr>
          <w:rFonts w:ascii="Arial" w:hAnsi="Arial" w:cs="Arial"/>
          <w:noProof/>
          <w:color w:val="000000" w:themeColor="text1"/>
          <w:sz w:val="21"/>
          <w:szCs w:val="21"/>
        </w:rPr>
        <w:t>万吨，增长</w:t>
      </w:r>
      <w:r w:rsidRPr="007B4794">
        <w:rPr>
          <w:rFonts w:ascii="Arial" w:hAnsi="Arial" w:cs="Arial"/>
          <w:noProof/>
          <w:color w:val="000000" w:themeColor="text1"/>
          <w:sz w:val="21"/>
          <w:szCs w:val="21"/>
        </w:rPr>
        <w:t>8.7%</w:t>
      </w:r>
      <w:r w:rsidRPr="007B4794">
        <w:rPr>
          <w:rFonts w:ascii="Arial" w:hAnsi="Arial" w:cs="Arial"/>
          <w:noProof/>
          <w:color w:val="000000" w:themeColor="text1"/>
          <w:sz w:val="21"/>
          <w:szCs w:val="21"/>
        </w:rPr>
        <w:t>，水果产量</w:t>
      </w:r>
      <w:r w:rsidRPr="007B4794">
        <w:rPr>
          <w:rFonts w:ascii="Arial" w:hAnsi="Arial" w:cs="Arial"/>
          <w:noProof/>
          <w:color w:val="000000" w:themeColor="text1"/>
          <w:sz w:val="21"/>
          <w:szCs w:val="21"/>
        </w:rPr>
        <w:t>345.45</w:t>
      </w:r>
      <w:r w:rsidRPr="007B4794">
        <w:rPr>
          <w:rFonts w:ascii="Arial" w:hAnsi="Arial" w:cs="Arial"/>
          <w:noProof/>
          <w:color w:val="000000" w:themeColor="text1"/>
          <w:sz w:val="21"/>
          <w:szCs w:val="21"/>
        </w:rPr>
        <w:t>万吨，增长</w:t>
      </w:r>
      <w:r w:rsidRPr="007B4794">
        <w:rPr>
          <w:rFonts w:ascii="Arial" w:hAnsi="Arial" w:cs="Arial"/>
          <w:noProof/>
          <w:color w:val="000000" w:themeColor="text1"/>
          <w:sz w:val="21"/>
          <w:szCs w:val="21"/>
        </w:rPr>
        <w:t>5.5%</w:t>
      </w:r>
      <w:r w:rsidRPr="007B4794">
        <w:rPr>
          <w:rFonts w:ascii="Arial" w:hAnsi="Arial" w:cs="Arial"/>
          <w:noProof/>
          <w:color w:val="000000" w:themeColor="text1"/>
          <w:sz w:val="21"/>
          <w:szCs w:val="21"/>
        </w:rPr>
        <w:t>，蔬菜产量</w:t>
      </w:r>
      <w:r w:rsidRPr="007B4794">
        <w:rPr>
          <w:rFonts w:ascii="Arial" w:hAnsi="Arial" w:cs="Arial"/>
          <w:noProof/>
          <w:color w:val="000000" w:themeColor="text1"/>
          <w:sz w:val="21"/>
          <w:szCs w:val="21"/>
        </w:rPr>
        <w:t>232.67</w:t>
      </w:r>
      <w:r w:rsidRPr="007B4794">
        <w:rPr>
          <w:rFonts w:ascii="Arial" w:hAnsi="Arial" w:cs="Arial"/>
          <w:noProof/>
          <w:color w:val="000000" w:themeColor="text1"/>
          <w:sz w:val="21"/>
          <w:szCs w:val="21"/>
        </w:rPr>
        <w:t>万吨，增长</w:t>
      </w:r>
      <w:r w:rsidRPr="007B4794">
        <w:rPr>
          <w:rFonts w:ascii="Arial" w:hAnsi="Arial" w:cs="Arial"/>
          <w:noProof/>
          <w:color w:val="000000" w:themeColor="text1"/>
          <w:sz w:val="21"/>
          <w:szCs w:val="21"/>
        </w:rPr>
        <w:t>4.6%</w:t>
      </w:r>
      <w:r w:rsidRPr="007B4794">
        <w:rPr>
          <w:rFonts w:ascii="Arial" w:hAnsi="Arial" w:cs="Arial"/>
          <w:noProof/>
          <w:color w:val="000000" w:themeColor="text1"/>
          <w:sz w:val="21"/>
          <w:szCs w:val="21"/>
        </w:rPr>
        <w:t>，食用菌产量</w:t>
      </w:r>
      <w:r w:rsidRPr="007B4794">
        <w:rPr>
          <w:rFonts w:ascii="Arial" w:hAnsi="Arial" w:cs="Arial"/>
          <w:noProof/>
          <w:color w:val="000000" w:themeColor="text1"/>
          <w:sz w:val="21"/>
          <w:szCs w:val="21"/>
        </w:rPr>
        <w:t>40.29</w:t>
      </w:r>
      <w:r w:rsidRPr="007B4794">
        <w:rPr>
          <w:rFonts w:ascii="Arial" w:hAnsi="Arial" w:cs="Arial"/>
          <w:noProof/>
          <w:color w:val="000000" w:themeColor="text1"/>
          <w:sz w:val="21"/>
          <w:szCs w:val="21"/>
        </w:rPr>
        <w:t>万吨，增长</w:t>
      </w:r>
      <w:r w:rsidRPr="007B4794">
        <w:rPr>
          <w:rFonts w:ascii="Arial" w:hAnsi="Arial" w:cs="Arial"/>
          <w:noProof/>
          <w:color w:val="000000" w:themeColor="text1"/>
          <w:sz w:val="21"/>
          <w:szCs w:val="21"/>
        </w:rPr>
        <w:t>5.3%</w:t>
      </w:r>
      <w:r w:rsidR="00AE01CB" w:rsidRPr="007B4794">
        <w:rPr>
          <w:rFonts w:ascii="Arial" w:hAnsi="Arial" w:cs="Arial"/>
          <w:noProof/>
          <w:color w:val="000000" w:themeColor="text1"/>
          <w:sz w:val="21"/>
          <w:szCs w:val="21"/>
        </w:rPr>
        <w:t>。</w:t>
      </w:r>
    </w:p>
    <w:p w14:paraId="4BD87E3F" w14:textId="77777777" w:rsidR="00786D68" w:rsidRPr="007B4794" w:rsidRDefault="00786D68"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木材产量</w:t>
      </w:r>
      <w:r w:rsidRPr="007B4794">
        <w:rPr>
          <w:rFonts w:ascii="Arial" w:hAnsi="Arial" w:cs="Arial"/>
          <w:noProof/>
          <w:color w:val="000000" w:themeColor="text1"/>
          <w:sz w:val="21"/>
          <w:szCs w:val="21"/>
        </w:rPr>
        <w:t>222.47</w:t>
      </w:r>
      <w:r w:rsidRPr="007B4794">
        <w:rPr>
          <w:rFonts w:ascii="Arial" w:hAnsi="Arial" w:cs="Arial"/>
          <w:noProof/>
          <w:color w:val="000000" w:themeColor="text1"/>
          <w:sz w:val="21"/>
          <w:szCs w:val="21"/>
        </w:rPr>
        <w:t>万立方米，比上年增长</w:t>
      </w:r>
      <w:r w:rsidRPr="007B4794">
        <w:rPr>
          <w:rFonts w:ascii="Arial" w:hAnsi="Arial" w:cs="Arial"/>
          <w:noProof/>
          <w:color w:val="000000" w:themeColor="text1"/>
          <w:sz w:val="21"/>
          <w:szCs w:val="21"/>
        </w:rPr>
        <w:t>6.6%</w:t>
      </w:r>
      <w:r w:rsidRPr="007B4794">
        <w:rPr>
          <w:rFonts w:ascii="Arial" w:hAnsi="Arial" w:cs="Arial"/>
          <w:noProof/>
          <w:color w:val="000000" w:themeColor="text1"/>
          <w:sz w:val="21"/>
          <w:szCs w:val="21"/>
        </w:rPr>
        <w:t>。</w:t>
      </w:r>
    </w:p>
    <w:p w14:paraId="4B701DEA" w14:textId="77777777" w:rsidR="00786D68" w:rsidRPr="007B4794" w:rsidRDefault="00786D68"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肉类总产量</w:t>
      </w:r>
      <w:r w:rsidRPr="007B4794">
        <w:rPr>
          <w:rFonts w:ascii="Arial" w:hAnsi="Arial" w:cs="Arial"/>
          <w:noProof/>
          <w:color w:val="000000" w:themeColor="text1"/>
          <w:sz w:val="21"/>
          <w:szCs w:val="21"/>
        </w:rPr>
        <w:t>34.39</w:t>
      </w:r>
      <w:r w:rsidRPr="007B4794">
        <w:rPr>
          <w:rFonts w:ascii="Arial" w:hAnsi="Arial" w:cs="Arial"/>
          <w:noProof/>
          <w:color w:val="000000" w:themeColor="text1"/>
          <w:sz w:val="21"/>
          <w:szCs w:val="21"/>
        </w:rPr>
        <w:t>万吨，比上年增长</w:t>
      </w:r>
      <w:r w:rsidRPr="007B4794">
        <w:rPr>
          <w:rFonts w:ascii="Arial" w:hAnsi="Arial" w:cs="Arial"/>
          <w:noProof/>
          <w:color w:val="000000" w:themeColor="text1"/>
          <w:sz w:val="21"/>
          <w:szCs w:val="21"/>
        </w:rPr>
        <w:t>5.1%</w:t>
      </w:r>
      <w:r w:rsidRPr="007B4794">
        <w:rPr>
          <w:rFonts w:ascii="Arial" w:hAnsi="Arial" w:cs="Arial"/>
          <w:noProof/>
          <w:color w:val="000000" w:themeColor="text1"/>
          <w:sz w:val="21"/>
          <w:szCs w:val="21"/>
        </w:rPr>
        <w:t>。禽蛋产量</w:t>
      </w:r>
      <w:r w:rsidRPr="007B4794">
        <w:rPr>
          <w:rFonts w:ascii="Arial" w:hAnsi="Arial" w:cs="Arial"/>
          <w:noProof/>
          <w:color w:val="000000" w:themeColor="text1"/>
          <w:sz w:val="21"/>
          <w:szCs w:val="21"/>
        </w:rPr>
        <w:t>6.83</w:t>
      </w:r>
      <w:r w:rsidRPr="007B4794">
        <w:rPr>
          <w:rFonts w:ascii="Arial" w:hAnsi="Arial" w:cs="Arial"/>
          <w:noProof/>
          <w:color w:val="000000" w:themeColor="text1"/>
          <w:sz w:val="21"/>
          <w:szCs w:val="21"/>
        </w:rPr>
        <w:t>万吨，增长</w:t>
      </w:r>
      <w:r w:rsidRPr="007B4794">
        <w:rPr>
          <w:rFonts w:ascii="Arial" w:hAnsi="Arial" w:cs="Arial"/>
          <w:noProof/>
          <w:color w:val="000000" w:themeColor="text1"/>
          <w:sz w:val="21"/>
          <w:szCs w:val="21"/>
        </w:rPr>
        <w:t>20.4%</w:t>
      </w:r>
      <w:r w:rsidRPr="007B4794">
        <w:rPr>
          <w:rFonts w:ascii="Arial" w:hAnsi="Arial" w:cs="Arial"/>
          <w:noProof/>
          <w:color w:val="000000" w:themeColor="text1"/>
          <w:sz w:val="21"/>
          <w:szCs w:val="21"/>
        </w:rPr>
        <w:t>。牛奶产量</w:t>
      </w:r>
      <w:r w:rsidRPr="007B4794">
        <w:rPr>
          <w:rFonts w:ascii="Arial" w:hAnsi="Arial" w:cs="Arial"/>
          <w:noProof/>
          <w:color w:val="000000" w:themeColor="text1"/>
          <w:sz w:val="21"/>
          <w:szCs w:val="21"/>
        </w:rPr>
        <w:t>0.29</w:t>
      </w:r>
      <w:r w:rsidRPr="007B4794">
        <w:rPr>
          <w:rFonts w:ascii="Arial" w:hAnsi="Arial" w:cs="Arial"/>
          <w:noProof/>
          <w:color w:val="000000" w:themeColor="text1"/>
          <w:sz w:val="21"/>
          <w:szCs w:val="21"/>
        </w:rPr>
        <w:t>万吨，增长</w:t>
      </w:r>
      <w:r w:rsidRPr="007B4794">
        <w:rPr>
          <w:rFonts w:ascii="Arial" w:hAnsi="Arial" w:cs="Arial"/>
          <w:noProof/>
          <w:color w:val="000000" w:themeColor="text1"/>
          <w:sz w:val="21"/>
          <w:szCs w:val="21"/>
        </w:rPr>
        <w:t>17.2%</w:t>
      </w:r>
      <w:r w:rsidRPr="007B4794">
        <w:rPr>
          <w:rFonts w:ascii="Arial" w:hAnsi="Arial" w:cs="Arial"/>
          <w:noProof/>
          <w:color w:val="000000" w:themeColor="text1"/>
          <w:sz w:val="21"/>
          <w:szCs w:val="21"/>
        </w:rPr>
        <w:t>。年末生猪存栏</w:t>
      </w:r>
      <w:r w:rsidRPr="007B4794">
        <w:rPr>
          <w:rFonts w:ascii="Arial" w:hAnsi="Arial" w:cs="Arial"/>
          <w:noProof/>
          <w:color w:val="000000" w:themeColor="text1"/>
          <w:sz w:val="21"/>
          <w:szCs w:val="21"/>
        </w:rPr>
        <w:t>78.26</w:t>
      </w:r>
      <w:r w:rsidRPr="007B4794">
        <w:rPr>
          <w:rFonts w:ascii="Arial" w:hAnsi="Arial" w:cs="Arial"/>
          <w:noProof/>
          <w:color w:val="000000" w:themeColor="text1"/>
          <w:sz w:val="21"/>
          <w:szCs w:val="21"/>
        </w:rPr>
        <w:t>万头，下降</w:t>
      </w:r>
      <w:r w:rsidRPr="007B4794">
        <w:rPr>
          <w:rFonts w:ascii="Arial" w:hAnsi="Arial" w:cs="Arial"/>
          <w:noProof/>
          <w:color w:val="000000" w:themeColor="text1"/>
          <w:sz w:val="21"/>
          <w:szCs w:val="21"/>
        </w:rPr>
        <w:t>24.3%</w:t>
      </w:r>
      <w:r w:rsidRPr="007B4794">
        <w:rPr>
          <w:rFonts w:ascii="Arial" w:hAnsi="Arial" w:cs="Arial"/>
          <w:noProof/>
          <w:color w:val="000000" w:themeColor="text1"/>
          <w:sz w:val="21"/>
          <w:szCs w:val="21"/>
        </w:rPr>
        <w:t>；生猪出栏</w:t>
      </w:r>
      <w:r w:rsidRPr="007B4794">
        <w:rPr>
          <w:rFonts w:ascii="Arial" w:hAnsi="Arial" w:cs="Arial"/>
          <w:noProof/>
          <w:color w:val="000000" w:themeColor="text1"/>
          <w:sz w:val="21"/>
          <w:szCs w:val="21"/>
        </w:rPr>
        <w:t>161.63</w:t>
      </w:r>
      <w:r w:rsidRPr="007B4794">
        <w:rPr>
          <w:rFonts w:ascii="Arial" w:hAnsi="Arial" w:cs="Arial"/>
          <w:noProof/>
          <w:color w:val="000000" w:themeColor="text1"/>
          <w:sz w:val="21"/>
          <w:szCs w:val="21"/>
        </w:rPr>
        <w:t>万头，下降</w:t>
      </w:r>
      <w:r w:rsidRPr="007B4794">
        <w:rPr>
          <w:rFonts w:ascii="Arial" w:hAnsi="Arial" w:cs="Arial"/>
          <w:noProof/>
          <w:color w:val="000000" w:themeColor="text1"/>
          <w:sz w:val="21"/>
          <w:szCs w:val="21"/>
        </w:rPr>
        <w:t>8.1%</w:t>
      </w:r>
      <w:r w:rsidRPr="007B4794">
        <w:rPr>
          <w:rFonts w:ascii="Arial" w:hAnsi="Arial" w:cs="Arial"/>
          <w:noProof/>
          <w:color w:val="000000" w:themeColor="text1"/>
          <w:sz w:val="21"/>
          <w:szCs w:val="21"/>
        </w:rPr>
        <w:t>。</w:t>
      </w:r>
    </w:p>
    <w:p w14:paraId="43239C0B" w14:textId="27386A7C" w:rsidR="00786D68" w:rsidRPr="007B4794" w:rsidRDefault="00786D68"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水产品总产量</w:t>
      </w:r>
      <w:r w:rsidRPr="007B4794">
        <w:rPr>
          <w:rFonts w:ascii="Arial" w:hAnsi="Arial" w:cs="Arial"/>
          <w:noProof/>
          <w:color w:val="000000" w:themeColor="text1"/>
          <w:sz w:val="21"/>
          <w:szCs w:val="21"/>
        </w:rPr>
        <w:t>202.96</w:t>
      </w:r>
      <w:r w:rsidRPr="007B4794">
        <w:rPr>
          <w:rFonts w:ascii="Arial" w:hAnsi="Arial" w:cs="Arial"/>
          <w:noProof/>
          <w:color w:val="000000" w:themeColor="text1"/>
          <w:sz w:val="21"/>
          <w:szCs w:val="21"/>
        </w:rPr>
        <w:t>万吨，增长</w:t>
      </w:r>
      <w:r w:rsidRPr="007B4794">
        <w:rPr>
          <w:rFonts w:ascii="Arial" w:hAnsi="Arial" w:cs="Arial"/>
          <w:noProof/>
          <w:color w:val="000000" w:themeColor="text1"/>
          <w:sz w:val="21"/>
          <w:szCs w:val="21"/>
        </w:rPr>
        <w:t>5.0%</w:t>
      </w:r>
      <w:r w:rsidRPr="007B4794">
        <w:rPr>
          <w:rFonts w:ascii="Arial" w:hAnsi="Arial" w:cs="Arial"/>
          <w:noProof/>
          <w:color w:val="000000" w:themeColor="text1"/>
          <w:sz w:val="21"/>
          <w:szCs w:val="21"/>
        </w:rPr>
        <w:t>，其中，淡水产品产量</w:t>
      </w:r>
      <w:r w:rsidRPr="007B4794">
        <w:rPr>
          <w:rFonts w:ascii="Arial" w:hAnsi="Arial" w:cs="Arial"/>
          <w:noProof/>
          <w:color w:val="000000" w:themeColor="text1"/>
          <w:sz w:val="21"/>
          <w:szCs w:val="21"/>
        </w:rPr>
        <w:t>29.30</w:t>
      </w:r>
      <w:r w:rsidRPr="007B4794">
        <w:rPr>
          <w:rFonts w:ascii="Arial" w:hAnsi="Arial" w:cs="Arial"/>
          <w:noProof/>
          <w:color w:val="000000" w:themeColor="text1"/>
          <w:sz w:val="21"/>
          <w:szCs w:val="21"/>
        </w:rPr>
        <w:t>万吨，增长</w:t>
      </w:r>
      <w:r w:rsidRPr="007B4794">
        <w:rPr>
          <w:rFonts w:ascii="Arial" w:hAnsi="Arial" w:cs="Arial"/>
          <w:noProof/>
          <w:color w:val="000000" w:themeColor="text1"/>
          <w:sz w:val="21"/>
          <w:szCs w:val="21"/>
        </w:rPr>
        <w:t>4.4%</w:t>
      </w:r>
      <w:r w:rsidRPr="007B4794">
        <w:rPr>
          <w:rFonts w:ascii="Arial" w:hAnsi="Arial" w:cs="Arial"/>
          <w:noProof/>
          <w:color w:val="000000" w:themeColor="text1"/>
          <w:sz w:val="21"/>
          <w:szCs w:val="21"/>
        </w:rPr>
        <w:t>；近海捕捞</w:t>
      </w:r>
      <w:r w:rsidRPr="007B4794">
        <w:rPr>
          <w:rFonts w:ascii="Arial" w:hAnsi="Arial" w:cs="Arial"/>
          <w:noProof/>
          <w:color w:val="000000" w:themeColor="text1"/>
          <w:sz w:val="21"/>
          <w:szCs w:val="21"/>
        </w:rPr>
        <w:t>33.35</w:t>
      </w:r>
      <w:r w:rsidRPr="007B4794">
        <w:rPr>
          <w:rFonts w:ascii="Arial" w:hAnsi="Arial" w:cs="Arial"/>
          <w:noProof/>
          <w:color w:val="000000" w:themeColor="text1"/>
          <w:sz w:val="21"/>
          <w:szCs w:val="21"/>
        </w:rPr>
        <w:t>万吨，下降</w:t>
      </w:r>
      <w:r w:rsidRPr="007B4794">
        <w:rPr>
          <w:rFonts w:ascii="Arial" w:hAnsi="Arial" w:cs="Arial"/>
          <w:noProof/>
          <w:color w:val="000000" w:themeColor="text1"/>
          <w:sz w:val="21"/>
          <w:szCs w:val="21"/>
        </w:rPr>
        <w:t>53.0%</w:t>
      </w:r>
      <w:r w:rsidRPr="007B4794">
        <w:rPr>
          <w:rFonts w:ascii="Arial" w:hAnsi="Arial" w:cs="Arial"/>
          <w:noProof/>
          <w:color w:val="000000" w:themeColor="text1"/>
          <w:sz w:val="21"/>
          <w:szCs w:val="21"/>
        </w:rPr>
        <w:t>；海水养殖</w:t>
      </w:r>
      <w:r w:rsidRPr="007B4794">
        <w:rPr>
          <w:rFonts w:ascii="Arial" w:hAnsi="Arial" w:cs="Arial"/>
          <w:noProof/>
          <w:color w:val="000000" w:themeColor="text1"/>
          <w:sz w:val="21"/>
          <w:szCs w:val="21"/>
        </w:rPr>
        <w:t>133.51</w:t>
      </w:r>
      <w:r w:rsidRPr="007B4794">
        <w:rPr>
          <w:rFonts w:ascii="Arial" w:hAnsi="Arial" w:cs="Arial"/>
          <w:noProof/>
          <w:color w:val="000000" w:themeColor="text1"/>
          <w:sz w:val="21"/>
          <w:szCs w:val="21"/>
        </w:rPr>
        <w:t>万吨，增长</w:t>
      </w:r>
      <w:r w:rsidRPr="007B4794">
        <w:rPr>
          <w:rFonts w:ascii="Arial" w:hAnsi="Arial" w:cs="Arial"/>
          <w:noProof/>
          <w:color w:val="000000" w:themeColor="text1"/>
          <w:sz w:val="21"/>
          <w:szCs w:val="21"/>
        </w:rPr>
        <w:t>7.8%</w:t>
      </w:r>
      <w:r w:rsidRPr="007B4794">
        <w:rPr>
          <w:rFonts w:ascii="Arial" w:hAnsi="Arial" w:cs="Arial"/>
          <w:noProof/>
          <w:color w:val="000000" w:themeColor="text1"/>
          <w:sz w:val="21"/>
          <w:szCs w:val="21"/>
        </w:rPr>
        <w:t>；远洋捕捞</w:t>
      </w:r>
      <w:r w:rsidRPr="007B4794">
        <w:rPr>
          <w:rFonts w:ascii="Arial" w:hAnsi="Arial" w:cs="Arial"/>
          <w:noProof/>
          <w:color w:val="000000" w:themeColor="text1"/>
          <w:sz w:val="21"/>
          <w:szCs w:val="21"/>
        </w:rPr>
        <w:t>6.8</w:t>
      </w:r>
      <w:r w:rsidRPr="007B4794">
        <w:rPr>
          <w:rFonts w:ascii="Arial" w:hAnsi="Arial" w:cs="Arial"/>
          <w:noProof/>
          <w:color w:val="000000" w:themeColor="text1"/>
          <w:sz w:val="21"/>
          <w:szCs w:val="21"/>
        </w:rPr>
        <w:t>万吨，增长</w:t>
      </w:r>
      <w:r w:rsidRPr="007B4794">
        <w:rPr>
          <w:rFonts w:ascii="Arial" w:hAnsi="Arial" w:cs="Arial"/>
          <w:noProof/>
          <w:color w:val="000000" w:themeColor="text1"/>
          <w:sz w:val="21"/>
          <w:szCs w:val="21"/>
        </w:rPr>
        <w:t>10.3%</w:t>
      </w:r>
      <w:r w:rsidRPr="007B4794">
        <w:rPr>
          <w:rFonts w:ascii="Arial" w:hAnsi="Arial" w:cs="Arial"/>
          <w:noProof/>
          <w:color w:val="000000" w:themeColor="text1"/>
          <w:sz w:val="21"/>
          <w:szCs w:val="21"/>
        </w:rPr>
        <w:t>。</w:t>
      </w:r>
    </w:p>
    <w:p w14:paraId="009D126D" w14:textId="77777777" w:rsidR="00786D68" w:rsidRPr="007B4794" w:rsidRDefault="00AE01CB"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lastRenderedPageBreak/>
        <w:t>2</w:t>
      </w:r>
      <w:r w:rsidRPr="007B4794">
        <w:rPr>
          <w:rFonts w:ascii="Arial" w:hAnsi="Arial" w:cs="Arial" w:hint="eastAsia"/>
          <w:noProof/>
          <w:color w:val="000000" w:themeColor="text1"/>
          <w:sz w:val="21"/>
          <w:szCs w:val="21"/>
        </w:rPr>
        <w:t>、</w:t>
      </w:r>
      <w:r w:rsidR="00786D68" w:rsidRPr="007B4794">
        <w:rPr>
          <w:rFonts w:ascii="Arial" w:hAnsi="Arial" w:cs="Arial" w:hint="eastAsia"/>
          <w:noProof/>
          <w:color w:val="000000" w:themeColor="text1"/>
          <w:sz w:val="21"/>
          <w:szCs w:val="21"/>
        </w:rPr>
        <w:t>工业和建筑业</w:t>
      </w:r>
    </w:p>
    <w:p w14:paraId="24D8A07D" w14:textId="032EC680" w:rsidR="00786D68" w:rsidRPr="007B4794" w:rsidRDefault="002F4613"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2019</w:t>
      </w:r>
      <w:r w:rsidR="00786D68" w:rsidRPr="007B4794">
        <w:rPr>
          <w:rFonts w:ascii="Arial" w:hAnsi="Arial" w:cs="Arial" w:hint="eastAsia"/>
          <w:noProof/>
          <w:color w:val="000000" w:themeColor="text1"/>
          <w:sz w:val="21"/>
          <w:szCs w:val="21"/>
        </w:rPr>
        <w:t>年末规模以上工业法人企业</w:t>
      </w:r>
      <w:r w:rsidR="00786D68" w:rsidRPr="007B4794">
        <w:rPr>
          <w:rFonts w:ascii="Arial" w:hAnsi="Arial" w:cs="Arial"/>
          <w:noProof/>
          <w:color w:val="000000" w:themeColor="text1"/>
          <w:sz w:val="21"/>
          <w:szCs w:val="21"/>
        </w:rPr>
        <w:t>2303</w:t>
      </w:r>
      <w:r w:rsidR="00786D68" w:rsidRPr="007B4794">
        <w:rPr>
          <w:rFonts w:ascii="Arial" w:hAnsi="Arial" w:cs="Arial"/>
          <w:noProof/>
          <w:color w:val="000000" w:themeColor="text1"/>
          <w:sz w:val="21"/>
          <w:szCs w:val="21"/>
        </w:rPr>
        <w:t>家，比上年末增加</w:t>
      </w:r>
      <w:r w:rsidR="00786D68" w:rsidRPr="007B4794">
        <w:rPr>
          <w:rFonts w:ascii="Arial" w:hAnsi="Arial" w:cs="Arial"/>
          <w:noProof/>
          <w:color w:val="000000" w:themeColor="text1"/>
          <w:sz w:val="21"/>
          <w:szCs w:val="21"/>
        </w:rPr>
        <w:t>34</w:t>
      </w:r>
      <w:r w:rsidR="00786D68" w:rsidRPr="007B4794">
        <w:rPr>
          <w:rFonts w:ascii="Arial" w:hAnsi="Arial" w:cs="Arial"/>
          <w:noProof/>
          <w:color w:val="000000" w:themeColor="text1"/>
          <w:sz w:val="21"/>
          <w:szCs w:val="21"/>
        </w:rPr>
        <w:t>家。其中，年产值过</w:t>
      </w:r>
      <w:r w:rsidR="00786D68" w:rsidRPr="007B4794">
        <w:rPr>
          <w:rFonts w:ascii="Arial" w:hAnsi="Arial" w:cs="Arial"/>
          <w:noProof/>
          <w:color w:val="000000" w:themeColor="text1"/>
          <w:sz w:val="21"/>
          <w:szCs w:val="21"/>
        </w:rPr>
        <w:t>5</w:t>
      </w:r>
      <w:r w:rsidR="00786D68" w:rsidRPr="007B4794">
        <w:rPr>
          <w:rFonts w:ascii="Arial" w:hAnsi="Arial" w:cs="Arial"/>
          <w:noProof/>
          <w:color w:val="000000" w:themeColor="text1"/>
          <w:sz w:val="21"/>
          <w:szCs w:val="21"/>
        </w:rPr>
        <w:t>亿元、</w:t>
      </w:r>
      <w:r w:rsidR="00786D68" w:rsidRPr="007B4794">
        <w:rPr>
          <w:rFonts w:ascii="Arial" w:hAnsi="Arial" w:cs="Arial"/>
          <w:noProof/>
          <w:color w:val="000000" w:themeColor="text1"/>
          <w:sz w:val="21"/>
          <w:szCs w:val="21"/>
        </w:rPr>
        <w:t>50</w:t>
      </w:r>
      <w:r w:rsidR="00786D68" w:rsidRPr="007B4794">
        <w:rPr>
          <w:rFonts w:ascii="Arial" w:hAnsi="Arial" w:cs="Arial"/>
          <w:noProof/>
          <w:color w:val="000000" w:themeColor="text1"/>
          <w:sz w:val="21"/>
          <w:szCs w:val="21"/>
        </w:rPr>
        <w:t>亿元、</w:t>
      </w:r>
      <w:r w:rsidR="00786D68" w:rsidRPr="007B4794">
        <w:rPr>
          <w:rFonts w:ascii="Arial" w:hAnsi="Arial" w:cs="Arial"/>
          <w:noProof/>
          <w:color w:val="000000" w:themeColor="text1"/>
          <w:sz w:val="21"/>
          <w:szCs w:val="21"/>
        </w:rPr>
        <w:t>100</w:t>
      </w:r>
      <w:r w:rsidR="00786D68" w:rsidRPr="007B4794">
        <w:rPr>
          <w:rFonts w:ascii="Arial" w:hAnsi="Arial" w:cs="Arial"/>
          <w:noProof/>
          <w:color w:val="000000" w:themeColor="text1"/>
          <w:sz w:val="21"/>
          <w:szCs w:val="21"/>
        </w:rPr>
        <w:t>亿元的企业分别为</w:t>
      </w:r>
      <w:r w:rsidR="00786D68" w:rsidRPr="007B4794">
        <w:rPr>
          <w:rFonts w:ascii="Arial" w:hAnsi="Arial" w:cs="Arial"/>
          <w:noProof/>
          <w:color w:val="000000" w:themeColor="text1"/>
          <w:sz w:val="21"/>
          <w:szCs w:val="21"/>
        </w:rPr>
        <w:t>258</w:t>
      </w:r>
      <w:r w:rsidR="00786D68" w:rsidRPr="007B4794">
        <w:rPr>
          <w:rFonts w:ascii="Arial" w:hAnsi="Arial" w:cs="Arial"/>
          <w:noProof/>
          <w:color w:val="000000" w:themeColor="text1"/>
          <w:sz w:val="21"/>
          <w:szCs w:val="21"/>
        </w:rPr>
        <w:t>家、</w:t>
      </w:r>
      <w:r w:rsidR="00786D68" w:rsidRPr="007B4794">
        <w:rPr>
          <w:rFonts w:ascii="Arial" w:hAnsi="Arial" w:cs="Arial"/>
          <w:noProof/>
          <w:color w:val="000000" w:themeColor="text1"/>
          <w:sz w:val="21"/>
          <w:szCs w:val="21"/>
        </w:rPr>
        <w:t>11</w:t>
      </w:r>
      <w:r w:rsidR="00786D68" w:rsidRPr="007B4794">
        <w:rPr>
          <w:rFonts w:ascii="Arial" w:hAnsi="Arial" w:cs="Arial"/>
          <w:noProof/>
          <w:color w:val="000000" w:themeColor="text1"/>
          <w:sz w:val="21"/>
          <w:szCs w:val="21"/>
        </w:rPr>
        <w:t>家和</w:t>
      </w:r>
      <w:r w:rsidR="00786D68" w:rsidRPr="007B4794">
        <w:rPr>
          <w:rFonts w:ascii="Arial" w:hAnsi="Arial" w:cs="Arial"/>
          <w:noProof/>
          <w:color w:val="000000" w:themeColor="text1"/>
          <w:sz w:val="21"/>
          <w:szCs w:val="21"/>
        </w:rPr>
        <w:t>6</w:t>
      </w:r>
      <w:r w:rsidR="00786D68" w:rsidRPr="007B4794">
        <w:rPr>
          <w:rFonts w:ascii="Arial" w:hAnsi="Arial" w:cs="Arial"/>
          <w:noProof/>
          <w:color w:val="000000" w:themeColor="text1"/>
          <w:sz w:val="21"/>
          <w:szCs w:val="21"/>
        </w:rPr>
        <w:t>家。</w:t>
      </w:r>
    </w:p>
    <w:p w14:paraId="25919A6E" w14:textId="77A0494A" w:rsidR="00786D68" w:rsidRPr="007B4794" w:rsidRDefault="002F4613"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2019</w:t>
      </w:r>
      <w:r w:rsidR="00786D68" w:rsidRPr="007B4794">
        <w:rPr>
          <w:rFonts w:ascii="Arial" w:hAnsi="Arial" w:cs="Arial" w:hint="eastAsia"/>
          <w:noProof/>
          <w:color w:val="000000" w:themeColor="text1"/>
          <w:sz w:val="21"/>
          <w:szCs w:val="21"/>
        </w:rPr>
        <w:t>年全部工业增加值</w:t>
      </w:r>
      <w:r w:rsidR="00786D68" w:rsidRPr="007B4794">
        <w:rPr>
          <w:rFonts w:ascii="Arial" w:hAnsi="Arial" w:cs="Arial"/>
          <w:noProof/>
          <w:color w:val="000000" w:themeColor="text1"/>
          <w:sz w:val="21"/>
          <w:szCs w:val="21"/>
        </w:rPr>
        <w:t>1862.24</w:t>
      </w:r>
      <w:r w:rsidR="00786D68" w:rsidRPr="007B4794">
        <w:rPr>
          <w:rFonts w:ascii="Arial" w:hAnsi="Arial" w:cs="Arial"/>
          <w:noProof/>
          <w:color w:val="000000" w:themeColor="text1"/>
          <w:sz w:val="21"/>
          <w:szCs w:val="21"/>
        </w:rPr>
        <w:t>亿元，增长</w:t>
      </w:r>
      <w:r w:rsidR="00786D68" w:rsidRPr="007B4794">
        <w:rPr>
          <w:rFonts w:ascii="Arial" w:hAnsi="Arial" w:cs="Arial"/>
          <w:noProof/>
          <w:color w:val="000000" w:themeColor="text1"/>
          <w:sz w:val="21"/>
          <w:szCs w:val="21"/>
        </w:rPr>
        <w:t>9.0%</w:t>
      </w:r>
      <w:r w:rsidR="00786D68" w:rsidRPr="007B4794">
        <w:rPr>
          <w:rFonts w:ascii="Arial" w:hAnsi="Arial" w:cs="Arial"/>
          <w:noProof/>
          <w:color w:val="000000" w:themeColor="text1"/>
          <w:sz w:val="21"/>
          <w:szCs w:val="21"/>
        </w:rPr>
        <w:t>，其中，规模以上工业增加值增长</w:t>
      </w:r>
      <w:r w:rsidR="00786D68" w:rsidRPr="007B4794">
        <w:rPr>
          <w:rFonts w:ascii="Arial" w:hAnsi="Arial" w:cs="Arial"/>
          <w:noProof/>
          <w:color w:val="000000" w:themeColor="text1"/>
          <w:sz w:val="21"/>
          <w:szCs w:val="21"/>
        </w:rPr>
        <w:t>9.1%</w:t>
      </w:r>
      <w:r w:rsidR="00786D68" w:rsidRPr="007B4794">
        <w:rPr>
          <w:rFonts w:ascii="Arial" w:hAnsi="Arial" w:cs="Arial"/>
          <w:noProof/>
          <w:color w:val="000000" w:themeColor="text1"/>
          <w:sz w:val="21"/>
          <w:szCs w:val="21"/>
        </w:rPr>
        <w:t>。在规模以上工业中，分经济类型看，国有企业下降</w:t>
      </w:r>
      <w:r w:rsidR="00786D68" w:rsidRPr="007B4794">
        <w:rPr>
          <w:rFonts w:ascii="Arial" w:hAnsi="Arial" w:cs="Arial"/>
          <w:noProof/>
          <w:color w:val="000000" w:themeColor="text1"/>
          <w:sz w:val="21"/>
          <w:szCs w:val="21"/>
        </w:rPr>
        <w:t>1.4%</w:t>
      </w:r>
      <w:r w:rsidR="00786D68" w:rsidRPr="007B4794">
        <w:rPr>
          <w:rFonts w:ascii="Arial" w:hAnsi="Arial" w:cs="Arial"/>
          <w:noProof/>
          <w:color w:val="000000" w:themeColor="text1"/>
          <w:sz w:val="21"/>
          <w:szCs w:val="21"/>
        </w:rPr>
        <w:t>，集体企业增长</w:t>
      </w:r>
      <w:r w:rsidR="00786D68" w:rsidRPr="007B4794">
        <w:rPr>
          <w:rFonts w:ascii="Arial" w:hAnsi="Arial" w:cs="Arial"/>
          <w:noProof/>
          <w:color w:val="000000" w:themeColor="text1"/>
          <w:sz w:val="21"/>
          <w:szCs w:val="21"/>
        </w:rPr>
        <w:t>2.8%</w:t>
      </w:r>
      <w:r w:rsidR="00786D68" w:rsidRPr="007B4794">
        <w:rPr>
          <w:rFonts w:ascii="Arial" w:hAnsi="Arial" w:cs="Arial"/>
          <w:noProof/>
          <w:color w:val="000000" w:themeColor="text1"/>
          <w:sz w:val="21"/>
          <w:szCs w:val="21"/>
        </w:rPr>
        <w:t>，股份制企业增长</w:t>
      </w:r>
      <w:r w:rsidR="00786D68" w:rsidRPr="007B4794">
        <w:rPr>
          <w:rFonts w:ascii="Arial" w:hAnsi="Arial" w:cs="Arial"/>
          <w:noProof/>
          <w:color w:val="000000" w:themeColor="text1"/>
          <w:sz w:val="21"/>
          <w:szCs w:val="21"/>
        </w:rPr>
        <w:t>6.6%</w:t>
      </w:r>
      <w:r w:rsidR="00786D68" w:rsidRPr="007B4794">
        <w:rPr>
          <w:rFonts w:ascii="Arial" w:hAnsi="Arial" w:cs="Arial"/>
          <w:noProof/>
          <w:color w:val="000000" w:themeColor="text1"/>
          <w:sz w:val="21"/>
          <w:szCs w:val="21"/>
        </w:rPr>
        <w:t>，外商及港澳台商投资企业增长</w:t>
      </w:r>
      <w:r w:rsidR="00786D68" w:rsidRPr="007B4794">
        <w:rPr>
          <w:rFonts w:ascii="Arial" w:hAnsi="Arial" w:cs="Arial"/>
          <w:noProof/>
          <w:color w:val="000000" w:themeColor="text1"/>
          <w:sz w:val="21"/>
          <w:szCs w:val="21"/>
        </w:rPr>
        <w:t>15.6%</w:t>
      </w:r>
      <w:r w:rsidR="00786D68" w:rsidRPr="007B4794">
        <w:rPr>
          <w:rFonts w:ascii="Arial" w:hAnsi="Arial" w:cs="Arial"/>
          <w:noProof/>
          <w:color w:val="000000" w:themeColor="text1"/>
          <w:sz w:val="21"/>
          <w:szCs w:val="21"/>
        </w:rPr>
        <w:t>，私营企业增长</w:t>
      </w:r>
      <w:r w:rsidR="00786D68" w:rsidRPr="007B4794">
        <w:rPr>
          <w:rFonts w:ascii="Arial" w:hAnsi="Arial" w:cs="Arial"/>
          <w:noProof/>
          <w:color w:val="000000" w:themeColor="text1"/>
          <w:sz w:val="21"/>
          <w:szCs w:val="21"/>
        </w:rPr>
        <w:t>6.3%</w:t>
      </w:r>
      <w:r w:rsidR="00786D68" w:rsidRPr="007B4794">
        <w:rPr>
          <w:rFonts w:ascii="Arial" w:hAnsi="Arial" w:cs="Arial"/>
          <w:noProof/>
          <w:color w:val="000000" w:themeColor="text1"/>
          <w:sz w:val="21"/>
          <w:szCs w:val="21"/>
        </w:rPr>
        <w:t>；分轻重行业看，轻工业增长</w:t>
      </w:r>
      <w:r w:rsidR="00786D68" w:rsidRPr="007B4794">
        <w:rPr>
          <w:rFonts w:ascii="Arial" w:hAnsi="Arial" w:cs="Arial"/>
          <w:noProof/>
          <w:color w:val="000000" w:themeColor="text1"/>
          <w:sz w:val="21"/>
          <w:szCs w:val="21"/>
        </w:rPr>
        <w:t>5.5%</w:t>
      </w:r>
      <w:r w:rsidR="00786D68" w:rsidRPr="007B4794">
        <w:rPr>
          <w:rFonts w:ascii="Arial" w:hAnsi="Arial" w:cs="Arial"/>
          <w:noProof/>
          <w:color w:val="000000" w:themeColor="text1"/>
          <w:sz w:val="21"/>
          <w:szCs w:val="21"/>
        </w:rPr>
        <w:t>，重工业增长</w:t>
      </w:r>
      <w:r w:rsidR="00786D68" w:rsidRPr="007B4794">
        <w:rPr>
          <w:rFonts w:ascii="Arial" w:hAnsi="Arial" w:cs="Arial"/>
          <w:noProof/>
          <w:color w:val="000000" w:themeColor="text1"/>
          <w:sz w:val="21"/>
          <w:szCs w:val="21"/>
        </w:rPr>
        <w:t>13.2%</w:t>
      </w:r>
      <w:r w:rsidR="00786D68" w:rsidRPr="007B4794">
        <w:rPr>
          <w:rFonts w:ascii="Arial" w:hAnsi="Arial" w:cs="Arial"/>
          <w:noProof/>
          <w:color w:val="000000" w:themeColor="text1"/>
          <w:sz w:val="21"/>
          <w:szCs w:val="21"/>
        </w:rPr>
        <w:t>；分门类看，采矿业下降</w:t>
      </w:r>
      <w:r w:rsidR="00786D68" w:rsidRPr="007B4794">
        <w:rPr>
          <w:rFonts w:ascii="Arial" w:hAnsi="Arial" w:cs="Arial"/>
          <w:noProof/>
          <w:color w:val="000000" w:themeColor="text1"/>
          <w:sz w:val="21"/>
          <w:szCs w:val="21"/>
        </w:rPr>
        <w:t>24.5%</w:t>
      </w:r>
      <w:r w:rsidR="00786D68" w:rsidRPr="007B4794">
        <w:rPr>
          <w:rFonts w:ascii="Arial" w:hAnsi="Arial" w:cs="Arial"/>
          <w:noProof/>
          <w:color w:val="000000" w:themeColor="text1"/>
          <w:sz w:val="21"/>
          <w:szCs w:val="21"/>
        </w:rPr>
        <w:t>，制造业增长</w:t>
      </w:r>
      <w:r w:rsidR="00786D68" w:rsidRPr="007B4794">
        <w:rPr>
          <w:rFonts w:ascii="Arial" w:hAnsi="Arial" w:cs="Arial"/>
          <w:noProof/>
          <w:color w:val="000000" w:themeColor="text1"/>
          <w:sz w:val="21"/>
          <w:szCs w:val="21"/>
        </w:rPr>
        <w:t>9.5%</w:t>
      </w:r>
      <w:r w:rsidR="00786D68" w:rsidRPr="007B4794">
        <w:rPr>
          <w:rFonts w:ascii="Arial" w:hAnsi="Arial" w:cs="Arial"/>
          <w:noProof/>
          <w:color w:val="000000" w:themeColor="text1"/>
          <w:sz w:val="21"/>
          <w:szCs w:val="21"/>
        </w:rPr>
        <w:t>，电力、热力、燃气及水生产和供应业增长</w:t>
      </w:r>
      <w:r w:rsidR="00786D68" w:rsidRPr="007B4794">
        <w:rPr>
          <w:rFonts w:ascii="Arial" w:hAnsi="Arial" w:cs="Arial"/>
          <w:noProof/>
          <w:color w:val="000000" w:themeColor="text1"/>
          <w:sz w:val="21"/>
          <w:szCs w:val="21"/>
        </w:rPr>
        <w:t>1.1%</w:t>
      </w:r>
      <w:r w:rsidR="00786D68" w:rsidRPr="007B4794">
        <w:rPr>
          <w:rFonts w:ascii="Arial" w:hAnsi="Arial" w:cs="Arial"/>
          <w:noProof/>
          <w:color w:val="000000" w:themeColor="text1"/>
          <w:sz w:val="21"/>
          <w:szCs w:val="21"/>
        </w:rPr>
        <w:t>。</w:t>
      </w:r>
    </w:p>
    <w:p w14:paraId="5DDE23B8" w14:textId="77777777" w:rsidR="00786D68" w:rsidRPr="007B4794" w:rsidRDefault="00786D68"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规模以上工业的</w:t>
      </w:r>
      <w:r w:rsidRPr="007B4794">
        <w:rPr>
          <w:rFonts w:ascii="Arial" w:hAnsi="Arial" w:cs="Arial"/>
          <w:noProof/>
          <w:color w:val="000000" w:themeColor="text1"/>
          <w:sz w:val="21"/>
          <w:szCs w:val="21"/>
        </w:rPr>
        <w:t>36</w:t>
      </w:r>
      <w:r w:rsidRPr="007B4794">
        <w:rPr>
          <w:rFonts w:ascii="Arial" w:hAnsi="Arial" w:cs="Arial"/>
          <w:noProof/>
          <w:color w:val="000000" w:themeColor="text1"/>
          <w:sz w:val="21"/>
          <w:szCs w:val="21"/>
        </w:rPr>
        <w:t>个行业大类中有</w:t>
      </w:r>
      <w:r w:rsidRPr="007B4794">
        <w:rPr>
          <w:rFonts w:ascii="Arial" w:hAnsi="Arial" w:cs="Arial"/>
          <w:noProof/>
          <w:color w:val="000000" w:themeColor="text1"/>
          <w:sz w:val="21"/>
          <w:szCs w:val="21"/>
        </w:rPr>
        <w:t>10</w:t>
      </w:r>
      <w:r w:rsidRPr="007B4794">
        <w:rPr>
          <w:rFonts w:ascii="Arial" w:hAnsi="Arial" w:cs="Arial"/>
          <w:noProof/>
          <w:color w:val="000000" w:themeColor="text1"/>
          <w:sz w:val="21"/>
          <w:szCs w:val="21"/>
        </w:rPr>
        <w:t>个行业增加值增速在两位数以上。其中，化学原料和化学制品制造业增长</w:t>
      </w:r>
      <w:r w:rsidRPr="007B4794">
        <w:rPr>
          <w:rFonts w:ascii="Arial" w:hAnsi="Arial" w:cs="Arial"/>
          <w:noProof/>
          <w:color w:val="000000" w:themeColor="text1"/>
          <w:sz w:val="21"/>
          <w:szCs w:val="21"/>
        </w:rPr>
        <w:t>48.2%</w:t>
      </w:r>
      <w:r w:rsidRPr="007B4794">
        <w:rPr>
          <w:rFonts w:ascii="Arial" w:hAnsi="Arial" w:cs="Arial"/>
          <w:noProof/>
          <w:color w:val="000000" w:themeColor="text1"/>
          <w:sz w:val="21"/>
          <w:szCs w:val="21"/>
        </w:rPr>
        <w:t>，石油加工、炼焦和核燃料加工业增长</w:t>
      </w:r>
      <w:r w:rsidRPr="007B4794">
        <w:rPr>
          <w:rFonts w:ascii="Arial" w:hAnsi="Arial" w:cs="Arial"/>
          <w:noProof/>
          <w:color w:val="000000" w:themeColor="text1"/>
          <w:sz w:val="21"/>
          <w:szCs w:val="21"/>
        </w:rPr>
        <w:t>35.2%</w:t>
      </w:r>
      <w:r w:rsidRPr="007B4794">
        <w:rPr>
          <w:rFonts w:ascii="Arial" w:hAnsi="Arial" w:cs="Arial"/>
          <w:noProof/>
          <w:color w:val="000000" w:themeColor="text1"/>
          <w:sz w:val="21"/>
          <w:szCs w:val="21"/>
        </w:rPr>
        <w:t>，金属制品、机械和设备修理业增长</w:t>
      </w:r>
      <w:r w:rsidRPr="007B4794">
        <w:rPr>
          <w:rFonts w:ascii="Arial" w:hAnsi="Arial" w:cs="Arial"/>
          <w:noProof/>
          <w:color w:val="000000" w:themeColor="text1"/>
          <w:sz w:val="21"/>
          <w:szCs w:val="21"/>
        </w:rPr>
        <w:t>19.5%</w:t>
      </w:r>
      <w:r w:rsidRPr="007B4794">
        <w:rPr>
          <w:rFonts w:ascii="Arial" w:hAnsi="Arial" w:cs="Arial"/>
          <w:noProof/>
          <w:color w:val="000000" w:themeColor="text1"/>
          <w:sz w:val="21"/>
          <w:szCs w:val="21"/>
        </w:rPr>
        <w:t>，印刷和记录媒介复制业增长</w:t>
      </w:r>
      <w:r w:rsidRPr="007B4794">
        <w:rPr>
          <w:rFonts w:ascii="Arial" w:hAnsi="Arial" w:cs="Arial"/>
          <w:noProof/>
          <w:color w:val="000000" w:themeColor="text1"/>
          <w:sz w:val="21"/>
          <w:szCs w:val="21"/>
        </w:rPr>
        <w:t>15.7%</w:t>
      </w:r>
      <w:r w:rsidRPr="007B4794">
        <w:rPr>
          <w:rFonts w:ascii="Arial" w:hAnsi="Arial" w:cs="Arial"/>
          <w:noProof/>
          <w:color w:val="000000" w:themeColor="text1"/>
          <w:sz w:val="21"/>
          <w:szCs w:val="21"/>
        </w:rPr>
        <w:t>，黑色金属冶炼和压延加工业增长</w:t>
      </w:r>
      <w:r w:rsidRPr="007B4794">
        <w:rPr>
          <w:rFonts w:ascii="Arial" w:hAnsi="Arial" w:cs="Arial"/>
          <w:noProof/>
          <w:color w:val="000000" w:themeColor="text1"/>
          <w:sz w:val="21"/>
          <w:szCs w:val="21"/>
        </w:rPr>
        <w:t>14.8%</w:t>
      </w:r>
      <w:r w:rsidRPr="007B4794">
        <w:rPr>
          <w:rFonts w:ascii="Arial" w:hAnsi="Arial" w:cs="Arial"/>
          <w:noProof/>
          <w:color w:val="000000" w:themeColor="text1"/>
          <w:sz w:val="21"/>
          <w:szCs w:val="21"/>
        </w:rPr>
        <w:t>，燃气生产和供应业增长</w:t>
      </w:r>
      <w:r w:rsidRPr="007B4794">
        <w:rPr>
          <w:rFonts w:ascii="Arial" w:hAnsi="Arial" w:cs="Arial"/>
          <w:noProof/>
          <w:color w:val="000000" w:themeColor="text1"/>
          <w:sz w:val="21"/>
          <w:szCs w:val="21"/>
        </w:rPr>
        <w:t>13.5%</w:t>
      </w:r>
      <w:r w:rsidRPr="007B4794">
        <w:rPr>
          <w:rFonts w:ascii="Arial" w:hAnsi="Arial" w:cs="Arial"/>
          <w:noProof/>
          <w:color w:val="000000" w:themeColor="text1"/>
          <w:sz w:val="21"/>
          <w:szCs w:val="21"/>
        </w:rPr>
        <w:t>，木材加工和木、竹、藤、棕、草制品业增长</w:t>
      </w:r>
      <w:r w:rsidRPr="007B4794">
        <w:rPr>
          <w:rFonts w:ascii="Arial" w:hAnsi="Arial" w:cs="Arial"/>
          <w:noProof/>
          <w:color w:val="000000" w:themeColor="text1"/>
          <w:sz w:val="21"/>
          <w:szCs w:val="21"/>
        </w:rPr>
        <w:t>13.4%</w:t>
      </w:r>
      <w:r w:rsidRPr="007B4794">
        <w:rPr>
          <w:rFonts w:ascii="Arial" w:hAnsi="Arial" w:cs="Arial"/>
          <w:noProof/>
          <w:color w:val="000000" w:themeColor="text1"/>
          <w:sz w:val="21"/>
          <w:szCs w:val="21"/>
        </w:rPr>
        <w:t>，废弃资源综合利用业增长</w:t>
      </w:r>
      <w:r w:rsidRPr="007B4794">
        <w:rPr>
          <w:rFonts w:ascii="Arial" w:hAnsi="Arial" w:cs="Arial"/>
          <w:noProof/>
          <w:color w:val="000000" w:themeColor="text1"/>
          <w:sz w:val="21"/>
          <w:szCs w:val="21"/>
        </w:rPr>
        <w:t>13.0%</w:t>
      </w:r>
      <w:r w:rsidRPr="007B4794">
        <w:rPr>
          <w:rFonts w:ascii="Arial" w:hAnsi="Arial" w:cs="Arial"/>
          <w:noProof/>
          <w:color w:val="000000" w:themeColor="text1"/>
          <w:sz w:val="21"/>
          <w:szCs w:val="21"/>
        </w:rPr>
        <w:t>，酒、饮料和精制茶制造业增长</w:t>
      </w:r>
      <w:r w:rsidRPr="007B4794">
        <w:rPr>
          <w:rFonts w:ascii="Arial" w:hAnsi="Arial" w:cs="Arial"/>
          <w:noProof/>
          <w:color w:val="000000" w:themeColor="text1"/>
          <w:sz w:val="21"/>
          <w:szCs w:val="21"/>
        </w:rPr>
        <w:t>10.8%</w:t>
      </w:r>
      <w:r w:rsidRPr="007B4794">
        <w:rPr>
          <w:rFonts w:ascii="Arial" w:hAnsi="Arial" w:cs="Arial"/>
          <w:noProof/>
          <w:color w:val="000000" w:themeColor="text1"/>
          <w:sz w:val="21"/>
          <w:szCs w:val="21"/>
        </w:rPr>
        <w:t>，造纸和纸制品业增长</w:t>
      </w:r>
      <w:r w:rsidRPr="007B4794">
        <w:rPr>
          <w:rFonts w:ascii="Arial" w:hAnsi="Arial" w:cs="Arial"/>
          <w:noProof/>
          <w:color w:val="000000" w:themeColor="text1"/>
          <w:sz w:val="21"/>
          <w:szCs w:val="21"/>
        </w:rPr>
        <w:t>10.4%</w:t>
      </w:r>
      <w:r w:rsidRPr="007B4794">
        <w:rPr>
          <w:rFonts w:ascii="Arial" w:hAnsi="Arial" w:cs="Arial"/>
          <w:noProof/>
          <w:color w:val="000000" w:themeColor="text1"/>
          <w:sz w:val="21"/>
          <w:szCs w:val="21"/>
        </w:rPr>
        <w:t>。</w:t>
      </w:r>
    </w:p>
    <w:p w14:paraId="1BA76EBC" w14:textId="2E0D436B" w:rsidR="00AE01CB" w:rsidRPr="007B4794" w:rsidRDefault="00786D68"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规模以上工业“</w:t>
      </w:r>
      <w:r w:rsidRPr="007B4794">
        <w:rPr>
          <w:rFonts w:ascii="Arial" w:hAnsi="Arial" w:cs="Arial"/>
          <w:noProof/>
          <w:color w:val="000000" w:themeColor="text1"/>
          <w:sz w:val="21"/>
          <w:szCs w:val="21"/>
        </w:rPr>
        <w:t>4+4”</w:t>
      </w:r>
      <w:r w:rsidRPr="007B4794">
        <w:rPr>
          <w:rFonts w:ascii="Arial" w:hAnsi="Arial" w:cs="Arial"/>
          <w:noProof/>
          <w:color w:val="000000" w:themeColor="text1"/>
          <w:sz w:val="21"/>
          <w:szCs w:val="21"/>
        </w:rPr>
        <w:t>产业实现增加值</w:t>
      </w:r>
      <w:r w:rsidRPr="007B4794">
        <w:rPr>
          <w:rFonts w:ascii="Arial" w:hAnsi="Arial" w:cs="Arial"/>
          <w:noProof/>
          <w:color w:val="000000" w:themeColor="text1"/>
          <w:sz w:val="21"/>
          <w:szCs w:val="21"/>
        </w:rPr>
        <w:t>1370.51</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10.3%</w:t>
      </w:r>
      <w:r w:rsidRPr="007B4794">
        <w:rPr>
          <w:rFonts w:ascii="Arial" w:hAnsi="Arial" w:cs="Arial"/>
          <w:noProof/>
          <w:color w:val="000000" w:themeColor="text1"/>
          <w:sz w:val="21"/>
          <w:szCs w:val="21"/>
        </w:rPr>
        <w:t>。其中：四大主导产业实现增加值</w:t>
      </w:r>
      <w:r w:rsidRPr="007B4794">
        <w:rPr>
          <w:rFonts w:ascii="Arial" w:hAnsi="Arial" w:cs="Arial"/>
          <w:noProof/>
          <w:color w:val="000000" w:themeColor="text1"/>
          <w:sz w:val="21"/>
          <w:szCs w:val="21"/>
        </w:rPr>
        <w:t>1093.44</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11.4%</w:t>
      </w:r>
      <w:r w:rsidRPr="007B4794">
        <w:rPr>
          <w:rFonts w:ascii="Arial" w:hAnsi="Arial" w:cs="Arial"/>
          <w:noProof/>
          <w:color w:val="000000" w:themeColor="text1"/>
          <w:sz w:val="21"/>
          <w:szCs w:val="21"/>
        </w:rPr>
        <w:t>，分别为：石化工业</w:t>
      </w:r>
      <w:r w:rsidRPr="007B4794">
        <w:rPr>
          <w:rFonts w:ascii="Arial" w:hAnsi="Arial" w:cs="Arial"/>
          <w:noProof/>
          <w:color w:val="000000" w:themeColor="text1"/>
          <w:sz w:val="21"/>
          <w:szCs w:val="21"/>
        </w:rPr>
        <w:t>201.43</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35.1%</w:t>
      </w:r>
      <w:r w:rsidRPr="007B4794">
        <w:rPr>
          <w:rFonts w:ascii="Arial" w:hAnsi="Arial" w:cs="Arial"/>
          <w:noProof/>
          <w:color w:val="000000" w:themeColor="text1"/>
          <w:sz w:val="21"/>
          <w:szCs w:val="21"/>
        </w:rPr>
        <w:t>；特殊钢铁</w:t>
      </w:r>
      <w:r w:rsidRPr="007B4794">
        <w:rPr>
          <w:rFonts w:ascii="Arial" w:hAnsi="Arial" w:cs="Arial"/>
          <w:noProof/>
          <w:color w:val="000000" w:themeColor="text1"/>
          <w:sz w:val="21"/>
          <w:szCs w:val="21"/>
        </w:rPr>
        <w:t>129.41</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14.8%</w:t>
      </w:r>
      <w:r w:rsidRPr="007B4794">
        <w:rPr>
          <w:rFonts w:ascii="Arial" w:hAnsi="Arial" w:cs="Arial"/>
          <w:noProof/>
          <w:color w:val="000000" w:themeColor="text1"/>
          <w:sz w:val="21"/>
          <w:szCs w:val="21"/>
        </w:rPr>
        <w:t>；食品工业</w:t>
      </w:r>
      <w:r w:rsidRPr="007B4794">
        <w:rPr>
          <w:rFonts w:ascii="Arial" w:hAnsi="Arial" w:cs="Arial"/>
          <w:noProof/>
          <w:color w:val="000000" w:themeColor="text1"/>
          <w:sz w:val="21"/>
          <w:szCs w:val="21"/>
        </w:rPr>
        <w:t>480.20</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8.1%</w:t>
      </w:r>
      <w:r w:rsidRPr="007B4794">
        <w:rPr>
          <w:rFonts w:ascii="Arial" w:hAnsi="Arial" w:cs="Arial"/>
          <w:noProof/>
          <w:color w:val="000000" w:themeColor="text1"/>
          <w:sz w:val="21"/>
          <w:szCs w:val="21"/>
        </w:rPr>
        <w:t>；装备制造业</w:t>
      </w:r>
      <w:r w:rsidRPr="007B4794">
        <w:rPr>
          <w:rFonts w:ascii="Arial" w:hAnsi="Arial" w:cs="Arial"/>
          <w:noProof/>
          <w:color w:val="000000" w:themeColor="text1"/>
          <w:sz w:val="21"/>
          <w:szCs w:val="21"/>
        </w:rPr>
        <w:t>282.40</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3.4%</w:t>
      </w:r>
      <w:r w:rsidRPr="007B4794">
        <w:rPr>
          <w:rFonts w:ascii="Arial" w:hAnsi="Arial" w:cs="Arial"/>
          <w:noProof/>
          <w:color w:val="000000" w:themeColor="text1"/>
          <w:sz w:val="21"/>
          <w:szCs w:val="21"/>
        </w:rPr>
        <w:t>。四大新兴产业实现增加值</w:t>
      </w:r>
      <w:r w:rsidRPr="007B4794">
        <w:rPr>
          <w:rFonts w:ascii="Arial" w:hAnsi="Arial" w:cs="Arial"/>
          <w:noProof/>
          <w:color w:val="000000" w:themeColor="text1"/>
          <w:sz w:val="21"/>
          <w:szCs w:val="21"/>
        </w:rPr>
        <w:t>534.29</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15.2%</w:t>
      </w:r>
      <w:r w:rsidRPr="007B4794">
        <w:rPr>
          <w:rFonts w:ascii="Arial" w:hAnsi="Arial" w:cs="Arial"/>
          <w:noProof/>
          <w:color w:val="000000" w:themeColor="text1"/>
          <w:sz w:val="21"/>
          <w:szCs w:val="21"/>
        </w:rPr>
        <w:t>，分别为：新材料</w:t>
      </w:r>
      <w:r w:rsidRPr="007B4794">
        <w:rPr>
          <w:rFonts w:ascii="Arial" w:hAnsi="Arial" w:cs="Arial"/>
          <w:noProof/>
          <w:color w:val="000000" w:themeColor="text1"/>
          <w:sz w:val="21"/>
          <w:szCs w:val="21"/>
        </w:rPr>
        <w:t>399.57</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20.1%</w:t>
      </w:r>
      <w:r w:rsidRPr="007B4794">
        <w:rPr>
          <w:rFonts w:ascii="Arial" w:hAnsi="Arial" w:cs="Arial"/>
          <w:noProof/>
          <w:color w:val="000000" w:themeColor="text1"/>
          <w:sz w:val="21"/>
          <w:szCs w:val="21"/>
        </w:rPr>
        <w:t>；信息产业</w:t>
      </w:r>
      <w:r w:rsidRPr="007B4794">
        <w:rPr>
          <w:rFonts w:ascii="Arial" w:hAnsi="Arial" w:cs="Arial"/>
          <w:noProof/>
          <w:color w:val="000000" w:themeColor="text1"/>
          <w:sz w:val="21"/>
          <w:szCs w:val="21"/>
        </w:rPr>
        <w:t>97.04</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3.9%</w:t>
      </w:r>
      <w:r w:rsidRPr="007B4794">
        <w:rPr>
          <w:rFonts w:ascii="Arial" w:hAnsi="Arial" w:cs="Arial"/>
          <w:noProof/>
          <w:color w:val="000000" w:themeColor="text1"/>
          <w:sz w:val="21"/>
          <w:szCs w:val="21"/>
        </w:rPr>
        <w:t>；生物医药</w:t>
      </w:r>
      <w:r w:rsidRPr="007B4794">
        <w:rPr>
          <w:rFonts w:ascii="Arial" w:hAnsi="Arial" w:cs="Arial"/>
          <w:noProof/>
          <w:color w:val="000000" w:themeColor="text1"/>
          <w:sz w:val="21"/>
          <w:szCs w:val="21"/>
        </w:rPr>
        <w:t>23.87</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1.5%</w:t>
      </w:r>
      <w:r w:rsidRPr="007B4794">
        <w:rPr>
          <w:rFonts w:ascii="Arial" w:hAnsi="Arial" w:cs="Arial"/>
          <w:noProof/>
          <w:color w:val="000000" w:themeColor="text1"/>
          <w:sz w:val="21"/>
          <w:szCs w:val="21"/>
        </w:rPr>
        <w:t>；新能源</w:t>
      </w:r>
      <w:r w:rsidRPr="007B4794">
        <w:rPr>
          <w:rFonts w:ascii="Arial" w:hAnsi="Arial" w:cs="Arial"/>
          <w:noProof/>
          <w:color w:val="000000" w:themeColor="text1"/>
          <w:sz w:val="21"/>
          <w:szCs w:val="21"/>
        </w:rPr>
        <w:t>15.17</w:t>
      </w:r>
      <w:r w:rsidRPr="007B4794">
        <w:rPr>
          <w:rFonts w:ascii="Arial" w:hAnsi="Arial" w:cs="Arial"/>
          <w:noProof/>
          <w:color w:val="000000" w:themeColor="text1"/>
          <w:sz w:val="21"/>
          <w:szCs w:val="21"/>
        </w:rPr>
        <w:t>亿元，</w:t>
      </w:r>
      <w:r w:rsidRPr="007B4794">
        <w:rPr>
          <w:rFonts w:ascii="Arial" w:hAnsi="Arial" w:cs="Arial" w:hint="eastAsia"/>
          <w:noProof/>
          <w:color w:val="000000" w:themeColor="text1"/>
          <w:sz w:val="21"/>
          <w:szCs w:val="21"/>
        </w:rPr>
        <w:t>增长</w:t>
      </w:r>
      <w:r w:rsidRPr="007B4794">
        <w:rPr>
          <w:rFonts w:ascii="Arial" w:hAnsi="Arial" w:cs="Arial"/>
          <w:noProof/>
          <w:color w:val="000000" w:themeColor="text1"/>
          <w:sz w:val="21"/>
          <w:szCs w:val="21"/>
        </w:rPr>
        <w:t>0.6%</w:t>
      </w:r>
      <w:r w:rsidRPr="007B4794">
        <w:rPr>
          <w:rFonts w:ascii="Arial" w:hAnsi="Arial" w:cs="Arial"/>
          <w:noProof/>
          <w:color w:val="000000" w:themeColor="text1"/>
          <w:sz w:val="21"/>
          <w:szCs w:val="21"/>
        </w:rPr>
        <w:t>。高技术产业产值</w:t>
      </w:r>
      <w:r w:rsidRPr="007B4794">
        <w:rPr>
          <w:rFonts w:ascii="Arial" w:hAnsi="Arial" w:cs="Arial"/>
          <w:noProof/>
          <w:color w:val="000000" w:themeColor="text1"/>
          <w:sz w:val="21"/>
          <w:szCs w:val="21"/>
        </w:rPr>
        <w:t>481.49</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5.6%</w:t>
      </w:r>
      <w:r w:rsidRPr="007B4794">
        <w:rPr>
          <w:rFonts w:ascii="Arial" w:hAnsi="Arial" w:cs="Arial"/>
          <w:noProof/>
          <w:color w:val="000000" w:themeColor="text1"/>
          <w:sz w:val="21"/>
          <w:szCs w:val="21"/>
        </w:rPr>
        <w:t>，占规模以上工业总产值的比重为</w:t>
      </w:r>
      <w:r w:rsidRPr="007B4794">
        <w:rPr>
          <w:rFonts w:ascii="Arial" w:hAnsi="Arial" w:cs="Arial"/>
          <w:noProof/>
          <w:color w:val="000000" w:themeColor="text1"/>
          <w:sz w:val="21"/>
          <w:szCs w:val="21"/>
        </w:rPr>
        <w:t>7.6%</w:t>
      </w:r>
      <w:r w:rsidRPr="007B4794">
        <w:rPr>
          <w:rFonts w:ascii="Arial" w:hAnsi="Arial" w:cs="Arial"/>
          <w:noProof/>
          <w:color w:val="000000" w:themeColor="text1"/>
          <w:sz w:val="21"/>
          <w:szCs w:val="21"/>
        </w:rPr>
        <w:t>。</w:t>
      </w:r>
    </w:p>
    <w:p w14:paraId="555089CC" w14:textId="40EA3EE0" w:rsidR="00786D68" w:rsidRPr="007B4794" w:rsidRDefault="002F4613"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2019</w:t>
      </w:r>
      <w:r w:rsidR="00786D68" w:rsidRPr="007B4794">
        <w:rPr>
          <w:rFonts w:ascii="Arial" w:hAnsi="Arial" w:cs="Arial" w:hint="eastAsia"/>
          <w:noProof/>
          <w:color w:val="000000" w:themeColor="text1"/>
          <w:sz w:val="21"/>
          <w:szCs w:val="21"/>
        </w:rPr>
        <w:t>年规模以上工业企业规模以上工业主营业务收入</w:t>
      </w:r>
      <w:r w:rsidR="00786D68" w:rsidRPr="007B4794">
        <w:rPr>
          <w:rFonts w:ascii="Arial" w:hAnsi="Arial" w:cs="Arial"/>
          <w:noProof/>
          <w:color w:val="000000" w:themeColor="text1"/>
          <w:sz w:val="21"/>
          <w:szCs w:val="21"/>
        </w:rPr>
        <w:t>6083.88</w:t>
      </w:r>
      <w:r w:rsidR="00786D68" w:rsidRPr="007B4794">
        <w:rPr>
          <w:rFonts w:ascii="Arial" w:hAnsi="Arial" w:cs="Arial"/>
          <w:noProof/>
          <w:color w:val="000000" w:themeColor="text1"/>
          <w:sz w:val="21"/>
          <w:szCs w:val="21"/>
        </w:rPr>
        <w:t>亿元，比上年增长</w:t>
      </w:r>
      <w:r w:rsidR="00786D68" w:rsidRPr="007B4794">
        <w:rPr>
          <w:rFonts w:ascii="Arial" w:hAnsi="Arial" w:cs="Arial"/>
          <w:noProof/>
          <w:color w:val="000000" w:themeColor="text1"/>
          <w:sz w:val="21"/>
          <w:szCs w:val="21"/>
        </w:rPr>
        <w:t>12.0%</w:t>
      </w:r>
      <w:r w:rsidR="00786D68" w:rsidRPr="007B4794">
        <w:rPr>
          <w:rFonts w:ascii="Arial" w:hAnsi="Arial" w:cs="Arial"/>
          <w:noProof/>
          <w:color w:val="000000" w:themeColor="text1"/>
          <w:sz w:val="21"/>
          <w:szCs w:val="21"/>
        </w:rPr>
        <w:t>；实现利润</w:t>
      </w:r>
      <w:r w:rsidR="00786D68" w:rsidRPr="007B4794">
        <w:rPr>
          <w:rFonts w:ascii="Arial" w:hAnsi="Arial" w:cs="Arial"/>
          <w:noProof/>
          <w:color w:val="000000" w:themeColor="text1"/>
          <w:sz w:val="21"/>
          <w:szCs w:val="21"/>
        </w:rPr>
        <w:t>625.70</w:t>
      </w:r>
      <w:r w:rsidR="00786D68" w:rsidRPr="007B4794">
        <w:rPr>
          <w:rFonts w:ascii="Arial" w:hAnsi="Arial" w:cs="Arial"/>
          <w:noProof/>
          <w:color w:val="000000" w:themeColor="text1"/>
          <w:sz w:val="21"/>
          <w:szCs w:val="21"/>
        </w:rPr>
        <w:t>亿元，增长</w:t>
      </w:r>
      <w:r w:rsidR="00786D68" w:rsidRPr="007B4794">
        <w:rPr>
          <w:rFonts w:ascii="Arial" w:hAnsi="Arial" w:cs="Arial"/>
          <w:noProof/>
          <w:color w:val="000000" w:themeColor="text1"/>
          <w:sz w:val="21"/>
          <w:szCs w:val="21"/>
        </w:rPr>
        <w:t>15.2%</w:t>
      </w:r>
      <w:r w:rsidR="00786D68" w:rsidRPr="007B4794">
        <w:rPr>
          <w:rFonts w:ascii="Arial" w:hAnsi="Arial" w:cs="Arial"/>
          <w:noProof/>
          <w:color w:val="000000" w:themeColor="text1"/>
          <w:sz w:val="21"/>
          <w:szCs w:val="21"/>
        </w:rPr>
        <w:t>；实现利税</w:t>
      </w:r>
      <w:r w:rsidR="00786D68" w:rsidRPr="007B4794">
        <w:rPr>
          <w:rFonts w:ascii="Arial" w:hAnsi="Arial" w:cs="Arial"/>
          <w:noProof/>
          <w:color w:val="000000" w:themeColor="text1"/>
          <w:sz w:val="21"/>
          <w:szCs w:val="21"/>
        </w:rPr>
        <w:t>787.32</w:t>
      </w:r>
      <w:r w:rsidR="00786D68" w:rsidRPr="007B4794">
        <w:rPr>
          <w:rFonts w:ascii="Arial" w:hAnsi="Arial" w:cs="Arial"/>
          <w:noProof/>
          <w:color w:val="000000" w:themeColor="text1"/>
          <w:sz w:val="21"/>
          <w:szCs w:val="21"/>
        </w:rPr>
        <w:t>亿元，增长</w:t>
      </w:r>
      <w:r w:rsidR="00786D68" w:rsidRPr="007B4794">
        <w:rPr>
          <w:rFonts w:ascii="Arial" w:hAnsi="Arial" w:cs="Arial"/>
          <w:noProof/>
          <w:color w:val="000000" w:themeColor="text1"/>
          <w:sz w:val="21"/>
          <w:szCs w:val="21"/>
        </w:rPr>
        <w:t>9.3%</w:t>
      </w:r>
      <w:r w:rsidR="00786D68" w:rsidRPr="007B4794">
        <w:rPr>
          <w:rFonts w:ascii="Arial" w:hAnsi="Arial" w:cs="Arial"/>
          <w:noProof/>
          <w:color w:val="000000" w:themeColor="text1"/>
          <w:sz w:val="21"/>
          <w:szCs w:val="21"/>
        </w:rPr>
        <w:t>。工业产销率为</w:t>
      </w:r>
      <w:r w:rsidR="00786D68" w:rsidRPr="007B4794">
        <w:rPr>
          <w:rFonts w:ascii="Arial" w:hAnsi="Arial" w:cs="Arial"/>
          <w:noProof/>
          <w:color w:val="000000" w:themeColor="text1"/>
          <w:sz w:val="21"/>
          <w:szCs w:val="21"/>
        </w:rPr>
        <w:t>98.92%</w:t>
      </w:r>
      <w:r w:rsidR="00786D68" w:rsidRPr="007B4794">
        <w:rPr>
          <w:rFonts w:ascii="Arial" w:hAnsi="Arial" w:cs="Arial"/>
          <w:noProof/>
          <w:color w:val="000000" w:themeColor="text1"/>
          <w:sz w:val="21"/>
          <w:szCs w:val="21"/>
        </w:rPr>
        <w:t>，比上年提高</w:t>
      </w:r>
      <w:r w:rsidR="00786D68" w:rsidRPr="007B4794">
        <w:rPr>
          <w:rFonts w:ascii="Arial" w:hAnsi="Arial" w:cs="Arial"/>
          <w:noProof/>
          <w:color w:val="000000" w:themeColor="text1"/>
          <w:sz w:val="21"/>
          <w:szCs w:val="21"/>
        </w:rPr>
        <w:t>0.65%</w:t>
      </w:r>
      <w:r w:rsidR="00786D68" w:rsidRPr="007B4794">
        <w:rPr>
          <w:rFonts w:ascii="Arial" w:hAnsi="Arial" w:cs="Arial"/>
          <w:noProof/>
          <w:color w:val="000000" w:themeColor="text1"/>
          <w:sz w:val="21"/>
          <w:szCs w:val="21"/>
        </w:rPr>
        <w:t>。全员劳动生产率为</w:t>
      </w:r>
      <w:r w:rsidR="00786D68" w:rsidRPr="007B4794">
        <w:rPr>
          <w:rFonts w:ascii="Arial" w:hAnsi="Arial" w:cs="Arial"/>
          <w:noProof/>
          <w:color w:val="000000" w:themeColor="text1"/>
          <w:sz w:val="21"/>
          <w:szCs w:val="21"/>
        </w:rPr>
        <w:t>39.96</w:t>
      </w:r>
      <w:r w:rsidR="00786D68" w:rsidRPr="007B4794">
        <w:rPr>
          <w:rFonts w:ascii="Arial" w:hAnsi="Arial" w:cs="Arial"/>
          <w:noProof/>
          <w:color w:val="000000" w:themeColor="text1"/>
          <w:sz w:val="21"/>
          <w:szCs w:val="21"/>
        </w:rPr>
        <w:t>万元</w:t>
      </w:r>
      <w:r w:rsidR="00786D68" w:rsidRPr="007B4794">
        <w:rPr>
          <w:rFonts w:ascii="Arial" w:hAnsi="Arial" w:cs="Arial"/>
          <w:noProof/>
          <w:color w:val="000000" w:themeColor="text1"/>
          <w:sz w:val="21"/>
          <w:szCs w:val="21"/>
        </w:rPr>
        <w:t>/</w:t>
      </w:r>
      <w:r w:rsidR="00786D68" w:rsidRPr="007B4794">
        <w:rPr>
          <w:rFonts w:ascii="Arial" w:hAnsi="Arial" w:cs="Arial"/>
          <w:noProof/>
          <w:color w:val="000000" w:themeColor="text1"/>
          <w:sz w:val="21"/>
          <w:szCs w:val="21"/>
        </w:rPr>
        <w:t>人，比上年增加</w:t>
      </w:r>
      <w:r w:rsidR="00786D68" w:rsidRPr="007B4794">
        <w:rPr>
          <w:rFonts w:ascii="Arial" w:hAnsi="Arial" w:cs="Arial"/>
          <w:noProof/>
          <w:color w:val="000000" w:themeColor="text1"/>
          <w:sz w:val="21"/>
          <w:szCs w:val="21"/>
        </w:rPr>
        <w:t>5.99</w:t>
      </w:r>
      <w:r w:rsidR="00786D68" w:rsidRPr="007B4794">
        <w:rPr>
          <w:rFonts w:ascii="Arial" w:hAnsi="Arial" w:cs="Arial"/>
          <w:noProof/>
          <w:color w:val="000000" w:themeColor="text1"/>
          <w:sz w:val="21"/>
          <w:szCs w:val="21"/>
        </w:rPr>
        <w:t>万元</w:t>
      </w:r>
      <w:r w:rsidR="00786D68" w:rsidRPr="007B4794">
        <w:rPr>
          <w:rFonts w:ascii="Arial" w:hAnsi="Arial" w:cs="Arial"/>
          <w:noProof/>
          <w:color w:val="000000" w:themeColor="text1"/>
          <w:sz w:val="21"/>
          <w:szCs w:val="21"/>
        </w:rPr>
        <w:t>/</w:t>
      </w:r>
      <w:r w:rsidR="00786D68" w:rsidRPr="007B4794">
        <w:rPr>
          <w:rFonts w:ascii="Arial" w:hAnsi="Arial" w:cs="Arial"/>
          <w:noProof/>
          <w:color w:val="000000" w:themeColor="text1"/>
          <w:sz w:val="21"/>
          <w:szCs w:val="21"/>
        </w:rPr>
        <w:t>人。</w:t>
      </w:r>
    </w:p>
    <w:p w14:paraId="4DE01B83" w14:textId="095C32F5" w:rsidR="00786D68" w:rsidRPr="007B4794" w:rsidRDefault="002F4613"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2019</w:t>
      </w:r>
      <w:r w:rsidR="00786D68" w:rsidRPr="007B4794">
        <w:rPr>
          <w:rFonts w:ascii="Arial" w:hAnsi="Arial" w:cs="Arial" w:hint="eastAsia"/>
          <w:noProof/>
          <w:color w:val="000000" w:themeColor="text1"/>
          <w:sz w:val="21"/>
          <w:szCs w:val="21"/>
        </w:rPr>
        <w:t>年建筑业实现增加值</w:t>
      </w:r>
      <w:r w:rsidR="00786D68" w:rsidRPr="007B4794">
        <w:rPr>
          <w:rFonts w:ascii="Arial" w:hAnsi="Arial" w:cs="Arial"/>
          <w:noProof/>
          <w:color w:val="000000" w:themeColor="text1"/>
          <w:sz w:val="21"/>
          <w:szCs w:val="21"/>
        </w:rPr>
        <w:t>457.1</w:t>
      </w:r>
      <w:r w:rsidR="00786D68" w:rsidRPr="007B4794">
        <w:rPr>
          <w:rFonts w:ascii="Arial" w:hAnsi="Arial" w:cs="Arial"/>
          <w:noProof/>
          <w:color w:val="000000" w:themeColor="text1"/>
          <w:sz w:val="21"/>
          <w:szCs w:val="21"/>
        </w:rPr>
        <w:t>亿元，比上年增长</w:t>
      </w:r>
      <w:r w:rsidR="00786D68" w:rsidRPr="007B4794">
        <w:rPr>
          <w:rFonts w:ascii="Arial" w:hAnsi="Arial" w:cs="Arial"/>
          <w:noProof/>
          <w:color w:val="000000" w:themeColor="text1"/>
          <w:sz w:val="21"/>
          <w:szCs w:val="21"/>
        </w:rPr>
        <w:t>1.5%</w:t>
      </w:r>
      <w:r w:rsidR="00786D68" w:rsidRPr="007B4794">
        <w:rPr>
          <w:rFonts w:ascii="Arial" w:hAnsi="Arial" w:cs="Arial"/>
          <w:noProof/>
          <w:color w:val="000000" w:themeColor="text1"/>
          <w:sz w:val="21"/>
          <w:szCs w:val="21"/>
        </w:rPr>
        <w:t>。全市具有资质等级的总承包和专业承包建筑业企业</w:t>
      </w:r>
      <w:r w:rsidR="00786D68" w:rsidRPr="007B4794">
        <w:rPr>
          <w:rFonts w:ascii="Arial" w:hAnsi="Arial" w:cs="Arial"/>
          <w:noProof/>
          <w:color w:val="000000" w:themeColor="text1"/>
          <w:sz w:val="21"/>
          <w:szCs w:val="21"/>
        </w:rPr>
        <w:t>450</w:t>
      </w:r>
      <w:r w:rsidR="00786D68" w:rsidRPr="007B4794">
        <w:rPr>
          <w:rFonts w:ascii="Arial" w:hAnsi="Arial" w:cs="Arial"/>
          <w:noProof/>
          <w:color w:val="000000" w:themeColor="text1"/>
          <w:sz w:val="21"/>
          <w:szCs w:val="21"/>
        </w:rPr>
        <w:t>家，比上年增加</w:t>
      </w:r>
      <w:r w:rsidR="00786D68" w:rsidRPr="007B4794">
        <w:rPr>
          <w:rFonts w:ascii="Arial" w:hAnsi="Arial" w:cs="Arial"/>
          <w:noProof/>
          <w:color w:val="000000" w:themeColor="text1"/>
          <w:sz w:val="21"/>
          <w:szCs w:val="21"/>
        </w:rPr>
        <w:t>107</w:t>
      </w:r>
      <w:r w:rsidR="00786D68" w:rsidRPr="007B4794">
        <w:rPr>
          <w:rFonts w:ascii="Arial" w:hAnsi="Arial" w:cs="Arial"/>
          <w:noProof/>
          <w:color w:val="000000" w:themeColor="text1"/>
          <w:sz w:val="21"/>
          <w:szCs w:val="21"/>
        </w:rPr>
        <w:t>家，完成建筑业总产值</w:t>
      </w:r>
      <w:r w:rsidR="00786D68" w:rsidRPr="007B4794">
        <w:rPr>
          <w:rFonts w:ascii="Arial" w:hAnsi="Arial" w:cs="Arial"/>
          <w:noProof/>
          <w:color w:val="000000" w:themeColor="text1"/>
          <w:sz w:val="21"/>
          <w:szCs w:val="21"/>
        </w:rPr>
        <w:t>697.93</w:t>
      </w:r>
      <w:r w:rsidR="00786D68" w:rsidRPr="007B4794">
        <w:rPr>
          <w:rFonts w:ascii="Arial" w:hAnsi="Arial" w:cs="Arial"/>
          <w:noProof/>
          <w:color w:val="000000" w:themeColor="text1"/>
          <w:sz w:val="21"/>
          <w:szCs w:val="21"/>
        </w:rPr>
        <w:t>亿元</w:t>
      </w:r>
      <w:r w:rsidR="00786D68" w:rsidRPr="007B4794">
        <w:rPr>
          <w:rFonts w:ascii="Arial" w:hAnsi="Arial" w:cs="Arial"/>
          <w:noProof/>
          <w:color w:val="000000" w:themeColor="text1"/>
          <w:sz w:val="21"/>
          <w:szCs w:val="21"/>
        </w:rPr>
        <w:t>,</w:t>
      </w:r>
      <w:r w:rsidR="00786D68" w:rsidRPr="007B4794">
        <w:rPr>
          <w:rFonts w:ascii="Arial" w:hAnsi="Arial" w:cs="Arial"/>
          <w:noProof/>
          <w:color w:val="000000" w:themeColor="text1"/>
          <w:sz w:val="21"/>
          <w:szCs w:val="21"/>
        </w:rPr>
        <w:t>增长</w:t>
      </w:r>
      <w:r w:rsidR="00786D68" w:rsidRPr="007B4794">
        <w:rPr>
          <w:rFonts w:ascii="Arial" w:hAnsi="Arial" w:cs="Arial"/>
          <w:noProof/>
          <w:color w:val="000000" w:themeColor="text1"/>
          <w:sz w:val="21"/>
          <w:szCs w:val="21"/>
        </w:rPr>
        <w:t>13.0%</w:t>
      </w:r>
      <w:r w:rsidR="00786D68" w:rsidRPr="007B4794">
        <w:rPr>
          <w:rFonts w:ascii="Arial" w:hAnsi="Arial" w:cs="Arial"/>
          <w:noProof/>
          <w:color w:val="000000" w:themeColor="text1"/>
          <w:sz w:val="21"/>
          <w:szCs w:val="21"/>
        </w:rPr>
        <w:t>。</w:t>
      </w:r>
    </w:p>
    <w:p w14:paraId="6E03F181" w14:textId="77777777" w:rsidR="00786D68" w:rsidRPr="007B4794" w:rsidRDefault="00AE01CB"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3</w:t>
      </w:r>
      <w:r w:rsidRPr="007B4794">
        <w:rPr>
          <w:rFonts w:ascii="Arial" w:hAnsi="Arial" w:cs="Arial" w:hint="eastAsia"/>
          <w:noProof/>
          <w:color w:val="000000" w:themeColor="text1"/>
          <w:sz w:val="21"/>
          <w:szCs w:val="21"/>
        </w:rPr>
        <w:t>、</w:t>
      </w:r>
      <w:r w:rsidR="00786D68" w:rsidRPr="007B4794">
        <w:rPr>
          <w:rFonts w:ascii="Arial" w:hAnsi="Arial" w:cs="Arial" w:hint="eastAsia"/>
          <w:noProof/>
          <w:color w:val="000000" w:themeColor="text1"/>
          <w:sz w:val="21"/>
          <w:szCs w:val="21"/>
        </w:rPr>
        <w:t>服务业</w:t>
      </w:r>
    </w:p>
    <w:p w14:paraId="2854D39B" w14:textId="09BA48C2" w:rsidR="00786D68" w:rsidRPr="007B4794" w:rsidRDefault="002F4613"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lastRenderedPageBreak/>
        <w:t>2019</w:t>
      </w:r>
      <w:r w:rsidR="00786D68" w:rsidRPr="007B4794">
        <w:rPr>
          <w:rFonts w:ascii="Arial" w:hAnsi="Arial" w:cs="Arial" w:hint="eastAsia"/>
          <w:noProof/>
          <w:color w:val="000000" w:themeColor="text1"/>
          <w:sz w:val="21"/>
          <w:szCs w:val="21"/>
        </w:rPr>
        <w:t>年批发和零售业增加值</w:t>
      </w:r>
      <w:r w:rsidR="00786D68" w:rsidRPr="007B4794">
        <w:rPr>
          <w:rFonts w:ascii="Arial" w:hAnsi="Arial" w:cs="Arial"/>
          <w:noProof/>
          <w:color w:val="000000" w:themeColor="text1"/>
          <w:sz w:val="21"/>
          <w:szCs w:val="21"/>
        </w:rPr>
        <w:t>356.85</w:t>
      </w:r>
      <w:r w:rsidR="00786D68" w:rsidRPr="007B4794">
        <w:rPr>
          <w:rFonts w:ascii="Arial" w:hAnsi="Arial" w:cs="Arial"/>
          <w:noProof/>
          <w:color w:val="000000" w:themeColor="text1"/>
          <w:sz w:val="21"/>
          <w:szCs w:val="21"/>
        </w:rPr>
        <w:t>亿元，比上年增长</w:t>
      </w:r>
      <w:r w:rsidR="00786D68" w:rsidRPr="007B4794">
        <w:rPr>
          <w:rFonts w:ascii="Arial" w:hAnsi="Arial" w:cs="Arial"/>
          <w:noProof/>
          <w:color w:val="000000" w:themeColor="text1"/>
          <w:sz w:val="21"/>
          <w:szCs w:val="21"/>
        </w:rPr>
        <w:t>5.2%</w:t>
      </w:r>
      <w:r w:rsidR="00786D68" w:rsidRPr="007B4794">
        <w:rPr>
          <w:rFonts w:ascii="Arial" w:hAnsi="Arial" w:cs="Arial"/>
          <w:noProof/>
          <w:color w:val="000000" w:themeColor="text1"/>
          <w:sz w:val="21"/>
          <w:szCs w:val="21"/>
        </w:rPr>
        <w:t>；交通运输、仓储和邮政业增加值</w:t>
      </w:r>
      <w:r w:rsidR="00786D68" w:rsidRPr="007B4794">
        <w:rPr>
          <w:rFonts w:ascii="Arial" w:hAnsi="Arial" w:cs="Arial"/>
          <w:noProof/>
          <w:color w:val="000000" w:themeColor="text1"/>
          <w:sz w:val="21"/>
          <w:szCs w:val="21"/>
        </w:rPr>
        <w:t>170.95</w:t>
      </w:r>
      <w:r w:rsidR="00786D68" w:rsidRPr="007B4794">
        <w:rPr>
          <w:rFonts w:ascii="Arial" w:hAnsi="Arial" w:cs="Arial"/>
          <w:noProof/>
          <w:color w:val="000000" w:themeColor="text1"/>
          <w:sz w:val="21"/>
          <w:szCs w:val="21"/>
        </w:rPr>
        <w:t>亿元，增长</w:t>
      </w:r>
      <w:r w:rsidR="00786D68" w:rsidRPr="007B4794">
        <w:rPr>
          <w:rFonts w:ascii="Arial" w:hAnsi="Arial" w:cs="Arial"/>
          <w:noProof/>
          <w:color w:val="000000" w:themeColor="text1"/>
          <w:sz w:val="21"/>
          <w:szCs w:val="21"/>
        </w:rPr>
        <w:t>7.1%</w:t>
      </w:r>
      <w:r w:rsidR="00786D68" w:rsidRPr="007B4794">
        <w:rPr>
          <w:rFonts w:ascii="Arial" w:hAnsi="Arial" w:cs="Arial"/>
          <w:noProof/>
          <w:color w:val="000000" w:themeColor="text1"/>
          <w:sz w:val="21"/>
          <w:szCs w:val="21"/>
        </w:rPr>
        <w:t>；住宿和餐饮业增加值</w:t>
      </w:r>
      <w:r w:rsidR="00786D68" w:rsidRPr="007B4794">
        <w:rPr>
          <w:rFonts w:ascii="Arial" w:hAnsi="Arial" w:cs="Arial"/>
          <w:noProof/>
          <w:color w:val="000000" w:themeColor="text1"/>
          <w:sz w:val="21"/>
          <w:szCs w:val="21"/>
        </w:rPr>
        <w:t>74.41</w:t>
      </w:r>
      <w:r w:rsidR="00786D68" w:rsidRPr="007B4794">
        <w:rPr>
          <w:rFonts w:ascii="Arial" w:hAnsi="Arial" w:cs="Arial"/>
          <w:noProof/>
          <w:color w:val="000000" w:themeColor="text1"/>
          <w:sz w:val="21"/>
          <w:szCs w:val="21"/>
        </w:rPr>
        <w:t>亿元，增长</w:t>
      </w:r>
      <w:r w:rsidR="00786D68" w:rsidRPr="007B4794">
        <w:rPr>
          <w:rFonts w:ascii="Arial" w:hAnsi="Arial" w:cs="Arial"/>
          <w:noProof/>
          <w:color w:val="000000" w:themeColor="text1"/>
          <w:sz w:val="21"/>
          <w:szCs w:val="21"/>
        </w:rPr>
        <w:t>6.3%</w:t>
      </w:r>
      <w:r w:rsidR="00786D68" w:rsidRPr="007B4794">
        <w:rPr>
          <w:rFonts w:ascii="Arial" w:hAnsi="Arial" w:cs="Arial"/>
          <w:noProof/>
          <w:color w:val="000000" w:themeColor="text1"/>
          <w:sz w:val="21"/>
          <w:szCs w:val="21"/>
        </w:rPr>
        <w:t>；金融业增加值</w:t>
      </w:r>
      <w:r w:rsidR="00786D68" w:rsidRPr="007B4794">
        <w:rPr>
          <w:rFonts w:ascii="Arial" w:hAnsi="Arial" w:cs="Arial"/>
          <w:noProof/>
          <w:color w:val="000000" w:themeColor="text1"/>
          <w:sz w:val="21"/>
          <w:szCs w:val="21"/>
        </w:rPr>
        <w:t>182.90</w:t>
      </w:r>
      <w:r w:rsidR="00786D68" w:rsidRPr="007B4794">
        <w:rPr>
          <w:rFonts w:ascii="Arial" w:hAnsi="Arial" w:cs="Arial"/>
          <w:noProof/>
          <w:color w:val="000000" w:themeColor="text1"/>
          <w:sz w:val="21"/>
          <w:szCs w:val="21"/>
        </w:rPr>
        <w:t>亿元，增长</w:t>
      </w:r>
      <w:r w:rsidR="00786D68" w:rsidRPr="007B4794">
        <w:rPr>
          <w:rFonts w:ascii="Arial" w:hAnsi="Arial" w:cs="Arial"/>
          <w:noProof/>
          <w:color w:val="000000" w:themeColor="text1"/>
          <w:sz w:val="21"/>
          <w:szCs w:val="21"/>
        </w:rPr>
        <w:t>5.0%</w:t>
      </w:r>
      <w:r w:rsidR="00786D68" w:rsidRPr="007B4794">
        <w:rPr>
          <w:rFonts w:ascii="Arial" w:hAnsi="Arial" w:cs="Arial"/>
          <w:noProof/>
          <w:color w:val="000000" w:themeColor="text1"/>
          <w:sz w:val="21"/>
          <w:szCs w:val="21"/>
        </w:rPr>
        <w:t>；房地产业增加值</w:t>
      </w:r>
      <w:r w:rsidR="00786D68" w:rsidRPr="007B4794">
        <w:rPr>
          <w:rFonts w:ascii="Arial" w:hAnsi="Arial" w:cs="Arial"/>
          <w:noProof/>
          <w:color w:val="000000" w:themeColor="text1"/>
          <w:sz w:val="21"/>
          <w:szCs w:val="21"/>
        </w:rPr>
        <w:t>354.99</w:t>
      </w:r>
      <w:r w:rsidR="00786D68" w:rsidRPr="007B4794">
        <w:rPr>
          <w:rFonts w:ascii="Arial" w:hAnsi="Arial" w:cs="Arial"/>
          <w:noProof/>
          <w:color w:val="000000" w:themeColor="text1"/>
          <w:sz w:val="21"/>
          <w:szCs w:val="21"/>
        </w:rPr>
        <w:t>亿元，增长</w:t>
      </w:r>
      <w:r w:rsidR="00786D68" w:rsidRPr="007B4794">
        <w:rPr>
          <w:rFonts w:ascii="Arial" w:hAnsi="Arial" w:cs="Arial"/>
          <w:noProof/>
          <w:color w:val="000000" w:themeColor="text1"/>
          <w:sz w:val="21"/>
          <w:szCs w:val="21"/>
        </w:rPr>
        <w:t>6.6%</w:t>
      </w:r>
      <w:r w:rsidR="00786D68" w:rsidRPr="007B4794">
        <w:rPr>
          <w:rFonts w:ascii="Arial" w:hAnsi="Arial" w:cs="Arial"/>
          <w:noProof/>
          <w:color w:val="000000" w:themeColor="text1"/>
          <w:sz w:val="21"/>
          <w:szCs w:val="21"/>
        </w:rPr>
        <w:t>。全年规模以上服务业企业营业收入比上年增长</w:t>
      </w:r>
      <w:r w:rsidR="00786D68" w:rsidRPr="007B4794">
        <w:rPr>
          <w:rFonts w:ascii="Arial" w:hAnsi="Arial" w:cs="Arial"/>
          <w:noProof/>
          <w:color w:val="000000" w:themeColor="text1"/>
          <w:sz w:val="21"/>
          <w:szCs w:val="21"/>
        </w:rPr>
        <w:t>6.9%</w:t>
      </w:r>
      <w:r w:rsidR="00786D68" w:rsidRPr="007B4794">
        <w:rPr>
          <w:rFonts w:ascii="Arial" w:hAnsi="Arial" w:cs="Arial"/>
          <w:noProof/>
          <w:color w:val="000000" w:themeColor="text1"/>
          <w:sz w:val="21"/>
          <w:szCs w:val="21"/>
        </w:rPr>
        <w:t>，营业利润增长</w:t>
      </w:r>
      <w:r w:rsidR="00786D68" w:rsidRPr="007B4794">
        <w:rPr>
          <w:rFonts w:ascii="Arial" w:hAnsi="Arial" w:cs="Arial"/>
          <w:noProof/>
          <w:color w:val="000000" w:themeColor="text1"/>
          <w:sz w:val="21"/>
          <w:szCs w:val="21"/>
        </w:rPr>
        <w:t>7.5%</w:t>
      </w:r>
      <w:r w:rsidR="00786D68" w:rsidRPr="007B4794">
        <w:rPr>
          <w:rFonts w:ascii="Arial" w:hAnsi="Arial" w:cs="Arial"/>
          <w:noProof/>
          <w:color w:val="000000" w:themeColor="text1"/>
          <w:sz w:val="21"/>
          <w:szCs w:val="21"/>
        </w:rPr>
        <w:t>。</w:t>
      </w:r>
    </w:p>
    <w:p w14:paraId="07F9C454" w14:textId="4307A13D" w:rsidR="00786D68" w:rsidRPr="007B4794" w:rsidRDefault="002F4613"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漳州</w:t>
      </w:r>
      <w:r w:rsidR="00786D68" w:rsidRPr="007B4794">
        <w:rPr>
          <w:rFonts w:ascii="Arial" w:hAnsi="Arial" w:cs="Arial" w:hint="eastAsia"/>
          <w:noProof/>
          <w:color w:val="000000" w:themeColor="text1"/>
          <w:sz w:val="21"/>
          <w:szCs w:val="21"/>
        </w:rPr>
        <w:t>市货物运输总量</w:t>
      </w:r>
      <w:r w:rsidR="00786D68" w:rsidRPr="007B4794">
        <w:rPr>
          <w:rFonts w:ascii="Arial" w:hAnsi="Arial" w:cs="Arial"/>
          <w:noProof/>
          <w:color w:val="000000" w:themeColor="text1"/>
          <w:sz w:val="21"/>
          <w:szCs w:val="21"/>
        </w:rPr>
        <w:t>8900.38</w:t>
      </w:r>
      <w:r w:rsidR="00786D68" w:rsidRPr="007B4794">
        <w:rPr>
          <w:rFonts w:ascii="Arial" w:hAnsi="Arial" w:cs="Arial"/>
          <w:noProof/>
          <w:color w:val="000000" w:themeColor="text1"/>
          <w:sz w:val="21"/>
          <w:szCs w:val="21"/>
        </w:rPr>
        <w:t>万吨，增长</w:t>
      </w:r>
      <w:r w:rsidR="00786D68" w:rsidRPr="007B4794">
        <w:rPr>
          <w:rFonts w:ascii="Arial" w:hAnsi="Arial" w:cs="Arial"/>
          <w:noProof/>
          <w:color w:val="000000" w:themeColor="text1"/>
          <w:sz w:val="21"/>
          <w:szCs w:val="21"/>
        </w:rPr>
        <w:t>5.8%</w:t>
      </w:r>
      <w:r w:rsidR="00786D68" w:rsidRPr="007B4794">
        <w:rPr>
          <w:rFonts w:ascii="Arial" w:hAnsi="Arial" w:cs="Arial"/>
          <w:noProof/>
          <w:color w:val="000000" w:themeColor="text1"/>
          <w:sz w:val="21"/>
          <w:szCs w:val="21"/>
        </w:rPr>
        <w:t>。沿海港口货物吞吐量</w:t>
      </w:r>
      <w:r w:rsidR="00786D68" w:rsidRPr="007B4794">
        <w:rPr>
          <w:rFonts w:ascii="Arial" w:hAnsi="Arial" w:cs="Arial"/>
          <w:noProof/>
          <w:color w:val="000000" w:themeColor="text1"/>
          <w:sz w:val="21"/>
          <w:szCs w:val="21"/>
        </w:rPr>
        <w:t>4638.54</w:t>
      </w:r>
      <w:r w:rsidR="00786D68" w:rsidRPr="007B4794">
        <w:rPr>
          <w:rFonts w:ascii="Arial" w:hAnsi="Arial" w:cs="Arial"/>
          <w:noProof/>
          <w:color w:val="000000" w:themeColor="text1"/>
          <w:sz w:val="21"/>
          <w:szCs w:val="21"/>
        </w:rPr>
        <w:t>万吨，下降</w:t>
      </w:r>
      <w:r w:rsidR="00786D68" w:rsidRPr="007B4794">
        <w:rPr>
          <w:rFonts w:ascii="Arial" w:hAnsi="Arial" w:cs="Arial"/>
          <w:noProof/>
          <w:color w:val="000000" w:themeColor="text1"/>
          <w:sz w:val="21"/>
          <w:szCs w:val="21"/>
        </w:rPr>
        <w:t>6.3%</w:t>
      </w:r>
      <w:r w:rsidR="00786D68" w:rsidRPr="007B4794">
        <w:rPr>
          <w:rFonts w:ascii="Arial" w:hAnsi="Arial" w:cs="Arial"/>
          <w:noProof/>
          <w:color w:val="000000" w:themeColor="text1"/>
          <w:sz w:val="21"/>
          <w:szCs w:val="21"/>
        </w:rPr>
        <w:t>。铁路、公路、水路共完成客运量</w:t>
      </w:r>
      <w:r w:rsidR="00786D68" w:rsidRPr="007B4794">
        <w:rPr>
          <w:rFonts w:ascii="Arial" w:hAnsi="Arial" w:cs="Arial"/>
          <w:noProof/>
          <w:color w:val="000000" w:themeColor="text1"/>
          <w:sz w:val="21"/>
          <w:szCs w:val="21"/>
        </w:rPr>
        <w:t>2620.54</w:t>
      </w:r>
      <w:r w:rsidR="00786D68" w:rsidRPr="007B4794">
        <w:rPr>
          <w:rFonts w:ascii="Arial" w:hAnsi="Arial" w:cs="Arial"/>
          <w:noProof/>
          <w:color w:val="000000" w:themeColor="text1"/>
          <w:sz w:val="21"/>
          <w:szCs w:val="21"/>
        </w:rPr>
        <w:t>万人次，下降</w:t>
      </w:r>
      <w:r w:rsidR="00786D68" w:rsidRPr="007B4794">
        <w:rPr>
          <w:rFonts w:ascii="Arial" w:hAnsi="Arial" w:cs="Arial"/>
          <w:noProof/>
          <w:color w:val="000000" w:themeColor="text1"/>
          <w:sz w:val="21"/>
          <w:szCs w:val="21"/>
        </w:rPr>
        <w:t>8.0%</w:t>
      </w:r>
      <w:r w:rsidR="00786D68" w:rsidRPr="007B4794">
        <w:rPr>
          <w:rFonts w:ascii="Arial" w:hAnsi="Arial" w:cs="Arial"/>
          <w:noProof/>
          <w:color w:val="000000" w:themeColor="text1"/>
          <w:sz w:val="21"/>
          <w:szCs w:val="21"/>
        </w:rPr>
        <w:t>；年末公路通车里程</w:t>
      </w:r>
      <w:r w:rsidR="00786D68" w:rsidRPr="007B4794">
        <w:rPr>
          <w:rFonts w:ascii="Arial" w:hAnsi="Arial" w:cs="Arial"/>
          <w:noProof/>
          <w:color w:val="000000" w:themeColor="text1"/>
          <w:sz w:val="21"/>
          <w:szCs w:val="21"/>
        </w:rPr>
        <w:t>1.26</w:t>
      </w:r>
      <w:r w:rsidR="00786D68" w:rsidRPr="007B4794">
        <w:rPr>
          <w:rFonts w:ascii="Arial" w:hAnsi="Arial" w:cs="Arial"/>
          <w:noProof/>
          <w:color w:val="000000" w:themeColor="text1"/>
          <w:sz w:val="21"/>
          <w:szCs w:val="21"/>
        </w:rPr>
        <w:t>万公里，增长</w:t>
      </w:r>
      <w:r w:rsidR="00786D68" w:rsidRPr="007B4794">
        <w:rPr>
          <w:rFonts w:ascii="Arial" w:hAnsi="Arial" w:cs="Arial"/>
          <w:noProof/>
          <w:color w:val="000000" w:themeColor="text1"/>
          <w:sz w:val="21"/>
          <w:szCs w:val="21"/>
        </w:rPr>
        <w:t>0.3%</w:t>
      </w:r>
      <w:r w:rsidR="00786D68" w:rsidRPr="007B4794">
        <w:rPr>
          <w:rFonts w:ascii="Arial" w:hAnsi="Arial" w:cs="Arial"/>
          <w:noProof/>
          <w:color w:val="000000" w:themeColor="text1"/>
          <w:sz w:val="21"/>
          <w:szCs w:val="21"/>
        </w:rPr>
        <w:t>，其中高速公路通车里程</w:t>
      </w:r>
      <w:r w:rsidR="00786D68" w:rsidRPr="007B4794">
        <w:rPr>
          <w:rFonts w:ascii="Arial" w:hAnsi="Arial" w:cs="Arial"/>
          <w:noProof/>
          <w:color w:val="000000" w:themeColor="text1"/>
          <w:sz w:val="21"/>
          <w:szCs w:val="21"/>
        </w:rPr>
        <w:t>595</w:t>
      </w:r>
      <w:r w:rsidR="00786D68" w:rsidRPr="007B4794">
        <w:rPr>
          <w:rFonts w:ascii="Arial" w:hAnsi="Arial" w:cs="Arial"/>
          <w:noProof/>
          <w:color w:val="000000" w:themeColor="text1"/>
          <w:sz w:val="21"/>
          <w:szCs w:val="21"/>
        </w:rPr>
        <w:t>公里，与上年持平。年末全市汽车保有量（含三轮汽车和低速货车）</w:t>
      </w:r>
      <w:r w:rsidR="00786D68" w:rsidRPr="007B4794">
        <w:rPr>
          <w:rFonts w:ascii="Arial" w:hAnsi="Arial" w:cs="Arial"/>
          <w:noProof/>
          <w:color w:val="000000" w:themeColor="text1"/>
          <w:sz w:val="21"/>
          <w:szCs w:val="21"/>
        </w:rPr>
        <w:t>60.63</w:t>
      </w:r>
      <w:r w:rsidR="00786D68" w:rsidRPr="007B4794">
        <w:rPr>
          <w:rFonts w:ascii="Arial" w:hAnsi="Arial" w:cs="Arial"/>
          <w:noProof/>
          <w:color w:val="000000" w:themeColor="text1"/>
          <w:sz w:val="21"/>
          <w:szCs w:val="21"/>
        </w:rPr>
        <w:t>万辆，比上年末增长</w:t>
      </w:r>
      <w:r w:rsidR="00786D68" w:rsidRPr="007B4794">
        <w:rPr>
          <w:rFonts w:ascii="Arial" w:hAnsi="Arial" w:cs="Arial"/>
          <w:noProof/>
          <w:color w:val="000000" w:themeColor="text1"/>
          <w:sz w:val="21"/>
          <w:szCs w:val="21"/>
        </w:rPr>
        <w:t>12.0%</w:t>
      </w:r>
      <w:r w:rsidR="00786D68" w:rsidRPr="007B4794">
        <w:rPr>
          <w:rFonts w:ascii="Arial" w:hAnsi="Arial" w:cs="Arial"/>
          <w:noProof/>
          <w:color w:val="000000" w:themeColor="text1"/>
          <w:sz w:val="21"/>
          <w:szCs w:val="21"/>
        </w:rPr>
        <w:t>，其中私人汽车保有量</w:t>
      </w:r>
      <w:r w:rsidR="00786D68" w:rsidRPr="007B4794">
        <w:rPr>
          <w:rFonts w:ascii="Arial" w:hAnsi="Arial" w:cs="Arial"/>
          <w:noProof/>
          <w:color w:val="000000" w:themeColor="text1"/>
          <w:sz w:val="21"/>
          <w:szCs w:val="21"/>
        </w:rPr>
        <w:t>58.10</w:t>
      </w:r>
      <w:r w:rsidR="00786D68" w:rsidRPr="007B4794">
        <w:rPr>
          <w:rFonts w:ascii="Arial" w:hAnsi="Arial" w:cs="Arial"/>
          <w:noProof/>
          <w:color w:val="000000" w:themeColor="text1"/>
          <w:sz w:val="21"/>
          <w:szCs w:val="21"/>
        </w:rPr>
        <w:t>万辆，增长</w:t>
      </w:r>
      <w:r w:rsidR="00786D68" w:rsidRPr="007B4794">
        <w:rPr>
          <w:rFonts w:ascii="Arial" w:hAnsi="Arial" w:cs="Arial"/>
          <w:noProof/>
          <w:color w:val="000000" w:themeColor="text1"/>
          <w:sz w:val="21"/>
          <w:szCs w:val="21"/>
        </w:rPr>
        <w:t>12.4%</w:t>
      </w:r>
      <w:r w:rsidR="00786D68" w:rsidRPr="007B4794">
        <w:rPr>
          <w:rFonts w:ascii="Arial" w:hAnsi="Arial" w:cs="Arial"/>
          <w:noProof/>
          <w:color w:val="000000" w:themeColor="text1"/>
          <w:sz w:val="21"/>
          <w:szCs w:val="21"/>
        </w:rPr>
        <w:t>；全市轿车保有量</w:t>
      </w:r>
      <w:r w:rsidR="00786D68" w:rsidRPr="007B4794">
        <w:rPr>
          <w:rFonts w:ascii="Arial" w:hAnsi="Arial" w:cs="Arial"/>
          <w:noProof/>
          <w:color w:val="000000" w:themeColor="text1"/>
          <w:sz w:val="21"/>
          <w:szCs w:val="21"/>
        </w:rPr>
        <w:t>49.54</w:t>
      </w:r>
      <w:r w:rsidR="00786D68" w:rsidRPr="007B4794">
        <w:rPr>
          <w:rFonts w:ascii="Arial" w:hAnsi="Arial" w:cs="Arial"/>
          <w:noProof/>
          <w:color w:val="000000" w:themeColor="text1"/>
          <w:sz w:val="21"/>
          <w:szCs w:val="21"/>
        </w:rPr>
        <w:t>万辆，增长</w:t>
      </w:r>
      <w:r w:rsidR="00786D68" w:rsidRPr="007B4794">
        <w:rPr>
          <w:rFonts w:ascii="Arial" w:hAnsi="Arial" w:cs="Arial"/>
          <w:noProof/>
          <w:color w:val="000000" w:themeColor="text1"/>
          <w:sz w:val="21"/>
          <w:szCs w:val="21"/>
        </w:rPr>
        <w:t>12.9%</w:t>
      </w:r>
      <w:r w:rsidR="00786D68" w:rsidRPr="007B4794">
        <w:rPr>
          <w:rFonts w:ascii="Arial" w:hAnsi="Arial" w:cs="Arial"/>
          <w:noProof/>
          <w:color w:val="000000" w:themeColor="text1"/>
          <w:sz w:val="21"/>
          <w:szCs w:val="21"/>
        </w:rPr>
        <w:t>，其中私人轿车保有量</w:t>
      </w:r>
      <w:r w:rsidR="00786D68" w:rsidRPr="007B4794">
        <w:rPr>
          <w:rFonts w:ascii="Arial" w:hAnsi="Arial" w:cs="Arial"/>
          <w:noProof/>
          <w:color w:val="000000" w:themeColor="text1"/>
          <w:sz w:val="21"/>
          <w:szCs w:val="21"/>
        </w:rPr>
        <w:t>49.09</w:t>
      </w:r>
      <w:r w:rsidR="00786D68" w:rsidRPr="007B4794">
        <w:rPr>
          <w:rFonts w:ascii="Arial" w:hAnsi="Arial" w:cs="Arial"/>
          <w:noProof/>
          <w:color w:val="000000" w:themeColor="text1"/>
          <w:sz w:val="21"/>
          <w:szCs w:val="21"/>
        </w:rPr>
        <w:t>万辆，增长</w:t>
      </w:r>
      <w:r w:rsidR="00786D68" w:rsidRPr="007B4794">
        <w:rPr>
          <w:rFonts w:ascii="Arial" w:hAnsi="Arial" w:cs="Arial"/>
          <w:noProof/>
          <w:color w:val="000000" w:themeColor="text1"/>
          <w:sz w:val="21"/>
          <w:szCs w:val="21"/>
        </w:rPr>
        <w:t>13.0%</w:t>
      </w:r>
      <w:r w:rsidR="00786D68" w:rsidRPr="007B4794">
        <w:rPr>
          <w:rFonts w:ascii="Arial" w:hAnsi="Arial" w:cs="Arial"/>
          <w:noProof/>
          <w:color w:val="000000" w:themeColor="text1"/>
          <w:sz w:val="21"/>
          <w:szCs w:val="21"/>
        </w:rPr>
        <w:t>。</w:t>
      </w:r>
    </w:p>
    <w:p w14:paraId="05661074" w14:textId="1889F5D0" w:rsidR="00786D68" w:rsidRPr="007B4794" w:rsidRDefault="002F4613"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2019</w:t>
      </w:r>
      <w:r w:rsidR="00786D68" w:rsidRPr="007B4794">
        <w:rPr>
          <w:rFonts w:ascii="Arial" w:hAnsi="Arial" w:cs="Arial" w:hint="eastAsia"/>
          <w:noProof/>
          <w:color w:val="000000" w:themeColor="text1"/>
          <w:sz w:val="21"/>
          <w:szCs w:val="21"/>
        </w:rPr>
        <w:t>年完成邮电业务总量</w:t>
      </w:r>
      <w:r w:rsidR="00786D68" w:rsidRPr="007B4794">
        <w:rPr>
          <w:rFonts w:ascii="Arial" w:hAnsi="Arial" w:cs="Arial"/>
          <w:noProof/>
          <w:color w:val="000000" w:themeColor="text1"/>
          <w:sz w:val="21"/>
          <w:szCs w:val="21"/>
        </w:rPr>
        <w:t>351.79</w:t>
      </w:r>
      <w:r w:rsidR="00786D68" w:rsidRPr="007B4794">
        <w:rPr>
          <w:rFonts w:ascii="Arial" w:hAnsi="Arial" w:cs="Arial"/>
          <w:noProof/>
          <w:color w:val="000000" w:themeColor="text1"/>
          <w:sz w:val="21"/>
          <w:szCs w:val="21"/>
        </w:rPr>
        <w:t>亿元，比上年增长</w:t>
      </w:r>
      <w:r w:rsidR="00786D68" w:rsidRPr="007B4794">
        <w:rPr>
          <w:rFonts w:ascii="Arial" w:hAnsi="Arial" w:cs="Arial"/>
          <w:noProof/>
          <w:color w:val="000000" w:themeColor="text1"/>
          <w:sz w:val="21"/>
          <w:szCs w:val="21"/>
        </w:rPr>
        <w:t>57.8%</w:t>
      </w:r>
      <w:r w:rsidR="00786D68" w:rsidRPr="007B4794">
        <w:rPr>
          <w:rFonts w:ascii="Arial" w:hAnsi="Arial" w:cs="Arial"/>
          <w:noProof/>
          <w:color w:val="000000" w:themeColor="text1"/>
          <w:sz w:val="21"/>
          <w:szCs w:val="21"/>
        </w:rPr>
        <w:t>。其中，邮政业务总量</w:t>
      </w:r>
      <w:r w:rsidR="00786D68" w:rsidRPr="007B4794">
        <w:rPr>
          <w:rFonts w:ascii="Arial" w:hAnsi="Arial" w:cs="Arial"/>
          <w:noProof/>
          <w:color w:val="000000" w:themeColor="text1"/>
          <w:sz w:val="21"/>
          <w:szCs w:val="21"/>
        </w:rPr>
        <w:t>38.26</w:t>
      </w:r>
      <w:r w:rsidR="00786D68" w:rsidRPr="007B4794">
        <w:rPr>
          <w:rFonts w:ascii="Arial" w:hAnsi="Arial" w:cs="Arial"/>
          <w:noProof/>
          <w:color w:val="000000" w:themeColor="text1"/>
          <w:sz w:val="21"/>
          <w:szCs w:val="21"/>
        </w:rPr>
        <w:t>亿元，增长</w:t>
      </w:r>
      <w:r w:rsidR="00786D68" w:rsidRPr="007B4794">
        <w:rPr>
          <w:rFonts w:ascii="Arial" w:hAnsi="Arial" w:cs="Arial"/>
          <w:noProof/>
          <w:color w:val="000000" w:themeColor="text1"/>
          <w:sz w:val="21"/>
          <w:szCs w:val="21"/>
        </w:rPr>
        <w:t>40.9%</w:t>
      </w:r>
      <w:r w:rsidR="00786D68" w:rsidRPr="007B4794">
        <w:rPr>
          <w:rFonts w:ascii="Arial" w:hAnsi="Arial" w:cs="Arial"/>
          <w:noProof/>
          <w:color w:val="000000" w:themeColor="text1"/>
          <w:sz w:val="21"/>
          <w:szCs w:val="21"/>
        </w:rPr>
        <w:t>；电信业务总量</w:t>
      </w:r>
      <w:r w:rsidR="00786D68" w:rsidRPr="007B4794">
        <w:rPr>
          <w:rFonts w:ascii="Arial" w:hAnsi="Arial" w:cs="Arial"/>
          <w:noProof/>
          <w:color w:val="000000" w:themeColor="text1"/>
          <w:sz w:val="21"/>
          <w:szCs w:val="21"/>
        </w:rPr>
        <w:t>313.53</w:t>
      </w:r>
      <w:r w:rsidR="00786D68" w:rsidRPr="007B4794">
        <w:rPr>
          <w:rFonts w:ascii="Arial" w:hAnsi="Arial" w:cs="Arial"/>
          <w:noProof/>
          <w:color w:val="000000" w:themeColor="text1"/>
          <w:sz w:val="21"/>
          <w:szCs w:val="21"/>
        </w:rPr>
        <w:t>亿元，增长</w:t>
      </w:r>
      <w:r w:rsidR="00786D68" w:rsidRPr="007B4794">
        <w:rPr>
          <w:rFonts w:ascii="Arial" w:hAnsi="Arial" w:cs="Arial"/>
          <w:noProof/>
          <w:color w:val="000000" w:themeColor="text1"/>
          <w:sz w:val="21"/>
          <w:szCs w:val="21"/>
        </w:rPr>
        <w:t>60.1%</w:t>
      </w:r>
      <w:r w:rsidR="00786D68" w:rsidRPr="007B4794">
        <w:rPr>
          <w:rFonts w:ascii="Arial" w:hAnsi="Arial" w:cs="Arial"/>
          <w:noProof/>
          <w:color w:val="000000" w:themeColor="text1"/>
          <w:sz w:val="21"/>
          <w:szCs w:val="21"/>
        </w:rPr>
        <w:t>。邮政业全年完成邮政函件业务</w:t>
      </w:r>
      <w:r w:rsidR="00786D68" w:rsidRPr="007B4794">
        <w:rPr>
          <w:rFonts w:ascii="Arial" w:hAnsi="Arial" w:cs="Arial"/>
          <w:noProof/>
          <w:color w:val="000000" w:themeColor="text1"/>
          <w:sz w:val="21"/>
          <w:szCs w:val="21"/>
        </w:rPr>
        <w:t>126.92</w:t>
      </w:r>
      <w:r w:rsidR="00786D68" w:rsidRPr="007B4794">
        <w:rPr>
          <w:rFonts w:ascii="Arial" w:hAnsi="Arial" w:cs="Arial"/>
          <w:noProof/>
          <w:color w:val="000000" w:themeColor="text1"/>
          <w:sz w:val="21"/>
          <w:szCs w:val="21"/>
        </w:rPr>
        <w:t>万件，包裹业务</w:t>
      </w:r>
      <w:r w:rsidR="00786D68" w:rsidRPr="007B4794">
        <w:rPr>
          <w:rFonts w:ascii="Arial" w:hAnsi="Arial" w:cs="Arial"/>
          <w:noProof/>
          <w:color w:val="000000" w:themeColor="text1"/>
          <w:sz w:val="21"/>
          <w:szCs w:val="21"/>
        </w:rPr>
        <w:t>3.24</w:t>
      </w:r>
      <w:r w:rsidR="00786D68" w:rsidRPr="007B4794">
        <w:rPr>
          <w:rFonts w:ascii="Arial" w:hAnsi="Arial" w:cs="Arial"/>
          <w:noProof/>
          <w:color w:val="000000" w:themeColor="text1"/>
          <w:sz w:val="21"/>
          <w:szCs w:val="21"/>
        </w:rPr>
        <w:t>万件，快递业务量</w:t>
      </w:r>
      <w:r w:rsidR="00786D68" w:rsidRPr="007B4794">
        <w:rPr>
          <w:rFonts w:ascii="Arial" w:hAnsi="Arial" w:cs="Arial"/>
          <w:noProof/>
          <w:color w:val="000000" w:themeColor="text1"/>
          <w:sz w:val="21"/>
          <w:szCs w:val="21"/>
        </w:rPr>
        <w:t>16330.53</w:t>
      </w:r>
      <w:r w:rsidR="00786D68" w:rsidRPr="007B4794">
        <w:rPr>
          <w:rFonts w:ascii="Arial" w:hAnsi="Arial" w:cs="Arial"/>
          <w:noProof/>
          <w:color w:val="000000" w:themeColor="text1"/>
          <w:sz w:val="21"/>
          <w:szCs w:val="21"/>
        </w:rPr>
        <w:t>万件。年末全市电话用户总数</w:t>
      </w:r>
      <w:r w:rsidR="00786D68" w:rsidRPr="007B4794">
        <w:rPr>
          <w:rFonts w:ascii="Arial" w:hAnsi="Arial" w:cs="Arial"/>
          <w:noProof/>
          <w:color w:val="000000" w:themeColor="text1"/>
          <w:sz w:val="21"/>
          <w:szCs w:val="21"/>
        </w:rPr>
        <w:t>601.2</w:t>
      </w:r>
      <w:r w:rsidR="00786D68" w:rsidRPr="007B4794">
        <w:rPr>
          <w:rFonts w:ascii="Arial" w:hAnsi="Arial" w:cs="Arial"/>
          <w:noProof/>
          <w:color w:val="000000" w:themeColor="text1"/>
          <w:sz w:val="21"/>
          <w:szCs w:val="21"/>
        </w:rPr>
        <w:t>万户，其中，固定电话用户</w:t>
      </w:r>
      <w:r w:rsidR="00786D68" w:rsidRPr="007B4794">
        <w:rPr>
          <w:rFonts w:ascii="Arial" w:hAnsi="Arial" w:cs="Arial"/>
          <w:noProof/>
          <w:color w:val="000000" w:themeColor="text1"/>
          <w:sz w:val="21"/>
          <w:szCs w:val="21"/>
        </w:rPr>
        <w:t>77.09</w:t>
      </w:r>
      <w:r w:rsidR="00786D68" w:rsidRPr="007B4794">
        <w:rPr>
          <w:rFonts w:ascii="Arial" w:hAnsi="Arial" w:cs="Arial"/>
          <w:noProof/>
          <w:color w:val="000000" w:themeColor="text1"/>
          <w:sz w:val="21"/>
          <w:szCs w:val="21"/>
        </w:rPr>
        <w:t>万户，移动电话用户</w:t>
      </w:r>
      <w:r w:rsidR="00786D68" w:rsidRPr="007B4794">
        <w:rPr>
          <w:rFonts w:ascii="Arial" w:hAnsi="Arial" w:cs="Arial"/>
          <w:noProof/>
          <w:color w:val="000000" w:themeColor="text1"/>
          <w:sz w:val="21"/>
          <w:szCs w:val="21"/>
        </w:rPr>
        <w:t>524.11</w:t>
      </w:r>
      <w:r w:rsidR="00786D68" w:rsidRPr="007B4794">
        <w:rPr>
          <w:rFonts w:ascii="Arial" w:hAnsi="Arial" w:cs="Arial"/>
          <w:noProof/>
          <w:color w:val="000000" w:themeColor="text1"/>
          <w:sz w:val="21"/>
          <w:szCs w:val="21"/>
        </w:rPr>
        <w:t>万户。全市互联网用户</w:t>
      </w:r>
      <w:r w:rsidR="00786D68" w:rsidRPr="007B4794">
        <w:rPr>
          <w:rFonts w:ascii="Arial" w:hAnsi="Arial" w:cs="Arial"/>
          <w:noProof/>
          <w:color w:val="000000" w:themeColor="text1"/>
          <w:sz w:val="21"/>
          <w:szCs w:val="21"/>
        </w:rPr>
        <w:t>613.69</w:t>
      </w:r>
      <w:r w:rsidR="00786D68" w:rsidRPr="007B4794">
        <w:rPr>
          <w:rFonts w:ascii="Arial" w:hAnsi="Arial" w:cs="Arial"/>
          <w:noProof/>
          <w:color w:val="000000" w:themeColor="text1"/>
          <w:sz w:val="21"/>
          <w:szCs w:val="21"/>
        </w:rPr>
        <w:t>万户，增加</w:t>
      </w:r>
      <w:r w:rsidR="00786D68" w:rsidRPr="007B4794">
        <w:rPr>
          <w:rFonts w:ascii="Arial" w:hAnsi="Arial" w:cs="Arial"/>
          <w:noProof/>
          <w:color w:val="000000" w:themeColor="text1"/>
          <w:sz w:val="21"/>
          <w:szCs w:val="21"/>
        </w:rPr>
        <w:t>4.9%</w:t>
      </w:r>
      <w:r w:rsidR="00786D68" w:rsidRPr="007B4794">
        <w:rPr>
          <w:rFonts w:ascii="Arial" w:hAnsi="Arial" w:cs="Arial"/>
          <w:noProof/>
          <w:color w:val="000000" w:themeColor="text1"/>
          <w:sz w:val="21"/>
          <w:szCs w:val="21"/>
        </w:rPr>
        <w:t>，其中，固定宽带用户</w:t>
      </w:r>
      <w:r w:rsidR="00786D68" w:rsidRPr="007B4794">
        <w:rPr>
          <w:rFonts w:ascii="Arial" w:hAnsi="Arial" w:cs="Arial"/>
          <w:noProof/>
          <w:color w:val="000000" w:themeColor="text1"/>
          <w:sz w:val="21"/>
          <w:szCs w:val="21"/>
        </w:rPr>
        <w:t>186.73</w:t>
      </w:r>
      <w:r w:rsidR="00786D68" w:rsidRPr="007B4794">
        <w:rPr>
          <w:rFonts w:ascii="Arial" w:hAnsi="Arial" w:cs="Arial"/>
          <w:noProof/>
          <w:color w:val="000000" w:themeColor="text1"/>
          <w:sz w:val="21"/>
          <w:szCs w:val="21"/>
        </w:rPr>
        <w:t>万户，增加</w:t>
      </w:r>
      <w:r w:rsidR="00786D68" w:rsidRPr="007B4794">
        <w:rPr>
          <w:rFonts w:ascii="Arial" w:hAnsi="Arial" w:cs="Arial"/>
          <w:noProof/>
          <w:color w:val="000000" w:themeColor="text1"/>
          <w:sz w:val="21"/>
          <w:szCs w:val="21"/>
        </w:rPr>
        <w:t>9.3%</w:t>
      </w:r>
      <w:r w:rsidR="00786D68" w:rsidRPr="007B4794">
        <w:rPr>
          <w:rFonts w:ascii="Arial" w:hAnsi="Arial" w:cs="Arial"/>
          <w:noProof/>
          <w:color w:val="000000" w:themeColor="text1"/>
          <w:sz w:val="21"/>
          <w:szCs w:val="21"/>
        </w:rPr>
        <w:t>，移动互联网用户</w:t>
      </w:r>
      <w:r w:rsidR="00786D68" w:rsidRPr="007B4794">
        <w:rPr>
          <w:rFonts w:ascii="Arial" w:hAnsi="Arial" w:cs="Arial"/>
          <w:noProof/>
          <w:color w:val="000000" w:themeColor="text1"/>
          <w:sz w:val="21"/>
          <w:szCs w:val="21"/>
        </w:rPr>
        <w:t>426.96</w:t>
      </w:r>
      <w:r w:rsidR="00786D68" w:rsidRPr="007B4794">
        <w:rPr>
          <w:rFonts w:ascii="Arial" w:hAnsi="Arial" w:cs="Arial"/>
          <w:noProof/>
          <w:color w:val="000000" w:themeColor="text1"/>
          <w:sz w:val="21"/>
          <w:szCs w:val="21"/>
        </w:rPr>
        <w:t>万户，增长</w:t>
      </w:r>
      <w:r w:rsidR="00786D68" w:rsidRPr="007B4794">
        <w:rPr>
          <w:rFonts w:ascii="Arial" w:hAnsi="Arial" w:cs="Arial"/>
          <w:noProof/>
          <w:color w:val="000000" w:themeColor="text1"/>
          <w:sz w:val="21"/>
          <w:szCs w:val="21"/>
        </w:rPr>
        <w:t>3.0%</w:t>
      </w:r>
      <w:r w:rsidR="00786D68" w:rsidRPr="007B4794">
        <w:rPr>
          <w:rFonts w:ascii="Arial" w:hAnsi="Arial" w:cs="Arial"/>
          <w:noProof/>
          <w:color w:val="000000" w:themeColor="text1"/>
          <w:sz w:val="21"/>
          <w:szCs w:val="21"/>
        </w:rPr>
        <w:t>，移动电话基站</w:t>
      </w:r>
      <w:r w:rsidR="00786D68" w:rsidRPr="007B4794">
        <w:rPr>
          <w:rFonts w:ascii="Arial" w:hAnsi="Arial" w:cs="Arial"/>
          <w:noProof/>
          <w:color w:val="000000" w:themeColor="text1"/>
          <w:sz w:val="21"/>
          <w:szCs w:val="21"/>
        </w:rPr>
        <w:t>30097</w:t>
      </w:r>
      <w:r w:rsidR="00786D68" w:rsidRPr="007B4794">
        <w:rPr>
          <w:rFonts w:ascii="Arial" w:hAnsi="Arial" w:cs="Arial"/>
          <w:noProof/>
          <w:color w:val="000000" w:themeColor="text1"/>
          <w:sz w:val="21"/>
          <w:szCs w:val="21"/>
        </w:rPr>
        <w:t>个，增长</w:t>
      </w:r>
      <w:r w:rsidR="00786D68" w:rsidRPr="007B4794">
        <w:rPr>
          <w:rFonts w:ascii="Arial" w:hAnsi="Arial" w:cs="Arial"/>
          <w:noProof/>
          <w:color w:val="000000" w:themeColor="text1"/>
          <w:sz w:val="21"/>
          <w:szCs w:val="21"/>
        </w:rPr>
        <w:t>24.5%</w:t>
      </w:r>
      <w:r w:rsidR="00786D68" w:rsidRPr="007B4794">
        <w:rPr>
          <w:rFonts w:ascii="Arial" w:hAnsi="Arial" w:cs="Arial"/>
          <w:noProof/>
          <w:color w:val="000000" w:themeColor="text1"/>
          <w:sz w:val="21"/>
          <w:szCs w:val="21"/>
        </w:rPr>
        <w:t>。</w:t>
      </w:r>
    </w:p>
    <w:p w14:paraId="17F3575D" w14:textId="6616F3A1" w:rsidR="00786D68" w:rsidRPr="007B4794" w:rsidRDefault="002F4613"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2019</w:t>
      </w:r>
      <w:r w:rsidR="00786D68" w:rsidRPr="007B4794">
        <w:rPr>
          <w:rFonts w:ascii="Arial" w:hAnsi="Arial" w:cs="Arial" w:hint="eastAsia"/>
          <w:noProof/>
          <w:color w:val="000000" w:themeColor="text1"/>
          <w:sz w:val="21"/>
          <w:szCs w:val="21"/>
        </w:rPr>
        <w:t>年接待国内旅游人数</w:t>
      </w:r>
      <w:r w:rsidR="00786D68" w:rsidRPr="007B4794">
        <w:rPr>
          <w:rFonts w:ascii="Arial" w:hAnsi="Arial" w:cs="Arial"/>
          <w:noProof/>
          <w:color w:val="000000" w:themeColor="text1"/>
          <w:sz w:val="21"/>
          <w:szCs w:val="21"/>
        </w:rPr>
        <w:t>4560.8</w:t>
      </w:r>
      <w:r w:rsidR="00786D68" w:rsidRPr="007B4794">
        <w:rPr>
          <w:rFonts w:ascii="Arial" w:hAnsi="Arial" w:cs="Arial"/>
          <w:noProof/>
          <w:color w:val="000000" w:themeColor="text1"/>
          <w:sz w:val="21"/>
          <w:szCs w:val="21"/>
        </w:rPr>
        <w:t>万人次，比上年增长</w:t>
      </w:r>
      <w:r w:rsidR="00786D68" w:rsidRPr="007B4794">
        <w:rPr>
          <w:rFonts w:ascii="Arial" w:hAnsi="Arial" w:cs="Arial"/>
          <w:noProof/>
          <w:color w:val="000000" w:themeColor="text1"/>
          <w:sz w:val="21"/>
          <w:szCs w:val="21"/>
        </w:rPr>
        <w:t>17.5%</w:t>
      </w:r>
      <w:r w:rsidR="00786D68" w:rsidRPr="007B4794">
        <w:rPr>
          <w:rFonts w:ascii="Arial" w:hAnsi="Arial" w:cs="Arial"/>
          <w:noProof/>
          <w:color w:val="000000" w:themeColor="text1"/>
          <w:sz w:val="21"/>
          <w:szCs w:val="21"/>
        </w:rPr>
        <w:t>；接待入境游客</w:t>
      </w:r>
      <w:r w:rsidR="00786D68" w:rsidRPr="007B4794">
        <w:rPr>
          <w:rFonts w:ascii="Arial" w:hAnsi="Arial" w:cs="Arial"/>
          <w:noProof/>
          <w:color w:val="000000" w:themeColor="text1"/>
          <w:sz w:val="21"/>
          <w:szCs w:val="21"/>
        </w:rPr>
        <w:t>81.34</w:t>
      </w:r>
      <w:r w:rsidR="00786D68" w:rsidRPr="007B4794">
        <w:rPr>
          <w:rFonts w:ascii="Arial" w:hAnsi="Arial" w:cs="Arial"/>
          <w:noProof/>
          <w:color w:val="000000" w:themeColor="text1"/>
          <w:sz w:val="21"/>
          <w:szCs w:val="21"/>
        </w:rPr>
        <w:t>万人次，增长</w:t>
      </w:r>
      <w:r w:rsidR="00786D68" w:rsidRPr="007B4794">
        <w:rPr>
          <w:rFonts w:ascii="Arial" w:hAnsi="Arial" w:cs="Arial"/>
          <w:noProof/>
          <w:color w:val="000000" w:themeColor="text1"/>
          <w:sz w:val="21"/>
          <w:szCs w:val="21"/>
        </w:rPr>
        <w:t>15.5%</w:t>
      </w:r>
      <w:r w:rsidR="00786D68" w:rsidRPr="007B4794">
        <w:rPr>
          <w:rFonts w:ascii="Arial" w:hAnsi="Arial" w:cs="Arial"/>
          <w:noProof/>
          <w:color w:val="000000" w:themeColor="text1"/>
          <w:sz w:val="21"/>
          <w:szCs w:val="21"/>
        </w:rPr>
        <w:t>。其中，接待外国人</w:t>
      </w:r>
      <w:r w:rsidR="00786D68" w:rsidRPr="007B4794">
        <w:rPr>
          <w:rFonts w:ascii="Arial" w:hAnsi="Arial" w:cs="Arial"/>
          <w:noProof/>
          <w:color w:val="000000" w:themeColor="text1"/>
          <w:sz w:val="21"/>
          <w:szCs w:val="21"/>
        </w:rPr>
        <w:t>21.28</w:t>
      </w:r>
      <w:r w:rsidR="00786D68" w:rsidRPr="007B4794">
        <w:rPr>
          <w:rFonts w:ascii="Arial" w:hAnsi="Arial" w:cs="Arial"/>
          <w:noProof/>
          <w:color w:val="000000" w:themeColor="text1"/>
          <w:sz w:val="21"/>
          <w:szCs w:val="21"/>
        </w:rPr>
        <w:t>万人次，增长</w:t>
      </w:r>
      <w:r w:rsidR="00786D68" w:rsidRPr="007B4794">
        <w:rPr>
          <w:rFonts w:ascii="Arial" w:hAnsi="Arial" w:cs="Arial"/>
          <w:noProof/>
          <w:color w:val="000000" w:themeColor="text1"/>
          <w:sz w:val="21"/>
          <w:szCs w:val="21"/>
        </w:rPr>
        <w:t>22.2%</w:t>
      </w:r>
      <w:r w:rsidR="00786D68" w:rsidRPr="007B4794">
        <w:rPr>
          <w:rFonts w:ascii="Arial" w:hAnsi="Arial" w:cs="Arial"/>
          <w:noProof/>
          <w:color w:val="000000" w:themeColor="text1"/>
          <w:sz w:val="21"/>
          <w:szCs w:val="21"/>
        </w:rPr>
        <w:t>；台湾同胞</w:t>
      </w:r>
      <w:r w:rsidR="00786D68" w:rsidRPr="007B4794">
        <w:rPr>
          <w:rFonts w:ascii="Arial" w:hAnsi="Arial" w:cs="Arial"/>
          <w:noProof/>
          <w:color w:val="000000" w:themeColor="text1"/>
          <w:sz w:val="21"/>
          <w:szCs w:val="21"/>
        </w:rPr>
        <w:t>36.91</w:t>
      </w:r>
      <w:r w:rsidR="00786D68" w:rsidRPr="007B4794">
        <w:rPr>
          <w:rFonts w:ascii="Arial" w:hAnsi="Arial" w:cs="Arial"/>
          <w:noProof/>
          <w:color w:val="000000" w:themeColor="text1"/>
          <w:sz w:val="21"/>
          <w:szCs w:val="21"/>
        </w:rPr>
        <w:t>万人次，增长</w:t>
      </w:r>
      <w:r w:rsidR="00786D68" w:rsidRPr="007B4794">
        <w:rPr>
          <w:rFonts w:ascii="Arial" w:hAnsi="Arial" w:cs="Arial"/>
          <w:noProof/>
          <w:color w:val="000000" w:themeColor="text1"/>
          <w:sz w:val="21"/>
          <w:szCs w:val="21"/>
        </w:rPr>
        <w:t>19.1%</w:t>
      </w:r>
      <w:r w:rsidR="00786D68" w:rsidRPr="007B4794">
        <w:rPr>
          <w:rFonts w:ascii="Arial" w:hAnsi="Arial" w:cs="Arial"/>
          <w:noProof/>
          <w:color w:val="000000" w:themeColor="text1"/>
          <w:sz w:val="21"/>
          <w:szCs w:val="21"/>
        </w:rPr>
        <w:t>；港澳同胞</w:t>
      </w:r>
      <w:r w:rsidR="00786D68" w:rsidRPr="007B4794">
        <w:rPr>
          <w:rFonts w:ascii="Arial" w:hAnsi="Arial" w:cs="Arial"/>
          <w:noProof/>
          <w:color w:val="000000" w:themeColor="text1"/>
          <w:sz w:val="21"/>
          <w:szCs w:val="21"/>
        </w:rPr>
        <w:t>23.15</w:t>
      </w:r>
      <w:r w:rsidR="00786D68" w:rsidRPr="007B4794">
        <w:rPr>
          <w:rFonts w:ascii="Arial" w:hAnsi="Arial" w:cs="Arial"/>
          <w:noProof/>
          <w:color w:val="000000" w:themeColor="text1"/>
          <w:sz w:val="21"/>
          <w:szCs w:val="21"/>
        </w:rPr>
        <w:t>万人次，增长</w:t>
      </w:r>
      <w:r w:rsidR="00786D68" w:rsidRPr="007B4794">
        <w:rPr>
          <w:rFonts w:ascii="Arial" w:hAnsi="Arial" w:cs="Arial"/>
          <w:noProof/>
          <w:color w:val="000000" w:themeColor="text1"/>
          <w:sz w:val="21"/>
          <w:szCs w:val="21"/>
        </w:rPr>
        <w:t>5.3%</w:t>
      </w:r>
      <w:r w:rsidR="00786D68" w:rsidRPr="007B4794">
        <w:rPr>
          <w:rFonts w:ascii="Arial" w:hAnsi="Arial" w:cs="Arial"/>
          <w:noProof/>
          <w:color w:val="000000" w:themeColor="text1"/>
          <w:sz w:val="21"/>
          <w:szCs w:val="21"/>
        </w:rPr>
        <w:t>。全年旅游总收入</w:t>
      </w:r>
      <w:r w:rsidR="00786D68" w:rsidRPr="007B4794">
        <w:rPr>
          <w:rFonts w:ascii="Arial" w:hAnsi="Arial" w:cs="Arial"/>
          <w:noProof/>
          <w:color w:val="000000" w:themeColor="text1"/>
          <w:sz w:val="21"/>
          <w:szCs w:val="21"/>
        </w:rPr>
        <w:t>660.74</w:t>
      </w:r>
      <w:r w:rsidR="00786D68" w:rsidRPr="007B4794">
        <w:rPr>
          <w:rFonts w:ascii="Arial" w:hAnsi="Arial" w:cs="Arial"/>
          <w:noProof/>
          <w:color w:val="000000" w:themeColor="text1"/>
          <w:sz w:val="21"/>
          <w:szCs w:val="21"/>
        </w:rPr>
        <w:t>亿元，增长</w:t>
      </w:r>
      <w:r w:rsidR="00786D68" w:rsidRPr="007B4794">
        <w:rPr>
          <w:rFonts w:ascii="Arial" w:hAnsi="Arial" w:cs="Arial"/>
          <w:noProof/>
          <w:color w:val="000000" w:themeColor="text1"/>
          <w:sz w:val="21"/>
          <w:szCs w:val="21"/>
        </w:rPr>
        <w:t>26.8%</w:t>
      </w:r>
      <w:r w:rsidR="00786D68" w:rsidRPr="007B4794">
        <w:rPr>
          <w:rFonts w:ascii="Arial" w:hAnsi="Arial" w:cs="Arial"/>
          <w:noProof/>
          <w:color w:val="000000" w:themeColor="text1"/>
          <w:sz w:val="21"/>
          <w:szCs w:val="21"/>
        </w:rPr>
        <w:t>。其中，国内旅游收入</w:t>
      </w:r>
      <w:r w:rsidR="00786D68" w:rsidRPr="007B4794">
        <w:rPr>
          <w:rFonts w:ascii="Arial" w:hAnsi="Arial" w:cs="Arial"/>
          <w:noProof/>
          <w:color w:val="000000" w:themeColor="text1"/>
          <w:sz w:val="21"/>
          <w:szCs w:val="21"/>
        </w:rPr>
        <w:t>605.92</w:t>
      </w:r>
      <w:r w:rsidR="00786D68" w:rsidRPr="007B4794">
        <w:rPr>
          <w:rFonts w:ascii="Arial" w:hAnsi="Arial" w:cs="Arial"/>
          <w:noProof/>
          <w:color w:val="000000" w:themeColor="text1"/>
          <w:sz w:val="21"/>
          <w:szCs w:val="21"/>
        </w:rPr>
        <w:t>亿元，增长</w:t>
      </w:r>
      <w:r w:rsidR="00786D68" w:rsidRPr="007B4794">
        <w:rPr>
          <w:rFonts w:ascii="Arial" w:hAnsi="Arial" w:cs="Arial"/>
          <w:noProof/>
          <w:color w:val="000000" w:themeColor="text1"/>
          <w:sz w:val="21"/>
          <w:szCs w:val="21"/>
        </w:rPr>
        <w:t>25.4%</w:t>
      </w:r>
      <w:r w:rsidR="00786D68" w:rsidRPr="007B4794">
        <w:rPr>
          <w:rFonts w:ascii="Arial" w:hAnsi="Arial" w:cs="Arial"/>
          <w:noProof/>
          <w:color w:val="000000" w:themeColor="text1"/>
          <w:sz w:val="21"/>
          <w:szCs w:val="21"/>
        </w:rPr>
        <w:t>；国际旅游收入</w:t>
      </w:r>
      <w:r w:rsidR="00786D68" w:rsidRPr="007B4794">
        <w:rPr>
          <w:rFonts w:ascii="Arial" w:hAnsi="Arial" w:cs="Arial"/>
          <w:noProof/>
          <w:color w:val="000000" w:themeColor="text1"/>
          <w:sz w:val="21"/>
          <w:szCs w:val="21"/>
        </w:rPr>
        <w:t>7.93</w:t>
      </w:r>
      <w:r w:rsidR="00786D68" w:rsidRPr="007B4794">
        <w:rPr>
          <w:rFonts w:ascii="Arial" w:hAnsi="Arial" w:cs="Arial"/>
          <w:noProof/>
          <w:color w:val="000000" w:themeColor="text1"/>
          <w:sz w:val="21"/>
          <w:szCs w:val="21"/>
        </w:rPr>
        <w:t>亿美元，增长</w:t>
      </w:r>
      <w:r w:rsidR="00786D68" w:rsidRPr="007B4794">
        <w:rPr>
          <w:rFonts w:ascii="Arial" w:hAnsi="Arial" w:cs="Arial"/>
          <w:noProof/>
          <w:color w:val="000000" w:themeColor="text1"/>
          <w:sz w:val="21"/>
          <w:szCs w:val="21"/>
        </w:rPr>
        <w:t>38.7%</w:t>
      </w:r>
      <w:r w:rsidR="00786D68" w:rsidRPr="007B4794">
        <w:rPr>
          <w:rFonts w:ascii="Arial" w:hAnsi="Arial" w:cs="Arial"/>
          <w:noProof/>
          <w:color w:val="000000" w:themeColor="text1"/>
          <w:sz w:val="21"/>
          <w:szCs w:val="21"/>
        </w:rPr>
        <w:t>。年末</w:t>
      </w:r>
      <w:r w:rsidR="00786D68" w:rsidRPr="007B4794">
        <w:rPr>
          <w:rFonts w:ascii="Arial" w:hAnsi="Arial" w:cs="Arial"/>
          <w:noProof/>
          <w:color w:val="000000" w:themeColor="text1"/>
          <w:sz w:val="21"/>
          <w:szCs w:val="21"/>
        </w:rPr>
        <w:t>A</w:t>
      </w:r>
      <w:r w:rsidR="00786D68" w:rsidRPr="007B4794">
        <w:rPr>
          <w:rFonts w:ascii="Arial" w:hAnsi="Arial" w:cs="Arial"/>
          <w:noProof/>
          <w:color w:val="000000" w:themeColor="text1"/>
          <w:sz w:val="21"/>
          <w:szCs w:val="21"/>
        </w:rPr>
        <w:t>级旅游景区</w:t>
      </w:r>
      <w:r w:rsidR="00786D68" w:rsidRPr="007B4794">
        <w:rPr>
          <w:rFonts w:ascii="Arial" w:hAnsi="Arial" w:cs="Arial"/>
          <w:noProof/>
          <w:color w:val="000000" w:themeColor="text1"/>
          <w:sz w:val="21"/>
          <w:szCs w:val="21"/>
        </w:rPr>
        <w:t>20</w:t>
      </w:r>
      <w:r w:rsidR="00786D68" w:rsidRPr="007B4794">
        <w:rPr>
          <w:rFonts w:ascii="Arial" w:hAnsi="Arial" w:cs="Arial"/>
          <w:noProof/>
          <w:color w:val="000000" w:themeColor="text1"/>
          <w:sz w:val="21"/>
          <w:szCs w:val="21"/>
        </w:rPr>
        <w:t>家，比上年增加</w:t>
      </w:r>
      <w:r w:rsidR="00786D68" w:rsidRPr="007B4794">
        <w:rPr>
          <w:rFonts w:ascii="Arial" w:hAnsi="Arial" w:cs="Arial"/>
          <w:noProof/>
          <w:color w:val="000000" w:themeColor="text1"/>
          <w:sz w:val="21"/>
          <w:szCs w:val="21"/>
        </w:rPr>
        <w:t>2</w:t>
      </w:r>
      <w:r w:rsidR="00786D68" w:rsidRPr="007B4794">
        <w:rPr>
          <w:rFonts w:ascii="Arial" w:hAnsi="Arial" w:cs="Arial"/>
          <w:noProof/>
          <w:color w:val="000000" w:themeColor="text1"/>
          <w:sz w:val="21"/>
          <w:szCs w:val="21"/>
        </w:rPr>
        <w:t>家。</w:t>
      </w:r>
    </w:p>
    <w:p w14:paraId="10F57D5F" w14:textId="77777777" w:rsidR="00786D68" w:rsidRPr="007B4794" w:rsidRDefault="00AE01CB"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4</w:t>
      </w:r>
      <w:r w:rsidRPr="007B4794">
        <w:rPr>
          <w:rFonts w:ascii="Arial" w:hAnsi="Arial" w:cs="Arial" w:hint="eastAsia"/>
          <w:noProof/>
          <w:color w:val="000000" w:themeColor="text1"/>
          <w:sz w:val="21"/>
          <w:szCs w:val="21"/>
        </w:rPr>
        <w:t>、</w:t>
      </w:r>
      <w:r w:rsidR="00786D68" w:rsidRPr="007B4794">
        <w:rPr>
          <w:rFonts w:ascii="Arial" w:hAnsi="Arial" w:cs="Arial" w:hint="eastAsia"/>
          <w:noProof/>
          <w:color w:val="000000" w:themeColor="text1"/>
          <w:sz w:val="21"/>
          <w:szCs w:val="21"/>
        </w:rPr>
        <w:t>国内贸易</w:t>
      </w:r>
    </w:p>
    <w:p w14:paraId="34D76BB8" w14:textId="605CC825" w:rsidR="00786D68" w:rsidRPr="007B4794" w:rsidRDefault="002F4613"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2019</w:t>
      </w:r>
      <w:r w:rsidR="00786D68" w:rsidRPr="007B4794">
        <w:rPr>
          <w:rFonts w:ascii="Arial" w:hAnsi="Arial" w:cs="Arial" w:hint="eastAsia"/>
          <w:noProof/>
          <w:color w:val="000000" w:themeColor="text1"/>
          <w:sz w:val="21"/>
          <w:szCs w:val="21"/>
        </w:rPr>
        <w:t>年社会消费品零售总额</w:t>
      </w:r>
      <w:r w:rsidR="00786D68" w:rsidRPr="007B4794">
        <w:rPr>
          <w:rFonts w:ascii="Arial" w:hAnsi="Arial" w:cs="Arial"/>
          <w:noProof/>
          <w:color w:val="000000" w:themeColor="text1"/>
          <w:sz w:val="21"/>
          <w:szCs w:val="21"/>
        </w:rPr>
        <w:t>1222.3</w:t>
      </w:r>
      <w:r w:rsidR="00786D68" w:rsidRPr="007B4794">
        <w:rPr>
          <w:rFonts w:ascii="Arial" w:hAnsi="Arial" w:cs="Arial"/>
          <w:noProof/>
          <w:color w:val="000000" w:themeColor="text1"/>
          <w:sz w:val="21"/>
          <w:szCs w:val="21"/>
        </w:rPr>
        <w:t>亿元，比上年增长</w:t>
      </w:r>
      <w:r w:rsidR="00786D68" w:rsidRPr="007B4794">
        <w:rPr>
          <w:rFonts w:ascii="Arial" w:hAnsi="Arial" w:cs="Arial"/>
          <w:noProof/>
          <w:color w:val="000000" w:themeColor="text1"/>
          <w:sz w:val="21"/>
          <w:szCs w:val="21"/>
        </w:rPr>
        <w:t>9.8%</w:t>
      </w:r>
      <w:r w:rsidR="00786D68" w:rsidRPr="007B4794">
        <w:rPr>
          <w:rFonts w:ascii="Arial" w:hAnsi="Arial" w:cs="Arial"/>
          <w:noProof/>
          <w:color w:val="000000" w:themeColor="text1"/>
          <w:sz w:val="21"/>
          <w:szCs w:val="21"/>
        </w:rPr>
        <w:t>。分规模看，限额以上消费品零售额</w:t>
      </w:r>
      <w:r w:rsidR="00786D68" w:rsidRPr="007B4794">
        <w:rPr>
          <w:rFonts w:ascii="Arial" w:hAnsi="Arial" w:cs="Arial"/>
          <w:noProof/>
          <w:color w:val="000000" w:themeColor="text1"/>
          <w:sz w:val="21"/>
          <w:szCs w:val="21"/>
        </w:rPr>
        <w:t>622.74</w:t>
      </w:r>
      <w:r w:rsidR="00786D68" w:rsidRPr="007B4794">
        <w:rPr>
          <w:rFonts w:ascii="Arial" w:hAnsi="Arial" w:cs="Arial"/>
          <w:noProof/>
          <w:color w:val="000000" w:themeColor="text1"/>
          <w:sz w:val="21"/>
          <w:szCs w:val="21"/>
        </w:rPr>
        <w:t>亿元，增长</w:t>
      </w:r>
      <w:r w:rsidR="00786D68" w:rsidRPr="007B4794">
        <w:rPr>
          <w:rFonts w:ascii="Arial" w:hAnsi="Arial" w:cs="Arial"/>
          <w:noProof/>
          <w:color w:val="000000" w:themeColor="text1"/>
          <w:sz w:val="21"/>
          <w:szCs w:val="21"/>
        </w:rPr>
        <w:t>10.6%</w:t>
      </w:r>
      <w:r w:rsidR="00786D68" w:rsidRPr="007B4794">
        <w:rPr>
          <w:rFonts w:ascii="Arial" w:hAnsi="Arial" w:cs="Arial"/>
          <w:noProof/>
          <w:color w:val="000000" w:themeColor="text1"/>
          <w:sz w:val="21"/>
          <w:szCs w:val="21"/>
        </w:rPr>
        <w:t>；限额以下消费品零售额</w:t>
      </w:r>
      <w:r w:rsidR="00786D68" w:rsidRPr="007B4794">
        <w:rPr>
          <w:rFonts w:ascii="Arial" w:hAnsi="Arial" w:cs="Arial"/>
          <w:noProof/>
          <w:color w:val="000000" w:themeColor="text1"/>
          <w:sz w:val="21"/>
          <w:szCs w:val="21"/>
        </w:rPr>
        <w:t>599.56</w:t>
      </w:r>
      <w:r w:rsidR="00786D68" w:rsidRPr="007B4794">
        <w:rPr>
          <w:rFonts w:ascii="Arial" w:hAnsi="Arial" w:cs="Arial"/>
          <w:noProof/>
          <w:color w:val="000000" w:themeColor="text1"/>
          <w:sz w:val="21"/>
          <w:szCs w:val="21"/>
        </w:rPr>
        <w:t>亿元，增长</w:t>
      </w:r>
      <w:r w:rsidR="00786D68" w:rsidRPr="007B4794">
        <w:rPr>
          <w:rFonts w:ascii="Arial" w:hAnsi="Arial" w:cs="Arial"/>
          <w:noProof/>
          <w:color w:val="000000" w:themeColor="text1"/>
          <w:sz w:val="21"/>
          <w:szCs w:val="21"/>
        </w:rPr>
        <w:t>9.0%</w:t>
      </w:r>
      <w:r w:rsidR="00786D68" w:rsidRPr="007B4794">
        <w:rPr>
          <w:rFonts w:ascii="Arial" w:hAnsi="Arial" w:cs="Arial"/>
          <w:noProof/>
          <w:color w:val="000000" w:themeColor="text1"/>
          <w:sz w:val="21"/>
          <w:szCs w:val="21"/>
        </w:rPr>
        <w:t>。</w:t>
      </w:r>
    </w:p>
    <w:p w14:paraId="56229D2F" w14:textId="77777777" w:rsidR="00786D68" w:rsidRPr="007B4794" w:rsidRDefault="00786D68"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在限额以上企业商品零售额中，家具类零售额</w:t>
      </w:r>
      <w:r w:rsidRPr="007B4794">
        <w:rPr>
          <w:rFonts w:ascii="Arial" w:hAnsi="Arial" w:cs="Arial"/>
          <w:noProof/>
          <w:color w:val="000000" w:themeColor="text1"/>
          <w:sz w:val="21"/>
          <w:szCs w:val="21"/>
        </w:rPr>
        <w:t>23.43</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19.7%</w:t>
      </w:r>
      <w:r w:rsidRPr="007B4794">
        <w:rPr>
          <w:rFonts w:ascii="Arial" w:hAnsi="Arial" w:cs="Arial"/>
          <w:noProof/>
          <w:color w:val="000000" w:themeColor="text1"/>
          <w:sz w:val="21"/>
          <w:szCs w:val="21"/>
        </w:rPr>
        <w:t>，服装鞋帽针纺织品类零售额</w:t>
      </w:r>
      <w:r w:rsidRPr="007B4794">
        <w:rPr>
          <w:rFonts w:ascii="Arial" w:hAnsi="Arial" w:cs="Arial"/>
          <w:noProof/>
          <w:color w:val="000000" w:themeColor="text1"/>
          <w:sz w:val="21"/>
          <w:szCs w:val="21"/>
        </w:rPr>
        <w:t>15.15</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18.2%</w:t>
      </w:r>
      <w:r w:rsidRPr="007B4794">
        <w:rPr>
          <w:rFonts w:ascii="Arial" w:hAnsi="Arial" w:cs="Arial"/>
          <w:noProof/>
          <w:color w:val="000000" w:themeColor="text1"/>
          <w:sz w:val="21"/>
          <w:szCs w:val="21"/>
        </w:rPr>
        <w:t>，粮油食品饮料烟酒类零售额</w:t>
      </w:r>
      <w:r w:rsidRPr="007B4794">
        <w:rPr>
          <w:rFonts w:ascii="Arial" w:hAnsi="Arial" w:cs="Arial"/>
          <w:noProof/>
          <w:color w:val="000000" w:themeColor="text1"/>
          <w:sz w:val="21"/>
          <w:szCs w:val="21"/>
        </w:rPr>
        <w:t>176.70</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13.5%</w:t>
      </w:r>
      <w:r w:rsidRPr="007B4794">
        <w:rPr>
          <w:rFonts w:ascii="Arial" w:hAnsi="Arial" w:cs="Arial"/>
          <w:noProof/>
          <w:color w:val="000000" w:themeColor="text1"/>
          <w:sz w:val="21"/>
          <w:szCs w:val="21"/>
        </w:rPr>
        <w:t>，通讯器材类零</w:t>
      </w:r>
      <w:r w:rsidRPr="007B4794">
        <w:rPr>
          <w:rFonts w:ascii="Arial" w:hAnsi="Arial" w:cs="Arial"/>
          <w:noProof/>
          <w:color w:val="000000" w:themeColor="text1"/>
          <w:sz w:val="21"/>
          <w:szCs w:val="21"/>
        </w:rPr>
        <w:lastRenderedPageBreak/>
        <w:t>售额</w:t>
      </w:r>
      <w:r w:rsidRPr="007B4794">
        <w:rPr>
          <w:rFonts w:ascii="Arial" w:hAnsi="Arial" w:cs="Arial"/>
          <w:noProof/>
          <w:color w:val="000000" w:themeColor="text1"/>
          <w:sz w:val="21"/>
          <w:szCs w:val="21"/>
        </w:rPr>
        <w:t>2.38</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5.3%</w:t>
      </w:r>
      <w:r w:rsidRPr="007B4794">
        <w:rPr>
          <w:rFonts w:ascii="Arial" w:hAnsi="Arial" w:cs="Arial"/>
          <w:noProof/>
          <w:color w:val="000000" w:themeColor="text1"/>
          <w:sz w:val="21"/>
          <w:szCs w:val="21"/>
        </w:rPr>
        <w:t>，汽车类零售额</w:t>
      </w:r>
      <w:r w:rsidRPr="007B4794">
        <w:rPr>
          <w:rFonts w:ascii="Arial" w:hAnsi="Arial" w:cs="Arial"/>
          <w:noProof/>
          <w:color w:val="000000" w:themeColor="text1"/>
          <w:sz w:val="21"/>
          <w:szCs w:val="21"/>
        </w:rPr>
        <w:t>119.39</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3.4%</w:t>
      </w:r>
      <w:r w:rsidRPr="007B4794">
        <w:rPr>
          <w:rFonts w:ascii="Arial" w:hAnsi="Arial" w:cs="Arial"/>
          <w:noProof/>
          <w:color w:val="000000" w:themeColor="text1"/>
          <w:sz w:val="21"/>
          <w:szCs w:val="21"/>
        </w:rPr>
        <w:t>，金银珠宝类零售额</w:t>
      </w:r>
      <w:r w:rsidRPr="007B4794">
        <w:rPr>
          <w:rFonts w:ascii="Arial" w:hAnsi="Arial" w:cs="Arial"/>
          <w:noProof/>
          <w:color w:val="000000" w:themeColor="text1"/>
          <w:sz w:val="21"/>
          <w:szCs w:val="21"/>
        </w:rPr>
        <w:t>3.81</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17.2%</w:t>
      </w:r>
      <w:r w:rsidRPr="007B4794">
        <w:rPr>
          <w:rFonts w:ascii="Arial" w:hAnsi="Arial" w:cs="Arial"/>
          <w:noProof/>
          <w:color w:val="000000" w:themeColor="text1"/>
          <w:sz w:val="21"/>
          <w:szCs w:val="21"/>
        </w:rPr>
        <w:t>，家用电器和音像器材类零售额</w:t>
      </w:r>
      <w:r w:rsidRPr="007B4794">
        <w:rPr>
          <w:rFonts w:ascii="Arial" w:hAnsi="Arial" w:cs="Arial"/>
          <w:noProof/>
          <w:color w:val="000000" w:themeColor="text1"/>
          <w:sz w:val="21"/>
          <w:szCs w:val="21"/>
        </w:rPr>
        <w:t>34.28</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10.5%</w:t>
      </w:r>
      <w:r w:rsidRPr="007B4794">
        <w:rPr>
          <w:rFonts w:ascii="Arial" w:hAnsi="Arial" w:cs="Arial"/>
          <w:noProof/>
          <w:color w:val="000000" w:themeColor="text1"/>
          <w:sz w:val="21"/>
          <w:szCs w:val="21"/>
        </w:rPr>
        <w:t>，化妆品类零售额</w:t>
      </w:r>
      <w:r w:rsidRPr="007B4794">
        <w:rPr>
          <w:rFonts w:ascii="Arial" w:hAnsi="Arial" w:cs="Arial"/>
          <w:noProof/>
          <w:color w:val="000000" w:themeColor="text1"/>
          <w:sz w:val="21"/>
          <w:szCs w:val="21"/>
        </w:rPr>
        <w:t>4.67</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18.8%</w:t>
      </w:r>
      <w:r w:rsidRPr="007B4794">
        <w:rPr>
          <w:rFonts w:ascii="Arial" w:hAnsi="Arial" w:cs="Arial"/>
          <w:noProof/>
          <w:color w:val="000000" w:themeColor="text1"/>
          <w:sz w:val="21"/>
          <w:szCs w:val="21"/>
        </w:rPr>
        <w:t>，日用品类零售额</w:t>
      </w:r>
      <w:r w:rsidRPr="007B4794">
        <w:rPr>
          <w:rFonts w:ascii="Arial" w:hAnsi="Arial" w:cs="Arial"/>
          <w:noProof/>
          <w:color w:val="000000" w:themeColor="text1"/>
          <w:sz w:val="21"/>
          <w:szCs w:val="21"/>
        </w:rPr>
        <w:t>17.84</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15.2%</w:t>
      </w:r>
      <w:r w:rsidRPr="007B4794">
        <w:rPr>
          <w:rFonts w:ascii="Arial" w:hAnsi="Arial" w:cs="Arial"/>
          <w:noProof/>
          <w:color w:val="000000" w:themeColor="text1"/>
          <w:sz w:val="21"/>
          <w:szCs w:val="21"/>
        </w:rPr>
        <w:t>，石油及制品类零售额</w:t>
      </w:r>
      <w:r w:rsidRPr="007B4794">
        <w:rPr>
          <w:rFonts w:ascii="Arial" w:hAnsi="Arial" w:cs="Arial"/>
          <w:noProof/>
          <w:color w:val="000000" w:themeColor="text1"/>
          <w:sz w:val="21"/>
          <w:szCs w:val="21"/>
        </w:rPr>
        <w:t>63.85</w:t>
      </w:r>
      <w:r w:rsidRPr="007B4794">
        <w:rPr>
          <w:rFonts w:ascii="Arial" w:hAnsi="Arial" w:cs="Arial"/>
          <w:noProof/>
          <w:color w:val="000000" w:themeColor="text1"/>
          <w:sz w:val="21"/>
          <w:szCs w:val="21"/>
        </w:rPr>
        <w:t>亿元，下降</w:t>
      </w:r>
      <w:r w:rsidRPr="007B4794">
        <w:rPr>
          <w:rFonts w:ascii="Arial" w:hAnsi="Arial" w:cs="Arial"/>
          <w:noProof/>
          <w:color w:val="000000" w:themeColor="text1"/>
          <w:sz w:val="21"/>
          <w:szCs w:val="21"/>
        </w:rPr>
        <w:t>2.0%</w:t>
      </w:r>
      <w:r w:rsidRPr="007B4794">
        <w:rPr>
          <w:rFonts w:ascii="Arial" w:hAnsi="Arial" w:cs="Arial"/>
          <w:noProof/>
          <w:color w:val="000000" w:themeColor="text1"/>
          <w:sz w:val="21"/>
          <w:szCs w:val="21"/>
        </w:rPr>
        <w:t>，体育、娱乐用品类零售额</w:t>
      </w:r>
      <w:r w:rsidRPr="007B4794">
        <w:rPr>
          <w:rFonts w:ascii="Arial" w:hAnsi="Arial" w:cs="Arial"/>
          <w:noProof/>
          <w:color w:val="000000" w:themeColor="text1"/>
          <w:sz w:val="21"/>
          <w:szCs w:val="21"/>
        </w:rPr>
        <w:t>1.29</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79.6%</w:t>
      </w:r>
      <w:r w:rsidRPr="007B4794">
        <w:rPr>
          <w:rFonts w:ascii="Arial" w:hAnsi="Arial" w:cs="Arial"/>
          <w:noProof/>
          <w:color w:val="000000" w:themeColor="text1"/>
          <w:sz w:val="21"/>
          <w:szCs w:val="21"/>
        </w:rPr>
        <w:t>。</w:t>
      </w:r>
    </w:p>
    <w:p w14:paraId="1E208F6A" w14:textId="77777777" w:rsidR="00786D68" w:rsidRPr="007B4794" w:rsidRDefault="00AE01CB"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5</w:t>
      </w:r>
      <w:r w:rsidRPr="007B4794">
        <w:rPr>
          <w:rFonts w:ascii="Arial" w:hAnsi="Arial" w:cs="Arial" w:hint="eastAsia"/>
          <w:noProof/>
          <w:color w:val="000000" w:themeColor="text1"/>
          <w:sz w:val="21"/>
          <w:szCs w:val="21"/>
        </w:rPr>
        <w:t>、</w:t>
      </w:r>
      <w:r w:rsidR="00786D68" w:rsidRPr="007B4794">
        <w:rPr>
          <w:rFonts w:ascii="Arial" w:hAnsi="Arial" w:cs="Arial" w:hint="eastAsia"/>
          <w:noProof/>
          <w:color w:val="000000" w:themeColor="text1"/>
          <w:sz w:val="21"/>
          <w:szCs w:val="21"/>
        </w:rPr>
        <w:t>固定资产投资</w:t>
      </w:r>
    </w:p>
    <w:p w14:paraId="622AA2C2" w14:textId="0DE901F3" w:rsidR="00786D68" w:rsidRPr="007B4794" w:rsidRDefault="002F4613"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2019</w:t>
      </w:r>
      <w:r w:rsidR="00786D68" w:rsidRPr="007B4794">
        <w:rPr>
          <w:rFonts w:ascii="Arial" w:hAnsi="Arial" w:cs="Arial" w:hint="eastAsia"/>
          <w:noProof/>
          <w:color w:val="000000" w:themeColor="text1"/>
          <w:sz w:val="21"/>
          <w:szCs w:val="21"/>
        </w:rPr>
        <w:t>年固定资产投资比上年增长</w:t>
      </w:r>
      <w:r w:rsidR="00786D68" w:rsidRPr="007B4794">
        <w:rPr>
          <w:rFonts w:ascii="Arial" w:hAnsi="Arial" w:cs="Arial"/>
          <w:noProof/>
          <w:color w:val="000000" w:themeColor="text1"/>
          <w:sz w:val="21"/>
          <w:szCs w:val="21"/>
        </w:rPr>
        <w:t>0.1%</w:t>
      </w:r>
      <w:r w:rsidR="00786D68" w:rsidRPr="007B4794">
        <w:rPr>
          <w:rFonts w:ascii="Arial" w:hAnsi="Arial" w:cs="Arial"/>
          <w:noProof/>
          <w:color w:val="000000" w:themeColor="text1"/>
          <w:sz w:val="21"/>
          <w:szCs w:val="21"/>
        </w:rPr>
        <w:t>。其中，项目投资下降</w:t>
      </w:r>
      <w:r w:rsidR="00786D68" w:rsidRPr="007B4794">
        <w:rPr>
          <w:rFonts w:ascii="Arial" w:hAnsi="Arial" w:cs="Arial"/>
          <w:noProof/>
          <w:color w:val="000000" w:themeColor="text1"/>
          <w:sz w:val="21"/>
          <w:szCs w:val="21"/>
        </w:rPr>
        <w:t>2.8%</w:t>
      </w:r>
      <w:r w:rsidR="00786D68" w:rsidRPr="007B4794">
        <w:rPr>
          <w:rFonts w:ascii="Arial" w:hAnsi="Arial" w:cs="Arial"/>
          <w:noProof/>
          <w:color w:val="000000" w:themeColor="text1"/>
          <w:sz w:val="21"/>
          <w:szCs w:val="21"/>
        </w:rPr>
        <w:t>；房地产开发投资增长</w:t>
      </w:r>
      <w:r w:rsidR="00786D68" w:rsidRPr="007B4794">
        <w:rPr>
          <w:rFonts w:ascii="Arial" w:hAnsi="Arial" w:cs="Arial"/>
          <w:noProof/>
          <w:color w:val="000000" w:themeColor="text1"/>
          <w:sz w:val="21"/>
          <w:szCs w:val="21"/>
        </w:rPr>
        <w:t>7.9%</w:t>
      </w:r>
      <w:r w:rsidR="00786D68" w:rsidRPr="007B4794">
        <w:rPr>
          <w:rFonts w:ascii="Arial" w:hAnsi="Arial" w:cs="Arial"/>
          <w:noProof/>
          <w:color w:val="000000" w:themeColor="text1"/>
          <w:sz w:val="21"/>
          <w:szCs w:val="21"/>
        </w:rPr>
        <w:t>。</w:t>
      </w:r>
    </w:p>
    <w:p w14:paraId="1EFE7120" w14:textId="18D084AE" w:rsidR="00786D68" w:rsidRPr="007B4794" w:rsidRDefault="00786D68"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分产业看，第一产业投资下降</w:t>
      </w:r>
      <w:r w:rsidRPr="007B4794">
        <w:rPr>
          <w:rFonts w:ascii="Arial" w:hAnsi="Arial" w:cs="Arial"/>
          <w:noProof/>
          <w:color w:val="000000" w:themeColor="text1"/>
          <w:sz w:val="21"/>
          <w:szCs w:val="21"/>
        </w:rPr>
        <w:t>15%</w:t>
      </w:r>
      <w:r w:rsidRPr="007B4794">
        <w:rPr>
          <w:rFonts w:ascii="Arial" w:hAnsi="Arial" w:cs="Arial"/>
          <w:noProof/>
          <w:color w:val="000000" w:themeColor="text1"/>
          <w:sz w:val="21"/>
          <w:szCs w:val="21"/>
        </w:rPr>
        <w:t>；第二产业投资增长</w:t>
      </w:r>
      <w:r w:rsidRPr="007B4794">
        <w:rPr>
          <w:rFonts w:ascii="Arial" w:hAnsi="Arial" w:cs="Arial"/>
          <w:noProof/>
          <w:color w:val="000000" w:themeColor="text1"/>
          <w:sz w:val="21"/>
          <w:szCs w:val="21"/>
        </w:rPr>
        <w:t>19.3%</w:t>
      </w:r>
      <w:r w:rsidRPr="007B4794">
        <w:rPr>
          <w:rFonts w:ascii="Arial" w:hAnsi="Arial" w:cs="Arial"/>
          <w:noProof/>
          <w:color w:val="000000" w:themeColor="text1"/>
          <w:sz w:val="21"/>
          <w:szCs w:val="21"/>
        </w:rPr>
        <w:t>，其中，工业投资增长</w:t>
      </w:r>
      <w:r w:rsidRPr="007B4794">
        <w:rPr>
          <w:rFonts w:ascii="Arial" w:hAnsi="Arial" w:cs="Arial"/>
          <w:noProof/>
          <w:color w:val="000000" w:themeColor="text1"/>
          <w:sz w:val="21"/>
          <w:szCs w:val="21"/>
        </w:rPr>
        <w:t>20.4%</w:t>
      </w:r>
      <w:r w:rsidRPr="007B4794">
        <w:rPr>
          <w:rFonts w:ascii="Arial" w:hAnsi="Arial" w:cs="Arial"/>
          <w:noProof/>
          <w:color w:val="000000" w:themeColor="text1"/>
          <w:sz w:val="21"/>
          <w:szCs w:val="21"/>
        </w:rPr>
        <w:t>；第三产业投资下降</w:t>
      </w:r>
      <w:r w:rsidRPr="007B4794">
        <w:rPr>
          <w:rFonts w:ascii="Arial" w:hAnsi="Arial" w:cs="Arial"/>
          <w:noProof/>
          <w:color w:val="000000" w:themeColor="text1"/>
          <w:sz w:val="21"/>
          <w:szCs w:val="21"/>
        </w:rPr>
        <w:t>9.6%</w:t>
      </w:r>
      <w:r w:rsidRPr="007B4794">
        <w:rPr>
          <w:rFonts w:ascii="Arial" w:hAnsi="Arial" w:cs="Arial"/>
          <w:noProof/>
          <w:color w:val="000000" w:themeColor="text1"/>
          <w:sz w:val="21"/>
          <w:szCs w:val="21"/>
        </w:rPr>
        <w:t>。</w:t>
      </w:r>
      <w:r w:rsidRPr="007B4794">
        <w:rPr>
          <w:rFonts w:ascii="Arial" w:hAnsi="Arial" w:cs="Arial" w:hint="eastAsia"/>
          <w:noProof/>
          <w:color w:val="000000" w:themeColor="text1"/>
          <w:sz w:val="21"/>
          <w:szCs w:val="21"/>
        </w:rPr>
        <w:t>全年房地产投资完成额</w:t>
      </w:r>
      <w:r w:rsidRPr="007B4794">
        <w:rPr>
          <w:rFonts w:ascii="Arial" w:hAnsi="Arial" w:cs="Arial"/>
          <w:noProof/>
          <w:color w:val="000000" w:themeColor="text1"/>
          <w:sz w:val="21"/>
          <w:szCs w:val="21"/>
        </w:rPr>
        <w:t>768.71</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7.9%</w:t>
      </w:r>
      <w:r w:rsidRPr="007B4794">
        <w:rPr>
          <w:rFonts w:ascii="Arial" w:hAnsi="Arial" w:cs="Arial"/>
          <w:noProof/>
          <w:color w:val="000000" w:themeColor="text1"/>
          <w:sz w:val="21"/>
          <w:szCs w:val="21"/>
        </w:rPr>
        <w:t>，其中，住宅投资</w:t>
      </w:r>
      <w:r w:rsidRPr="007B4794">
        <w:rPr>
          <w:rFonts w:ascii="Arial" w:hAnsi="Arial" w:cs="Arial"/>
          <w:noProof/>
          <w:color w:val="000000" w:themeColor="text1"/>
          <w:sz w:val="21"/>
          <w:szCs w:val="21"/>
        </w:rPr>
        <w:t>564.10</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3.3%</w:t>
      </w:r>
      <w:r w:rsidRPr="007B4794">
        <w:rPr>
          <w:rFonts w:ascii="Arial" w:hAnsi="Arial" w:cs="Arial"/>
          <w:noProof/>
          <w:color w:val="000000" w:themeColor="text1"/>
          <w:sz w:val="21"/>
          <w:szCs w:val="21"/>
        </w:rPr>
        <w:t>；房屋施工面积</w:t>
      </w:r>
      <w:r w:rsidRPr="007B4794">
        <w:rPr>
          <w:rFonts w:ascii="Arial" w:hAnsi="Arial" w:cs="Arial"/>
          <w:noProof/>
          <w:color w:val="000000" w:themeColor="text1"/>
          <w:sz w:val="21"/>
          <w:szCs w:val="21"/>
        </w:rPr>
        <w:t>4447.80</w:t>
      </w:r>
      <w:r w:rsidRPr="007B4794">
        <w:rPr>
          <w:rFonts w:ascii="Arial" w:hAnsi="Arial" w:cs="Arial"/>
          <w:noProof/>
          <w:color w:val="000000" w:themeColor="text1"/>
          <w:sz w:val="21"/>
          <w:szCs w:val="21"/>
        </w:rPr>
        <w:t>万平方米，增长</w:t>
      </w:r>
      <w:r w:rsidRPr="007B4794">
        <w:rPr>
          <w:rFonts w:ascii="Arial" w:hAnsi="Arial" w:cs="Arial"/>
          <w:noProof/>
          <w:color w:val="000000" w:themeColor="text1"/>
          <w:sz w:val="21"/>
          <w:szCs w:val="21"/>
        </w:rPr>
        <w:t>2.2%</w:t>
      </w:r>
      <w:r w:rsidRPr="007B4794">
        <w:rPr>
          <w:rFonts w:ascii="Arial" w:hAnsi="Arial" w:cs="Arial"/>
          <w:noProof/>
          <w:color w:val="000000" w:themeColor="text1"/>
          <w:sz w:val="21"/>
          <w:szCs w:val="21"/>
        </w:rPr>
        <w:t>，其中，住宅施工面积</w:t>
      </w:r>
      <w:r w:rsidRPr="007B4794">
        <w:rPr>
          <w:rFonts w:ascii="Arial" w:hAnsi="Arial" w:cs="Arial"/>
          <w:noProof/>
          <w:color w:val="000000" w:themeColor="text1"/>
          <w:sz w:val="21"/>
          <w:szCs w:val="21"/>
        </w:rPr>
        <w:t>3245.95</w:t>
      </w:r>
      <w:r w:rsidRPr="007B4794">
        <w:rPr>
          <w:rFonts w:ascii="Arial" w:hAnsi="Arial" w:cs="Arial"/>
          <w:noProof/>
          <w:color w:val="000000" w:themeColor="text1"/>
          <w:sz w:val="21"/>
          <w:szCs w:val="21"/>
        </w:rPr>
        <w:t>万平方米，增长</w:t>
      </w:r>
      <w:r w:rsidRPr="007B4794">
        <w:rPr>
          <w:rFonts w:ascii="Arial" w:hAnsi="Arial" w:cs="Arial"/>
          <w:noProof/>
          <w:color w:val="000000" w:themeColor="text1"/>
          <w:sz w:val="21"/>
          <w:szCs w:val="21"/>
        </w:rPr>
        <w:t>2.6%</w:t>
      </w:r>
      <w:r w:rsidRPr="007B4794">
        <w:rPr>
          <w:rFonts w:ascii="Arial" w:hAnsi="Arial" w:cs="Arial"/>
          <w:noProof/>
          <w:color w:val="000000" w:themeColor="text1"/>
          <w:sz w:val="21"/>
          <w:szCs w:val="21"/>
        </w:rPr>
        <w:t>；房屋新开工面积</w:t>
      </w:r>
      <w:r w:rsidRPr="007B4794">
        <w:rPr>
          <w:rFonts w:ascii="Arial" w:hAnsi="Arial" w:cs="Arial"/>
          <w:noProof/>
          <w:color w:val="000000" w:themeColor="text1"/>
          <w:sz w:val="21"/>
          <w:szCs w:val="21"/>
        </w:rPr>
        <w:t>1004.60</w:t>
      </w:r>
      <w:r w:rsidRPr="007B4794">
        <w:rPr>
          <w:rFonts w:ascii="Arial" w:hAnsi="Arial" w:cs="Arial"/>
          <w:noProof/>
          <w:color w:val="000000" w:themeColor="text1"/>
          <w:sz w:val="21"/>
          <w:szCs w:val="21"/>
        </w:rPr>
        <w:t>万平方米，下降</w:t>
      </w:r>
      <w:r w:rsidRPr="007B4794">
        <w:rPr>
          <w:rFonts w:ascii="Arial" w:hAnsi="Arial" w:cs="Arial"/>
          <w:noProof/>
          <w:color w:val="000000" w:themeColor="text1"/>
          <w:sz w:val="21"/>
          <w:szCs w:val="21"/>
        </w:rPr>
        <w:t>10.4%</w:t>
      </w:r>
      <w:r w:rsidRPr="007B4794">
        <w:rPr>
          <w:rFonts w:ascii="Arial" w:hAnsi="Arial" w:cs="Arial"/>
          <w:noProof/>
          <w:color w:val="000000" w:themeColor="text1"/>
          <w:sz w:val="21"/>
          <w:szCs w:val="21"/>
        </w:rPr>
        <w:t>，其中，住宅新开工面积</w:t>
      </w:r>
      <w:r w:rsidRPr="007B4794">
        <w:rPr>
          <w:rFonts w:ascii="Arial" w:hAnsi="Arial" w:cs="Arial"/>
          <w:noProof/>
          <w:color w:val="000000" w:themeColor="text1"/>
          <w:sz w:val="21"/>
          <w:szCs w:val="21"/>
        </w:rPr>
        <w:t>710.35</w:t>
      </w:r>
      <w:r w:rsidRPr="007B4794">
        <w:rPr>
          <w:rFonts w:ascii="Arial" w:hAnsi="Arial" w:cs="Arial"/>
          <w:noProof/>
          <w:color w:val="000000" w:themeColor="text1"/>
          <w:sz w:val="21"/>
          <w:szCs w:val="21"/>
        </w:rPr>
        <w:t>万平方米，下降</w:t>
      </w:r>
      <w:r w:rsidRPr="007B4794">
        <w:rPr>
          <w:rFonts w:ascii="Arial" w:hAnsi="Arial" w:cs="Arial"/>
          <w:noProof/>
          <w:color w:val="000000" w:themeColor="text1"/>
          <w:sz w:val="21"/>
          <w:szCs w:val="21"/>
        </w:rPr>
        <w:t>18.0%</w:t>
      </w:r>
      <w:r w:rsidRPr="007B4794">
        <w:rPr>
          <w:rFonts w:ascii="Arial" w:hAnsi="Arial" w:cs="Arial"/>
          <w:noProof/>
          <w:color w:val="000000" w:themeColor="text1"/>
          <w:sz w:val="21"/>
          <w:szCs w:val="21"/>
        </w:rPr>
        <w:t>；房屋竣工面积</w:t>
      </w:r>
      <w:r w:rsidRPr="007B4794">
        <w:rPr>
          <w:rFonts w:ascii="Arial" w:hAnsi="Arial" w:cs="Arial"/>
          <w:noProof/>
          <w:color w:val="000000" w:themeColor="text1"/>
          <w:sz w:val="21"/>
          <w:szCs w:val="21"/>
        </w:rPr>
        <w:t>656.58</w:t>
      </w:r>
      <w:r w:rsidRPr="007B4794">
        <w:rPr>
          <w:rFonts w:ascii="Arial" w:hAnsi="Arial" w:cs="Arial"/>
          <w:noProof/>
          <w:color w:val="000000" w:themeColor="text1"/>
          <w:sz w:val="21"/>
          <w:szCs w:val="21"/>
        </w:rPr>
        <w:t>万平方米，下降</w:t>
      </w:r>
      <w:r w:rsidRPr="007B4794">
        <w:rPr>
          <w:rFonts w:ascii="Arial" w:hAnsi="Arial" w:cs="Arial"/>
          <w:noProof/>
          <w:color w:val="000000" w:themeColor="text1"/>
          <w:sz w:val="21"/>
          <w:szCs w:val="21"/>
        </w:rPr>
        <w:t>3.5%</w:t>
      </w:r>
      <w:r w:rsidRPr="007B4794">
        <w:rPr>
          <w:rFonts w:ascii="Arial" w:hAnsi="Arial" w:cs="Arial"/>
          <w:noProof/>
          <w:color w:val="000000" w:themeColor="text1"/>
          <w:sz w:val="21"/>
          <w:szCs w:val="21"/>
        </w:rPr>
        <w:t>，其中，住宅竣工面积</w:t>
      </w:r>
      <w:r w:rsidRPr="007B4794">
        <w:rPr>
          <w:rFonts w:ascii="Arial" w:hAnsi="Arial" w:cs="Arial"/>
          <w:noProof/>
          <w:color w:val="000000" w:themeColor="text1"/>
          <w:sz w:val="21"/>
          <w:szCs w:val="21"/>
        </w:rPr>
        <w:t>442.54</w:t>
      </w:r>
      <w:r w:rsidRPr="007B4794">
        <w:rPr>
          <w:rFonts w:ascii="Arial" w:hAnsi="Arial" w:cs="Arial"/>
          <w:noProof/>
          <w:color w:val="000000" w:themeColor="text1"/>
          <w:sz w:val="21"/>
          <w:szCs w:val="21"/>
        </w:rPr>
        <w:t>万平方米，下降</w:t>
      </w:r>
      <w:r w:rsidRPr="007B4794">
        <w:rPr>
          <w:rFonts w:ascii="Arial" w:hAnsi="Arial" w:cs="Arial"/>
          <w:noProof/>
          <w:color w:val="000000" w:themeColor="text1"/>
          <w:sz w:val="21"/>
          <w:szCs w:val="21"/>
        </w:rPr>
        <w:t>8.5%</w:t>
      </w:r>
      <w:r w:rsidRPr="007B4794">
        <w:rPr>
          <w:rFonts w:ascii="Arial" w:hAnsi="Arial" w:cs="Arial"/>
          <w:noProof/>
          <w:color w:val="000000" w:themeColor="text1"/>
          <w:sz w:val="21"/>
          <w:szCs w:val="21"/>
        </w:rPr>
        <w:t>。</w:t>
      </w:r>
    </w:p>
    <w:p w14:paraId="64F1BD5E" w14:textId="4FBE8834" w:rsidR="00786D68" w:rsidRPr="007B4794" w:rsidRDefault="00786D68"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6</w:t>
      </w:r>
      <w:r w:rsidRPr="007B4794">
        <w:rPr>
          <w:rFonts w:ascii="Arial" w:hAnsi="Arial" w:cs="Arial" w:hint="eastAsia"/>
          <w:noProof/>
          <w:color w:val="000000" w:themeColor="text1"/>
          <w:sz w:val="21"/>
          <w:szCs w:val="21"/>
        </w:rPr>
        <w:t>、对外经济</w:t>
      </w:r>
    </w:p>
    <w:p w14:paraId="07CCEF5F" w14:textId="78BE7B9B" w:rsidR="00786D68" w:rsidRPr="007B4794" w:rsidRDefault="002F4613"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2019</w:t>
      </w:r>
      <w:r w:rsidR="00786D68" w:rsidRPr="007B4794">
        <w:rPr>
          <w:rFonts w:ascii="Arial" w:hAnsi="Arial" w:cs="Arial" w:hint="eastAsia"/>
          <w:noProof/>
          <w:color w:val="000000" w:themeColor="text1"/>
          <w:sz w:val="21"/>
          <w:szCs w:val="21"/>
        </w:rPr>
        <w:t>年进出口总额</w:t>
      </w:r>
      <w:r w:rsidR="00786D68" w:rsidRPr="007B4794">
        <w:rPr>
          <w:rFonts w:ascii="Arial" w:hAnsi="Arial" w:cs="Arial"/>
          <w:noProof/>
          <w:color w:val="000000" w:themeColor="text1"/>
          <w:sz w:val="21"/>
          <w:szCs w:val="21"/>
        </w:rPr>
        <w:t>725.8</w:t>
      </w:r>
      <w:r w:rsidR="00786D68" w:rsidRPr="007B4794">
        <w:rPr>
          <w:rFonts w:ascii="Arial" w:hAnsi="Arial" w:cs="Arial"/>
          <w:noProof/>
          <w:color w:val="000000" w:themeColor="text1"/>
          <w:sz w:val="21"/>
          <w:szCs w:val="21"/>
        </w:rPr>
        <w:t>亿元，比上年增长</w:t>
      </w:r>
      <w:r w:rsidR="00786D68" w:rsidRPr="007B4794">
        <w:rPr>
          <w:rFonts w:ascii="Arial" w:hAnsi="Arial" w:cs="Arial"/>
          <w:noProof/>
          <w:color w:val="000000" w:themeColor="text1"/>
          <w:sz w:val="21"/>
          <w:szCs w:val="21"/>
        </w:rPr>
        <w:t>4.6%</w:t>
      </w:r>
      <w:r w:rsidR="00786D68" w:rsidRPr="007B4794">
        <w:rPr>
          <w:rFonts w:ascii="Arial" w:hAnsi="Arial" w:cs="Arial"/>
          <w:noProof/>
          <w:color w:val="000000" w:themeColor="text1"/>
          <w:sz w:val="21"/>
          <w:szCs w:val="21"/>
        </w:rPr>
        <w:t>。其中，出口</w:t>
      </w:r>
      <w:r w:rsidR="00786D68" w:rsidRPr="007B4794">
        <w:rPr>
          <w:rFonts w:ascii="Arial" w:hAnsi="Arial" w:cs="Arial"/>
          <w:noProof/>
          <w:color w:val="000000" w:themeColor="text1"/>
          <w:sz w:val="21"/>
          <w:szCs w:val="21"/>
        </w:rPr>
        <w:t>469.6</w:t>
      </w:r>
      <w:r w:rsidR="00786D68" w:rsidRPr="007B4794">
        <w:rPr>
          <w:rFonts w:ascii="Arial" w:hAnsi="Arial" w:cs="Arial"/>
          <w:noProof/>
          <w:color w:val="000000" w:themeColor="text1"/>
          <w:sz w:val="21"/>
          <w:szCs w:val="21"/>
        </w:rPr>
        <w:t>亿元，下降</w:t>
      </w:r>
      <w:r w:rsidR="00786D68" w:rsidRPr="007B4794">
        <w:rPr>
          <w:rFonts w:ascii="Arial" w:hAnsi="Arial" w:cs="Arial"/>
          <w:noProof/>
          <w:color w:val="000000" w:themeColor="text1"/>
          <w:sz w:val="21"/>
          <w:szCs w:val="21"/>
        </w:rPr>
        <w:t>12.0%</w:t>
      </w:r>
      <w:r w:rsidR="00786D68" w:rsidRPr="007B4794">
        <w:rPr>
          <w:rFonts w:ascii="Arial" w:hAnsi="Arial" w:cs="Arial"/>
          <w:noProof/>
          <w:color w:val="000000" w:themeColor="text1"/>
          <w:sz w:val="21"/>
          <w:szCs w:val="21"/>
        </w:rPr>
        <w:t>；进口</w:t>
      </w:r>
      <w:r w:rsidR="00786D68" w:rsidRPr="007B4794">
        <w:rPr>
          <w:rFonts w:ascii="Arial" w:hAnsi="Arial" w:cs="Arial"/>
          <w:noProof/>
          <w:color w:val="000000" w:themeColor="text1"/>
          <w:sz w:val="21"/>
          <w:szCs w:val="21"/>
        </w:rPr>
        <w:t>256.2</w:t>
      </w:r>
      <w:r w:rsidR="00786D68" w:rsidRPr="007B4794">
        <w:rPr>
          <w:rFonts w:ascii="Arial" w:hAnsi="Arial" w:cs="Arial"/>
          <w:noProof/>
          <w:color w:val="000000" w:themeColor="text1"/>
          <w:sz w:val="21"/>
          <w:szCs w:val="21"/>
        </w:rPr>
        <w:t>亿元，增长</w:t>
      </w:r>
      <w:r w:rsidR="00786D68" w:rsidRPr="007B4794">
        <w:rPr>
          <w:rFonts w:ascii="Arial" w:hAnsi="Arial" w:cs="Arial"/>
          <w:noProof/>
          <w:color w:val="000000" w:themeColor="text1"/>
          <w:sz w:val="21"/>
          <w:szCs w:val="21"/>
        </w:rPr>
        <w:t>60.1%</w:t>
      </w:r>
      <w:r w:rsidR="00786D68" w:rsidRPr="007B4794">
        <w:rPr>
          <w:rFonts w:ascii="Arial" w:hAnsi="Arial" w:cs="Arial"/>
          <w:noProof/>
          <w:color w:val="000000" w:themeColor="text1"/>
          <w:sz w:val="21"/>
          <w:szCs w:val="21"/>
        </w:rPr>
        <w:t>。进出口顺差</w:t>
      </w:r>
      <w:r w:rsidR="00786D68" w:rsidRPr="007B4794">
        <w:rPr>
          <w:rFonts w:ascii="Arial" w:hAnsi="Arial" w:cs="Arial"/>
          <w:noProof/>
          <w:color w:val="000000" w:themeColor="text1"/>
          <w:sz w:val="21"/>
          <w:szCs w:val="21"/>
        </w:rPr>
        <w:t>213.4</w:t>
      </w:r>
      <w:r w:rsidR="00786D68" w:rsidRPr="007B4794">
        <w:rPr>
          <w:rFonts w:ascii="Arial" w:hAnsi="Arial" w:cs="Arial"/>
          <w:noProof/>
          <w:color w:val="000000" w:themeColor="text1"/>
          <w:sz w:val="21"/>
          <w:szCs w:val="21"/>
        </w:rPr>
        <w:t>亿元，比上年减少</w:t>
      </w:r>
      <w:r w:rsidR="00786D68" w:rsidRPr="007B4794">
        <w:rPr>
          <w:rFonts w:ascii="Arial" w:hAnsi="Arial" w:cs="Arial"/>
          <w:noProof/>
          <w:color w:val="000000" w:themeColor="text1"/>
          <w:sz w:val="21"/>
          <w:szCs w:val="21"/>
        </w:rPr>
        <w:t>160.4</w:t>
      </w:r>
      <w:r w:rsidR="00786D68" w:rsidRPr="007B4794">
        <w:rPr>
          <w:rFonts w:ascii="Arial" w:hAnsi="Arial" w:cs="Arial"/>
          <w:noProof/>
          <w:color w:val="000000" w:themeColor="text1"/>
          <w:sz w:val="21"/>
          <w:szCs w:val="21"/>
        </w:rPr>
        <w:t>亿元。主要出口商品中，机电产品出口</w:t>
      </w:r>
      <w:r w:rsidR="00786D68" w:rsidRPr="007B4794">
        <w:rPr>
          <w:rFonts w:ascii="Arial" w:hAnsi="Arial" w:cs="Arial"/>
          <w:noProof/>
          <w:color w:val="000000" w:themeColor="text1"/>
          <w:sz w:val="21"/>
          <w:szCs w:val="21"/>
        </w:rPr>
        <w:t>124.5</w:t>
      </w:r>
      <w:r w:rsidR="00786D68" w:rsidRPr="007B4794">
        <w:rPr>
          <w:rFonts w:ascii="Arial" w:hAnsi="Arial" w:cs="Arial"/>
          <w:noProof/>
          <w:color w:val="000000" w:themeColor="text1"/>
          <w:sz w:val="21"/>
          <w:szCs w:val="21"/>
        </w:rPr>
        <w:t>亿元，下降</w:t>
      </w:r>
      <w:r w:rsidR="00786D68" w:rsidRPr="007B4794">
        <w:rPr>
          <w:rFonts w:ascii="Arial" w:hAnsi="Arial" w:cs="Arial"/>
          <w:noProof/>
          <w:color w:val="000000" w:themeColor="text1"/>
          <w:sz w:val="21"/>
          <w:szCs w:val="21"/>
        </w:rPr>
        <w:t>11.0%</w:t>
      </w:r>
      <w:r w:rsidR="00786D68" w:rsidRPr="007B4794">
        <w:rPr>
          <w:rFonts w:ascii="Arial" w:hAnsi="Arial" w:cs="Arial"/>
          <w:noProof/>
          <w:color w:val="000000" w:themeColor="text1"/>
          <w:sz w:val="21"/>
          <w:szCs w:val="21"/>
        </w:rPr>
        <w:t>；农产品出口</w:t>
      </w:r>
      <w:r w:rsidR="00786D68" w:rsidRPr="007B4794">
        <w:rPr>
          <w:rFonts w:ascii="Arial" w:hAnsi="Arial" w:cs="Arial"/>
          <w:noProof/>
          <w:color w:val="000000" w:themeColor="text1"/>
          <w:sz w:val="21"/>
          <w:szCs w:val="21"/>
        </w:rPr>
        <w:t>182.6</w:t>
      </w:r>
      <w:r w:rsidR="00786D68" w:rsidRPr="007B4794">
        <w:rPr>
          <w:rFonts w:ascii="Arial" w:hAnsi="Arial" w:cs="Arial"/>
          <w:noProof/>
          <w:color w:val="000000" w:themeColor="text1"/>
          <w:sz w:val="21"/>
          <w:szCs w:val="21"/>
        </w:rPr>
        <w:t>亿元，下降</w:t>
      </w:r>
      <w:r w:rsidR="00786D68" w:rsidRPr="007B4794">
        <w:rPr>
          <w:rFonts w:ascii="Arial" w:hAnsi="Arial" w:cs="Arial"/>
          <w:noProof/>
          <w:color w:val="000000" w:themeColor="text1"/>
          <w:sz w:val="21"/>
          <w:szCs w:val="21"/>
        </w:rPr>
        <w:t>18%</w:t>
      </w:r>
      <w:r w:rsidR="00786D68" w:rsidRPr="007B4794">
        <w:rPr>
          <w:rFonts w:ascii="Arial" w:hAnsi="Arial" w:cs="Arial"/>
          <w:noProof/>
          <w:color w:val="000000" w:themeColor="text1"/>
          <w:sz w:val="21"/>
          <w:szCs w:val="21"/>
        </w:rPr>
        <w:t>；高新技术产品出口</w:t>
      </w:r>
      <w:r w:rsidR="00786D68" w:rsidRPr="007B4794">
        <w:rPr>
          <w:rFonts w:ascii="Arial" w:hAnsi="Arial" w:cs="Arial"/>
          <w:noProof/>
          <w:color w:val="000000" w:themeColor="text1"/>
          <w:sz w:val="21"/>
          <w:szCs w:val="21"/>
        </w:rPr>
        <w:t>21.8</w:t>
      </w:r>
      <w:r w:rsidR="00786D68" w:rsidRPr="007B4794">
        <w:rPr>
          <w:rFonts w:ascii="Arial" w:hAnsi="Arial" w:cs="Arial"/>
          <w:noProof/>
          <w:color w:val="000000" w:themeColor="text1"/>
          <w:sz w:val="21"/>
          <w:szCs w:val="21"/>
        </w:rPr>
        <w:t>亿元，增长</w:t>
      </w:r>
      <w:r w:rsidR="00786D68" w:rsidRPr="007B4794">
        <w:rPr>
          <w:rFonts w:ascii="Arial" w:hAnsi="Arial" w:cs="Arial"/>
          <w:noProof/>
          <w:color w:val="000000" w:themeColor="text1"/>
          <w:sz w:val="21"/>
          <w:szCs w:val="21"/>
        </w:rPr>
        <w:t>7.4%</w:t>
      </w:r>
      <w:r w:rsidR="00786D68" w:rsidRPr="007B4794">
        <w:rPr>
          <w:rFonts w:ascii="Arial" w:hAnsi="Arial" w:cs="Arial"/>
          <w:noProof/>
          <w:color w:val="000000" w:themeColor="text1"/>
          <w:sz w:val="21"/>
          <w:szCs w:val="21"/>
        </w:rPr>
        <w:t>。主要出口目的地中，出口美国</w:t>
      </w:r>
      <w:r w:rsidR="00786D68" w:rsidRPr="007B4794">
        <w:rPr>
          <w:rFonts w:ascii="Arial" w:hAnsi="Arial" w:cs="Arial"/>
          <w:noProof/>
          <w:color w:val="000000" w:themeColor="text1"/>
          <w:sz w:val="21"/>
          <w:szCs w:val="21"/>
        </w:rPr>
        <w:t>101.9</w:t>
      </w:r>
      <w:r w:rsidR="00786D68" w:rsidRPr="007B4794">
        <w:rPr>
          <w:rFonts w:ascii="Arial" w:hAnsi="Arial" w:cs="Arial"/>
          <w:noProof/>
          <w:color w:val="000000" w:themeColor="text1"/>
          <w:sz w:val="21"/>
          <w:szCs w:val="21"/>
        </w:rPr>
        <w:t>亿元，下降</w:t>
      </w:r>
      <w:r w:rsidR="00786D68" w:rsidRPr="007B4794">
        <w:rPr>
          <w:rFonts w:ascii="Arial" w:hAnsi="Arial" w:cs="Arial"/>
          <w:noProof/>
          <w:color w:val="000000" w:themeColor="text1"/>
          <w:sz w:val="21"/>
          <w:szCs w:val="21"/>
        </w:rPr>
        <w:t>6.2%</w:t>
      </w:r>
      <w:r w:rsidR="00786D68" w:rsidRPr="007B4794">
        <w:rPr>
          <w:rFonts w:ascii="Arial" w:hAnsi="Arial" w:cs="Arial"/>
          <w:noProof/>
          <w:color w:val="000000" w:themeColor="text1"/>
          <w:sz w:val="21"/>
          <w:szCs w:val="21"/>
        </w:rPr>
        <w:t>，出口欧盟</w:t>
      </w:r>
      <w:r w:rsidR="00786D68" w:rsidRPr="007B4794">
        <w:rPr>
          <w:rFonts w:ascii="Arial" w:hAnsi="Arial" w:cs="Arial"/>
          <w:noProof/>
          <w:color w:val="000000" w:themeColor="text1"/>
          <w:sz w:val="21"/>
          <w:szCs w:val="21"/>
        </w:rPr>
        <w:t>80.1</w:t>
      </w:r>
      <w:r w:rsidR="00786D68" w:rsidRPr="007B4794">
        <w:rPr>
          <w:rFonts w:ascii="Arial" w:hAnsi="Arial" w:cs="Arial"/>
          <w:noProof/>
          <w:color w:val="000000" w:themeColor="text1"/>
          <w:sz w:val="21"/>
          <w:szCs w:val="21"/>
        </w:rPr>
        <w:t>亿元，增长</w:t>
      </w:r>
      <w:r w:rsidR="00786D68" w:rsidRPr="007B4794">
        <w:rPr>
          <w:rFonts w:ascii="Arial" w:hAnsi="Arial" w:cs="Arial"/>
          <w:noProof/>
          <w:color w:val="000000" w:themeColor="text1"/>
          <w:sz w:val="21"/>
          <w:szCs w:val="21"/>
        </w:rPr>
        <w:t>3.4%</w:t>
      </w:r>
      <w:r w:rsidR="00786D68" w:rsidRPr="007B4794">
        <w:rPr>
          <w:rFonts w:ascii="Arial" w:hAnsi="Arial" w:cs="Arial"/>
          <w:noProof/>
          <w:color w:val="000000" w:themeColor="text1"/>
          <w:sz w:val="21"/>
          <w:szCs w:val="21"/>
        </w:rPr>
        <w:t>，出口东盟</w:t>
      </w:r>
      <w:r w:rsidR="00786D68" w:rsidRPr="007B4794">
        <w:rPr>
          <w:rFonts w:ascii="Arial" w:hAnsi="Arial" w:cs="Arial"/>
          <w:noProof/>
          <w:color w:val="000000" w:themeColor="text1"/>
          <w:sz w:val="21"/>
          <w:szCs w:val="21"/>
        </w:rPr>
        <w:t>72.7</w:t>
      </w:r>
      <w:r w:rsidR="00786D68" w:rsidRPr="007B4794">
        <w:rPr>
          <w:rFonts w:ascii="Arial" w:hAnsi="Arial" w:cs="Arial"/>
          <w:noProof/>
          <w:color w:val="000000" w:themeColor="text1"/>
          <w:sz w:val="21"/>
          <w:szCs w:val="21"/>
        </w:rPr>
        <w:t>亿元，下降</w:t>
      </w:r>
      <w:r w:rsidR="00786D68" w:rsidRPr="007B4794">
        <w:rPr>
          <w:rFonts w:ascii="Arial" w:hAnsi="Arial" w:cs="Arial"/>
          <w:noProof/>
          <w:color w:val="000000" w:themeColor="text1"/>
          <w:sz w:val="21"/>
          <w:szCs w:val="21"/>
        </w:rPr>
        <w:t>11.6%</w:t>
      </w:r>
      <w:r w:rsidR="00786D68" w:rsidRPr="007B4794">
        <w:rPr>
          <w:rFonts w:ascii="Arial" w:hAnsi="Arial" w:cs="Arial"/>
          <w:noProof/>
          <w:color w:val="000000" w:themeColor="text1"/>
          <w:sz w:val="21"/>
          <w:szCs w:val="21"/>
        </w:rPr>
        <w:t>。</w:t>
      </w:r>
    </w:p>
    <w:p w14:paraId="5B7C1F03" w14:textId="0EC61491" w:rsidR="00786D68" w:rsidRPr="007B4794" w:rsidRDefault="00786D68"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批准设立外商直接投资项目</w:t>
      </w:r>
      <w:r w:rsidRPr="007B4794">
        <w:rPr>
          <w:rFonts w:ascii="Arial" w:hAnsi="Arial" w:cs="Arial"/>
          <w:noProof/>
          <w:color w:val="000000" w:themeColor="text1"/>
          <w:sz w:val="21"/>
          <w:szCs w:val="21"/>
        </w:rPr>
        <w:t>109</w:t>
      </w:r>
      <w:r w:rsidRPr="007B4794">
        <w:rPr>
          <w:rFonts w:ascii="Arial" w:hAnsi="Arial" w:cs="Arial"/>
          <w:noProof/>
          <w:color w:val="000000" w:themeColor="text1"/>
          <w:sz w:val="21"/>
          <w:szCs w:val="21"/>
        </w:rPr>
        <w:t>个，注册合同外资</w:t>
      </w:r>
      <w:r w:rsidRPr="007B4794">
        <w:rPr>
          <w:rFonts w:ascii="Arial" w:hAnsi="Arial" w:cs="Arial"/>
          <w:noProof/>
          <w:color w:val="000000" w:themeColor="text1"/>
          <w:sz w:val="21"/>
          <w:szCs w:val="21"/>
        </w:rPr>
        <w:t>58.5</w:t>
      </w:r>
      <w:r w:rsidRPr="007B4794">
        <w:rPr>
          <w:rFonts w:ascii="Arial" w:hAnsi="Arial" w:cs="Arial"/>
          <w:noProof/>
          <w:color w:val="000000" w:themeColor="text1"/>
          <w:sz w:val="21"/>
          <w:szCs w:val="21"/>
        </w:rPr>
        <w:t>亿元，下降</w:t>
      </w:r>
      <w:r w:rsidRPr="007B4794">
        <w:rPr>
          <w:rFonts w:ascii="Arial" w:hAnsi="Arial" w:cs="Arial"/>
          <w:noProof/>
          <w:color w:val="000000" w:themeColor="text1"/>
          <w:sz w:val="21"/>
          <w:szCs w:val="21"/>
        </w:rPr>
        <w:t>24.1%</w:t>
      </w:r>
      <w:r w:rsidRPr="007B4794">
        <w:rPr>
          <w:rFonts w:ascii="Arial" w:hAnsi="Arial" w:cs="Arial"/>
          <w:noProof/>
          <w:color w:val="000000" w:themeColor="text1"/>
          <w:sz w:val="21"/>
          <w:szCs w:val="21"/>
        </w:rPr>
        <w:t>。实际利用外商投资（验资口径）</w:t>
      </w:r>
      <w:r w:rsidRPr="007B4794">
        <w:rPr>
          <w:rFonts w:ascii="Arial" w:hAnsi="Arial" w:cs="Arial"/>
          <w:noProof/>
          <w:color w:val="000000" w:themeColor="text1"/>
          <w:sz w:val="21"/>
          <w:szCs w:val="21"/>
        </w:rPr>
        <w:t>38.1</w:t>
      </w:r>
      <w:r w:rsidRPr="007B4794">
        <w:rPr>
          <w:rFonts w:ascii="Arial" w:hAnsi="Arial" w:cs="Arial"/>
          <w:noProof/>
          <w:color w:val="000000" w:themeColor="text1"/>
          <w:sz w:val="21"/>
          <w:szCs w:val="21"/>
        </w:rPr>
        <w:t>亿元，下降</w:t>
      </w:r>
      <w:r w:rsidRPr="007B4794">
        <w:rPr>
          <w:rFonts w:ascii="Arial" w:hAnsi="Arial" w:cs="Arial"/>
          <w:noProof/>
          <w:color w:val="000000" w:themeColor="text1"/>
          <w:sz w:val="21"/>
          <w:szCs w:val="21"/>
        </w:rPr>
        <w:t>16.6%</w:t>
      </w:r>
      <w:r w:rsidRPr="007B4794">
        <w:rPr>
          <w:rFonts w:ascii="Arial" w:hAnsi="Arial" w:cs="Arial"/>
          <w:noProof/>
          <w:color w:val="000000" w:themeColor="text1"/>
          <w:sz w:val="21"/>
          <w:szCs w:val="21"/>
        </w:rPr>
        <w:t>。其中，第一产业项目到资</w:t>
      </w:r>
      <w:r w:rsidRPr="007B4794">
        <w:rPr>
          <w:rFonts w:ascii="Arial" w:hAnsi="Arial" w:cs="Arial"/>
          <w:noProof/>
          <w:color w:val="000000" w:themeColor="text1"/>
          <w:sz w:val="21"/>
          <w:szCs w:val="21"/>
        </w:rPr>
        <w:t>0.4</w:t>
      </w:r>
      <w:r w:rsidRPr="007B4794">
        <w:rPr>
          <w:rFonts w:ascii="Arial" w:hAnsi="Arial" w:cs="Arial"/>
          <w:noProof/>
          <w:color w:val="000000" w:themeColor="text1"/>
          <w:sz w:val="21"/>
          <w:szCs w:val="21"/>
        </w:rPr>
        <w:t>亿元；第二产业项目到资</w:t>
      </w:r>
      <w:r w:rsidRPr="007B4794">
        <w:rPr>
          <w:rFonts w:ascii="Arial" w:hAnsi="Arial" w:cs="Arial"/>
          <w:noProof/>
          <w:color w:val="000000" w:themeColor="text1"/>
          <w:sz w:val="21"/>
          <w:szCs w:val="21"/>
        </w:rPr>
        <w:t>34.9</w:t>
      </w:r>
      <w:r w:rsidRPr="007B4794">
        <w:rPr>
          <w:rFonts w:ascii="Arial" w:hAnsi="Arial" w:cs="Arial"/>
          <w:noProof/>
          <w:color w:val="000000" w:themeColor="text1"/>
          <w:sz w:val="21"/>
          <w:szCs w:val="21"/>
        </w:rPr>
        <w:t>亿元，占比</w:t>
      </w:r>
      <w:r w:rsidRPr="007B4794">
        <w:rPr>
          <w:rFonts w:ascii="Arial" w:hAnsi="Arial" w:cs="Arial"/>
          <w:noProof/>
          <w:color w:val="000000" w:themeColor="text1"/>
          <w:sz w:val="21"/>
          <w:szCs w:val="21"/>
        </w:rPr>
        <w:t>91.6%</w:t>
      </w:r>
      <w:r w:rsidRPr="007B4794">
        <w:rPr>
          <w:rFonts w:ascii="Arial" w:hAnsi="Arial" w:cs="Arial"/>
          <w:noProof/>
          <w:color w:val="000000" w:themeColor="text1"/>
          <w:sz w:val="21"/>
          <w:szCs w:val="21"/>
        </w:rPr>
        <w:t>；第三产业到资</w:t>
      </w:r>
      <w:r w:rsidRPr="007B4794">
        <w:rPr>
          <w:rFonts w:ascii="Arial" w:hAnsi="Arial" w:cs="Arial"/>
          <w:noProof/>
          <w:color w:val="000000" w:themeColor="text1"/>
          <w:sz w:val="21"/>
          <w:szCs w:val="21"/>
        </w:rPr>
        <w:t>2.7</w:t>
      </w:r>
      <w:r w:rsidRPr="007B4794">
        <w:rPr>
          <w:rFonts w:ascii="Arial" w:hAnsi="Arial" w:cs="Arial"/>
          <w:noProof/>
          <w:color w:val="000000" w:themeColor="text1"/>
          <w:sz w:val="21"/>
          <w:szCs w:val="21"/>
        </w:rPr>
        <w:t>亿元。投资总额在亿元以上有</w:t>
      </w:r>
      <w:r w:rsidRPr="007B4794">
        <w:rPr>
          <w:rFonts w:ascii="Arial" w:hAnsi="Arial" w:cs="Arial"/>
          <w:noProof/>
          <w:color w:val="000000" w:themeColor="text1"/>
          <w:sz w:val="21"/>
          <w:szCs w:val="21"/>
        </w:rPr>
        <w:t>18</w:t>
      </w:r>
      <w:r w:rsidRPr="007B4794">
        <w:rPr>
          <w:rFonts w:ascii="Arial" w:hAnsi="Arial" w:cs="Arial"/>
          <w:noProof/>
          <w:color w:val="000000" w:themeColor="text1"/>
          <w:sz w:val="21"/>
          <w:szCs w:val="21"/>
        </w:rPr>
        <w:t>家（包括增资</w:t>
      </w:r>
      <w:r w:rsidRPr="007B4794">
        <w:rPr>
          <w:rFonts w:ascii="Arial" w:hAnsi="Arial" w:cs="Arial"/>
          <w:noProof/>
          <w:color w:val="000000" w:themeColor="text1"/>
          <w:sz w:val="21"/>
          <w:szCs w:val="21"/>
        </w:rPr>
        <w:t>3</w:t>
      </w:r>
      <w:r w:rsidRPr="007B4794">
        <w:rPr>
          <w:rFonts w:ascii="Arial" w:hAnsi="Arial" w:cs="Arial"/>
          <w:noProof/>
          <w:color w:val="000000" w:themeColor="text1"/>
          <w:sz w:val="21"/>
          <w:szCs w:val="21"/>
        </w:rPr>
        <w:t>家），合同外资合计</w:t>
      </w:r>
      <w:r w:rsidRPr="007B4794">
        <w:rPr>
          <w:rFonts w:ascii="Arial" w:hAnsi="Arial" w:cs="Arial"/>
          <w:noProof/>
          <w:color w:val="000000" w:themeColor="text1"/>
          <w:sz w:val="21"/>
          <w:szCs w:val="21"/>
        </w:rPr>
        <w:t>44.7</w:t>
      </w:r>
      <w:r w:rsidRPr="007B4794">
        <w:rPr>
          <w:rFonts w:ascii="Arial" w:hAnsi="Arial" w:cs="Arial"/>
          <w:noProof/>
          <w:color w:val="000000" w:themeColor="text1"/>
          <w:sz w:val="21"/>
          <w:szCs w:val="21"/>
        </w:rPr>
        <w:t>亿元，占比重</w:t>
      </w:r>
      <w:r w:rsidRPr="007B4794">
        <w:rPr>
          <w:rFonts w:ascii="Arial" w:hAnsi="Arial" w:cs="Arial"/>
          <w:noProof/>
          <w:color w:val="000000" w:themeColor="text1"/>
          <w:sz w:val="21"/>
          <w:szCs w:val="21"/>
        </w:rPr>
        <w:t>76.4%</w:t>
      </w:r>
      <w:r w:rsidRPr="007B4794">
        <w:rPr>
          <w:rFonts w:ascii="Arial" w:hAnsi="Arial" w:cs="Arial"/>
          <w:noProof/>
          <w:color w:val="000000" w:themeColor="text1"/>
          <w:sz w:val="21"/>
          <w:szCs w:val="21"/>
        </w:rPr>
        <w:t>。</w:t>
      </w:r>
    </w:p>
    <w:p w14:paraId="580FF21F" w14:textId="77777777" w:rsidR="00786D68" w:rsidRPr="007B4794" w:rsidRDefault="00786D68"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7</w:t>
      </w:r>
      <w:r w:rsidRPr="007B4794">
        <w:rPr>
          <w:rFonts w:ascii="Arial" w:hAnsi="Arial" w:cs="Arial" w:hint="eastAsia"/>
          <w:noProof/>
          <w:color w:val="000000" w:themeColor="text1"/>
          <w:sz w:val="21"/>
          <w:szCs w:val="21"/>
        </w:rPr>
        <w:t>、财政金融</w:t>
      </w:r>
    </w:p>
    <w:p w14:paraId="76C8801A" w14:textId="0C964914" w:rsidR="00786D68" w:rsidRPr="007B4794" w:rsidRDefault="002F4613"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2019</w:t>
      </w:r>
      <w:r w:rsidR="00786D68" w:rsidRPr="007B4794">
        <w:rPr>
          <w:rFonts w:ascii="Arial" w:hAnsi="Arial" w:cs="Arial" w:hint="eastAsia"/>
          <w:noProof/>
          <w:color w:val="000000" w:themeColor="text1"/>
          <w:sz w:val="21"/>
          <w:szCs w:val="21"/>
        </w:rPr>
        <w:t>年一般公共预算总收入</w:t>
      </w:r>
      <w:r w:rsidR="00786D68" w:rsidRPr="007B4794">
        <w:rPr>
          <w:rFonts w:ascii="Arial" w:hAnsi="Arial" w:cs="Arial"/>
          <w:noProof/>
          <w:color w:val="000000" w:themeColor="text1"/>
          <w:sz w:val="21"/>
          <w:szCs w:val="21"/>
        </w:rPr>
        <w:t>356.20</w:t>
      </w:r>
      <w:r w:rsidR="00786D68" w:rsidRPr="007B4794">
        <w:rPr>
          <w:rFonts w:ascii="Arial" w:hAnsi="Arial" w:cs="Arial"/>
          <w:noProof/>
          <w:color w:val="000000" w:themeColor="text1"/>
          <w:sz w:val="21"/>
          <w:szCs w:val="21"/>
        </w:rPr>
        <w:t>亿元，比上年增长</w:t>
      </w:r>
      <w:r w:rsidR="00786D68" w:rsidRPr="007B4794">
        <w:rPr>
          <w:rFonts w:ascii="Arial" w:hAnsi="Arial" w:cs="Arial"/>
          <w:noProof/>
          <w:color w:val="000000" w:themeColor="text1"/>
          <w:sz w:val="21"/>
          <w:szCs w:val="21"/>
        </w:rPr>
        <w:t>1.2%</w:t>
      </w:r>
      <w:r w:rsidR="00786D68" w:rsidRPr="007B4794">
        <w:rPr>
          <w:rFonts w:ascii="Arial" w:hAnsi="Arial" w:cs="Arial"/>
          <w:noProof/>
          <w:color w:val="000000" w:themeColor="text1"/>
          <w:sz w:val="21"/>
          <w:szCs w:val="21"/>
        </w:rPr>
        <w:t>。其中：地方一般公共预算收入</w:t>
      </w:r>
      <w:r w:rsidR="00786D68" w:rsidRPr="007B4794">
        <w:rPr>
          <w:rFonts w:ascii="Arial" w:hAnsi="Arial" w:cs="Arial"/>
          <w:noProof/>
          <w:color w:val="000000" w:themeColor="text1"/>
          <w:sz w:val="21"/>
          <w:szCs w:val="21"/>
        </w:rPr>
        <w:t>219.41</w:t>
      </w:r>
      <w:r w:rsidR="00786D68" w:rsidRPr="007B4794">
        <w:rPr>
          <w:rFonts w:ascii="Arial" w:hAnsi="Arial" w:cs="Arial"/>
          <w:noProof/>
          <w:color w:val="000000" w:themeColor="text1"/>
          <w:sz w:val="21"/>
          <w:szCs w:val="21"/>
        </w:rPr>
        <w:t>亿元，增长</w:t>
      </w:r>
      <w:r w:rsidR="00786D68" w:rsidRPr="007B4794">
        <w:rPr>
          <w:rFonts w:ascii="Arial" w:hAnsi="Arial" w:cs="Arial"/>
          <w:noProof/>
          <w:color w:val="000000" w:themeColor="text1"/>
          <w:sz w:val="21"/>
          <w:szCs w:val="21"/>
        </w:rPr>
        <w:t>0.3%</w:t>
      </w:r>
      <w:r w:rsidR="00786D68" w:rsidRPr="007B4794">
        <w:rPr>
          <w:rFonts w:ascii="Arial" w:hAnsi="Arial" w:cs="Arial"/>
          <w:noProof/>
          <w:color w:val="000000" w:themeColor="text1"/>
          <w:sz w:val="21"/>
          <w:szCs w:val="21"/>
        </w:rPr>
        <w:t>；上划中央收入</w:t>
      </w:r>
      <w:r w:rsidR="00786D68" w:rsidRPr="007B4794">
        <w:rPr>
          <w:rFonts w:ascii="Arial" w:hAnsi="Arial" w:cs="Arial"/>
          <w:noProof/>
          <w:color w:val="000000" w:themeColor="text1"/>
          <w:sz w:val="21"/>
          <w:szCs w:val="21"/>
        </w:rPr>
        <w:t>136.78</w:t>
      </w:r>
      <w:r w:rsidR="00786D68" w:rsidRPr="007B4794">
        <w:rPr>
          <w:rFonts w:ascii="Arial" w:hAnsi="Arial" w:cs="Arial"/>
          <w:noProof/>
          <w:color w:val="000000" w:themeColor="text1"/>
          <w:sz w:val="21"/>
          <w:szCs w:val="21"/>
        </w:rPr>
        <w:t>亿元，增长</w:t>
      </w:r>
      <w:r w:rsidR="00786D68" w:rsidRPr="007B4794">
        <w:rPr>
          <w:rFonts w:ascii="Arial" w:hAnsi="Arial" w:cs="Arial"/>
          <w:noProof/>
          <w:color w:val="000000" w:themeColor="text1"/>
          <w:sz w:val="21"/>
          <w:szCs w:val="21"/>
        </w:rPr>
        <w:t>2.6%</w:t>
      </w:r>
      <w:r w:rsidR="00786D68" w:rsidRPr="007B4794">
        <w:rPr>
          <w:rFonts w:ascii="Arial" w:hAnsi="Arial" w:cs="Arial"/>
          <w:noProof/>
          <w:color w:val="000000" w:themeColor="text1"/>
          <w:sz w:val="21"/>
          <w:szCs w:val="21"/>
        </w:rPr>
        <w:t>。一般公共预算支出</w:t>
      </w:r>
      <w:r w:rsidR="00786D68" w:rsidRPr="007B4794">
        <w:rPr>
          <w:rFonts w:ascii="Arial" w:hAnsi="Arial" w:cs="Arial"/>
          <w:noProof/>
          <w:color w:val="000000" w:themeColor="text1"/>
          <w:sz w:val="21"/>
          <w:szCs w:val="21"/>
        </w:rPr>
        <w:t>442.97</w:t>
      </w:r>
      <w:r w:rsidR="00786D68" w:rsidRPr="007B4794">
        <w:rPr>
          <w:rFonts w:ascii="Arial" w:hAnsi="Arial" w:cs="Arial"/>
          <w:noProof/>
          <w:color w:val="000000" w:themeColor="text1"/>
          <w:sz w:val="21"/>
          <w:szCs w:val="21"/>
        </w:rPr>
        <w:t>亿元，增长</w:t>
      </w:r>
      <w:r w:rsidR="00786D68" w:rsidRPr="007B4794">
        <w:rPr>
          <w:rFonts w:ascii="Arial" w:hAnsi="Arial" w:cs="Arial"/>
          <w:noProof/>
          <w:color w:val="000000" w:themeColor="text1"/>
          <w:sz w:val="21"/>
          <w:szCs w:val="21"/>
        </w:rPr>
        <w:t>3.1%</w:t>
      </w:r>
      <w:r w:rsidR="00786D68" w:rsidRPr="007B4794">
        <w:rPr>
          <w:rFonts w:ascii="Arial" w:hAnsi="Arial" w:cs="Arial"/>
          <w:noProof/>
          <w:color w:val="000000" w:themeColor="text1"/>
          <w:sz w:val="21"/>
          <w:szCs w:val="21"/>
        </w:rPr>
        <w:t>。</w:t>
      </w:r>
      <w:r w:rsidR="00786D68" w:rsidRPr="007B4794">
        <w:rPr>
          <w:rFonts w:ascii="Arial" w:hAnsi="Arial" w:cs="Arial"/>
          <w:noProof/>
          <w:color w:val="000000" w:themeColor="text1"/>
          <w:sz w:val="21"/>
          <w:szCs w:val="21"/>
        </w:rPr>
        <w:lastRenderedPageBreak/>
        <w:t>全年税收收入</w:t>
      </w:r>
      <w:r w:rsidR="00786D68" w:rsidRPr="007B4794">
        <w:rPr>
          <w:rFonts w:ascii="Arial" w:hAnsi="Arial" w:cs="Arial"/>
          <w:noProof/>
          <w:color w:val="000000" w:themeColor="text1"/>
          <w:sz w:val="21"/>
          <w:szCs w:val="21"/>
        </w:rPr>
        <w:t>317.31</w:t>
      </w:r>
      <w:r w:rsidR="00786D68" w:rsidRPr="007B4794">
        <w:rPr>
          <w:rFonts w:ascii="Arial" w:hAnsi="Arial" w:cs="Arial"/>
          <w:noProof/>
          <w:color w:val="000000" w:themeColor="text1"/>
          <w:sz w:val="21"/>
          <w:szCs w:val="21"/>
        </w:rPr>
        <w:t>亿元，比去年增长</w:t>
      </w:r>
      <w:r w:rsidR="00786D68" w:rsidRPr="007B4794">
        <w:rPr>
          <w:rFonts w:ascii="Arial" w:hAnsi="Arial" w:cs="Arial"/>
          <w:noProof/>
          <w:color w:val="000000" w:themeColor="text1"/>
          <w:sz w:val="21"/>
          <w:szCs w:val="21"/>
        </w:rPr>
        <w:t>0.7%</w:t>
      </w:r>
      <w:r w:rsidR="00786D68" w:rsidRPr="007B4794">
        <w:rPr>
          <w:rFonts w:ascii="Arial" w:hAnsi="Arial" w:cs="Arial"/>
          <w:noProof/>
          <w:color w:val="000000" w:themeColor="text1"/>
          <w:sz w:val="21"/>
          <w:szCs w:val="21"/>
        </w:rPr>
        <w:t>。</w:t>
      </w:r>
    </w:p>
    <w:p w14:paraId="600FBF90" w14:textId="7426C6D8" w:rsidR="00786D68" w:rsidRPr="007B4794" w:rsidRDefault="002F4613"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2019</w:t>
      </w:r>
      <w:r w:rsidR="00786D68" w:rsidRPr="007B4794">
        <w:rPr>
          <w:rFonts w:ascii="Arial" w:hAnsi="Arial" w:cs="Arial" w:hint="eastAsia"/>
          <w:noProof/>
          <w:color w:val="000000" w:themeColor="text1"/>
          <w:sz w:val="21"/>
          <w:szCs w:val="21"/>
        </w:rPr>
        <w:t>年末</w:t>
      </w:r>
      <w:r w:rsidRPr="007B4794">
        <w:rPr>
          <w:rFonts w:ascii="Arial" w:hAnsi="Arial" w:cs="Arial" w:hint="eastAsia"/>
          <w:noProof/>
          <w:color w:val="000000" w:themeColor="text1"/>
          <w:sz w:val="21"/>
          <w:szCs w:val="21"/>
        </w:rPr>
        <w:t>漳州</w:t>
      </w:r>
      <w:r w:rsidR="00786D68" w:rsidRPr="007B4794">
        <w:rPr>
          <w:rFonts w:ascii="Arial" w:hAnsi="Arial" w:cs="Arial" w:hint="eastAsia"/>
          <w:noProof/>
          <w:color w:val="000000" w:themeColor="text1"/>
          <w:sz w:val="21"/>
          <w:szCs w:val="21"/>
        </w:rPr>
        <w:t>市金融机构本外币各项存款余额</w:t>
      </w:r>
      <w:r w:rsidR="00786D68" w:rsidRPr="007B4794">
        <w:rPr>
          <w:rFonts w:ascii="Arial" w:hAnsi="Arial" w:cs="Arial"/>
          <w:noProof/>
          <w:color w:val="000000" w:themeColor="text1"/>
          <w:sz w:val="21"/>
          <w:szCs w:val="21"/>
        </w:rPr>
        <w:t>3179.77</w:t>
      </w:r>
      <w:r w:rsidR="00786D68" w:rsidRPr="007B4794">
        <w:rPr>
          <w:rFonts w:ascii="Arial" w:hAnsi="Arial" w:cs="Arial"/>
          <w:noProof/>
          <w:color w:val="000000" w:themeColor="text1"/>
          <w:sz w:val="21"/>
          <w:szCs w:val="21"/>
        </w:rPr>
        <w:t>亿元，比年初增加</w:t>
      </w:r>
      <w:r w:rsidR="00786D68" w:rsidRPr="007B4794">
        <w:rPr>
          <w:rFonts w:ascii="Arial" w:hAnsi="Arial" w:cs="Arial"/>
          <w:noProof/>
          <w:color w:val="000000" w:themeColor="text1"/>
          <w:sz w:val="21"/>
          <w:szCs w:val="21"/>
        </w:rPr>
        <w:t>198.84</w:t>
      </w:r>
      <w:r w:rsidR="00786D68" w:rsidRPr="007B4794">
        <w:rPr>
          <w:rFonts w:ascii="Arial" w:hAnsi="Arial" w:cs="Arial"/>
          <w:noProof/>
          <w:color w:val="000000" w:themeColor="text1"/>
          <w:sz w:val="21"/>
          <w:szCs w:val="21"/>
        </w:rPr>
        <w:t>亿元；金融机构本外币各项贷款余额</w:t>
      </w:r>
      <w:r w:rsidR="00786D68" w:rsidRPr="007B4794">
        <w:rPr>
          <w:rFonts w:ascii="Arial" w:hAnsi="Arial" w:cs="Arial"/>
          <w:noProof/>
          <w:color w:val="000000" w:themeColor="text1"/>
          <w:sz w:val="21"/>
          <w:szCs w:val="21"/>
        </w:rPr>
        <w:t>2921.94</w:t>
      </w:r>
      <w:r w:rsidR="00786D68" w:rsidRPr="007B4794">
        <w:rPr>
          <w:rFonts w:ascii="Arial" w:hAnsi="Arial" w:cs="Arial"/>
          <w:noProof/>
          <w:color w:val="000000" w:themeColor="text1"/>
          <w:sz w:val="21"/>
          <w:szCs w:val="21"/>
        </w:rPr>
        <w:t>亿元，增长</w:t>
      </w:r>
      <w:r w:rsidR="00786D68" w:rsidRPr="007B4794">
        <w:rPr>
          <w:rFonts w:ascii="Arial" w:hAnsi="Arial" w:cs="Arial"/>
          <w:noProof/>
          <w:color w:val="000000" w:themeColor="text1"/>
          <w:sz w:val="21"/>
          <w:szCs w:val="21"/>
        </w:rPr>
        <w:t>11.5%</w:t>
      </w:r>
      <w:r w:rsidR="00786D68" w:rsidRPr="007B4794">
        <w:rPr>
          <w:rFonts w:ascii="Arial" w:hAnsi="Arial" w:cs="Arial"/>
          <w:noProof/>
          <w:color w:val="000000" w:themeColor="text1"/>
          <w:sz w:val="21"/>
          <w:szCs w:val="21"/>
        </w:rPr>
        <w:t>，比年初增加</w:t>
      </w:r>
      <w:r w:rsidR="00786D68" w:rsidRPr="007B4794">
        <w:rPr>
          <w:rFonts w:ascii="Arial" w:hAnsi="Arial" w:cs="Arial"/>
          <w:noProof/>
          <w:color w:val="000000" w:themeColor="text1"/>
          <w:sz w:val="21"/>
          <w:szCs w:val="21"/>
        </w:rPr>
        <w:t>275.17</w:t>
      </w:r>
      <w:r w:rsidR="00786D68" w:rsidRPr="007B4794">
        <w:rPr>
          <w:rFonts w:ascii="Arial" w:hAnsi="Arial" w:cs="Arial"/>
          <w:noProof/>
          <w:color w:val="000000" w:themeColor="text1"/>
          <w:sz w:val="21"/>
          <w:szCs w:val="21"/>
        </w:rPr>
        <w:t>亿元。其中，涉农贷款余额</w:t>
      </w:r>
      <w:r w:rsidR="00786D68" w:rsidRPr="007B4794">
        <w:rPr>
          <w:rFonts w:ascii="Arial" w:hAnsi="Arial" w:cs="Arial"/>
          <w:noProof/>
          <w:color w:val="000000" w:themeColor="text1"/>
          <w:sz w:val="21"/>
          <w:szCs w:val="21"/>
        </w:rPr>
        <w:t>1263.57</w:t>
      </w:r>
      <w:r w:rsidR="00786D68" w:rsidRPr="007B4794">
        <w:rPr>
          <w:rFonts w:ascii="Arial" w:hAnsi="Arial" w:cs="Arial"/>
          <w:noProof/>
          <w:color w:val="000000" w:themeColor="text1"/>
          <w:sz w:val="21"/>
          <w:szCs w:val="21"/>
        </w:rPr>
        <w:t>亿元，增加</w:t>
      </w:r>
      <w:r w:rsidR="00786D68" w:rsidRPr="007B4794">
        <w:rPr>
          <w:rFonts w:ascii="Arial" w:hAnsi="Arial" w:cs="Arial"/>
          <w:noProof/>
          <w:color w:val="000000" w:themeColor="text1"/>
          <w:sz w:val="21"/>
          <w:szCs w:val="21"/>
        </w:rPr>
        <w:t>95.85</w:t>
      </w:r>
      <w:r w:rsidR="00786D68" w:rsidRPr="007B4794">
        <w:rPr>
          <w:rFonts w:ascii="Arial" w:hAnsi="Arial" w:cs="Arial"/>
          <w:noProof/>
          <w:color w:val="000000" w:themeColor="text1"/>
          <w:sz w:val="21"/>
          <w:szCs w:val="21"/>
        </w:rPr>
        <w:t>亿元；县域贷款余额</w:t>
      </w:r>
      <w:r w:rsidR="00786D68" w:rsidRPr="007B4794">
        <w:rPr>
          <w:rFonts w:ascii="Arial" w:hAnsi="Arial" w:cs="Arial"/>
          <w:noProof/>
          <w:color w:val="000000" w:themeColor="text1"/>
          <w:sz w:val="21"/>
          <w:szCs w:val="21"/>
        </w:rPr>
        <w:t>1658.99</w:t>
      </w:r>
      <w:r w:rsidR="00786D68" w:rsidRPr="007B4794">
        <w:rPr>
          <w:rFonts w:ascii="Arial" w:hAnsi="Arial" w:cs="Arial"/>
          <w:noProof/>
          <w:color w:val="000000" w:themeColor="text1"/>
          <w:sz w:val="21"/>
          <w:szCs w:val="21"/>
        </w:rPr>
        <w:t>亿元，增加</w:t>
      </w:r>
      <w:r w:rsidR="00786D68" w:rsidRPr="007B4794">
        <w:rPr>
          <w:rFonts w:ascii="Arial" w:hAnsi="Arial" w:cs="Arial"/>
          <w:noProof/>
          <w:color w:val="000000" w:themeColor="text1"/>
          <w:sz w:val="21"/>
          <w:szCs w:val="21"/>
        </w:rPr>
        <w:t>173.06</w:t>
      </w:r>
      <w:r w:rsidR="00786D68" w:rsidRPr="007B4794">
        <w:rPr>
          <w:rFonts w:ascii="Arial" w:hAnsi="Arial" w:cs="Arial"/>
          <w:noProof/>
          <w:color w:val="000000" w:themeColor="text1"/>
          <w:sz w:val="21"/>
          <w:szCs w:val="21"/>
        </w:rPr>
        <w:t>亿元；小微企业贷款余额</w:t>
      </w:r>
      <w:r w:rsidR="00786D68" w:rsidRPr="007B4794">
        <w:rPr>
          <w:rFonts w:ascii="Arial" w:hAnsi="Arial" w:cs="Arial"/>
          <w:noProof/>
          <w:color w:val="000000" w:themeColor="text1"/>
          <w:sz w:val="21"/>
          <w:szCs w:val="21"/>
        </w:rPr>
        <w:t>355.30</w:t>
      </w:r>
      <w:r w:rsidR="00786D68" w:rsidRPr="007B4794">
        <w:rPr>
          <w:rFonts w:ascii="Arial" w:hAnsi="Arial" w:cs="Arial"/>
          <w:noProof/>
          <w:color w:val="000000" w:themeColor="text1"/>
          <w:sz w:val="21"/>
          <w:szCs w:val="21"/>
        </w:rPr>
        <w:t>亿元，比年初减少</w:t>
      </w:r>
      <w:r w:rsidR="00786D68" w:rsidRPr="007B4794">
        <w:rPr>
          <w:rFonts w:ascii="Arial" w:hAnsi="Arial" w:cs="Arial"/>
          <w:noProof/>
          <w:color w:val="000000" w:themeColor="text1"/>
          <w:sz w:val="21"/>
          <w:szCs w:val="21"/>
        </w:rPr>
        <w:t>0.75</w:t>
      </w:r>
      <w:r w:rsidR="00786D68" w:rsidRPr="007B4794">
        <w:rPr>
          <w:rFonts w:ascii="Arial" w:hAnsi="Arial" w:cs="Arial"/>
          <w:noProof/>
          <w:color w:val="000000" w:themeColor="text1"/>
          <w:sz w:val="21"/>
          <w:szCs w:val="21"/>
        </w:rPr>
        <w:t>亿元。</w:t>
      </w:r>
    </w:p>
    <w:p w14:paraId="224A7B1A" w14:textId="0C6E3D78" w:rsidR="00786D68" w:rsidRPr="007B4794" w:rsidRDefault="002F4613"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2019</w:t>
      </w:r>
      <w:r w:rsidR="00786D68" w:rsidRPr="007B4794">
        <w:rPr>
          <w:rFonts w:ascii="Arial" w:hAnsi="Arial" w:cs="Arial" w:hint="eastAsia"/>
          <w:noProof/>
          <w:color w:val="000000" w:themeColor="text1"/>
          <w:sz w:val="21"/>
          <w:szCs w:val="21"/>
        </w:rPr>
        <w:t>年内外资保险公司保费收入</w:t>
      </w:r>
      <w:r w:rsidR="00786D68" w:rsidRPr="007B4794">
        <w:rPr>
          <w:rFonts w:ascii="Arial" w:hAnsi="Arial" w:cs="Arial"/>
          <w:noProof/>
          <w:color w:val="000000" w:themeColor="text1"/>
          <w:sz w:val="21"/>
          <w:szCs w:val="21"/>
        </w:rPr>
        <w:t>81.65</w:t>
      </w:r>
      <w:r w:rsidR="00786D68" w:rsidRPr="007B4794">
        <w:rPr>
          <w:rFonts w:ascii="Arial" w:hAnsi="Arial" w:cs="Arial"/>
          <w:noProof/>
          <w:color w:val="000000" w:themeColor="text1"/>
          <w:sz w:val="21"/>
          <w:szCs w:val="21"/>
        </w:rPr>
        <w:t>亿元，比上年增长</w:t>
      </w:r>
      <w:r w:rsidR="00786D68" w:rsidRPr="007B4794">
        <w:rPr>
          <w:rFonts w:ascii="Arial" w:hAnsi="Arial" w:cs="Arial"/>
          <w:noProof/>
          <w:color w:val="000000" w:themeColor="text1"/>
          <w:sz w:val="21"/>
          <w:szCs w:val="21"/>
        </w:rPr>
        <w:t>2.2%</w:t>
      </w:r>
      <w:r w:rsidR="00786D68" w:rsidRPr="007B4794">
        <w:rPr>
          <w:rFonts w:ascii="Arial" w:hAnsi="Arial" w:cs="Arial"/>
          <w:noProof/>
          <w:color w:val="000000" w:themeColor="text1"/>
          <w:sz w:val="21"/>
          <w:szCs w:val="21"/>
        </w:rPr>
        <w:t>，其中</w:t>
      </w:r>
      <w:r w:rsidR="00786D68" w:rsidRPr="007B4794">
        <w:rPr>
          <w:rFonts w:ascii="Arial" w:hAnsi="Arial" w:cs="Arial"/>
          <w:noProof/>
          <w:color w:val="000000" w:themeColor="text1"/>
          <w:sz w:val="21"/>
          <w:szCs w:val="21"/>
        </w:rPr>
        <w:t>,</w:t>
      </w:r>
      <w:r w:rsidR="00786D68" w:rsidRPr="007B4794">
        <w:rPr>
          <w:rFonts w:ascii="Arial" w:hAnsi="Arial" w:cs="Arial"/>
          <w:noProof/>
          <w:color w:val="000000" w:themeColor="text1"/>
          <w:sz w:val="21"/>
          <w:szCs w:val="21"/>
        </w:rPr>
        <w:t>寿险保费收入</w:t>
      </w:r>
      <w:r w:rsidR="00786D68" w:rsidRPr="007B4794">
        <w:rPr>
          <w:rFonts w:ascii="Arial" w:hAnsi="Arial" w:cs="Arial"/>
          <w:noProof/>
          <w:color w:val="000000" w:themeColor="text1"/>
          <w:sz w:val="21"/>
          <w:szCs w:val="21"/>
        </w:rPr>
        <w:t>38.1</w:t>
      </w:r>
      <w:r w:rsidR="00786D68" w:rsidRPr="007B4794">
        <w:rPr>
          <w:rFonts w:ascii="Arial" w:hAnsi="Arial" w:cs="Arial"/>
          <w:noProof/>
          <w:color w:val="000000" w:themeColor="text1"/>
          <w:sz w:val="21"/>
          <w:szCs w:val="21"/>
        </w:rPr>
        <w:t>亿元；健康险和意外伤害险保费收入</w:t>
      </w:r>
      <w:r w:rsidR="00786D68" w:rsidRPr="007B4794">
        <w:rPr>
          <w:rFonts w:ascii="Arial" w:hAnsi="Arial" w:cs="Arial"/>
          <w:noProof/>
          <w:color w:val="000000" w:themeColor="text1"/>
          <w:sz w:val="21"/>
          <w:szCs w:val="21"/>
        </w:rPr>
        <w:t>18.74</w:t>
      </w:r>
      <w:r w:rsidR="00786D68" w:rsidRPr="007B4794">
        <w:rPr>
          <w:rFonts w:ascii="Arial" w:hAnsi="Arial" w:cs="Arial"/>
          <w:noProof/>
          <w:color w:val="000000" w:themeColor="text1"/>
          <w:sz w:val="21"/>
          <w:szCs w:val="21"/>
        </w:rPr>
        <w:t>亿元；财产险保费收入</w:t>
      </w:r>
      <w:r w:rsidR="00786D68" w:rsidRPr="007B4794">
        <w:rPr>
          <w:rFonts w:ascii="Arial" w:hAnsi="Arial" w:cs="Arial"/>
          <w:noProof/>
          <w:color w:val="000000" w:themeColor="text1"/>
          <w:sz w:val="21"/>
          <w:szCs w:val="21"/>
        </w:rPr>
        <w:t>24.81</w:t>
      </w:r>
      <w:r w:rsidR="00786D68" w:rsidRPr="007B4794">
        <w:rPr>
          <w:rFonts w:ascii="Arial" w:hAnsi="Arial" w:cs="Arial"/>
          <w:noProof/>
          <w:color w:val="000000" w:themeColor="text1"/>
          <w:sz w:val="21"/>
          <w:szCs w:val="21"/>
        </w:rPr>
        <w:t>亿元。支付各类赔款及给付</w:t>
      </w:r>
      <w:r w:rsidR="00786D68" w:rsidRPr="007B4794">
        <w:rPr>
          <w:rFonts w:ascii="Arial" w:hAnsi="Arial" w:cs="Arial"/>
          <w:noProof/>
          <w:color w:val="000000" w:themeColor="text1"/>
          <w:sz w:val="21"/>
          <w:szCs w:val="21"/>
        </w:rPr>
        <w:t>28.42</w:t>
      </w:r>
      <w:r w:rsidR="00786D68" w:rsidRPr="007B4794">
        <w:rPr>
          <w:rFonts w:ascii="Arial" w:hAnsi="Arial" w:cs="Arial"/>
          <w:noProof/>
          <w:color w:val="000000" w:themeColor="text1"/>
          <w:sz w:val="21"/>
          <w:szCs w:val="21"/>
        </w:rPr>
        <w:t>亿元，其中</w:t>
      </w:r>
      <w:r w:rsidR="00786D68" w:rsidRPr="007B4794">
        <w:rPr>
          <w:rFonts w:ascii="Arial" w:hAnsi="Arial" w:cs="Arial"/>
          <w:noProof/>
          <w:color w:val="000000" w:themeColor="text1"/>
          <w:sz w:val="21"/>
          <w:szCs w:val="21"/>
        </w:rPr>
        <w:t>,</w:t>
      </w:r>
      <w:r w:rsidR="00786D68" w:rsidRPr="007B4794">
        <w:rPr>
          <w:rFonts w:ascii="Arial" w:hAnsi="Arial" w:cs="Arial"/>
          <w:noProof/>
          <w:color w:val="000000" w:themeColor="text1"/>
          <w:sz w:val="21"/>
          <w:szCs w:val="21"/>
        </w:rPr>
        <w:t>寿险业务给付</w:t>
      </w:r>
      <w:r w:rsidR="00786D68" w:rsidRPr="007B4794">
        <w:rPr>
          <w:rFonts w:ascii="Arial" w:hAnsi="Arial" w:cs="Arial"/>
          <w:noProof/>
          <w:color w:val="000000" w:themeColor="text1"/>
          <w:sz w:val="21"/>
          <w:szCs w:val="21"/>
        </w:rPr>
        <w:t>6.81</w:t>
      </w:r>
      <w:r w:rsidR="00786D68" w:rsidRPr="007B4794">
        <w:rPr>
          <w:rFonts w:ascii="Arial" w:hAnsi="Arial" w:cs="Arial"/>
          <w:noProof/>
          <w:color w:val="000000" w:themeColor="text1"/>
          <w:sz w:val="21"/>
          <w:szCs w:val="21"/>
        </w:rPr>
        <w:t>亿元；健康险和意外伤害险赔款及给付</w:t>
      </w:r>
      <w:r w:rsidR="00786D68" w:rsidRPr="007B4794">
        <w:rPr>
          <w:rFonts w:ascii="Arial" w:hAnsi="Arial" w:cs="Arial"/>
          <w:noProof/>
          <w:color w:val="000000" w:themeColor="text1"/>
          <w:sz w:val="21"/>
          <w:szCs w:val="21"/>
        </w:rPr>
        <w:t>7.23</w:t>
      </w:r>
      <w:r w:rsidR="00786D68" w:rsidRPr="007B4794">
        <w:rPr>
          <w:rFonts w:ascii="Arial" w:hAnsi="Arial" w:cs="Arial"/>
          <w:noProof/>
          <w:color w:val="000000" w:themeColor="text1"/>
          <w:sz w:val="21"/>
          <w:szCs w:val="21"/>
        </w:rPr>
        <w:t>亿元；财产险赔款</w:t>
      </w:r>
      <w:r w:rsidR="00786D68" w:rsidRPr="007B4794">
        <w:rPr>
          <w:rFonts w:ascii="Arial" w:hAnsi="Arial" w:cs="Arial"/>
          <w:noProof/>
          <w:color w:val="000000" w:themeColor="text1"/>
          <w:sz w:val="21"/>
          <w:szCs w:val="21"/>
        </w:rPr>
        <w:t>14.38</w:t>
      </w:r>
      <w:r w:rsidR="00786D68" w:rsidRPr="007B4794">
        <w:rPr>
          <w:rFonts w:ascii="Arial" w:hAnsi="Arial" w:cs="Arial"/>
          <w:noProof/>
          <w:color w:val="000000" w:themeColor="text1"/>
          <w:sz w:val="21"/>
          <w:szCs w:val="21"/>
        </w:rPr>
        <w:t>亿元。</w:t>
      </w:r>
    </w:p>
    <w:p w14:paraId="1E615E41" w14:textId="61867C52" w:rsidR="00786D68" w:rsidRPr="007B4794" w:rsidRDefault="00786D68"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8</w:t>
      </w:r>
      <w:r w:rsidRPr="007B4794">
        <w:rPr>
          <w:rFonts w:ascii="Arial" w:hAnsi="Arial" w:cs="Arial" w:hint="eastAsia"/>
          <w:noProof/>
          <w:color w:val="000000" w:themeColor="text1"/>
          <w:sz w:val="21"/>
          <w:szCs w:val="21"/>
        </w:rPr>
        <w:t>、人民生活和社会保障</w:t>
      </w:r>
    </w:p>
    <w:p w14:paraId="186993DF" w14:textId="4250E2F1" w:rsidR="00786D68" w:rsidRPr="007B4794" w:rsidRDefault="002F4613"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2019</w:t>
      </w:r>
      <w:r w:rsidR="00786D68" w:rsidRPr="007B4794">
        <w:rPr>
          <w:rFonts w:ascii="Arial" w:hAnsi="Arial" w:cs="Arial" w:hint="eastAsia"/>
          <w:noProof/>
          <w:color w:val="000000" w:themeColor="text1"/>
          <w:sz w:val="21"/>
          <w:szCs w:val="21"/>
        </w:rPr>
        <w:t>年</w:t>
      </w:r>
      <w:r w:rsidRPr="007B4794">
        <w:rPr>
          <w:rFonts w:ascii="Arial" w:hAnsi="Arial" w:cs="Arial" w:hint="eastAsia"/>
          <w:noProof/>
          <w:color w:val="000000" w:themeColor="text1"/>
          <w:sz w:val="21"/>
          <w:szCs w:val="21"/>
        </w:rPr>
        <w:t>漳州</w:t>
      </w:r>
      <w:r w:rsidR="00786D68" w:rsidRPr="007B4794">
        <w:rPr>
          <w:rFonts w:ascii="Arial" w:hAnsi="Arial" w:cs="Arial" w:hint="eastAsia"/>
          <w:noProof/>
          <w:color w:val="000000" w:themeColor="text1"/>
          <w:sz w:val="21"/>
          <w:szCs w:val="21"/>
        </w:rPr>
        <w:t>市居民人均可支配收入</w:t>
      </w:r>
      <w:r w:rsidR="00786D68" w:rsidRPr="007B4794">
        <w:rPr>
          <w:rFonts w:ascii="Arial" w:hAnsi="Arial" w:cs="Arial"/>
          <w:noProof/>
          <w:color w:val="000000" w:themeColor="text1"/>
          <w:sz w:val="21"/>
          <w:szCs w:val="21"/>
        </w:rPr>
        <w:t>29474</w:t>
      </w:r>
      <w:r w:rsidR="00786D68" w:rsidRPr="007B4794">
        <w:rPr>
          <w:rFonts w:ascii="Arial" w:hAnsi="Arial" w:cs="Arial"/>
          <w:noProof/>
          <w:color w:val="000000" w:themeColor="text1"/>
          <w:sz w:val="21"/>
          <w:szCs w:val="21"/>
        </w:rPr>
        <w:t>元，比上年增长</w:t>
      </w:r>
      <w:r w:rsidR="00786D68" w:rsidRPr="007B4794">
        <w:rPr>
          <w:rFonts w:ascii="Arial" w:hAnsi="Arial" w:cs="Arial"/>
          <w:noProof/>
          <w:color w:val="000000" w:themeColor="text1"/>
          <w:sz w:val="21"/>
          <w:szCs w:val="21"/>
        </w:rPr>
        <w:t>9.2%</w:t>
      </w:r>
      <w:r w:rsidR="00786D68" w:rsidRPr="007B4794">
        <w:rPr>
          <w:rFonts w:ascii="Arial" w:hAnsi="Arial" w:cs="Arial"/>
          <w:noProof/>
          <w:color w:val="000000" w:themeColor="text1"/>
          <w:sz w:val="21"/>
          <w:szCs w:val="21"/>
        </w:rPr>
        <w:t>。其中，农村居民人均可支配收入</w:t>
      </w:r>
      <w:r w:rsidR="00786D68" w:rsidRPr="007B4794">
        <w:rPr>
          <w:rFonts w:ascii="Arial" w:hAnsi="Arial" w:cs="Arial"/>
          <w:noProof/>
          <w:color w:val="000000" w:themeColor="text1"/>
          <w:sz w:val="21"/>
          <w:szCs w:val="21"/>
        </w:rPr>
        <w:t>19885</w:t>
      </w:r>
      <w:r w:rsidR="00786D68" w:rsidRPr="007B4794">
        <w:rPr>
          <w:rFonts w:ascii="Arial" w:hAnsi="Arial" w:cs="Arial"/>
          <w:noProof/>
          <w:color w:val="000000" w:themeColor="text1"/>
          <w:sz w:val="21"/>
          <w:szCs w:val="21"/>
        </w:rPr>
        <w:t>元，增长</w:t>
      </w:r>
      <w:r w:rsidR="00786D68" w:rsidRPr="007B4794">
        <w:rPr>
          <w:rFonts w:ascii="Arial" w:hAnsi="Arial" w:cs="Arial"/>
          <w:noProof/>
          <w:color w:val="000000" w:themeColor="text1"/>
          <w:sz w:val="21"/>
          <w:szCs w:val="21"/>
        </w:rPr>
        <w:t>9.3%</w:t>
      </w:r>
      <w:r w:rsidR="00786D68" w:rsidRPr="007B4794">
        <w:rPr>
          <w:rFonts w:ascii="Arial" w:hAnsi="Arial" w:cs="Arial"/>
          <w:noProof/>
          <w:color w:val="000000" w:themeColor="text1"/>
          <w:sz w:val="21"/>
          <w:szCs w:val="21"/>
        </w:rPr>
        <w:t>；城镇居民人均可支配收入</w:t>
      </w:r>
      <w:r w:rsidR="00786D68" w:rsidRPr="007B4794">
        <w:rPr>
          <w:rFonts w:ascii="Arial" w:hAnsi="Arial" w:cs="Arial"/>
          <w:noProof/>
          <w:color w:val="000000" w:themeColor="text1"/>
          <w:sz w:val="21"/>
          <w:szCs w:val="21"/>
        </w:rPr>
        <w:t>38975</w:t>
      </w:r>
      <w:r w:rsidR="00786D68" w:rsidRPr="007B4794">
        <w:rPr>
          <w:rFonts w:ascii="Arial" w:hAnsi="Arial" w:cs="Arial"/>
          <w:noProof/>
          <w:color w:val="000000" w:themeColor="text1"/>
          <w:sz w:val="21"/>
          <w:szCs w:val="21"/>
        </w:rPr>
        <w:t>元，增长</w:t>
      </w:r>
      <w:r w:rsidR="00786D68" w:rsidRPr="007B4794">
        <w:rPr>
          <w:rFonts w:ascii="Arial" w:hAnsi="Arial" w:cs="Arial"/>
          <w:noProof/>
          <w:color w:val="000000" w:themeColor="text1"/>
          <w:sz w:val="21"/>
          <w:szCs w:val="21"/>
        </w:rPr>
        <w:t>8.3%</w:t>
      </w:r>
      <w:r w:rsidR="00786D68" w:rsidRPr="007B4794">
        <w:rPr>
          <w:rFonts w:ascii="Arial" w:hAnsi="Arial" w:cs="Arial"/>
          <w:noProof/>
          <w:color w:val="000000" w:themeColor="text1"/>
          <w:sz w:val="21"/>
          <w:szCs w:val="21"/>
        </w:rPr>
        <w:t>。农村居民人均消费支出</w:t>
      </w:r>
      <w:r w:rsidR="00786D68" w:rsidRPr="007B4794">
        <w:rPr>
          <w:rFonts w:ascii="Arial" w:hAnsi="Arial" w:cs="Arial"/>
          <w:noProof/>
          <w:color w:val="000000" w:themeColor="text1"/>
          <w:sz w:val="21"/>
          <w:szCs w:val="21"/>
        </w:rPr>
        <w:t>13830</w:t>
      </w:r>
      <w:r w:rsidR="00786D68" w:rsidRPr="007B4794">
        <w:rPr>
          <w:rFonts w:ascii="Arial" w:hAnsi="Arial" w:cs="Arial"/>
          <w:noProof/>
          <w:color w:val="000000" w:themeColor="text1"/>
          <w:sz w:val="21"/>
          <w:szCs w:val="21"/>
        </w:rPr>
        <w:t>元，增长</w:t>
      </w:r>
      <w:r w:rsidR="00786D68" w:rsidRPr="007B4794">
        <w:rPr>
          <w:rFonts w:ascii="Arial" w:hAnsi="Arial" w:cs="Arial"/>
          <w:noProof/>
          <w:color w:val="000000" w:themeColor="text1"/>
          <w:sz w:val="21"/>
          <w:szCs w:val="21"/>
        </w:rPr>
        <w:t>8.5%</w:t>
      </w:r>
      <w:r w:rsidR="00786D68" w:rsidRPr="007B4794">
        <w:rPr>
          <w:rFonts w:ascii="Arial" w:hAnsi="Arial" w:cs="Arial"/>
          <w:noProof/>
          <w:color w:val="000000" w:themeColor="text1"/>
          <w:sz w:val="21"/>
          <w:szCs w:val="21"/>
        </w:rPr>
        <w:t>；城镇居民人均消费支出</w:t>
      </w:r>
      <w:r w:rsidR="00786D68" w:rsidRPr="007B4794">
        <w:rPr>
          <w:rFonts w:ascii="Arial" w:hAnsi="Arial" w:cs="Arial"/>
          <w:noProof/>
          <w:color w:val="000000" w:themeColor="text1"/>
          <w:sz w:val="21"/>
          <w:szCs w:val="21"/>
        </w:rPr>
        <w:t>26590</w:t>
      </w:r>
      <w:r w:rsidR="00786D68" w:rsidRPr="007B4794">
        <w:rPr>
          <w:rFonts w:ascii="Arial" w:hAnsi="Arial" w:cs="Arial"/>
          <w:noProof/>
          <w:color w:val="000000" w:themeColor="text1"/>
          <w:sz w:val="21"/>
          <w:szCs w:val="21"/>
        </w:rPr>
        <w:t>元，增长</w:t>
      </w:r>
      <w:r w:rsidR="00786D68" w:rsidRPr="007B4794">
        <w:rPr>
          <w:rFonts w:ascii="Arial" w:hAnsi="Arial" w:cs="Arial"/>
          <w:noProof/>
          <w:color w:val="000000" w:themeColor="text1"/>
          <w:sz w:val="21"/>
          <w:szCs w:val="21"/>
        </w:rPr>
        <w:t>9.9%</w:t>
      </w:r>
      <w:r w:rsidR="00786D68" w:rsidRPr="007B4794">
        <w:rPr>
          <w:rFonts w:ascii="Arial" w:hAnsi="Arial" w:cs="Arial"/>
          <w:noProof/>
          <w:color w:val="000000" w:themeColor="text1"/>
          <w:sz w:val="21"/>
          <w:szCs w:val="21"/>
        </w:rPr>
        <w:t>。</w:t>
      </w:r>
    </w:p>
    <w:p w14:paraId="255A8497" w14:textId="00A58784" w:rsidR="00786D68" w:rsidRPr="007B4794" w:rsidRDefault="002F4613"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2019</w:t>
      </w:r>
      <w:r w:rsidR="00786D68" w:rsidRPr="007B4794">
        <w:rPr>
          <w:rFonts w:ascii="Arial" w:hAnsi="Arial" w:cs="Arial" w:hint="eastAsia"/>
          <w:noProof/>
          <w:color w:val="000000" w:themeColor="text1"/>
          <w:sz w:val="21"/>
          <w:szCs w:val="21"/>
        </w:rPr>
        <w:t>年末职工基本养老、失业、工伤保险参保人数分别达到</w:t>
      </w:r>
      <w:r w:rsidR="00786D68" w:rsidRPr="007B4794">
        <w:rPr>
          <w:rFonts w:ascii="Arial" w:hAnsi="Arial" w:cs="Arial"/>
          <w:noProof/>
          <w:color w:val="000000" w:themeColor="text1"/>
          <w:sz w:val="21"/>
          <w:szCs w:val="21"/>
        </w:rPr>
        <w:t>74.82</w:t>
      </w:r>
      <w:r w:rsidR="00786D68" w:rsidRPr="007B4794">
        <w:rPr>
          <w:rFonts w:ascii="Arial" w:hAnsi="Arial" w:cs="Arial"/>
          <w:noProof/>
          <w:color w:val="000000" w:themeColor="text1"/>
          <w:sz w:val="21"/>
          <w:szCs w:val="21"/>
        </w:rPr>
        <w:t>万人、</w:t>
      </w:r>
      <w:r w:rsidR="00786D68" w:rsidRPr="007B4794">
        <w:rPr>
          <w:rFonts w:ascii="Arial" w:hAnsi="Arial" w:cs="Arial"/>
          <w:noProof/>
          <w:color w:val="000000" w:themeColor="text1"/>
          <w:sz w:val="21"/>
          <w:szCs w:val="21"/>
        </w:rPr>
        <w:t>44.52</w:t>
      </w:r>
      <w:r w:rsidR="00786D68" w:rsidRPr="007B4794">
        <w:rPr>
          <w:rFonts w:ascii="Arial" w:hAnsi="Arial" w:cs="Arial"/>
          <w:noProof/>
          <w:color w:val="000000" w:themeColor="text1"/>
          <w:sz w:val="21"/>
          <w:szCs w:val="21"/>
        </w:rPr>
        <w:t>万人、</w:t>
      </w:r>
      <w:r w:rsidR="00786D68" w:rsidRPr="007B4794">
        <w:rPr>
          <w:rFonts w:ascii="Arial" w:hAnsi="Arial" w:cs="Arial"/>
          <w:noProof/>
          <w:color w:val="000000" w:themeColor="text1"/>
          <w:sz w:val="21"/>
          <w:szCs w:val="21"/>
        </w:rPr>
        <w:t>78.40</w:t>
      </w:r>
      <w:r w:rsidR="00786D68" w:rsidRPr="007B4794">
        <w:rPr>
          <w:rFonts w:ascii="Arial" w:hAnsi="Arial" w:cs="Arial"/>
          <w:noProof/>
          <w:color w:val="000000" w:themeColor="text1"/>
          <w:sz w:val="21"/>
          <w:szCs w:val="21"/>
        </w:rPr>
        <w:t>万人，分别比上年末增加</w:t>
      </w:r>
      <w:r w:rsidR="00786D68" w:rsidRPr="007B4794">
        <w:rPr>
          <w:rFonts w:ascii="Arial" w:hAnsi="Arial" w:cs="Arial"/>
          <w:noProof/>
          <w:color w:val="000000" w:themeColor="text1"/>
          <w:sz w:val="21"/>
          <w:szCs w:val="21"/>
        </w:rPr>
        <w:t>5.96</w:t>
      </w:r>
      <w:r w:rsidR="00786D68" w:rsidRPr="007B4794">
        <w:rPr>
          <w:rFonts w:ascii="Arial" w:hAnsi="Arial" w:cs="Arial"/>
          <w:noProof/>
          <w:color w:val="000000" w:themeColor="text1"/>
          <w:sz w:val="21"/>
          <w:szCs w:val="21"/>
        </w:rPr>
        <w:t>万人、</w:t>
      </w:r>
      <w:r w:rsidR="00786D68" w:rsidRPr="007B4794">
        <w:rPr>
          <w:rFonts w:ascii="Arial" w:hAnsi="Arial" w:cs="Arial"/>
          <w:noProof/>
          <w:color w:val="000000" w:themeColor="text1"/>
          <w:sz w:val="21"/>
          <w:szCs w:val="21"/>
        </w:rPr>
        <w:t>3.16</w:t>
      </w:r>
      <w:r w:rsidR="00786D68" w:rsidRPr="007B4794">
        <w:rPr>
          <w:rFonts w:ascii="Arial" w:hAnsi="Arial" w:cs="Arial"/>
          <w:noProof/>
          <w:color w:val="000000" w:themeColor="text1"/>
          <w:sz w:val="21"/>
          <w:szCs w:val="21"/>
        </w:rPr>
        <w:t>万人、</w:t>
      </w:r>
      <w:r w:rsidR="00786D68" w:rsidRPr="007B4794">
        <w:rPr>
          <w:rFonts w:ascii="Arial" w:hAnsi="Arial" w:cs="Arial"/>
          <w:noProof/>
          <w:color w:val="000000" w:themeColor="text1"/>
          <w:sz w:val="21"/>
          <w:szCs w:val="21"/>
        </w:rPr>
        <w:t>5.26</w:t>
      </w:r>
      <w:r w:rsidR="00786D68" w:rsidRPr="007B4794">
        <w:rPr>
          <w:rFonts w:ascii="Arial" w:hAnsi="Arial" w:cs="Arial"/>
          <w:noProof/>
          <w:color w:val="000000" w:themeColor="text1"/>
          <w:sz w:val="21"/>
          <w:szCs w:val="21"/>
        </w:rPr>
        <w:t>万人。年末职工基本医疗、生育保险参保人数分别达到</w:t>
      </w:r>
      <w:r w:rsidR="00786D68" w:rsidRPr="007B4794">
        <w:rPr>
          <w:rFonts w:ascii="Arial" w:hAnsi="Arial" w:cs="Arial"/>
          <w:noProof/>
          <w:color w:val="000000" w:themeColor="text1"/>
          <w:sz w:val="21"/>
          <w:szCs w:val="21"/>
        </w:rPr>
        <w:t>72.24</w:t>
      </w:r>
      <w:r w:rsidR="00786D68" w:rsidRPr="007B4794">
        <w:rPr>
          <w:rFonts w:ascii="Arial" w:hAnsi="Arial" w:cs="Arial"/>
          <w:noProof/>
          <w:color w:val="000000" w:themeColor="text1"/>
          <w:sz w:val="21"/>
          <w:szCs w:val="21"/>
        </w:rPr>
        <w:t>万人、</w:t>
      </w:r>
      <w:r w:rsidR="00786D68" w:rsidRPr="007B4794">
        <w:rPr>
          <w:rFonts w:ascii="Arial" w:hAnsi="Arial" w:cs="Arial"/>
          <w:noProof/>
          <w:color w:val="000000" w:themeColor="text1"/>
          <w:sz w:val="21"/>
          <w:szCs w:val="21"/>
        </w:rPr>
        <w:t>46.42</w:t>
      </w:r>
      <w:r w:rsidR="00786D68" w:rsidRPr="007B4794">
        <w:rPr>
          <w:rFonts w:ascii="Arial" w:hAnsi="Arial" w:cs="Arial"/>
          <w:noProof/>
          <w:color w:val="000000" w:themeColor="text1"/>
          <w:sz w:val="21"/>
          <w:szCs w:val="21"/>
        </w:rPr>
        <w:t>万人，分别比上年末减少</w:t>
      </w:r>
      <w:r w:rsidR="00786D68" w:rsidRPr="007B4794">
        <w:rPr>
          <w:rFonts w:ascii="Arial" w:hAnsi="Arial" w:cs="Arial"/>
          <w:noProof/>
          <w:color w:val="000000" w:themeColor="text1"/>
          <w:sz w:val="21"/>
          <w:szCs w:val="21"/>
        </w:rPr>
        <w:t>2.07</w:t>
      </w:r>
      <w:r w:rsidR="00786D68" w:rsidRPr="007B4794">
        <w:rPr>
          <w:rFonts w:ascii="Arial" w:hAnsi="Arial" w:cs="Arial"/>
          <w:noProof/>
          <w:color w:val="000000" w:themeColor="text1"/>
          <w:sz w:val="21"/>
          <w:szCs w:val="21"/>
        </w:rPr>
        <w:t>万人、</w:t>
      </w:r>
      <w:r w:rsidR="00786D68" w:rsidRPr="007B4794">
        <w:rPr>
          <w:rFonts w:ascii="Arial" w:hAnsi="Arial" w:cs="Arial"/>
          <w:noProof/>
          <w:color w:val="000000" w:themeColor="text1"/>
          <w:sz w:val="21"/>
          <w:szCs w:val="21"/>
        </w:rPr>
        <w:t>4.12</w:t>
      </w:r>
      <w:r w:rsidR="00786D68" w:rsidRPr="007B4794">
        <w:rPr>
          <w:rFonts w:ascii="Arial" w:hAnsi="Arial" w:cs="Arial"/>
          <w:noProof/>
          <w:color w:val="000000" w:themeColor="text1"/>
          <w:sz w:val="21"/>
          <w:szCs w:val="21"/>
        </w:rPr>
        <w:t>万人。全市</w:t>
      </w:r>
      <w:r w:rsidR="00786D68" w:rsidRPr="007B4794">
        <w:rPr>
          <w:rFonts w:ascii="Arial" w:hAnsi="Arial" w:cs="Arial"/>
          <w:noProof/>
          <w:color w:val="000000" w:themeColor="text1"/>
          <w:sz w:val="21"/>
          <w:szCs w:val="21"/>
        </w:rPr>
        <w:t>15.66</w:t>
      </w:r>
      <w:r w:rsidR="00786D68" w:rsidRPr="007B4794">
        <w:rPr>
          <w:rFonts w:ascii="Arial" w:hAnsi="Arial" w:cs="Arial"/>
          <w:noProof/>
          <w:color w:val="000000" w:themeColor="text1"/>
          <w:sz w:val="21"/>
          <w:szCs w:val="21"/>
        </w:rPr>
        <w:t>万名企业退休人员养老金月人均提高到</w:t>
      </w:r>
      <w:r w:rsidR="00786D68" w:rsidRPr="007B4794">
        <w:rPr>
          <w:rFonts w:ascii="Arial" w:hAnsi="Arial" w:cs="Arial"/>
          <w:noProof/>
          <w:color w:val="000000" w:themeColor="text1"/>
          <w:sz w:val="21"/>
          <w:szCs w:val="21"/>
        </w:rPr>
        <w:t>2394</w:t>
      </w:r>
      <w:r w:rsidR="00786D68" w:rsidRPr="007B4794">
        <w:rPr>
          <w:rFonts w:ascii="Arial" w:hAnsi="Arial" w:cs="Arial"/>
          <w:noProof/>
          <w:color w:val="000000" w:themeColor="text1"/>
          <w:sz w:val="21"/>
          <w:szCs w:val="21"/>
        </w:rPr>
        <w:t>元</w:t>
      </w:r>
      <w:r w:rsidR="00786D68" w:rsidRPr="007B4794">
        <w:rPr>
          <w:rFonts w:ascii="Arial" w:hAnsi="Arial" w:cs="Arial"/>
          <w:noProof/>
          <w:color w:val="000000" w:themeColor="text1"/>
          <w:sz w:val="21"/>
          <w:szCs w:val="21"/>
        </w:rPr>
        <w:t>,</w:t>
      </w:r>
      <w:r w:rsidR="00786D68" w:rsidRPr="007B4794">
        <w:rPr>
          <w:rFonts w:ascii="Arial" w:hAnsi="Arial" w:cs="Arial"/>
          <w:noProof/>
          <w:color w:val="000000" w:themeColor="text1"/>
          <w:sz w:val="21"/>
          <w:szCs w:val="21"/>
        </w:rPr>
        <w:t>比上年增加</w:t>
      </w:r>
      <w:r w:rsidR="00786D68" w:rsidRPr="007B4794">
        <w:rPr>
          <w:rFonts w:ascii="Arial" w:hAnsi="Arial" w:cs="Arial"/>
          <w:noProof/>
          <w:color w:val="000000" w:themeColor="text1"/>
          <w:sz w:val="21"/>
          <w:szCs w:val="21"/>
        </w:rPr>
        <w:t>108</w:t>
      </w:r>
      <w:r w:rsidR="00786D68" w:rsidRPr="007B4794">
        <w:rPr>
          <w:rFonts w:ascii="Arial" w:hAnsi="Arial" w:cs="Arial"/>
          <w:noProof/>
          <w:color w:val="000000" w:themeColor="text1"/>
          <w:sz w:val="21"/>
          <w:szCs w:val="21"/>
        </w:rPr>
        <w:t>元。全年办理劳动能力鉴定</w:t>
      </w:r>
      <w:r w:rsidR="00786D68" w:rsidRPr="007B4794">
        <w:rPr>
          <w:rFonts w:ascii="Arial" w:hAnsi="Arial" w:cs="Arial"/>
          <w:noProof/>
          <w:color w:val="000000" w:themeColor="text1"/>
          <w:sz w:val="21"/>
          <w:szCs w:val="21"/>
        </w:rPr>
        <w:t>2587</w:t>
      </w:r>
      <w:r w:rsidR="00786D68" w:rsidRPr="007B4794">
        <w:rPr>
          <w:rFonts w:ascii="Arial" w:hAnsi="Arial" w:cs="Arial"/>
          <w:noProof/>
          <w:color w:val="000000" w:themeColor="text1"/>
          <w:sz w:val="21"/>
          <w:szCs w:val="21"/>
        </w:rPr>
        <w:t>件，办理工伤认定案件</w:t>
      </w:r>
      <w:r w:rsidR="00786D68" w:rsidRPr="007B4794">
        <w:rPr>
          <w:rFonts w:ascii="Arial" w:hAnsi="Arial" w:cs="Arial"/>
          <w:noProof/>
          <w:color w:val="000000" w:themeColor="text1"/>
          <w:sz w:val="21"/>
          <w:szCs w:val="21"/>
        </w:rPr>
        <w:t>279</w:t>
      </w:r>
      <w:r w:rsidR="00786D68" w:rsidRPr="007B4794">
        <w:rPr>
          <w:rFonts w:ascii="Arial" w:hAnsi="Arial" w:cs="Arial"/>
          <w:noProof/>
          <w:color w:val="000000" w:themeColor="text1"/>
          <w:sz w:val="21"/>
          <w:szCs w:val="21"/>
        </w:rPr>
        <w:t>件。年末全市纳入城乡最低生活保障的居民</w:t>
      </w:r>
      <w:r w:rsidR="00786D68" w:rsidRPr="007B4794">
        <w:rPr>
          <w:rFonts w:ascii="Arial" w:hAnsi="Arial" w:cs="Arial"/>
          <w:noProof/>
          <w:color w:val="000000" w:themeColor="text1"/>
          <w:sz w:val="21"/>
          <w:szCs w:val="21"/>
        </w:rPr>
        <w:t>8.49</w:t>
      </w:r>
      <w:r w:rsidR="00786D68" w:rsidRPr="007B4794">
        <w:rPr>
          <w:rFonts w:ascii="Arial" w:hAnsi="Arial" w:cs="Arial"/>
          <w:noProof/>
          <w:color w:val="000000" w:themeColor="text1"/>
          <w:sz w:val="21"/>
          <w:szCs w:val="21"/>
        </w:rPr>
        <w:t>万人，其中，城镇最低生活保障人数</w:t>
      </w:r>
      <w:r w:rsidR="00786D68" w:rsidRPr="007B4794">
        <w:rPr>
          <w:rFonts w:ascii="Arial" w:hAnsi="Arial" w:cs="Arial"/>
          <w:noProof/>
          <w:color w:val="000000" w:themeColor="text1"/>
          <w:sz w:val="21"/>
          <w:szCs w:val="21"/>
        </w:rPr>
        <w:t>1.34</w:t>
      </w:r>
      <w:r w:rsidR="00786D68" w:rsidRPr="007B4794">
        <w:rPr>
          <w:rFonts w:ascii="Arial" w:hAnsi="Arial" w:cs="Arial"/>
          <w:noProof/>
          <w:color w:val="000000" w:themeColor="text1"/>
          <w:sz w:val="21"/>
          <w:szCs w:val="21"/>
        </w:rPr>
        <w:t>万人，年人均保障标准</w:t>
      </w:r>
      <w:r w:rsidR="00786D68" w:rsidRPr="007B4794">
        <w:rPr>
          <w:rFonts w:ascii="Arial" w:hAnsi="Arial" w:cs="Arial"/>
          <w:noProof/>
          <w:color w:val="000000" w:themeColor="text1"/>
          <w:sz w:val="21"/>
          <w:szCs w:val="21"/>
        </w:rPr>
        <w:t>7260</w:t>
      </w:r>
      <w:r w:rsidR="00786D68" w:rsidRPr="007B4794">
        <w:rPr>
          <w:rFonts w:ascii="Arial" w:hAnsi="Arial" w:cs="Arial"/>
          <w:noProof/>
          <w:color w:val="000000" w:themeColor="text1"/>
          <w:sz w:val="21"/>
          <w:szCs w:val="21"/>
        </w:rPr>
        <w:t>元，与上年持平；农村最低生活保障人数</w:t>
      </w:r>
      <w:r w:rsidR="00786D68" w:rsidRPr="007B4794">
        <w:rPr>
          <w:rFonts w:ascii="Arial" w:hAnsi="Arial" w:cs="Arial"/>
          <w:noProof/>
          <w:color w:val="000000" w:themeColor="text1"/>
          <w:sz w:val="21"/>
          <w:szCs w:val="21"/>
        </w:rPr>
        <w:t>7.15</w:t>
      </w:r>
      <w:r w:rsidR="00786D68" w:rsidRPr="007B4794">
        <w:rPr>
          <w:rFonts w:ascii="Arial" w:hAnsi="Arial" w:cs="Arial"/>
          <w:noProof/>
          <w:color w:val="000000" w:themeColor="text1"/>
          <w:sz w:val="21"/>
          <w:szCs w:val="21"/>
        </w:rPr>
        <w:t>万人，年人均保障标准</w:t>
      </w:r>
      <w:r w:rsidR="00786D68" w:rsidRPr="007B4794">
        <w:rPr>
          <w:rFonts w:ascii="Arial" w:hAnsi="Arial" w:cs="Arial"/>
          <w:noProof/>
          <w:color w:val="000000" w:themeColor="text1"/>
          <w:sz w:val="21"/>
          <w:szCs w:val="21"/>
        </w:rPr>
        <w:t>7260</w:t>
      </w:r>
      <w:r w:rsidR="00786D68" w:rsidRPr="007B4794">
        <w:rPr>
          <w:rFonts w:ascii="Arial" w:hAnsi="Arial" w:cs="Arial"/>
          <w:noProof/>
          <w:color w:val="000000" w:themeColor="text1"/>
          <w:sz w:val="21"/>
          <w:szCs w:val="21"/>
        </w:rPr>
        <w:t>元，与上年持平。</w:t>
      </w:r>
    </w:p>
    <w:p w14:paraId="399E40CC" w14:textId="694C781E" w:rsidR="00786D68" w:rsidRPr="007B4794" w:rsidRDefault="002F4613" w:rsidP="00786D6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2019</w:t>
      </w:r>
      <w:r w:rsidR="00786D68" w:rsidRPr="007B4794">
        <w:rPr>
          <w:rFonts w:ascii="Arial" w:hAnsi="Arial" w:cs="Arial" w:hint="eastAsia"/>
          <w:noProof/>
          <w:color w:val="000000" w:themeColor="text1"/>
          <w:sz w:val="21"/>
          <w:szCs w:val="21"/>
        </w:rPr>
        <w:t>年末各类养老服务机构和设施</w:t>
      </w:r>
      <w:r w:rsidR="00786D68" w:rsidRPr="007B4794">
        <w:rPr>
          <w:rFonts w:ascii="Arial" w:hAnsi="Arial" w:cs="Arial"/>
          <w:noProof/>
          <w:color w:val="000000" w:themeColor="text1"/>
          <w:sz w:val="21"/>
          <w:szCs w:val="21"/>
        </w:rPr>
        <w:t>2205</w:t>
      </w:r>
      <w:r w:rsidR="00786D68" w:rsidRPr="007B4794">
        <w:rPr>
          <w:rFonts w:ascii="Arial" w:hAnsi="Arial" w:cs="Arial"/>
          <w:noProof/>
          <w:color w:val="000000" w:themeColor="text1"/>
          <w:sz w:val="21"/>
          <w:szCs w:val="21"/>
        </w:rPr>
        <w:t>个，比上年增加</w:t>
      </w:r>
      <w:r w:rsidR="00786D68" w:rsidRPr="007B4794">
        <w:rPr>
          <w:rFonts w:ascii="Arial" w:hAnsi="Arial" w:cs="Arial"/>
          <w:noProof/>
          <w:color w:val="000000" w:themeColor="text1"/>
          <w:sz w:val="21"/>
          <w:szCs w:val="21"/>
        </w:rPr>
        <w:t>516</w:t>
      </w:r>
      <w:r w:rsidR="00786D68" w:rsidRPr="007B4794">
        <w:rPr>
          <w:rFonts w:ascii="Arial" w:hAnsi="Arial" w:cs="Arial"/>
          <w:noProof/>
          <w:color w:val="000000" w:themeColor="text1"/>
          <w:sz w:val="21"/>
          <w:szCs w:val="21"/>
        </w:rPr>
        <w:t>个，其中养老机构</w:t>
      </w:r>
      <w:r w:rsidR="00786D68" w:rsidRPr="007B4794">
        <w:rPr>
          <w:rFonts w:ascii="Arial" w:hAnsi="Arial" w:cs="Arial"/>
          <w:noProof/>
          <w:color w:val="000000" w:themeColor="text1"/>
          <w:sz w:val="21"/>
          <w:szCs w:val="21"/>
        </w:rPr>
        <w:t>140</w:t>
      </w:r>
      <w:r w:rsidR="00786D68" w:rsidRPr="007B4794">
        <w:rPr>
          <w:rFonts w:ascii="Arial" w:hAnsi="Arial" w:cs="Arial"/>
          <w:noProof/>
          <w:color w:val="000000" w:themeColor="text1"/>
          <w:sz w:val="21"/>
          <w:szCs w:val="21"/>
        </w:rPr>
        <w:t>家，社区养老服务设施</w:t>
      </w:r>
      <w:r w:rsidR="00786D68" w:rsidRPr="007B4794">
        <w:rPr>
          <w:rFonts w:ascii="Arial" w:hAnsi="Arial" w:cs="Arial"/>
          <w:noProof/>
          <w:color w:val="000000" w:themeColor="text1"/>
          <w:sz w:val="21"/>
          <w:szCs w:val="21"/>
        </w:rPr>
        <w:t>2065</w:t>
      </w:r>
      <w:r w:rsidR="00786D68" w:rsidRPr="007B4794">
        <w:rPr>
          <w:rFonts w:ascii="Arial" w:hAnsi="Arial" w:cs="Arial"/>
          <w:noProof/>
          <w:color w:val="000000" w:themeColor="text1"/>
          <w:sz w:val="21"/>
          <w:szCs w:val="21"/>
        </w:rPr>
        <w:t>个。年末全市各类养老床位数增至</w:t>
      </w:r>
      <w:r w:rsidR="00786D68" w:rsidRPr="007B4794">
        <w:rPr>
          <w:rFonts w:ascii="Arial" w:hAnsi="Arial" w:cs="Arial"/>
          <w:noProof/>
          <w:color w:val="000000" w:themeColor="text1"/>
          <w:sz w:val="21"/>
          <w:szCs w:val="21"/>
        </w:rPr>
        <w:t>3.2</w:t>
      </w:r>
      <w:r w:rsidR="00786D68" w:rsidRPr="007B4794">
        <w:rPr>
          <w:rFonts w:ascii="Arial" w:hAnsi="Arial" w:cs="Arial"/>
          <w:noProof/>
          <w:color w:val="000000" w:themeColor="text1"/>
          <w:sz w:val="21"/>
          <w:szCs w:val="21"/>
        </w:rPr>
        <w:t>万张，每千名老人拥有养老床位</w:t>
      </w:r>
      <w:r w:rsidR="00786D68" w:rsidRPr="007B4794">
        <w:rPr>
          <w:rFonts w:ascii="Arial" w:hAnsi="Arial" w:cs="Arial"/>
          <w:noProof/>
          <w:color w:val="000000" w:themeColor="text1"/>
          <w:sz w:val="21"/>
          <w:szCs w:val="21"/>
        </w:rPr>
        <w:t>35.4</w:t>
      </w:r>
      <w:r w:rsidR="00786D68" w:rsidRPr="007B4794">
        <w:rPr>
          <w:rFonts w:ascii="Arial" w:hAnsi="Arial" w:cs="Arial"/>
          <w:noProof/>
          <w:color w:val="000000" w:themeColor="text1"/>
          <w:sz w:val="21"/>
          <w:szCs w:val="21"/>
        </w:rPr>
        <w:t>张。全年销售社会福利彩票</w:t>
      </w:r>
      <w:r w:rsidR="00786D68" w:rsidRPr="007B4794">
        <w:rPr>
          <w:rFonts w:ascii="Arial" w:hAnsi="Arial" w:cs="Arial"/>
          <w:noProof/>
          <w:color w:val="000000" w:themeColor="text1"/>
          <w:sz w:val="21"/>
          <w:szCs w:val="21"/>
        </w:rPr>
        <w:t>3.93</w:t>
      </w:r>
      <w:r w:rsidR="00786D68" w:rsidRPr="007B4794">
        <w:rPr>
          <w:rFonts w:ascii="Arial" w:hAnsi="Arial" w:cs="Arial"/>
          <w:noProof/>
          <w:color w:val="000000" w:themeColor="text1"/>
          <w:sz w:val="21"/>
          <w:szCs w:val="21"/>
        </w:rPr>
        <w:t>亿元，筹集福利彩票公益金</w:t>
      </w:r>
      <w:r w:rsidR="00786D68" w:rsidRPr="007B4794">
        <w:rPr>
          <w:rFonts w:ascii="Arial" w:hAnsi="Arial" w:cs="Arial"/>
          <w:noProof/>
          <w:color w:val="000000" w:themeColor="text1"/>
          <w:sz w:val="21"/>
          <w:szCs w:val="21"/>
        </w:rPr>
        <w:t>1.1</w:t>
      </w:r>
      <w:r w:rsidR="00786D68" w:rsidRPr="007B4794">
        <w:rPr>
          <w:rFonts w:ascii="Arial" w:hAnsi="Arial" w:cs="Arial"/>
          <w:noProof/>
          <w:color w:val="000000" w:themeColor="text1"/>
          <w:sz w:val="21"/>
          <w:szCs w:val="21"/>
        </w:rPr>
        <w:t>亿元。</w:t>
      </w:r>
    </w:p>
    <w:p w14:paraId="220074BB" w14:textId="68D05FD8" w:rsidR="00AE01CB" w:rsidRPr="007B4794" w:rsidRDefault="00AE01CB" w:rsidP="00AE01CB">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2020</w:t>
      </w:r>
      <w:r w:rsidRPr="007B4794">
        <w:rPr>
          <w:rFonts w:ascii="Arial" w:hAnsi="Arial" w:cs="Arial" w:hint="eastAsia"/>
          <w:noProof/>
          <w:color w:val="000000" w:themeColor="text1"/>
          <w:sz w:val="21"/>
          <w:szCs w:val="21"/>
        </w:rPr>
        <w:t>年</w:t>
      </w:r>
      <w:r w:rsidR="002F4613" w:rsidRPr="007B4794">
        <w:rPr>
          <w:rFonts w:ascii="Arial" w:hAnsi="Arial" w:cs="Arial" w:hint="eastAsia"/>
          <w:noProof/>
          <w:color w:val="000000" w:themeColor="text1"/>
          <w:sz w:val="21"/>
          <w:szCs w:val="21"/>
        </w:rPr>
        <w:t>1-10</w:t>
      </w:r>
      <w:r w:rsidR="002F4613" w:rsidRPr="007B4794">
        <w:rPr>
          <w:rFonts w:ascii="Arial" w:hAnsi="Arial" w:cs="Arial" w:hint="eastAsia"/>
          <w:noProof/>
          <w:color w:val="000000" w:themeColor="text1"/>
          <w:sz w:val="21"/>
          <w:szCs w:val="21"/>
        </w:rPr>
        <w:t>月</w:t>
      </w:r>
      <w:r w:rsidRPr="007B4794">
        <w:rPr>
          <w:rFonts w:ascii="Arial" w:hAnsi="Arial" w:cs="Arial" w:hint="eastAsia"/>
          <w:noProof/>
          <w:color w:val="000000" w:themeColor="text1"/>
          <w:sz w:val="21"/>
          <w:szCs w:val="21"/>
        </w:rPr>
        <w:t>，随着正常生产生活秩序不断恢复，企业复工复产加快推进，一季度主要经济指标均有所回暖，经济形势明显好转。</w:t>
      </w:r>
    </w:p>
    <w:p w14:paraId="1AAA1C4F" w14:textId="661A7EF3" w:rsidR="00AE01CB" w:rsidRPr="007B4794" w:rsidRDefault="00AE01CB" w:rsidP="002F4613">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lastRenderedPageBreak/>
        <w:t>1</w:t>
      </w:r>
      <w:r w:rsidRPr="007B4794">
        <w:rPr>
          <w:rFonts w:ascii="Arial" w:hAnsi="Arial" w:cs="Arial" w:hint="eastAsia"/>
          <w:noProof/>
          <w:color w:val="000000" w:themeColor="text1"/>
          <w:sz w:val="21"/>
          <w:szCs w:val="21"/>
        </w:rPr>
        <w:t>、</w:t>
      </w:r>
      <w:r w:rsidR="002F4613" w:rsidRPr="007B4794">
        <w:rPr>
          <w:rFonts w:ascii="Arial" w:hAnsi="Arial" w:cs="Arial" w:hint="eastAsia"/>
          <w:noProof/>
          <w:color w:val="000000" w:themeColor="text1"/>
          <w:sz w:val="21"/>
          <w:szCs w:val="21"/>
        </w:rPr>
        <w:t>规模工业平稳增长。全市规模工业增加值增长</w:t>
      </w:r>
      <w:r w:rsidR="002F4613" w:rsidRPr="007B4794">
        <w:rPr>
          <w:rFonts w:ascii="Arial" w:hAnsi="Arial" w:cs="Arial"/>
          <w:noProof/>
          <w:color w:val="000000" w:themeColor="text1"/>
          <w:sz w:val="21"/>
          <w:szCs w:val="21"/>
        </w:rPr>
        <w:t>1.5%</w:t>
      </w:r>
      <w:r w:rsidR="002F4613" w:rsidRPr="007B4794">
        <w:rPr>
          <w:rFonts w:ascii="Arial" w:hAnsi="Arial" w:cs="Arial"/>
          <w:noProof/>
          <w:color w:val="000000" w:themeColor="text1"/>
          <w:sz w:val="21"/>
          <w:szCs w:val="21"/>
        </w:rPr>
        <w:t>，其中，</w:t>
      </w:r>
      <w:r w:rsidR="002F4613" w:rsidRPr="007B4794">
        <w:rPr>
          <w:rFonts w:ascii="Arial" w:hAnsi="Arial" w:cs="Arial"/>
          <w:noProof/>
          <w:color w:val="000000" w:themeColor="text1"/>
          <w:sz w:val="21"/>
          <w:szCs w:val="21"/>
        </w:rPr>
        <w:t>1061</w:t>
      </w:r>
      <w:r w:rsidR="002F4613" w:rsidRPr="007B4794">
        <w:rPr>
          <w:rFonts w:ascii="Arial" w:hAnsi="Arial" w:cs="Arial"/>
          <w:noProof/>
          <w:color w:val="000000" w:themeColor="text1"/>
          <w:sz w:val="21"/>
          <w:szCs w:val="21"/>
        </w:rPr>
        <w:t>家产值超亿元企业增长</w:t>
      </w:r>
      <w:r w:rsidR="002F4613" w:rsidRPr="007B4794">
        <w:rPr>
          <w:rFonts w:ascii="Arial" w:hAnsi="Arial" w:cs="Arial"/>
          <w:noProof/>
          <w:color w:val="000000" w:themeColor="text1"/>
          <w:sz w:val="21"/>
          <w:szCs w:val="21"/>
        </w:rPr>
        <w:t>3.5%</w:t>
      </w:r>
      <w:r w:rsidR="002F4613" w:rsidRPr="007B4794">
        <w:rPr>
          <w:rFonts w:ascii="Arial" w:hAnsi="Arial" w:cs="Arial"/>
          <w:noProof/>
          <w:color w:val="000000" w:themeColor="text1"/>
          <w:sz w:val="21"/>
          <w:szCs w:val="21"/>
        </w:rPr>
        <w:t>。</w:t>
      </w:r>
      <w:r w:rsidR="002F4613" w:rsidRPr="007B4794">
        <w:rPr>
          <w:rFonts w:ascii="Arial" w:hAnsi="Arial" w:cs="Arial"/>
          <w:noProof/>
          <w:color w:val="000000" w:themeColor="text1"/>
          <w:sz w:val="21"/>
          <w:szCs w:val="21"/>
        </w:rPr>
        <w:t>“4+4”</w:t>
      </w:r>
      <w:r w:rsidR="002F4613" w:rsidRPr="007B4794">
        <w:rPr>
          <w:rFonts w:ascii="Arial" w:hAnsi="Arial" w:cs="Arial"/>
          <w:noProof/>
          <w:color w:val="000000" w:themeColor="text1"/>
          <w:sz w:val="21"/>
          <w:szCs w:val="21"/>
        </w:rPr>
        <w:t>产业增加值增长</w:t>
      </w:r>
      <w:r w:rsidR="002F4613" w:rsidRPr="007B4794">
        <w:rPr>
          <w:rFonts w:ascii="Arial" w:hAnsi="Arial" w:cs="Arial"/>
          <w:noProof/>
          <w:color w:val="000000" w:themeColor="text1"/>
          <w:sz w:val="21"/>
          <w:szCs w:val="21"/>
        </w:rPr>
        <w:t>1.6%</w:t>
      </w:r>
      <w:r w:rsidR="002F4613" w:rsidRPr="007B4794">
        <w:rPr>
          <w:rFonts w:ascii="Arial" w:hAnsi="Arial" w:cs="Arial"/>
          <w:noProof/>
          <w:color w:val="000000" w:themeColor="text1"/>
          <w:sz w:val="21"/>
          <w:szCs w:val="21"/>
        </w:rPr>
        <w:t>，其中生物医药、特殊钢铁和电子信息分别增长</w:t>
      </w:r>
      <w:r w:rsidR="002F4613" w:rsidRPr="007B4794">
        <w:rPr>
          <w:rFonts w:ascii="Arial" w:hAnsi="Arial" w:cs="Arial"/>
          <w:noProof/>
          <w:color w:val="000000" w:themeColor="text1"/>
          <w:sz w:val="21"/>
          <w:szCs w:val="21"/>
        </w:rPr>
        <w:t>5.9%</w:t>
      </w:r>
      <w:r w:rsidR="002F4613" w:rsidRPr="007B4794">
        <w:rPr>
          <w:rFonts w:ascii="Arial" w:hAnsi="Arial" w:cs="Arial"/>
          <w:noProof/>
          <w:color w:val="000000" w:themeColor="text1"/>
          <w:sz w:val="21"/>
          <w:szCs w:val="21"/>
        </w:rPr>
        <w:t>、</w:t>
      </w:r>
      <w:r w:rsidR="002F4613" w:rsidRPr="007B4794">
        <w:rPr>
          <w:rFonts w:ascii="Arial" w:hAnsi="Arial" w:cs="Arial"/>
          <w:noProof/>
          <w:color w:val="000000" w:themeColor="text1"/>
          <w:sz w:val="21"/>
          <w:szCs w:val="21"/>
        </w:rPr>
        <w:t>4.9%</w:t>
      </w:r>
      <w:r w:rsidR="002F4613" w:rsidRPr="007B4794">
        <w:rPr>
          <w:rFonts w:ascii="Arial" w:hAnsi="Arial" w:cs="Arial"/>
          <w:noProof/>
          <w:color w:val="000000" w:themeColor="text1"/>
          <w:sz w:val="21"/>
          <w:szCs w:val="21"/>
        </w:rPr>
        <w:t>和</w:t>
      </w:r>
      <w:r w:rsidR="002F4613" w:rsidRPr="007B4794">
        <w:rPr>
          <w:rFonts w:ascii="Arial" w:hAnsi="Arial" w:cs="Arial"/>
          <w:noProof/>
          <w:color w:val="000000" w:themeColor="text1"/>
          <w:sz w:val="21"/>
          <w:szCs w:val="21"/>
        </w:rPr>
        <w:t>3.8%</w:t>
      </w:r>
      <w:r w:rsidRPr="007B4794">
        <w:rPr>
          <w:rFonts w:ascii="Arial" w:hAnsi="Arial" w:cs="Arial"/>
          <w:noProof/>
          <w:color w:val="000000" w:themeColor="text1"/>
          <w:sz w:val="21"/>
          <w:szCs w:val="21"/>
        </w:rPr>
        <w:t>。</w:t>
      </w:r>
    </w:p>
    <w:p w14:paraId="2487E793" w14:textId="69DCD260" w:rsidR="002F4613" w:rsidRPr="007B4794" w:rsidRDefault="002F4613" w:rsidP="002F4613">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2</w:t>
      </w:r>
      <w:r w:rsidRPr="007B4794">
        <w:rPr>
          <w:rFonts w:ascii="Arial" w:hAnsi="Arial" w:cs="Arial" w:hint="eastAsia"/>
          <w:noProof/>
          <w:color w:val="000000" w:themeColor="text1"/>
          <w:sz w:val="21"/>
          <w:szCs w:val="21"/>
        </w:rPr>
        <w:t>、投资降幅有所扩大。固定资产投资下降</w:t>
      </w:r>
      <w:r w:rsidRPr="007B4794">
        <w:rPr>
          <w:rFonts w:ascii="Arial" w:hAnsi="Arial" w:cs="Arial"/>
          <w:noProof/>
          <w:color w:val="000000" w:themeColor="text1"/>
          <w:sz w:val="21"/>
          <w:szCs w:val="21"/>
        </w:rPr>
        <w:t>8.7%</w:t>
      </w:r>
      <w:r w:rsidRPr="007B4794">
        <w:rPr>
          <w:rFonts w:ascii="Arial" w:hAnsi="Arial" w:cs="Arial"/>
          <w:noProof/>
          <w:color w:val="000000" w:themeColor="text1"/>
          <w:sz w:val="21"/>
          <w:szCs w:val="21"/>
        </w:rPr>
        <w:t>。分类型看，项目投资下降</w:t>
      </w:r>
      <w:r w:rsidRPr="007B4794">
        <w:rPr>
          <w:rFonts w:ascii="Arial" w:hAnsi="Arial" w:cs="Arial"/>
          <w:noProof/>
          <w:color w:val="000000" w:themeColor="text1"/>
          <w:sz w:val="21"/>
          <w:szCs w:val="21"/>
        </w:rPr>
        <w:t>10.9%</w:t>
      </w:r>
      <w:r w:rsidRPr="007B4794">
        <w:rPr>
          <w:rFonts w:ascii="Arial" w:hAnsi="Arial" w:cs="Arial"/>
          <w:noProof/>
          <w:color w:val="000000" w:themeColor="text1"/>
          <w:sz w:val="21"/>
          <w:szCs w:val="21"/>
        </w:rPr>
        <w:t>；房地产开发投资</w:t>
      </w:r>
      <w:r w:rsidRPr="007B4794">
        <w:rPr>
          <w:rFonts w:ascii="Arial" w:hAnsi="Arial" w:cs="Arial"/>
          <w:noProof/>
          <w:color w:val="000000" w:themeColor="text1"/>
          <w:sz w:val="21"/>
          <w:szCs w:val="21"/>
        </w:rPr>
        <w:t>621.73</w:t>
      </w:r>
      <w:r w:rsidRPr="007B4794">
        <w:rPr>
          <w:rFonts w:ascii="Arial" w:hAnsi="Arial" w:cs="Arial"/>
          <w:noProof/>
          <w:color w:val="000000" w:themeColor="text1"/>
          <w:sz w:val="21"/>
          <w:szCs w:val="21"/>
        </w:rPr>
        <w:t>亿元，下降</w:t>
      </w:r>
      <w:r w:rsidRPr="007B4794">
        <w:rPr>
          <w:rFonts w:ascii="Arial" w:hAnsi="Arial" w:cs="Arial"/>
          <w:noProof/>
          <w:color w:val="000000" w:themeColor="text1"/>
          <w:sz w:val="21"/>
          <w:szCs w:val="21"/>
        </w:rPr>
        <w:t>3.2%</w:t>
      </w:r>
      <w:r w:rsidRPr="007B4794">
        <w:rPr>
          <w:rFonts w:ascii="Arial" w:hAnsi="Arial" w:cs="Arial"/>
          <w:noProof/>
          <w:color w:val="000000" w:themeColor="text1"/>
          <w:sz w:val="21"/>
          <w:szCs w:val="21"/>
        </w:rPr>
        <w:t>。分产业看，第一产业投资下降</w:t>
      </w:r>
      <w:r w:rsidRPr="007B4794">
        <w:rPr>
          <w:rFonts w:ascii="Arial" w:hAnsi="Arial" w:cs="Arial"/>
          <w:noProof/>
          <w:color w:val="000000" w:themeColor="text1"/>
          <w:sz w:val="21"/>
          <w:szCs w:val="21"/>
        </w:rPr>
        <w:t>8.4%</w:t>
      </w:r>
      <w:r w:rsidRPr="007B4794">
        <w:rPr>
          <w:rFonts w:ascii="Arial" w:hAnsi="Arial" w:cs="Arial"/>
          <w:noProof/>
          <w:color w:val="000000" w:themeColor="text1"/>
          <w:sz w:val="21"/>
          <w:szCs w:val="21"/>
        </w:rPr>
        <w:t>；第二产业投资下降</w:t>
      </w:r>
      <w:r w:rsidRPr="007B4794">
        <w:rPr>
          <w:rFonts w:ascii="Arial" w:hAnsi="Arial" w:cs="Arial"/>
          <w:noProof/>
          <w:color w:val="000000" w:themeColor="text1"/>
          <w:sz w:val="21"/>
          <w:szCs w:val="21"/>
        </w:rPr>
        <w:t>7.8%</w:t>
      </w:r>
      <w:r w:rsidRPr="007B4794">
        <w:rPr>
          <w:rFonts w:ascii="Arial" w:hAnsi="Arial" w:cs="Arial"/>
          <w:noProof/>
          <w:color w:val="000000" w:themeColor="text1"/>
          <w:sz w:val="21"/>
          <w:szCs w:val="21"/>
        </w:rPr>
        <w:t>；第三产业投资下降</w:t>
      </w:r>
      <w:r w:rsidRPr="007B4794">
        <w:rPr>
          <w:rFonts w:ascii="Arial" w:hAnsi="Arial" w:cs="Arial"/>
          <w:noProof/>
          <w:color w:val="000000" w:themeColor="text1"/>
          <w:sz w:val="21"/>
          <w:szCs w:val="21"/>
        </w:rPr>
        <w:t>9.3%</w:t>
      </w:r>
      <w:r w:rsidRPr="007B4794">
        <w:rPr>
          <w:rFonts w:ascii="Arial" w:hAnsi="Arial" w:cs="Arial"/>
          <w:noProof/>
          <w:color w:val="000000" w:themeColor="text1"/>
          <w:sz w:val="21"/>
          <w:szCs w:val="21"/>
        </w:rPr>
        <w:t>。</w:t>
      </w:r>
    </w:p>
    <w:p w14:paraId="0CCBC93F" w14:textId="42AF322C" w:rsidR="002F4613" w:rsidRPr="007B4794" w:rsidRDefault="002F4613" w:rsidP="002F4613">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3</w:t>
      </w:r>
      <w:r w:rsidRPr="007B4794">
        <w:rPr>
          <w:rFonts w:ascii="Arial" w:hAnsi="Arial" w:cs="Arial" w:hint="eastAsia"/>
          <w:noProof/>
          <w:color w:val="000000" w:themeColor="text1"/>
          <w:sz w:val="21"/>
          <w:szCs w:val="21"/>
        </w:rPr>
        <w:t>、市场消费回暖企稳。社会消费品零售总额</w:t>
      </w:r>
      <w:r w:rsidRPr="007B4794">
        <w:rPr>
          <w:rFonts w:ascii="Arial" w:hAnsi="Arial" w:cs="Arial"/>
          <w:noProof/>
          <w:color w:val="000000" w:themeColor="text1"/>
          <w:sz w:val="21"/>
          <w:szCs w:val="21"/>
        </w:rPr>
        <w:t>1420.38</w:t>
      </w:r>
      <w:r w:rsidRPr="007B4794">
        <w:rPr>
          <w:rFonts w:ascii="Arial" w:hAnsi="Arial" w:cs="Arial"/>
          <w:noProof/>
          <w:color w:val="000000" w:themeColor="text1"/>
          <w:sz w:val="21"/>
          <w:szCs w:val="21"/>
        </w:rPr>
        <w:t>亿元，下降</w:t>
      </w:r>
      <w:r w:rsidRPr="007B4794">
        <w:rPr>
          <w:rFonts w:ascii="Arial" w:hAnsi="Arial" w:cs="Arial"/>
          <w:noProof/>
          <w:color w:val="000000" w:themeColor="text1"/>
          <w:sz w:val="21"/>
          <w:szCs w:val="21"/>
        </w:rPr>
        <w:t>3.1%</w:t>
      </w:r>
      <w:r w:rsidRPr="007B4794">
        <w:rPr>
          <w:rFonts w:ascii="Arial" w:hAnsi="Arial" w:cs="Arial"/>
          <w:noProof/>
          <w:color w:val="000000" w:themeColor="text1"/>
          <w:sz w:val="21"/>
          <w:szCs w:val="21"/>
        </w:rPr>
        <w:t>。其中，限额以上消费品零售额</w:t>
      </w:r>
      <w:r w:rsidRPr="007B4794">
        <w:rPr>
          <w:rFonts w:ascii="Arial" w:hAnsi="Arial" w:cs="Arial"/>
          <w:noProof/>
          <w:color w:val="000000" w:themeColor="text1"/>
          <w:sz w:val="21"/>
          <w:szCs w:val="21"/>
        </w:rPr>
        <w:t>471.58</w:t>
      </w:r>
      <w:r w:rsidRPr="007B4794">
        <w:rPr>
          <w:rFonts w:ascii="Arial" w:hAnsi="Arial" w:cs="Arial"/>
          <w:noProof/>
          <w:color w:val="000000" w:themeColor="text1"/>
          <w:sz w:val="21"/>
          <w:szCs w:val="21"/>
        </w:rPr>
        <w:t>亿元，下降</w:t>
      </w:r>
      <w:r w:rsidRPr="007B4794">
        <w:rPr>
          <w:rFonts w:ascii="Arial" w:hAnsi="Arial" w:cs="Arial"/>
          <w:noProof/>
          <w:color w:val="000000" w:themeColor="text1"/>
          <w:sz w:val="21"/>
          <w:szCs w:val="21"/>
        </w:rPr>
        <w:t>4.6%</w:t>
      </w:r>
      <w:r w:rsidRPr="007B4794">
        <w:rPr>
          <w:rFonts w:ascii="Arial" w:hAnsi="Arial" w:cs="Arial"/>
          <w:noProof/>
          <w:color w:val="000000" w:themeColor="text1"/>
          <w:sz w:val="21"/>
          <w:szCs w:val="21"/>
        </w:rPr>
        <w:t>；限额以下消费品零售额</w:t>
      </w:r>
      <w:r w:rsidRPr="007B4794">
        <w:rPr>
          <w:rFonts w:ascii="Arial" w:hAnsi="Arial" w:cs="Arial"/>
          <w:noProof/>
          <w:color w:val="000000" w:themeColor="text1"/>
          <w:sz w:val="21"/>
          <w:szCs w:val="21"/>
        </w:rPr>
        <w:t>948.80</w:t>
      </w:r>
      <w:r w:rsidRPr="007B4794">
        <w:rPr>
          <w:rFonts w:ascii="Arial" w:hAnsi="Arial" w:cs="Arial"/>
          <w:noProof/>
          <w:color w:val="000000" w:themeColor="text1"/>
          <w:sz w:val="21"/>
          <w:szCs w:val="21"/>
        </w:rPr>
        <w:t>亿元，下降</w:t>
      </w:r>
      <w:r w:rsidRPr="007B4794">
        <w:rPr>
          <w:rFonts w:ascii="Arial" w:hAnsi="Arial" w:cs="Arial"/>
          <w:noProof/>
          <w:color w:val="000000" w:themeColor="text1"/>
          <w:sz w:val="21"/>
          <w:szCs w:val="21"/>
        </w:rPr>
        <w:t>2.3%</w:t>
      </w:r>
      <w:r w:rsidRPr="007B4794">
        <w:rPr>
          <w:rFonts w:ascii="Arial" w:hAnsi="Arial" w:cs="Arial"/>
          <w:noProof/>
          <w:color w:val="000000" w:themeColor="text1"/>
          <w:sz w:val="21"/>
          <w:szCs w:val="21"/>
        </w:rPr>
        <w:t>。分行业看，限额以上批发业销售额</w:t>
      </w:r>
      <w:r w:rsidRPr="007B4794">
        <w:rPr>
          <w:rFonts w:ascii="Arial" w:hAnsi="Arial" w:cs="Arial"/>
          <w:noProof/>
          <w:color w:val="000000" w:themeColor="text1"/>
          <w:sz w:val="21"/>
          <w:szCs w:val="21"/>
        </w:rPr>
        <w:t>975.04</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15.8%</w:t>
      </w:r>
      <w:r w:rsidRPr="007B4794">
        <w:rPr>
          <w:rFonts w:ascii="Arial" w:hAnsi="Arial" w:cs="Arial"/>
          <w:noProof/>
          <w:color w:val="000000" w:themeColor="text1"/>
          <w:sz w:val="21"/>
          <w:szCs w:val="21"/>
        </w:rPr>
        <w:t>；限额以上零售业销售额</w:t>
      </w:r>
      <w:r w:rsidRPr="007B4794">
        <w:rPr>
          <w:rFonts w:ascii="Arial" w:hAnsi="Arial" w:cs="Arial"/>
          <w:noProof/>
          <w:color w:val="000000" w:themeColor="text1"/>
          <w:sz w:val="21"/>
          <w:szCs w:val="21"/>
        </w:rPr>
        <w:t>400.32</w:t>
      </w:r>
      <w:r w:rsidRPr="007B4794">
        <w:rPr>
          <w:rFonts w:ascii="Arial" w:hAnsi="Arial" w:cs="Arial"/>
          <w:noProof/>
          <w:color w:val="000000" w:themeColor="text1"/>
          <w:sz w:val="21"/>
          <w:szCs w:val="21"/>
        </w:rPr>
        <w:t>亿元，下降</w:t>
      </w:r>
      <w:r w:rsidRPr="007B4794">
        <w:rPr>
          <w:rFonts w:ascii="Arial" w:hAnsi="Arial" w:cs="Arial"/>
          <w:noProof/>
          <w:color w:val="000000" w:themeColor="text1"/>
          <w:sz w:val="21"/>
          <w:szCs w:val="21"/>
        </w:rPr>
        <w:t>5.4%</w:t>
      </w:r>
      <w:r w:rsidRPr="007B4794">
        <w:rPr>
          <w:rFonts w:ascii="Arial" w:hAnsi="Arial" w:cs="Arial"/>
          <w:noProof/>
          <w:color w:val="000000" w:themeColor="text1"/>
          <w:sz w:val="21"/>
          <w:szCs w:val="21"/>
        </w:rPr>
        <w:t>；限额以上住宿业营业额</w:t>
      </w:r>
      <w:r w:rsidRPr="007B4794">
        <w:rPr>
          <w:rFonts w:ascii="Arial" w:hAnsi="Arial" w:cs="Arial"/>
          <w:noProof/>
          <w:color w:val="000000" w:themeColor="text1"/>
          <w:sz w:val="21"/>
          <w:szCs w:val="21"/>
        </w:rPr>
        <w:t>19.63</w:t>
      </w:r>
      <w:r w:rsidRPr="007B4794">
        <w:rPr>
          <w:rFonts w:ascii="Arial" w:hAnsi="Arial" w:cs="Arial"/>
          <w:noProof/>
          <w:color w:val="000000" w:themeColor="text1"/>
          <w:sz w:val="21"/>
          <w:szCs w:val="21"/>
        </w:rPr>
        <w:t>亿元，下降</w:t>
      </w:r>
      <w:r w:rsidRPr="007B4794">
        <w:rPr>
          <w:rFonts w:ascii="Arial" w:hAnsi="Arial" w:cs="Arial"/>
          <w:noProof/>
          <w:color w:val="000000" w:themeColor="text1"/>
          <w:sz w:val="21"/>
          <w:szCs w:val="21"/>
        </w:rPr>
        <w:t>7.6%</w:t>
      </w:r>
      <w:r w:rsidRPr="007B4794">
        <w:rPr>
          <w:rFonts w:ascii="Arial" w:hAnsi="Arial" w:cs="Arial"/>
          <w:noProof/>
          <w:color w:val="000000" w:themeColor="text1"/>
          <w:sz w:val="21"/>
          <w:szCs w:val="21"/>
        </w:rPr>
        <w:t>；限额以上餐饮业营业额</w:t>
      </w:r>
      <w:r w:rsidRPr="007B4794">
        <w:rPr>
          <w:rFonts w:ascii="Arial" w:hAnsi="Arial" w:cs="Arial"/>
          <w:noProof/>
          <w:color w:val="000000" w:themeColor="text1"/>
          <w:sz w:val="21"/>
          <w:szCs w:val="21"/>
        </w:rPr>
        <w:t>44.13</w:t>
      </w:r>
      <w:r w:rsidRPr="007B4794">
        <w:rPr>
          <w:rFonts w:ascii="Arial" w:hAnsi="Arial" w:cs="Arial"/>
          <w:noProof/>
          <w:color w:val="000000" w:themeColor="text1"/>
          <w:sz w:val="21"/>
          <w:szCs w:val="21"/>
        </w:rPr>
        <w:t>亿元，下降</w:t>
      </w:r>
      <w:r w:rsidRPr="007B4794">
        <w:rPr>
          <w:rFonts w:ascii="Arial" w:hAnsi="Arial" w:cs="Arial"/>
          <w:noProof/>
          <w:color w:val="000000" w:themeColor="text1"/>
          <w:sz w:val="21"/>
          <w:szCs w:val="21"/>
        </w:rPr>
        <w:t>5.0%</w:t>
      </w:r>
      <w:r w:rsidRPr="007B4794">
        <w:rPr>
          <w:rFonts w:ascii="Arial" w:hAnsi="Arial" w:cs="Arial"/>
          <w:noProof/>
          <w:color w:val="000000" w:themeColor="text1"/>
          <w:sz w:val="21"/>
          <w:szCs w:val="21"/>
        </w:rPr>
        <w:t>。</w:t>
      </w:r>
    </w:p>
    <w:p w14:paraId="00F43D5F" w14:textId="043F9E8D" w:rsidR="002F4613" w:rsidRPr="007B4794" w:rsidRDefault="002F4613" w:rsidP="002F4613">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4</w:t>
      </w:r>
      <w:r w:rsidRPr="007B4794">
        <w:rPr>
          <w:rFonts w:ascii="Arial" w:hAnsi="Arial" w:cs="Arial" w:hint="eastAsia"/>
          <w:noProof/>
          <w:color w:val="000000" w:themeColor="text1"/>
          <w:sz w:val="21"/>
          <w:szCs w:val="21"/>
        </w:rPr>
        <w:t>、财政降幅持续收窄。一般公共预算总收入</w:t>
      </w:r>
      <w:r w:rsidRPr="007B4794">
        <w:rPr>
          <w:rFonts w:ascii="Arial" w:hAnsi="Arial" w:cs="Arial"/>
          <w:noProof/>
          <w:color w:val="000000" w:themeColor="text1"/>
          <w:sz w:val="21"/>
          <w:szCs w:val="21"/>
        </w:rPr>
        <w:t>302.73</w:t>
      </w:r>
      <w:r w:rsidRPr="007B4794">
        <w:rPr>
          <w:rFonts w:ascii="Arial" w:hAnsi="Arial" w:cs="Arial"/>
          <w:noProof/>
          <w:color w:val="000000" w:themeColor="text1"/>
          <w:sz w:val="21"/>
          <w:szCs w:val="21"/>
        </w:rPr>
        <w:t>亿元，下降</w:t>
      </w:r>
      <w:r w:rsidRPr="007B4794">
        <w:rPr>
          <w:rFonts w:ascii="Arial" w:hAnsi="Arial" w:cs="Arial"/>
          <w:noProof/>
          <w:color w:val="000000" w:themeColor="text1"/>
          <w:sz w:val="21"/>
          <w:szCs w:val="21"/>
        </w:rPr>
        <w:t>4.4%</w:t>
      </w:r>
      <w:r w:rsidRPr="007B4794">
        <w:rPr>
          <w:rFonts w:ascii="Arial" w:hAnsi="Arial" w:cs="Arial"/>
          <w:noProof/>
          <w:color w:val="000000" w:themeColor="text1"/>
          <w:sz w:val="21"/>
          <w:szCs w:val="21"/>
        </w:rPr>
        <w:t>，降幅比</w:t>
      </w:r>
      <w:r w:rsidRPr="007B4794">
        <w:rPr>
          <w:rFonts w:ascii="Arial" w:hAnsi="Arial" w:cs="Arial"/>
          <w:noProof/>
          <w:color w:val="000000" w:themeColor="text1"/>
          <w:sz w:val="21"/>
          <w:szCs w:val="21"/>
        </w:rPr>
        <w:t>1-9</w:t>
      </w:r>
      <w:r w:rsidRPr="007B4794">
        <w:rPr>
          <w:rFonts w:ascii="Arial" w:hAnsi="Arial" w:cs="Arial"/>
          <w:noProof/>
          <w:color w:val="000000" w:themeColor="text1"/>
          <w:sz w:val="21"/>
          <w:szCs w:val="21"/>
        </w:rPr>
        <w:t>月收窄</w:t>
      </w:r>
      <w:r w:rsidRPr="007B4794">
        <w:rPr>
          <w:rFonts w:ascii="Arial" w:hAnsi="Arial" w:cs="Arial"/>
          <w:noProof/>
          <w:color w:val="000000" w:themeColor="text1"/>
          <w:sz w:val="21"/>
          <w:szCs w:val="21"/>
        </w:rPr>
        <w:t>3.6</w:t>
      </w:r>
      <w:r w:rsidRPr="007B4794">
        <w:rPr>
          <w:rFonts w:ascii="Arial" w:hAnsi="Arial" w:cs="Arial"/>
          <w:noProof/>
          <w:color w:val="000000" w:themeColor="text1"/>
          <w:sz w:val="21"/>
          <w:szCs w:val="21"/>
        </w:rPr>
        <w:t>个百分点，其中，增值税降幅收窄</w:t>
      </w:r>
      <w:r w:rsidRPr="007B4794">
        <w:rPr>
          <w:rFonts w:ascii="Arial" w:hAnsi="Arial" w:cs="Arial"/>
          <w:noProof/>
          <w:color w:val="000000" w:themeColor="text1"/>
          <w:sz w:val="21"/>
          <w:szCs w:val="21"/>
        </w:rPr>
        <w:t>3.5</w:t>
      </w:r>
      <w:r w:rsidRPr="007B4794">
        <w:rPr>
          <w:rFonts w:ascii="Arial" w:hAnsi="Arial" w:cs="Arial"/>
          <w:noProof/>
          <w:color w:val="000000" w:themeColor="text1"/>
          <w:sz w:val="21"/>
          <w:szCs w:val="21"/>
        </w:rPr>
        <w:t>个百分点；其他工商税收窄</w:t>
      </w:r>
      <w:r w:rsidRPr="007B4794">
        <w:rPr>
          <w:rFonts w:ascii="Arial" w:hAnsi="Arial" w:cs="Arial"/>
          <w:noProof/>
          <w:color w:val="000000" w:themeColor="text1"/>
          <w:sz w:val="21"/>
          <w:szCs w:val="21"/>
        </w:rPr>
        <w:t>2.8</w:t>
      </w:r>
      <w:r w:rsidRPr="007B4794">
        <w:rPr>
          <w:rFonts w:ascii="Arial" w:hAnsi="Arial" w:cs="Arial"/>
          <w:noProof/>
          <w:color w:val="000000" w:themeColor="text1"/>
          <w:sz w:val="21"/>
          <w:szCs w:val="21"/>
        </w:rPr>
        <w:t>个百分点；企业所得税收窄</w:t>
      </w:r>
      <w:r w:rsidRPr="007B4794">
        <w:rPr>
          <w:rFonts w:ascii="Arial" w:hAnsi="Arial" w:cs="Arial"/>
          <w:noProof/>
          <w:color w:val="000000" w:themeColor="text1"/>
          <w:sz w:val="21"/>
          <w:szCs w:val="21"/>
        </w:rPr>
        <w:t>4.8</w:t>
      </w:r>
      <w:r w:rsidRPr="007B4794">
        <w:rPr>
          <w:rFonts w:ascii="Arial" w:hAnsi="Arial" w:cs="Arial"/>
          <w:noProof/>
          <w:color w:val="000000" w:themeColor="text1"/>
          <w:sz w:val="21"/>
          <w:szCs w:val="21"/>
        </w:rPr>
        <w:t>个百分点。地方一般公共预算收入</w:t>
      </w:r>
      <w:r w:rsidRPr="007B4794">
        <w:rPr>
          <w:rFonts w:ascii="Arial" w:hAnsi="Arial" w:cs="Arial"/>
          <w:noProof/>
          <w:color w:val="000000" w:themeColor="text1"/>
          <w:sz w:val="21"/>
          <w:szCs w:val="21"/>
        </w:rPr>
        <w:t>187.60</w:t>
      </w:r>
      <w:r w:rsidRPr="007B4794">
        <w:rPr>
          <w:rFonts w:ascii="Arial" w:hAnsi="Arial" w:cs="Arial"/>
          <w:noProof/>
          <w:color w:val="000000" w:themeColor="text1"/>
          <w:sz w:val="21"/>
          <w:szCs w:val="21"/>
        </w:rPr>
        <w:t>亿元，下降</w:t>
      </w:r>
      <w:r w:rsidRPr="007B4794">
        <w:rPr>
          <w:rFonts w:ascii="Arial" w:hAnsi="Arial" w:cs="Arial"/>
          <w:noProof/>
          <w:color w:val="000000" w:themeColor="text1"/>
          <w:sz w:val="21"/>
          <w:szCs w:val="21"/>
        </w:rPr>
        <w:t>2.5%</w:t>
      </w:r>
      <w:r w:rsidRPr="007B4794">
        <w:rPr>
          <w:rFonts w:ascii="Arial" w:hAnsi="Arial" w:cs="Arial"/>
          <w:noProof/>
          <w:color w:val="000000" w:themeColor="text1"/>
          <w:sz w:val="21"/>
          <w:szCs w:val="21"/>
        </w:rPr>
        <w:t>，收窄</w:t>
      </w:r>
      <w:r w:rsidRPr="007B4794">
        <w:rPr>
          <w:rFonts w:ascii="Arial" w:hAnsi="Arial" w:cs="Arial"/>
          <w:noProof/>
          <w:color w:val="000000" w:themeColor="text1"/>
          <w:sz w:val="21"/>
          <w:szCs w:val="21"/>
        </w:rPr>
        <w:t>3.1</w:t>
      </w:r>
      <w:r w:rsidRPr="007B4794">
        <w:rPr>
          <w:rFonts w:ascii="Arial" w:hAnsi="Arial" w:cs="Arial"/>
          <w:noProof/>
          <w:color w:val="000000" w:themeColor="text1"/>
          <w:sz w:val="21"/>
          <w:szCs w:val="21"/>
        </w:rPr>
        <w:t>个百分点。</w:t>
      </w:r>
    </w:p>
    <w:p w14:paraId="34E323EE" w14:textId="2F3A9F5F" w:rsidR="002F4613" w:rsidRPr="007B4794" w:rsidRDefault="002F4613" w:rsidP="002F4613">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5</w:t>
      </w:r>
      <w:r w:rsidRPr="007B4794">
        <w:rPr>
          <w:rFonts w:ascii="Arial" w:hAnsi="Arial" w:cs="Arial" w:hint="eastAsia"/>
          <w:noProof/>
          <w:color w:val="000000" w:themeColor="text1"/>
          <w:sz w:val="21"/>
          <w:szCs w:val="21"/>
        </w:rPr>
        <w:t>、对外经贸成效显著。</w:t>
      </w:r>
      <w:r w:rsidRPr="007B4794">
        <w:rPr>
          <w:rFonts w:ascii="Arial" w:hAnsi="Arial" w:cs="Arial"/>
          <w:noProof/>
          <w:color w:val="000000" w:themeColor="text1"/>
          <w:sz w:val="21"/>
          <w:szCs w:val="21"/>
        </w:rPr>
        <w:t>1-9</w:t>
      </w:r>
      <w:r w:rsidRPr="007B4794">
        <w:rPr>
          <w:rFonts w:ascii="Arial" w:hAnsi="Arial" w:cs="Arial"/>
          <w:noProof/>
          <w:color w:val="000000" w:themeColor="text1"/>
          <w:sz w:val="21"/>
          <w:szCs w:val="21"/>
        </w:rPr>
        <w:t>月，进出口总值</w:t>
      </w:r>
      <w:r w:rsidRPr="007B4794">
        <w:rPr>
          <w:rFonts w:ascii="Arial" w:hAnsi="Arial" w:cs="Arial"/>
          <w:noProof/>
          <w:color w:val="000000" w:themeColor="text1"/>
          <w:sz w:val="21"/>
          <w:szCs w:val="21"/>
        </w:rPr>
        <w:t>565</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6%</w:t>
      </w:r>
      <w:r w:rsidRPr="007B4794">
        <w:rPr>
          <w:rFonts w:ascii="Arial" w:hAnsi="Arial" w:cs="Arial"/>
          <w:noProof/>
          <w:color w:val="000000" w:themeColor="text1"/>
          <w:sz w:val="21"/>
          <w:szCs w:val="21"/>
        </w:rPr>
        <w:t>，其中，出口</w:t>
      </w:r>
      <w:r w:rsidRPr="007B4794">
        <w:rPr>
          <w:rFonts w:ascii="Arial" w:hAnsi="Arial" w:cs="Arial"/>
          <w:noProof/>
          <w:color w:val="000000" w:themeColor="text1"/>
          <w:sz w:val="21"/>
          <w:szCs w:val="21"/>
        </w:rPr>
        <w:t>362.8</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4.2%</w:t>
      </w:r>
      <w:r w:rsidRPr="007B4794">
        <w:rPr>
          <w:rFonts w:ascii="Arial" w:hAnsi="Arial" w:cs="Arial"/>
          <w:noProof/>
          <w:color w:val="000000" w:themeColor="text1"/>
          <w:sz w:val="21"/>
          <w:szCs w:val="21"/>
        </w:rPr>
        <w:t>；进口</w:t>
      </w:r>
      <w:r w:rsidRPr="007B4794">
        <w:rPr>
          <w:rFonts w:ascii="Arial" w:hAnsi="Arial" w:cs="Arial"/>
          <w:noProof/>
          <w:color w:val="000000" w:themeColor="text1"/>
          <w:sz w:val="21"/>
          <w:szCs w:val="21"/>
        </w:rPr>
        <w:t>202.2</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9.5%</w:t>
      </w:r>
      <w:r w:rsidRPr="007B4794">
        <w:rPr>
          <w:rFonts w:ascii="Arial" w:hAnsi="Arial" w:cs="Arial"/>
          <w:noProof/>
          <w:color w:val="000000" w:themeColor="text1"/>
          <w:sz w:val="21"/>
          <w:szCs w:val="21"/>
        </w:rPr>
        <w:t>。</w:t>
      </w:r>
      <w:r w:rsidRPr="007B4794">
        <w:rPr>
          <w:rFonts w:ascii="Arial" w:hAnsi="Arial" w:cs="Arial"/>
          <w:noProof/>
          <w:color w:val="000000" w:themeColor="text1"/>
          <w:sz w:val="21"/>
          <w:szCs w:val="21"/>
        </w:rPr>
        <w:t>1-10</w:t>
      </w:r>
      <w:r w:rsidRPr="007B4794">
        <w:rPr>
          <w:rFonts w:ascii="Arial" w:hAnsi="Arial" w:cs="Arial"/>
          <w:noProof/>
          <w:color w:val="000000" w:themeColor="text1"/>
          <w:sz w:val="21"/>
          <w:szCs w:val="21"/>
        </w:rPr>
        <w:t>月，实际利用外资</w:t>
      </w:r>
      <w:r w:rsidRPr="007B4794">
        <w:rPr>
          <w:rFonts w:ascii="Arial" w:hAnsi="Arial" w:cs="Arial"/>
          <w:noProof/>
          <w:color w:val="000000" w:themeColor="text1"/>
          <w:sz w:val="21"/>
          <w:szCs w:val="21"/>
        </w:rPr>
        <w:t>35.14</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12.5%</w:t>
      </w:r>
      <w:r w:rsidRPr="007B4794">
        <w:rPr>
          <w:rFonts w:ascii="Arial" w:hAnsi="Arial" w:cs="Arial"/>
          <w:noProof/>
          <w:color w:val="000000" w:themeColor="text1"/>
          <w:sz w:val="21"/>
          <w:szCs w:val="21"/>
        </w:rPr>
        <w:t>。</w:t>
      </w:r>
    </w:p>
    <w:p w14:paraId="009BC6E7" w14:textId="6658B23E" w:rsidR="00AE01CB" w:rsidRPr="007B4794" w:rsidRDefault="002F4613" w:rsidP="002F4613">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7B4794">
        <w:rPr>
          <w:rFonts w:ascii="Arial" w:hAnsi="Arial" w:cs="Arial" w:hint="eastAsia"/>
          <w:noProof/>
          <w:color w:val="000000" w:themeColor="text1"/>
          <w:sz w:val="21"/>
          <w:szCs w:val="21"/>
        </w:rPr>
        <w:t>6</w:t>
      </w:r>
      <w:r w:rsidRPr="007B4794">
        <w:rPr>
          <w:rFonts w:ascii="Arial" w:hAnsi="Arial" w:cs="Arial" w:hint="eastAsia"/>
          <w:noProof/>
          <w:color w:val="000000" w:themeColor="text1"/>
          <w:sz w:val="21"/>
          <w:szCs w:val="21"/>
        </w:rPr>
        <w:t>、贷款增幅再居首位。</w:t>
      </w:r>
      <w:r w:rsidRPr="007B4794">
        <w:rPr>
          <w:rFonts w:ascii="Arial" w:hAnsi="Arial" w:cs="Arial"/>
          <w:noProof/>
          <w:color w:val="000000" w:themeColor="text1"/>
          <w:sz w:val="21"/>
          <w:szCs w:val="21"/>
        </w:rPr>
        <w:t>10</w:t>
      </w:r>
      <w:r w:rsidRPr="007B4794">
        <w:rPr>
          <w:rFonts w:ascii="Arial" w:hAnsi="Arial" w:cs="Arial"/>
          <w:noProof/>
          <w:color w:val="000000" w:themeColor="text1"/>
          <w:sz w:val="21"/>
          <w:szCs w:val="21"/>
        </w:rPr>
        <w:t>月末，金融机构本外币存款余额</w:t>
      </w:r>
      <w:r w:rsidRPr="007B4794">
        <w:rPr>
          <w:rFonts w:ascii="Arial" w:hAnsi="Arial" w:cs="Arial"/>
          <w:noProof/>
          <w:color w:val="000000" w:themeColor="text1"/>
          <w:sz w:val="21"/>
          <w:szCs w:val="21"/>
        </w:rPr>
        <w:t>3476.04</w:t>
      </w:r>
      <w:r w:rsidRPr="007B4794">
        <w:rPr>
          <w:rFonts w:ascii="Arial" w:hAnsi="Arial" w:cs="Arial"/>
          <w:noProof/>
          <w:color w:val="000000" w:themeColor="text1"/>
          <w:sz w:val="21"/>
          <w:szCs w:val="21"/>
        </w:rPr>
        <w:t>亿元，比上月末减少</w:t>
      </w:r>
      <w:r w:rsidRPr="007B4794">
        <w:rPr>
          <w:rFonts w:ascii="Arial" w:hAnsi="Arial" w:cs="Arial"/>
          <w:noProof/>
          <w:color w:val="000000" w:themeColor="text1"/>
          <w:sz w:val="21"/>
          <w:szCs w:val="21"/>
        </w:rPr>
        <w:t>45.55</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7.7%</w:t>
      </w:r>
      <w:r w:rsidRPr="007B4794">
        <w:rPr>
          <w:rFonts w:ascii="Arial" w:hAnsi="Arial" w:cs="Arial"/>
          <w:noProof/>
          <w:color w:val="000000" w:themeColor="text1"/>
          <w:sz w:val="21"/>
          <w:szCs w:val="21"/>
        </w:rPr>
        <w:t>，比上月末提高</w:t>
      </w:r>
      <w:r w:rsidRPr="007B4794">
        <w:rPr>
          <w:rFonts w:ascii="Arial" w:hAnsi="Arial" w:cs="Arial"/>
          <w:noProof/>
          <w:color w:val="000000" w:themeColor="text1"/>
          <w:sz w:val="21"/>
          <w:szCs w:val="21"/>
        </w:rPr>
        <w:t>0.5</w:t>
      </w:r>
      <w:r w:rsidRPr="007B4794">
        <w:rPr>
          <w:rFonts w:ascii="Arial" w:hAnsi="Arial" w:cs="Arial"/>
          <w:noProof/>
          <w:color w:val="000000" w:themeColor="text1"/>
          <w:sz w:val="21"/>
          <w:szCs w:val="21"/>
        </w:rPr>
        <w:t>个百分点。其中</w:t>
      </w:r>
      <w:r w:rsidRPr="007B4794">
        <w:rPr>
          <w:rFonts w:ascii="Arial" w:hAnsi="Arial" w:cs="Arial"/>
          <w:noProof/>
          <w:color w:val="000000" w:themeColor="text1"/>
          <w:sz w:val="21"/>
          <w:szCs w:val="21"/>
        </w:rPr>
        <w:t>,</w:t>
      </w:r>
      <w:r w:rsidRPr="007B4794">
        <w:rPr>
          <w:rFonts w:ascii="Arial" w:hAnsi="Arial" w:cs="Arial"/>
          <w:noProof/>
          <w:color w:val="000000" w:themeColor="text1"/>
          <w:sz w:val="21"/>
          <w:szCs w:val="21"/>
        </w:rPr>
        <w:t>人民币存款余额</w:t>
      </w:r>
      <w:r w:rsidRPr="007B4794">
        <w:rPr>
          <w:rFonts w:ascii="Arial" w:hAnsi="Arial" w:cs="Arial"/>
          <w:noProof/>
          <w:color w:val="000000" w:themeColor="text1"/>
          <w:sz w:val="21"/>
          <w:szCs w:val="21"/>
        </w:rPr>
        <w:t>3441.31</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8.8%</w:t>
      </w:r>
      <w:r w:rsidRPr="007B4794">
        <w:rPr>
          <w:rFonts w:ascii="Arial" w:hAnsi="Arial" w:cs="Arial"/>
          <w:noProof/>
          <w:color w:val="000000" w:themeColor="text1"/>
          <w:sz w:val="21"/>
          <w:szCs w:val="21"/>
        </w:rPr>
        <w:t>。金融机构本外币贷款余额</w:t>
      </w:r>
      <w:r w:rsidRPr="007B4794">
        <w:rPr>
          <w:rFonts w:ascii="Arial" w:hAnsi="Arial" w:cs="Arial"/>
          <w:noProof/>
          <w:color w:val="000000" w:themeColor="text1"/>
          <w:sz w:val="21"/>
          <w:szCs w:val="21"/>
        </w:rPr>
        <w:t>3386.58</w:t>
      </w:r>
      <w:r w:rsidRPr="007B4794">
        <w:rPr>
          <w:rFonts w:ascii="Arial" w:hAnsi="Arial" w:cs="Arial"/>
          <w:noProof/>
          <w:color w:val="000000" w:themeColor="text1"/>
          <w:sz w:val="21"/>
          <w:szCs w:val="21"/>
        </w:rPr>
        <w:t>亿元，比上月末减少</w:t>
      </w:r>
      <w:r w:rsidRPr="007B4794">
        <w:rPr>
          <w:rFonts w:ascii="Arial" w:hAnsi="Arial" w:cs="Arial"/>
          <w:noProof/>
          <w:color w:val="000000" w:themeColor="text1"/>
          <w:sz w:val="21"/>
          <w:szCs w:val="21"/>
        </w:rPr>
        <w:t>12.32</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18.5%</w:t>
      </w:r>
      <w:r w:rsidRPr="007B4794">
        <w:rPr>
          <w:rFonts w:ascii="Arial" w:hAnsi="Arial" w:cs="Arial"/>
          <w:noProof/>
          <w:color w:val="000000" w:themeColor="text1"/>
          <w:sz w:val="21"/>
          <w:szCs w:val="21"/>
        </w:rPr>
        <w:t>，增速回落</w:t>
      </w:r>
      <w:r w:rsidRPr="007B4794">
        <w:rPr>
          <w:rFonts w:ascii="Arial" w:hAnsi="Arial" w:cs="Arial"/>
          <w:noProof/>
          <w:color w:val="000000" w:themeColor="text1"/>
          <w:sz w:val="21"/>
          <w:szCs w:val="21"/>
        </w:rPr>
        <w:t>0.1</w:t>
      </w:r>
      <w:r w:rsidRPr="007B4794">
        <w:rPr>
          <w:rFonts w:ascii="Arial" w:hAnsi="Arial" w:cs="Arial"/>
          <w:noProof/>
          <w:color w:val="000000" w:themeColor="text1"/>
          <w:sz w:val="21"/>
          <w:szCs w:val="21"/>
        </w:rPr>
        <w:t>个百分点。其中</w:t>
      </w:r>
      <w:r w:rsidRPr="007B4794">
        <w:rPr>
          <w:rFonts w:ascii="Arial" w:hAnsi="Arial" w:cs="Arial"/>
          <w:noProof/>
          <w:color w:val="000000" w:themeColor="text1"/>
          <w:sz w:val="21"/>
          <w:szCs w:val="21"/>
        </w:rPr>
        <w:t>,</w:t>
      </w:r>
      <w:r w:rsidRPr="007B4794">
        <w:rPr>
          <w:rFonts w:ascii="Arial" w:hAnsi="Arial" w:cs="Arial"/>
          <w:noProof/>
          <w:color w:val="000000" w:themeColor="text1"/>
          <w:sz w:val="21"/>
          <w:szCs w:val="21"/>
        </w:rPr>
        <w:t>人民币贷款余额</w:t>
      </w:r>
      <w:r w:rsidRPr="007B4794">
        <w:rPr>
          <w:rFonts w:ascii="Arial" w:hAnsi="Arial" w:cs="Arial"/>
          <w:noProof/>
          <w:color w:val="000000" w:themeColor="text1"/>
          <w:sz w:val="21"/>
          <w:szCs w:val="21"/>
        </w:rPr>
        <w:t>3380.88</w:t>
      </w:r>
      <w:r w:rsidRPr="007B4794">
        <w:rPr>
          <w:rFonts w:ascii="Arial" w:hAnsi="Arial" w:cs="Arial"/>
          <w:noProof/>
          <w:color w:val="000000" w:themeColor="text1"/>
          <w:sz w:val="21"/>
          <w:szCs w:val="21"/>
        </w:rPr>
        <w:t>亿元，增长</w:t>
      </w:r>
      <w:r w:rsidRPr="007B4794">
        <w:rPr>
          <w:rFonts w:ascii="Arial" w:hAnsi="Arial" w:cs="Arial"/>
          <w:noProof/>
          <w:color w:val="000000" w:themeColor="text1"/>
          <w:sz w:val="21"/>
          <w:szCs w:val="21"/>
        </w:rPr>
        <w:t>18.5%</w:t>
      </w:r>
      <w:r w:rsidRPr="007B4794">
        <w:rPr>
          <w:rFonts w:ascii="Arial" w:hAnsi="Arial" w:cs="Arial"/>
          <w:noProof/>
          <w:color w:val="000000" w:themeColor="text1"/>
          <w:sz w:val="21"/>
          <w:szCs w:val="21"/>
        </w:rPr>
        <w:t>。</w:t>
      </w:r>
      <w:r w:rsidR="00AE01CB" w:rsidRPr="007B4794">
        <w:rPr>
          <w:rFonts w:ascii="Arial" w:hAnsi="Arial" w:cs="Arial"/>
          <w:noProof/>
          <w:color w:val="000000" w:themeColor="text1"/>
          <w:sz w:val="21"/>
          <w:szCs w:val="21"/>
        </w:rPr>
        <w:t>。</w:t>
      </w:r>
    </w:p>
    <w:p w14:paraId="732A2DA2" w14:textId="77777777" w:rsidR="00AE01CB" w:rsidRPr="007B4794" w:rsidRDefault="00AE01CB" w:rsidP="00AE01CB">
      <w:pPr>
        <w:widowControl w:val="0"/>
        <w:adjustRightInd w:val="0"/>
        <w:snapToGrid w:val="0"/>
        <w:spacing w:line="480" w:lineRule="auto"/>
        <w:ind w:firstLineChars="200" w:firstLine="422"/>
        <w:jc w:val="both"/>
        <w:rPr>
          <w:rFonts w:cs="Arial"/>
          <w:b/>
          <w:color w:val="000000" w:themeColor="text1"/>
          <w:sz w:val="21"/>
          <w:szCs w:val="21"/>
        </w:rPr>
      </w:pPr>
      <w:r w:rsidRPr="007B4794">
        <w:rPr>
          <w:rFonts w:cs="Arial"/>
          <w:b/>
          <w:color w:val="000000" w:themeColor="text1"/>
          <w:sz w:val="21"/>
          <w:szCs w:val="21"/>
        </w:rPr>
        <w:t>（</w:t>
      </w:r>
      <w:r w:rsidRPr="007B4794">
        <w:rPr>
          <w:rFonts w:cs="Arial" w:hint="eastAsia"/>
          <w:b/>
          <w:color w:val="000000" w:themeColor="text1"/>
          <w:sz w:val="21"/>
          <w:szCs w:val="21"/>
        </w:rPr>
        <w:t>三</w:t>
      </w:r>
      <w:r w:rsidRPr="007B4794">
        <w:rPr>
          <w:rFonts w:cs="Arial"/>
          <w:b/>
          <w:color w:val="000000" w:themeColor="text1"/>
          <w:sz w:val="21"/>
          <w:szCs w:val="21"/>
        </w:rPr>
        <w:t>）</w:t>
      </w:r>
      <w:r w:rsidRPr="007B4794">
        <w:rPr>
          <w:rFonts w:cs="Arial" w:hint="eastAsia"/>
          <w:b/>
          <w:color w:val="000000" w:themeColor="text1"/>
          <w:sz w:val="21"/>
          <w:szCs w:val="21"/>
        </w:rPr>
        <w:t>城市规划与发展目标</w:t>
      </w:r>
    </w:p>
    <w:p w14:paraId="34259604" w14:textId="30BB94C2" w:rsidR="00AE01CB" w:rsidRPr="007B4794" w:rsidRDefault="00AE01CB" w:rsidP="00AE01CB">
      <w:pPr>
        <w:widowControl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1</w:t>
      </w:r>
      <w:r w:rsidRPr="007B4794">
        <w:rPr>
          <w:rFonts w:ascii="Arial" w:hAnsi="Arial" w:cs="Arial"/>
          <w:color w:val="000000" w:themeColor="text1"/>
          <w:sz w:val="21"/>
          <w:szCs w:val="21"/>
        </w:rPr>
        <w:t>.</w:t>
      </w:r>
      <w:r w:rsidR="00BA1A3D" w:rsidRPr="007B4794">
        <w:rPr>
          <w:rFonts w:ascii="Arial" w:hAnsi="Arial" w:cs="Arial" w:hint="eastAsia"/>
          <w:color w:val="000000" w:themeColor="text1"/>
          <w:sz w:val="21"/>
          <w:szCs w:val="21"/>
        </w:rPr>
        <w:t>漳州</w:t>
      </w:r>
      <w:r w:rsidRPr="007B4794">
        <w:rPr>
          <w:rFonts w:ascii="Arial" w:hAnsi="Arial" w:cs="Arial" w:hint="eastAsia"/>
          <w:color w:val="000000" w:themeColor="text1"/>
          <w:sz w:val="21"/>
          <w:szCs w:val="21"/>
        </w:rPr>
        <w:t>市城市总体规划</w:t>
      </w:r>
    </w:p>
    <w:p w14:paraId="20F8E78E" w14:textId="2B00A1A3" w:rsidR="00AE01CB" w:rsidRPr="007B4794" w:rsidRDefault="00AE01CB" w:rsidP="00AE01CB">
      <w:pPr>
        <w:widowControl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根据《</w:t>
      </w:r>
      <w:r w:rsidR="0042649B" w:rsidRPr="007B4794">
        <w:rPr>
          <w:rFonts w:ascii="Arial" w:hAnsi="Arial" w:cs="Arial" w:hint="eastAsia"/>
          <w:color w:val="000000" w:themeColor="text1"/>
          <w:sz w:val="21"/>
          <w:szCs w:val="21"/>
        </w:rPr>
        <w:t>漳州</w:t>
      </w:r>
      <w:r w:rsidRPr="007B4794">
        <w:rPr>
          <w:rFonts w:ascii="Arial" w:hAnsi="Arial" w:cs="Arial" w:hint="eastAsia"/>
          <w:color w:val="000000" w:themeColor="text1"/>
          <w:sz w:val="21"/>
          <w:szCs w:val="21"/>
        </w:rPr>
        <w:t>市城市总体规划（</w:t>
      </w:r>
      <w:r w:rsidRPr="007B4794">
        <w:rPr>
          <w:rFonts w:ascii="Arial" w:hAnsi="Arial" w:cs="Arial"/>
          <w:color w:val="000000" w:themeColor="text1"/>
          <w:sz w:val="21"/>
          <w:szCs w:val="21"/>
        </w:rPr>
        <w:t>201</w:t>
      </w:r>
      <w:r w:rsidR="00BA1A3D"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-20</w:t>
      </w:r>
      <w:r w:rsidR="00BA1A3D" w:rsidRPr="007B4794">
        <w:rPr>
          <w:rFonts w:ascii="Arial" w:hAnsi="Arial" w:cs="Arial" w:hint="eastAsia"/>
          <w:color w:val="000000" w:themeColor="text1"/>
          <w:sz w:val="21"/>
          <w:szCs w:val="21"/>
        </w:rPr>
        <w:t>30</w:t>
      </w:r>
      <w:r w:rsidRPr="007B4794">
        <w:rPr>
          <w:rFonts w:ascii="Arial" w:hAnsi="Arial" w:cs="Arial"/>
          <w:color w:val="000000" w:themeColor="text1"/>
          <w:sz w:val="21"/>
          <w:szCs w:val="21"/>
        </w:rPr>
        <w:t>年）》：</w:t>
      </w:r>
    </w:p>
    <w:p w14:paraId="4964BABF" w14:textId="7309EEE7" w:rsidR="00D63886" w:rsidRPr="007B4794" w:rsidRDefault="00AE01CB" w:rsidP="0041327D">
      <w:pPr>
        <w:spacing w:line="480" w:lineRule="auto"/>
        <w:ind w:firstLineChars="150" w:firstLine="315"/>
        <w:rPr>
          <w:color w:val="000000" w:themeColor="text1"/>
        </w:rPr>
      </w:pP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1</w:t>
      </w:r>
      <w:r w:rsidRPr="007B4794">
        <w:rPr>
          <w:rFonts w:ascii="Arial" w:hAnsi="Arial" w:cs="Arial"/>
          <w:color w:val="000000" w:themeColor="text1"/>
          <w:sz w:val="21"/>
          <w:szCs w:val="21"/>
        </w:rPr>
        <w:t>）</w:t>
      </w:r>
      <w:r w:rsidR="00BA1A3D" w:rsidRPr="007B4794">
        <w:rPr>
          <w:rFonts w:ascii="Arial" w:hAnsi="Arial" w:cs="Arial" w:hint="eastAsia"/>
          <w:color w:val="000000" w:themeColor="text1"/>
          <w:sz w:val="21"/>
          <w:szCs w:val="21"/>
        </w:rPr>
        <w:t>城市发展总目标。以“田园都市、生态之城”发展定位为引领，建设“创业创新的活力漳州，又富又美的幸福漳州</w:t>
      </w:r>
      <w:r w:rsidR="00BA1A3D" w:rsidRPr="007B4794">
        <w:rPr>
          <w:rFonts w:ascii="Arial" w:hAnsi="Arial" w:cs="Arial"/>
          <w:color w:val="000000" w:themeColor="text1"/>
          <w:sz w:val="21"/>
          <w:szCs w:val="21"/>
        </w:rPr>
        <w:t>,</w:t>
      </w:r>
      <w:r w:rsidR="00BA1A3D" w:rsidRPr="007B4794">
        <w:rPr>
          <w:rFonts w:ascii="Arial" w:hAnsi="Arial" w:cs="Arial"/>
          <w:color w:val="000000" w:themeColor="text1"/>
          <w:sz w:val="21"/>
          <w:szCs w:val="21"/>
        </w:rPr>
        <w:t>秀丽宜居的田园都市，文明和谐的生态之城</w:t>
      </w:r>
      <w:r w:rsidR="00BA1A3D" w:rsidRPr="007B4794">
        <w:rPr>
          <w:rFonts w:ascii="Arial" w:hAnsi="Arial" w:cs="Arial"/>
          <w:color w:val="000000" w:themeColor="text1"/>
          <w:sz w:val="21"/>
          <w:szCs w:val="21"/>
        </w:rPr>
        <w:t>”</w:t>
      </w:r>
      <w:r w:rsidR="00BA1A3D" w:rsidRPr="007B4794">
        <w:rPr>
          <w:rFonts w:ascii="Arial" w:hAnsi="Arial" w:cs="Arial"/>
          <w:color w:val="000000" w:themeColor="text1"/>
          <w:sz w:val="21"/>
          <w:szCs w:val="21"/>
        </w:rPr>
        <w:t>，打造更加开放、漳台深度融合、与厦门联动发展的新兴生态港口工贸城市。推进</w:t>
      </w:r>
      <w:r w:rsidR="00BA1A3D" w:rsidRPr="007B4794">
        <w:rPr>
          <w:rFonts w:ascii="Arial" w:hAnsi="Arial" w:cs="Arial"/>
          <w:color w:val="000000" w:themeColor="text1"/>
          <w:sz w:val="21"/>
          <w:szCs w:val="21"/>
        </w:rPr>
        <w:t>“</w:t>
      </w:r>
      <w:r w:rsidR="00BA1A3D" w:rsidRPr="007B4794">
        <w:rPr>
          <w:rFonts w:ascii="Arial" w:hAnsi="Arial" w:cs="Arial"/>
          <w:color w:val="000000" w:themeColor="text1"/>
          <w:sz w:val="21"/>
          <w:szCs w:val="21"/>
        </w:rPr>
        <w:t>水城、绿城、历史文化名城</w:t>
      </w:r>
      <w:r w:rsidR="00BA1A3D" w:rsidRPr="007B4794">
        <w:rPr>
          <w:rFonts w:ascii="Arial" w:hAnsi="Arial" w:cs="Arial"/>
          <w:color w:val="000000" w:themeColor="text1"/>
          <w:sz w:val="21"/>
          <w:szCs w:val="21"/>
        </w:rPr>
        <w:t>”</w:t>
      </w:r>
      <w:r w:rsidR="00BA1A3D" w:rsidRPr="007B4794">
        <w:rPr>
          <w:rFonts w:ascii="Arial" w:hAnsi="Arial" w:cs="Arial"/>
          <w:color w:val="000000" w:themeColor="text1"/>
          <w:sz w:val="21"/>
          <w:szCs w:val="21"/>
        </w:rPr>
        <w:t>三城融合；建设</w:t>
      </w:r>
      <w:r w:rsidR="00BA1A3D" w:rsidRPr="007B4794">
        <w:rPr>
          <w:rFonts w:ascii="Arial" w:hAnsi="Arial" w:cs="Arial"/>
          <w:color w:val="000000" w:themeColor="text1"/>
          <w:sz w:val="21"/>
          <w:szCs w:val="21"/>
        </w:rPr>
        <w:t>“</w:t>
      </w:r>
      <w:r w:rsidR="00BA1A3D" w:rsidRPr="007B4794">
        <w:rPr>
          <w:rFonts w:ascii="Arial" w:hAnsi="Arial" w:cs="Arial"/>
          <w:color w:val="000000" w:themeColor="text1"/>
          <w:sz w:val="21"/>
          <w:szCs w:val="21"/>
        </w:rPr>
        <w:t>以水为脉、</w:t>
      </w:r>
      <w:r w:rsidR="00BA1A3D" w:rsidRPr="007B4794">
        <w:rPr>
          <w:rFonts w:ascii="Arial" w:hAnsi="Arial" w:cs="Arial"/>
          <w:color w:val="000000" w:themeColor="text1"/>
          <w:sz w:val="21"/>
          <w:szCs w:val="21"/>
        </w:rPr>
        <w:lastRenderedPageBreak/>
        <w:t>以绿为韵、以文为魂</w:t>
      </w:r>
      <w:r w:rsidR="00BA1A3D" w:rsidRPr="007B4794">
        <w:rPr>
          <w:rFonts w:ascii="Arial" w:hAnsi="Arial" w:cs="Arial"/>
          <w:color w:val="000000" w:themeColor="text1"/>
          <w:sz w:val="21"/>
          <w:szCs w:val="21"/>
        </w:rPr>
        <w:t>”</w:t>
      </w:r>
      <w:r w:rsidR="00BA1A3D" w:rsidRPr="007B4794">
        <w:rPr>
          <w:rFonts w:ascii="Arial" w:hAnsi="Arial" w:cs="Arial"/>
          <w:color w:val="000000" w:themeColor="text1"/>
          <w:sz w:val="21"/>
          <w:szCs w:val="21"/>
        </w:rPr>
        <w:t>的美丽漳州；使漳州成为</w:t>
      </w:r>
      <w:r w:rsidR="00BA1A3D" w:rsidRPr="007B4794">
        <w:rPr>
          <w:rFonts w:ascii="Arial" w:hAnsi="Arial" w:cs="Arial"/>
          <w:color w:val="000000" w:themeColor="text1"/>
          <w:sz w:val="21"/>
          <w:szCs w:val="21"/>
        </w:rPr>
        <w:t>“</w:t>
      </w:r>
      <w:r w:rsidR="00BA1A3D" w:rsidRPr="007B4794">
        <w:rPr>
          <w:rFonts w:ascii="Arial" w:hAnsi="Arial" w:cs="Arial"/>
          <w:color w:val="000000" w:themeColor="text1"/>
          <w:sz w:val="21"/>
          <w:szCs w:val="21"/>
        </w:rPr>
        <w:t>全国地级市先锋城市、国家级生态示范城市、国家森林城市、海峡产业合作先行区</w:t>
      </w:r>
      <w:r w:rsidRPr="007B4794">
        <w:rPr>
          <w:rFonts w:ascii="Arial" w:hAnsi="Arial" w:cs="Arial"/>
          <w:color w:val="000000" w:themeColor="text1"/>
          <w:sz w:val="21"/>
          <w:szCs w:val="21"/>
        </w:rPr>
        <w:t>。</w:t>
      </w:r>
    </w:p>
    <w:p w14:paraId="01A199FA" w14:textId="5F1EFD91" w:rsidR="00AE01CB" w:rsidRPr="007B4794" w:rsidRDefault="00E04B1A" w:rsidP="00E04B1A">
      <w:pPr>
        <w:widowControl w:val="0"/>
        <w:snapToGrid w:val="0"/>
        <w:spacing w:line="480" w:lineRule="auto"/>
        <w:ind w:firstLineChars="200" w:firstLine="480"/>
        <w:jc w:val="both"/>
        <w:rPr>
          <w:rFonts w:ascii="Arial" w:hAnsi="Arial" w:cs="Arial"/>
          <w:color w:val="000000" w:themeColor="text1"/>
          <w:sz w:val="21"/>
          <w:szCs w:val="21"/>
        </w:rPr>
      </w:pPr>
      <w:r w:rsidRPr="007B4794">
        <w:rPr>
          <w:noProof/>
          <w:color w:val="000000" w:themeColor="text1"/>
        </w:rPr>
        <w:drawing>
          <wp:anchor distT="0" distB="0" distL="114300" distR="114300" simplePos="0" relativeHeight="251685376" behindDoc="0" locked="0" layoutInCell="1" allowOverlap="1" wp14:anchorId="0DB75591" wp14:editId="22538B2D">
            <wp:simplePos x="0" y="0"/>
            <wp:positionH relativeFrom="column">
              <wp:posOffset>3235960</wp:posOffset>
            </wp:positionH>
            <wp:positionV relativeFrom="paragraph">
              <wp:posOffset>-696595</wp:posOffset>
            </wp:positionV>
            <wp:extent cx="2649220" cy="3811905"/>
            <wp:effectExtent l="0" t="0" r="0" b="0"/>
            <wp:wrapSquare wrapText="bothSides"/>
            <wp:docPr id="31" name="图片 31" descr="C:\Documents and Settings\Administrator\Application Data\Tencent\Users\273361491\QQ\WinTemp\RichOle\CUX%C)E78~@ZHYWNF5T4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Application Data\Tencent\Users\273361491\QQ\WinTemp\RichOle\CUX%C)E78~@ZHYWNF5T4_}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49220" cy="3811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01CB" w:rsidRPr="007B4794">
        <w:rPr>
          <w:rFonts w:ascii="Arial" w:hAnsi="Arial" w:cs="Arial" w:hint="eastAsia"/>
          <w:color w:val="000000" w:themeColor="text1"/>
          <w:sz w:val="21"/>
          <w:szCs w:val="21"/>
        </w:rPr>
        <w:t>（</w:t>
      </w:r>
      <w:r w:rsidR="00AE01CB" w:rsidRPr="007B4794">
        <w:rPr>
          <w:rFonts w:ascii="Arial" w:hAnsi="Arial" w:cs="Arial"/>
          <w:color w:val="000000" w:themeColor="text1"/>
          <w:sz w:val="21"/>
          <w:szCs w:val="21"/>
        </w:rPr>
        <w:t>2</w:t>
      </w:r>
      <w:r w:rsidR="00AE01CB" w:rsidRPr="007B4794">
        <w:rPr>
          <w:rFonts w:ascii="Arial" w:hAnsi="Arial" w:cs="Arial"/>
          <w:color w:val="000000" w:themeColor="text1"/>
          <w:sz w:val="21"/>
          <w:szCs w:val="21"/>
        </w:rPr>
        <w:t>）</w:t>
      </w:r>
      <w:r w:rsidR="00BA1A3D" w:rsidRPr="007B4794">
        <w:rPr>
          <w:rFonts w:ascii="Arial" w:hAnsi="Arial" w:cs="Arial" w:hint="eastAsia"/>
          <w:color w:val="000000" w:themeColor="text1"/>
          <w:sz w:val="21"/>
          <w:szCs w:val="21"/>
        </w:rPr>
        <w:t>城市性质和城市职能。城市性质：海峡两岸合作先行区，海西区域性中心城市，国家级历史文化名城，生态宜居的田园都市。城市职能：重要战略性临港产业基地；国家级交通枢纽；国际知名文化旅游目的地；漳州市政治、经济、文化中心</w:t>
      </w:r>
      <w:r w:rsidR="00AE01CB" w:rsidRPr="007B4794">
        <w:rPr>
          <w:rFonts w:ascii="Arial" w:hAnsi="Arial" w:cs="Arial"/>
          <w:color w:val="000000" w:themeColor="text1"/>
          <w:sz w:val="21"/>
          <w:szCs w:val="21"/>
        </w:rPr>
        <w:t>。</w:t>
      </w:r>
    </w:p>
    <w:p w14:paraId="008D8832" w14:textId="771E9112" w:rsidR="00AE01CB" w:rsidRPr="007B4794" w:rsidRDefault="00AE01CB" w:rsidP="00BA1A3D">
      <w:pPr>
        <w:widowControl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3</w:t>
      </w:r>
      <w:r w:rsidRPr="007B4794">
        <w:rPr>
          <w:rFonts w:ascii="Arial" w:hAnsi="Arial" w:cs="Arial"/>
          <w:color w:val="000000" w:themeColor="text1"/>
          <w:sz w:val="21"/>
          <w:szCs w:val="21"/>
        </w:rPr>
        <w:t>）</w:t>
      </w:r>
      <w:r w:rsidR="00BA1A3D" w:rsidRPr="007B4794">
        <w:rPr>
          <w:rFonts w:ascii="Arial" w:hAnsi="Arial" w:cs="Arial" w:hint="eastAsia"/>
          <w:color w:val="000000" w:themeColor="text1"/>
          <w:sz w:val="21"/>
          <w:szCs w:val="21"/>
        </w:rPr>
        <w:t>城市总体发展战略。全面对台、漳厦同城、拥江达海、区划调整、产城一体、设施完善。</w:t>
      </w:r>
    </w:p>
    <w:p w14:paraId="50AE9AC3" w14:textId="54AFF51B" w:rsidR="00AE01CB" w:rsidRPr="007B4794" w:rsidRDefault="00AE01CB" w:rsidP="00AE01CB">
      <w:pPr>
        <w:widowControl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2.</w:t>
      </w:r>
      <w:r w:rsidR="00BA1A3D" w:rsidRPr="007B4794">
        <w:rPr>
          <w:rFonts w:ascii="Arial" w:hAnsi="Arial" w:cs="Arial" w:hint="eastAsia"/>
          <w:color w:val="000000" w:themeColor="text1"/>
          <w:sz w:val="21"/>
          <w:szCs w:val="21"/>
        </w:rPr>
        <w:t>规划区城镇空间拓展</w:t>
      </w:r>
      <w:r w:rsidRPr="007B4794">
        <w:rPr>
          <w:rFonts w:ascii="Arial" w:hAnsi="Arial" w:cs="Arial" w:hint="eastAsia"/>
          <w:color w:val="000000" w:themeColor="text1"/>
          <w:sz w:val="21"/>
          <w:szCs w:val="21"/>
        </w:rPr>
        <w:t>：</w:t>
      </w:r>
    </w:p>
    <w:p w14:paraId="7F902C1A" w14:textId="77777777" w:rsidR="00BA1A3D" w:rsidRPr="007B4794" w:rsidRDefault="00BA1A3D" w:rsidP="00BA1A3D">
      <w:pPr>
        <w:widowControl w:val="0"/>
        <w:snapToGrid w:val="0"/>
        <w:spacing w:line="480" w:lineRule="auto"/>
        <w:ind w:firstLineChars="200" w:firstLine="420"/>
        <w:rPr>
          <w:rFonts w:ascii="Arial" w:hAnsi="Arial" w:cs="Arial"/>
          <w:color w:val="000000" w:themeColor="text1"/>
          <w:sz w:val="21"/>
          <w:szCs w:val="21"/>
        </w:rPr>
      </w:pPr>
      <w:r w:rsidRPr="007B4794">
        <w:rPr>
          <w:rFonts w:ascii="Arial" w:hAnsi="Arial" w:cs="Arial" w:hint="eastAsia"/>
          <w:color w:val="000000" w:themeColor="text1"/>
          <w:sz w:val="21"/>
          <w:szCs w:val="21"/>
        </w:rPr>
        <w:t>规划重点是预测规划区人口和用地发展总规模，预测各个片区、组团的发展规模，并对各片区、组团作出城镇发展指引。</w:t>
      </w:r>
    </w:p>
    <w:p w14:paraId="58F8CFD0" w14:textId="0E4EE943" w:rsidR="00BA1A3D" w:rsidRPr="007B4794" w:rsidRDefault="00E04B1A" w:rsidP="00E04B1A">
      <w:pPr>
        <w:widowControl w:val="0"/>
        <w:snapToGrid w:val="0"/>
        <w:spacing w:line="480" w:lineRule="auto"/>
        <w:ind w:firstLineChars="200" w:firstLine="480"/>
        <w:rPr>
          <w:rFonts w:ascii="Arial" w:hAnsi="Arial" w:cs="Arial"/>
          <w:color w:val="000000" w:themeColor="text1"/>
          <w:sz w:val="21"/>
          <w:szCs w:val="21"/>
        </w:rPr>
      </w:pPr>
      <w:r w:rsidRPr="007B4794">
        <w:rPr>
          <w:noProof/>
          <w:color w:val="000000" w:themeColor="text1"/>
        </w:rPr>
        <w:drawing>
          <wp:anchor distT="0" distB="0" distL="114300" distR="114300" simplePos="0" relativeHeight="251684352" behindDoc="0" locked="0" layoutInCell="1" allowOverlap="1" wp14:anchorId="303C9678" wp14:editId="045755A2">
            <wp:simplePos x="0" y="0"/>
            <wp:positionH relativeFrom="column">
              <wp:posOffset>3130550</wp:posOffset>
            </wp:positionH>
            <wp:positionV relativeFrom="paragraph">
              <wp:posOffset>164465</wp:posOffset>
            </wp:positionV>
            <wp:extent cx="2841625" cy="3717925"/>
            <wp:effectExtent l="0" t="0" r="0" b="0"/>
            <wp:wrapSquare wrapText="bothSides"/>
            <wp:docPr id="17" name="图片 17" descr="C:\Documents and Settings\Administrator\Application Data\Tencent\Users\273361491\QQ\WinTemp\RichOle\88`0VP$55]M$UN6C(QN(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Application Data\Tencent\Users\273361491\QQ\WinTemp\RichOle\88`0VP$55]M$UN6C(QN(G[I.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1625" cy="3717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A3D" w:rsidRPr="007B4794">
        <w:rPr>
          <w:rFonts w:ascii="Arial" w:hAnsi="Arial" w:cs="Arial" w:hint="eastAsia"/>
          <w:color w:val="000000" w:themeColor="text1"/>
          <w:sz w:val="21"/>
          <w:szCs w:val="21"/>
        </w:rPr>
        <w:t>（</w:t>
      </w:r>
      <w:r w:rsidR="00BA1A3D" w:rsidRPr="007B4794">
        <w:rPr>
          <w:rFonts w:ascii="Arial" w:hAnsi="Arial" w:cs="Arial"/>
          <w:color w:val="000000" w:themeColor="text1"/>
          <w:sz w:val="21"/>
          <w:szCs w:val="21"/>
        </w:rPr>
        <w:t>1</w:t>
      </w:r>
      <w:r w:rsidR="00BA1A3D" w:rsidRPr="007B4794">
        <w:rPr>
          <w:rFonts w:ascii="Arial" w:hAnsi="Arial" w:cs="Arial"/>
          <w:color w:val="000000" w:themeColor="text1"/>
          <w:sz w:val="21"/>
          <w:szCs w:val="21"/>
        </w:rPr>
        <w:t>）规划区空间发展策略。</w:t>
      </w:r>
      <w:r w:rsidR="00BA1A3D" w:rsidRPr="007B4794">
        <w:rPr>
          <w:rFonts w:ascii="Arial" w:hAnsi="Arial" w:cs="Arial" w:hint="eastAsia"/>
          <w:color w:val="000000" w:themeColor="text1"/>
          <w:sz w:val="21"/>
          <w:szCs w:val="21"/>
        </w:rPr>
        <w:t>①</w:t>
      </w:r>
      <w:r w:rsidR="00BA1A3D" w:rsidRPr="007B4794">
        <w:rPr>
          <w:rFonts w:ascii="Arial" w:hAnsi="Arial" w:cs="Arial"/>
          <w:color w:val="000000" w:themeColor="text1"/>
          <w:sz w:val="21"/>
          <w:szCs w:val="21"/>
        </w:rPr>
        <w:t>推进漳厦全面对接，实现同城发展。</w:t>
      </w:r>
      <w:r w:rsidR="00BA1A3D" w:rsidRPr="007B4794">
        <w:rPr>
          <w:rFonts w:ascii="Arial" w:hAnsi="Arial" w:cs="Arial" w:hint="eastAsia"/>
          <w:color w:val="000000" w:themeColor="text1"/>
          <w:sz w:val="21"/>
          <w:szCs w:val="21"/>
        </w:rPr>
        <w:t>②</w:t>
      </w:r>
      <w:r w:rsidR="00BA1A3D" w:rsidRPr="007B4794">
        <w:rPr>
          <w:rFonts w:ascii="Arial" w:hAnsi="Arial" w:cs="Arial"/>
          <w:color w:val="000000" w:themeColor="text1"/>
          <w:sz w:val="21"/>
          <w:szCs w:val="21"/>
        </w:rPr>
        <w:t>统筹漳州市区和龙海市区一体化发展，共建漳州都市区，形成面向沿海的开放格局。</w:t>
      </w:r>
      <w:r w:rsidR="00BA1A3D" w:rsidRPr="007B4794">
        <w:rPr>
          <w:rFonts w:ascii="Arial" w:hAnsi="Arial" w:cs="Arial" w:hint="eastAsia"/>
          <w:color w:val="000000" w:themeColor="text1"/>
          <w:sz w:val="21"/>
          <w:szCs w:val="21"/>
        </w:rPr>
        <w:t>③</w:t>
      </w:r>
      <w:r w:rsidR="00BA1A3D" w:rsidRPr="007B4794">
        <w:rPr>
          <w:rFonts w:ascii="Arial" w:hAnsi="Arial" w:cs="Arial"/>
          <w:color w:val="000000" w:themeColor="text1"/>
          <w:sz w:val="21"/>
          <w:szCs w:val="21"/>
        </w:rPr>
        <w:t>促进各类基础设施的共享共建。</w:t>
      </w:r>
      <w:r w:rsidR="00BA1A3D" w:rsidRPr="007B4794">
        <w:rPr>
          <w:rFonts w:hint="eastAsia"/>
          <w:color w:val="000000" w:themeColor="text1"/>
          <w:sz w:val="21"/>
          <w:szCs w:val="21"/>
        </w:rPr>
        <w:t>④</w:t>
      </w:r>
      <w:r w:rsidR="00BA1A3D" w:rsidRPr="007B4794">
        <w:rPr>
          <w:rFonts w:ascii="Arial" w:hAnsi="Arial" w:cs="Arial"/>
          <w:color w:val="000000" w:themeColor="text1"/>
          <w:sz w:val="21"/>
          <w:szCs w:val="21"/>
        </w:rPr>
        <w:t>加强各类资源的管制和保护以及九龙江流域的综合治理。</w:t>
      </w:r>
    </w:p>
    <w:p w14:paraId="5C494DD4" w14:textId="00CFC272" w:rsidR="00BA1A3D" w:rsidRPr="007B4794" w:rsidRDefault="00BA1A3D" w:rsidP="00BA1A3D">
      <w:pPr>
        <w:widowControl w:val="0"/>
        <w:snapToGrid w:val="0"/>
        <w:spacing w:line="480" w:lineRule="auto"/>
        <w:ind w:firstLineChars="200" w:firstLine="420"/>
        <w:rPr>
          <w:rFonts w:ascii="Arial" w:hAnsi="Arial" w:cs="Arial"/>
          <w:color w:val="000000" w:themeColor="text1"/>
          <w:sz w:val="21"/>
          <w:szCs w:val="21"/>
        </w:rPr>
      </w:pP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）人口与用地规模。至</w:t>
      </w:r>
      <w:r w:rsidRPr="007B4794">
        <w:rPr>
          <w:rFonts w:ascii="Arial" w:hAnsi="Arial" w:cs="Arial"/>
          <w:color w:val="000000" w:themeColor="text1"/>
          <w:sz w:val="21"/>
          <w:szCs w:val="21"/>
        </w:rPr>
        <w:t>2030</w:t>
      </w:r>
      <w:r w:rsidRPr="007B4794">
        <w:rPr>
          <w:rFonts w:ascii="Arial" w:hAnsi="Arial" w:cs="Arial"/>
          <w:color w:val="000000" w:themeColor="text1"/>
          <w:sz w:val="21"/>
          <w:szCs w:val="21"/>
        </w:rPr>
        <w:t>年，规划区总人口约为</w:t>
      </w:r>
      <w:r w:rsidRPr="007B4794">
        <w:rPr>
          <w:rFonts w:ascii="Arial" w:hAnsi="Arial" w:cs="Arial"/>
          <w:color w:val="000000" w:themeColor="text1"/>
          <w:sz w:val="21"/>
          <w:szCs w:val="21"/>
        </w:rPr>
        <w:t>320</w:t>
      </w:r>
      <w:r w:rsidRPr="007B4794">
        <w:rPr>
          <w:rFonts w:ascii="Arial" w:hAnsi="Arial" w:cs="Arial"/>
          <w:color w:val="000000" w:themeColor="text1"/>
          <w:sz w:val="21"/>
          <w:szCs w:val="21"/>
        </w:rPr>
        <w:t>万人，其中城镇人口约为</w:t>
      </w:r>
      <w:r w:rsidRPr="007B4794">
        <w:rPr>
          <w:rFonts w:ascii="Arial" w:hAnsi="Arial" w:cs="Arial"/>
          <w:color w:val="000000" w:themeColor="text1"/>
          <w:sz w:val="21"/>
          <w:szCs w:val="21"/>
        </w:rPr>
        <w:t>310</w:t>
      </w:r>
      <w:r w:rsidRPr="007B4794">
        <w:rPr>
          <w:rFonts w:ascii="Arial" w:hAnsi="Arial" w:cs="Arial"/>
          <w:color w:val="000000" w:themeColor="text1"/>
          <w:sz w:val="21"/>
          <w:szCs w:val="21"/>
        </w:rPr>
        <w:t>万人，城镇建设用地约</w:t>
      </w:r>
      <w:r w:rsidRPr="007B4794">
        <w:rPr>
          <w:rFonts w:ascii="Arial" w:hAnsi="Arial" w:cs="Arial"/>
          <w:color w:val="000000" w:themeColor="text1"/>
          <w:sz w:val="21"/>
          <w:szCs w:val="21"/>
        </w:rPr>
        <w:t>360</w:t>
      </w:r>
      <w:r w:rsidRPr="007B4794">
        <w:rPr>
          <w:rFonts w:ascii="Arial" w:hAnsi="Arial" w:cs="Arial"/>
          <w:color w:val="000000" w:themeColor="text1"/>
          <w:sz w:val="21"/>
          <w:szCs w:val="21"/>
        </w:rPr>
        <w:t>平方公里。</w:t>
      </w:r>
    </w:p>
    <w:p w14:paraId="42BC7590" w14:textId="6A8020D7" w:rsidR="00AE01CB" w:rsidRPr="007B4794" w:rsidRDefault="00BA1A3D" w:rsidP="00BA1A3D">
      <w:pPr>
        <w:widowControl w:val="0"/>
        <w:snapToGrid w:val="0"/>
        <w:spacing w:line="480" w:lineRule="auto"/>
        <w:ind w:firstLineChars="200" w:firstLine="420"/>
        <w:rPr>
          <w:rFonts w:ascii="Arial" w:hAnsi="Arial" w:cs="Arial"/>
          <w:noProof/>
          <w:color w:val="000000" w:themeColor="text1"/>
          <w:sz w:val="21"/>
          <w:szCs w:val="21"/>
        </w:rPr>
      </w:pP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3</w:t>
      </w:r>
      <w:r w:rsidRPr="007B4794">
        <w:rPr>
          <w:rFonts w:ascii="Arial" w:hAnsi="Arial" w:cs="Arial"/>
          <w:color w:val="000000" w:themeColor="text1"/>
          <w:sz w:val="21"/>
          <w:szCs w:val="21"/>
        </w:rPr>
        <w:t>）生态建设及岸线保护。严格保护紫泥岛自然生态环境，划定红树林保护区范围，禁止任何形式的破坏与侵占，实施严格的基本农田保护。</w:t>
      </w:r>
    </w:p>
    <w:p w14:paraId="65A5F2DB" w14:textId="2971BA88" w:rsidR="00BA1A3D" w:rsidRPr="007B4794" w:rsidRDefault="00BA1A3D" w:rsidP="00BA1A3D">
      <w:pPr>
        <w:widowControl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3.</w:t>
      </w:r>
      <w:r w:rsidRPr="007B4794">
        <w:rPr>
          <w:rFonts w:ascii="Arial" w:hAnsi="Arial" w:cs="Arial" w:hint="eastAsia"/>
          <w:color w:val="000000" w:themeColor="text1"/>
          <w:sz w:val="21"/>
          <w:szCs w:val="21"/>
        </w:rPr>
        <w:t>中心城区用地规划：</w:t>
      </w:r>
    </w:p>
    <w:p w14:paraId="2A629B05" w14:textId="5F9911DB" w:rsidR="00BA1A3D" w:rsidRPr="007B4794" w:rsidRDefault="00BA1A3D" w:rsidP="00E04B1A">
      <w:pPr>
        <w:widowControl w:val="0"/>
        <w:snapToGrid w:val="0"/>
        <w:spacing w:line="480" w:lineRule="auto"/>
        <w:ind w:firstLineChars="200" w:firstLine="420"/>
        <w:rPr>
          <w:rFonts w:ascii="Arial" w:hAnsi="Arial" w:cs="Arial"/>
          <w:color w:val="000000" w:themeColor="text1"/>
          <w:sz w:val="21"/>
          <w:szCs w:val="21"/>
        </w:rPr>
      </w:pPr>
      <w:r w:rsidRPr="007B4794">
        <w:rPr>
          <w:rFonts w:ascii="Arial" w:hAnsi="Arial" w:cs="Arial" w:hint="eastAsia"/>
          <w:color w:val="000000" w:themeColor="text1"/>
          <w:sz w:val="21"/>
          <w:szCs w:val="21"/>
        </w:rPr>
        <w:lastRenderedPageBreak/>
        <w:t>规划重点是确定城市发展规模、空间发展策略、空间结构、用地布局以及综合交通、水城、绿城、历史文化名城保护等主要内容。</w:t>
      </w:r>
    </w:p>
    <w:p w14:paraId="29432DC3" w14:textId="3B309174" w:rsidR="00BA1A3D" w:rsidRPr="007B4794" w:rsidRDefault="00BA1A3D" w:rsidP="00BA1A3D">
      <w:pPr>
        <w:widowControl w:val="0"/>
        <w:snapToGrid w:val="0"/>
        <w:spacing w:line="480" w:lineRule="auto"/>
        <w:ind w:firstLineChars="150" w:firstLine="315"/>
        <w:rPr>
          <w:rFonts w:ascii="Arial" w:hAnsi="Arial" w:cs="Arial"/>
          <w:color w:val="000000" w:themeColor="text1"/>
          <w:sz w:val="21"/>
          <w:szCs w:val="21"/>
        </w:rPr>
      </w:pP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1</w:t>
      </w:r>
      <w:r w:rsidRPr="007B4794">
        <w:rPr>
          <w:rFonts w:ascii="Arial" w:hAnsi="Arial" w:cs="Arial"/>
          <w:color w:val="000000" w:themeColor="text1"/>
          <w:sz w:val="21"/>
          <w:szCs w:val="21"/>
        </w:rPr>
        <w:t>）</w:t>
      </w:r>
      <w:r w:rsidRPr="007B4794">
        <w:rPr>
          <w:rFonts w:ascii="Arial" w:hAnsi="Arial" w:cs="Arial" w:hint="eastAsia"/>
          <w:color w:val="000000" w:themeColor="text1"/>
          <w:sz w:val="21"/>
          <w:szCs w:val="21"/>
        </w:rPr>
        <w:t>城市规模：规划至</w:t>
      </w:r>
      <w:r w:rsidRPr="007B4794">
        <w:rPr>
          <w:rFonts w:ascii="Arial" w:hAnsi="Arial" w:cs="Arial"/>
          <w:color w:val="000000" w:themeColor="text1"/>
          <w:sz w:val="21"/>
          <w:szCs w:val="21"/>
        </w:rPr>
        <w:t>2030</w:t>
      </w:r>
      <w:r w:rsidRPr="007B4794">
        <w:rPr>
          <w:rFonts w:ascii="Arial" w:hAnsi="Arial" w:cs="Arial"/>
          <w:color w:val="000000" w:themeColor="text1"/>
          <w:sz w:val="21"/>
          <w:szCs w:val="21"/>
        </w:rPr>
        <w:t>年，城市人口规模为</w:t>
      </w:r>
      <w:r w:rsidRPr="007B4794">
        <w:rPr>
          <w:rFonts w:ascii="Arial" w:hAnsi="Arial" w:cs="Arial"/>
          <w:color w:val="000000" w:themeColor="text1"/>
          <w:sz w:val="21"/>
          <w:szCs w:val="21"/>
        </w:rPr>
        <w:t>160</w:t>
      </w:r>
      <w:r w:rsidRPr="007B4794">
        <w:rPr>
          <w:rFonts w:ascii="Arial" w:hAnsi="Arial" w:cs="Arial"/>
          <w:color w:val="000000" w:themeColor="text1"/>
          <w:sz w:val="21"/>
          <w:szCs w:val="21"/>
        </w:rPr>
        <w:t>万人，城市建设用地</w:t>
      </w:r>
      <w:r w:rsidRPr="007B4794">
        <w:rPr>
          <w:rFonts w:ascii="Arial" w:hAnsi="Arial" w:cs="Arial"/>
          <w:color w:val="000000" w:themeColor="text1"/>
          <w:sz w:val="21"/>
          <w:szCs w:val="21"/>
        </w:rPr>
        <w:t>175</w:t>
      </w:r>
      <w:r w:rsidRPr="007B4794">
        <w:rPr>
          <w:rFonts w:ascii="Arial" w:hAnsi="Arial" w:cs="Arial"/>
          <w:color w:val="000000" w:themeColor="text1"/>
          <w:sz w:val="21"/>
          <w:szCs w:val="21"/>
        </w:rPr>
        <w:t>平方公里，人均建设用地</w:t>
      </w:r>
      <w:r w:rsidRPr="007B4794">
        <w:rPr>
          <w:rFonts w:ascii="Arial" w:hAnsi="Arial" w:cs="Arial"/>
          <w:color w:val="000000" w:themeColor="text1"/>
          <w:sz w:val="21"/>
          <w:szCs w:val="21"/>
        </w:rPr>
        <w:t>109</w:t>
      </w:r>
      <w:r w:rsidRPr="007B4794">
        <w:rPr>
          <w:rFonts w:ascii="Arial" w:hAnsi="Arial" w:cs="Arial"/>
          <w:color w:val="000000" w:themeColor="text1"/>
          <w:sz w:val="21"/>
          <w:szCs w:val="21"/>
        </w:rPr>
        <w:t>平方米。</w:t>
      </w:r>
    </w:p>
    <w:p w14:paraId="57D2679B" w14:textId="3EE3E2CF" w:rsidR="00BA1A3D" w:rsidRPr="007B4794" w:rsidRDefault="00BA1A3D" w:rsidP="00BA1A3D">
      <w:pPr>
        <w:widowControl w:val="0"/>
        <w:snapToGrid w:val="0"/>
        <w:spacing w:line="480" w:lineRule="auto"/>
        <w:ind w:firstLineChars="150" w:firstLine="315"/>
        <w:rPr>
          <w:rFonts w:ascii="Arial" w:hAnsi="Arial" w:cs="Arial"/>
          <w:color w:val="000000" w:themeColor="text1"/>
          <w:sz w:val="21"/>
          <w:szCs w:val="21"/>
        </w:rPr>
      </w:pP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w:t>
      </w:r>
      <w:r w:rsidRPr="007B4794">
        <w:rPr>
          <w:rFonts w:ascii="Arial" w:hAnsi="Arial" w:cs="Arial" w:hint="eastAsia"/>
          <w:color w:val="000000" w:themeColor="text1"/>
          <w:sz w:val="21"/>
          <w:szCs w:val="21"/>
        </w:rPr>
        <w:t>城市空间发展策略：规划确定为：“中心东移、跨江南扩、面海拓展”。</w:t>
      </w:r>
      <w:r w:rsidRPr="007B4794">
        <w:rPr>
          <w:rFonts w:hint="eastAsia"/>
          <w:color w:val="000000" w:themeColor="text1"/>
          <w:sz w:val="21"/>
          <w:szCs w:val="21"/>
        </w:rPr>
        <w:t>①</w:t>
      </w:r>
      <w:r w:rsidRPr="007B4794">
        <w:rPr>
          <w:rFonts w:ascii="Arial" w:hAnsi="Arial" w:cs="Arial"/>
          <w:color w:val="000000" w:themeColor="text1"/>
          <w:sz w:val="21"/>
          <w:szCs w:val="21"/>
        </w:rPr>
        <w:t>“</w:t>
      </w:r>
      <w:r w:rsidRPr="007B4794">
        <w:rPr>
          <w:rFonts w:ascii="Arial" w:hAnsi="Arial" w:cs="Arial"/>
          <w:color w:val="000000" w:themeColor="text1"/>
          <w:sz w:val="21"/>
          <w:szCs w:val="21"/>
        </w:rPr>
        <w:t>中心东移</w:t>
      </w:r>
      <w:r w:rsidRPr="007B4794">
        <w:rPr>
          <w:rFonts w:ascii="Arial" w:hAnsi="Arial" w:cs="Arial"/>
          <w:color w:val="000000" w:themeColor="text1"/>
          <w:sz w:val="21"/>
          <w:szCs w:val="21"/>
        </w:rPr>
        <w:t>”</w:t>
      </w:r>
      <w:r w:rsidRPr="007B4794">
        <w:rPr>
          <w:rFonts w:ascii="Arial" w:hAnsi="Arial" w:cs="Arial"/>
          <w:color w:val="000000" w:themeColor="text1"/>
          <w:sz w:val="21"/>
          <w:szCs w:val="21"/>
        </w:rPr>
        <w:t>：借助市级行政中心的规划建设，推动城市用地向东拓展，完善龙文片区的商务、文化、教育、居住等功能，加快碧湖生态公园建设，推动城市中心逐步东移。</w:t>
      </w:r>
      <w:r w:rsidRPr="007B4794">
        <w:rPr>
          <w:rFonts w:hint="eastAsia"/>
          <w:color w:val="000000" w:themeColor="text1"/>
          <w:sz w:val="21"/>
          <w:szCs w:val="21"/>
        </w:rPr>
        <w:t>②</w:t>
      </w:r>
      <w:r w:rsidRPr="007B4794">
        <w:rPr>
          <w:rFonts w:ascii="Arial" w:hAnsi="Arial" w:cs="Arial"/>
          <w:color w:val="000000" w:themeColor="text1"/>
          <w:sz w:val="21"/>
          <w:szCs w:val="21"/>
        </w:rPr>
        <w:t>“</w:t>
      </w:r>
      <w:r w:rsidRPr="007B4794">
        <w:rPr>
          <w:rFonts w:ascii="Arial" w:hAnsi="Arial" w:cs="Arial"/>
          <w:color w:val="000000" w:themeColor="text1"/>
          <w:sz w:val="21"/>
          <w:szCs w:val="21"/>
        </w:rPr>
        <w:t>跨江南扩</w:t>
      </w:r>
      <w:r w:rsidRPr="007B4794">
        <w:rPr>
          <w:rFonts w:ascii="Arial" w:hAnsi="Arial" w:cs="Arial"/>
          <w:color w:val="000000" w:themeColor="text1"/>
          <w:sz w:val="21"/>
          <w:szCs w:val="21"/>
        </w:rPr>
        <w:t>”</w:t>
      </w:r>
      <w:r w:rsidRPr="007B4794">
        <w:rPr>
          <w:rFonts w:ascii="Arial" w:hAnsi="Arial" w:cs="Arial"/>
          <w:color w:val="000000" w:themeColor="text1"/>
          <w:sz w:val="21"/>
          <w:szCs w:val="21"/>
        </w:rPr>
        <w:t>：利用铁路漳州站的建设，完善九龙江南岸地区的各项城市功能，推进建设用地跨越九龙江向圆山新区拓展，实现一江两岸的发展格局。</w:t>
      </w:r>
      <w:r w:rsidRPr="007B4794">
        <w:rPr>
          <w:rFonts w:hint="eastAsia"/>
          <w:color w:val="000000" w:themeColor="text1"/>
          <w:sz w:val="21"/>
          <w:szCs w:val="21"/>
        </w:rPr>
        <w:t>③</w:t>
      </w:r>
      <w:r w:rsidRPr="007B4794">
        <w:rPr>
          <w:rFonts w:ascii="Arial" w:hAnsi="Arial" w:cs="Arial"/>
          <w:color w:val="000000" w:themeColor="text1"/>
          <w:sz w:val="21"/>
          <w:szCs w:val="21"/>
        </w:rPr>
        <w:t>“</w:t>
      </w:r>
      <w:r w:rsidRPr="007B4794">
        <w:rPr>
          <w:rFonts w:ascii="Arial" w:hAnsi="Arial" w:cs="Arial"/>
          <w:color w:val="000000" w:themeColor="text1"/>
          <w:sz w:val="21"/>
          <w:szCs w:val="21"/>
        </w:rPr>
        <w:t>面海拓展</w:t>
      </w:r>
      <w:r w:rsidRPr="007B4794">
        <w:rPr>
          <w:rFonts w:ascii="Arial" w:hAnsi="Arial" w:cs="Arial"/>
          <w:color w:val="000000" w:themeColor="text1"/>
          <w:sz w:val="21"/>
          <w:szCs w:val="21"/>
        </w:rPr>
        <w:t>”</w:t>
      </w:r>
      <w:r w:rsidRPr="007B4794">
        <w:rPr>
          <w:rFonts w:ascii="Arial" w:hAnsi="Arial" w:cs="Arial"/>
          <w:color w:val="000000" w:themeColor="text1"/>
          <w:sz w:val="21"/>
          <w:szCs w:val="21"/>
        </w:rPr>
        <w:t>：切实推进城市空间由滨江向滨海的转变，实现漳厦同城发展，借助角美升级为国家级台商投资区的契机，将其纳入漳州中心城区，作为城市向东面海拓展的重要组成部分。</w:t>
      </w:r>
    </w:p>
    <w:p w14:paraId="52F70089" w14:textId="7C52F527" w:rsidR="00AE01CB" w:rsidRPr="007B4794" w:rsidRDefault="005825B9" w:rsidP="00AE01CB">
      <w:pPr>
        <w:widowControl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4</w:t>
      </w:r>
      <w:r w:rsidR="00AE01CB" w:rsidRPr="007B4794">
        <w:rPr>
          <w:rFonts w:ascii="Arial" w:hAnsi="Arial" w:cs="Arial" w:hint="eastAsia"/>
          <w:color w:val="000000" w:themeColor="text1"/>
          <w:sz w:val="21"/>
          <w:szCs w:val="21"/>
        </w:rPr>
        <w:t>.</w:t>
      </w:r>
      <w:r w:rsidR="00AE01CB" w:rsidRPr="007B4794">
        <w:rPr>
          <w:rFonts w:ascii="Arial" w:hAnsi="Arial" w:cs="Arial" w:hint="eastAsia"/>
          <w:color w:val="000000" w:themeColor="text1"/>
          <w:sz w:val="21"/>
          <w:szCs w:val="21"/>
        </w:rPr>
        <w:t>《</w:t>
      </w:r>
      <w:r w:rsidR="00AE01CB" w:rsidRPr="007B4794">
        <w:rPr>
          <w:rFonts w:ascii="Arial" w:hAnsi="Arial" w:cs="Arial"/>
          <w:color w:val="000000" w:themeColor="text1"/>
          <w:sz w:val="21"/>
          <w:szCs w:val="21"/>
        </w:rPr>
        <w:t>2020</w:t>
      </w:r>
      <w:r w:rsidR="00AE01CB" w:rsidRPr="007B4794">
        <w:rPr>
          <w:rFonts w:ascii="Arial" w:hAnsi="Arial" w:cs="Arial"/>
          <w:color w:val="000000" w:themeColor="text1"/>
          <w:sz w:val="21"/>
          <w:szCs w:val="21"/>
        </w:rPr>
        <w:t>年</w:t>
      </w:r>
      <w:r w:rsidR="00BA1A3D" w:rsidRPr="007B4794">
        <w:rPr>
          <w:rFonts w:ascii="Arial" w:hAnsi="Arial" w:cs="Arial" w:hint="eastAsia"/>
          <w:color w:val="000000" w:themeColor="text1"/>
          <w:sz w:val="21"/>
          <w:szCs w:val="21"/>
        </w:rPr>
        <w:t>漳州</w:t>
      </w:r>
      <w:r w:rsidR="00AE01CB" w:rsidRPr="007B4794">
        <w:rPr>
          <w:rFonts w:ascii="Arial" w:hAnsi="Arial" w:cs="Arial"/>
          <w:color w:val="000000" w:themeColor="text1"/>
          <w:sz w:val="21"/>
          <w:szCs w:val="21"/>
        </w:rPr>
        <w:t>市政府工作报告</w:t>
      </w:r>
      <w:r w:rsidR="00AE01CB" w:rsidRPr="007B4794">
        <w:rPr>
          <w:rFonts w:ascii="Arial" w:hAnsi="Arial" w:cs="Arial" w:hint="eastAsia"/>
          <w:color w:val="000000" w:themeColor="text1"/>
          <w:sz w:val="21"/>
          <w:szCs w:val="21"/>
        </w:rPr>
        <w:t>》</w:t>
      </w:r>
    </w:p>
    <w:p w14:paraId="165FB086" w14:textId="46F453E6" w:rsidR="00D63886" w:rsidRPr="007B4794" w:rsidRDefault="00D63886" w:rsidP="00D63886">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2020</w:t>
      </w:r>
      <w:r w:rsidRPr="007B4794">
        <w:rPr>
          <w:rFonts w:ascii="Arial" w:hAnsi="Arial" w:cs="Arial" w:hint="eastAsia"/>
          <w:color w:val="000000" w:themeColor="text1"/>
          <w:sz w:val="21"/>
          <w:szCs w:val="21"/>
        </w:rPr>
        <w:t>年是全面建成小康社会和“十三五”规划收官之年，既是决胜期，也是攻坚期。我们要以习近平新时代中国特色社会主义思想为指导，全面贯彻党的十九大和十九届二中、三中、四中全会精神，坚决贯彻党的基本理论、基本路线、基本方略，增强“四个意识”、坚定“四个自信”、做到“两个维护”，紧扣全面建成小康社会目标任务，坚持稳中求进工作总基调，坚持新发展理念，坚持以供给侧结构性改革为主线，坚持以改革开放为动力，全面做好“六稳”工作，强化产业支撑，强化项目带动，强化需求牵引，强化放权赋能，强化三大攻坚，强化民生导向，统筹推进稳增长、促改革、调结构、惠民生、防风险、保稳定，加快打造工业新城、建设富美新漳州，奋力当好新时代新福建建设先锋，确保全面建成小康社会和“十三五”规划圆满收官，得到人民认可、经得起历史检验。</w:t>
      </w:r>
    </w:p>
    <w:p w14:paraId="4E240E67" w14:textId="1593CCA3" w:rsidR="00AE01CB" w:rsidRPr="007B4794" w:rsidRDefault="00D63886" w:rsidP="00D63886">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2020</w:t>
      </w:r>
      <w:r w:rsidRPr="007B4794">
        <w:rPr>
          <w:rFonts w:ascii="Arial" w:hAnsi="Arial" w:cs="Arial" w:hint="eastAsia"/>
          <w:color w:val="000000" w:themeColor="text1"/>
          <w:sz w:val="21"/>
          <w:szCs w:val="21"/>
        </w:rPr>
        <w:t>年漳州市经济社会发展主要预期目标是：地区生产总值增长</w:t>
      </w:r>
      <w:r w:rsidRPr="007B4794">
        <w:rPr>
          <w:rFonts w:ascii="Arial" w:hAnsi="Arial" w:cs="Arial"/>
          <w:color w:val="000000" w:themeColor="text1"/>
          <w:sz w:val="21"/>
          <w:szCs w:val="21"/>
        </w:rPr>
        <w:t>7.5%-8%</w:t>
      </w:r>
      <w:r w:rsidRPr="007B4794">
        <w:rPr>
          <w:rFonts w:ascii="Arial" w:hAnsi="Arial" w:cs="Arial"/>
          <w:color w:val="000000" w:themeColor="text1"/>
          <w:sz w:val="21"/>
          <w:szCs w:val="21"/>
        </w:rPr>
        <w:t>；一般公共预算总收入增长</w:t>
      </w:r>
      <w:r w:rsidRPr="007B4794">
        <w:rPr>
          <w:rFonts w:ascii="Arial" w:hAnsi="Arial" w:cs="Arial"/>
          <w:color w:val="000000" w:themeColor="text1"/>
          <w:sz w:val="21"/>
          <w:szCs w:val="21"/>
        </w:rPr>
        <w:t>2.5%</w:t>
      </w:r>
      <w:r w:rsidRPr="007B4794">
        <w:rPr>
          <w:rFonts w:ascii="Arial" w:hAnsi="Arial" w:cs="Arial"/>
          <w:color w:val="000000" w:themeColor="text1"/>
          <w:sz w:val="21"/>
          <w:szCs w:val="21"/>
        </w:rPr>
        <w:t>左右，地方一般公共预算收入增长</w:t>
      </w:r>
      <w:r w:rsidRPr="007B4794">
        <w:rPr>
          <w:rFonts w:ascii="Arial" w:hAnsi="Arial" w:cs="Arial"/>
          <w:color w:val="000000" w:themeColor="text1"/>
          <w:sz w:val="21"/>
          <w:szCs w:val="21"/>
        </w:rPr>
        <w:t>2%</w:t>
      </w:r>
      <w:r w:rsidRPr="007B4794">
        <w:rPr>
          <w:rFonts w:ascii="Arial" w:hAnsi="Arial" w:cs="Arial"/>
          <w:color w:val="000000" w:themeColor="text1"/>
          <w:sz w:val="21"/>
          <w:szCs w:val="21"/>
        </w:rPr>
        <w:t>左右；固定资产投资增长</w:t>
      </w:r>
      <w:r w:rsidRPr="007B4794">
        <w:rPr>
          <w:rFonts w:ascii="Arial" w:hAnsi="Arial" w:cs="Arial"/>
          <w:color w:val="000000" w:themeColor="text1"/>
          <w:sz w:val="21"/>
          <w:szCs w:val="21"/>
        </w:rPr>
        <w:t>8%</w:t>
      </w:r>
      <w:r w:rsidRPr="007B4794">
        <w:rPr>
          <w:rFonts w:ascii="Arial" w:hAnsi="Arial" w:cs="Arial"/>
          <w:color w:val="000000" w:themeColor="text1"/>
          <w:sz w:val="21"/>
          <w:szCs w:val="21"/>
        </w:rPr>
        <w:t>左右；规模工业增加值增长</w:t>
      </w:r>
      <w:r w:rsidRPr="007B4794">
        <w:rPr>
          <w:rFonts w:ascii="Arial" w:hAnsi="Arial" w:cs="Arial"/>
          <w:color w:val="000000" w:themeColor="text1"/>
          <w:sz w:val="21"/>
          <w:szCs w:val="21"/>
        </w:rPr>
        <w:t>9.8%</w:t>
      </w:r>
      <w:r w:rsidRPr="007B4794">
        <w:rPr>
          <w:rFonts w:ascii="Arial" w:hAnsi="Arial" w:cs="Arial"/>
          <w:color w:val="000000" w:themeColor="text1"/>
          <w:sz w:val="21"/>
          <w:szCs w:val="21"/>
        </w:rPr>
        <w:t>左右；外贸进出口增长</w:t>
      </w:r>
      <w:r w:rsidRPr="007B4794">
        <w:rPr>
          <w:rFonts w:ascii="Arial" w:hAnsi="Arial" w:cs="Arial"/>
          <w:color w:val="000000" w:themeColor="text1"/>
          <w:sz w:val="21"/>
          <w:szCs w:val="21"/>
        </w:rPr>
        <w:t>5%</w:t>
      </w:r>
      <w:r w:rsidRPr="007B4794">
        <w:rPr>
          <w:rFonts w:ascii="Arial" w:hAnsi="Arial" w:cs="Arial"/>
          <w:color w:val="000000" w:themeColor="text1"/>
          <w:sz w:val="21"/>
          <w:szCs w:val="21"/>
        </w:rPr>
        <w:t>左右；实际利用外资增长</w:t>
      </w:r>
      <w:r w:rsidRPr="007B4794">
        <w:rPr>
          <w:rFonts w:ascii="Arial" w:hAnsi="Arial" w:cs="Arial"/>
          <w:color w:val="000000" w:themeColor="text1"/>
          <w:sz w:val="21"/>
          <w:szCs w:val="21"/>
        </w:rPr>
        <w:t>5%</w:t>
      </w:r>
      <w:r w:rsidRPr="007B4794">
        <w:rPr>
          <w:rFonts w:ascii="Arial" w:hAnsi="Arial" w:cs="Arial"/>
          <w:color w:val="000000" w:themeColor="text1"/>
          <w:sz w:val="21"/>
          <w:szCs w:val="21"/>
        </w:rPr>
        <w:t>左右；社会消费品零售总额增长</w:t>
      </w:r>
      <w:r w:rsidRPr="007B4794">
        <w:rPr>
          <w:rFonts w:ascii="Arial" w:hAnsi="Arial" w:cs="Arial"/>
          <w:color w:val="000000" w:themeColor="text1"/>
          <w:sz w:val="21"/>
          <w:szCs w:val="21"/>
        </w:rPr>
        <w:t>9.5%</w:t>
      </w:r>
      <w:r w:rsidRPr="007B4794">
        <w:rPr>
          <w:rFonts w:ascii="Arial" w:hAnsi="Arial" w:cs="Arial"/>
          <w:color w:val="000000" w:themeColor="text1"/>
          <w:sz w:val="21"/>
          <w:szCs w:val="21"/>
        </w:rPr>
        <w:t>左右，居民消费价格指数（市辖区）涨幅控制在</w:t>
      </w:r>
      <w:r w:rsidRPr="007B4794">
        <w:rPr>
          <w:rFonts w:ascii="Arial" w:hAnsi="Arial" w:cs="Arial"/>
          <w:color w:val="000000" w:themeColor="text1"/>
          <w:sz w:val="21"/>
          <w:szCs w:val="21"/>
        </w:rPr>
        <w:t>3.5%</w:t>
      </w:r>
      <w:r w:rsidRPr="007B4794">
        <w:rPr>
          <w:rFonts w:ascii="Arial" w:hAnsi="Arial" w:cs="Arial"/>
          <w:color w:val="000000" w:themeColor="text1"/>
          <w:sz w:val="21"/>
          <w:szCs w:val="21"/>
        </w:rPr>
        <w:t>左右；城镇登记失业率控制在</w:t>
      </w:r>
      <w:r w:rsidRPr="007B4794">
        <w:rPr>
          <w:rFonts w:ascii="Arial" w:hAnsi="Arial" w:cs="Arial"/>
          <w:color w:val="000000" w:themeColor="text1"/>
          <w:sz w:val="21"/>
          <w:szCs w:val="21"/>
        </w:rPr>
        <w:t>3.6%</w:t>
      </w:r>
      <w:r w:rsidRPr="007B4794">
        <w:rPr>
          <w:rFonts w:ascii="Arial" w:hAnsi="Arial" w:cs="Arial"/>
          <w:color w:val="000000" w:themeColor="text1"/>
          <w:sz w:val="21"/>
          <w:szCs w:val="21"/>
        </w:rPr>
        <w:t>以内；城镇和农村居民人均可支配收入分别增长</w:t>
      </w:r>
      <w:r w:rsidRPr="007B4794">
        <w:rPr>
          <w:rFonts w:ascii="Arial" w:hAnsi="Arial" w:cs="Arial"/>
          <w:color w:val="000000" w:themeColor="text1"/>
          <w:sz w:val="21"/>
          <w:szCs w:val="21"/>
        </w:rPr>
        <w:t>9.4%</w:t>
      </w:r>
      <w:r w:rsidRPr="007B4794">
        <w:rPr>
          <w:rFonts w:ascii="Arial" w:hAnsi="Arial" w:cs="Arial"/>
          <w:color w:val="000000" w:themeColor="text1"/>
          <w:sz w:val="21"/>
          <w:szCs w:val="21"/>
        </w:rPr>
        <w:t>、</w:t>
      </w:r>
      <w:r w:rsidRPr="007B4794">
        <w:rPr>
          <w:rFonts w:ascii="Arial" w:hAnsi="Arial" w:cs="Arial"/>
          <w:color w:val="000000" w:themeColor="text1"/>
          <w:sz w:val="21"/>
          <w:szCs w:val="21"/>
        </w:rPr>
        <w:t>9.7%</w:t>
      </w:r>
      <w:r w:rsidRPr="007B4794">
        <w:rPr>
          <w:rFonts w:ascii="Arial" w:hAnsi="Arial" w:cs="Arial"/>
          <w:color w:val="000000" w:themeColor="text1"/>
          <w:sz w:val="21"/>
          <w:szCs w:val="21"/>
        </w:rPr>
        <w:t>左右；全面落实节能减排降碳目标任务。</w:t>
      </w:r>
    </w:p>
    <w:p w14:paraId="58496C25" w14:textId="77777777" w:rsidR="00AE01CB" w:rsidRPr="007B4794" w:rsidRDefault="00AE01CB" w:rsidP="00AE01CB">
      <w:pPr>
        <w:pStyle w:val="2"/>
        <w:tabs>
          <w:tab w:val="left" w:pos="5220"/>
        </w:tabs>
        <w:spacing w:before="0" w:after="0" w:line="480" w:lineRule="auto"/>
        <w:ind w:firstLineChars="98" w:firstLine="207"/>
        <w:jc w:val="both"/>
        <w:rPr>
          <w:rFonts w:eastAsia="宋体" w:cs="Arial"/>
          <w:color w:val="000000" w:themeColor="text1"/>
          <w:sz w:val="21"/>
          <w:szCs w:val="21"/>
        </w:rPr>
      </w:pPr>
      <w:bookmarkStart w:id="64" w:name="_Toc43885858"/>
      <w:bookmarkStart w:id="65" w:name="_Toc54016590"/>
      <w:r w:rsidRPr="007B4794">
        <w:rPr>
          <w:rFonts w:eastAsia="宋体" w:cs="Arial"/>
          <w:color w:val="000000" w:themeColor="text1"/>
          <w:sz w:val="21"/>
          <w:szCs w:val="21"/>
        </w:rPr>
        <w:lastRenderedPageBreak/>
        <w:t>（</w:t>
      </w:r>
      <w:r w:rsidRPr="007B4794">
        <w:rPr>
          <w:rFonts w:eastAsia="宋体" w:cs="Arial" w:hint="eastAsia"/>
          <w:color w:val="000000" w:themeColor="text1"/>
          <w:sz w:val="21"/>
          <w:szCs w:val="21"/>
        </w:rPr>
        <w:t>四）土地市场概况</w:t>
      </w:r>
      <w:bookmarkEnd w:id="64"/>
      <w:bookmarkEnd w:id="65"/>
    </w:p>
    <w:p w14:paraId="13C6A268" w14:textId="77777777" w:rsidR="00AE01CB" w:rsidRPr="007B4794" w:rsidRDefault="00AE01CB"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1</w:t>
      </w:r>
      <w:r w:rsidRPr="007B4794">
        <w:rPr>
          <w:rFonts w:ascii="Arial" w:hAnsi="Arial" w:cs="Arial" w:hint="eastAsia"/>
          <w:color w:val="000000" w:themeColor="text1"/>
          <w:sz w:val="21"/>
          <w:szCs w:val="21"/>
        </w:rPr>
        <w:t>、供应情况</w:t>
      </w:r>
    </w:p>
    <w:p w14:paraId="465136E3" w14:textId="621E502C" w:rsidR="00AE01CB" w:rsidRPr="007B4794" w:rsidRDefault="00AE01CB"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201</w:t>
      </w:r>
      <w:r w:rsidR="00D63886" w:rsidRPr="007B4794">
        <w:rPr>
          <w:rFonts w:ascii="Arial" w:hAnsi="Arial" w:cs="Arial" w:hint="eastAsia"/>
          <w:color w:val="000000" w:themeColor="text1"/>
          <w:sz w:val="21"/>
          <w:szCs w:val="21"/>
        </w:rPr>
        <w:t>7</w:t>
      </w:r>
      <w:r w:rsidRPr="007B4794">
        <w:rPr>
          <w:rFonts w:ascii="Arial" w:hAnsi="Arial" w:cs="Arial" w:hint="eastAsia"/>
          <w:color w:val="000000" w:themeColor="text1"/>
          <w:sz w:val="21"/>
          <w:szCs w:val="21"/>
        </w:rPr>
        <w:t>-2019</w:t>
      </w:r>
      <w:r w:rsidRPr="007B4794">
        <w:rPr>
          <w:rFonts w:ascii="Arial" w:hAnsi="Arial" w:cs="Arial" w:hint="eastAsia"/>
          <w:color w:val="000000" w:themeColor="text1"/>
          <w:sz w:val="21"/>
          <w:szCs w:val="21"/>
        </w:rPr>
        <w:t>年</w:t>
      </w:r>
      <w:r w:rsidR="002A2A8B" w:rsidRPr="007B4794">
        <w:rPr>
          <w:rFonts w:ascii="Arial" w:hAnsi="Arial" w:cs="Arial" w:hint="eastAsia"/>
          <w:color w:val="000000" w:themeColor="text1"/>
          <w:sz w:val="21"/>
          <w:szCs w:val="21"/>
        </w:rPr>
        <w:t>漳州</w:t>
      </w:r>
      <w:r w:rsidRPr="007B4794">
        <w:rPr>
          <w:rFonts w:ascii="Arial" w:hAnsi="Arial" w:cs="Arial" w:hint="eastAsia"/>
          <w:color w:val="000000" w:themeColor="text1"/>
          <w:sz w:val="21"/>
          <w:szCs w:val="21"/>
        </w:rPr>
        <w:t>市住宅用地土地供应量基本保持平稳态势，从近</w:t>
      </w:r>
      <w:r w:rsidR="002A2A8B" w:rsidRPr="007B4794">
        <w:rPr>
          <w:rFonts w:ascii="Arial" w:hAnsi="Arial" w:cs="Arial" w:hint="eastAsia"/>
          <w:color w:val="000000" w:themeColor="text1"/>
          <w:sz w:val="21"/>
          <w:szCs w:val="21"/>
        </w:rPr>
        <w:t>3</w:t>
      </w:r>
      <w:r w:rsidRPr="007B4794">
        <w:rPr>
          <w:rFonts w:ascii="Arial" w:hAnsi="Arial" w:cs="Arial" w:hint="eastAsia"/>
          <w:color w:val="000000" w:themeColor="text1"/>
          <w:sz w:val="21"/>
          <w:szCs w:val="21"/>
        </w:rPr>
        <w:t>年供应年度走势来看，</w:t>
      </w:r>
      <w:r w:rsidR="0092764F" w:rsidRPr="007B4794">
        <w:rPr>
          <w:rFonts w:ascii="Arial" w:hAnsi="Arial" w:cs="Arial" w:hint="eastAsia"/>
          <w:color w:val="000000" w:themeColor="text1"/>
          <w:sz w:val="21"/>
          <w:szCs w:val="21"/>
        </w:rPr>
        <w:t>2020</w:t>
      </w:r>
      <w:r w:rsidR="0092764F" w:rsidRPr="007B4794">
        <w:rPr>
          <w:rFonts w:ascii="Arial" w:hAnsi="Arial" w:cs="Arial" w:hint="eastAsia"/>
          <w:color w:val="000000" w:themeColor="text1"/>
          <w:sz w:val="21"/>
          <w:szCs w:val="21"/>
        </w:rPr>
        <w:t>年</w:t>
      </w:r>
      <w:r w:rsidRPr="007B4794">
        <w:rPr>
          <w:rFonts w:ascii="Arial" w:hAnsi="Arial" w:cs="Arial" w:hint="eastAsia"/>
          <w:color w:val="000000" w:themeColor="text1"/>
          <w:sz w:val="21"/>
          <w:szCs w:val="21"/>
        </w:rPr>
        <w:t>土地市场供应量</w:t>
      </w:r>
      <w:r w:rsidR="002A2A8B" w:rsidRPr="007B4794">
        <w:rPr>
          <w:rFonts w:ascii="Arial" w:hAnsi="Arial" w:cs="Arial" w:hint="eastAsia"/>
          <w:color w:val="000000" w:themeColor="text1"/>
          <w:sz w:val="21"/>
          <w:szCs w:val="21"/>
        </w:rPr>
        <w:t>略有上升</w:t>
      </w:r>
      <w:r w:rsidRPr="007B4794">
        <w:rPr>
          <w:rFonts w:ascii="Arial" w:hAnsi="Arial" w:cs="Arial" w:hint="eastAsia"/>
          <w:color w:val="000000" w:themeColor="text1"/>
          <w:sz w:val="21"/>
          <w:szCs w:val="21"/>
        </w:rPr>
        <w:t>，年度供应量基本维持在土地供应面积</w:t>
      </w:r>
      <w:r w:rsidR="002A2A8B" w:rsidRPr="007B4794">
        <w:rPr>
          <w:rFonts w:ascii="Arial" w:hAnsi="Arial" w:cs="Arial" w:hint="eastAsia"/>
          <w:color w:val="000000" w:themeColor="text1"/>
          <w:sz w:val="21"/>
          <w:szCs w:val="21"/>
        </w:rPr>
        <w:t>3</w:t>
      </w:r>
      <w:r w:rsidRPr="007B4794">
        <w:rPr>
          <w:rFonts w:ascii="Arial" w:hAnsi="Arial" w:cs="Arial" w:hint="eastAsia"/>
          <w:color w:val="000000" w:themeColor="text1"/>
          <w:sz w:val="21"/>
          <w:szCs w:val="21"/>
        </w:rPr>
        <w:t>00</w:t>
      </w:r>
      <w:r w:rsidRPr="007B4794">
        <w:rPr>
          <w:rFonts w:ascii="Arial" w:hAnsi="Arial" w:cs="Arial" w:hint="eastAsia"/>
          <w:color w:val="000000" w:themeColor="text1"/>
          <w:sz w:val="21"/>
          <w:szCs w:val="21"/>
        </w:rPr>
        <w:t>万平方米上下，新增规划建筑面积在</w:t>
      </w:r>
      <w:r w:rsidRPr="007B4794">
        <w:rPr>
          <w:rFonts w:ascii="Arial" w:hAnsi="Arial" w:cs="Arial" w:hint="eastAsia"/>
          <w:color w:val="000000" w:themeColor="text1"/>
          <w:sz w:val="21"/>
          <w:szCs w:val="21"/>
        </w:rPr>
        <w:t>700</w:t>
      </w:r>
      <w:r w:rsidRPr="007B4794">
        <w:rPr>
          <w:rFonts w:ascii="Arial" w:hAnsi="Arial" w:cs="Arial" w:hint="eastAsia"/>
          <w:color w:val="000000" w:themeColor="text1"/>
          <w:sz w:val="21"/>
          <w:szCs w:val="21"/>
        </w:rPr>
        <w:t>万平方米上下的市场供应水平。</w:t>
      </w:r>
      <w:r w:rsidRPr="007B4794">
        <w:rPr>
          <w:rFonts w:ascii="Arial" w:hAnsi="Arial" w:cs="Arial" w:hint="eastAsia"/>
          <w:color w:val="000000" w:themeColor="text1"/>
          <w:sz w:val="21"/>
          <w:szCs w:val="21"/>
        </w:rPr>
        <w:t>2019</w:t>
      </w:r>
      <w:r w:rsidRPr="007B4794">
        <w:rPr>
          <w:rFonts w:ascii="Arial" w:hAnsi="Arial" w:cs="Arial" w:hint="eastAsia"/>
          <w:color w:val="000000" w:themeColor="text1"/>
          <w:sz w:val="21"/>
          <w:szCs w:val="21"/>
        </w:rPr>
        <w:t>年为整体供应水平稍有回落，全年新增供应住宅用地</w:t>
      </w:r>
      <w:r w:rsidR="002A2A8B" w:rsidRPr="007B4794">
        <w:rPr>
          <w:rFonts w:ascii="Arial" w:hAnsi="Arial" w:cs="Arial" w:hint="eastAsia"/>
          <w:color w:val="000000" w:themeColor="text1"/>
          <w:sz w:val="21"/>
          <w:szCs w:val="21"/>
        </w:rPr>
        <w:t>71</w:t>
      </w:r>
      <w:r w:rsidRPr="007B4794">
        <w:rPr>
          <w:rFonts w:ascii="Arial" w:hAnsi="Arial" w:cs="Arial" w:hint="eastAsia"/>
          <w:color w:val="000000" w:themeColor="text1"/>
          <w:sz w:val="21"/>
          <w:szCs w:val="21"/>
        </w:rPr>
        <w:t>宗，环比减少</w:t>
      </w:r>
      <w:r w:rsidR="002A2A8B" w:rsidRPr="007B4794">
        <w:rPr>
          <w:rFonts w:ascii="Arial" w:hAnsi="Arial" w:cs="Arial" w:hint="eastAsia"/>
          <w:color w:val="000000" w:themeColor="text1"/>
          <w:sz w:val="21"/>
          <w:szCs w:val="21"/>
        </w:rPr>
        <w:t>13</w:t>
      </w:r>
      <w:r w:rsidRPr="007B4794">
        <w:rPr>
          <w:rFonts w:ascii="Arial" w:hAnsi="Arial" w:cs="Arial" w:hint="eastAsia"/>
          <w:color w:val="000000" w:themeColor="text1"/>
          <w:sz w:val="21"/>
          <w:szCs w:val="21"/>
        </w:rPr>
        <w:t>宗，土地面积</w:t>
      </w:r>
      <w:r w:rsidR="002A2A8B" w:rsidRPr="007B4794">
        <w:rPr>
          <w:rFonts w:ascii="Arial" w:hAnsi="Arial" w:cs="Arial" w:hint="eastAsia"/>
          <w:color w:val="000000" w:themeColor="text1"/>
          <w:sz w:val="21"/>
          <w:szCs w:val="21"/>
        </w:rPr>
        <w:t>275.89</w:t>
      </w:r>
      <w:r w:rsidRPr="007B4794">
        <w:rPr>
          <w:rFonts w:ascii="Arial" w:hAnsi="Arial" w:cs="Arial" w:hint="eastAsia"/>
          <w:color w:val="000000" w:themeColor="text1"/>
          <w:sz w:val="21"/>
          <w:szCs w:val="21"/>
        </w:rPr>
        <w:t>万平方米，新增规划建筑面积</w:t>
      </w:r>
      <w:r w:rsidR="002A2A8B" w:rsidRPr="007B4794">
        <w:rPr>
          <w:rFonts w:ascii="Arial" w:hAnsi="Arial" w:cs="Arial" w:hint="eastAsia"/>
          <w:color w:val="000000" w:themeColor="text1"/>
          <w:sz w:val="21"/>
          <w:szCs w:val="21"/>
        </w:rPr>
        <w:t>673.74</w:t>
      </w:r>
      <w:r w:rsidRPr="007B4794">
        <w:rPr>
          <w:rFonts w:ascii="Arial" w:hAnsi="Arial" w:cs="Arial" w:hint="eastAsia"/>
          <w:color w:val="000000" w:themeColor="text1"/>
          <w:sz w:val="21"/>
          <w:szCs w:val="21"/>
        </w:rPr>
        <w:t>万平方米，供应量为环比</w:t>
      </w:r>
      <w:r w:rsidRPr="007B4794">
        <w:rPr>
          <w:rFonts w:ascii="Arial" w:hAnsi="Arial" w:cs="Arial" w:hint="eastAsia"/>
          <w:color w:val="000000" w:themeColor="text1"/>
          <w:sz w:val="21"/>
          <w:szCs w:val="21"/>
        </w:rPr>
        <w:t>2018</w:t>
      </w:r>
      <w:r w:rsidRPr="007B4794">
        <w:rPr>
          <w:rFonts w:ascii="Arial" w:hAnsi="Arial" w:cs="Arial" w:hint="eastAsia"/>
          <w:color w:val="000000" w:themeColor="text1"/>
          <w:sz w:val="21"/>
          <w:szCs w:val="21"/>
        </w:rPr>
        <w:t>年下降</w:t>
      </w:r>
      <w:r w:rsidR="002A2A8B" w:rsidRPr="007B4794">
        <w:rPr>
          <w:rFonts w:ascii="Arial" w:hAnsi="Arial" w:cs="Arial" w:hint="eastAsia"/>
          <w:color w:val="000000" w:themeColor="text1"/>
          <w:sz w:val="21"/>
          <w:szCs w:val="21"/>
        </w:rPr>
        <w:t>9.98</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w:t>
      </w:r>
    </w:p>
    <w:p w14:paraId="34B38AC4" w14:textId="6DDFB2F9" w:rsidR="00AE01CB" w:rsidRPr="007B4794" w:rsidRDefault="00AE01CB"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020</w:t>
      </w:r>
      <w:r w:rsidRPr="007B4794">
        <w:rPr>
          <w:rFonts w:ascii="Arial" w:hAnsi="Arial" w:cs="Arial" w:hint="eastAsia"/>
          <w:color w:val="000000" w:themeColor="text1"/>
          <w:sz w:val="21"/>
          <w:szCs w:val="21"/>
        </w:rPr>
        <w:t>年</w:t>
      </w:r>
      <w:r w:rsidR="002A2A8B" w:rsidRPr="007B4794">
        <w:rPr>
          <w:rFonts w:ascii="Arial" w:hAnsi="Arial" w:cs="Arial" w:hint="eastAsia"/>
          <w:color w:val="000000" w:themeColor="text1"/>
          <w:sz w:val="21"/>
          <w:szCs w:val="21"/>
        </w:rPr>
        <w:t>1-10</w:t>
      </w:r>
      <w:r w:rsidR="002A2A8B" w:rsidRPr="007B4794">
        <w:rPr>
          <w:rFonts w:ascii="Arial" w:hAnsi="Arial" w:cs="Arial" w:hint="eastAsia"/>
          <w:color w:val="000000" w:themeColor="text1"/>
          <w:sz w:val="21"/>
          <w:szCs w:val="21"/>
        </w:rPr>
        <w:t>月</w:t>
      </w:r>
      <w:r w:rsidRPr="007B4794">
        <w:rPr>
          <w:rFonts w:ascii="Arial" w:hAnsi="Arial" w:cs="Arial" w:hint="eastAsia"/>
          <w:color w:val="000000" w:themeColor="text1"/>
          <w:sz w:val="21"/>
          <w:szCs w:val="21"/>
        </w:rPr>
        <w:t>，</w:t>
      </w:r>
      <w:r w:rsidR="002A2A8B" w:rsidRPr="007B4794">
        <w:rPr>
          <w:rFonts w:ascii="Arial" w:hAnsi="Arial" w:cs="Arial" w:hint="eastAsia"/>
          <w:color w:val="000000" w:themeColor="text1"/>
          <w:sz w:val="21"/>
          <w:szCs w:val="21"/>
        </w:rPr>
        <w:t>漳州</w:t>
      </w:r>
      <w:r w:rsidRPr="007B4794">
        <w:rPr>
          <w:rFonts w:ascii="Arial" w:hAnsi="Arial" w:cs="Arial" w:hint="eastAsia"/>
          <w:color w:val="000000" w:themeColor="text1"/>
          <w:sz w:val="21"/>
          <w:szCs w:val="21"/>
        </w:rPr>
        <w:t>市住宅用地新增供应</w:t>
      </w:r>
      <w:r w:rsidR="002A2A8B" w:rsidRPr="007B4794">
        <w:rPr>
          <w:rFonts w:ascii="Arial" w:hAnsi="Arial" w:cs="Arial" w:hint="eastAsia"/>
          <w:color w:val="000000" w:themeColor="text1"/>
          <w:sz w:val="21"/>
          <w:szCs w:val="21"/>
        </w:rPr>
        <w:t>92</w:t>
      </w:r>
      <w:r w:rsidRPr="007B4794">
        <w:rPr>
          <w:rFonts w:ascii="Arial" w:hAnsi="Arial" w:cs="Arial" w:hint="eastAsia"/>
          <w:color w:val="000000" w:themeColor="text1"/>
          <w:sz w:val="21"/>
          <w:szCs w:val="21"/>
        </w:rPr>
        <w:t>宗，供应土地面积</w:t>
      </w:r>
      <w:r w:rsidR="002A2A8B" w:rsidRPr="007B4794">
        <w:rPr>
          <w:rFonts w:ascii="Arial" w:hAnsi="Arial" w:cs="Arial" w:hint="eastAsia"/>
          <w:color w:val="000000" w:themeColor="text1"/>
          <w:sz w:val="21"/>
          <w:szCs w:val="21"/>
        </w:rPr>
        <w:t>312.44</w:t>
      </w:r>
      <w:r w:rsidRPr="007B4794">
        <w:rPr>
          <w:rFonts w:ascii="Arial" w:hAnsi="Arial" w:cs="Arial" w:hint="eastAsia"/>
          <w:color w:val="000000" w:themeColor="text1"/>
          <w:sz w:val="21"/>
          <w:szCs w:val="21"/>
        </w:rPr>
        <w:t>万平方米，新增规划建筑面积</w:t>
      </w:r>
      <w:r w:rsidR="002A2A8B" w:rsidRPr="007B4794">
        <w:rPr>
          <w:rFonts w:ascii="Arial" w:hAnsi="Arial" w:cs="Arial" w:hint="eastAsia"/>
          <w:color w:val="000000" w:themeColor="text1"/>
          <w:sz w:val="21"/>
          <w:szCs w:val="21"/>
        </w:rPr>
        <w:t>778.12</w:t>
      </w:r>
      <w:r w:rsidRPr="007B4794">
        <w:rPr>
          <w:rFonts w:ascii="Arial" w:hAnsi="Arial" w:cs="Arial" w:hint="eastAsia"/>
          <w:color w:val="000000" w:themeColor="text1"/>
          <w:sz w:val="21"/>
          <w:szCs w:val="21"/>
        </w:rPr>
        <w:t>万平方米，同比去年</w:t>
      </w:r>
      <w:r w:rsidR="005473B4" w:rsidRPr="007B4794">
        <w:rPr>
          <w:rFonts w:ascii="Arial" w:hAnsi="Arial" w:cs="Arial" w:hint="eastAsia"/>
          <w:color w:val="000000" w:themeColor="text1"/>
          <w:sz w:val="21"/>
          <w:szCs w:val="21"/>
        </w:rPr>
        <w:t>1-10</w:t>
      </w:r>
      <w:r w:rsidR="005473B4" w:rsidRPr="007B4794">
        <w:rPr>
          <w:rFonts w:ascii="Arial" w:hAnsi="Arial" w:cs="Arial" w:hint="eastAsia"/>
          <w:color w:val="000000" w:themeColor="text1"/>
          <w:sz w:val="21"/>
          <w:szCs w:val="21"/>
        </w:rPr>
        <w:t>月</w:t>
      </w:r>
      <w:r w:rsidRPr="007B4794">
        <w:rPr>
          <w:rFonts w:ascii="Arial" w:hAnsi="Arial" w:cs="Arial" w:hint="eastAsia"/>
          <w:color w:val="000000" w:themeColor="text1"/>
          <w:sz w:val="21"/>
          <w:szCs w:val="21"/>
        </w:rPr>
        <w:t>供应宗地数量</w:t>
      </w:r>
      <w:r w:rsidR="005473B4" w:rsidRPr="007B4794">
        <w:rPr>
          <w:rFonts w:ascii="Arial" w:hAnsi="Arial" w:cs="Arial" w:hint="eastAsia"/>
          <w:color w:val="000000" w:themeColor="text1"/>
          <w:sz w:val="21"/>
          <w:szCs w:val="21"/>
        </w:rPr>
        <w:t>增加</w:t>
      </w:r>
      <w:r w:rsidRPr="007B4794">
        <w:rPr>
          <w:rFonts w:ascii="Arial" w:hAnsi="Arial" w:cs="Arial" w:hint="eastAsia"/>
          <w:color w:val="000000" w:themeColor="text1"/>
          <w:sz w:val="21"/>
          <w:szCs w:val="21"/>
        </w:rPr>
        <w:t>了</w:t>
      </w:r>
      <w:r w:rsidR="005473B4" w:rsidRPr="007B4794">
        <w:rPr>
          <w:rFonts w:ascii="Arial" w:hAnsi="Arial" w:cs="Arial" w:hint="eastAsia"/>
          <w:color w:val="000000" w:themeColor="text1"/>
          <w:sz w:val="21"/>
          <w:szCs w:val="21"/>
        </w:rPr>
        <w:t>39</w:t>
      </w:r>
      <w:r w:rsidRPr="007B4794">
        <w:rPr>
          <w:rFonts w:ascii="Arial" w:hAnsi="Arial" w:cs="Arial" w:hint="eastAsia"/>
          <w:color w:val="000000" w:themeColor="text1"/>
          <w:sz w:val="21"/>
          <w:szCs w:val="21"/>
        </w:rPr>
        <w:t>宗，土地面积及新增供应建筑面积分别上涨了</w:t>
      </w:r>
      <w:r w:rsidR="005473B4" w:rsidRPr="007B4794">
        <w:rPr>
          <w:rFonts w:ascii="Arial" w:hAnsi="Arial" w:cs="Arial" w:hint="eastAsia"/>
          <w:color w:val="000000" w:themeColor="text1"/>
          <w:sz w:val="21"/>
          <w:szCs w:val="21"/>
        </w:rPr>
        <w:t>56.37</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及</w:t>
      </w:r>
      <w:r w:rsidR="005473B4" w:rsidRPr="007B4794">
        <w:rPr>
          <w:rFonts w:ascii="Arial" w:hAnsi="Arial" w:cs="Arial" w:hint="eastAsia"/>
          <w:color w:val="000000" w:themeColor="text1"/>
          <w:sz w:val="21"/>
          <w:szCs w:val="21"/>
        </w:rPr>
        <w:t>62.77</w:t>
      </w:r>
      <w:r w:rsidRPr="007B4794">
        <w:rPr>
          <w:rFonts w:ascii="Arial" w:hAnsi="Arial" w:cs="Arial" w:hint="eastAsia"/>
          <w:color w:val="000000" w:themeColor="text1"/>
          <w:sz w:val="21"/>
          <w:szCs w:val="21"/>
        </w:rPr>
        <w:t>%</w:t>
      </w:r>
      <w:r w:rsidR="005473B4" w:rsidRPr="007B4794">
        <w:rPr>
          <w:rFonts w:ascii="Arial" w:hAnsi="Arial" w:cs="Arial" w:hint="eastAsia"/>
          <w:color w:val="000000" w:themeColor="text1"/>
          <w:sz w:val="21"/>
          <w:szCs w:val="21"/>
        </w:rPr>
        <w:t>，</w:t>
      </w:r>
      <w:r w:rsidR="005473B4" w:rsidRPr="007B4794">
        <w:rPr>
          <w:rFonts w:ascii="Arial" w:hAnsi="Arial" w:cs="Arial"/>
          <w:color w:val="000000" w:themeColor="text1"/>
          <w:sz w:val="21"/>
          <w:szCs w:val="21"/>
        </w:rPr>
        <w:t>2020</w:t>
      </w:r>
      <w:r w:rsidR="005473B4" w:rsidRPr="007B4794">
        <w:rPr>
          <w:rFonts w:ascii="Arial" w:hAnsi="Arial" w:cs="Arial"/>
          <w:color w:val="000000" w:themeColor="text1"/>
          <w:sz w:val="21"/>
          <w:szCs w:val="21"/>
        </w:rPr>
        <w:t>年</w:t>
      </w:r>
      <w:r w:rsidR="005473B4" w:rsidRPr="007B4794">
        <w:rPr>
          <w:rFonts w:ascii="Arial" w:hAnsi="Arial" w:cs="Arial" w:hint="eastAsia"/>
          <w:color w:val="000000" w:themeColor="text1"/>
          <w:sz w:val="21"/>
          <w:szCs w:val="21"/>
        </w:rPr>
        <w:t>1-10</w:t>
      </w:r>
      <w:r w:rsidR="005473B4" w:rsidRPr="007B4794">
        <w:rPr>
          <w:rFonts w:ascii="Arial" w:hAnsi="Arial" w:cs="Arial" w:hint="eastAsia"/>
          <w:color w:val="000000" w:themeColor="text1"/>
          <w:sz w:val="21"/>
          <w:szCs w:val="21"/>
        </w:rPr>
        <w:t>月</w:t>
      </w:r>
      <w:r w:rsidR="005473B4" w:rsidRPr="007B4794">
        <w:rPr>
          <w:rFonts w:ascii="Arial" w:hAnsi="Arial" w:cs="Arial"/>
          <w:color w:val="000000" w:themeColor="text1"/>
          <w:sz w:val="21"/>
          <w:szCs w:val="21"/>
        </w:rPr>
        <w:t>住宅新增供应量已超过</w:t>
      </w:r>
      <w:r w:rsidR="005473B4" w:rsidRPr="007B4794">
        <w:rPr>
          <w:rFonts w:ascii="Arial" w:hAnsi="Arial" w:cs="Arial"/>
          <w:color w:val="000000" w:themeColor="text1"/>
          <w:sz w:val="21"/>
          <w:szCs w:val="21"/>
        </w:rPr>
        <w:t>2019</w:t>
      </w:r>
      <w:r w:rsidR="005473B4" w:rsidRPr="007B4794">
        <w:rPr>
          <w:rFonts w:ascii="Arial" w:hAnsi="Arial" w:cs="Arial"/>
          <w:color w:val="000000" w:themeColor="text1"/>
          <w:sz w:val="21"/>
          <w:szCs w:val="21"/>
        </w:rPr>
        <w:t>年全年新增供应量</w:t>
      </w:r>
      <w:r w:rsidR="005473B4" w:rsidRPr="007B4794">
        <w:rPr>
          <w:rFonts w:ascii="Arial" w:hAnsi="Arial" w:cs="Arial" w:hint="eastAsia"/>
          <w:color w:val="000000" w:themeColor="text1"/>
          <w:sz w:val="21"/>
          <w:szCs w:val="21"/>
        </w:rPr>
        <w:t>。</w:t>
      </w:r>
    </w:p>
    <w:p w14:paraId="66DF550C" w14:textId="43E83A18" w:rsidR="00AE01CB" w:rsidRPr="007B4794" w:rsidRDefault="005473B4" w:rsidP="00AE01CB">
      <w:pPr>
        <w:widowControl w:val="0"/>
        <w:adjustRightInd w:val="0"/>
        <w:snapToGrid w:val="0"/>
        <w:spacing w:line="480" w:lineRule="auto"/>
        <w:jc w:val="center"/>
        <w:rPr>
          <w:rFonts w:cs="Arial"/>
          <w:color w:val="000000" w:themeColor="text1"/>
          <w:sz w:val="21"/>
          <w:szCs w:val="21"/>
        </w:rPr>
      </w:pPr>
      <w:r w:rsidRPr="007B4794">
        <w:rPr>
          <w:noProof/>
          <w:color w:val="000000" w:themeColor="text1"/>
        </w:rPr>
        <w:drawing>
          <wp:inline distT="0" distB="0" distL="0" distR="0" wp14:anchorId="3F098888" wp14:editId="6ADADB96">
            <wp:extent cx="5486400" cy="2294627"/>
            <wp:effectExtent l="0" t="0" r="19050" b="10795"/>
            <wp:docPr id="13" name="图表 13">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0CE9104" w14:textId="77777777" w:rsidR="00AE01CB" w:rsidRPr="007B4794" w:rsidRDefault="00AE01CB" w:rsidP="00AE01CB">
      <w:pPr>
        <w:widowControl w:val="0"/>
        <w:adjustRightInd w:val="0"/>
        <w:snapToGrid w:val="0"/>
        <w:spacing w:line="480" w:lineRule="auto"/>
        <w:jc w:val="both"/>
        <w:rPr>
          <w:rFonts w:ascii="华文细黑" w:eastAsia="华文细黑" w:hAnsi="华文细黑" w:cs="Arial"/>
          <w:color w:val="000000" w:themeColor="text1"/>
          <w:sz w:val="15"/>
          <w:szCs w:val="15"/>
        </w:rPr>
      </w:pPr>
      <w:r w:rsidRPr="007B4794">
        <w:rPr>
          <w:rFonts w:ascii="华文细黑" w:eastAsia="华文细黑" w:hAnsi="华文细黑" w:cs="Arial" w:hint="eastAsia"/>
          <w:color w:val="000000" w:themeColor="text1"/>
          <w:sz w:val="15"/>
          <w:szCs w:val="15"/>
        </w:rPr>
        <w:t>资料来源：</w:t>
      </w:r>
      <w:r w:rsidRPr="007B4794">
        <w:rPr>
          <w:rFonts w:ascii="华文细黑" w:eastAsia="华文细黑" w:hAnsi="华文细黑" w:cs="Arial"/>
          <w:color w:val="000000" w:themeColor="text1"/>
          <w:sz w:val="15"/>
          <w:szCs w:val="15"/>
        </w:rPr>
        <w:t>CREIS</w:t>
      </w:r>
      <w:r w:rsidRPr="007B4794">
        <w:rPr>
          <w:rFonts w:ascii="华文细黑" w:eastAsia="华文细黑" w:hAnsi="华文细黑" w:cs="Arial" w:hint="eastAsia"/>
          <w:color w:val="000000" w:themeColor="text1"/>
          <w:sz w:val="15"/>
          <w:szCs w:val="15"/>
        </w:rPr>
        <w:t>中指数据</w:t>
      </w:r>
    </w:p>
    <w:p w14:paraId="2F9E1042" w14:textId="77777777" w:rsidR="00AE01CB" w:rsidRPr="007B4794" w:rsidRDefault="00AE01CB"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2</w:t>
      </w:r>
      <w:r w:rsidRPr="007B4794">
        <w:rPr>
          <w:rFonts w:ascii="Arial" w:hAnsi="Arial" w:cs="Arial" w:hint="eastAsia"/>
          <w:color w:val="000000" w:themeColor="text1"/>
          <w:sz w:val="21"/>
          <w:szCs w:val="21"/>
        </w:rPr>
        <w:t>、成交情况</w:t>
      </w:r>
    </w:p>
    <w:p w14:paraId="5DE28A98" w14:textId="18A8F4D0" w:rsidR="00AE01CB" w:rsidRPr="007B4794" w:rsidRDefault="00AE01CB"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从近</w:t>
      </w:r>
      <w:r w:rsidR="003A1297" w:rsidRPr="007B4794">
        <w:rPr>
          <w:rFonts w:ascii="Arial" w:hAnsi="Arial" w:cs="Arial" w:hint="eastAsia"/>
          <w:color w:val="000000" w:themeColor="text1"/>
          <w:sz w:val="21"/>
          <w:szCs w:val="21"/>
        </w:rPr>
        <w:t>3</w:t>
      </w:r>
      <w:r w:rsidRPr="007B4794">
        <w:rPr>
          <w:rFonts w:ascii="Arial" w:hAnsi="Arial" w:cs="Arial" w:hint="eastAsia"/>
          <w:color w:val="000000" w:themeColor="text1"/>
          <w:sz w:val="21"/>
          <w:szCs w:val="21"/>
        </w:rPr>
        <w:t>年</w:t>
      </w:r>
      <w:r w:rsidR="003A1297" w:rsidRPr="007B4794">
        <w:rPr>
          <w:rFonts w:ascii="Arial" w:hAnsi="Arial" w:cs="Arial" w:hint="eastAsia"/>
          <w:color w:val="000000" w:themeColor="text1"/>
          <w:sz w:val="21"/>
          <w:szCs w:val="21"/>
        </w:rPr>
        <w:t>漳州</w:t>
      </w:r>
      <w:r w:rsidRPr="007B4794">
        <w:rPr>
          <w:rFonts w:ascii="Arial" w:hAnsi="Arial" w:cs="Arial" w:hint="eastAsia"/>
          <w:color w:val="000000" w:themeColor="text1"/>
          <w:sz w:val="21"/>
          <w:szCs w:val="21"/>
        </w:rPr>
        <w:t>市住宅用地土地成交情况总体趋势来看，</w:t>
      </w:r>
      <w:r w:rsidRPr="007B4794">
        <w:rPr>
          <w:rFonts w:ascii="Arial" w:hAnsi="Arial" w:cs="Arial" w:hint="eastAsia"/>
          <w:color w:val="000000" w:themeColor="text1"/>
          <w:sz w:val="21"/>
          <w:szCs w:val="21"/>
        </w:rPr>
        <w:t>201</w:t>
      </w:r>
      <w:r w:rsidR="003A1297" w:rsidRPr="007B4794">
        <w:rPr>
          <w:rFonts w:ascii="Arial" w:hAnsi="Arial" w:cs="Arial" w:hint="eastAsia"/>
          <w:color w:val="000000" w:themeColor="text1"/>
          <w:sz w:val="21"/>
          <w:szCs w:val="21"/>
        </w:rPr>
        <w:t>7</w:t>
      </w:r>
      <w:r w:rsidRPr="007B4794">
        <w:rPr>
          <w:rFonts w:ascii="Arial" w:hAnsi="Arial" w:cs="Arial" w:hint="eastAsia"/>
          <w:color w:val="000000" w:themeColor="text1"/>
          <w:sz w:val="21"/>
          <w:szCs w:val="21"/>
        </w:rPr>
        <w:t>-201</w:t>
      </w:r>
      <w:r w:rsidR="003A1297" w:rsidRPr="007B4794">
        <w:rPr>
          <w:rFonts w:ascii="Arial" w:hAnsi="Arial" w:cs="Arial" w:hint="eastAsia"/>
          <w:color w:val="000000" w:themeColor="text1"/>
          <w:sz w:val="21"/>
          <w:szCs w:val="21"/>
        </w:rPr>
        <w:t>9</w:t>
      </w:r>
      <w:r w:rsidRPr="007B4794">
        <w:rPr>
          <w:rFonts w:ascii="Arial" w:hAnsi="Arial" w:cs="Arial" w:hint="eastAsia"/>
          <w:color w:val="000000" w:themeColor="text1"/>
          <w:sz w:val="21"/>
          <w:szCs w:val="21"/>
        </w:rPr>
        <w:t>年市场成交情况整体呈下滑走势，</w:t>
      </w:r>
      <w:r w:rsidRPr="007B4794">
        <w:rPr>
          <w:rFonts w:ascii="Arial" w:hAnsi="Arial" w:cs="Arial" w:hint="eastAsia"/>
          <w:color w:val="000000" w:themeColor="text1"/>
          <w:sz w:val="21"/>
          <w:szCs w:val="21"/>
        </w:rPr>
        <w:t>20</w:t>
      </w:r>
      <w:r w:rsidR="003A1297" w:rsidRPr="007B4794">
        <w:rPr>
          <w:rFonts w:ascii="Arial" w:hAnsi="Arial" w:cs="Arial" w:hint="eastAsia"/>
          <w:color w:val="000000" w:themeColor="text1"/>
          <w:sz w:val="21"/>
          <w:szCs w:val="21"/>
        </w:rPr>
        <w:t>20</w:t>
      </w:r>
      <w:r w:rsidRPr="007B4794">
        <w:rPr>
          <w:rFonts w:ascii="Arial" w:hAnsi="Arial" w:cs="Arial" w:hint="eastAsia"/>
          <w:color w:val="000000" w:themeColor="text1"/>
          <w:sz w:val="21"/>
          <w:szCs w:val="21"/>
        </w:rPr>
        <w:t>年有所回升。</w:t>
      </w:r>
      <w:r w:rsidR="008862E5" w:rsidRPr="007B4794">
        <w:rPr>
          <w:rFonts w:ascii="Arial" w:hAnsi="Arial" w:cs="Arial" w:hint="eastAsia"/>
          <w:color w:val="000000" w:themeColor="text1"/>
          <w:sz w:val="21"/>
          <w:szCs w:val="21"/>
        </w:rPr>
        <w:t>2017</w:t>
      </w:r>
      <w:r w:rsidR="008862E5" w:rsidRPr="007B4794">
        <w:rPr>
          <w:rFonts w:ascii="Arial" w:hAnsi="Arial" w:cs="Arial" w:hint="eastAsia"/>
          <w:color w:val="000000" w:themeColor="text1"/>
          <w:sz w:val="21"/>
          <w:szCs w:val="21"/>
        </w:rPr>
        <w:t>年住宅用地成交土地面积为</w:t>
      </w:r>
      <w:r w:rsidR="008862E5" w:rsidRPr="007B4794">
        <w:rPr>
          <w:rFonts w:ascii="Arial" w:hAnsi="Arial" w:cs="Arial" w:hint="eastAsia"/>
          <w:color w:val="000000" w:themeColor="text1"/>
          <w:sz w:val="21"/>
          <w:szCs w:val="21"/>
        </w:rPr>
        <w:t>247.9</w:t>
      </w:r>
      <w:r w:rsidR="008862E5" w:rsidRPr="007B4794">
        <w:rPr>
          <w:rFonts w:ascii="Arial" w:hAnsi="Arial" w:cs="Arial" w:hint="eastAsia"/>
          <w:color w:val="000000" w:themeColor="text1"/>
          <w:sz w:val="21"/>
          <w:szCs w:val="21"/>
        </w:rPr>
        <w:t>万平方米，成交规划面积为</w:t>
      </w:r>
      <w:r w:rsidR="008862E5" w:rsidRPr="007B4794">
        <w:rPr>
          <w:rFonts w:ascii="Arial" w:hAnsi="Arial" w:cs="Arial" w:hint="eastAsia"/>
          <w:color w:val="000000" w:themeColor="text1"/>
          <w:sz w:val="21"/>
          <w:szCs w:val="21"/>
        </w:rPr>
        <w:t>672.52</w:t>
      </w:r>
      <w:r w:rsidR="008862E5" w:rsidRPr="007B4794">
        <w:rPr>
          <w:rFonts w:ascii="Arial" w:hAnsi="Arial" w:cs="Arial" w:hint="eastAsia"/>
          <w:color w:val="000000" w:themeColor="text1"/>
          <w:sz w:val="21"/>
          <w:szCs w:val="21"/>
        </w:rPr>
        <w:t>万平方米，</w:t>
      </w:r>
      <w:r w:rsidR="003A1297" w:rsidRPr="007B4794">
        <w:rPr>
          <w:rFonts w:ascii="Arial" w:hAnsi="Arial" w:cs="Arial" w:hint="eastAsia"/>
          <w:color w:val="000000" w:themeColor="text1"/>
          <w:sz w:val="21"/>
          <w:szCs w:val="21"/>
        </w:rPr>
        <w:t>受</w:t>
      </w:r>
      <w:r w:rsidR="003A1297" w:rsidRPr="007B4794">
        <w:rPr>
          <w:rFonts w:ascii="Arial" w:hAnsi="Arial" w:cs="Arial" w:hint="eastAsia"/>
          <w:color w:val="000000" w:themeColor="text1"/>
          <w:sz w:val="21"/>
          <w:szCs w:val="21"/>
        </w:rPr>
        <w:t>2018</w:t>
      </w:r>
      <w:r w:rsidR="003A1297" w:rsidRPr="007B4794">
        <w:rPr>
          <w:rFonts w:ascii="Arial" w:hAnsi="Arial" w:cs="Arial" w:hint="eastAsia"/>
          <w:color w:val="000000" w:themeColor="text1"/>
          <w:sz w:val="21"/>
          <w:szCs w:val="21"/>
        </w:rPr>
        <w:t>年出台的“限地价、定配建、竞房价”政策影响，</w:t>
      </w:r>
      <w:r w:rsidRPr="007B4794">
        <w:rPr>
          <w:rFonts w:ascii="Arial" w:hAnsi="Arial" w:cs="Arial" w:hint="eastAsia"/>
          <w:color w:val="000000" w:themeColor="text1"/>
          <w:sz w:val="21"/>
          <w:szCs w:val="21"/>
        </w:rPr>
        <w:t>201</w:t>
      </w:r>
      <w:r w:rsidR="003A1297" w:rsidRPr="007B4794">
        <w:rPr>
          <w:rFonts w:ascii="Arial" w:hAnsi="Arial" w:cs="Arial" w:hint="eastAsia"/>
          <w:color w:val="000000" w:themeColor="text1"/>
          <w:sz w:val="21"/>
          <w:szCs w:val="21"/>
        </w:rPr>
        <w:t>8</w:t>
      </w:r>
      <w:r w:rsidRPr="007B4794">
        <w:rPr>
          <w:rFonts w:ascii="Arial" w:hAnsi="Arial" w:cs="Arial" w:hint="eastAsia"/>
          <w:color w:val="000000" w:themeColor="text1"/>
          <w:sz w:val="21"/>
          <w:szCs w:val="21"/>
        </w:rPr>
        <w:t>-201</w:t>
      </w:r>
      <w:r w:rsidR="003A1297" w:rsidRPr="007B4794">
        <w:rPr>
          <w:rFonts w:ascii="Arial" w:hAnsi="Arial" w:cs="Arial" w:hint="eastAsia"/>
          <w:color w:val="000000" w:themeColor="text1"/>
          <w:sz w:val="21"/>
          <w:szCs w:val="21"/>
        </w:rPr>
        <w:t>9</w:t>
      </w:r>
      <w:r w:rsidRPr="007B4794">
        <w:rPr>
          <w:rFonts w:ascii="Arial" w:hAnsi="Arial" w:cs="Arial" w:hint="eastAsia"/>
          <w:color w:val="000000" w:themeColor="text1"/>
          <w:sz w:val="21"/>
          <w:szCs w:val="21"/>
        </w:rPr>
        <w:t>年连续土地成交数据环比下降，</w:t>
      </w:r>
      <w:r w:rsidRPr="007B4794">
        <w:rPr>
          <w:rFonts w:ascii="Arial" w:hAnsi="Arial" w:cs="Arial" w:hint="eastAsia"/>
          <w:color w:val="000000" w:themeColor="text1"/>
          <w:sz w:val="21"/>
          <w:szCs w:val="21"/>
        </w:rPr>
        <w:t>201</w:t>
      </w:r>
      <w:r w:rsidR="008862E5" w:rsidRPr="007B4794">
        <w:rPr>
          <w:rFonts w:ascii="Arial" w:hAnsi="Arial" w:cs="Arial" w:hint="eastAsia"/>
          <w:color w:val="000000" w:themeColor="text1"/>
          <w:sz w:val="21"/>
          <w:szCs w:val="21"/>
        </w:rPr>
        <w:t>8</w:t>
      </w:r>
      <w:r w:rsidRPr="007B4794">
        <w:rPr>
          <w:rFonts w:ascii="Arial" w:hAnsi="Arial" w:cs="Arial" w:hint="eastAsia"/>
          <w:color w:val="000000" w:themeColor="text1"/>
          <w:sz w:val="21"/>
          <w:szCs w:val="21"/>
        </w:rPr>
        <w:t>年住宅用地成交土地面积为</w:t>
      </w:r>
      <w:r w:rsidR="008862E5" w:rsidRPr="007B4794">
        <w:rPr>
          <w:rFonts w:ascii="Arial" w:hAnsi="Arial" w:cs="Arial" w:hint="eastAsia"/>
          <w:color w:val="000000" w:themeColor="text1"/>
          <w:sz w:val="21"/>
          <w:szCs w:val="21"/>
        </w:rPr>
        <w:t>242.97</w:t>
      </w:r>
      <w:r w:rsidRPr="007B4794">
        <w:rPr>
          <w:rFonts w:ascii="Arial" w:hAnsi="Arial" w:cs="Arial" w:hint="eastAsia"/>
          <w:color w:val="000000" w:themeColor="text1"/>
          <w:sz w:val="21"/>
          <w:szCs w:val="21"/>
        </w:rPr>
        <w:t>万平方米，成交规划面积为</w:t>
      </w:r>
      <w:r w:rsidR="008862E5" w:rsidRPr="007B4794">
        <w:rPr>
          <w:rFonts w:ascii="Arial" w:hAnsi="Arial" w:cs="Arial" w:hint="eastAsia"/>
          <w:color w:val="000000" w:themeColor="text1"/>
          <w:sz w:val="21"/>
          <w:szCs w:val="21"/>
        </w:rPr>
        <w:t>580.41</w:t>
      </w:r>
      <w:r w:rsidRPr="007B4794">
        <w:rPr>
          <w:rFonts w:ascii="Arial" w:hAnsi="Arial" w:cs="Arial" w:hint="eastAsia"/>
          <w:color w:val="000000" w:themeColor="text1"/>
          <w:sz w:val="21"/>
          <w:szCs w:val="21"/>
        </w:rPr>
        <w:t>万平方米，成交土地面积环比下降</w:t>
      </w:r>
      <w:r w:rsidR="008862E5" w:rsidRPr="007B4794">
        <w:rPr>
          <w:rFonts w:ascii="Arial" w:hAnsi="Arial" w:cs="Arial" w:hint="eastAsia"/>
          <w:color w:val="000000" w:themeColor="text1"/>
          <w:sz w:val="21"/>
          <w:szCs w:val="21"/>
        </w:rPr>
        <w:t>1.99</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201</w:t>
      </w:r>
      <w:r w:rsidR="008862E5" w:rsidRPr="007B4794">
        <w:rPr>
          <w:rFonts w:ascii="Arial" w:hAnsi="Arial" w:cs="Arial" w:hint="eastAsia"/>
          <w:color w:val="000000" w:themeColor="text1"/>
          <w:sz w:val="21"/>
          <w:szCs w:val="21"/>
        </w:rPr>
        <w:t>9</w:t>
      </w:r>
      <w:r w:rsidRPr="007B4794">
        <w:rPr>
          <w:rFonts w:ascii="Arial" w:hAnsi="Arial" w:cs="Arial" w:hint="eastAsia"/>
          <w:color w:val="000000" w:themeColor="text1"/>
          <w:sz w:val="21"/>
          <w:szCs w:val="21"/>
        </w:rPr>
        <w:t>年住宅用地成交土地面积为</w:t>
      </w:r>
      <w:r w:rsidR="008862E5" w:rsidRPr="007B4794">
        <w:rPr>
          <w:rFonts w:ascii="Arial" w:hAnsi="Arial" w:cs="Arial" w:hint="eastAsia"/>
          <w:color w:val="000000" w:themeColor="text1"/>
          <w:sz w:val="21"/>
          <w:szCs w:val="21"/>
        </w:rPr>
        <w:t>191.86</w:t>
      </w:r>
      <w:r w:rsidRPr="007B4794">
        <w:rPr>
          <w:rFonts w:ascii="Arial" w:hAnsi="Arial" w:cs="Arial" w:hint="eastAsia"/>
          <w:color w:val="000000" w:themeColor="text1"/>
          <w:sz w:val="21"/>
          <w:szCs w:val="21"/>
        </w:rPr>
        <w:t>万平方米，成交规划面积为</w:t>
      </w:r>
      <w:r w:rsidR="008862E5" w:rsidRPr="007B4794">
        <w:rPr>
          <w:rFonts w:ascii="Arial" w:hAnsi="Arial" w:cs="Arial" w:hint="eastAsia"/>
          <w:color w:val="000000" w:themeColor="text1"/>
          <w:sz w:val="21"/>
          <w:szCs w:val="21"/>
        </w:rPr>
        <w:t>460.91</w:t>
      </w:r>
      <w:r w:rsidRPr="007B4794">
        <w:rPr>
          <w:rFonts w:ascii="Arial" w:hAnsi="Arial" w:cs="Arial" w:hint="eastAsia"/>
          <w:color w:val="000000" w:themeColor="text1"/>
          <w:sz w:val="21"/>
          <w:szCs w:val="21"/>
        </w:rPr>
        <w:t>万平方米，成交土地面积环比下降</w:t>
      </w:r>
      <w:r w:rsidR="008862E5" w:rsidRPr="007B4794">
        <w:rPr>
          <w:rFonts w:ascii="Arial" w:hAnsi="Arial" w:cs="Arial" w:hint="eastAsia"/>
          <w:color w:val="000000" w:themeColor="text1"/>
          <w:sz w:val="21"/>
          <w:szCs w:val="21"/>
        </w:rPr>
        <w:t>21.04</w:t>
      </w:r>
      <w:r w:rsidRPr="007B4794">
        <w:rPr>
          <w:rFonts w:ascii="Arial" w:hAnsi="Arial" w:cs="Arial" w:hint="eastAsia"/>
          <w:color w:val="000000" w:themeColor="text1"/>
          <w:sz w:val="21"/>
          <w:szCs w:val="21"/>
        </w:rPr>
        <w:t>%</w:t>
      </w:r>
      <w:r w:rsidR="008862E5"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土地收入方面，</w:t>
      </w:r>
      <w:r w:rsidRPr="007B4794">
        <w:rPr>
          <w:rFonts w:ascii="Arial" w:hAnsi="Arial" w:cs="Arial" w:hint="eastAsia"/>
          <w:color w:val="000000" w:themeColor="text1"/>
          <w:sz w:val="21"/>
          <w:szCs w:val="21"/>
        </w:rPr>
        <w:t>201</w:t>
      </w:r>
      <w:r w:rsidR="008862E5" w:rsidRPr="007B4794">
        <w:rPr>
          <w:rFonts w:ascii="Arial" w:hAnsi="Arial" w:cs="Arial" w:hint="eastAsia"/>
          <w:color w:val="000000" w:themeColor="text1"/>
          <w:sz w:val="21"/>
          <w:szCs w:val="21"/>
        </w:rPr>
        <w:t>7</w:t>
      </w:r>
      <w:r w:rsidRPr="007B4794">
        <w:rPr>
          <w:rFonts w:ascii="Arial" w:hAnsi="Arial" w:cs="Arial" w:hint="eastAsia"/>
          <w:color w:val="000000" w:themeColor="text1"/>
          <w:sz w:val="21"/>
          <w:szCs w:val="21"/>
        </w:rPr>
        <w:t>年土地收入达到峰值，随后出现大</w:t>
      </w:r>
      <w:r w:rsidRPr="007B4794">
        <w:rPr>
          <w:rFonts w:ascii="Arial" w:hAnsi="Arial" w:cs="Arial" w:hint="eastAsia"/>
          <w:color w:val="000000" w:themeColor="text1"/>
          <w:sz w:val="21"/>
          <w:szCs w:val="21"/>
        </w:rPr>
        <w:lastRenderedPageBreak/>
        <w:t>幅下跌，</w:t>
      </w:r>
      <w:r w:rsidRPr="007B4794">
        <w:rPr>
          <w:rFonts w:ascii="Arial" w:hAnsi="Arial" w:cs="Arial" w:hint="eastAsia"/>
          <w:color w:val="000000" w:themeColor="text1"/>
          <w:sz w:val="21"/>
          <w:szCs w:val="21"/>
        </w:rPr>
        <w:t>201</w:t>
      </w:r>
      <w:r w:rsidR="008862E5" w:rsidRPr="007B4794">
        <w:rPr>
          <w:rFonts w:ascii="Arial" w:hAnsi="Arial" w:cs="Arial" w:hint="eastAsia"/>
          <w:color w:val="000000" w:themeColor="text1"/>
          <w:sz w:val="21"/>
          <w:szCs w:val="21"/>
        </w:rPr>
        <w:t>8</w:t>
      </w:r>
      <w:r w:rsidRPr="007B4794">
        <w:rPr>
          <w:rFonts w:ascii="Arial" w:hAnsi="Arial" w:cs="Arial" w:hint="eastAsia"/>
          <w:color w:val="000000" w:themeColor="text1"/>
          <w:sz w:val="21"/>
          <w:szCs w:val="21"/>
        </w:rPr>
        <w:t>年环比下降</w:t>
      </w:r>
      <w:r w:rsidR="008862E5" w:rsidRPr="007B4794">
        <w:rPr>
          <w:rFonts w:ascii="Arial" w:hAnsi="Arial" w:cs="Arial" w:hint="eastAsia"/>
          <w:color w:val="000000" w:themeColor="text1"/>
          <w:sz w:val="21"/>
          <w:szCs w:val="21"/>
        </w:rPr>
        <w:t>38.04</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201</w:t>
      </w:r>
      <w:r w:rsidR="008862E5" w:rsidRPr="007B4794">
        <w:rPr>
          <w:rFonts w:ascii="Arial" w:hAnsi="Arial" w:cs="Arial" w:hint="eastAsia"/>
          <w:color w:val="000000" w:themeColor="text1"/>
          <w:sz w:val="21"/>
          <w:szCs w:val="21"/>
        </w:rPr>
        <w:t>9</w:t>
      </w:r>
      <w:r w:rsidRPr="007B4794">
        <w:rPr>
          <w:rFonts w:ascii="Arial" w:hAnsi="Arial" w:cs="Arial" w:hint="eastAsia"/>
          <w:color w:val="000000" w:themeColor="text1"/>
          <w:sz w:val="21"/>
          <w:szCs w:val="21"/>
        </w:rPr>
        <w:t>年环比下降</w:t>
      </w:r>
      <w:r w:rsidR="008862E5" w:rsidRPr="007B4794">
        <w:rPr>
          <w:rFonts w:ascii="Arial" w:hAnsi="Arial" w:cs="Arial" w:hint="eastAsia"/>
          <w:color w:val="000000" w:themeColor="text1"/>
          <w:sz w:val="21"/>
          <w:szCs w:val="21"/>
        </w:rPr>
        <w:t>12.01</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w:t>
      </w:r>
    </w:p>
    <w:p w14:paraId="56EBC228" w14:textId="7137BF16" w:rsidR="00AE01CB" w:rsidRPr="007B4794" w:rsidRDefault="00AE01CB"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020</w:t>
      </w:r>
      <w:r w:rsidRPr="007B4794">
        <w:rPr>
          <w:rFonts w:ascii="Arial" w:hAnsi="Arial" w:cs="Arial" w:hint="eastAsia"/>
          <w:color w:val="000000" w:themeColor="text1"/>
          <w:sz w:val="21"/>
          <w:szCs w:val="21"/>
        </w:rPr>
        <w:t>年</w:t>
      </w:r>
      <w:r w:rsidR="008862E5" w:rsidRPr="007B4794">
        <w:rPr>
          <w:rFonts w:ascii="Arial" w:hAnsi="Arial" w:cs="Arial" w:hint="eastAsia"/>
          <w:color w:val="000000" w:themeColor="text1"/>
          <w:sz w:val="21"/>
          <w:szCs w:val="21"/>
        </w:rPr>
        <w:t>1-10</w:t>
      </w:r>
      <w:r w:rsidR="008862E5" w:rsidRPr="007B4794">
        <w:rPr>
          <w:rFonts w:ascii="Arial" w:hAnsi="Arial" w:cs="Arial" w:hint="eastAsia"/>
          <w:color w:val="000000" w:themeColor="text1"/>
          <w:sz w:val="21"/>
          <w:szCs w:val="21"/>
        </w:rPr>
        <w:t>月</w:t>
      </w:r>
      <w:r w:rsidRPr="007B4794">
        <w:rPr>
          <w:rFonts w:ascii="Arial" w:hAnsi="Arial" w:cs="Arial" w:hint="eastAsia"/>
          <w:color w:val="000000" w:themeColor="text1"/>
          <w:sz w:val="21"/>
          <w:szCs w:val="21"/>
        </w:rPr>
        <w:t>，住宅</w:t>
      </w:r>
      <w:r w:rsidRPr="007B4794">
        <w:rPr>
          <w:rFonts w:ascii="Arial" w:hAnsi="Arial" w:cs="Arial"/>
          <w:color w:val="000000" w:themeColor="text1"/>
          <w:sz w:val="21"/>
          <w:szCs w:val="21"/>
        </w:rPr>
        <w:t>用地成交土地面积</w:t>
      </w:r>
      <w:r w:rsidRPr="007B4794">
        <w:rPr>
          <w:rFonts w:ascii="Arial" w:hAnsi="Arial" w:cs="Arial" w:hint="eastAsia"/>
          <w:color w:val="000000" w:themeColor="text1"/>
          <w:sz w:val="21"/>
          <w:szCs w:val="21"/>
        </w:rPr>
        <w:t>为</w:t>
      </w:r>
      <w:r w:rsidR="007D3C16" w:rsidRPr="007B4794">
        <w:rPr>
          <w:rFonts w:ascii="Arial" w:hAnsi="Arial" w:cs="Arial" w:hint="eastAsia"/>
          <w:color w:val="000000" w:themeColor="text1"/>
          <w:sz w:val="21"/>
          <w:szCs w:val="21"/>
        </w:rPr>
        <w:t>249.43</w:t>
      </w:r>
      <w:r w:rsidRPr="007B4794">
        <w:rPr>
          <w:rFonts w:ascii="Arial" w:hAnsi="Arial" w:cs="Arial" w:hint="eastAsia"/>
          <w:color w:val="000000" w:themeColor="text1"/>
          <w:sz w:val="21"/>
          <w:szCs w:val="21"/>
        </w:rPr>
        <w:t>万</w:t>
      </w:r>
      <w:r w:rsidRPr="007B4794">
        <w:rPr>
          <w:rFonts w:ascii="Arial" w:hAnsi="Arial" w:cs="Arial"/>
          <w:color w:val="000000" w:themeColor="text1"/>
          <w:sz w:val="21"/>
          <w:szCs w:val="21"/>
        </w:rPr>
        <w:t>平方米</w:t>
      </w:r>
      <w:r w:rsidRPr="007B4794">
        <w:rPr>
          <w:rFonts w:ascii="Arial" w:hAnsi="Arial" w:cs="Arial" w:hint="eastAsia"/>
          <w:color w:val="000000" w:themeColor="text1"/>
          <w:sz w:val="21"/>
          <w:szCs w:val="21"/>
        </w:rPr>
        <w:t>，成交</w:t>
      </w:r>
      <w:r w:rsidRPr="007B4794">
        <w:rPr>
          <w:rFonts w:ascii="Arial" w:hAnsi="Arial" w:cs="Arial"/>
          <w:color w:val="000000" w:themeColor="text1"/>
          <w:sz w:val="21"/>
          <w:szCs w:val="21"/>
        </w:rPr>
        <w:t>规划面积</w:t>
      </w:r>
      <w:r w:rsidR="007D3C16" w:rsidRPr="007B4794">
        <w:rPr>
          <w:rFonts w:ascii="Arial" w:hAnsi="Arial" w:cs="Arial" w:hint="eastAsia"/>
          <w:color w:val="000000" w:themeColor="text1"/>
          <w:sz w:val="21"/>
          <w:szCs w:val="21"/>
        </w:rPr>
        <w:t>633.07</w:t>
      </w:r>
      <w:r w:rsidRPr="007B4794">
        <w:rPr>
          <w:rFonts w:ascii="Arial" w:hAnsi="Arial" w:cs="Arial" w:hint="eastAsia"/>
          <w:color w:val="000000" w:themeColor="text1"/>
          <w:sz w:val="21"/>
          <w:szCs w:val="21"/>
        </w:rPr>
        <w:t>平方米，</w:t>
      </w:r>
      <w:r w:rsidRPr="007B4794">
        <w:rPr>
          <w:rFonts w:ascii="Arial" w:hAnsi="Arial" w:cs="Arial"/>
          <w:color w:val="000000" w:themeColor="text1"/>
          <w:sz w:val="21"/>
          <w:szCs w:val="21"/>
        </w:rPr>
        <w:t>成交金额</w:t>
      </w:r>
      <w:r w:rsidRPr="007B4794">
        <w:rPr>
          <w:rFonts w:ascii="Arial" w:hAnsi="Arial" w:cs="Arial" w:hint="eastAsia"/>
          <w:color w:val="000000" w:themeColor="text1"/>
          <w:sz w:val="21"/>
          <w:szCs w:val="21"/>
        </w:rPr>
        <w:t>为</w:t>
      </w:r>
      <w:r w:rsidR="007D3C16" w:rsidRPr="007B4794">
        <w:rPr>
          <w:rFonts w:ascii="Arial" w:hAnsi="Arial" w:cs="Arial" w:hint="eastAsia"/>
          <w:color w:val="000000" w:themeColor="text1"/>
          <w:sz w:val="21"/>
          <w:szCs w:val="21"/>
        </w:rPr>
        <w:t>182.44</w:t>
      </w:r>
      <w:r w:rsidRPr="007B4794">
        <w:rPr>
          <w:rFonts w:ascii="Arial" w:hAnsi="Arial" w:cs="Arial" w:hint="eastAsia"/>
          <w:color w:val="000000" w:themeColor="text1"/>
          <w:sz w:val="21"/>
          <w:szCs w:val="21"/>
        </w:rPr>
        <w:t>亿元，相比</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01</w:t>
      </w:r>
      <w:r w:rsidRPr="007B4794">
        <w:rPr>
          <w:rFonts w:ascii="Arial" w:hAnsi="Arial" w:cs="Arial" w:hint="eastAsia"/>
          <w:color w:val="000000" w:themeColor="text1"/>
          <w:sz w:val="21"/>
          <w:szCs w:val="21"/>
        </w:rPr>
        <w:t>9</w:t>
      </w:r>
      <w:r w:rsidRPr="007B4794">
        <w:rPr>
          <w:rFonts w:ascii="Arial" w:hAnsi="Arial" w:cs="Arial" w:hint="eastAsia"/>
          <w:color w:val="000000" w:themeColor="text1"/>
          <w:sz w:val="21"/>
          <w:szCs w:val="21"/>
        </w:rPr>
        <w:t>年同期，成交土地面积</w:t>
      </w:r>
      <w:r w:rsidR="007D3C16" w:rsidRPr="007B4794">
        <w:rPr>
          <w:rFonts w:ascii="Arial" w:hAnsi="Arial" w:cs="Arial" w:hint="eastAsia"/>
          <w:color w:val="000000" w:themeColor="text1"/>
          <w:sz w:val="21"/>
          <w:szCs w:val="21"/>
        </w:rPr>
        <w:t>上涨</w:t>
      </w:r>
      <w:r w:rsidR="007D3C16" w:rsidRPr="007B4794">
        <w:rPr>
          <w:rFonts w:ascii="Arial" w:hAnsi="Arial" w:cs="Arial" w:hint="eastAsia"/>
          <w:color w:val="000000" w:themeColor="text1"/>
          <w:sz w:val="21"/>
          <w:szCs w:val="21"/>
        </w:rPr>
        <w:t>71.36</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，成交规划建筑面积</w:t>
      </w:r>
      <w:r w:rsidR="007D3C16" w:rsidRPr="007B4794">
        <w:rPr>
          <w:rFonts w:ascii="Arial" w:hAnsi="Arial" w:cs="Arial" w:hint="eastAsia"/>
          <w:color w:val="000000" w:themeColor="text1"/>
          <w:sz w:val="21"/>
          <w:szCs w:val="21"/>
        </w:rPr>
        <w:t>上涨</w:t>
      </w:r>
      <w:r w:rsidR="007D3C16" w:rsidRPr="007B4794">
        <w:rPr>
          <w:rFonts w:ascii="Arial" w:hAnsi="Arial" w:cs="Arial" w:hint="eastAsia"/>
          <w:color w:val="000000" w:themeColor="text1"/>
          <w:sz w:val="21"/>
          <w:szCs w:val="21"/>
        </w:rPr>
        <w:t>86.15</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，成交金额同比</w:t>
      </w:r>
      <w:r w:rsidR="007D3C16" w:rsidRPr="007B4794">
        <w:rPr>
          <w:rFonts w:ascii="Arial" w:hAnsi="Arial" w:cs="Arial" w:hint="eastAsia"/>
          <w:color w:val="000000" w:themeColor="text1"/>
          <w:sz w:val="21"/>
          <w:szCs w:val="21"/>
        </w:rPr>
        <w:t>上涨</w:t>
      </w:r>
      <w:r w:rsidRPr="007B4794">
        <w:rPr>
          <w:rFonts w:ascii="Arial" w:hAnsi="Arial" w:cs="Arial" w:hint="eastAsia"/>
          <w:color w:val="000000" w:themeColor="text1"/>
          <w:sz w:val="21"/>
          <w:szCs w:val="21"/>
        </w:rPr>
        <w:t>超过</w:t>
      </w:r>
      <w:r w:rsidR="007D3C16" w:rsidRPr="007B4794">
        <w:rPr>
          <w:rFonts w:ascii="Arial" w:hAnsi="Arial" w:cs="Arial" w:hint="eastAsia"/>
          <w:color w:val="000000" w:themeColor="text1"/>
          <w:sz w:val="21"/>
          <w:szCs w:val="21"/>
        </w:rPr>
        <w:t>三</w:t>
      </w:r>
      <w:r w:rsidRPr="007B4794">
        <w:rPr>
          <w:rFonts w:ascii="Arial" w:hAnsi="Arial" w:cs="Arial" w:hint="eastAsia"/>
          <w:color w:val="000000" w:themeColor="text1"/>
          <w:sz w:val="21"/>
          <w:szCs w:val="21"/>
        </w:rPr>
        <w:t>成。</w:t>
      </w:r>
    </w:p>
    <w:p w14:paraId="2D8469AD" w14:textId="1001AF68" w:rsidR="00AE01CB" w:rsidRPr="007B4794" w:rsidRDefault="007D3C16" w:rsidP="00AE01CB">
      <w:pPr>
        <w:widowControl w:val="0"/>
        <w:adjustRightInd w:val="0"/>
        <w:snapToGrid w:val="0"/>
        <w:spacing w:line="480" w:lineRule="auto"/>
        <w:jc w:val="center"/>
        <w:rPr>
          <w:rFonts w:ascii="Arial" w:hAnsi="Arial" w:cs="Arial"/>
          <w:color w:val="000000" w:themeColor="text1"/>
          <w:sz w:val="21"/>
          <w:szCs w:val="21"/>
        </w:rPr>
      </w:pPr>
      <w:r w:rsidRPr="007B4794">
        <w:rPr>
          <w:noProof/>
          <w:color w:val="000000" w:themeColor="text1"/>
        </w:rPr>
        <w:drawing>
          <wp:inline distT="0" distB="0" distL="0" distR="0" wp14:anchorId="2BB2EC4B" wp14:editId="7309A94E">
            <wp:extent cx="5486400" cy="2479675"/>
            <wp:effectExtent l="0" t="0" r="19050" b="15875"/>
            <wp:docPr id="15" name="图表 15">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BD6CFF6" w14:textId="77777777" w:rsidR="00AE01CB" w:rsidRPr="007B4794" w:rsidRDefault="00AE01CB" w:rsidP="00AE01CB">
      <w:pPr>
        <w:widowControl w:val="0"/>
        <w:adjustRightInd w:val="0"/>
        <w:snapToGrid w:val="0"/>
        <w:spacing w:line="480" w:lineRule="auto"/>
        <w:jc w:val="both"/>
        <w:rPr>
          <w:rFonts w:ascii="华文细黑" w:eastAsia="华文细黑" w:hAnsi="华文细黑" w:cs="Arial"/>
          <w:color w:val="000000" w:themeColor="text1"/>
          <w:sz w:val="15"/>
          <w:szCs w:val="15"/>
        </w:rPr>
      </w:pPr>
      <w:r w:rsidRPr="007B4794">
        <w:rPr>
          <w:rFonts w:ascii="华文细黑" w:eastAsia="华文细黑" w:hAnsi="华文细黑" w:cs="Arial" w:hint="eastAsia"/>
          <w:color w:val="000000" w:themeColor="text1"/>
          <w:sz w:val="15"/>
          <w:szCs w:val="15"/>
        </w:rPr>
        <w:t>资料来源：</w:t>
      </w:r>
      <w:r w:rsidRPr="007B4794">
        <w:rPr>
          <w:rFonts w:ascii="Arial" w:eastAsia="华文细黑" w:hAnsi="Arial" w:cs="Arial"/>
          <w:color w:val="000000" w:themeColor="text1"/>
          <w:sz w:val="15"/>
          <w:szCs w:val="15"/>
        </w:rPr>
        <w:t>CREIS</w:t>
      </w:r>
      <w:r w:rsidRPr="007B4794">
        <w:rPr>
          <w:rFonts w:ascii="华文细黑" w:eastAsia="华文细黑" w:hAnsi="华文细黑" w:cs="Arial" w:hint="eastAsia"/>
          <w:color w:val="000000" w:themeColor="text1"/>
          <w:sz w:val="15"/>
          <w:szCs w:val="15"/>
        </w:rPr>
        <w:t>中指数据</w:t>
      </w:r>
    </w:p>
    <w:p w14:paraId="0AF50077" w14:textId="7F81BAB4" w:rsidR="00AE01CB" w:rsidRDefault="00AE01CB" w:rsidP="00AE01CB">
      <w:pPr>
        <w:widowControl w:val="0"/>
        <w:adjustRightInd w:val="0"/>
        <w:snapToGrid w:val="0"/>
        <w:spacing w:line="480" w:lineRule="auto"/>
        <w:ind w:firstLineChars="200" w:firstLine="420"/>
        <w:jc w:val="both"/>
        <w:rPr>
          <w:rFonts w:ascii="Arial" w:hAnsi="Arial" w:cs="Arial" w:hint="eastAsia"/>
          <w:color w:val="000000" w:themeColor="text1"/>
          <w:sz w:val="21"/>
          <w:szCs w:val="21"/>
        </w:rPr>
      </w:pPr>
      <w:r w:rsidRPr="007B4794">
        <w:rPr>
          <w:rFonts w:ascii="Arial" w:hAnsi="Arial" w:cs="Arial" w:hint="eastAsia"/>
          <w:color w:val="000000" w:themeColor="text1"/>
          <w:sz w:val="21"/>
          <w:szCs w:val="21"/>
        </w:rPr>
        <w:t>从区域分布上来看，</w:t>
      </w:r>
      <w:r w:rsidRPr="007B4794">
        <w:rPr>
          <w:rFonts w:ascii="Arial" w:hAnsi="Arial" w:cs="Arial" w:hint="eastAsia"/>
          <w:color w:val="000000" w:themeColor="text1"/>
          <w:sz w:val="21"/>
          <w:szCs w:val="21"/>
        </w:rPr>
        <w:t>2019</w:t>
      </w:r>
      <w:r w:rsidRPr="007B4794">
        <w:rPr>
          <w:rFonts w:ascii="Arial" w:hAnsi="Arial" w:cs="Arial" w:hint="eastAsia"/>
          <w:color w:val="000000" w:themeColor="text1"/>
          <w:sz w:val="21"/>
          <w:szCs w:val="21"/>
        </w:rPr>
        <w:t>年</w:t>
      </w:r>
      <w:r w:rsidR="0086384C"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2020</w:t>
      </w:r>
      <w:r w:rsidRPr="007B4794">
        <w:rPr>
          <w:rFonts w:ascii="Arial" w:hAnsi="Arial" w:cs="Arial" w:hint="eastAsia"/>
          <w:color w:val="000000" w:themeColor="text1"/>
          <w:sz w:val="21"/>
          <w:szCs w:val="21"/>
        </w:rPr>
        <w:t>年</w:t>
      </w:r>
      <w:r w:rsidR="00DD42A0" w:rsidRPr="007B4794">
        <w:rPr>
          <w:rFonts w:ascii="Arial" w:hAnsi="Arial" w:cs="Arial" w:hint="eastAsia"/>
          <w:color w:val="000000" w:themeColor="text1"/>
          <w:sz w:val="21"/>
          <w:szCs w:val="21"/>
        </w:rPr>
        <w:t>1-10</w:t>
      </w:r>
      <w:r w:rsidR="00DD42A0" w:rsidRPr="007B4794">
        <w:rPr>
          <w:rFonts w:ascii="Arial" w:hAnsi="Arial" w:cs="Arial" w:hint="eastAsia"/>
          <w:color w:val="000000" w:themeColor="text1"/>
          <w:sz w:val="21"/>
          <w:szCs w:val="21"/>
        </w:rPr>
        <w:t>月</w:t>
      </w:r>
      <w:r w:rsidRPr="007B4794">
        <w:rPr>
          <w:rFonts w:ascii="Arial" w:hAnsi="Arial" w:cs="Arial" w:hint="eastAsia"/>
          <w:color w:val="000000" w:themeColor="text1"/>
          <w:sz w:val="21"/>
          <w:szCs w:val="21"/>
        </w:rPr>
        <w:t>，</w:t>
      </w:r>
      <w:r w:rsidR="00DD42A0" w:rsidRPr="007B4794">
        <w:rPr>
          <w:rFonts w:ascii="Arial" w:hAnsi="Arial" w:cs="Arial" w:hint="eastAsia"/>
          <w:color w:val="000000" w:themeColor="text1"/>
          <w:sz w:val="21"/>
          <w:szCs w:val="21"/>
        </w:rPr>
        <w:t>漳州</w:t>
      </w:r>
      <w:r w:rsidRPr="007B4794">
        <w:rPr>
          <w:rFonts w:ascii="Arial" w:hAnsi="Arial" w:cs="Arial" w:hint="eastAsia"/>
          <w:color w:val="000000" w:themeColor="text1"/>
          <w:sz w:val="21"/>
          <w:szCs w:val="21"/>
        </w:rPr>
        <w:t>市住宅用地成交区域主要集中在</w:t>
      </w:r>
      <w:r w:rsidR="00DD42A0" w:rsidRPr="007B4794">
        <w:rPr>
          <w:rFonts w:ascii="Arial" w:hAnsi="Arial" w:cs="Arial" w:hint="eastAsia"/>
          <w:color w:val="000000" w:themeColor="text1"/>
          <w:sz w:val="21"/>
          <w:szCs w:val="21"/>
        </w:rPr>
        <w:t>龙海市</w:t>
      </w:r>
      <w:r w:rsidRPr="007B4794">
        <w:rPr>
          <w:rFonts w:ascii="Arial" w:hAnsi="Arial" w:cs="Arial" w:hint="eastAsia"/>
          <w:color w:val="000000" w:themeColor="text1"/>
          <w:sz w:val="21"/>
          <w:szCs w:val="21"/>
        </w:rPr>
        <w:t>、</w:t>
      </w:r>
      <w:r w:rsidR="00DD42A0" w:rsidRPr="007B4794">
        <w:rPr>
          <w:rFonts w:ascii="Arial" w:hAnsi="Arial" w:cs="Arial" w:hint="eastAsia"/>
          <w:color w:val="000000" w:themeColor="text1"/>
          <w:sz w:val="21"/>
          <w:szCs w:val="21"/>
        </w:rPr>
        <w:t>漳浦县</w:t>
      </w:r>
      <w:r w:rsidRPr="007B4794">
        <w:rPr>
          <w:rFonts w:ascii="Arial" w:hAnsi="Arial" w:cs="Arial" w:hint="eastAsia"/>
          <w:color w:val="000000" w:themeColor="text1"/>
          <w:sz w:val="21"/>
          <w:szCs w:val="21"/>
        </w:rPr>
        <w:t>、</w:t>
      </w:r>
      <w:r w:rsidR="00DD42A0" w:rsidRPr="007B4794">
        <w:rPr>
          <w:rFonts w:ascii="Arial" w:hAnsi="Arial" w:cs="Arial" w:hint="eastAsia"/>
          <w:color w:val="000000" w:themeColor="text1"/>
          <w:sz w:val="21"/>
          <w:szCs w:val="21"/>
        </w:rPr>
        <w:t>茅城区</w:t>
      </w:r>
      <w:r w:rsidRPr="007B4794">
        <w:rPr>
          <w:rFonts w:ascii="Arial" w:hAnsi="Arial" w:cs="Arial" w:hint="eastAsia"/>
          <w:color w:val="000000" w:themeColor="text1"/>
          <w:sz w:val="21"/>
          <w:szCs w:val="21"/>
        </w:rPr>
        <w:t>，其中成交较为突出的为</w:t>
      </w:r>
      <w:r w:rsidR="00DD42A0" w:rsidRPr="007B4794">
        <w:rPr>
          <w:rFonts w:ascii="Arial" w:hAnsi="Arial" w:cs="Arial" w:hint="eastAsia"/>
          <w:color w:val="000000" w:themeColor="text1"/>
          <w:sz w:val="21"/>
          <w:szCs w:val="21"/>
        </w:rPr>
        <w:t>龙海市和漳浦县</w:t>
      </w:r>
      <w:r w:rsidRPr="007B4794">
        <w:rPr>
          <w:rFonts w:ascii="Arial" w:hAnsi="Arial" w:cs="Arial" w:hint="eastAsia"/>
          <w:color w:val="000000" w:themeColor="text1"/>
          <w:sz w:val="21"/>
          <w:szCs w:val="21"/>
        </w:rPr>
        <w:t>。</w:t>
      </w:r>
      <w:r w:rsidR="00DD42A0" w:rsidRPr="007B4794">
        <w:rPr>
          <w:rFonts w:ascii="Arial" w:hAnsi="Arial" w:cs="Arial" w:hint="eastAsia"/>
          <w:color w:val="000000" w:themeColor="text1"/>
          <w:sz w:val="21"/>
          <w:szCs w:val="21"/>
        </w:rPr>
        <w:t>龙海市</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019</w:t>
      </w:r>
      <w:r w:rsidRPr="007B4794">
        <w:rPr>
          <w:rFonts w:ascii="Arial" w:hAnsi="Arial" w:cs="Arial" w:hint="eastAsia"/>
          <w:color w:val="000000" w:themeColor="text1"/>
          <w:sz w:val="21"/>
          <w:szCs w:val="21"/>
        </w:rPr>
        <w:t>年成交</w:t>
      </w:r>
      <w:r w:rsidR="00DD42A0" w:rsidRPr="007B4794">
        <w:rPr>
          <w:rFonts w:ascii="Arial" w:hAnsi="Arial" w:cs="Arial" w:hint="eastAsia"/>
          <w:color w:val="000000" w:themeColor="text1"/>
          <w:sz w:val="21"/>
          <w:szCs w:val="21"/>
        </w:rPr>
        <w:t>10</w:t>
      </w:r>
      <w:r w:rsidRPr="007B4794">
        <w:rPr>
          <w:rFonts w:ascii="Arial" w:hAnsi="Arial" w:cs="Arial" w:hint="eastAsia"/>
          <w:color w:val="000000" w:themeColor="text1"/>
          <w:sz w:val="21"/>
          <w:szCs w:val="21"/>
        </w:rPr>
        <w:t>宗居住类用地，成交面积</w:t>
      </w:r>
      <w:r w:rsidR="00DD42A0" w:rsidRPr="007B4794">
        <w:rPr>
          <w:rFonts w:ascii="Arial" w:hAnsi="Arial" w:cs="Arial" w:hint="eastAsia"/>
          <w:color w:val="000000" w:themeColor="text1"/>
          <w:sz w:val="21"/>
          <w:szCs w:val="21"/>
        </w:rPr>
        <w:t>34.57</w:t>
      </w:r>
      <w:r w:rsidRPr="007B4794">
        <w:rPr>
          <w:rFonts w:ascii="Arial" w:hAnsi="Arial" w:cs="Arial" w:hint="eastAsia"/>
          <w:color w:val="000000" w:themeColor="text1"/>
          <w:sz w:val="21"/>
          <w:szCs w:val="21"/>
        </w:rPr>
        <w:t>万平方米，</w:t>
      </w:r>
      <w:r w:rsidR="00DD42A0" w:rsidRPr="007B4794">
        <w:rPr>
          <w:rFonts w:ascii="Arial" w:hAnsi="Arial" w:cs="Arial" w:hint="eastAsia"/>
          <w:color w:val="000000" w:themeColor="text1"/>
          <w:sz w:val="21"/>
          <w:szCs w:val="21"/>
        </w:rPr>
        <w:t>其中台商投资区（即角美镇）成交</w:t>
      </w:r>
      <w:r w:rsidR="005614BC" w:rsidRPr="007B4794">
        <w:rPr>
          <w:rFonts w:ascii="Arial" w:hAnsi="Arial" w:cs="Arial" w:hint="eastAsia"/>
          <w:color w:val="000000" w:themeColor="text1"/>
          <w:sz w:val="21"/>
          <w:szCs w:val="21"/>
        </w:rPr>
        <w:t>2</w:t>
      </w:r>
      <w:r w:rsidR="00DD42A0" w:rsidRPr="007B4794">
        <w:rPr>
          <w:rFonts w:ascii="Arial" w:hAnsi="Arial" w:cs="Arial" w:hint="eastAsia"/>
          <w:color w:val="000000" w:themeColor="text1"/>
          <w:sz w:val="21"/>
          <w:szCs w:val="21"/>
        </w:rPr>
        <w:t>宗居住类用地，成交面积</w:t>
      </w:r>
      <w:r w:rsidR="004C4F82" w:rsidRPr="007B4794">
        <w:rPr>
          <w:rFonts w:ascii="Arial" w:hAnsi="Arial" w:cs="Arial" w:hint="eastAsia"/>
          <w:color w:val="000000" w:themeColor="text1"/>
          <w:sz w:val="21"/>
          <w:szCs w:val="21"/>
        </w:rPr>
        <w:t>8.15</w:t>
      </w:r>
      <w:r w:rsidR="00DD42A0" w:rsidRPr="007B4794">
        <w:rPr>
          <w:rFonts w:ascii="Arial" w:hAnsi="Arial" w:cs="Arial" w:hint="eastAsia"/>
          <w:color w:val="000000" w:themeColor="text1"/>
          <w:sz w:val="21"/>
          <w:szCs w:val="21"/>
        </w:rPr>
        <w:t>万平方米；</w:t>
      </w:r>
      <w:r w:rsidR="00DD42A0" w:rsidRPr="007B4794">
        <w:rPr>
          <w:rFonts w:ascii="Arial" w:hAnsi="Arial" w:cs="Arial" w:hint="eastAsia"/>
          <w:color w:val="000000" w:themeColor="text1"/>
          <w:sz w:val="21"/>
          <w:szCs w:val="21"/>
        </w:rPr>
        <w:t xml:space="preserve"> 2020</w:t>
      </w:r>
      <w:r w:rsidR="00DD42A0" w:rsidRPr="007B4794">
        <w:rPr>
          <w:rFonts w:ascii="Arial" w:hAnsi="Arial" w:cs="Arial" w:hint="eastAsia"/>
          <w:color w:val="000000" w:themeColor="text1"/>
          <w:sz w:val="21"/>
          <w:szCs w:val="21"/>
        </w:rPr>
        <w:t>年</w:t>
      </w:r>
      <w:r w:rsidR="00DD42A0" w:rsidRPr="007B4794">
        <w:rPr>
          <w:rFonts w:ascii="Arial" w:hAnsi="Arial" w:cs="Arial" w:hint="eastAsia"/>
          <w:color w:val="000000" w:themeColor="text1"/>
          <w:sz w:val="21"/>
          <w:szCs w:val="21"/>
        </w:rPr>
        <w:t>1-10</w:t>
      </w:r>
      <w:r w:rsidR="00DD42A0" w:rsidRPr="007B4794">
        <w:rPr>
          <w:rFonts w:ascii="Arial" w:hAnsi="Arial" w:cs="Arial" w:hint="eastAsia"/>
          <w:color w:val="000000" w:themeColor="text1"/>
          <w:sz w:val="21"/>
          <w:szCs w:val="21"/>
        </w:rPr>
        <w:t>月</w:t>
      </w:r>
      <w:r w:rsidRPr="007B4794">
        <w:rPr>
          <w:rFonts w:ascii="Arial" w:hAnsi="Arial" w:cs="Arial" w:hint="eastAsia"/>
          <w:color w:val="000000" w:themeColor="text1"/>
          <w:sz w:val="21"/>
          <w:szCs w:val="21"/>
        </w:rPr>
        <w:t>成交</w:t>
      </w:r>
      <w:r w:rsidR="00DD42A0" w:rsidRPr="007B4794">
        <w:rPr>
          <w:rFonts w:ascii="Arial" w:hAnsi="Arial" w:cs="Arial" w:hint="eastAsia"/>
          <w:color w:val="000000" w:themeColor="text1"/>
          <w:sz w:val="21"/>
          <w:szCs w:val="21"/>
        </w:rPr>
        <w:t>12</w:t>
      </w:r>
      <w:r w:rsidRPr="007B4794">
        <w:rPr>
          <w:rFonts w:ascii="Arial" w:hAnsi="Arial" w:cs="Arial" w:hint="eastAsia"/>
          <w:color w:val="000000" w:themeColor="text1"/>
          <w:sz w:val="21"/>
          <w:szCs w:val="21"/>
        </w:rPr>
        <w:t>宗居住类用地，成交面积</w:t>
      </w:r>
      <w:r w:rsidR="00DD42A0" w:rsidRPr="007B4794">
        <w:rPr>
          <w:rFonts w:ascii="Arial" w:hAnsi="Arial" w:cs="Arial" w:hint="eastAsia"/>
          <w:color w:val="000000" w:themeColor="text1"/>
          <w:sz w:val="21"/>
          <w:szCs w:val="21"/>
        </w:rPr>
        <w:t>42.43</w:t>
      </w:r>
      <w:r w:rsidRPr="007B4794">
        <w:rPr>
          <w:rFonts w:ascii="Arial" w:hAnsi="Arial" w:cs="Arial" w:hint="eastAsia"/>
          <w:color w:val="000000" w:themeColor="text1"/>
          <w:sz w:val="21"/>
          <w:szCs w:val="21"/>
        </w:rPr>
        <w:t>平方米，</w:t>
      </w:r>
      <w:r w:rsidR="00DD42A0" w:rsidRPr="007B4794">
        <w:rPr>
          <w:rFonts w:ascii="Arial" w:hAnsi="Arial" w:cs="Arial" w:hint="eastAsia"/>
          <w:color w:val="000000" w:themeColor="text1"/>
          <w:sz w:val="21"/>
          <w:szCs w:val="21"/>
        </w:rPr>
        <w:t>其中台商投资区（即角美镇）成交</w:t>
      </w:r>
      <w:r w:rsidR="00094AA3" w:rsidRPr="007B4794">
        <w:rPr>
          <w:rFonts w:ascii="Arial" w:hAnsi="Arial" w:cs="Arial" w:hint="eastAsia"/>
          <w:color w:val="000000" w:themeColor="text1"/>
          <w:sz w:val="21"/>
          <w:szCs w:val="21"/>
        </w:rPr>
        <w:t>6</w:t>
      </w:r>
      <w:r w:rsidR="00DD42A0" w:rsidRPr="007B4794">
        <w:rPr>
          <w:rFonts w:ascii="Arial" w:hAnsi="Arial" w:cs="Arial" w:hint="eastAsia"/>
          <w:color w:val="000000" w:themeColor="text1"/>
          <w:sz w:val="21"/>
          <w:szCs w:val="21"/>
        </w:rPr>
        <w:t>宗居住类用地，成交面积</w:t>
      </w:r>
      <w:r w:rsidR="00094AA3" w:rsidRPr="007B4794">
        <w:rPr>
          <w:rFonts w:ascii="Arial" w:hAnsi="Arial" w:cs="Arial" w:hint="eastAsia"/>
          <w:color w:val="000000" w:themeColor="text1"/>
          <w:sz w:val="21"/>
          <w:szCs w:val="21"/>
        </w:rPr>
        <w:t>25.39</w:t>
      </w:r>
      <w:r w:rsidR="00DD42A0" w:rsidRPr="007B4794">
        <w:rPr>
          <w:rFonts w:ascii="Arial" w:hAnsi="Arial" w:cs="Arial" w:hint="eastAsia"/>
          <w:color w:val="000000" w:themeColor="text1"/>
          <w:sz w:val="21"/>
          <w:szCs w:val="21"/>
        </w:rPr>
        <w:t>万平方米；</w:t>
      </w:r>
      <w:r w:rsidR="0086384C" w:rsidRPr="007B4794">
        <w:rPr>
          <w:rFonts w:ascii="Arial" w:hAnsi="Arial" w:cs="Arial" w:hint="eastAsia"/>
          <w:color w:val="000000" w:themeColor="text1"/>
          <w:sz w:val="21"/>
          <w:szCs w:val="21"/>
        </w:rPr>
        <w:t>龙海市</w:t>
      </w:r>
      <w:r w:rsidR="0086384C" w:rsidRPr="007B4794">
        <w:rPr>
          <w:rFonts w:ascii="Arial" w:hAnsi="Arial" w:cs="Arial" w:hint="eastAsia"/>
          <w:color w:val="000000" w:themeColor="text1"/>
          <w:sz w:val="21"/>
          <w:szCs w:val="21"/>
        </w:rPr>
        <w:t>1-10</w:t>
      </w:r>
      <w:r w:rsidR="0086384C" w:rsidRPr="007B4794">
        <w:rPr>
          <w:rFonts w:ascii="Arial" w:hAnsi="Arial" w:cs="Arial" w:hint="eastAsia"/>
          <w:color w:val="000000" w:themeColor="text1"/>
          <w:sz w:val="21"/>
          <w:szCs w:val="21"/>
        </w:rPr>
        <w:t>月</w:t>
      </w:r>
      <w:r w:rsidRPr="007B4794">
        <w:rPr>
          <w:rFonts w:ascii="Arial" w:hAnsi="Arial" w:cs="Arial" w:hint="eastAsia"/>
          <w:color w:val="000000" w:themeColor="text1"/>
          <w:sz w:val="21"/>
          <w:szCs w:val="21"/>
        </w:rPr>
        <w:t>成交量约占全市成交总量的</w:t>
      </w:r>
      <w:r w:rsidR="004C4F82" w:rsidRPr="007B4794">
        <w:rPr>
          <w:rFonts w:ascii="Arial" w:hAnsi="Arial" w:cs="Arial" w:hint="eastAsia"/>
          <w:color w:val="000000" w:themeColor="text1"/>
          <w:sz w:val="21"/>
          <w:szCs w:val="21"/>
        </w:rPr>
        <w:t>17.45</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w:t>
      </w:r>
      <w:r w:rsidR="004C4F82" w:rsidRPr="007B4794">
        <w:rPr>
          <w:rFonts w:ascii="Arial" w:hAnsi="Arial" w:cs="Arial" w:hint="eastAsia"/>
          <w:color w:val="000000" w:themeColor="text1"/>
          <w:sz w:val="21"/>
          <w:szCs w:val="21"/>
        </w:rPr>
        <w:t>漳浦县</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019</w:t>
      </w:r>
      <w:r w:rsidRPr="007B4794">
        <w:rPr>
          <w:rFonts w:ascii="Arial" w:hAnsi="Arial" w:cs="Arial" w:hint="eastAsia"/>
          <w:color w:val="000000" w:themeColor="text1"/>
          <w:sz w:val="21"/>
          <w:szCs w:val="21"/>
        </w:rPr>
        <w:t>年成交</w:t>
      </w:r>
      <w:r w:rsidR="004C4F82" w:rsidRPr="007B4794">
        <w:rPr>
          <w:rFonts w:ascii="Arial" w:hAnsi="Arial" w:cs="Arial" w:hint="eastAsia"/>
          <w:color w:val="000000" w:themeColor="text1"/>
          <w:sz w:val="21"/>
          <w:szCs w:val="21"/>
        </w:rPr>
        <w:t>9</w:t>
      </w:r>
      <w:r w:rsidRPr="007B4794">
        <w:rPr>
          <w:rFonts w:ascii="Arial" w:hAnsi="Arial" w:cs="Arial" w:hint="eastAsia"/>
          <w:color w:val="000000" w:themeColor="text1"/>
          <w:sz w:val="21"/>
          <w:szCs w:val="21"/>
        </w:rPr>
        <w:t>宗居住类用地，成交面积</w:t>
      </w:r>
      <w:r w:rsidR="004C4F82" w:rsidRPr="007B4794">
        <w:rPr>
          <w:rFonts w:ascii="Arial" w:hAnsi="Arial" w:cs="Arial" w:hint="eastAsia"/>
          <w:color w:val="000000" w:themeColor="text1"/>
          <w:sz w:val="21"/>
          <w:szCs w:val="21"/>
        </w:rPr>
        <w:t>32.69</w:t>
      </w:r>
      <w:r w:rsidRPr="007B4794">
        <w:rPr>
          <w:rFonts w:ascii="Arial" w:hAnsi="Arial" w:cs="Arial" w:hint="eastAsia"/>
          <w:color w:val="000000" w:themeColor="text1"/>
          <w:sz w:val="21"/>
          <w:szCs w:val="21"/>
        </w:rPr>
        <w:t>万平方米，</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020</w:t>
      </w:r>
      <w:r w:rsidRPr="007B4794">
        <w:rPr>
          <w:rFonts w:ascii="Arial" w:hAnsi="Arial" w:cs="Arial" w:hint="eastAsia"/>
          <w:color w:val="000000" w:themeColor="text1"/>
          <w:sz w:val="21"/>
          <w:szCs w:val="21"/>
        </w:rPr>
        <w:t>年</w:t>
      </w:r>
      <w:r w:rsidR="004C4F82" w:rsidRPr="007B4794">
        <w:rPr>
          <w:rFonts w:ascii="Arial" w:hAnsi="Arial" w:cs="Arial" w:hint="eastAsia"/>
          <w:color w:val="000000" w:themeColor="text1"/>
          <w:sz w:val="21"/>
          <w:szCs w:val="21"/>
        </w:rPr>
        <w:t>1-10</w:t>
      </w:r>
      <w:r w:rsidR="004C4F82" w:rsidRPr="007B4794">
        <w:rPr>
          <w:rFonts w:ascii="Arial" w:hAnsi="Arial" w:cs="Arial" w:hint="eastAsia"/>
          <w:color w:val="000000" w:themeColor="text1"/>
          <w:sz w:val="21"/>
          <w:szCs w:val="21"/>
        </w:rPr>
        <w:t>月</w:t>
      </w:r>
      <w:r w:rsidRPr="007B4794">
        <w:rPr>
          <w:rFonts w:ascii="Arial" w:hAnsi="Arial" w:cs="Arial" w:hint="eastAsia"/>
          <w:color w:val="000000" w:themeColor="text1"/>
          <w:sz w:val="21"/>
          <w:szCs w:val="21"/>
        </w:rPr>
        <w:t>成交</w:t>
      </w:r>
      <w:r w:rsidR="004C4F82" w:rsidRPr="007B4794">
        <w:rPr>
          <w:rFonts w:ascii="Arial" w:hAnsi="Arial" w:cs="Arial" w:hint="eastAsia"/>
          <w:color w:val="000000" w:themeColor="text1"/>
          <w:sz w:val="21"/>
          <w:szCs w:val="21"/>
        </w:rPr>
        <w:t>9</w:t>
      </w:r>
      <w:r w:rsidRPr="007B4794">
        <w:rPr>
          <w:rFonts w:ascii="Arial" w:hAnsi="Arial" w:cs="Arial" w:hint="eastAsia"/>
          <w:color w:val="000000" w:themeColor="text1"/>
          <w:sz w:val="21"/>
          <w:szCs w:val="21"/>
        </w:rPr>
        <w:t>宗居住类用地，成交面积</w:t>
      </w:r>
      <w:r w:rsidR="004C4F82" w:rsidRPr="007B4794">
        <w:rPr>
          <w:rFonts w:ascii="Arial" w:hAnsi="Arial" w:cs="Arial" w:hint="eastAsia"/>
          <w:color w:val="000000" w:themeColor="text1"/>
          <w:sz w:val="21"/>
          <w:szCs w:val="21"/>
        </w:rPr>
        <w:t>36.4</w:t>
      </w:r>
      <w:r w:rsidRPr="007B4794">
        <w:rPr>
          <w:rFonts w:ascii="Arial" w:hAnsi="Arial" w:cs="Arial" w:hint="eastAsia"/>
          <w:color w:val="000000" w:themeColor="text1"/>
          <w:sz w:val="21"/>
          <w:szCs w:val="21"/>
        </w:rPr>
        <w:t>万平方米，</w:t>
      </w:r>
      <w:r w:rsidR="0086384C" w:rsidRPr="007B4794">
        <w:rPr>
          <w:rFonts w:ascii="Arial" w:hAnsi="Arial" w:cs="Arial" w:hint="eastAsia"/>
          <w:color w:val="000000" w:themeColor="text1"/>
          <w:sz w:val="21"/>
          <w:szCs w:val="21"/>
        </w:rPr>
        <w:t>漳浦县</w:t>
      </w:r>
      <w:r w:rsidR="0086384C" w:rsidRPr="007B4794">
        <w:rPr>
          <w:rFonts w:ascii="Arial" w:hAnsi="Arial" w:cs="Arial" w:hint="eastAsia"/>
          <w:color w:val="000000" w:themeColor="text1"/>
          <w:sz w:val="21"/>
          <w:szCs w:val="21"/>
        </w:rPr>
        <w:t>1-10</w:t>
      </w:r>
      <w:r w:rsidR="0086384C" w:rsidRPr="007B4794">
        <w:rPr>
          <w:rFonts w:ascii="Arial" w:hAnsi="Arial" w:cs="Arial" w:hint="eastAsia"/>
          <w:color w:val="000000" w:themeColor="text1"/>
          <w:sz w:val="21"/>
          <w:szCs w:val="21"/>
        </w:rPr>
        <w:t>月</w:t>
      </w:r>
      <w:r w:rsidRPr="007B4794">
        <w:rPr>
          <w:rFonts w:ascii="Arial" w:hAnsi="Arial" w:cs="Arial" w:hint="eastAsia"/>
          <w:color w:val="000000" w:themeColor="text1"/>
          <w:sz w:val="21"/>
          <w:szCs w:val="21"/>
        </w:rPr>
        <w:t>成交量约占全市成交总量的</w:t>
      </w:r>
      <w:r w:rsidR="004C4F82" w:rsidRPr="007B4794">
        <w:rPr>
          <w:rFonts w:ascii="Arial" w:hAnsi="Arial" w:cs="Arial" w:hint="eastAsia"/>
          <w:color w:val="000000" w:themeColor="text1"/>
          <w:sz w:val="21"/>
          <w:szCs w:val="21"/>
        </w:rPr>
        <w:t>15.66</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；其次为</w:t>
      </w:r>
      <w:r w:rsidR="004C4F82" w:rsidRPr="007B4794">
        <w:rPr>
          <w:rFonts w:ascii="Arial" w:hAnsi="Arial" w:cs="Arial" w:hint="eastAsia"/>
          <w:color w:val="000000" w:themeColor="text1"/>
          <w:sz w:val="21"/>
          <w:szCs w:val="21"/>
        </w:rPr>
        <w:t>茅城区</w:t>
      </w:r>
      <w:r w:rsidRPr="007B4794">
        <w:rPr>
          <w:rFonts w:ascii="Arial" w:hAnsi="Arial" w:cs="Arial" w:hint="eastAsia"/>
          <w:color w:val="000000" w:themeColor="text1"/>
          <w:sz w:val="21"/>
          <w:szCs w:val="21"/>
        </w:rPr>
        <w:t>，</w:t>
      </w:r>
      <w:r w:rsidR="0086384C" w:rsidRPr="007B4794">
        <w:rPr>
          <w:rFonts w:ascii="Arial" w:hAnsi="Arial" w:cs="Arial" w:hint="eastAsia"/>
          <w:color w:val="000000" w:themeColor="text1"/>
          <w:sz w:val="21"/>
          <w:szCs w:val="21"/>
        </w:rPr>
        <w:t>1-10</w:t>
      </w:r>
      <w:r w:rsidR="0086384C" w:rsidRPr="007B4794">
        <w:rPr>
          <w:rFonts w:ascii="Arial" w:hAnsi="Arial" w:cs="Arial" w:hint="eastAsia"/>
          <w:color w:val="000000" w:themeColor="text1"/>
          <w:sz w:val="21"/>
          <w:szCs w:val="21"/>
        </w:rPr>
        <w:t>月</w:t>
      </w:r>
      <w:r w:rsidRPr="007B4794">
        <w:rPr>
          <w:rFonts w:ascii="Arial" w:hAnsi="Arial" w:cs="Arial" w:hint="eastAsia"/>
          <w:color w:val="000000" w:themeColor="text1"/>
          <w:sz w:val="21"/>
          <w:szCs w:val="21"/>
        </w:rPr>
        <w:t>的成交面积均为</w:t>
      </w:r>
      <w:r w:rsidR="004C4F82" w:rsidRPr="007B4794">
        <w:rPr>
          <w:rFonts w:ascii="Arial" w:hAnsi="Arial" w:cs="Arial" w:hint="eastAsia"/>
          <w:color w:val="000000" w:themeColor="text1"/>
          <w:sz w:val="21"/>
          <w:szCs w:val="21"/>
        </w:rPr>
        <w:t>52.93</w:t>
      </w:r>
      <w:r w:rsidR="004C4F82" w:rsidRPr="007B4794">
        <w:rPr>
          <w:rFonts w:ascii="Arial" w:hAnsi="Arial" w:cs="Arial" w:hint="eastAsia"/>
          <w:color w:val="000000" w:themeColor="text1"/>
          <w:sz w:val="21"/>
          <w:szCs w:val="21"/>
        </w:rPr>
        <w:t>万平方米，</w:t>
      </w:r>
      <w:r w:rsidRPr="007B4794">
        <w:rPr>
          <w:rFonts w:ascii="Arial" w:hAnsi="Arial" w:cs="Arial" w:hint="eastAsia"/>
          <w:color w:val="000000" w:themeColor="text1"/>
          <w:sz w:val="21"/>
          <w:szCs w:val="21"/>
        </w:rPr>
        <w:t>占全市成交总量的</w:t>
      </w:r>
      <w:r w:rsidR="004C4F82" w:rsidRPr="007B4794">
        <w:rPr>
          <w:rFonts w:ascii="Arial" w:hAnsi="Arial" w:cs="Arial" w:hint="eastAsia"/>
          <w:color w:val="000000" w:themeColor="text1"/>
          <w:sz w:val="21"/>
          <w:szCs w:val="21"/>
        </w:rPr>
        <w:t>11.99</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。以上土地市场热度相对突出的</w:t>
      </w:r>
      <w:r w:rsidR="004C4F82" w:rsidRPr="007B4794">
        <w:rPr>
          <w:rFonts w:ascii="Arial" w:hAnsi="Arial" w:cs="Arial" w:hint="eastAsia"/>
          <w:color w:val="000000" w:themeColor="text1"/>
          <w:sz w:val="21"/>
          <w:szCs w:val="21"/>
        </w:rPr>
        <w:t>三</w:t>
      </w:r>
      <w:r w:rsidRPr="007B4794">
        <w:rPr>
          <w:rFonts w:ascii="Arial" w:hAnsi="Arial" w:cs="Arial" w:hint="eastAsia"/>
          <w:color w:val="000000" w:themeColor="text1"/>
          <w:sz w:val="21"/>
          <w:szCs w:val="21"/>
        </w:rPr>
        <w:t>个区域供应及成交量约占全市总量的</w:t>
      </w:r>
      <w:r w:rsidR="004C4F82" w:rsidRPr="007B4794">
        <w:rPr>
          <w:rFonts w:ascii="Arial" w:hAnsi="Arial" w:cs="Arial" w:hint="eastAsia"/>
          <w:color w:val="000000" w:themeColor="text1"/>
          <w:sz w:val="21"/>
          <w:szCs w:val="21"/>
        </w:rPr>
        <w:t>50%</w:t>
      </w:r>
      <w:r w:rsidRPr="007B4794">
        <w:rPr>
          <w:rFonts w:ascii="Arial" w:hAnsi="Arial" w:cs="Arial" w:hint="eastAsia"/>
          <w:color w:val="000000" w:themeColor="text1"/>
          <w:sz w:val="21"/>
          <w:szCs w:val="21"/>
        </w:rPr>
        <w:t>。</w:t>
      </w:r>
    </w:p>
    <w:p w14:paraId="45D5771A" w14:textId="77777777" w:rsidR="00074032" w:rsidRPr="00074032" w:rsidRDefault="00074032" w:rsidP="00074032">
      <w:pPr>
        <w:widowControl w:val="0"/>
        <w:adjustRightInd w:val="0"/>
        <w:snapToGrid w:val="0"/>
        <w:spacing w:line="480" w:lineRule="auto"/>
        <w:ind w:firstLineChars="200" w:firstLine="420"/>
        <w:jc w:val="both"/>
        <w:rPr>
          <w:rFonts w:ascii="华文楷体" w:eastAsia="华文楷体" w:hAnsi="华文楷体" w:cs="Arial"/>
          <w:color w:val="000000" w:themeColor="text1"/>
          <w:sz w:val="21"/>
          <w:szCs w:val="21"/>
        </w:rPr>
      </w:pPr>
      <w:r w:rsidRPr="00074032">
        <w:rPr>
          <w:rFonts w:ascii="华文楷体" w:eastAsia="华文楷体" w:hAnsi="华文楷体" w:cs="Arial" w:hint="eastAsia"/>
          <w:color w:val="000000" w:themeColor="text1"/>
          <w:sz w:val="21"/>
          <w:szCs w:val="21"/>
        </w:rPr>
        <w:t>（转下页）</w:t>
      </w:r>
    </w:p>
    <w:p w14:paraId="04A194C8" w14:textId="77777777" w:rsidR="00074032" w:rsidRPr="007B4794" w:rsidRDefault="00074032"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p>
    <w:p w14:paraId="741F7E83" w14:textId="7C4D0643" w:rsidR="00AE01CB" w:rsidRPr="007B4794" w:rsidRDefault="00AE01CB" w:rsidP="00AE01CB">
      <w:pPr>
        <w:widowControl w:val="0"/>
        <w:adjustRightInd w:val="0"/>
        <w:snapToGrid w:val="0"/>
        <w:jc w:val="center"/>
        <w:rPr>
          <w:rFonts w:ascii="Arial" w:hAnsi="Arial" w:cs="Arial"/>
          <w:color w:val="000000" w:themeColor="text1"/>
          <w:sz w:val="21"/>
          <w:szCs w:val="21"/>
        </w:rPr>
      </w:pPr>
    </w:p>
    <w:p w14:paraId="376556B3" w14:textId="1B72B01C" w:rsidR="004C4F82" w:rsidRPr="007B4794" w:rsidRDefault="004C4F82" w:rsidP="00AE01CB">
      <w:pPr>
        <w:widowControl w:val="0"/>
        <w:adjustRightInd w:val="0"/>
        <w:snapToGrid w:val="0"/>
        <w:spacing w:line="480" w:lineRule="auto"/>
        <w:jc w:val="both"/>
        <w:rPr>
          <w:rFonts w:ascii="华文细黑" w:eastAsia="华文细黑" w:hAnsi="华文细黑" w:cs="Arial"/>
          <w:color w:val="000000" w:themeColor="text1"/>
          <w:sz w:val="15"/>
          <w:szCs w:val="15"/>
        </w:rPr>
      </w:pPr>
      <w:r w:rsidRPr="007B4794">
        <w:rPr>
          <w:noProof/>
          <w:color w:val="000000" w:themeColor="text1"/>
        </w:rPr>
        <w:lastRenderedPageBreak/>
        <w:drawing>
          <wp:inline distT="0" distB="0" distL="0" distR="0" wp14:anchorId="19DAF5DF" wp14:editId="4AD9C547">
            <wp:extent cx="5978106" cy="2475781"/>
            <wp:effectExtent l="0" t="0" r="22860" b="20320"/>
            <wp:docPr id="5161" name="图表 516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7456B03" w14:textId="77777777" w:rsidR="00AE01CB" w:rsidRPr="007B4794" w:rsidRDefault="00AE01CB" w:rsidP="004C4F82">
      <w:pPr>
        <w:widowControl w:val="0"/>
        <w:adjustRightInd w:val="0"/>
        <w:snapToGrid w:val="0"/>
        <w:spacing w:line="480" w:lineRule="auto"/>
        <w:ind w:firstLineChars="200" w:firstLine="300"/>
        <w:jc w:val="both"/>
        <w:rPr>
          <w:rFonts w:ascii="华文细黑" w:eastAsia="华文细黑" w:hAnsi="华文细黑" w:cs="Arial"/>
          <w:color w:val="000000" w:themeColor="text1"/>
          <w:sz w:val="15"/>
          <w:szCs w:val="15"/>
        </w:rPr>
      </w:pPr>
      <w:r w:rsidRPr="007B4794">
        <w:rPr>
          <w:rFonts w:ascii="华文细黑" w:eastAsia="华文细黑" w:hAnsi="华文细黑" w:cs="Arial" w:hint="eastAsia"/>
          <w:color w:val="000000" w:themeColor="text1"/>
          <w:sz w:val="15"/>
          <w:szCs w:val="15"/>
        </w:rPr>
        <w:t>资料来源：</w:t>
      </w:r>
      <w:r w:rsidRPr="007B4794">
        <w:rPr>
          <w:rFonts w:ascii="Arial" w:eastAsia="华文细黑" w:hAnsi="Arial" w:cs="Arial"/>
          <w:color w:val="000000" w:themeColor="text1"/>
          <w:sz w:val="15"/>
          <w:szCs w:val="15"/>
        </w:rPr>
        <w:t>CREIS</w:t>
      </w:r>
      <w:r w:rsidRPr="007B4794">
        <w:rPr>
          <w:rFonts w:ascii="华文细黑" w:eastAsia="华文细黑" w:hAnsi="华文细黑" w:cs="Arial" w:hint="eastAsia"/>
          <w:color w:val="000000" w:themeColor="text1"/>
          <w:sz w:val="15"/>
          <w:szCs w:val="15"/>
        </w:rPr>
        <w:t>中指数据</w:t>
      </w:r>
    </w:p>
    <w:p w14:paraId="3D2742DC" w14:textId="12A94280" w:rsidR="00AE01CB" w:rsidRPr="007B4794" w:rsidRDefault="00AE01CB" w:rsidP="00410F1B">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从近</w:t>
      </w:r>
      <w:r w:rsidR="00BB01E8" w:rsidRPr="007B4794">
        <w:rPr>
          <w:rFonts w:ascii="Arial" w:hAnsi="Arial" w:cs="Arial" w:hint="eastAsia"/>
          <w:color w:val="000000" w:themeColor="text1"/>
          <w:sz w:val="21"/>
          <w:szCs w:val="21"/>
        </w:rPr>
        <w:t>3</w:t>
      </w:r>
      <w:r w:rsidR="00410F1B" w:rsidRPr="007B4794">
        <w:rPr>
          <w:rFonts w:ascii="Arial" w:hAnsi="Arial" w:cs="Arial" w:hint="eastAsia"/>
          <w:color w:val="000000" w:themeColor="text1"/>
          <w:sz w:val="21"/>
          <w:szCs w:val="21"/>
        </w:rPr>
        <w:t>年土地成交价格走势上看</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201</w:t>
      </w:r>
      <w:r w:rsidR="00410F1B" w:rsidRPr="007B4794">
        <w:rPr>
          <w:rFonts w:ascii="Arial" w:hAnsi="Arial" w:cs="Arial" w:hint="eastAsia"/>
          <w:color w:val="000000" w:themeColor="text1"/>
          <w:sz w:val="21"/>
          <w:szCs w:val="21"/>
        </w:rPr>
        <w:t>7</w:t>
      </w:r>
      <w:r w:rsidRPr="007B4794">
        <w:rPr>
          <w:rFonts w:ascii="Arial" w:hAnsi="Arial" w:cs="Arial" w:hint="eastAsia"/>
          <w:color w:val="000000" w:themeColor="text1"/>
          <w:sz w:val="21"/>
          <w:szCs w:val="21"/>
        </w:rPr>
        <w:t>年成交楼面单价</w:t>
      </w:r>
      <w:r w:rsidR="00410F1B" w:rsidRPr="007B4794">
        <w:rPr>
          <w:rFonts w:ascii="Arial" w:hAnsi="Arial" w:cs="Arial" w:hint="eastAsia"/>
          <w:color w:val="000000" w:themeColor="text1"/>
          <w:sz w:val="21"/>
          <w:szCs w:val="21"/>
        </w:rPr>
        <w:t>12240</w:t>
      </w:r>
      <w:r w:rsidRPr="007B4794">
        <w:rPr>
          <w:rFonts w:ascii="Arial" w:hAnsi="Arial" w:cs="Arial" w:hint="eastAsia"/>
          <w:color w:val="000000" w:themeColor="text1"/>
          <w:sz w:val="21"/>
          <w:szCs w:val="21"/>
        </w:rPr>
        <w:t>元</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平方米，为近年来峰值，溢价率</w:t>
      </w:r>
      <w:r w:rsidR="00410F1B" w:rsidRPr="007B4794">
        <w:rPr>
          <w:rFonts w:ascii="Arial" w:hAnsi="Arial" w:cs="Arial" w:hint="eastAsia"/>
          <w:color w:val="000000" w:themeColor="text1"/>
          <w:sz w:val="21"/>
          <w:szCs w:val="21"/>
        </w:rPr>
        <w:t>为</w:t>
      </w:r>
      <w:r w:rsidR="00410F1B" w:rsidRPr="007B4794">
        <w:rPr>
          <w:rFonts w:ascii="Arial" w:hAnsi="Arial" w:cs="Arial" w:hint="eastAsia"/>
          <w:color w:val="000000" w:themeColor="text1"/>
          <w:sz w:val="21"/>
          <w:szCs w:val="21"/>
        </w:rPr>
        <w:t>62.28</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，成交热度</w:t>
      </w:r>
      <w:r w:rsidR="00410F1B" w:rsidRPr="007B4794">
        <w:rPr>
          <w:rFonts w:ascii="Arial" w:hAnsi="Arial" w:cs="Arial" w:hint="eastAsia"/>
          <w:color w:val="000000" w:themeColor="text1"/>
          <w:sz w:val="21"/>
          <w:szCs w:val="21"/>
        </w:rPr>
        <w:t>较</w:t>
      </w:r>
      <w:r w:rsidRPr="007B4794">
        <w:rPr>
          <w:rFonts w:ascii="Arial" w:hAnsi="Arial" w:cs="Arial" w:hint="eastAsia"/>
          <w:color w:val="000000" w:themeColor="text1"/>
          <w:sz w:val="21"/>
          <w:szCs w:val="21"/>
        </w:rPr>
        <w:t>为明显，市场竞争</w:t>
      </w:r>
      <w:r w:rsidR="00410F1B" w:rsidRPr="007B4794">
        <w:rPr>
          <w:rFonts w:ascii="Arial" w:hAnsi="Arial" w:cs="Arial" w:hint="eastAsia"/>
          <w:color w:val="000000" w:themeColor="text1"/>
          <w:sz w:val="21"/>
          <w:szCs w:val="21"/>
        </w:rPr>
        <w:t>比较</w:t>
      </w:r>
      <w:r w:rsidRPr="007B4794">
        <w:rPr>
          <w:rFonts w:ascii="Arial" w:hAnsi="Arial" w:cs="Arial" w:hint="eastAsia"/>
          <w:color w:val="000000" w:themeColor="text1"/>
          <w:sz w:val="21"/>
          <w:szCs w:val="21"/>
        </w:rPr>
        <w:t>激烈。随后在金融管控从严、房地产调控政策保持收紧的大环境下，</w:t>
      </w:r>
      <w:r w:rsidRPr="007B4794">
        <w:rPr>
          <w:rFonts w:ascii="Arial" w:hAnsi="Arial" w:cs="Arial" w:hint="eastAsia"/>
          <w:color w:val="000000" w:themeColor="text1"/>
          <w:sz w:val="21"/>
          <w:szCs w:val="21"/>
        </w:rPr>
        <w:t>201</w:t>
      </w:r>
      <w:r w:rsidR="00410F1B" w:rsidRPr="007B4794">
        <w:rPr>
          <w:rFonts w:ascii="Arial" w:hAnsi="Arial" w:cs="Arial" w:hint="eastAsia"/>
          <w:color w:val="000000" w:themeColor="text1"/>
          <w:sz w:val="21"/>
          <w:szCs w:val="21"/>
        </w:rPr>
        <w:t>8</w:t>
      </w:r>
      <w:r w:rsidRPr="007B4794">
        <w:rPr>
          <w:rFonts w:ascii="Arial" w:hAnsi="Arial" w:cs="Arial" w:hint="eastAsia"/>
          <w:color w:val="000000" w:themeColor="text1"/>
          <w:sz w:val="21"/>
          <w:szCs w:val="21"/>
        </w:rPr>
        <w:t>年土地成交楼面单价明显</w:t>
      </w:r>
      <w:r w:rsidR="00410F1B" w:rsidRPr="007B4794">
        <w:rPr>
          <w:rFonts w:ascii="Arial" w:hAnsi="Arial" w:cs="Arial" w:hint="eastAsia"/>
          <w:color w:val="000000" w:themeColor="text1"/>
          <w:sz w:val="21"/>
          <w:szCs w:val="21"/>
        </w:rPr>
        <w:t>下降</w:t>
      </w:r>
      <w:r w:rsidRPr="007B4794">
        <w:rPr>
          <w:rFonts w:ascii="Arial" w:hAnsi="Arial" w:cs="Arial" w:hint="eastAsia"/>
          <w:color w:val="000000" w:themeColor="text1"/>
          <w:sz w:val="21"/>
          <w:szCs w:val="21"/>
        </w:rPr>
        <w:t>，且自</w:t>
      </w:r>
      <w:r w:rsidRPr="007B4794">
        <w:rPr>
          <w:rFonts w:ascii="Arial" w:hAnsi="Arial" w:cs="Arial" w:hint="eastAsia"/>
          <w:color w:val="000000" w:themeColor="text1"/>
          <w:sz w:val="21"/>
          <w:szCs w:val="21"/>
        </w:rPr>
        <w:t>201</w:t>
      </w:r>
      <w:r w:rsidR="00410F1B" w:rsidRPr="007B4794">
        <w:rPr>
          <w:rFonts w:ascii="Arial" w:hAnsi="Arial" w:cs="Arial" w:hint="eastAsia"/>
          <w:color w:val="000000" w:themeColor="text1"/>
          <w:sz w:val="21"/>
          <w:szCs w:val="21"/>
        </w:rPr>
        <w:t>8</w:t>
      </w:r>
      <w:r w:rsidRPr="007B4794">
        <w:rPr>
          <w:rFonts w:ascii="Arial" w:hAnsi="Arial" w:cs="Arial" w:hint="eastAsia"/>
          <w:color w:val="000000" w:themeColor="text1"/>
          <w:sz w:val="21"/>
          <w:szCs w:val="21"/>
        </w:rPr>
        <w:t>年开始至今，</w:t>
      </w:r>
      <w:r w:rsidR="00D30D68" w:rsidRPr="007B4794">
        <w:rPr>
          <w:rFonts w:ascii="Arial" w:hAnsi="Arial" w:cs="Arial" w:hint="eastAsia"/>
          <w:color w:val="000000" w:themeColor="text1"/>
          <w:sz w:val="21"/>
          <w:szCs w:val="21"/>
        </w:rPr>
        <w:t>漳州</w:t>
      </w:r>
      <w:r w:rsidRPr="007B4794">
        <w:rPr>
          <w:rFonts w:ascii="Arial" w:hAnsi="Arial" w:cs="Arial" w:hint="eastAsia"/>
          <w:color w:val="000000" w:themeColor="text1"/>
          <w:sz w:val="21"/>
          <w:szCs w:val="21"/>
        </w:rPr>
        <w:t>市住宅用地成交单价保持在</w:t>
      </w:r>
      <w:r w:rsidRPr="007B4794">
        <w:rPr>
          <w:rFonts w:ascii="Arial" w:hAnsi="Arial" w:cs="Arial" w:hint="eastAsia"/>
          <w:color w:val="000000" w:themeColor="text1"/>
          <w:sz w:val="21"/>
          <w:szCs w:val="21"/>
        </w:rPr>
        <w:t>7000-8000</w:t>
      </w:r>
      <w:r w:rsidRPr="007B4794">
        <w:rPr>
          <w:rFonts w:ascii="Arial" w:hAnsi="Arial" w:cs="Arial" w:hint="eastAsia"/>
          <w:color w:val="000000" w:themeColor="text1"/>
          <w:sz w:val="21"/>
          <w:szCs w:val="21"/>
        </w:rPr>
        <w:t>元</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平方米区间，溢价率自</w:t>
      </w:r>
      <w:r w:rsidRPr="007B4794">
        <w:rPr>
          <w:rFonts w:ascii="Arial" w:hAnsi="Arial" w:cs="Arial" w:hint="eastAsia"/>
          <w:color w:val="000000" w:themeColor="text1"/>
          <w:sz w:val="21"/>
          <w:szCs w:val="21"/>
        </w:rPr>
        <w:t>2018</w:t>
      </w:r>
      <w:r w:rsidRPr="007B4794">
        <w:rPr>
          <w:rFonts w:ascii="Arial" w:hAnsi="Arial" w:cs="Arial" w:hint="eastAsia"/>
          <w:color w:val="000000" w:themeColor="text1"/>
          <w:sz w:val="21"/>
          <w:szCs w:val="21"/>
        </w:rPr>
        <w:t>年之后基本维持在</w:t>
      </w:r>
      <w:r w:rsidR="00410F1B" w:rsidRPr="007B4794">
        <w:rPr>
          <w:rFonts w:ascii="Arial" w:hAnsi="Arial" w:cs="Arial" w:hint="eastAsia"/>
          <w:color w:val="000000" w:themeColor="text1"/>
          <w:sz w:val="21"/>
          <w:szCs w:val="21"/>
        </w:rPr>
        <w:t>1</w:t>
      </w:r>
      <w:r w:rsidRPr="007B4794">
        <w:rPr>
          <w:rFonts w:ascii="Arial" w:hAnsi="Arial" w:cs="Arial" w:hint="eastAsia"/>
          <w:color w:val="000000" w:themeColor="text1"/>
          <w:sz w:val="21"/>
          <w:szCs w:val="21"/>
        </w:rPr>
        <w:t>0%-</w:t>
      </w:r>
      <w:r w:rsidR="00410F1B" w:rsidRPr="007B4794">
        <w:rPr>
          <w:rFonts w:ascii="Arial" w:hAnsi="Arial" w:cs="Arial" w:hint="eastAsia"/>
          <w:color w:val="000000" w:themeColor="text1"/>
          <w:sz w:val="21"/>
          <w:szCs w:val="21"/>
        </w:rPr>
        <w:t>3</w:t>
      </w:r>
      <w:r w:rsidRPr="007B4794">
        <w:rPr>
          <w:rFonts w:ascii="Arial" w:hAnsi="Arial" w:cs="Arial" w:hint="eastAsia"/>
          <w:color w:val="000000" w:themeColor="text1"/>
          <w:sz w:val="21"/>
          <w:szCs w:val="21"/>
        </w:rPr>
        <w:t>0%</w:t>
      </w:r>
      <w:r w:rsidRPr="007B4794">
        <w:rPr>
          <w:rFonts w:ascii="Arial" w:hAnsi="Arial" w:cs="Arial" w:hint="eastAsia"/>
          <w:color w:val="000000" w:themeColor="text1"/>
          <w:sz w:val="21"/>
          <w:szCs w:val="21"/>
        </w:rPr>
        <w:t>的溢价水平，市场价格运行相对平稳。</w:t>
      </w:r>
    </w:p>
    <w:p w14:paraId="0949062E" w14:textId="355D55A0" w:rsidR="004C4F82" w:rsidRPr="007B4794" w:rsidRDefault="004C4F82" w:rsidP="004C4F82">
      <w:pPr>
        <w:widowControl w:val="0"/>
        <w:adjustRightInd w:val="0"/>
        <w:snapToGrid w:val="0"/>
        <w:spacing w:line="480" w:lineRule="auto"/>
        <w:ind w:firstLineChars="200" w:firstLine="480"/>
        <w:jc w:val="both"/>
        <w:rPr>
          <w:rFonts w:ascii="Arial" w:hAnsi="Arial" w:cs="Arial"/>
          <w:color w:val="000000" w:themeColor="text1"/>
          <w:sz w:val="21"/>
          <w:szCs w:val="21"/>
        </w:rPr>
      </w:pPr>
      <w:r w:rsidRPr="007B4794">
        <w:rPr>
          <w:noProof/>
          <w:color w:val="000000" w:themeColor="text1"/>
        </w:rPr>
        <w:drawing>
          <wp:inline distT="0" distB="0" distL="0" distR="0" wp14:anchorId="58AAAC45" wp14:editId="1F720F14">
            <wp:extent cx="5486400" cy="2346325"/>
            <wp:effectExtent l="0" t="0" r="19050" b="15875"/>
            <wp:docPr id="5162" name="图表 516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1C43329" w14:textId="77777777" w:rsidR="00AE01CB" w:rsidRPr="007B4794" w:rsidRDefault="00AE01CB" w:rsidP="00AE01CB">
      <w:pPr>
        <w:adjustRightInd w:val="0"/>
        <w:snapToGrid w:val="0"/>
        <w:spacing w:line="480" w:lineRule="auto"/>
        <w:ind w:leftChars="-67" w:left="-20" w:hangingChars="94" w:hanging="141"/>
        <w:rPr>
          <w:rFonts w:ascii="华文细黑" w:eastAsia="华文细黑" w:hAnsi="华文细黑" w:cs="Arial"/>
          <w:color w:val="000000" w:themeColor="text1"/>
          <w:sz w:val="15"/>
          <w:szCs w:val="15"/>
        </w:rPr>
      </w:pPr>
      <w:r w:rsidRPr="007B4794">
        <w:rPr>
          <w:rFonts w:ascii="华文细黑" w:eastAsia="华文细黑" w:hAnsi="华文细黑" w:cs="Arial" w:hint="eastAsia"/>
          <w:color w:val="000000" w:themeColor="text1"/>
          <w:sz w:val="15"/>
          <w:szCs w:val="15"/>
        </w:rPr>
        <w:t>资料来源：</w:t>
      </w:r>
      <w:r w:rsidRPr="007B4794">
        <w:rPr>
          <w:rFonts w:ascii="Arial" w:eastAsia="华文细黑" w:hAnsi="Arial" w:cs="Arial"/>
          <w:color w:val="000000" w:themeColor="text1"/>
          <w:sz w:val="15"/>
          <w:szCs w:val="15"/>
        </w:rPr>
        <w:t>CREIS</w:t>
      </w:r>
      <w:r w:rsidRPr="007B4794">
        <w:rPr>
          <w:rFonts w:ascii="华文细黑" w:eastAsia="华文细黑" w:hAnsi="华文细黑" w:cs="Arial" w:hint="eastAsia"/>
          <w:color w:val="000000" w:themeColor="text1"/>
          <w:sz w:val="15"/>
          <w:szCs w:val="15"/>
        </w:rPr>
        <w:t>中指数据</w:t>
      </w:r>
    </w:p>
    <w:p w14:paraId="4C5E75B9" w14:textId="33BE5CA0" w:rsidR="00123D7F" w:rsidRPr="007B4794" w:rsidRDefault="00123D7F" w:rsidP="00123D7F">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从</w:t>
      </w:r>
      <w:r w:rsidRPr="007B4794">
        <w:rPr>
          <w:rFonts w:ascii="Arial" w:hAnsi="Arial" w:cs="Arial" w:hint="eastAsia"/>
          <w:color w:val="000000" w:themeColor="text1"/>
          <w:sz w:val="21"/>
          <w:szCs w:val="21"/>
        </w:rPr>
        <w:t>2020</w:t>
      </w:r>
      <w:r w:rsidRPr="007B4794">
        <w:rPr>
          <w:rFonts w:ascii="Arial" w:hAnsi="Arial" w:cs="Arial" w:hint="eastAsia"/>
          <w:color w:val="000000" w:themeColor="text1"/>
          <w:sz w:val="21"/>
          <w:szCs w:val="21"/>
        </w:rPr>
        <w:t>年</w:t>
      </w:r>
      <w:r w:rsidRPr="007B4794">
        <w:rPr>
          <w:rFonts w:ascii="Arial" w:hAnsi="Arial" w:cs="Arial" w:hint="eastAsia"/>
          <w:color w:val="000000" w:themeColor="text1"/>
          <w:sz w:val="21"/>
          <w:szCs w:val="21"/>
        </w:rPr>
        <w:t>1-10</w:t>
      </w:r>
      <w:r w:rsidRPr="007B4794">
        <w:rPr>
          <w:rFonts w:ascii="Arial" w:hAnsi="Arial" w:cs="Arial" w:hint="eastAsia"/>
          <w:color w:val="000000" w:themeColor="text1"/>
          <w:sz w:val="21"/>
          <w:szCs w:val="21"/>
        </w:rPr>
        <w:t>月土地成交价格走势上看，成交波动比较大，</w:t>
      </w:r>
      <w:r w:rsidR="008F6FF5" w:rsidRPr="007B4794">
        <w:rPr>
          <w:rFonts w:ascii="Arial" w:hAnsi="Arial" w:cs="Arial" w:hint="eastAsia"/>
          <w:color w:val="000000" w:themeColor="text1"/>
          <w:sz w:val="21"/>
          <w:szCs w:val="21"/>
        </w:rPr>
        <w:t>2020</w:t>
      </w:r>
      <w:r w:rsidR="008F6FF5" w:rsidRPr="007B4794">
        <w:rPr>
          <w:rFonts w:ascii="Arial" w:hAnsi="Arial" w:cs="Arial" w:hint="eastAsia"/>
          <w:color w:val="000000" w:themeColor="text1"/>
          <w:sz w:val="21"/>
          <w:szCs w:val="21"/>
        </w:rPr>
        <w:t>年</w:t>
      </w:r>
      <w:r w:rsidR="008F6FF5" w:rsidRPr="007B4794">
        <w:rPr>
          <w:rFonts w:ascii="Arial" w:hAnsi="Arial" w:cs="Arial" w:hint="eastAsia"/>
          <w:color w:val="000000" w:themeColor="text1"/>
          <w:sz w:val="21"/>
          <w:szCs w:val="21"/>
        </w:rPr>
        <w:t>1</w:t>
      </w:r>
      <w:r w:rsidR="008F6FF5" w:rsidRPr="007B4794">
        <w:rPr>
          <w:rFonts w:ascii="Arial" w:hAnsi="Arial" w:cs="Arial" w:hint="eastAsia"/>
          <w:color w:val="000000" w:themeColor="text1"/>
          <w:sz w:val="21"/>
          <w:szCs w:val="21"/>
        </w:rPr>
        <w:t>月、</w:t>
      </w:r>
      <w:r w:rsidR="008F6FF5" w:rsidRPr="007B4794">
        <w:rPr>
          <w:rFonts w:ascii="Arial" w:hAnsi="Arial" w:cs="Arial" w:hint="eastAsia"/>
          <w:color w:val="000000" w:themeColor="text1"/>
          <w:sz w:val="21"/>
          <w:szCs w:val="21"/>
        </w:rPr>
        <w:t>4</w:t>
      </w:r>
      <w:r w:rsidR="008F6FF5" w:rsidRPr="007B4794">
        <w:rPr>
          <w:rFonts w:ascii="Arial" w:hAnsi="Arial" w:cs="Arial" w:hint="eastAsia"/>
          <w:color w:val="000000" w:themeColor="text1"/>
          <w:sz w:val="21"/>
          <w:szCs w:val="21"/>
        </w:rPr>
        <w:t>月、</w:t>
      </w:r>
      <w:r w:rsidR="008F6FF5" w:rsidRPr="007B4794">
        <w:rPr>
          <w:rFonts w:ascii="Arial" w:hAnsi="Arial" w:cs="Arial" w:hint="eastAsia"/>
          <w:color w:val="000000" w:themeColor="text1"/>
          <w:sz w:val="21"/>
          <w:szCs w:val="21"/>
        </w:rPr>
        <w:t>7-8</w:t>
      </w:r>
      <w:r w:rsidR="008F6FF5" w:rsidRPr="007B4794">
        <w:rPr>
          <w:rFonts w:ascii="Arial" w:hAnsi="Arial" w:cs="Arial" w:hint="eastAsia"/>
          <w:color w:val="000000" w:themeColor="text1"/>
          <w:sz w:val="21"/>
          <w:szCs w:val="21"/>
        </w:rPr>
        <w:t>月、</w:t>
      </w:r>
      <w:r w:rsidR="008F6FF5" w:rsidRPr="007B4794">
        <w:rPr>
          <w:rFonts w:ascii="Arial" w:hAnsi="Arial" w:cs="Arial" w:hint="eastAsia"/>
          <w:color w:val="000000" w:themeColor="text1"/>
          <w:sz w:val="21"/>
          <w:szCs w:val="21"/>
        </w:rPr>
        <w:t>10</w:t>
      </w:r>
      <w:proofErr w:type="gramStart"/>
      <w:r w:rsidR="008F6FF5" w:rsidRPr="007B4794">
        <w:rPr>
          <w:rFonts w:ascii="Arial" w:hAnsi="Arial" w:cs="Arial" w:hint="eastAsia"/>
          <w:color w:val="000000" w:themeColor="text1"/>
          <w:sz w:val="21"/>
          <w:szCs w:val="21"/>
        </w:rPr>
        <w:t>月分</w:t>
      </w:r>
      <w:proofErr w:type="gramEnd"/>
      <w:r w:rsidR="008F6FF5" w:rsidRPr="007B4794">
        <w:rPr>
          <w:rFonts w:ascii="Arial" w:hAnsi="Arial" w:cs="Arial" w:hint="eastAsia"/>
          <w:color w:val="000000" w:themeColor="text1"/>
          <w:sz w:val="21"/>
          <w:szCs w:val="21"/>
        </w:rPr>
        <w:t>别出现了大幅度下降情况，主要是受当月成交宗地所在位置影响，漳州市所属的</w:t>
      </w:r>
      <w:r w:rsidR="00CC067B">
        <w:rPr>
          <w:rFonts w:ascii="Arial" w:hAnsi="Arial" w:cs="Arial" w:hint="eastAsia"/>
          <w:color w:val="000000" w:themeColor="text1"/>
          <w:sz w:val="21"/>
          <w:szCs w:val="21"/>
        </w:rPr>
        <w:t>东山</w:t>
      </w:r>
      <w:r w:rsidR="008F6FF5" w:rsidRPr="007B4794">
        <w:rPr>
          <w:rFonts w:ascii="Arial" w:hAnsi="Arial" w:cs="Arial" w:hint="eastAsia"/>
          <w:color w:val="000000" w:themeColor="text1"/>
          <w:sz w:val="21"/>
          <w:szCs w:val="21"/>
        </w:rPr>
        <w:t>县、南靖县、云霄</w:t>
      </w:r>
      <w:proofErr w:type="gramStart"/>
      <w:r w:rsidR="008F6FF5" w:rsidRPr="007B4794">
        <w:rPr>
          <w:rFonts w:ascii="Arial" w:hAnsi="Arial" w:cs="Arial" w:hint="eastAsia"/>
          <w:color w:val="000000" w:themeColor="text1"/>
          <w:sz w:val="21"/>
          <w:szCs w:val="21"/>
        </w:rPr>
        <w:t>县成交</w:t>
      </w:r>
      <w:proofErr w:type="gramEnd"/>
      <w:r w:rsidR="008F6FF5" w:rsidRPr="007B4794">
        <w:rPr>
          <w:rFonts w:ascii="Arial" w:hAnsi="Arial" w:cs="Arial" w:hint="eastAsia"/>
          <w:color w:val="000000" w:themeColor="text1"/>
          <w:sz w:val="21"/>
          <w:szCs w:val="21"/>
        </w:rPr>
        <w:t>的宗地，成交楼面单价在</w:t>
      </w:r>
      <w:r w:rsidR="008F6FF5" w:rsidRPr="007B4794">
        <w:rPr>
          <w:rFonts w:ascii="Arial" w:hAnsi="Arial" w:cs="Arial" w:hint="eastAsia"/>
          <w:color w:val="000000" w:themeColor="text1"/>
          <w:sz w:val="21"/>
          <w:szCs w:val="21"/>
        </w:rPr>
        <w:t>300-800</w:t>
      </w:r>
      <w:r w:rsidR="008F6FF5" w:rsidRPr="007B4794">
        <w:rPr>
          <w:rFonts w:ascii="Arial" w:hAnsi="Arial" w:cs="Arial" w:hint="eastAsia"/>
          <w:color w:val="000000" w:themeColor="text1"/>
          <w:sz w:val="21"/>
          <w:szCs w:val="21"/>
        </w:rPr>
        <w:t>元</w:t>
      </w:r>
      <w:r w:rsidR="008F6FF5" w:rsidRPr="007B4794">
        <w:rPr>
          <w:rFonts w:ascii="Arial" w:hAnsi="Arial" w:cs="Arial" w:hint="eastAsia"/>
          <w:color w:val="000000" w:themeColor="text1"/>
          <w:sz w:val="21"/>
          <w:szCs w:val="21"/>
        </w:rPr>
        <w:t>/</w:t>
      </w:r>
      <w:r w:rsidR="008F6FF5" w:rsidRPr="007B4794">
        <w:rPr>
          <w:rFonts w:ascii="Arial" w:hAnsi="Arial" w:cs="Arial" w:hint="eastAsia"/>
          <w:color w:val="000000" w:themeColor="text1"/>
          <w:sz w:val="21"/>
          <w:szCs w:val="21"/>
        </w:rPr>
        <w:t>平方米，导致当月</w:t>
      </w:r>
      <w:r w:rsidRPr="007B4794">
        <w:rPr>
          <w:rFonts w:ascii="Arial" w:hAnsi="Arial" w:cs="Arial" w:hint="eastAsia"/>
          <w:color w:val="000000" w:themeColor="text1"/>
          <w:sz w:val="21"/>
          <w:szCs w:val="21"/>
        </w:rPr>
        <w:t>土地成交楼面单价明显下降。</w:t>
      </w:r>
    </w:p>
    <w:p w14:paraId="53597FA2" w14:textId="5AD2E15A" w:rsidR="00123D7F" w:rsidRPr="007B4794" w:rsidRDefault="00123D7F" w:rsidP="00123D7F">
      <w:pPr>
        <w:widowControl w:val="0"/>
        <w:adjustRightInd w:val="0"/>
        <w:snapToGrid w:val="0"/>
        <w:spacing w:line="480" w:lineRule="auto"/>
        <w:jc w:val="both"/>
        <w:rPr>
          <w:rFonts w:ascii="Arial" w:hAnsi="Arial" w:cs="Arial"/>
          <w:color w:val="000000" w:themeColor="text1"/>
          <w:sz w:val="21"/>
          <w:szCs w:val="21"/>
        </w:rPr>
      </w:pPr>
      <w:r w:rsidRPr="007B4794">
        <w:rPr>
          <w:noProof/>
          <w:color w:val="000000" w:themeColor="text1"/>
        </w:rPr>
        <w:lastRenderedPageBreak/>
        <w:drawing>
          <wp:inline distT="0" distB="0" distL="0" distR="0" wp14:anchorId="671C2AFC" wp14:editId="08CD3761">
            <wp:extent cx="6048375" cy="2552700"/>
            <wp:effectExtent l="0" t="0" r="9525" b="19050"/>
            <wp:docPr id="12" name="图表 1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EEB4F2F" w14:textId="3BF85E27" w:rsidR="00AE01CB" w:rsidRPr="007B4794" w:rsidRDefault="008A1CF1" w:rsidP="008A1CF1">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从漳州市各行政区域成交土地规模分析，龙海市</w:t>
      </w:r>
      <w:r w:rsidR="00AE01CB"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漳浦县</w:t>
      </w:r>
      <w:r w:rsidR="00AE01CB"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茅城区</w:t>
      </w:r>
      <w:r w:rsidR="00AE01CB" w:rsidRPr="007B4794">
        <w:rPr>
          <w:rFonts w:ascii="Arial" w:hAnsi="Arial" w:cs="Arial" w:hint="eastAsia"/>
          <w:color w:val="000000" w:themeColor="text1"/>
          <w:sz w:val="21"/>
          <w:szCs w:val="21"/>
        </w:rPr>
        <w:t>成交量最为突出，</w:t>
      </w:r>
      <w:r w:rsidR="00AE01CB" w:rsidRPr="007B4794">
        <w:rPr>
          <w:rFonts w:ascii="Arial" w:hAnsi="Arial" w:cs="Arial" w:hint="eastAsia"/>
          <w:color w:val="000000" w:themeColor="text1"/>
          <w:sz w:val="21"/>
          <w:szCs w:val="21"/>
        </w:rPr>
        <w:t>2019</w:t>
      </w:r>
      <w:r w:rsidR="00AE01CB" w:rsidRPr="007B4794">
        <w:rPr>
          <w:rFonts w:ascii="Arial" w:hAnsi="Arial" w:cs="Arial" w:hint="eastAsia"/>
          <w:color w:val="000000" w:themeColor="text1"/>
          <w:sz w:val="21"/>
          <w:szCs w:val="21"/>
        </w:rPr>
        <w:t>年至</w:t>
      </w:r>
      <w:r w:rsidR="00AE01CB" w:rsidRPr="007B4794">
        <w:rPr>
          <w:rFonts w:ascii="Arial" w:hAnsi="Arial" w:cs="Arial" w:hint="eastAsia"/>
          <w:color w:val="000000" w:themeColor="text1"/>
          <w:sz w:val="21"/>
          <w:szCs w:val="21"/>
        </w:rPr>
        <w:t>2020</w:t>
      </w:r>
      <w:r w:rsidR="00AE01CB" w:rsidRPr="007B4794">
        <w:rPr>
          <w:rFonts w:ascii="Arial" w:hAnsi="Arial" w:cs="Arial" w:hint="eastAsia"/>
          <w:color w:val="000000" w:themeColor="text1"/>
          <w:sz w:val="21"/>
          <w:szCs w:val="21"/>
        </w:rPr>
        <w:t>年</w:t>
      </w:r>
      <w:r w:rsidRPr="007B4794">
        <w:rPr>
          <w:rFonts w:ascii="Arial" w:hAnsi="Arial" w:cs="Arial" w:hint="eastAsia"/>
          <w:color w:val="000000" w:themeColor="text1"/>
          <w:sz w:val="21"/>
          <w:szCs w:val="21"/>
        </w:rPr>
        <w:t>1-10</w:t>
      </w:r>
      <w:r w:rsidRPr="007B4794">
        <w:rPr>
          <w:rFonts w:ascii="Arial" w:hAnsi="Arial" w:cs="Arial" w:hint="eastAsia"/>
          <w:color w:val="000000" w:themeColor="text1"/>
          <w:sz w:val="21"/>
          <w:szCs w:val="21"/>
        </w:rPr>
        <w:t>月</w:t>
      </w:r>
      <w:r w:rsidR="008A00FE" w:rsidRPr="007B4794">
        <w:rPr>
          <w:rFonts w:ascii="Arial" w:hAnsi="Arial" w:cs="Arial" w:hint="eastAsia"/>
          <w:color w:val="000000" w:themeColor="text1"/>
          <w:sz w:val="21"/>
          <w:szCs w:val="21"/>
        </w:rPr>
        <w:t>龙海市</w:t>
      </w:r>
      <w:r w:rsidR="00AE01CB" w:rsidRPr="007B4794">
        <w:rPr>
          <w:rFonts w:ascii="Arial" w:hAnsi="Arial" w:cs="Arial" w:hint="eastAsia"/>
          <w:color w:val="000000" w:themeColor="text1"/>
          <w:sz w:val="21"/>
          <w:szCs w:val="21"/>
        </w:rPr>
        <w:t>成交规模最大，</w:t>
      </w:r>
      <w:r w:rsidR="008A00FE" w:rsidRPr="007B4794">
        <w:rPr>
          <w:rFonts w:ascii="Arial" w:hAnsi="Arial" w:cs="Arial" w:hint="eastAsia"/>
          <w:color w:val="000000" w:themeColor="text1"/>
          <w:sz w:val="21"/>
          <w:szCs w:val="21"/>
        </w:rPr>
        <w:t>龙海市</w:t>
      </w:r>
      <w:r w:rsidR="00AE01CB" w:rsidRPr="007B4794">
        <w:rPr>
          <w:rFonts w:ascii="Arial" w:hAnsi="Arial" w:cs="Arial" w:hint="eastAsia"/>
          <w:color w:val="000000" w:themeColor="text1"/>
          <w:sz w:val="21"/>
          <w:szCs w:val="21"/>
        </w:rPr>
        <w:t>成交土地面积为</w:t>
      </w:r>
      <w:r w:rsidR="008A00FE" w:rsidRPr="007B4794">
        <w:rPr>
          <w:rFonts w:ascii="Arial" w:hAnsi="Arial" w:cs="Arial" w:hint="eastAsia"/>
          <w:color w:val="000000" w:themeColor="text1"/>
          <w:sz w:val="21"/>
          <w:szCs w:val="21"/>
        </w:rPr>
        <w:t>77</w:t>
      </w:r>
      <w:r w:rsidR="00AE01CB" w:rsidRPr="007B4794">
        <w:rPr>
          <w:rFonts w:ascii="Arial" w:hAnsi="Arial" w:cs="Arial" w:hint="eastAsia"/>
          <w:color w:val="000000" w:themeColor="text1"/>
          <w:sz w:val="21"/>
          <w:szCs w:val="21"/>
        </w:rPr>
        <w:t>万平方米，新增规划建筑面积</w:t>
      </w:r>
      <w:r w:rsidR="00AE01CB" w:rsidRPr="007B4794">
        <w:rPr>
          <w:rFonts w:ascii="Arial" w:hAnsi="Arial" w:cs="Arial"/>
          <w:color w:val="000000" w:themeColor="text1"/>
          <w:sz w:val="21"/>
          <w:szCs w:val="21"/>
        </w:rPr>
        <w:t>为</w:t>
      </w:r>
      <w:r w:rsidR="008A00FE" w:rsidRPr="007B4794">
        <w:rPr>
          <w:rFonts w:ascii="Arial" w:hAnsi="Arial" w:cs="Arial" w:hint="eastAsia"/>
          <w:color w:val="000000" w:themeColor="text1"/>
          <w:sz w:val="21"/>
          <w:szCs w:val="21"/>
        </w:rPr>
        <w:t>197.77</w:t>
      </w:r>
      <w:r w:rsidR="00AE01CB" w:rsidRPr="007B4794">
        <w:rPr>
          <w:rFonts w:ascii="Arial" w:hAnsi="Arial" w:cs="Arial" w:hint="eastAsia"/>
          <w:color w:val="000000" w:themeColor="text1"/>
          <w:sz w:val="21"/>
          <w:szCs w:val="21"/>
        </w:rPr>
        <w:t>万</w:t>
      </w:r>
      <w:r w:rsidR="00AE01CB" w:rsidRPr="007B4794">
        <w:rPr>
          <w:rFonts w:ascii="Arial" w:hAnsi="Arial" w:cs="Arial"/>
          <w:color w:val="000000" w:themeColor="text1"/>
          <w:sz w:val="21"/>
          <w:szCs w:val="21"/>
        </w:rPr>
        <w:t>平方米</w:t>
      </w:r>
      <w:r w:rsidR="00AE01CB" w:rsidRPr="007B4794">
        <w:rPr>
          <w:rFonts w:ascii="Arial" w:hAnsi="Arial" w:cs="Arial" w:hint="eastAsia"/>
          <w:color w:val="000000" w:themeColor="text1"/>
          <w:sz w:val="21"/>
          <w:szCs w:val="21"/>
        </w:rPr>
        <w:t>，占比全市总量达到</w:t>
      </w:r>
      <w:r w:rsidR="008A00FE" w:rsidRPr="007B4794">
        <w:rPr>
          <w:rFonts w:ascii="Arial" w:hAnsi="Arial" w:cs="Arial" w:hint="eastAsia"/>
          <w:color w:val="000000" w:themeColor="text1"/>
          <w:sz w:val="21"/>
          <w:szCs w:val="21"/>
        </w:rPr>
        <w:t>18.08</w:t>
      </w:r>
      <w:r w:rsidR="00AE01CB" w:rsidRPr="007B4794">
        <w:rPr>
          <w:rFonts w:ascii="Arial" w:hAnsi="Arial" w:cs="Arial" w:hint="eastAsia"/>
          <w:color w:val="000000" w:themeColor="text1"/>
          <w:sz w:val="21"/>
          <w:szCs w:val="21"/>
        </w:rPr>
        <w:t>%</w:t>
      </w:r>
      <w:r w:rsidR="008A00FE" w:rsidRPr="007B4794">
        <w:rPr>
          <w:rFonts w:ascii="Arial" w:hAnsi="Arial" w:cs="Arial" w:hint="eastAsia"/>
          <w:color w:val="000000" w:themeColor="text1"/>
          <w:sz w:val="21"/>
          <w:szCs w:val="21"/>
        </w:rPr>
        <w:t>。其次是漳浦县和茅城区</w:t>
      </w:r>
      <w:r w:rsidR="00AE01CB" w:rsidRPr="007B4794">
        <w:rPr>
          <w:rFonts w:ascii="Arial" w:hAnsi="Arial" w:cs="Arial" w:hint="eastAsia"/>
          <w:color w:val="000000" w:themeColor="text1"/>
          <w:sz w:val="21"/>
          <w:szCs w:val="21"/>
        </w:rPr>
        <w:t>，</w:t>
      </w:r>
      <w:r w:rsidR="008A00FE" w:rsidRPr="007B4794">
        <w:rPr>
          <w:rFonts w:ascii="Arial" w:hAnsi="Arial" w:cs="Arial" w:hint="eastAsia"/>
          <w:color w:val="000000" w:themeColor="text1"/>
          <w:sz w:val="21"/>
          <w:szCs w:val="21"/>
        </w:rPr>
        <w:t>新增规划建筑面积</w:t>
      </w:r>
      <w:r w:rsidR="00AE01CB" w:rsidRPr="007B4794">
        <w:rPr>
          <w:rFonts w:ascii="Arial" w:hAnsi="Arial" w:cs="Arial" w:hint="eastAsia"/>
          <w:color w:val="000000" w:themeColor="text1"/>
          <w:sz w:val="21"/>
          <w:szCs w:val="21"/>
        </w:rPr>
        <w:t>成交占比分别为</w:t>
      </w:r>
      <w:r w:rsidR="008A00FE" w:rsidRPr="007B4794">
        <w:rPr>
          <w:rFonts w:ascii="Arial" w:hAnsi="Arial" w:cs="Arial" w:hint="eastAsia"/>
          <w:color w:val="000000" w:themeColor="text1"/>
          <w:sz w:val="21"/>
          <w:szCs w:val="21"/>
        </w:rPr>
        <w:t>16.71</w:t>
      </w:r>
      <w:r w:rsidR="00AE01CB" w:rsidRPr="007B4794">
        <w:rPr>
          <w:rFonts w:ascii="Arial" w:hAnsi="Arial" w:cs="Arial" w:hint="eastAsia"/>
          <w:color w:val="000000" w:themeColor="text1"/>
          <w:sz w:val="21"/>
          <w:szCs w:val="21"/>
        </w:rPr>
        <w:t>%</w:t>
      </w:r>
      <w:r w:rsidR="00AE01CB" w:rsidRPr="007B4794">
        <w:rPr>
          <w:rFonts w:ascii="Arial" w:hAnsi="Arial" w:cs="Arial" w:hint="eastAsia"/>
          <w:color w:val="000000" w:themeColor="text1"/>
          <w:sz w:val="21"/>
          <w:szCs w:val="21"/>
        </w:rPr>
        <w:t>和</w:t>
      </w:r>
      <w:r w:rsidR="008A00FE" w:rsidRPr="007B4794">
        <w:rPr>
          <w:rFonts w:ascii="Arial" w:hAnsi="Arial" w:cs="Arial" w:hint="eastAsia"/>
          <w:color w:val="000000" w:themeColor="text1"/>
          <w:sz w:val="21"/>
          <w:szCs w:val="21"/>
        </w:rPr>
        <w:t>12.39</w:t>
      </w:r>
      <w:r w:rsidR="00AE01CB" w:rsidRPr="007B4794">
        <w:rPr>
          <w:rFonts w:ascii="Arial" w:hAnsi="Arial" w:cs="Arial" w:hint="eastAsia"/>
          <w:color w:val="000000" w:themeColor="text1"/>
          <w:sz w:val="21"/>
          <w:szCs w:val="21"/>
        </w:rPr>
        <w:t>%</w:t>
      </w:r>
      <w:r w:rsidR="00AE01CB" w:rsidRPr="007B4794">
        <w:rPr>
          <w:rFonts w:ascii="Arial" w:hAnsi="Arial" w:cs="Arial" w:hint="eastAsia"/>
          <w:color w:val="000000" w:themeColor="text1"/>
          <w:sz w:val="21"/>
          <w:szCs w:val="21"/>
        </w:rPr>
        <w:t>。从各区成交楼面单价来看，</w:t>
      </w:r>
      <w:r w:rsidR="008A00FE" w:rsidRPr="007B4794">
        <w:rPr>
          <w:rFonts w:ascii="Arial" w:hAnsi="Arial" w:cs="Arial" w:hint="eastAsia"/>
          <w:color w:val="000000" w:themeColor="text1"/>
          <w:sz w:val="21"/>
          <w:szCs w:val="21"/>
        </w:rPr>
        <w:t>龙文</w:t>
      </w:r>
      <w:r w:rsidR="00AE01CB" w:rsidRPr="007B4794">
        <w:rPr>
          <w:rFonts w:ascii="Arial" w:hAnsi="Arial" w:cs="Arial" w:hint="eastAsia"/>
          <w:color w:val="000000" w:themeColor="text1"/>
          <w:sz w:val="21"/>
          <w:szCs w:val="21"/>
        </w:rPr>
        <w:t>区</w:t>
      </w:r>
      <w:r w:rsidR="00AE01CB" w:rsidRPr="007B4794">
        <w:rPr>
          <w:rFonts w:ascii="Arial" w:hAnsi="Arial" w:cs="Arial"/>
          <w:color w:val="000000" w:themeColor="text1"/>
          <w:sz w:val="21"/>
          <w:szCs w:val="21"/>
        </w:rPr>
        <w:t>、</w:t>
      </w:r>
      <w:r w:rsidR="008A00FE" w:rsidRPr="007B4794">
        <w:rPr>
          <w:rFonts w:ascii="Arial" w:hAnsi="Arial" w:cs="Arial" w:hint="eastAsia"/>
          <w:color w:val="000000" w:themeColor="text1"/>
          <w:sz w:val="21"/>
          <w:szCs w:val="21"/>
        </w:rPr>
        <w:t>龙海</w:t>
      </w:r>
      <w:r w:rsidR="000B786E" w:rsidRPr="007B4794">
        <w:rPr>
          <w:rFonts w:ascii="Arial" w:hAnsi="Arial" w:cs="Arial" w:hint="eastAsia"/>
          <w:color w:val="000000" w:themeColor="text1"/>
          <w:sz w:val="21"/>
          <w:szCs w:val="21"/>
        </w:rPr>
        <w:t>市</w:t>
      </w:r>
      <w:r w:rsidR="00AE01CB" w:rsidRPr="007B4794">
        <w:rPr>
          <w:rFonts w:ascii="Arial" w:hAnsi="Arial" w:cs="Arial" w:hint="eastAsia"/>
          <w:color w:val="000000" w:themeColor="text1"/>
          <w:sz w:val="21"/>
          <w:szCs w:val="21"/>
        </w:rPr>
        <w:t>、</w:t>
      </w:r>
      <w:r w:rsidR="008A00FE" w:rsidRPr="007B4794">
        <w:rPr>
          <w:rFonts w:ascii="Arial" w:hAnsi="Arial" w:cs="Arial" w:hint="eastAsia"/>
          <w:color w:val="000000" w:themeColor="text1"/>
          <w:sz w:val="21"/>
          <w:szCs w:val="21"/>
        </w:rPr>
        <w:t>茅城</w:t>
      </w:r>
      <w:r w:rsidR="00AE01CB" w:rsidRPr="007B4794">
        <w:rPr>
          <w:rFonts w:ascii="Arial" w:hAnsi="Arial" w:cs="Arial"/>
          <w:color w:val="000000" w:themeColor="text1"/>
          <w:sz w:val="21"/>
          <w:szCs w:val="21"/>
        </w:rPr>
        <w:t>区排名前三</w:t>
      </w:r>
      <w:r w:rsidR="00AE01CB" w:rsidRPr="007B4794">
        <w:rPr>
          <w:rFonts w:ascii="Arial" w:hAnsi="Arial" w:cs="Arial" w:hint="eastAsia"/>
          <w:color w:val="000000" w:themeColor="text1"/>
          <w:sz w:val="21"/>
          <w:szCs w:val="21"/>
        </w:rPr>
        <w:t>，</w:t>
      </w:r>
      <w:r w:rsidR="00AE01CB" w:rsidRPr="007B4794">
        <w:rPr>
          <w:rFonts w:ascii="Arial" w:hAnsi="Arial" w:cs="Arial"/>
          <w:color w:val="000000" w:themeColor="text1"/>
          <w:sz w:val="21"/>
          <w:szCs w:val="21"/>
        </w:rPr>
        <w:t>成交楼面单价分别为</w:t>
      </w:r>
      <w:r w:rsidR="008A00FE" w:rsidRPr="007B4794">
        <w:rPr>
          <w:rFonts w:ascii="Arial" w:hAnsi="Arial" w:cs="Arial" w:hint="eastAsia"/>
          <w:color w:val="000000" w:themeColor="text1"/>
          <w:sz w:val="21"/>
          <w:szCs w:val="21"/>
        </w:rPr>
        <w:t>6636</w:t>
      </w:r>
      <w:r w:rsidR="00AE01CB" w:rsidRPr="007B4794">
        <w:rPr>
          <w:rFonts w:ascii="Arial" w:hAnsi="Arial" w:cs="Arial" w:hint="eastAsia"/>
          <w:color w:val="000000" w:themeColor="text1"/>
          <w:sz w:val="21"/>
          <w:szCs w:val="21"/>
        </w:rPr>
        <w:t>元</w:t>
      </w:r>
      <w:r w:rsidR="00AE01CB" w:rsidRPr="007B4794">
        <w:rPr>
          <w:rFonts w:ascii="Arial" w:hAnsi="Arial" w:cs="Arial" w:hint="eastAsia"/>
          <w:color w:val="000000" w:themeColor="text1"/>
          <w:sz w:val="21"/>
          <w:szCs w:val="21"/>
        </w:rPr>
        <w:t>/</w:t>
      </w:r>
      <w:r w:rsidR="00AE01CB" w:rsidRPr="007B4794">
        <w:rPr>
          <w:rFonts w:ascii="Arial" w:hAnsi="Arial" w:cs="Arial" w:hint="eastAsia"/>
          <w:color w:val="000000" w:themeColor="text1"/>
          <w:sz w:val="21"/>
          <w:szCs w:val="21"/>
        </w:rPr>
        <w:t>平方米</w:t>
      </w:r>
      <w:r w:rsidR="00AE01CB" w:rsidRPr="007B4794">
        <w:rPr>
          <w:rFonts w:ascii="Arial" w:hAnsi="Arial" w:cs="Arial"/>
          <w:color w:val="000000" w:themeColor="text1"/>
          <w:sz w:val="21"/>
          <w:szCs w:val="21"/>
        </w:rPr>
        <w:t>、</w:t>
      </w:r>
      <w:r w:rsidR="008A00FE" w:rsidRPr="007B4794">
        <w:rPr>
          <w:rFonts w:ascii="Arial" w:hAnsi="Arial" w:cs="Arial" w:hint="eastAsia"/>
          <w:color w:val="000000" w:themeColor="text1"/>
          <w:sz w:val="21"/>
          <w:szCs w:val="21"/>
        </w:rPr>
        <w:t>5750</w:t>
      </w:r>
      <w:r w:rsidR="00AE01CB" w:rsidRPr="007B4794">
        <w:rPr>
          <w:rFonts w:ascii="Arial" w:hAnsi="Arial" w:cs="Arial" w:hint="eastAsia"/>
          <w:color w:val="000000" w:themeColor="text1"/>
          <w:sz w:val="21"/>
          <w:szCs w:val="21"/>
        </w:rPr>
        <w:t>元</w:t>
      </w:r>
      <w:r w:rsidR="00AE01CB" w:rsidRPr="007B4794">
        <w:rPr>
          <w:rFonts w:ascii="Arial" w:hAnsi="Arial" w:cs="Arial" w:hint="eastAsia"/>
          <w:color w:val="000000" w:themeColor="text1"/>
          <w:sz w:val="21"/>
          <w:szCs w:val="21"/>
        </w:rPr>
        <w:t>/</w:t>
      </w:r>
      <w:r w:rsidR="00AE01CB" w:rsidRPr="007B4794">
        <w:rPr>
          <w:rFonts w:ascii="Arial" w:hAnsi="Arial" w:cs="Arial" w:hint="eastAsia"/>
          <w:color w:val="000000" w:themeColor="text1"/>
          <w:sz w:val="21"/>
          <w:szCs w:val="21"/>
        </w:rPr>
        <w:t>平方米、</w:t>
      </w:r>
      <w:r w:rsidR="008A00FE" w:rsidRPr="007B4794">
        <w:rPr>
          <w:rFonts w:ascii="Arial" w:hAnsi="Arial" w:cs="Arial" w:hint="eastAsia"/>
          <w:color w:val="000000" w:themeColor="text1"/>
          <w:sz w:val="21"/>
          <w:szCs w:val="21"/>
        </w:rPr>
        <w:t>4852</w:t>
      </w:r>
      <w:r w:rsidR="00AE01CB" w:rsidRPr="007B4794">
        <w:rPr>
          <w:rFonts w:ascii="Arial" w:hAnsi="Arial" w:cs="Arial" w:hint="eastAsia"/>
          <w:color w:val="000000" w:themeColor="text1"/>
          <w:sz w:val="21"/>
          <w:szCs w:val="21"/>
        </w:rPr>
        <w:t>元</w:t>
      </w:r>
      <w:r w:rsidR="00AE01CB" w:rsidRPr="007B4794">
        <w:rPr>
          <w:rFonts w:ascii="Arial" w:hAnsi="Arial" w:cs="Arial" w:hint="eastAsia"/>
          <w:color w:val="000000" w:themeColor="text1"/>
          <w:sz w:val="21"/>
          <w:szCs w:val="21"/>
        </w:rPr>
        <w:t>/</w:t>
      </w:r>
      <w:r w:rsidR="00AE01CB" w:rsidRPr="007B4794">
        <w:rPr>
          <w:rFonts w:ascii="Arial" w:hAnsi="Arial" w:cs="Arial" w:hint="eastAsia"/>
          <w:color w:val="000000" w:themeColor="text1"/>
          <w:sz w:val="21"/>
          <w:szCs w:val="21"/>
        </w:rPr>
        <w:t>平方米</w:t>
      </w:r>
      <w:r w:rsidR="000B786E" w:rsidRPr="007B4794">
        <w:rPr>
          <w:rFonts w:ascii="Arial" w:hAnsi="Arial" w:cs="Arial" w:hint="eastAsia"/>
          <w:color w:val="000000" w:themeColor="text1"/>
          <w:sz w:val="21"/>
          <w:szCs w:val="21"/>
        </w:rPr>
        <w:t>，其中龙海市台商投资区（即角美镇）</w:t>
      </w:r>
      <w:r w:rsidR="000B786E" w:rsidRPr="007B4794">
        <w:rPr>
          <w:rFonts w:ascii="Arial" w:hAnsi="Arial" w:cs="Arial"/>
          <w:color w:val="000000" w:themeColor="text1"/>
          <w:sz w:val="21"/>
          <w:szCs w:val="21"/>
        </w:rPr>
        <w:t>楼面单价</w:t>
      </w:r>
      <w:r w:rsidR="000B786E" w:rsidRPr="007B4794">
        <w:rPr>
          <w:rFonts w:ascii="Arial" w:hAnsi="Arial" w:cs="Arial" w:hint="eastAsia"/>
          <w:color w:val="000000" w:themeColor="text1"/>
          <w:sz w:val="21"/>
          <w:szCs w:val="21"/>
        </w:rPr>
        <w:t>为</w:t>
      </w:r>
      <w:r w:rsidR="00094AA3" w:rsidRPr="007B4794">
        <w:rPr>
          <w:rFonts w:ascii="Arial" w:hAnsi="Arial" w:cs="Arial" w:hint="eastAsia"/>
          <w:color w:val="000000" w:themeColor="text1"/>
          <w:sz w:val="21"/>
          <w:szCs w:val="21"/>
        </w:rPr>
        <w:t>6496</w:t>
      </w:r>
      <w:r w:rsidR="000B786E" w:rsidRPr="007B4794">
        <w:rPr>
          <w:rFonts w:ascii="Arial" w:hAnsi="Arial" w:cs="Arial" w:hint="eastAsia"/>
          <w:color w:val="000000" w:themeColor="text1"/>
          <w:sz w:val="21"/>
          <w:szCs w:val="21"/>
        </w:rPr>
        <w:t>元</w:t>
      </w:r>
      <w:r w:rsidR="000B786E" w:rsidRPr="007B4794">
        <w:rPr>
          <w:rFonts w:ascii="Arial" w:hAnsi="Arial" w:cs="Arial" w:hint="eastAsia"/>
          <w:color w:val="000000" w:themeColor="text1"/>
          <w:sz w:val="21"/>
          <w:szCs w:val="21"/>
        </w:rPr>
        <w:t>/</w:t>
      </w:r>
      <w:r w:rsidR="000B786E" w:rsidRPr="007B4794">
        <w:rPr>
          <w:rFonts w:ascii="Arial" w:hAnsi="Arial" w:cs="Arial" w:hint="eastAsia"/>
          <w:color w:val="000000" w:themeColor="text1"/>
          <w:sz w:val="21"/>
          <w:szCs w:val="21"/>
        </w:rPr>
        <w:t>平方米</w:t>
      </w:r>
      <w:r w:rsidR="00AE01CB" w:rsidRPr="007B4794">
        <w:rPr>
          <w:rFonts w:ascii="Arial" w:hAnsi="Arial" w:cs="Arial" w:hint="eastAsia"/>
          <w:color w:val="000000" w:themeColor="text1"/>
          <w:sz w:val="21"/>
          <w:szCs w:val="21"/>
        </w:rPr>
        <w:t>。溢价情况来看，近一年半的溢价率最高的是</w:t>
      </w:r>
      <w:r w:rsidR="008A00FE" w:rsidRPr="007B4794">
        <w:rPr>
          <w:rFonts w:ascii="Arial" w:hAnsi="Arial" w:cs="Arial" w:hint="eastAsia"/>
          <w:color w:val="000000" w:themeColor="text1"/>
          <w:sz w:val="21"/>
          <w:szCs w:val="21"/>
        </w:rPr>
        <w:t>龙文市</w:t>
      </w:r>
      <w:r w:rsidR="00AE01CB" w:rsidRPr="007B4794">
        <w:rPr>
          <w:rFonts w:ascii="Arial" w:hAnsi="Arial" w:cs="Arial" w:hint="eastAsia"/>
          <w:color w:val="000000" w:themeColor="text1"/>
          <w:sz w:val="21"/>
          <w:szCs w:val="21"/>
        </w:rPr>
        <w:t>，平均溢价率在</w:t>
      </w:r>
      <w:r w:rsidR="008A00FE" w:rsidRPr="007B4794">
        <w:rPr>
          <w:rFonts w:ascii="Arial" w:hAnsi="Arial" w:cs="Arial" w:hint="eastAsia"/>
          <w:color w:val="000000" w:themeColor="text1"/>
          <w:sz w:val="21"/>
          <w:szCs w:val="21"/>
        </w:rPr>
        <w:t>36.21</w:t>
      </w:r>
      <w:r w:rsidR="00AE01CB" w:rsidRPr="007B4794">
        <w:rPr>
          <w:rFonts w:ascii="Arial" w:hAnsi="Arial" w:cs="Arial" w:hint="eastAsia"/>
          <w:color w:val="000000" w:themeColor="text1"/>
          <w:sz w:val="21"/>
          <w:szCs w:val="21"/>
        </w:rPr>
        <w:t>%</w:t>
      </w:r>
      <w:r w:rsidR="00AE01CB" w:rsidRPr="007B4794">
        <w:rPr>
          <w:rFonts w:ascii="Arial" w:hAnsi="Arial" w:cs="Arial" w:hint="eastAsia"/>
          <w:color w:val="000000" w:themeColor="text1"/>
          <w:sz w:val="21"/>
          <w:szCs w:val="21"/>
        </w:rPr>
        <w:t>，</w:t>
      </w:r>
      <w:r w:rsidR="008A00FE" w:rsidRPr="007B4794">
        <w:rPr>
          <w:rFonts w:ascii="Arial" w:hAnsi="Arial" w:cs="Arial" w:hint="eastAsia"/>
          <w:color w:val="000000" w:themeColor="text1"/>
          <w:sz w:val="21"/>
          <w:szCs w:val="21"/>
        </w:rPr>
        <w:t>其次是东山县和龙海市，</w:t>
      </w:r>
      <w:r w:rsidR="00AE01CB" w:rsidRPr="007B4794">
        <w:rPr>
          <w:rFonts w:ascii="Arial" w:hAnsi="Arial" w:cs="Arial" w:hint="eastAsia"/>
          <w:color w:val="000000" w:themeColor="text1"/>
          <w:sz w:val="21"/>
          <w:szCs w:val="21"/>
        </w:rPr>
        <w:t>溢价率</w:t>
      </w:r>
      <w:r w:rsidR="008A00FE" w:rsidRPr="007B4794">
        <w:rPr>
          <w:rFonts w:ascii="Arial" w:hAnsi="Arial" w:cs="Arial" w:hint="eastAsia"/>
          <w:color w:val="000000" w:themeColor="text1"/>
          <w:sz w:val="21"/>
          <w:szCs w:val="21"/>
        </w:rPr>
        <w:t>分别</w:t>
      </w:r>
      <w:r w:rsidR="00AE01CB" w:rsidRPr="007B4794">
        <w:rPr>
          <w:rFonts w:ascii="Arial" w:hAnsi="Arial" w:cs="Arial" w:hint="eastAsia"/>
          <w:color w:val="000000" w:themeColor="text1"/>
          <w:sz w:val="21"/>
          <w:szCs w:val="21"/>
        </w:rPr>
        <w:t>在</w:t>
      </w:r>
      <w:r w:rsidR="008A00FE" w:rsidRPr="007B4794">
        <w:rPr>
          <w:rFonts w:ascii="Arial" w:hAnsi="Arial" w:cs="Arial" w:hint="eastAsia"/>
          <w:color w:val="000000" w:themeColor="text1"/>
          <w:sz w:val="21"/>
          <w:szCs w:val="21"/>
        </w:rPr>
        <w:t>27.53</w:t>
      </w:r>
      <w:r w:rsidR="00AE01CB" w:rsidRPr="007B4794">
        <w:rPr>
          <w:rFonts w:ascii="Arial" w:hAnsi="Arial" w:cs="Arial" w:hint="eastAsia"/>
          <w:color w:val="000000" w:themeColor="text1"/>
          <w:sz w:val="21"/>
          <w:szCs w:val="21"/>
        </w:rPr>
        <w:t>%</w:t>
      </w:r>
      <w:r w:rsidR="008A00FE" w:rsidRPr="007B4794">
        <w:rPr>
          <w:rFonts w:ascii="Arial" w:hAnsi="Arial" w:cs="Arial" w:hint="eastAsia"/>
          <w:color w:val="000000" w:themeColor="text1"/>
          <w:sz w:val="21"/>
          <w:szCs w:val="21"/>
        </w:rPr>
        <w:t>和</w:t>
      </w:r>
      <w:r w:rsidR="008A00FE" w:rsidRPr="007B4794">
        <w:rPr>
          <w:rFonts w:ascii="Arial" w:hAnsi="Arial" w:cs="Arial" w:hint="eastAsia"/>
          <w:color w:val="000000" w:themeColor="text1"/>
          <w:sz w:val="21"/>
          <w:szCs w:val="21"/>
        </w:rPr>
        <w:t>26.64%</w:t>
      </w:r>
      <w:r w:rsidR="00AE01CB" w:rsidRPr="007B4794">
        <w:rPr>
          <w:rFonts w:ascii="Arial" w:hAnsi="Arial" w:cs="Arial" w:hint="eastAsia"/>
          <w:color w:val="000000" w:themeColor="text1"/>
          <w:sz w:val="21"/>
          <w:szCs w:val="21"/>
        </w:rPr>
        <w:t>。整体来看，</w:t>
      </w:r>
      <w:r w:rsidR="000B786E" w:rsidRPr="007B4794">
        <w:rPr>
          <w:rFonts w:ascii="Arial" w:hAnsi="Arial" w:cs="Arial" w:hint="eastAsia"/>
          <w:color w:val="000000" w:themeColor="text1"/>
          <w:sz w:val="21"/>
          <w:szCs w:val="21"/>
        </w:rPr>
        <w:t>中心城区仍是热门区域，</w:t>
      </w:r>
      <w:r w:rsidR="00AE01CB" w:rsidRPr="007B4794">
        <w:rPr>
          <w:rFonts w:ascii="Arial" w:hAnsi="Arial" w:cs="Arial" w:hint="eastAsia"/>
          <w:color w:val="000000" w:themeColor="text1"/>
          <w:sz w:val="21"/>
          <w:szCs w:val="21"/>
        </w:rPr>
        <w:t>随着中心城区</w:t>
      </w:r>
      <w:r w:rsidR="00110C2E" w:rsidRPr="007B4794">
        <w:rPr>
          <w:rFonts w:ascii="Arial" w:hAnsi="Arial" w:cs="Arial" w:hint="eastAsia"/>
          <w:color w:val="000000" w:themeColor="text1"/>
          <w:sz w:val="21"/>
          <w:szCs w:val="21"/>
        </w:rPr>
        <w:t>城市用地向东部地区的拓展，城市中心</w:t>
      </w:r>
      <w:r w:rsidR="00AE01CB" w:rsidRPr="007B4794">
        <w:rPr>
          <w:rFonts w:ascii="Arial" w:hAnsi="Arial" w:cs="Arial" w:hint="eastAsia"/>
          <w:color w:val="000000" w:themeColor="text1"/>
          <w:sz w:val="21"/>
          <w:szCs w:val="21"/>
        </w:rPr>
        <w:t>土地数量逐年减少，未来土地供求市场</w:t>
      </w:r>
      <w:r w:rsidR="00110C2E" w:rsidRPr="007B4794">
        <w:rPr>
          <w:rFonts w:ascii="Arial" w:hAnsi="Arial" w:cs="Arial" w:hint="eastAsia"/>
          <w:color w:val="000000" w:themeColor="text1"/>
          <w:sz w:val="21"/>
          <w:szCs w:val="21"/>
        </w:rPr>
        <w:t>向东部</w:t>
      </w:r>
      <w:r w:rsidR="00AE01CB" w:rsidRPr="007B4794">
        <w:rPr>
          <w:rFonts w:ascii="Arial" w:hAnsi="Arial" w:cs="Arial" w:hint="eastAsia"/>
          <w:color w:val="000000" w:themeColor="text1"/>
          <w:sz w:val="21"/>
          <w:szCs w:val="21"/>
        </w:rPr>
        <w:t>区域延伸，</w:t>
      </w:r>
      <w:r w:rsidR="00110C2E" w:rsidRPr="007B4794">
        <w:rPr>
          <w:rFonts w:ascii="Arial" w:hAnsi="Arial" w:cs="Arial" w:hint="eastAsia"/>
          <w:color w:val="000000" w:themeColor="text1"/>
          <w:sz w:val="21"/>
          <w:szCs w:val="21"/>
        </w:rPr>
        <w:t>新建开发区土地市场</w:t>
      </w:r>
      <w:r w:rsidR="00AE01CB" w:rsidRPr="007B4794">
        <w:rPr>
          <w:rFonts w:ascii="Arial" w:hAnsi="Arial" w:cs="Arial" w:hint="eastAsia"/>
          <w:color w:val="000000" w:themeColor="text1"/>
          <w:sz w:val="21"/>
          <w:szCs w:val="21"/>
        </w:rPr>
        <w:t>将成为城市未来发展方向，逐步成为成交主力及竞争热点。</w:t>
      </w:r>
    </w:p>
    <w:p w14:paraId="5DCFFDB9" w14:textId="1931B8BA" w:rsidR="008A1CF1" w:rsidRPr="007B4794" w:rsidRDefault="008A1CF1" w:rsidP="008A1CF1">
      <w:pPr>
        <w:widowControl w:val="0"/>
        <w:adjustRightInd w:val="0"/>
        <w:snapToGrid w:val="0"/>
        <w:spacing w:line="480" w:lineRule="auto"/>
        <w:jc w:val="both"/>
        <w:rPr>
          <w:rFonts w:ascii="Arial" w:hAnsi="Arial" w:cs="Arial"/>
          <w:color w:val="000000" w:themeColor="text1"/>
          <w:sz w:val="21"/>
          <w:szCs w:val="21"/>
        </w:rPr>
      </w:pPr>
      <w:r w:rsidRPr="007B4794">
        <w:rPr>
          <w:noProof/>
          <w:color w:val="000000" w:themeColor="text1"/>
        </w:rPr>
        <w:drawing>
          <wp:inline distT="0" distB="0" distL="0" distR="0" wp14:anchorId="238875FD" wp14:editId="75B93FBD">
            <wp:extent cx="5969479" cy="2613804"/>
            <wp:effectExtent l="0" t="0" r="12700" b="15240"/>
            <wp:docPr id="5165" name="图表 516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9835016" w14:textId="77777777" w:rsidR="00AE01CB" w:rsidRPr="007B4794" w:rsidRDefault="00AE01CB" w:rsidP="00AE01CB">
      <w:pPr>
        <w:adjustRightInd w:val="0"/>
        <w:snapToGrid w:val="0"/>
        <w:spacing w:line="480" w:lineRule="auto"/>
        <w:ind w:leftChars="-67" w:left="-20" w:hangingChars="94" w:hanging="141"/>
        <w:rPr>
          <w:rFonts w:ascii="华文细黑" w:eastAsia="华文细黑" w:hAnsi="华文细黑" w:cs="Arial"/>
          <w:color w:val="000000" w:themeColor="text1"/>
          <w:sz w:val="15"/>
          <w:szCs w:val="15"/>
        </w:rPr>
      </w:pPr>
      <w:r w:rsidRPr="007B4794">
        <w:rPr>
          <w:rFonts w:ascii="华文细黑" w:eastAsia="华文细黑" w:hAnsi="华文细黑" w:cs="Arial" w:hint="eastAsia"/>
          <w:color w:val="000000" w:themeColor="text1"/>
          <w:sz w:val="15"/>
          <w:szCs w:val="15"/>
        </w:rPr>
        <w:t>资料来源：</w:t>
      </w:r>
      <w:r w:rsidRPr="007B4794">
        <w:rPr>
          <w:rFonts w:ascii="Arial" w:eastAsia="华文细黑" w:hAnsi="Arial" w:cs="Arial"/>
          <w:color w:val="000000" w:themeColor="text1"/>
          <w:sz w:val="15"/>
          <w:szCs w:val="15"/>
        </w:rPr>
        <w:t>CREIS</w:t>
      </w:r>
      <w:r w:rsidRPr="007B4794">
        <w:rPr>
          <w:rFonts w:ascii="华文细黑" w:eastAsia="华文细黑" w:hAnsi="华文细黑" w:cs="Arial" w:hint="eastAsia"/>
          <w:color w:val="000000" w:themeColor="text1"/>
          <w:sz w:val="15"/>
          <w:szCs w:val="15"/>
        </w:rPr>
        <w:t>中指数据</w:t>
      </w:r>
    </w:p>
    <w:p w14:paraId="5DA41CF4" w14:textId="7E98D2E0" w:rsidR="00AE01CB" w:rsidRPr="007B4794" w:rsidRDefault="00AE01CB"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lastRenderedPageBreak/>
        <w:t>3</w:t>
      </w:r>
      <w:r w:rsidRPr="007B4794">
        <w:rPr>
          <w:rFonts w:ascii="Arial" w:hAnsi="Arial" w:cs="Arial" w:hint="eastAsia"/>
          <w:color w:val="000000" w:themeColor="text1"/>
          <w:sz w:val="21"/>
          <w:szCs w:val="21"/>
        </w:rPr>
        <w:t>、流拍</w:t>
      </w:r>
      <w:r w:rsidR="00013094" w:rsidRPr="007B4794">
        <w:rPr>
          <w:rFonts w:ascii="Arial" w:hAnsi="Arial" w:cs="Arial" w:hint="eastAsia"/>
          <w:color w:val="000000" w:themeColor="text1"/>
          <w:sz w:val="21"/>
          <w:szCs w:val="21"/>
        </w:rPr>
        <w:t>或未成交</w:t>
      </w:r>
      <w:r w:rsidRPr="007B4794">
        <w:rPr>
          <w:rFonts w:ascii="Arial" w:hAnsi="Arial" w:cs="Arial" w:hint="eastAsia"/>
          <w:color w:val="000000" w:themeColor="text1"/>
          <w:sz w:val="21"/>
          <w:szCs w:val="21"/>
        </w:rPr>
        <w:t>情况</w:t>
      </w:r>
    </w:p>
    <w:p w14:paraId="7BF7A8FC" w14:textId="0D697E0C" w:rsidR="00AE01CB" w:rsidRPr="007B4794" w:rsidRDefault="00AE01CB"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从近</w:t>
      </w:r>
      <w:r w:rsidR="00013094" w:rsidRPr="007B4794">
        <w:rPr>
          <w:rFonts w:ascii="Arial" w:hAnsi="Arial" w:cs="Arial" w:hint="eastAsia"/>
          <w:color w:val="000000" w:themeColor="text1"/>
          <w:sz w:val="21"/>
          <w:szCs w:val="21"/>
        </w:rPr>
        <w:t>3</w:t>
      </w:r>
      <w:r w:rsidRPr="007B4794">
        <w:rPr>
          <w:rFonts w:ascii="Arial" w:hAnsi="Arial" w:cs="Arial" w:hint="eastAsia"/>
          <w:color w:val="000000" w:themeColor="text1"/>
          <w:sz w:val="21"/>
          <w:szCs w:val="21"/>
        </w:rPr>
        <w:t>年</w:t>
      </w:r>
      <w:r w:rsidR="00013094" w:rsidRPr="007B4794">
        <w:rPr>
          <w:rFonts w:ascii="Arial" w:hAnsi="Arial" w:cs="Arial" w:hint="eastAsia"/>
          <w:color w:val="000000" w:themeColor="text1"/>
          <w:sz w:val="21"/>
          <w:szCs w:val="21"/>
        </w:rPr>
        <w:t>漳州</w:t>
      </w:r>
      <w:r w:rsidRPr="007B4794">
        <w:rPr>
          <w:rFonts w:ascii="Arial" w:hAnsi="Arial" w:cs="Arial" w:hint="eastAsia"/>
          <w:color w:val="000000" w:themeColor="text1"/>
          <w:sz w:val="21"/>
          <w:szCs w:val="21"/>
        </w:rPr>
        <w:t>市住宅用地流拍情况来看</w:t>
      </w:r>
      <w:r w:rsidRPr="007B4794">
        <w:rPr>
          <w:rFonts w:ascii="Arial" w:hAnsi="Arial" w:cs="Arial"/>
          <w:color w:val="000000" w:themeColor="text1"/>
          <w:sz w:val="21"/>
          <w:szCs w:val="21"/>
        </w:rPr>
        <w:t>，</w:t>
      </w:r>
      <w:r w:rsidRPr="007B4794">
        <w:rPr>
          <w:rFonts w:ascii="Arial" w:hAnsi="Arial" w:cs="Arial" w:hint="eastAsia"/>
          <w:color w:val="000000" w:themeColor="text1"/>
          <w:sz w:val="21"/>
          <w:szCs w:val="21"/>
        </w:rPr>
        <w:t>201</w:t>
      </w:r>
      <w:r w:rsidR="00110C2E" w:rsidRPr="007B4794">
        <w:rPr>
          <w:rFonts w:ascii="Arial" w:hAnsi="Arial" w:cs="Arial" w:hint="eastAsia"/>
          <w:color w:val="000000" w:themeColor="text1"/>
          <w:sz w:val="21"/>
          <w:szCs w:val="21"/>
        </w:rPr>
        <w:t>7</w:t>
      </w:r>
      <w:r w:rsidRPr="007B4794">
        <w:rPr>
          <w:rFonts w:ascii="Arial" w:hAnsi="Arial" w:cs="Arial" w:hint="eastAsia"/>
          <w:color w:val="000000" w:themeColor="text1"/>
          <w:sz w:val="21"/>
          <w:szCs w:val="21"/>
        </w:rPr>
        <w:t>-201</w:t>
      </w:r>
      <w:r w:rsidR="00110C2E" w:rsidRPr="007B4794">
        <w:rPr>
          <w:rFonts w:ascii="Arial" w:hAnsi="Arial" w:cs="Arial" w:hint="eastAsia"/>
          <w:color w:val="000000" w:themeColor="text1"/>
          <w:sz w:val="21"/>
          <w:szCs w:val="21"/>
        </w:rPr>
        <w:t>9</w:t>
      </w:r>
      <w:r w:rsidRPr="007B4794">
        <w:rPr>
          <w:rFonts w:ascii="Arial" w:hAnsi="Arial" w:cs="Arial" w:hint="eastAsia"/>
          <w:color w:val="000000" w:themeColor="text1"/>
          <w:sz w:val="21"/>
          <w:szCs w:val="21"/>
        </w:rPr>
        <w:t>年连续</w:t>
      </w:r>
      <w:r w:rsidRPr="007B4794">
        <w:rPr>
          <w:rFonts w:ascii="Arial" w:hAnsi="Arial" w:cs="Arial" w:hint="eastAsia"/>
          <w:color w:val="000000" w:themeColor="text1"/>
          <w:sz w:val="21"/>
          <w:szCs w:val="21"/>
        </w:rPr>
        <w:t>3</w:t>
      </w:r>
      <w:r w:rsidRPr="007B4794">
        <w:rPr>
          <w:rFonts w:ascii="Arial" w:hAnsi="Arial" w:cs="Arial" w:hint="eastAsia"/>
          <w:color w:val="000000" w:themeColor="text1"/>
          <w:sz w:val="21"/>
          <w:szCs w:val="21"/>
        </w:rPr>
        <w:t>年宅地流拍</w:t>
      </w:r>
      <w:r w:rsidR="00FE5188" w:rsidRPr="007B4794">
        <w:rPr>
          <w:rFonts w:ascii="Arial" w:hAnsi="Arial" w:cs="Arial" w:hint="eastAsia"/>
          <w:color w:val="000000" w:themeColor="text1"/>
          <w:sz w:val="21"/>
          <w:szCs w:val="21"/>
        </w:rPr>
        <w:t>或未成交</w:t>
      </w:r>
      <w:r w:rsidR="00110C2E" w:rsidRPr="007B4794">
        <w:rPr>
          <w:rFonts w:ascii="Arial" w:hAnsi="Arial" w:cs="Arial" w:hint="eastAsia"/>
          <w:color w:val="000000" w:themeColor="text1"/>
          <w:sz w:val="21"/>
          <w:szCs w:val="21"/>
        </w:rPr>
        <w:t>数量逐年递增</w:t>
      </w:r>
      <w:r w:rsidRPr="007B4794">
        <w:rPr>
          <w:rFonts w:ascii="Arial" w:hAnsi="Arial" w:cs="Arial" w:hint="eastAsia"/>
          <w:color w:val="000000" w:themeColor="text1"/>
          <w:sz w:val="21"/>
          <w:szCs w:val="21"/>
        </w:rPr>
        <w:t>。</w:t>
      </w:r>
      <w:r w:rsidR="00110C2E" w:rsidRPr="007B4794">
        <w:rPr>
          <w:rFonts w:ascii="Arial" w:hAnsi="Arial" w:cs="Arial" w:hint="eastAsia"/>
          <w:color w:val="000000" w:themeColor="text1"/>
          <w:sz w:val="21"/>
          <w:szCs w:val="21"/>
        </w:rPr>
        <w:t>2019</w:t>
      </w:r>
      <w:r w:rsidRPr="007B4794">
        <w:rPr>
          <w:rFonts w:ascii="Arial" w:hAnsi="Arial" w:cs="Arial" w:hint="eastAsia"/>
          <w:color w:val="000000" w:themeColor="text1"/>
          <w:sz w:val="21"/>
          <w:szCs w:val="21"/>
        </w:rPr>
        <w:t>年出现</w:t>
      </w:r>
      <w:r w:rsidR="00FE5188" w:rsidRPr="007B4794">
        <w:rPr>
          <w:rFonts w:ascii="Arial" w:hAnsi="Arial" w:cs="Arial" w:hint="eastAsia"/>
          <w:color w:val="000000" w:themeColor="text1"/>
          <w:sz w:val="21"/>
          <w:szCs w:val="21"/>
        </w:rPr>
        <w:t>流拍或未成交</w:t>
      </w:r>
      <w:r w:rsidRPr="007B4794">
        <w:rPr>
          <w:rFonts w:ascii="Arial" w:hAnsi="Arial" w:cs="Arial" w:hint="eastAsia"/>
          <w:color w:val="000000" w:themeColor="text1"/>
          <w:sz w:val="21"/>
          <w:szCs w:val="21"/>
        </w:rPr>
        <w:t>地块较多，全年宅地</w:t>
      </w:r>
      <w:r w:rsidR="00FE5188" w:rsidRPr="007B4794">
        <w:rPr>
          <w:rFonts w:ascii="Arial" w:hAnsi="Arial" w:cs="Arial" w:hint="eastAsia"/>
          <w:color w:val="000000" w:themeColor="text1"/>
          <w:sz w:val="21"/>
          <w:szCs w:val="21"/>
        </w:rPr>
        <w:t>流拍或未成交</w:t>
      </w:r>
      <w:r w:rsidRPr="007B4794">
        <w:rPr>
          <w:rFonts w:ascii="Arial" w:hAnsi="Arial" w:cs="Arial" w:hint="eastAsia"/>
          <w:color w:val="000000" w:themeColor="text1"/>
          <w:sz w:val="21"/>
          <w:szCs w:val="21"/>
        </w:rPr>
        <w:t>达到</w:t>
      </w:r>
      <w:r w:rsidRPr="007B4794">
        <w:rPr>
          <w:rFonts w:ascii="Arial" w:hAnsi="Arial" w:cs="Arial" w:hint="eastAsia"/>
          <w:color w:val="000000" w:themeColor="text1"/>
          <w:sz w:val="21"/>
          <w:szCs w:val="21"/>
        </w:rPr>
        <w:t>1</w:t>
      </w:r>
      <w:r w:rsidR="00110C2E" w:rsidRPr="007B4794">
        <w:rPr>
          <w:rFonts w:ascii="Arial" w:hAnsi="Arial" w:cs="Arial" w:hint="eastAsia"/>
          <w:color w:val="000000" w:themeColor="text1"/>
          <w:sz w:val="21"/>
          <w:szCs w:val="21"/>
        </w:rPr>
        <w:t>9</w:t>
      </w:r>
      <w:r w:rsidRPr="007B4794">
        <w:rPr>
          <w:rFonts w:ascii="Arial" w:hAnsi="Arial" w:cs="Arial" w:hint="eastAsia"/>
          <w:color w:val="000000" w:themeColor="text1"/>
          <w:sz w:val="21"/>
          <w:szCs w:val="21"/>
        </w:rPr>
        <w:t>宗，</w:t>
      </w:r>
      <w:r w:rsidR="00110C2E" w:rsidRPr="007B4794">
        <w:rPr>
          <w:rFonts w:ascii="Arial" w:hAnsi="Arial" w:cs="Arial" w:hint="eastAsia"/>
          <w:color w:val="000000" w:themeColor="text1"/>
          <w:sz w:val="21"/>
          <w:szCs w:val="21"/>
        </w:rPr>
        <w:t>2020</w:t>
      </w:r>
      <w:r w:rsidR="00110C2E" w:rsidRPr="007B4794">
        <w:rPr>
          <w:rFonts w:ascii="Arial" w:hAnsi="Arial" w:cs="Arial" w:hint="eastAsia"/>
          <w:color w:val="000000" w:themeColor="text1"/>
          <w:sz w:val="21"/>
          <w:szCs w:val="21"/>
        </w:rPr>
        <w:t>年</w:t>
      </w:r>
      <w:r w:rsidRPr="007B4794">
        <w:rPr>
          <w:rFonts w:ascii="Arial" w:hAnsi="Arial" w:cs="Arial" w:hint="eastAsia"/>
          <w:color w:val="000000" w:themeColor="text1"/>
          <w:sz w:val="21"/>
          <w:szCs w:val="21"/>
        </w:rPr>
        <w:t>截至</w:t>
      </w:r>
      <w:r w:rsidR="00110C2E" w:rsidRPr="007B4794">
        <w:rPr>
          <w:rFonts w:ascii="Arial" w:hAnsi="Arial" w:cs="Arial" w:hint="eastAsia"/>
          <w:color w:val="000000" w:themeColor="text1"/>
          <w:sz w:val="21"/>
          <w:szCs w:val="21"/>
        </w:rPr>
        <w:t>10</w:t>
      </w:r>
      <w:r w:rsidR="00110C2E" w:rsidRPr="007B4794">
        <w:rPr>
          <w:rFonts w:ascii="Arial" w:hAnsi="Arial" w:cs="Arial" w:hint="eastAsia"/>
          <w:color w:val="000000" w:themeColor="text1"/>
          <w:sz w:val="21"/>
          <w:szCs w:val="21"/>
        </w:rPr>
        <w:t>月</w:t>
      </w:r>
      <w:r w:rsidRPr="007B4794">
        <w:rPr>
          <w:rFonts w:ascii="Arial" w:hAnsi="Arial" w:cs="Arial" w:hint="eastAsia"/>
          <w:color w:val="000000" w:themeColor="text1"/>
          <w:sz w:val="21"/>
          <w:szCs w:val="21"/>
        </w:rPr>
        <w:t>，本年度出现</w:t>
      </w:r>
      <w:r w:rsidR="00FE5188" w:rsidRPr="007B4794">
        <w:rPr>
          <w:rFonts w:ascii="Arial" w:hAnsi="Arial" w:cs="Arial" w:hint="eastAsia"/>
          <w:color w:val="000000" w:themeColor="text1"/>
          <w:sz w:val="21"/>
          <w:szCs w:val="21"/>
        </w:rPr>
        <w:t>流拍或未成交</w:t>
      </w:r>
      <w:r w:rsidRPr="007B4794">
        <w:rPr>
          <w:rFonts w:ascii="Arial" w:hAnsi="Arial" w:cs="Arial" w:hint="eastAsia"/>
          <w:color w:val="000000" w:themeColor="text1"/>
          <w:sz w:val="21"/>
          <w:szCs w:val="21"/>
        </w:rPr>
        <w:t>住宅用地</w:t>
      </w:r>
      <w:r w:rsidR="00110C2E" w:rsidRPr="007B4794">
        <w:rPr>
          <w:rFonts w:ascii="Arial" w:hAnsi="Arial" w:cs="Arial" w:hint="eastAsia"/>
          <w:color w:val="000000" w:themeColor="text1"/>
          <w:sz w:val="21"/>
          <w:szCs w:val="21"/>
        </w:rPr>
        <w:t>16</w:t>
      </w:r>
      <w:r w:rsidRPr="007B4794">
        <w:rPr>
          <w:rFonts w:ascii="Arial" w:hAnsi="Arial" w:cs="Arial" w:hint="eastAsia"/>
          <w:color w:val="000000" w:themeColor="text1"/>
          <w:sz w:val="21"/>
          <w:szCs w:val="21"/>
        </w:rPr>
        <w:t>宗。</w:t>
      </w:r>
    </w:p>
    <w:p w14:paraId="78C14AED" w14:textId="6494CFCB" w:rsidR="00110C2E" w:rsidRPr="007B4794" w:rsidRDefault="00110C2E" w:rsidP="00110C2E">
      <w:pPr>
        <w:widowControl w:val="0"/>
        <w:adjustRightInd w:val="0"/>
        <w:snapToGrid w:val="0"/>
        <w:spacing w:line="480" w:lineRule="auto"/>
        <w:ind w:firstLineChars="200" w:firstLine="480"/>
        <w:jc w:val="both"/>
        <w:rPr>
          <w:rFonts w:ascii="Arial" w:hAnsi="Arial" w:cs="Arial"/>
          <w:color w:val="000000" w:themeColor="text1"/>
          <w:sz w:val="21"/>
          <w:szCs w:val="21"/>
        </w:rPr>
      </w:pPr>
      <w:r w:rsidRPr="007B4794">
        <w:rPr>
          <w:noProof/>
          <w:color w:val="000000" w:themeColor="text1"/>
        </w:rPr>
        <w:drawing>
          <wp:inline distT="0" distB="0" distL="0" distR="0" wp14:anchorId="3BF498F4" wp14:editId="7ECAA410">
            <wp:extent cx="5391150" cy="2505075"/>
            <wp:effectExtent l="0" t="0" r="19050" b="9525"/>
            <wp:docPr id="5167" name="图表 516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CFCC99D" w14:textId="77777777" w:rsidR="00110C2E" w:rsidRPr="007B4794" w:rsidRDefault="00110C2E" w:rsidP="00110C2E">
      <w:pPr>
        <w:adjustRightInd w:val="0"/>
        <w:snapToGrid w:val="0"/>
        <w:spacing w:line="480" w:lineRule="auto"/>
        <w:ind w:leftChars="-67" w:left="-20" w:hangingChars="94" w:hanging="141"/>
        <w:rPr>
          <w:rFonts w:ascii="华文细黑" w:eastAsia="华文细黑" w:hAnsi="华文细黑" w:cs="Arial"/>
          <w:color w:val="000000" w:themeColor="text1"/>
          <w:sz w:val="15"/>
          <w:szCs w:val="15"/>
        </w:rPr>
      </w:pPr>
      <w:r w:rsidRPr="007B4794">
        <w:rPr>
          <w:rFonts w:ascii="华文细黑" w:eastAsia="华文细黑" w:hAnsi="华文细黑" w:cs="Arial" w:hint="eastAsia"/>
          <w:color w:val="000000" w:themeColor="text1"/>
          <w:sz w:val="15"/>
          <w:szCs w:val="15"/>
        </w:rPr>
        <w:t>资料来源：</w:t>
      </w:r>
      <w:r w:rsidRPr="007B4794">
        <w:rPr>
          <w:rFonts w:ascii="Arial" w:eastAsia="华文细黑" w:hAnsi="Arial" w:cs="Arial"/>
          <w:color w:val="000000" w:themeColor="text1"/>
          <w:sz w:val="15"/>
          <w:szCs w:val="15"/>
        </w:rPr>
        <w:t>CREIS</w:t>
      </w:r>
      <w:r w:rsidRPr="007B4794">
        <w:rPr>
          <w:rFonts w:ascii="华文细黑" w:eastAsia="华文细黑" w:hAnsi="华文细黑" w:cs="Arial" w:hint="eastAsia"/>
          <w:color w:val="000000" w:themeColor="text1"/>
          <w:sz w:val="15"/>
          <w:szCs w:val="15"/>
        </w:rPr>
        <w:t>中指数据</w:t>
      </w:r>
    </w:p>
    <w:p w14:paraId="671ABE69" w14:textId="4A041E5D" w:rsidR="00AE01CB" w:rsidRPr="007B4794" w:rsidRDefault="00AE01CB"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从分布区域上看，近一年</w:t>
      </w:r>
      <w:r w:rsidR="001B2550" w:rsidRPr="007B4794">
        <w:rPr>
          <w:rFonts w:ascii="Arial" w:hAnsi="Arial" w:cs="Arial" w:hint="eastAsia"/>
          <w:color w:val="000000" w:themeColor="text1"/>
          <w:sz w:val="21"/>
          <w:szCs w:val="21"/>
        </w:rPr>
        <w:t>10</w:t>
      </w:r>
      <w:r w:rsidR="001B2550" w:rsidRPr="007B4794">
        <w:rPr>
          <w:rFonts w:ascii="Arial" w:hAnsi="Arial" w:cs="Arial" w:hint="eastAsia"/>
          <w:color w:val="000000" w:themeColor="text1"/>
          <w:sz w:val="21"/>
          <w:szCs w:val="21"/>
        </w:rPr>
        <w:t>个月</w:t>
      </w:r>
      <w:r w:rsidR="00FE5188" w:rsidRPr="007B4794">
        <w:rPr>
          <w:rFonts w:ascii="Arial" w:hAnsi="Arial" w:cs="Arial" w:hint="eastAsia"/>
          <w:color w:val="000000" w:themeColor="text1"/>
          <w:sz w:val="21"/>
          <w:szCs w:val="21"/>
        </w:rPr>
        <w:t>流拍或未成交</w:t>
      </w:r>
      <w:r w:rsidRPr="007B4794">
        <w:rPr>
          <w:rFonts w:ascii="Arial" w:hAnsi="Arial" w:cs="Arial" w:hint="eastAsia"/>
          <w:color w:val="000000" w:themeColor="text1"/>
          <w:sz w:val="21"/>
          <w:szCs w:val="21"/>
        </w:rPr>
        <w:t>地块</w:t>
      </w:r>
      <w:r w:rsidR="001B2550" w:rsidRPr="007B4794">
        <w:rPr>
          <w:rFonts w:ascii="Arial" w:hAnsi="Arial" w:cs="Arial" w:hint="eastAsia"/>
          <w:color w:val="000000" w:themeColor="text1"/>
          <w:sz w:val="21"/>
          <w:szCs w:val="21"/>
        </w:rPr>
        <w:t>主要</w:t>
      </w:r>
      <w:r w:rsidRPr="007B4794">
        <w:rPr>
          <w:rFonts w:ascii="Arial" w:hAnsi="Arial" w:cs="Arial" w:hint="eastAsia"/>
          <w:color w:val="000000" w:themeColor="text1"/>
          <w:sz w:val="21"/>
          <w:szCs w:val="21"/>
        </w:rPr>
        <w:t>出现在</w:t>
      </w:r>
      <w:r w:rsidR="001B2550" w:rsidRPr="007B4794">
        <w:rPr>
          <w:rFonts w:ascii="Arial" w:hAnsi="Arial" w:cs="Arial" w:hint="eastAsia"/>
          <w:color w:val="000000" w:themeColor="text1"/>
          <w:sz w:val="21"/>
          <w:szCs w:val="21"/>
        </w:rPr>
        <w:t>漳浦县、龙海市、茅城区、长泰县</w:t>
      </w:r>
      <w:r w:rsidRPr="007B4794">
        <w:rPr>
          <w:rFonts w:ascii="Arial" w:hAnsi="Arial" w:cs="Arial" w:hint="eastAsia"/>
          <w:color w:val="000000" w:themeColor="text1"/>
          <w:sz w:val="21"/>
          <w:szCs w:val="21"/>
        </w:rPr>
        <w:t>以及</w:t>
      </w:r>
      <w:r w:rsidR="001B2550" w:rsidRPr="007B4794">
        <w:rPr>
          <w:rFonts w:ascii="Arial" w:hAnsi="Arial" w:cs="Arial" w:hint="eastAsia"/>
          <w:color w:val="000000" w:themeColor="text1"/>
          <w:sz w:val="21"/>
          <w:szCs w:val="21"/>
        </w:rPr>
        <w:t>云霄县</w:t>
      </w:r>
      <w:r w:rsidRPr="007B4794">
        <w:rPr>
          <w:rFonts w:ascii="Arial" w:hAnsi="Arial" w:cs="Arial" w:hint="eastAsia"/>
          <w:color w:val="000000" w:themeColor="text1"/>
          <w:sz w:val="21"/>
          <w:szCs w:val="21"/>
        </w:rPr>
        <w:t>。在近年来金融管控从严、房地产调控政策保持收紧的大环境下，融资成本增加，囤地套现模式无法继续，更多的房企对于非优质地块的拿地积极性明显降低，拿地策略愈趋理性。</w:t>
      </w:r>
    </w:p>
    <w:p w14:paraId="12632F9A" w14:textId="5A308A91" w:rsidR="00110C2E" w:rsidRPr="007B4794" w:rsidRDefault="00110C2E" w:rsidP="00110C2E">
      <w:pPr>
        <w:widowControl w:val="0"/>
        <w:adjustRightInd w:val="0"/>
        <w:snapToGrid w:val="0"/>
        <w:spacing w:line="480" w:lineRule="auto"/>
        <w:jc w:val="both"/>
        <w:rPr>
          <w:rFonts w:ascii="Arial" w:hAnsi="Arial" w:cs="Arial"/>
          <w:color w:val="000000" w:themeColor="text1"/>
          <w:sz w:val="21"/>
          <w:szCs w:val="21"/>
        </w:rPr>
      </w:pPr>
      <w:r w:rsidRPr="007B4794">
        <w:rPr>
          <w:noProof/>
          <w:color w:val="000000" w:themeColor="text1"/>
        </w:rPr>
        <w:drawing>
          <wp:inline distT="0" distB="0" distL="0" distR="0" wp14:anchorId="1340B146" wp14:editId="5F77C2FB">
            <wp:extent cx="5924550" cy="2209800"/>
            <wp:effectExtent l="0" t="0" r="19050" b="19050"/>
            <wp:docPr id="5177" name="图表 517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99885F5" w14:textId="77777777" w:rsidR="00AE01CB" w:rsidRPr="007B4794" w:rsidRDefault="00AE01CB" w:rsidP="00AE01CB">
      <w:pPr>
        <w:adjustRightInd w:val="0"/>
        <w:snapToGrid w:val="0"/>
        <w:spacing w:line="480" w:lineRule="auto"/>
        <w:rPr>
          <w:rFonts w:ascii="华文细黑" w:eastAsia="华文细黑" w:hAnsi="华文细黑" w:cs="Arial"/>
          <w:color w:val="000000" w:themeColor="text1"/>
          <w:sz w:val="15"/>
          <w:szCs w:val="15"/>
        </w:rPr>
      </w:pPr>
      <w:r w:rsidRPr="007B4794">
        <w:rPr>
          <w:rFonts w:ascii="华文细黑" w:eastAsia="华文细黑" w:hAnsi="华文细黑" w:cs="Arial" w:hint="eastAsia"/>
          <w:color w:val="000000" w:themeColor="text1"/>
          <w:sz w:val="15"/>
          <w:szCs w:val="15"/>
        </w:rPr>
        <w:t>资料来源：</w:t>
      </w:r>
      <w:r w:rsidRPr="007B4794">
        <w:rPr>
          <w:rFonts w:ascii="Arial" w:eastAsia="华文细黑" w:hAnsi="Arial" w:cs="Arial"/>
          <w:color w:val="000000" w:themeColor="text1"/>
          <w:sz w:val="15"/>
          <w:szCs w:val="15"/>
        </w:rPr>
        <w:t>CREIS</w:t>
      </w:r>
      <w:r w:rsidRPr="007B4794">
        <w:rPr>
          <w:rFonts w:ascii="华文细黑" w:eastAsia="华文细黑" w:hAnsi="华文细黑" w:cs="Arial" w:hint="eastAsia"/>
          <w:color w:val="000000" w:themeColor="text1"/>
          <w:sz w:val="15"/>
          <w:szCs w:val="15"/>
        </w:rPr>
        <w:t>中指数据</w:t>
      </w:r>
    </w:p>
    <w:p w14:paraId="0268E8F1" w14:textId="77777777" w:rsidR="0041327D" w:rsidRPr="007B4794" w:rsidRDefault="0041327D" w:rsidP="00AE01CB">
      <w:pPr>
        <w:adjustRightInd w:val="0"/>
        <w:snapToGrid w:val="0"/>
        <w:spacing w:line="480" w:lineRule="auto"/>
        <w:rPr>
          <w:rFonts w:ascii="华文细黑" w:eastAsia="华文细黑" w:hAnsi="华文细黑" w:cs="Arial"/>
          <w:color w:val="000000" w:themeColor="text1"/>
          <w:sz w:val="15"/>
          <w:szCs w:val="15"/>
        </w:rPr>
      </w:pPr>
    </w:p>
    <w:p w14:paraId="5B57DC26" w14:textId="3ADEE41D" w:rsidR="00AE01CB" w:rsidRPr="007B4794" w:rsidRDefault="009A214A" w:rsidP="00AE01CB">
      <w:pPr>
        <w:widowControl w:val="0"/>
        <w:adjustRightInd w:val="0"/>
        <w:snapToGrid w:val="0"/>
        <w:spacing w:line="480" w:lineRule="auto"/>
        <w:jc w:val="both"/>
        <w:rPr>
          <w:rFonts w:ascii="Arial" w:hAnsi="Arial" w:cs="Arial"/>
          <w:color w:val="000000" w:themeColor="text1"/>
          <w:sz w:val="21"/>
          <w:szCs w:val="21"/>
        </w:rPr>
      </w:pPr>
      <w:r w:rsidRPr="007B4794">
        <w:rPr>
          <w:rFonts w:ascii="Arial" w:hAnsi="Arial" w:cs="Arial" w:hint="eastAsia"/>
          <w:color w:val="000000" w:themeColor="text1"/>
          <w:sz w:val="21"/>
          <w:szCs w:val="21"/>
        </w:rPr>
        <w:t>其中</w:t>
      </w:r>
      <w:r w:rsidR="001B2550" w:rsidRPr="007B4794">
        <w:rPr>
          <w:rFonts w:ascii="Arial" w:hAnsi="Arial" w:cs="Arial" w:hint="eastAsia"/>
          <w:color w:val="000000" w:themeColor="text1"/>
          <w:sz w:val="21"/>
          <w:szCs w:val="21"/>
        </w:rPr>
        <w:t>龙海市</w:t>
      </w:r>
      <w:r w:rsidR="00FE5188" w:rsidRPr="007B4794">
        <w:rPr>
          <w:rFonts w:ascii="Arial" w:hAnsi="Arial" w:cs="Arial" w:hint="eastAsia"/>
          <w:color w:val="000000" w:themeColor="text1"/>
          <w:sz w:val="21"/>
          <w:szCs w:val="21"/>
        </w:rPr>
        <w:t>流拍或未成交</w:t>
      </w:r>
      <w:r w:rsidR="00AE01CB" w:rsidRPr="007B4794">
        <w:rPr>
          <w:rFonts w:ascii="Arial" w:hAnsi="Arial" w:cs="Arial" w:hint="eastAsia"/>
          <w:color w:val="000000" w:themeColor="text1"/>
          <w:sz w:val="21"/>
          <w:szCs w:val="21"/>
        </w:rPr>
        <w:t>地块</w:t>
      </w:r>
      <w:r w:rsidR="00AE01CB" w:rsidRPr="007B4794">
        <w:rPr>
          <w:rFonts w:ascii="Arial" w:hAnsi="Arial" w:cs="Arial"/>
          <w:color w:val="000000" w:themeColor="text1"/>
          <w:sz w:val="21"/>
          <w:szCs w:val="21"/>
        </w:rPr>
        <w:t>详细情况如下：</w:t>
      </w:r>
    </w:p>
    <w:tbl>
      <w:tblPr>
        <w:tblW w:w="5000" w:type="pct"/>
        <w:tblLayout w:type="fixed"/>
        <w:tblLook w:val="04A0" w:firstRow="1" w:lastRow="0" w:firstColumn="1" w:lastColumn="0" w:noHBand="0" w:noVBand="1"/>
      </w:tblPr>
      <w:tblGrid>
        <w:gridCol w:w="1365"/>
        <w:gridCol w:w="1433"/>
        <w:gridCol w:w="1134"/>
        <w:gridCol w:w="1418"/>
        <w:gridCol w:w="1418"/>
        <w:gridCol w:w="1134"/>
        <w:gridCol w:w="710"/>
        <w:gridCol w:w="902"/>
      </w:tblGrid>
      <w:tr w:rsidR="00B536A4" w:rsidRPr="007B4794" w14:paraId="26A72BFD" w14:textId="77777777" w:rsidTr="00B536A4">
        <w:trPr>
          <w:trHeight w:val="300"/>
        </w:trPr>
        <w:tc>
          <w:tcPr>
            <w:tcW w:w="718" w:type="pct"/>
            <w:tcBorders>
              <w:top w:val="single" w:sz="12" w:space="0" w:color="auto"/>
              <w:left w:val="nil"/>
              <w:bottom w:val="single" w:sz="12" w:space="0" w:color="auto"/>
              <w:right w:val="nil"/>
            </w:tcBorders>
            <w:shd w:val="clear" w:color="auto" w:fill="auto"/>
            <w:noWrap/>
            <w:vAlign w:val="center"/>
            <w:hideMark/>
          </w:tcPr>
          <w:p w14:paraId="1200294C" w14:textId="77777777" w:rsidR="00FE5188" w:rsidRPr="007B4794" w:rsidRDefault="00FE5188">
            <w:pPr>
              <w:jc w:val="both"/>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18"/>
                <w:szCs w:val="18"/>
              </w:rPr>
              <w:lastRenderedPageBreak/>
              <w:t>地块名称</w:t>
            </w:r>
          </w:p>
        </w:tc>
        <w:tc>
          <w:tcPr>
            <w:tcW w:w="753" w:type="pct"/>
            <w:tcBorders>
              <w:top w:val="single" w:sz="12" w:space="0" w:color="auto"/>
              <w:left w:val="nil"/>
              <w:bottom w:val="single" w:sz="12" w:space="0" w:color="auto"/>
              <w:right w:val="nil"/>
            </w:tcBorders>
            <w:shd w:val="clear" w:color="auto" w:fill="auto"/>
            <w:noWrap/>
            <w:vAlign w:val="center"/>
            <w:hideMark/>
          </w:tcPr>
          <w:p w14:paraId="2B3D0BE6" w14:textId="77777777" w:rsidR="00FE5188" w:rsidRPr="007B4794" w:rsidRDefault="00FE5188">
            <w:pPr>
              <w:jc w:val="both"/>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18"/>
                <w:szCs w:val="18"/>
              </w:rPr>
              <w:t>用地性质</w:t>
            </w:r>
          </w:p>
        </w:tc>
        <w:tc>
          <w:tcPr>
            <w:tcW w:w="596" w:type="pct"/>
            <w:tcBorders>
              <w:top w:val="single" w:sz="12" w:space="0" w:color="auto"/>
              <w:left w:val="nil"/>
              <w:bottom w:val="single" w:sz="12" w:space="0" w:color="auto"/>
              <w:right w:val="nil"/>
            </w:tcBorders>
            <w:shd w:val="clear" w:color="auto" w:fill="auto"/>
            <w:noWrap/>
            <w:vAlign w:val="center"/>
            <w:hideMark/>
          </w:tcPr>
          <w:p w14:paraId="5FFE2E60" w14:textId="77777777" w:rsidR="00FE5188" w:rsidRPr="007B4794" w:rsidRDefault="00FE5188">
            <w:pPr>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18"/>
                <w:szCs w:val="18"/>
              </w:rPr>
              <w:t>区县</w:t>
            </w:r>
          </w:p>
        </w:tc>
        <w:tc>
          <w:tcPr>
            <w:tcW w:w="745" w:type="pct"/>
            <w:tcBorders>
              <w:top w:val="single" w:sz="12" w:space="0" w:color="auto"/>
              <w:left w:val="nil"/>
              <w:bottom w:val="single" w:sz="12" w:space="0" w:color="auto"/>
              <w:right w:val="nil"/>
            </w:tcBorders>
            <w:shd w:val="clear" w:color="auto" w:fill="auto"/>
            <w:noWrap/>
            <w:vAlign w:val="center"/>
            <w:hideMark/>
          </w:tcPr>
          <w:p w14:paraId="3545FF14" w14:textId="77777777" w:rsidR="00FE5188" w:rsidRPr="007B4794" w:rsidRDefault="00FE5188">
            <w:pPr>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18"/>
                <w:szCs w:val="18"/>
              </w:rPr>
              <w:t>建设用地面积</w:t>
            </w:r>
          </w:p>
        </w:tc>
        <w:tc>
          <w:tcPr>
            <w:tcW w:w="745" w:type="pct"/>
            <w:tcBorders>
              <w:top w:val="single" w:sz="12" w:space="0" w:color="auto"/>
              <w:left w:val="nil"/>
              <w:bottom w:val="single" w:sz="12" w:space="0" w:color="auto"/>
              <w:right w:val="nil"/>
            </w:tcBorders>
            <w:shd w:val="clear" w:color="auto" w:fill="auto"/>
            <w:noWrap/>
            <w:vAlign w:val="center"/>
            <w:hideMark/>
          </w:tcPr>
          <w:p w14:paraId="595772D0" w14:textId="77777777" w:rsidR="00FE5188" w:rsidRPr="007B4794" w:rsidRDefault="00FE5188">
            <w:pPr>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18"/>
                <w:szCs w:val="18"/>
              </w:rPr>
              <w:t>容积率</w:t>
            </w:r>
          </w:p>
        </w:tc>
        <w:tc>
          <w:tcPr>
            <w:tcW w:w="596" w:type="pct"/>
            <w:tcBorders>
              <w:top w:val="single" w:sz="12" w:space="0" w:color="auto"/>
              <w:left w:val="nil"/>
              <w:bottom w:val="single" w:sz="12" w:space="0" w:color="auto"/>
              <w:right w:val="nil"/>
            </w:tcBorders>
            <w:shd w:val="clear" w:color="auto" w:fill="auto"/>
            <w:noWrap/>
            <w:vAlign w:val="center"/>
            <w:hideMark/>
          </w:tcPr>
          <w:p w14:paraId="0ADC7985" w14:textId="77777777" w:rsidR="00FE5188" w:rsidRPr="007B4794" w:rsidRDefault="00FE5188">
            <w:pPr>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18"/>
                <w:szCs w:val="18"/>
              </w:rPr>
              <w:t>公告时间</w:t>
            </w:r>
          </w:p>
        </w:tc>
        <w:tc>
          <w:tcPr>
            <w:tcW w:w="373" w:type="pct"/>
            <w:tcBorders>
              <w:top w:val="single" w:sz="12" w:space="0" w:color="auto"/>
              <w:left w:val="nil"/>
              <w:bottom w:val="single" w:sz="12" w:space="0" w:color="auto"/>
              <w:right w:val="nil"/>
            </w:tcBorders>
            <w:shd w:val="clear" w:color="auto" w:fill="auto"/>
            <w:noWrap/>
            <w:vAlign w:val="center"/>
            <w:hideMark/>
          </w:tcPr>
          <w:p w14:paraId="472EA2A1" w14:textId="77777777" w:rsidR="00FE5188" w:rsidRPr="007B4794" w:rsidRDefault="00FE5188">
            <w:pPr>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18"/>
                <w:szCs w:val="18"/>
              </w:rPr>
              <w:t>起始价</w:t>
            </w:r>
          </w:p>
        </w:tc>
        <w:tc>
          <w:tcPr>
            <w:tcW w:w="474" w:type="pct"/>
            <w:tcBorders>
              <w:top w:val="single" w:sz="12" w:space="0" w:color="auto"/>
              <w:left w:val="nil"/>
              <w:bottom w:val="single" w:sz="12" w:space="0" w:color="auto"/>
              <w:right w:val="nil"/>
            </w:tcBorders>
            <w:shd w:val="clear" w:color="auto" w:fill="auto"/>
            <w:noWrap/>
            <w:vAlign w:val="center"/>
            <w:hideMark/>
          </w:tcPr>
          <w:p w14:paraId="6321E6FC" w14:textId="77777777" w:rsidR="00FE5188" w:rsidRPr="007B4794" w:rsidRDefault="00FE5188">
            <w:pPr>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18"/>
                <w:szCs w:val="18"/>
              </w:rPr>
              <w:t>推出楼面价</w:t>
            </w:r>
          </w:p>
        </w:tc>
      </w:tr>
      <w:tr w:rsidR="00FE5188" w:rsidRPr="007B4794" w14:paraId="5BF56FF9" w14:textId="77777777" w:rsidTr="00B536A4">
        <w:trPr>
          <w:trHeight w:val="780"/>
        </w:trPr>
        <w:tc>
          <w:tcPr>
            <w:tcW w:w="718" w:type="pct"/>
            <w:tcBorders>
              <w:top w:val="nil"/>
              <w:left w:val="nil"/>
              <w:bottom w:val="nil"/>
              <w:right w:val="nil"/>
            </w:tcBorders>
            <w:shd w:val="clear" w:color="auto" w:fill="auto"/>
            <w:noWrap/>
            <w:vAlign w:val="center"/>
            <w:hideMark/>
          </w:tcPr>
          <w:p w14:paraId="764F4599" w14:textId="77777777" w:rsidR="00FE5188" w:rsidRPr="007B4794" w:rsidRDefault="00FE5188">
            <w:pPr>
              <w:jc w:val="both"/>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18"/>
                <w:szCs w:val="18"/>
              </w:rPr>
              <w:t>324国道以东、规划社头中路以南</w:t>
            </w:r>
          </w:p>
        </w:tc>
        <w:tc>
          <w:tcPr>
            <w:tcW w:w="753" w:type="pct"/>
            <w:tcBorders>
              <w:top w:val="nil"/>
              <w:left w:val="nil"/>
              <w:bottom w:val="nil"/>
              <w:right w:val="nil"/>
            </w:tcBorders>
            <w:shd w:val="clear" w:color="auto" w:fill="auto"/>
            <w:noWrap/>
            <w:vAlign w:val="center"/>
            <w:hideMark/>
          </w:tcPr>
          <w:p w14:paraId="5A2E03BA" w14:textId="77777777" w:rsidR="00FE5188" w:rsidRPr="007B4794" w:rsidRDefault="00FE5188">
            <w:pPr>
              <w:jc w:val="both"/>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18"/>
                <w:szCs w:val="18"/>
              </w:rPr>
              <w:t>商住用地</w:t>
            </w:r>
          </w:p>
        </w:tc>
        <w:tc>
          <w:tcPr>
            <w:tcW w:w="596" w:type="pct"/>
            <w:tcBorders>
              <w:top w:val="nil"/>
              <w:left w:val="nil"/>
              <w:bottom w:val="nil"/>
              <w:right w:val="nil"/>
            </w:tcBorders>
            <w:shd w:val="clear" w:color="auto" w:fill="auto"/>
            <w:noWrap/>
            <w:vAlign w:val="center"/>
            <w:hideMark/>
          </w:tcPr>
          <w:p w14:paraId="3251EE3B"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角美镇</w:t>
            </w:r>
          </w:p>
        </w:tc>
        <w:tc>
          <w:tcPr>
            <w:tcW w:w="745" w:type="pct"/>
            <w:tcBorders>
              <w:top w:val="nil"/>
              <w:left w:val="nil"/>
              <w:bottom w:val="nil"/>
              <w:right w:val="nil"/>
            </w:tcBorders>
            <w:shd w:val="clear" w:color="auto" w:fill="auto"/>
            <w:noWrap/>
            <w:vAlign w:val="center"/>
            <w:hideMark/>
          </w:tcPr>
          <w:p w14:paraId="0C2D2A59"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43574</w:t>
            </w:r>
          </w:p>
        </w:tc>
        <w:tc>
          <w:tcPr>
            <w:tcW w:w="745" w:type="pct"/>
            <w:tcBorders>
              <w:top w:val="nil"/>
              <w:left w:val="nil"/>
              <w:bottom w:val="nil"/>
              <w:right w:val="nil"/>
            </w:tcBorders>
            <w:shd w:val="clear" w:color="auto" w:fill="auto"/>
            <w:noWrap/>
            <w:vAlign w:val="center"/>
            <w:hideMark/>
          </w:tcPr>
          <w:p w14:paraId="3BBE54CD"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w:t>
            </w:r>
            <w:r w:rsidRPr="007B4794">
              <w:rPr>
                <w:rFonts w:ascii="Arial" w:eastAsia="等线" w:hAnsi="Arial" w:cs="Arial"/>
                <w:color w:val="000000" w:themeColor="text1"/>
                <w:sz w:val="18"/>
                <w:szCs w:val="18"/>
              </w:rPr>
              <w:t>1.0,</w:t>
            </w:r>
            <w:r w:rsidRPr="007B4794">
              <w:rPr>
                <w:rFonts w:ascii="Arial" w:eastAsia="等线" w:hAnsi="Arial" w:cs="Arial"/>
                <w:color w:val="000000" w:themeColor="text1"/>
                <w:sz w:val="18"/>
                <w:szCs w:val="18"/>
              </w:rPr>
              <w:t>＜</w:t>
            </w:r>
            <w:r w:rsidRPr="007B4794">
              <w:rPr>
                <w:rFonts w:ascii="Arial" w:eastAsia="等线" w:hAnsi="Arial" w:cs="Arial"/>
                <w:color w:val="000000" w:themeColor="text1"/>
                <w:sz w:val="18"/>
                <w:szCs w:val="18"/>
              </w:rPr>
              <w:t>2.2</w:t>
            </w:r>
          </w:p>
        </w:tc>
        <w:tc>
          <w:tcPr>
            <w:tcW w:w="596" w:type="pct"/>
            <w:tcBorders>
              <w:top w:val="nil"/>
              <w:left w:val="nil"/>
              <w:bottom w:val="nil"/>
              <w:right w:val="nil"/>
            </w:tcBorders>
            <w:shd w:val="clear" w:color="auto" w:fill="auto"/>
            <w:noWrap/>
            <w:vAlign w:val="center"/>
            <w:hideMark/>
          </w:tcPr>
          <w:p w14:paraId="0FC8065B"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2020-03-25</w:t>
            </w:r>
          </w:p>
        </w:tc>
        <w:tc>
          <w:tcPr>
            <w:tcW w:w="373" w:type="pct"/>
            <w:tcBorders>
              <w:top w:val="nil"/>
              <w:left w:val="nil"/>
              <w:bottom w:val="nil"/>
              <w:right w:val="nil"/>
            </w:tcBorders>
            <w:shd w:val="clear" w:color="auto" w:fill="auto"/>
            <w:noWrap/>
            <w:vAlign w:val="center"/>
            <w:hideMark/>
          </w:tcPr>
          <w:p w14:paraId="07A88849"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68000</w:t>
            </w:r>
          </w:p>
        </w:tc>
        <w:tc>
          <w:tcPr>
            <w:tcW w:w="474" w:type="pct"/>
            <w:tcBorders>
              <w:top w:val="nil"/>
              <w:left w:val="nil"/>
              <w:bottom w:val="nil"/>
              <w:right w:val="nil"/>
            </w:tcBorders>
            <w:shd w:val="clear" w:color="auto" w:fill="auto"/>
            <w:noWrap/>
            <w:vAlign w:val="center"/>
            <w:hideMark/>
          </w:tcPr>
          <w:p w14:paraId="678106F9"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7093.53</w:t>
            </w:r>
          </w:p>
        </w:tc>
      </w:tr>
      <w:tr w:rsidR="00FE5188" w:rsidRPr="007B4794" w14:paraId="7000B82B" w14:textId="77777777" w:rsidTr="00B536A4">
        <w:trPr>
          <w:trHeight w:val="765"/>
        </w:trPr>
        <w:tc>
          <w:tcPr>
            <w:tcW w:w="718" w:type="pct"/>
            <w:tcBorders>
              <w:top w:val="nil"/>
              <w:left w:val="nil"/>
              <w:bottom w:val="nil"/>
              <w:right w:val="nil"/>
            </w:tcBorders>
            <w:shd w:val="clear" w:color="auto" w:fill="auto"/>
            <w:noWrap/>
            <w:vAlign w:val="center"/>
            <w:hideMark/>
          </w:tcPr>
          <w:p w14:paraId="71D58469" w14:textId="77777777" w:rsidR="00FE5188" w:rsidRPr="007B4794" w:rsidRDefault="00FE5188">
            <w:pPr>
              <w:jc w:val="both"/>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18"/>
                <w:szCs w:val="18"/>
              </w:rPr>
              <w:t>324国道以东、规划社头中路以北</w:t>
            </w:r>
          </w:p>
        </w:tc>
        <w:tc>
          <w:tcPr>
            <w:tcW w:w="753" w:type="pct"/>
            <w:tcBorders>
              <w:top w:val="nil"/>
              <w:left w:val="nil"/>
              <w:bottom w:val="nil"/>
              <w:right w:val="nil"/>
            </w:tcBorders>
            <w:shd w:val="clear" w:color="auto" w:fill="auto"/>
            <w:noWrap/>
            <w:vAlign w:val="center"/>
            <w:hideMark/>
          </w:tcPr>
          <w:p w14:paraId="2745B1FF" w14:textId="77777777" w:rsidR="00FE5188" w:rsidRPr="007B4794" w:rsidRDefault="00FE5188">
            <w:pPr>
              <w:jc w:val="both"/>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18"/>
                <w:szCs w:val="18"/>
              </w:rPr>
              <w:t>商住用地</w:t>
            </w:r>
          </w:p>
        </w:tc>
        <w:tc>
          <w:tcPr>
            <w:tcW w:w="596" w:type="pct"/>
            <w:tcBorders>
              <w:top w:val="nil"/>
              <w:left w:val="nil"/>
              <w:bottom w:val="nil"/>
              <w:right w:val="nil"/>
            </w:tcBorders>
            <w:shd w:val="clear" w:color="auto" w:fill="auto"/>
            <w:noWrap/>
            <w:vAlign w:val="center"/>
            <w:hideMark/>
          </w:tcPr>
          <w:p w14:paraId="37CA553C"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角美镇</w:t>
            </w:r>
          </w:p>
        </w:tc>
        <w:tc>
          <w:tcPr>
            <w:tcW w:w="745" w:type="pct"/>
            <w:tcBorders>
              <w:top w:val="nil"/>
              <w:left w:val="nil"/>
              <w:bottom w:val="nil"/>
              <w:right w:val="nil"/>
            </w:tcBorders>
            <w:shd w:val="clear" w:color="auto" w:fill="auto"/>
            <w:noWrap/>
            <w:vAlign w:val="center"/>
            <w:hideMark/>
          </w:tcPr>
          <w:p w14:paraId="6834B137"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45219</w:t>
            </w:r>
          </w:p>
        </w:tc>
        <w:tc>
          <w:tcPr>
            <w:tcW w:w="745" w:type="pct"/>
            <w:tcBorders>
              <w:top w:val="nil"/>
              <w:left w:val="nil"/>
              <w:bottom w:val="nil"/>
              <w:right w:val="nil"/>
            </w:tcBorders>
            <w:shd w:val="clear" w:color="auto" w:fill="auto"/>
            <w:noWrap/>
            <w:vAlign w:val="center"/>
            <w:hideMark/>
          </w:tcPr>
          <w:p w14:paraId="487F83B1"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w:t>
            </w:r>
            <w:r w:rsidRPr="007B4794">
              <w:rPr>
                <w:rFonts w:ascii="Arial" w:eastAsia="等线" w:hAnsi="Arial" w:cs="Arial"/>
                <w:color w:val="000000" w:themeColor="text1"/>
                <w:sz w:val="18"/>
                <w:szCs w:val="18"/>
              </w:rPr>
              <w:t>1.0,</w:t>
            </w:r>
            <w:r w:rsidRPr="007B4794">
              <w:rPr>
                <w:rFonts w:ascii="Arial" w:eastAsia="等线" w:hAnsi="Arial" w:cs="Arial"/>
                <w:color w:val="000000" w:themeColor="text1"/>
                <w:sz w:val="18"/>
                <w:szCs w:val="18"/>
              </w:rPr>
              <w:t>＜</w:t>
            </w:r>
            <w:r w:rsidRPr="007B4794">
              <w:rPr>
                <w:rFonts w:ascii="Arial" w:eastAsia="等线" w:hAnsi="Arial" w:cs="Arial"/>
                <w:color w:val="000000" w:themeColor="text1"/>
                <w:sz w:val="18"/>
                <w:szCs w:val="18"/>
              </w:rPr>
              <w:t>2.0</w:t>
            </w:r>
          </w:p>
        </w:tc>
        <w:tc>
          <w:tcPr>
            <w:tcW w:w="596" w:type="pct"/>
            <w:tcBorders>
              <w:top w:val="nil"/>
              <w:left w:val="nil"/>
              <w:bottom w:val="nil"/>
              <w:right w:val="nil"/>
            </w:tcBorders>
            <w:shd w:val="clear" w:color="auto" w:fill="auto"/>
            <w:noWrap/>
            <w:vAlign w:val="center"/>
            <w:hideMark/>
          </w:tcPr>
          <w:p w14:paraId="5EEBE8AD"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2020-03-25</w:t>
            </w:r>
          </w:p>
        </w:tc>
        <w:tc>
          <w:tcPr>
            <w:tcW w:w="373" w:type="pct"/>
            <w:tcBorders>
              <w:top w:val="nil"/>
              <w:left w:val="nil"/>
              <w:bottom w:val="nil"/>
              <w:right w:val="nil"/>
            </w:tcBorders>
            <w:shd w:val="clear" w:color="auto" w:fill="auto"/>
            <w:noWrap/>
            <w:vAlign w:val="center"/>
            <w:hideMark/>
          </w:tcPr>
          <w:p w14:paraId="1B4A2AB6"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64000</w:t>
            </w:r>
          </w:p>
        </w:tc>
        <w:tc>
          <w:tcPr>
            <w:tcW w:w="474" w:type="pct"/>
            <w:tcBorders>
              <w:top w:val="nil"/>
              <w:left w:val="nil"/>
              <w:bottom w:val="nil"/>
              <w:right w:val="nil"/>
            </w:tcBorders>
            <w:shd w:val="clear" w:color="auto" w:fill="auto"/>
            <w:noWrap/>
            <w:vAlign w:val="center"/>
            <w:hideMark/>
          </w:tcPr>
          <w:p w14:paraId="0755573F"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7076.74</w:t>
            </w:r>
          </w:p>
        </w:tc>
      </w:tr>
      <w:tr w:rsidR="00FE5188" w:rsidRPr="007B4794" w14:paraId="580E26D0" w14:textId="77777777" w:rsidTr="00B536A4">
        <w:trPr>
          <w:trHeight w:val="1319"/>
        </w:trPr>
        <w:tc>
          <w:tcPr>
            <w:tcW w:w="718" w:type="pct"/>
            <w:tcBorders>
              <w:top w:val="nil"/>
              <w:left w:val="nil"/>
              <w:bottom w:val="nil"/>
              <w:right w:val="nil"/>
            </w:tcBorders>
            <w:shd w:val="clear" w:color="auto" w:fill="auto"/>
            <w:noWrap/>
            <w:vAlign w:val="center"/>
            <w:hideMark/>
          </w:tcPr>
          <w:p w14:paraId="66A630DF" w14:textId="77777777" w:rsidR="00FE5188" w:rsidRPr="007B4794" w:rsidRDefault="00FE5188">
            <w:pPr>
              <w:jc w:val="both"/>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18"/>
                <w:szCs w:val="18"/>
              </w:rPr>
              <w:t>龙海市港尾镇</w:t>
            </w:r>
          </w:p>
        </w:tc>
        <w:tc>
          <w:tcPr>
            <w:tcW w:w="753" w:type="pct"/>
            <w:tcBorders>
              <w:top w:val="nil"/>
              <w:left w:val="nil"/>
              <w:bottom w:val="nil"/>
              <w:right w:val="nil"/>
            </w:tcBorders>
            <w:shd w:val="clear" w:color="auto" w:fill="auto"/>
            <w:noWrap/>
            <w:vAlign w:val="center"/>
            <w:hideMark/>
          </w:tcPr>
          <w:p w14:paraId="10ADC065" w14:textId="544FAE64" w:rsidR="00FE5188" w:rsidRPr="007B4794" w:rsidRDefault="00FE5188" w:rsidP="00FE5188">
            <w:pPr>
              <w:jc w:val="both"/>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18"/>
                <w:szCs w:val="18"/>
              </w:rPr>
              <w:t>住宅用地,商服用地、旅馆用地(、商务金融用地</w:t>
            </w:r>
          </w:p>
        </w:tc>
        <w:tc>
          <w:tcPr>
            <w:tcW w:w="596" w:type="pct"/>
            <w:tcBorders>
              <w:top w:val="nil"/>
              <w:left w:val="nil"/>
              <w:bottom w:val="nil"/>
              <w:right w:val="nil"/>
            </w:tcBorders>
            <w:shd w:val="clear" w:color="auto" w:fill="auto"/>
            <w:noWrap/>
            <w:vAlign w:val="center"/>
            <w:hideMark/>
          </w:tcPr>
          <w:p w14:paraId="74BA8CF3"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港尾镇</w:t>
            </w:r>
          </w:p>
        </w:tc>
        <w:tc>
          <w:tcPr>
            <w:tcW w:w="745" w:type="pct"/>
            <w:tcBorders>
              <w:top w:val="nil"/>
              <w:left w:val="nil"/>
              <w:bottom w:val="nil"/>
              <w:right w:val="nil"/>
            </w:tcBorders>
            <w:shd w:val="clear" w:color="auto" w:fill="auto"/>
            <w:noWrap/>
            <w:vAlign w:val="center"/>
            <w:hideMark/>
          </w:tcPr>
          <w:p w14:paraId="33BE3133"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62943</w:t>
            </w:r>
          </w:p>
        </w:tc>
        <w:tc>
          <w:tcPr>
            <w:tcW w:w="745" w:type="pct"/>
            <w:tcBorders>
              <w:top w:val="nil"/>
              <w:left w:val="nil"/>
              <w:bottom w:val="nil"/>
              <w:right w:val="nil"/>
            </w:tcBorders>
            <w:shd w:val="clear" w:color="auto" w:fill="auto"/>
            <w:noWrap/>
            <w:vAlign w:val="center"/>
            <w:hideMark/>
          </w:tcPr>
          <w:p w14:paraId="22725329"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w:t>
            </w:r>
            <w:r w:rsidRPr="007B4794">
              <w:rPr>
                <w:rFonts w:ascii="Arial" w:eastAsia="等线" w:hAnsi="Arial" w:cs="Arial"/>
                <w:color w:val="000000" w:themeColor="text1"/>
                <w:sz w:val="18"/>
                <w:szCs w:val="18"/>
              </w:rPr>
              <w:t>1,≤3.0</w:t>
            </w:r>
          </w:p>
        </w:tc>
        <w:tc>
          <w:tcPr>
            <w:tcW w:w="596" w:type="pct"/>
            <w:tcBorders>
              <w:top w:val="nil"/>
              <w:left w:val="nil"/>
              <w:bottom w:val="nil"/>
              <w:right w:val="nil"/>
            </w:tcBorders>
            <w:shd w:val="clear" w:color="auto" w:fill="auto"/>
            <w:noWrap/>
            <w:vAlign w:val="center"/>
            <w:hideMark/>
          </w:tcPr>
          <w:p w14:paraId="16ED1960"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2020-02-28</w:t>
            </w:r>
          </w:p>
        </w:tc>
        <w:tc>
          <w:tcPr>
            <w:tcW w:w="373" w:type="pct"/>
            <w:tcBorders>
              <w:top w:val="nil"/>
              <w:left w:val="nil"/>
              <w:bottom w:val="nil"/>
              <w:right w:val="nil"/>
            </w:tcBorders>
            <w:shd w:val="clear" w:color="auto" w:fill="auto"/>
            <w:noWrap/>
            <w:vAlign w:val="center"/>
            <w:hideMark/>
          </w:tcPr>
          <w:p w14:paraId="20F3244F"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32100</w:t>
            </w:r>
          </w:p>
        </w:tc>
        <w:tc>
          <w:tcPr>
            <w:tcW w:w="474" w:type="pct"/>
            <w:tcBorders>
              <w:top w:val="nil"/>
              <w:left w:val="nil"/>
              <w:bottom w:val="nil"/>
              <w:right w:val="nil"/>
            </w:tcBorders>
            <w:shd w:val="clear" w:color="auto" w:fill="auto"/>
            <w:noWrap/>
            <w:vAlign w:val="center"/>
            <w:hideMark/>
          </w:tcPr>
          <w:p w14:paraId="2AC4B987"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1699.95</w:t>
            </w:r>
          </w:p>
        </w:tc>
      </w:tr>
      <w:tr w:rsidR="00FE5188" w:rsidRPr="007B4794" w14:paraId="41CBC5F8" w14:textId="77777777" w:rsidTr="00B536A4">
        <w:trPr>
          <w:trHeight w:val="856"/>
        </w:trPr>
        <w:tc>
          <w:tcPr>
            <w:tcW w:w="718" w:type="pct"/>
            <w:tcBorders>
              <w:top w:val="nil"/>
              <w:left w:val="nil"/>
              <w:bottom w:val="nil"/>
              <w:right w:val="nil"/>
            </w:tcBorders>
            <w:shd w:val="clear" w:color="auto" w:fill="auto"/>
            <w:noWrap/>
            <w:vAlign w:val="center"/>
            <w:hideMark/>
          </w:tcPr>
          <w:p w14:paraId="31F3F14D" w14:textId="77777777" w:rsidR="00FE5188" w:rsidRPr="007B4794" w:rsidRDefault="00FE5188">
            <w:pPr>
              <w:jc w:val="both"/>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18"/>
                <w:szCs w:val="18"/>
              </w:rPr>
              <w:t>港尾镇梅市村</w:t>
            </w:r>
          </w:p>
        </w:tc>
        <w:tc>
          <w:tcPr>
            <w:tcW w:w="753" w:type="pct"/>
            <w:tcBorders>
              <w:top w:val="nil"/>
              <w:left w:val="nil"/>
              <w:bottom w:val="nil"/>
              <w:right w:val="nil"/>
            </w:tcBorders>
            <w:shd w:val="clear" w:color="auto" w:fill="auto"/>
            <w:noWrap/>
            <w:vAlign w:val="center"/>
            <w:hideMark/>
          </w:tcPr>
          <w:p w14:paraId="767CD47C" w14:textId="706F22F8" w:rsidR="00FE5188" w:rsidRPr="007B4794" w:rsidRDefault="00FE5188" w:rsidP="00FE5188">
            <w:pPr>
              <w:jc w:val="both"/>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18"/>
                <w:szCs w:val="18"/>
              </w:rPr>
              <w:t>住宅用地、商服用地</w:t>
            </w:r>
          </w:p>
        </w:tc>
        <w:tc>
          <w:tcPr>
            <w:tcW w:w="596" w:type="pct"/>
            <w:tcBorders>
              <w:top w:val="nil"/>
              <w:left w:val="nil"/>
              <w:bottom w:val="nil"/>
              <w:right w:val="nil"/>
            </w:tcBorders>
            <w:shd w:val="clear" w:color="auto" w:fill="auto"/>
            <w:noWrap/>
            <w:vAlign w:val="center"/>
            <w:hideMark/>
          </w:tcPr>
          <w:p w14:paraId="2DF09E1F"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港尾镇</w:t>
            </w:r>
          </w:p>
        </w:tc>
        <w:tc>
          <w:tcPr>
            <w:tcW w:w="745" w:type="pct"/>
            <w:tcBorders>
              <w:top w:val="nil"/>
              <w:left w:val="nil"/>
              <w:bottom w:val="nil"/>
              <w:right w:val="nil"/>
            </w:tcBorders>
            <w:shd w:val="clear" w:color="auto" w:fill="auto"/>
            <w:noWrap/>
            <w:vAlign w:val="center"/>
            <w:hideMark/>
          </w:tcPr>
          <w:p w14:paraId="02EED585"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32057.9</w:t>
            </w:r>
          </w:p>
        </w:tc>
        <w:tc>
          <w:tcPr>
            <w:tcW w:w="745" w:type="pct"/>
            <w:tcBorders>
              <w:top w:val="nil"/>
              <w:left w:val="nil"/>
              <w:bottom w:val="nil"/>
              <w:right w:val="nil"/>
            </w:tcBorders>
            <w:shd w:val="clear" w:color="auto" w:fill="auto"/>
            <w:noWrap/>
            <w:vAlign w:val="center"/>
            <w:hideMark/>
          </w:tcPr>
          <w:p w14:paraId="1F820305"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大于</w:t>
            </w:r>
            <w:r w:rsidRPr="007B4794">
              <w:rPr>
                <w:rFonts w:ascii="Arial" w:eastAsia="等线" w:hAnsi="Arial" w:cs="Arial"/>
                <w:color w:val="000000" w:themeColor="text1"/>
                <w:sz w:val="18"/>
                <w:szCs w:val="18"/>
              </w:rPr>
              <w:t>1</w:t>
            </w:r>
            <w:r w:rsidRPr="007B4794">
              <w:rPr>
                <w:rFonts w:ascii="Arial" w:eastAsia="等线" w:hAnsi="Arial" w:cs="Arial"/>
                <w:color w:val="000000" w:themeColor="text1"/>
                <w:sz w:val="18"/>
                <w:szCs w:val="18"/>
              </w:rPr>
              <w:t>并且小于或等于</w:t>
            </w:r>
            <w:r w:rsidRPr="007B4794">
              <w:rPr>
                <w:rFonts w:ascii="Arial" w:eastAsia="等线" w:hAnsi="Arial" w:cs="Arial"/>
                <w:color w:val="000000" w:themeColor="text1"/>
                <w:sz w:val="18"/>
                <w:szCs w:val="18"/>
              </w:rPr>
              <w:t>2.8</w:t>
            </w:r>
          </w:p>
        </w:tc>
        <w:tc>
          <w:tcPr>
            <w:tcW w:w="596" w:type="pct"/>
            <w:tcBorders>
              <w:top w:val="nil"/>
              <w:left w:val="nil"/>
              <w:bottom w:val="nil"/>
              <w:right w:val="nil"/>
            </w:tcBorders>
            <w:shd w:val="clear" w:color="auto" w:fill="auto"/>
            <w:noWrap/>
            <w:vAlign w:val="center"/>
            <w:hideMark/>
          </w:tcPr>
          <w:p w14:paraId="59BA9708"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2019-11-19</w:t>
            </w:r>
          </w:p>
        </w:tc>
        <w:tc>
          <w:tcPr>
            <w:tcW w:w="373" w:type="pct"/>
            <w:tcBorders>
              <w:top w:val="nil"/>
              <w:left w:val="nil"/>
              <w:bottom w:val="nil"/>
              <w:right w:val="nil"/>
            </w:tcBorders>
            <w:shd w:val="clear" w:color="auto" w:fill="auto"/>
            <w:noWrap/>
            <w:vAlign w:val="center"/>
            <w:hideMark/>
          </w:tcPr>
          <w:p w14:paraId="6640F1EF"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23300</w:t>
            </w:r>
          </w:p>
        </w:tc>
        <w:tc>
          <w:tcPr>
            <w:tcW w:w="474" w:type="pct"/>
            <w:tcBorders>
              <w:top w:val="nil"/>
              <w:left w:val="nil"/>
              <w:bottom w:val="nil"/>
              <w:right w:val="nil"/>
            </w:tcBorders>
            <w:shd w:val="clear" w:color="auto" w:fill="auto"/>
            <w:noWrap/>
            <w:vAlign w:val="center"/>
            <w:hideMark/>
          </w:tcPr>
          <w:p w14:paraId="648E4A78"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2595.74</w:t>
            </w:r>
          </w:p>
        </w:tc>
      </w:tr>
      <w:tr w:rsidR="00FE5188" w:rsidRPr="007B4794" w14:paraId="1C16C22F" w14:textId="77777777" w:rsidTr="00B536A4">
        <w:trPr>
          <w:trHeight w:val="525"/>
        </w:trPr>
        <w:tc>
          <w:tcPr>
            <w:tcW w:w="718" w:type="pct"/>
            <w:tcBorders>
              <w:top w:val="nil"/>
              <w:left w:val="nil"/>
              <w:bottom w:val="single" w:sz="12" w:space="0" w:color="auto"/>
              <w:right w:val="nil"/>
            </w:tcBorders>
            <w:shd w:val="clear" w:color="auto" w:fill="auto"/>
            <w:noWrap/>
            <w:vAlign w:val="center"/>
            <w:hideMark/>
          </w:tcPr>
          <w:p w14:paraId="417695E8" w14:textId="77777777" w:rsidR="00FE5188" w:rsidRPr="007B4794" w:rsidRDefault="00FE5188">
            <w:pPr>
              <w:jc w:val="both"/>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18"/>
                <w:szCs w:val="18"/>
              </w:rPr>
              <w:t>隆教乡新厝村</w:t>
            </w:r>
          </w:p>
        </w:tc>
        <w:tc>
          <w:tcPr>
            <w:tcW w:w="753" w:type="pct"/>
            <w:tcBorders>
              <w:top w:val="nil"/>
              <w:left w:val="nil"/>
              <w:bottom w:val="single" w:sz="12" w:space="0" w:color="auto"/>
              <w:right w:val="nil"/>
            </w:tcBorders>
            <w:shd w:val="clear" w:color="auto" w:fill="auto"/>
            <w:noWrap/>
            <w:vAlign w:val="center"/>
            <w:hideMark/>
          </w:tcPr>
          <w:p w14:paraId="7D61C4D0" w14:textId="77777777" w:rsidR="00FE5188" w:rsidRPr="007B4794" w:rsidRDefault="00FE5188">
            <w:pPr>
              <w:jc w:val="both"/>
              <w:rPr>
                <w:rFonts w:ascii="华文细黑" w:eastAsia="华文细黑" w:hAnsi="华文细黑"/>
                <w:color w:val="000000" w:themeColor="text1"/>
                <w:sz w:val="18"/>
                <w:szCs w:val="18"/>
              </w:rPr>
            </w:pPr>
            <w:r w:rsidRPr="007B4794">
              <w:rPr>
                <w:rFonts w:ascii="华文细黑" w:eastAsia="华文细黑" w:hAnsi="华文细黑" w:hint="eastAsia"/>
                <w:color w:val="000000" w:themeColor="text1"/>
                <w:sz w:val="18"/>
                <w:szCs w:val="18"/>
              </w:rPr>
              <w:t>城镇住宅用地</w:t>
            </w:r>
          </w:p>
        </w:tc>
        <w:tc>
          <w:tcPr>
            <w:tcW w:w="596" w:type="pct"/>
            <w:tcBorders>
              <w:top w:val="nil"/>
              <w:left w:val="nil"/>
              <w:bottom w:val="single" w:sz="12" w:space="0" w:color="auto"/>
              <w:right w:val="nil"/>
            </w:tcBorders>
            <w:shd w:val="clear" w:color="auto" w:fill="auto"/>
            <w:noWrap/>
            <w:vAlign w:val="center"/>
            <w:hideMark/>
          </w:tcPr>
          <w:p w14:paraId="2AC8501B"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隆教畲族乡</w:t>
            </w:r>
          </w:p>
        </w:tc>
        <w:tc>
          <w:tcPr>
            <w:tcW w:w="745" w:type="pct"/>
            <w:tcBorders>
              <w:top w:val="nil"/>
              <w:left w:val="nil"/>
              <w:bottom w:val="single" w:sz="12" w:space="0" w:color="auto"/>
              <w:right w:val="nil"/>
            </w:tcBorders>
            <w:shd w:val="clear" w:color="auto" w:fill="auto"/>
            <w:noWrap/>
            <w:vAlign w:val="center"/>
            <w:hideMark/>
          </w:tcPr>
          <w:p w14:paraId="61B5EEE7"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68255</w:t>
            </w:r>
          </w:p>
        </w:tc>
        <w:tc>
          <w:tcPr>
            <w:tcW w:w="745" w:type="pct"/>
            <w:tcBorders>
              <w:top w:val="nil"/>
              <w:left w:val="nil"/>
              <w:bottom w:val="single" w:sz="12" w:space="0" w:color="auto"/>
              <w:right w:val="nil"/>
            </w:tcBorders>
            <w:shd w:val="clear" w:color="auto" w:fill="auto"/>
            <w:noWrap/>
            <w:vAlign w:val="center"/>
            <w:hideMark/>
          </w:tcPr>
          <w:p w14:paraId="1B9AFE9E"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大于</w:t>
            </w:r>
            <w:r w:rsidRPr="007B4794">
              <w:rPr>
                <w:rFonts w:ascii="Arial" w:eastAsia="等线" w:hAnsi="Arial" w:cs="Arial"/>
                <w:color w:val="000000" w:themeColor="text1"/>
                <w:sz w:val="18"/>
                <w:szCs w:val="18"/>
              </w:rPr>
              <w:t>1</w:t>
            </w:r>
            <w:r w:rsidRPr="007B4794">
              <w:rPr>
                <w:rFonts w:ascii="Arial" w:eastAsia="等线" w:hAnsi="Arial" w:cs="Arial"/>
                <w:color w:val="000000" w:themeColor="text1"/>
                <w:sz w:val="18"/>
                <w:szCs w:val="18"/>
              </w:rPr>
              <w:t>并且小于或等于</w:t>
            </w:r>
            <w:r w:rsidRPr="007B4794">
              <w:rPr>
                <w:rFonts w:ascii="Arial" w:eastAsia="等线" w:hAnsi="Arial" w:cs="Arial"/>
                <w:color w:val="000000" w:themeColor="text1"/>
                <w:sz w:val="18"/>
                <w:szCs w:val="18"/>
              </w:rPr>
              <w:t>2.5</w:t>
            </w:r>
          </w:p>
        </w:tc>
        <w:tc>
          <w:tcPr>
            <w:tcW w:w="596" w:type="pct"/>
            <w:tcBorders>
              <w:top w:val="nil"/>
              <w:left w:val="nil"/>
              <w:bottom w:val="single" w:sz="12" w:space="0" w:color="auto"/>
              <w:right w:val="nil"/>
            </w:tcBorders>
            <w:shd w:val="clear" w:color="auto" w:fill="auto"/>
            <w:noWrap/>
            <w:vAlign w:val="center"/>
            <w:hideMark/>
          </w:tcPr>
          <w:p w14:paraId="2426C00D"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2019-07-02</w:t>
            </w:r>
          </w:p>
        </w:tc>
        <w:tc>
          <w:tcPr>
            <w:tcW w:w="373" w:type="pct"/>
            <w:tcBorders>
              <w:top w:val="nil"/>
              <w:left w:val="nil"/>
              <w:bottom w:val="single" w:sz="12" w:space="0" w:color="auto"/>
              <w:right w:val="nil"/>
            </w:tcBorders>
            <w:shd w:val="clear" w:color="auto" w:fill="auto"/>
            <w:noWrap/>
            <w:vAlign w:val="center"/>
            <w:hideMark/>
          </w:tcPr>
          <w:p w14:paraId="7DA28597"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31000</w:t>
            </w:r>
          </w:p>
        </w:tc>
        <w:tc>
          <w:tcPr>
            <w:tcW w:w="474" w:type="pct"/>
            <w:tcBorders>
              <w:top w:val="nil"/>
              <w:left w:val="nil"/>
              <w:bottom w:val="single" w:sz="12" w:space="0" w:color="auto"/>
              <w:right w:val="nil"/>
            </w:tcBorders>
            <w:shd w:val="clear" w:color="auto" w:fill="auto"/>
            <w:noWrap/>
            <w:vAlign w:val="center"/>
            <w:hideMark/>
          </w:tcPr>
          <w:p w14:paraId="5EEBEE03" w14:textId="77777777" w:rsidR="00FE5188" w:rsidRPr="007B4794" w:rsidRDefault="00FE5188">
            <w:pPr>
              <w:jc w:val="both"/>
              <w:rPr>
                <w:rFonts w:ascii="Arial" w:eastAsia="等线" w:hAnsi="Arial" w:cs="Arial"/>
                <w:color w:val="000000" w:themeColor="text1"/>
                <w:sz w:val="18"/>
                <w:szCs w:val="18"/>
              </w:rPr>
            </w:pPr>
            <w:r w:rsidRPr="007B4794">
              <w:rPr>
                <w:rFonts w:ascii="Arial" w:eastAsia="等线" w:hAnsi="Arial" w:cs="Arial"/>
                <w:color w:val="000000" w:themeColor="text1"/>
                <w:sz w:val="18"/>
                <w:szCs w:val="18"/>
              </w:rPr>
              <w:t>1816.71</w:t>
            </w:r>
          </w:p>
        </w:tc>
      </w:tr>
    </w:tbl>
    <w:p w14:paraId="37A6C808" w14:textId="77777777" w:rsidR="00AE01CB" w:rsidRPr="007B4794" w:rsidRDefault="00AE01CB" w:rsidP="00AE01CB">
      <w:pPr>
        <w:widowControl w:val="0"/>
        <w:adjustRightInd w:val="0"/>
        <w:snapToGrid w:val="0"/>
        <w:jc w:val="both"/>
        <w:rPr>
          <w:rFonts w:ascii="华文细黑" w:eastAsia="华文细黑" w:hAnsi="华文细黑" w:cs="Arial"/>
          <w:color w:val="000000" w:themeColor="text1"/>
          <w:sz w:val="15"/>
          <w:szCs w:val="15"/>
        </w:rPr>
      </w:pPr>
      <w:r w:rsidRPr="007B4794">
        <w:rPr>
          <w:rFonts w:ascii="华文细黑" w:eastAsia="华文细黑" w:hAnsi="华文细黑" w:cs="Arial" w:hint="eastAsia"/>
          <w:color w:val="000000" w:themeColor="text1"/>
          <w:sz w:val="15"/>
          <w:szCs w:val="15"/>
        </w:rPr>
        <w:t>单位：平方米、万元、元</w:t>
      </w:r>
      <w:r w:rsidRPr="007B4794">
        <w:rPr>
          <w:rFonts w:ascii="华文细黑" w:eastAsia="华文细黑" w:hAnsi="华文细黑" w:cs="Arial"/>
          <w:color w:val="000000" w:themeColor="text1"/>
          <w:sz w:val="15"/>
          <w:szCs w:val="15"/>
        </w:rPr>
        <w:t>/</w:t>
      </w:r>
      <w:r w:rsidRPr="007B4794">
        <w:rPr>
          <w:rFonts w:ascii="华文细黑" w:eastAsia="华文细黑" w:hAnsi="华文细黑" w:cs="Arial" w:hint="eastAsia"/>
          <w:color w:val="000000" w:themeColor="text1"/>
          <w:sz w:val="15"/>
          <w:szCs w:val="15"/>
        </w:rPr>
        <w:t>平方米</w:t>
      </w:r>
    </w:p>
    <w:p w14:paraId="1454A876" w14:textId="77777777" w:rsidR="00AE01CB" w:rsidRPr="007B4794" w:rsidRDefault="00AE01CB" w:rsidP="00AE01CB">
      <w:pPr>
        <w:widowControl w:val="0"/>
        <w:adjustRightInd w:val="0"/>
        <w:snapToGrid w:val="0"/>
        <w:spacing w:line="480" w:lineRule="auto"/>
        <w:jc w:val="both"/>
        <w:rPr>
          <w:rFonts w:ascii="华文细黑" w:eastAsia="华文细黑" w:hAnsi="华文细黑" w:cs="Arial"/>
          <w:color w:val="000000" w:themeColor="text1"/>
          <w:sz w:val="15"/>
          <w:szCs w:val="15"/>
        </w:rPr>
      </w:pPr>
      <w:r w:rsidRPr="007B4794">
        <w:rPr>
          <w:rFonts w:ascii="华文细黑" w:eastAsia="华文细黑" w:hAnsi="华文细黑" w:cs="Arial" w:hint="eastAsia"/>
          <w:color w:val="000000" w:themeColor="text1"/>
          <w:sz w:val="15"/>
          <w:szCs w:val="15"/>
        </w:rPr>
        <w:t>资料来源：</w:t>
      </w:r>
      <w:r w:rsidRPr="007B4794">
        <w:rPr>
          <w:rFonts w:ascii="Arial" w:eastAsia="华文细黑" w:hAnsi="Arial" w:cs="Arial"/>
          <w:color w:val="000000" w:themeColor="text1"/>
          <w:sz w:val="15"/>
          <w:szCs w:val="15"/>
        </w:rPr>
        <w:t>CREIS</w:t>
      </w:r>
      <w:r w:rsidRPr="007B4794">
        <w:rPr>
          <w:rFonts w:ascii="华文细黑" w:eastAsia="华文细黑" w:hAnsi="华文细黑" w:cs="Arial" w:hint="eastAsia"/>
          <w:color w:val="000000" w:themeColor="text1"/>
          <w:sz w:val="15"/>
          <w:szCs w:val="15"/>
        </w:rPr>
        <w:t>中指数据</w:t>
      </w:r>
    </w:p>
    <w:p w14:paraId="257CD45C" w14:textId="77777777" w:rsidR="00E04B1A" w:rsidRPr="007B4794" w:rsidRDefault="00E04B1A" w:rsidP="00AE01CB">
      <w:pPr>
        <w:widowControl w:val="0"/>
        <w:adjustRightInd w:val="0"/>
        <w:snapToGrid w:val="0"/>
        <w:spacing w:line="480" w:lineRule="auto"/>
        <w:jc w:val="both"/>
        <w:rPr>
          <w:rFonts w:ascii="华文细黑" w:eastAsia="华文细黑" w:hAnsi="华文细黑" w:cs="Arial"/>
          <w:color w:val="000000" w:themeColor="text1"/>
          <w:sz w:val="15"/>
          <w:szCs w:val="15"/>
        </w:rPr>
      </w:pPr>
    </w:p>
    <w:p w14:paraId="0ECF6A45" w14:textId="125BE07C" w:rsidR="00AE01CB" w:rsidRPr="007B4794" w:rsidRDefault="00AE01CB" w:rsidP="00AE01CB">
      <w:pPr>
        <w:pStyle w:val="2"/>
        <w:tabs>
          <w:tab w:val="left" w:pos="5220"/>
        </w:tabs>
        <w:spacing w:before="0" w:after="0" w:line="480" w:lineRule="auto"/>
        <w:ind w:firstLineChars="98" w:firstLine="207"/>
        <w:jc w:val="both"/>
        <w:rPr>
          <w:rFonts w:eastAsia="宋体" w:cs="Arial"/>
          <w:color w:val="000000" w:themeColor="text1"/>
          <w:sz w:val="21"/>
          <w:szCs w:val="21"/>
        </w:rPr>
      </w:pPr>
      <w:bookmarkStart w:id="66" w:name="_Toc43885859"/>
      <w:bookmarkStart w:id="67" w:name="_Toc54016591"/>
      <w:r w:rsidRPr="007B4794">
        <w:rPr>
          <w:rFonts w:eastAsia="宋体" w:cs="Arial"/>
          <w:color w:val="000000" w:themeColor="text1"/>
          <w:sz w:val="21"/>
          <w:szCs w:val="21"/>
        </w:rPr>
        <w:t>（</w:t>
      </w:r>
      <w:r w:rsidRPr="007B4794">
        <w:rPr>
          <w:rFonts w:eastAsia="宋体" w:cs="Arial" w:hint="eastAsia"/>
          <w:color w:val="000000" w:themeColor="text1"/>
          <w:sz w:val="21"/>
          <w:szCs w:val="21"/>
        </w:rPr>
        <w:t>五</w:t>
      </w:r>
      <w:r w:rsidRPr="007B4794">
        <w:rPr>
          <w:rFonts w:eastAsia="宋体" w:cs="Arial"/>
          <w:color w:val="000000" w:themeColor="text1"/>
          <w:sz w:val="21"/>
          <w:szCs w:val="21"/>
        </w:rPr>
        <w:t>）</w:t>
      </w:r>
      <w:r w:rsidRPr="007B4794">
        <w:rPr>
          <w:rFonts w:eastAsia="宋体" w:cs="Arial" w:hint="eastAsia"/>
          <w:color w:val="000000" w:themeColor="text1"/>
          <w:sz w:val="21"/>
          <w:szCs w:val="21"/>
        </w:rPr>
        <w:t>房地产市场概况</w:t>
      </w:r>
      <w:bookmarkEnd w:id="66"/>
      <w:bookmarkEnd w:id="67"/>
      <w:r w:rsidR="009C397F" w:rsidRPr="007B4794">
        <w:rPr>
          <w:rFonts w:eastAsia="宋体" w:cs="Arial" w:hint="eastAsia"/>
          <w:color w:val="000000" w:themeColor="text1"/>
          <w:sz w:val="21"/>
          <w:szCs w:val="21"/>
        </w:rPr>
        <w:t>（漳州市统计范围包含茅城区、龙文区、高新区）</w:t>
      </w:r>
    </w:p>
    <w:p w14:paraId="462CA3C5" w14:textId="77777777" w:rsidR="00AE01CB" w:rsidRPr="007B4794" w:rsidRDefault="00AE01CB"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1</w:t>
      </w:r>
      <w:r w:rsidRPr="007B4794">
        <w:rPr>
          <w:rFonts w:ascii="Arial" w:hAnsi="Arial" w:cs="Arial" w:hint="eastAsia"/>
          <w:color w:val="000000" w:themeColor="text1"/>
          <w:sz w:val="21"/>
          <w:szCs w:val="21"/>
        </w:rPr>
        <w:t>、供销走势</w:t>
      </w:r>
    </w:p>
    <w:p w14:paraId="39939A14" w14:textId="1AD58A92" w:rsidR="00AE01CB" w:rsidRPr="007B4794" w:rsidRDefault="00AE01CB"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从近</w:t>
      </w:r>
      <w:r w:rsidR="009C397F" w:rsidRPr="007B4794">
        <w:rPr>
          <w:rFonts w:ascii="Arial" w:hAnsi="Arial" w:cs="Arial" w:hint="eastAsia"/>
          <w:color w:val="000000" w:themeColor="text1"/>
          <w:sz w:val="21"/>
          <w:szCs w:val="21"/>
        </w:rPr>
        <w:t>3</w:t>
      </w:r>
      <w:r w:rsidRPr="007B4794">
        <w:rPr>
          <w:rFonts w:ascii="Arial" w:hAnsi="Arial" w:cs="Arial" w:hint="eastAsia"/>
          <w:color w:val="000000" w:themeColor="text1"/>
          <w:sz w:val="21"/>
          <w:szCs w:val="21"/>
        </w:rPr>
        <w:t>年</w:t>
      </w:r>
      <w:r w:rsidR="009C397F" w:rsidRPr="007B4794">
        <w:rPr>
          <w:rFonts w:ascii="Arial" w:hAnsi="Arial" w:cs="Arial" w:hint="eastAsia"/>
          <w:color w:val="000000" w:themeColor="text1"/>
          <w:sz w:val="21"/>
          <w:szCs w:val="21"/>
        </w:rPr>
        <w:t>漳州市</w:t>
      </w:r>
      <w:r w:rsidR="009C397F" w:rsidRPr="007B4794">
        <w:rPr>
          <w:rFonts w:cs="Arial" w:hint="eastAsia"/>
          <w:color w:val="000000" w:themeColor="text1"/>
          <w:sz w:val="21"/>
          <w:szCs w:val="21"/>
        </w:rPr>
        <w:t>（包含茅城区、龙文区、高新区）</w:t>
      </w:r>
      <w:r w:rsidRPr="007B4794">
        <w:rPr>
          <w:rFonts w:ascii="Arial" w:hAnsi="Arial" w:cs="Arial" w:hint="eastAsia"/>
          <w:color w:val="000000" w:themeColor="text1"/>
          <w:sz w:val="21"/>
          <w:szCs w:val="21"/>
        </w:rPr>
        <w:t>商品住宅供销走势上看，</w:t>
      </w:r>
      <w:r w:rsidRPr="007B4794">
        <w:rPr>
          <w:rFonts w:ascii="Arial" w:hAnsi="Arial" w:cs="Arial" w:hint="eastAsia"/>
          <w:color w:val="000000" w:themeColor="text1"/>
          <w:sz w:val="21"/>
          <w:szCs w:val="21"/>
        </w:rPr>
        <w:t>201</w:t>
      </w:r>
      <w:r w:rsidR="009C397F" w:rsidRPr="007B4794">
        <w:rPr>
          <w:rFonts w:ascii="Arial" w:hAnsi="Arial" w:cs="Arial" w:hint="eastAsia"/>
          <w:color w:val="000000" w:themeColor="text1"/>
          <w:sz w:val="21"/>
          <w:szCs w:val="21"/>
        </w:rPr>
        <w:t>9</w:t>
      </w:r>
      <w:r w:rsidRPr="007B4794">
        <w:rPr>
          <w:rFonts w:ascii="Arial" w:hAnsi="Arial" w:cs="Arial" w:hint="eastAsia"/>
          <w:color w:val="000000" w:themeColor="text1"/>
          <w:sz w:val="21"/>
          <w:szCs w:val="21"/>
        </w:rPr>
        <w:t>年为近</w:t>
      </w:r>
      <w:r w:rsidR="009C397F" w:rsidRPr="007B4794">
        <w:rPr>
          <w:rFonts w:ascii="Arial" w:hAnsi="Arial" w:cs="Arial" w:hint="eastAsia"/>
          <w:color w:val="000000" w:themeColor="text1"/>
          <w:sz w:val="21"/>
          <w:szCs w:val="21"/>
        </w:rPr>
        <w:t>3</w:t>
      </w:r>
      <w:r w:rsidRPr="007B4794">
        <w:rPr>
          <w:rFonts w:ascii="Arial" w:hAnsi="Arial" w:cs="Arial" w:hint="eastAsia"/>
          <w:color w:val="000000" w:themeColor="text1"/>
          <w:sz w:val="21"/>
          <w:szCs w:val="21"/>
        </w:rPr>
        <w:t>年</w:t>
      </w:r>
      <w:r w:rsidR="009C397F" w:rsidRPr="007B4794">
        <w:rPr>
          <w:rFonts w:ascii="Arial" w:hAnsi="Arial" w:cs="Arial" w:hint="eastAsia"/>
          <w:color w:val="000000" w:themeColor="text1"/>
          <w:sz w:val="21"/>
          <w:szCs w:val="21"/>
        </w:rPr>
        <w:t>漳州</w:t>
      </w:r>
      <w:r w:rsidRPr="007B4794">
        <w:rPr>
          <w:rFonts w:ascii="Arial" w:hAnsi="Arial" w:cs="Arial" w:hint="eastAsia"/>
          <w:color w:val="000000" w:themeColor="text1"/>
          <w:sz w:val="21"/>
          <w:szCs w:val="21"/>
        </w:rPr>
        <w:t>市商品住宅用房供应、销售的高峰，</w:t>
      </w:r>
      <w:r w:rsidRPr="007B4794">
        <w:rPr>
          <w:rFonts w:ascii="Arial" w:hAnsi="Arial" w:cs="Arial" w:hint="eastAsia"/>
          <w:color w:val="000000" w:themeColor="text1"/>
          <w:sz w:val="21"/>
          <w:szCs w:val="21"/>
        </w:rPr>
        <w:t>2017</w:t>
      </w:r>
      <w:r w:rsidRPr="007B4794">
        <w:rPr>
          <w:rFonts w:ascii="Arial" w:hAnsi="Arial" w:cs="Arial" w:hint="eastAsia"/>
          <w:color w:val="000000" w:themeColor="text1"/>
          <w:sz w:val="21"/>
          <w:szCs w:val="21"/>
        </w:rPr>
        <w:t>年为近年来销售低谷。供应方面，</w:t>
      </w:r>
      <w:r w:rsidR="009C397F" w:rsidRPr="007B4794">
        <w:rPr>
          <w:rFonts w:ascii="Arial" w:hAnsi="Arial" w:cs="Arial" w:hint="eastAsia"/>
          <w:color w:val="000000" w:themeColor="text1"/>
          <w:sz w:val="21"/>
          <w:szCs w:val="21"/>
        </w:rPr>
        <w:t>2017</w:t>
      </w:r>
      <w:r w:rsidR="009C397F" w:rsidRPr="007B4794">
        <w:rPr>
          <w:rFonts w:ascii="Arial" w:hAnsi="Arial" w:cs="Arial" w:hint="eastAsia"/>
          <w:color w:val="000000" w:themeColor="text1"/>
          <w:sz w:val="21"/>
          <w:szCs w:val="21"/>
        </w:rPr>
        <w:t>至</w:t>
      </w:r>
      <w:r w:rsidR="009C397F" w:rsidRPr="007B4794">
        <w:rPr>
          <w:rFonts w:ascii="Arial" w:hAnsi="Arial" w:cs="Arial" w:hint="eastAsia"/>
          <w:color w:val="000000" w:themeColor="text1"/>
          <w:sz w:val="21"/>
          <w:szCs w:val="21"/>
        </w:rPr>
        <w:t>2019</w:t>
      </w:r>
      <w:r w:rsidRPr="007B4794">
        <w:rPr>
          <w:rFonts w:ascii="Arial" w:hAnsi="Arial" w:cs="Arial" w:hint="eastAsia"/>
          <w:color w:val="000000" w:themeColor="text1"/>
          <w:sz w:val="21"/>
          <w:szCs w:val="21"/>
        </w:rPr>
        <w:t>年供应情况</w:t>
      </w:r>
      <w:r w:rsidR="009C397F" w:rsidRPr="007B4794">
        <w:rPr>
          <w:rFonts w:ascii="Arial" w:hAnsi="Arial" w:cs="Arial" w:hint="eastAsia"/>
          <w:color w:val="000000" w:themeColor="text1"/>
          <w:sz w:val="21"/>
          <w:szCs w:val="21"/>
        </w:rPr>
        <w:t>持续上升</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201</w:t>
      </w:r>
      <w:r w:rsidR="009C397F" w:rsidRPr="007B4794">
        <w:rPr>
          <w:rFonts w:ascii="Arial" w:hAnsi="Arial" w:cs="Arial" w:hint="eastAsia"/>
          <w:color w:val="000000" w:themeColor="text1"/>
          <w:sz w:val="21"/>
          <w:szCs w:val="21"/>
        </w:rPr>
        <w:t>7</w:t>
      </w:r>
      <w:r w:rsidRPr="007B4794">
        <w:rPr>
          <w:rFonts w:ascii="Arial" w:hAnsi="Arial" w:cs="Arial" w:hint="eastAsia"/>
          <w:color w:val="000000" w:themeColor="text1"/>
          <w:sz w:val="21"/>
          <w:szCs w:val="21"/>
        </w:rPr>
        <w:t>年</w:t>
      </w:r>
      <w:r w:rsidR="009C397F" w:rsidRPr="007B4794">
        <w:rPr>
          <w:rFonts w:ascii="Arial" w:hAnsi="Arial" w:cs="Arial" w:hint="eastAsia"/>
          <w:color w:val="000000" w:themeColor="text1"/>
          <w:sz w:val="21"/>
          <w:szCs w:val="21"/>
        </w:rPr>
        <w:t>漳州</w:t>
      </w:r>
      <w:r w:rsidRPr="007B4794">
        <w:rPr>
          <w:rFonts w:ascii="Arial" w:hAnsi="Arial" w:cs="Arial" w:hint="eastAsia"/>
          <w:color w:val="000000" w:themeColor="text1"/>
          <w:sz w:val="21"/>
          <w:szCs w:val="21"/>
        </w:rPr>
        <w:t>市商品住宅供应套数接近</w:t>
      </w:r>
      <w:r w:rsidR="009C397F" w:rsidRPr="007B4794">
        <w:rPr>
          <w:rFonts w:ascii="Arial" w:hAnsi="Arial" w:cs="Arial" w:hint="eastAsia"/>
          <w:color w:val="000000" w:themeColor="text1"/>
          <w:sz w:val="21"/>
          <w:szCs w:val="21"/>
        </w:rPr>
        <w:t>6580</w:t>
      </w:r>
      <w:r w:rsidRPr="007B4794">
        <w:rPr>
          <w:rFonts w:ascii="Arial" w:hAnsi="Arial" w:cs="Arial" w:hint="eastAsia"/>
          <w:color w:val="000000" w:themeColor="text1"/>
          <w:sz w:val="21"/>
          <w:szCs w:val="21"/>
        </w:rPr>
        <w:t>万套，</w:t>
      </w:r>
      <w:r w:rsidRPr="007B4794">
        <w:rPr>
          <w:rFonts w:ascii="Arial" w:hAnsi="Arial" w:cs="Arial" w:hint="eastAsia"/>
          <w:color w:val="000000" w:themeColor="text1"/>
          <w:sz w:val="21"/>
          <w:szCs w:val="21"/>
        </w:rPr>
        <w:t>2018</w:t>
      </w:r>
      <w:r w:rsidRPr="007B4794">
        <w:rPr>
          <w:rFonts w:ascii="Arial" w:hAnsi="Arial" w:cs="Arial" w:hint="eastAsia"/>
          <w:color w:val="000000" w:themeColor="text1"/>
          <w:sz w:val="21"/>
          <w:szCs w:val="21"/>
        </w:rPr>
        <w:t>年供应套数为</w:t>
      </w:r>
      <w:r w:rsidR="009C397F" w:rsidRPr="007B4794">
        <w:rPr>
          <w:rFonts w:ascii="Arial" w:hAnsi="Arial" w:cs="Arial" w:hint="eastAsia"/>
          <w:color w:val="000000" w:themeColor="text1"/>
          <w:sz w:val="21"/>
          <w:szCs w:val="21"/>
        </w:rPr>
        <w:t>9245</w:t>
      </w:r>
      <w:r w:rsidR="009C397F" w:rsidRPr="007B4794">
        <w:rPr>
          <w:rFonts w:ascii="Arial" w:hAnsi="Arial" w:cs="Arial" w:hint="eastAsia"/>
          <w:color w:val="000000" w:themeColor="text1"/>
          <w:sz w:val="21"/>
          <w:szCs w:val="21"/>
        </w:rPr>
        <w:t>套</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2019</w:t>
      </w:r>
      <w:r w:rsidRPr="007B4794">
        <w:rPr>
          <w:rFonts w:ascii="Arial" w:hAnsi="Arial" w:cs="Arial" w:hint="eastAsia"/>
          <w:color w:val="000000" w:themeColor="text1"/>
          <w:sz w:val="21"/>
          <w:szCs w:val="21"/>
        </w:rPr>
        <w:t>年供应套数为</w:t>
      </w:r>
      <w:r w:rsidR="009C397F" w:rsidRPr="007B4794">
        <w:rPr>
          <w:rFonts w:ascii="Arial" w:hAnsi="Arial" w:cs="Arial" w:hint="eastAsia"/>
          <w:color w:val="000000" w:themeColor="text1"/>
          <w:sz w:val="21"/>
          <w:szCs w:val="21"/>
        </w:rPr>
        <w:t>11806</w:t>
      </w:r>
      <w:r w:rsidRPr="007B4794">
        <w:rPr>
          <w:rFonts w:ascii="Arial" w:hAnsi="Arial" w:cs="Arial" w:hint="eastAsia"/>
          <w:color w:val="000000" w:themeColor="text1"/>
          <w:sz w:val="21"/>
          <w:szCs w:val="21"/>
        </w:rPr>
        <w:t>套，</w:t>
      </w:r>
      <w:r w:rsidR="009C397F" w:rsidRPr="007B4794">
        <w:rPr>
          <w:rFonts w:ascii="Arial" w:hAnsi="Arial" w:cs="Arial" w:hint="eastAsia"/>
          <w:color w:val="000000" w:themeColor="text1"/>
          <w:sz w:val="21"/>
          <w:szCs w:val="21"/>
        </w:rPr>
        <w:t>2019</w:t>
      </w:r>
      <w:r w:rsidR="009C397F" w:rsidRPr="007B4794">
        <w:rPr>
          <w:rFonts w:ascii="Arial" w:hAnsi="Arial" w:cs="Arial" w:hint="eastAsia"/>
          <w:color w:val="000000" w:themeColor="text1"/>
          <w:sz w:val="21"/>
          <w:szCs w:val="21"/>
        </w:rPr>
        <w:t>年</w:t>
      </w:r>
      <w:r w:rsidRPr="007B4794">
        <w:rPr>
          <w:rFonts w:ascii="Arial" w:hAnsi="Arial" w:cs="Arial" w:hint="eastAsia"/>
          <w:color w:val="000000" w:themeColor="text1"/>
          <w:sz w:val="21"/>
          <w:szCs w:val="21"/>
        </w:rPr>
        <w:t>供应面积为</w:t>
      </w:r>
      <w:r w:rsidR="009C397F" w:rsidRPr="007B4794">
        <w:rPr>
          <w:rFonts w:ascii="Arial" w:hAnsi="Arial" w:cs="Arial" w:hint="eastAsia"/>
          <w:color w:val="000000" w:themeColor="text1"/>
          <w:sz w:val="21"/>
          <w:szCs w:val="21"/>
        </w:rPr>
        <w:t>135.92</w:t>
      </w:r>
      <w:r w:rsidRPr="007B4794">
        <w:rPr>
          <w:rFonts w:ascii="Arial" w:hAnsi="Arial" w:cs="Arial" w:hint="eastAsia"/>
          <w:color w:val="000000" w:themeColor="text1"/>
          <w:sz w:val="21"/>
          <w:szCs w:val="21"/>
        </w:rPr>
        <w:t>平方米，供应套数及新增供应面积分别</w:t>
      </w:r>
      <w:r w:rsidR="009C397F" w:rsidRPr="007B4794">
        <w:rPr>
          <w:rFonts w:ascii="Arial" w:hAnsi="Arial" w:cs="Arial" w:hint="eastAsia"/>
          <w:color w:val="000000" w:themeColor="text1"/>
          <w:sz w:val="21"/>
          <w:szCs w:val="21"/>
        </w:rPr>
        <w:t>较</w:t>
      </w:r>
      <w:r w:rsidR="009C397F" w:rsidRPr="007B4794">
        <w:rPr>
          <w:rFonts w:ascii="Arial" w:hAnsi="Arial" w:cs="Arial" w:hint="eastAsia"/>
          <w:color w:val="000000" w:themeColor="text1"/>
          <w:sz w:val="21"/>
          <w:szCs w:val="21"/>
        </w:rPr>
        <w:t>2018</w:t>
      </w:r>
      <w:r w:rsidR="009C397F" w:rsidRPr="007B4794">
        <w:rPr>
          <w:rFonts w:ascii="Arial" w:hAnsi="Arial" w:cs="Arial" w:hint="eastAsia"/>
          <w:color w:val="000000" w:themeColor="text1"/>
          <w:sz w:val="21"/>
          <w:szCs w:val="21"/>
        </w:rPr>
        <w:t>年上升</w:t>
      </w:r>
      <w:r w:rsidRPr="007B4794">
        <w:rPr>
          <w:rFonts w:ascii="Arial" w:hAnsi="Arial" w:cs="Arial" w:hint="eastAsia"/>
          <w:color w:val="000000" w:themeColor="text1"/>
          <w:sz w:val="21"/>
          <w:szCs w:val="21"/>
        </w:rPr>
        <w:t>了</w:t>
      </w:r>
      <w:r w:rsidR="009C397F" w:rsidRPr="007B4794">
        <w:rPr>
          <w:rFonts w:ascii="Arial" w:hAnsi="Arial" w:cs="Arial" w:hint="eastAsia"/>
          <w:color w:val="000000" w:themeColor="text1"/>
          <w:sz w:val="21"/>
          <w:szCs w:val="21"/>
        </w:rPr>
        <w:t>27.7</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和</w:t>
      </w:r>
      <w:r w:rsidR="009C397F" w:rsidRPr="007B4794">
        <w:rPr>
          <w:rFonts w:ascii="Arial" w:hAnsi="Arial" w:cs="Arial" w:hint="eastAsia"/>
          <w:color w:val="000000" w:themeColor="text1"/>
          <w:sz w:val="21"/>
          <w:szCs w:val="21"/>
        </w:rPr>
        <w:t>34.22</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w:t>
      </w:r>
    </w:p>
    <w:p w14:paraId="6E8ABF1D" w14:textId="15D50722" w:rsidR="00AE01CB" w:rsidRDefault="00AE01CB" w:rsidP="0041327D">
      <w:pPr>
        <w:widowControl w:val="0"/>
        <w:adjustRightInd w:val="0"/>
        <w:snapToGrid w:val="0"/>
        <w:spacing w:line="480" w:lineRule="auto"/>
        <w:ind w:firstLineChars="200" w:firstLine="420"/>
        <w:jc w:val="both"/>
        <w:rPr>
          <w:rFonts w:ascii="Arial" w:hAnsi="Arial" w:cs="Arial" w:hint="eastAsia"/>
          <w:color w:val="000000" w:themeColor="text1"/>
          <w:sz w:val="21"/>
          <w:szCs w:val="21"/>
        </w:rPr>
      </w:pPr>
      <w:r w:rsidRPr="007B4794">
        <w:rPr>
          <w:rFonts w:ascii="Arial" w:hAnsi="Arial" w:cs="Arial" w:hint="eastAsia"/>
          <w:color w:val="000000" w:themeColor="text1"/>
          <w:sz w:val="21"/>
          <w:szCs w:val="21"/>
        </w:rPr>
        <w:t>从销售情况来看，</w:t>
      </w:r>
      <w:r w:rsidR="009C397F" w:rsidRPr="007B4794">
        <w:rPr>
          <w:rFonts w:ascii="Arial" w:hAnsi="Arial" w:cs="Arial" w:hint="eastAsia"/>
          <w:color w:val="000000" w:themeColor="text1"/>
          <w:sz w:val="21"/>
          <w:szCs w:val="21"/>
        </w:rPr>
        <w:t>2017-2019</w:t>
      </w:r>
      <w:r w:rsidR="009C397F" w:rsidRPr="007B4794">
        <w:rPr>
          <w:rFonts w:ascii="Arial" w:hAnsi="Arial" w:cs="Arial" w:hint="eastAsia"/>
          <w:color w:val="000000" w:themeColor="text1"/>
          <w:sz w:val="21"/>
          <w:szCs w:val="21"/>
        </w:rPr>
        <w:t>年漳州</w:t>
      </w:r>
      <w:r w:rsidRPr="007B4794">
        <w:rPr>
          <w:rFonts w:ascii="Arial" w:hAnsi="Arial" w:cs="Arial" w:hint="eastAsia"/>
          <w:color w:val="000000" w:themeColor="text1"/>
          <w:sz w:val="21"/>
          <w:szCs w:val="21"/>
        </w:rPr>
        <w:t>市商品住宅成交量呈</w:t>
      </w:r>
      <w:r w:rsidR="009C397F" w:rsidRPr="007B4794">
        <w:rPr>
          <w:rFonts w:ascii="Arial" w:hAnsi="Arial" w:cs="Arial" w:hint="eastAsia"/>
          <w:color w:val="000000" w:themeColor="text1"/>
          <w:sz w:val="21"/>
          <w:szCs w:val="21"/>
        </w:rPr>
        <w:t>上升</w:t>
      </w:r>
      <w:r w:rsidRPr="007B4794">
        <w:rPr>
          <w:rFonts w:ascii="Arial" w:hAnsi="Arial" w:cs="Arial" w:hint="eastAsia"/>
          <w:color w:val="000000" w:themeColor="text1"/>
          <w:sz w:val="21"/>
          <w:szCs w:val="21"/>
        </w:rPr>
        <w:t>走势，</w:t>
      </w:r>
      <w:r w:rsidR="009C397F" w:rsidRPr="007B4794">
        <w:rPr>
          <w:rFonts w:ascii="Arial" w:hAnsi="Arial" w:cs="Arial" w:hint="eastAsia"/>
          <w:color w:val="000000" w:themeColor="text1"/>
          <w:sz w:val="21"/>
          <w:szCs w:val="21"/>
        </w:rPr>
        <w:t xml:space="preserve"> </w:t>
      </w:r>
      <w:r w:rsidRPr="007B4794">
        <w:rPr>
          <w:rFonts w:ascii="Arial" w:hAnsi="Arial" w:cs="Arial" w:hint="eastAsia"/>
          <w:color w:val="000000" w:themeColor="text1"/>
          <w:sz w:val="21"/>
          <w:szCs w:val="21"/>
        </w:rPr>
        <w:t>201</w:t>
      </w:r>
      <w:r w:rsidR="009C397F" w:rsidRPr="007B4794">
        <w:rPr>
          <w:rFonts w:ascii="Arial" w:hAnsi="Arial" w:cs="Arial" w:hint="eastAsia"/>
          <w:color w:val="000000" w:themeColor="text1"/>
          <w:sz w:val="21"/>
          <w:szCs w:val="21"/>
        </w:rPr>
        <w:t>9</w:t>
      </w:r>
      <w:r w:rsidRPr="007B4794">
        <w:rPr>
          <w:rFonts w:ascii="Arial" w:hAnsi="Arial" w:cs="Arial" w:hint="eastAsia"/>
          <w:color w:val="000000" w:themeColor="text1"/>
          <w:sz w:val="21"/>
          <w:szCs w:val="21"/>
        </w:rPr>
        <w:t>年为近</w:t>
      </w:r>
      <w:r w:rsidR="009C397F" w:rsidRPr="007B4794">
        <w:rPr>
          <w:rFonts w:ascii="Arial" w:hAnsi="Arial" w:cs="Arial" w:hint="eastAsia"/>
          <w:color w:val="000000" w:themeColor="text1"/>
          <w:sz w:val="21"/>
          <w:szCs w:val="21"/>
        </w:rPr>
        <w:t>3</w:t>
      </w:r>
      <w:r w:rsidRPr="007B4794">
        <w:rPr>
          <w:rFonts w:ascii="Arial" w:hAnsi="Arial" w:cs="Arial" w:hint="eastAsia"/>
          <w:color w:val="000000" w:themeColor="text1"/>
          <w:sz w:val="21"/>
          <w:szCs w:val="21"/>
        </w:rPr>
        <w:t>年销售高峰，全年成交商品住宅超过</w:t>
      </w:r>
      <w:r w:rsidR="009C397F" w:rsidRPr="007B4794">
        <w:rPr>
          <w:rFonts w:ascii="Arial" w:hAnsi="Arial" w:cs="Arial" w:hint="eastAsia"/>
          <w:color w:val="000000" w:themeColor="text1"/>
          <w:sz w:val="21"/>
          <w:szCs w:val="21"/>
        </w:rPr>
        <w:t>8000</w:t>
      </w:r>
      <w:r w:rsidRPr="007B4794">
        <w:rPr>
          <w:rFonts w:ascii="Arial" w:hAnsi="Arial" w:cs="Arial" w:hint="eastAsia"/>
          <w:color w:val="000000" w:themeColor="text1"/>
          <w:sz w:val="21"/>
          <w:szCs w:val="21"/>
        </w:rPr>
        <w:t>套，成交面积达</w:t>
      </w:r>
      <w:r w:rsidR="009C397F" w:rsidRPr="007B4794">
        <w:rPr>
          <w:rFonts w:ascii="Arial" w:hAnsi="Arial" w:cs="Arial" w:hint="eastAsia"/>
          <w:color w:val="000000" w:themeColor="text1"/>
          <w:sz w:val="21"/>
          <w:szCs w:val="21"/>
        </w:rPr>
        <w:t>93.6</w:t>
      </w:r>
      <w:r w:rsidRPr="007B4794">
        <w:rPr>
          <w:rFonts w:ascii="Arial" w:hAnsi="Arial" w:cs="Arial" w:hint="eastAsia"/>
          <w:color w:val="000000" w:themeColor="text1"/>
          <w:sz w:val="21"/>
          <w:szCs w:val="21"/>
        </w:rPr>
        <w:t>万平方米，环比</w:t>
      </w:r>
      <w:r w:rsidR="009C397F" w:rsidRPr="007B4794">
        <w:rPr>
          <w:rFonts w:ascii="Arial" w:hAnsi="Arial" w:cs="Arial" w:hint="eastAsia"/>
          <w:color w:val="000000" w:themeColor="text1"/>
          <w:sz w:val="21"/>
          <w:szCs w:val="21"/>
        </w:rPr>
        <w:t>上涨</w:t>
      </w:r>
      <w:r w:rsidR="009C397F" w:rsidRPr="007B4794">
        <w:rPr>
          <w:rFonts w:ascii="Arial" w:hAnsi="Arial" w:cs="Arial" w:hint="eastAsia"/>
          <w:color w:val="000000" w:themeColor="text1"/>
          <w:sz w:val="21"/>
          <w:szCs w:val="21"/>
        </w:rPr>
        <w:t>24.25%</w:t>
      </w:r>
      <w:r w:rsidRPr="007B4794">
        <w:rPr>
          <w:rFonts w:ascii="Arial" w:hAnsi="Arial" w:cs="Arial" w:hint="eastAsia"/>
          <w:color w:val="000000" w:themeColor="text1"/>
          <w:sz w:val="21"/>
          <w:szCs w:val="21"/>
        </w:rPr>
        <w:t>。</w:t>
      </w:r>
    </w:p>
    <w:p w14:paraId="21252967" w14:textId="77777777" w:rsidR="00074032" w:rsidRPr="00074032" w:rsidRDefault="00074032" w:rsidP="00074032">
      <w:pPr>
        <w:widowControl w:val="0"/>
        <w:adjustRightInd w:val="0"/>
        <w:snapToGrid w:val="0"/>
        <w:spacing w:line="480" w:lineRule="auto"/>
        <w:ind w:firstLineChars="200" w:firstLine="420"/>
        <w:jc w:val="both"/>
        <w:rPr>
          <w:rFonts w:ascii="华文楷体" w:eastAsia="华文楷体" w:hAnsi="华文楷体" w:cs="Arial"/>
          <w:color w:val="000000" w:themeColor="text1"/>
          <w:sz w:val="21"/>
          <w:szCs w:val="21"/>
        </w:rPr>
      </w:pPr>
      <w:r w:rsidRPr="00074032">
        <w:rPr>
          <w:rFonts w:ascii="华文楷体" w:eastAsia="华文楷体" w:hAnsi="华文楷体" w:cs="Arial" w:hint="eastAsia"/>
          <w:color w:val="000000" w:themeColor="text1"/>
          <w:sz w:val="21"/>
          <w:szCs w:val="21"/>
        </w:rPr>
        <w:t>（转下页）</w:t>
      </w:r>
    </w:p>
    <w:p w14:paraId="2946EDFF" w14:textId="77777777" w:rsidR="00074032" w:rsidRPr="007B4794" w:rsidRDefault="00074032" w:rsidP="0041327D">
      <w:pPr>
        <w:widowControl w:val="0"/>
        <w:adjustRightInd w:val="0"/>
        <w:snapToGrid w:val="0"/>
        <w:spacing w:line="480" w:lineRule="auto"/>
        <w:ind w:firstLineChars="200" w:firstLine="420"/>
        <w:jc w:val="both"/>
        <w:rPr>
          <w:rFonts w:ascii="Arial" w:hAnsi="Arial" w:cs="Arial"/>
          <w:color w:val="000000" w:themeColor="text1"/>
          <w:sz w:val="21"/>
          <w:szCs w:val="21"/>
        </w:rPr>
      </w:pPr>
    </w:p>
    <w:p w14:paraId="5BD2B12C" w14:textId="48CB4606" w:rsidR="00AE01CB" w:rsidRPr="007B4794" w:rsidRDefault="009C397F" w:rsidP="00AE01CB">
      <w:pPr>
        <w:widowControl w:val="0"/>
        <w:adjustRightInd w:val="0"/>
        <w:snapToGrid w:val="0"/>
        <w:spacing w:line="480" w:lineRule="auto"/>
        <w:jc w:val="center"/>
        <w:rPr>
          <w:rFonts w:ascii="Arial" w:hAnsi="Arial" w:cs="Arial"/>
          <w:color w:val="000000" w:themeColor="text1"/>
          <w:sz w:val="21"/>
          <w:szCs w:val="21"/>
        </w:rPr>
      </w:pPr>
      <w:r w:rsidRPr="007B4794">
        <w:rPr>
          <w:noProof/>
          <w:color w:val="000000" w:themeColor="text1"/>
        </w:rPr>
        <w:lastRenderedPageBreak/>
        <w:drawing>
          <wp:inline distT="0" distB="0" distL="0" distR="0" wp14:anchorId="394A2A0C" wp14:editId="76851525">
            <wp:extent cx="5486400" cy="2172335"/>
            <wp:effectExtent l="0" t="0" r="19050" b="18415"/>
            <wp:docPr id="24" name="图表 2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CE3C591" w14:textId="7C5BE673" w:rsidR="00AE01CB" w:rsidRPr="007B4794" w:rsidRDefault="00AE01CB" w:rsidP="00D36E6A">
      <w:pPr>
        <w:adjustRightInd w:val="0"/>
        <w:snapToGrid w:val="0"/>
        <w:spacing w:after="240"/>
        <w:rPr>
          <w:rFonts w:ascii="华文细黑" w:eastAsia="华文细黑" w:hAnsi="华文细黑" w:cs="Arial"/>
          <w:color w:val="000000" w:themeColor="text1"/>
          <w:sz w:val="15"/>
          <w:szCs w:val="15"/>
        </w:rPr>
      </w:pPr>
      <w:r w:rsidRPr="007B4794">
        <w:rPr>
          <w:rFonts w:ascii="华文细黑" w:eastAsia="华文细黑" w:hAnsi="华文细黑" w:cs="Arial" w:hint="eastAsia"/>
          <w:color w:val="000000" w:themeColor="text1"/>
          <w:sz w:val="15"/>
          <w:szCs w:val="15"/>
        </w:rPr>
        <w:t>资料来源：</w:t>
      </w:r>
      <w:r w:rsidRPr="007B4794">
        <w:rPr>
          <w:rFonts w:ascii="Arial" w:eastAsia="华文细黑" w:hAnsi="Arial" w:cs="Arial"/>
          <w:color w:val="000000" w:themeColor="text1"/>
          <w:sz w:val="15"/>
          <w:szCs w:val="15"/>
        </w:rPr>
        <w:t>CR</w:t>
      </w:r>
      <w:r w:rsidR="009C397F" w:rsidRPr="007B4794">
        <w:rPr>
          <w:rFonts w:ascii="Arial" w:eastAsia="华文细黑" w:hAnsi="Arial" w:cs="Arial" w:hint="eastAsia"/>
          <w:color w:val="000000" w:themeColor="text1"/>
          <w:sz w:val="15"/>
          <w:szCs w:val="15"/>
        </w:rPr>
        <w:t>IC</w:t>
      </w:r>
      <w:r w:rsidR="009C397F" w:rsidRPr="007B4794">
        <w:rPr>
          <w:rFonts w:ascii="华文细黑" w:eastAsia="华文细黑" w:hAnsi="华文细黑" w:cs="Arial" w:hint="eastAsia"/>
          <w:color w:val="000000" w:themeColor="text1"/>
          <w:sz w:val="15"/>
          <w:szCs w:val="15"/>
        </w:rPr>
        <w:t>克而瑞</w:t>
      </w:r>
      <w:r w:rsidRPr="007B4794">
        <w:rPr>
          <w:rFonts w:ascii="华文细黑" w:eastAsia="华文细黑" w:hAnsi="华文细黑" w:cs="Arial" w:hint="eastAsia"/>
          <w:color w:val="000000" w:themeColor="text1"/>
          <w:sz w:val="15"/>
          <w:szCs w:val="15"/>
        </w:rPr>
        <w:t>数据</w:t>
      </w:r>
    </w:p>
    <w:p w14:paraId="0BB561B4" w14:textId="79F85C69" w:rsidR="00AE01CB" w:rsidRPr="007B4794" w:rsidRDefault="00AE01CB"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2020</w:t>
      </w:r>
      <w:r w:rsidRPr="007B4794">
        <w:rPr>
          <w:rFonts w:ascii="Arial" w:hAnsi="Arial" w:cs="Arial" w:hint="eastAsia"/>
          <w:color w:val="000000" w:themeColor="text1"/>
          <w:sz w:val="21"/>
          <w:szCs w:val="21"/>
        </w:rPr>
        <w:t>年</w:t>
      </w:r>
      <w:r w:rsidRPr="007B4794">
        <w:rPr>
          <w:rFonts w:ascii="Arial" w:hAnsi="Arial" w:cs="Arial"/>
          <w:color w:val="000000" w:themeColor="text1"/>
          <w:sz w:val="21"/>
          <w:szCs w:val="21"/>
        </w:rPr>
        <w:t>1-</w:t>
      </w:r>
      <w:r w:rsidR="009C397F" w:rsidRPr="007B4794">
        <w:rPr>
          <w:rFonts w:ascii="Arial" w:hAnsi="Arial" w:cs="Arial" w:hint="eastAsia"/>
          <w:color w:val="000000" w:themeColor="text1"/>
          <w:sz w:val="21"/>
          <w:szCs w:val="21"/>
        </w:rPr>
        <w:t>10</w:t>
      </w:r>
      <w:r w:rsidRPr="007B4794">
        <w:rPr>
          <w:rFonts w:ascii="Arial" w:hAnsi="Arial" w:cs="Arial"/>
          <w:color w:val="000000" w:themeColor="text1"/>
          <w:sz w:val="21"/>
          <w:szCs w:val="21"/>
        </w:rPr>
        <w:t>月</w:t>
      </w:r>
      <w:r w:rsidR="009C397F" w:rsidRPr="007B4794">
        <w:rPr>
          <w:rFonts w:ascii="Arial" w:hAnsi="Arial" w:cs="Arial" w:hint="eastAsia"/>
          <w:color w:val="000000" w:themeColor="text1"/>
          <w:sz w:val="21"/>
          <w:szCs w:val="21"/>
        </w:rPr>
        <w:t>漳州</w:t>
      </w:r>
      <w:r w:rsidRPr="007B4794">
        <w:rPr>
          <w:rFonts w:ascii="Arial" w:hAnsi="Arial" w:cs="Arial" w:hint="eastAsia"/>
          <w:color w:val="000000" w:themeColor="text1"/>
          <w:sz w:val="21"/>
          <w:szCs w:val="21"/>
        </w:rPr>
        <w:t>市共推出商品住宅</w:t>
      </w:r>
      <w:r w:rsidR="009C397F" w:rsidRPr="007B4794">
        <w:rPr>
          <w:rFonts w:ascii="Arial" w:hAnsi="Arial" w:cs="Arial" w:hint="eastAsia"/>
          <w:color w:val="000000" w:themeColor="text1"/>
          <w:sz w:val="21"/>
          <w:szCs w:val="21"/>
        </w:rPr>
        <w:t>9065</w:t>
      </w:r>
      <w:r w:rsidRPr="007B4794">
        <w:rPr>
          <w:rFonts w:ascii="Arial" w:hAnsi="Arial" w:cs="Arial" w:hint="eastAsia"/>
          <w:color w:val="000000" w:themeColor="text1"/>
          <w:sz w:val="21"/>
          <w:szCs w:val="21"/>
        </w:rPr>
        <w:t>套，供应面积</w:t>
      </w:r>
      <w:r w:rsidR="00AE33F6" w:rsidRPr="007B4794">
        <w:rPr>
          <w:rFonts w:ascii="Arial" w:hAnsi="Arial" w:cs="Arial" w:hint="eastAsia"/>
          <w:color w:val="000000" w:themeColor="text1"/>
          <w:sz w:val="21"/>
          <w:szCs w:val="21"/>
        </w:rPr>
        <w:t>96.76</w:t>
      </w:r>
      <w:r w:rsidRPr="007B4794">
        <w:rPr>
          <w:rFonts w:ascii="Arial" w:hAnsi="Arial" w:cs="Arial" w:hint="eastAsia"/>
          <w:color w:val="000000" w:themeColor="text1"/>
          <w:sz w:val="21"/>
          <w:szCs w:val="21"/>
        </w:rPr>
        <w:t>万平方米，供应套数同比减少</w:t>
      </w:r>
      <w:r w:rsidR="00AE33F6" w:rsidRPr="007B4794">
        <w:rPr>
          <w:rFonts w:ascii="Arial" w:hAnsi="Arial" w:cs="Arial" w:hint="eastAsia"/>
          <w:color w:val="000000" w:themeColor="text1"/>
          <w:sz w:val="21"/>
          <w:szCs w:val="21"/>
        </w:rPr>
        <w:t>577</w:t>
      </w:r>
      <w:r w:rsidRPr="007B4794">
        <w:rPr>
          <w:rFonts w:ascii="Arial" w:hAnsi="Arial" w:cs="Arial" w:hint="eastAsia"/>
          <w:color w:val="000000" w:themeColor="text1"/>
          <w:sz w:val="21"/>
          <w:szCs w:val="21"/>
        </w:rPr>
        <w:t>套，供应面积同比减少</w:t>
      </w:r>
      <w:r w:rsidR="00AE33F6" w:rsidRPr="007B4794">
        <w:rPr>
          <w:rFonts w:ascii="Arial" w:hAnsi="Arial" w:cs="Arial" w:hint="eastAsia"/>
          <w:color w:val="000000" w:themeColor="text1"/>
          <w:sz w:val="21"/>
          <w:szCs w:val="21"/>
        </w:rPr>
        <w:t>15.32</w:t>
      </w:r>
      <w:r w:rsidR="00AE33F6" w:rsidRPr="007B4794">
        <w:rPr>
          <w:rFonts w:ascii="Arial" w:hAnsi="Arial" w:cs="Arial" w:hint="eastAsia"/>
          <w:color w:val="000000" w:themeColor="text1"/>
          <w:sz w:val="21"/>
          <w:szCs w:val="21"/>
        </w:rPr>
        <w:t>万平方米</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2020</w:t>
      </w:r>
      <w:r w:rsidRPr="007B4794">
        <w:rPr>
          <w:rFonts w:ascii="Arial" w:hAnsi="Arial" w:cs="Arial" w:hint="eastAsia"/>
          <w:color w:val="000000" w:themeColor="text1"/>
          <w:sz w:val="21"/>
          <w:szCs w:val="21"/>
        </w:rPr>
        <w:t>年</w:t>
      </w:r>
      <w:r w:rsidR="00AE33F6" w:rsidRPr="007B4794">
        <w:rPr>
          <w:rFonts w:ascii="Arial" w:hAnsi="Arial" w:cs="Arial"/>
          <w:color w:val="000000" w:themeColor="text1"/>
          <w:sz w:val="21"/>
          <w:szCs w:val="21"/>
        </w:rPr>
        <w:t>1-</w:t>
      </w:r>
      <w:r w:rsidR="00AE33F6" w:rsidRPr="007B4794">
        <w:rPr>
          <w:rFonts w:ascii="Arial" w:hAnsi="Arial" w:cs="Arial" w:hint="eastAsia"/>
          <w:color w:val="000000" w:themeColor="text1"/>
          <w:sz w:val="21"/>
          <w:szCs w:val="21"/>
        </w:rPr>
        <w:t>10</w:t>
      </w:r>
      <w:r w:rsidR="00AE33F6" w:rsidRPr="007B4794">
        <w:rPr>
          <w:rFonts w:ascii="Arial" w:hAnsi="Arial" w:cs="Arial"/>
          <w:color w:val="000000" w:themeColor="text1"/>
          <w:sz w:val="21"/>
          <w:szCs w:val="21"/>
        </w:rPr>
        <w:t>月</w:t>
      </w:r>
      <w:r w:rsidR="00AE33F6" w:rsidRPr="007B4794">
        <w:rPr>
          <w:rFonts w:ascii="Arial" w:hAnsi="Arial" w:cs="Arial" w:hint="eastAsia"/>
          <w:color w:val="000000" w:themeColor="text1"/>
          <w:sz w:val="21"/>
          <w:szCs w:val="21"/>
        </w:rPr>
        <w:t>漳州市</w:t>
      </w:r>
      <w:r w:rsidRPr="007B4794">
        <w:rPr>
          <w:rFonts w:ascii="Arial" w:hAnsi="Arial" w:cs="Arial" w:hint="eastAsia"/>
          <w:color w:val="000000" w:themeColor="text1"/>
          <w:sz w:val="21"/>
          <w:szCs w:val="21"/>
        </w:rPr>
        <w:t>商品住宅共计成交</w:t>
      </w:r>
      <w:r w:rsidR="00AE33F6" w:rsidRPr="007B4794">
        <w:rPr>
          <w:rFonts w:ascii="Arial" w:hAnsi="Arial" w:cs="Arial" w:hint="eastAsia"/>
          <w:color w:val="000000" w:themeColor="text1"/>
          <w:sz w:val="21"/>
          <w:szCs w:val="21"/>
        </w:rPr>
        <w:t>8446</w:t>
      </w:r>
      <w:r w:rsidRPr="007B4794">
        <w:rPr>
          <w:rFonts w:ascii="Arial" w:hAnsi="Arial" w:cs="Arial" w:hint="eastAsia"/>
          <w:color w:val="000000" w:themeColor="text1"/>
          <w:sz w:val="21"/>
          <w:szCs w:val="21"/>
        </w:rPr>
        <w:t>套，成交面积</w:t>
      </w:r>
      <w:r w:rsidR="00AE33F6" w:rsidRPr="007B4794">
        <w:rPr>
          <w:rFonts w:ascii="Arial" w:hAnsi="Arial" w:cs="Arial" w:hint="eastAsia"/>
          <w:color w:val="000000" w:themeColor="text1"/>
          <w:sz w:val="21"/>
          <w:szCs w:val="21"/>
        </w:rPr>
        <w:t>90.63</w:t>
      </w:r>
      <w:r w:rsidRPr="007B4794">
        <w:rPr>
          <w:rFonts w:ascii="Arial" w:hAnsi="Arial" w:cs="Arial" w:hint="eastAsia"/>
          <w:color w:val="000000" w:themeColor="text1"/>
          <w:sz w:val="21"/>
          <w:szCs w:val="21"/>
        </w:rPr>
        <w:t>万平方米，</w:t>
      </w:r>
      <w:r w:rsidR="00AE33F6" w:rsidRPr="007B4794">
        <w:rPr>
          <w:rFonts w:ascii="Arial" w:hAnsi="Arial" w:cs="Arial" w:hint="eastAsia"/>
          <w:color w:val="000000" w:themeColor="text1"/>
          <w:sz w:val="21"/>
          <w:szCs w:val="21"/>
        </w:rPr>
        <w:t>成交套数同比增加</w:t>
      </w:r>
      <w:r w:rsidR="00AE33F6" w:rsidRPr="007B4794">
        <w:rPr>
          <w:rFonts w:ascii="Arial" w:hAnsi="Arial" w:cs="Arial" w:hint="eastAsia"/>
          <w:color w:val="000000" w:themeColor="text1"/>
          <w:sz w:val="21"/>
          <w:szCs w:val="21"/>
        </w:rPr>
        <w:t>1872</w:t>
      </w:r>
      <w:r w:rsidR="00AE33F6" w:rsidRPr="007B4794">
        <w:rPr>
          <w:rFonts w:ascii="Arial" w:hAnsi="Arial" w:cs="Arial" w:hint="eastAsia"/>
          <w:color w:val="000000" w:themeColor="text1"/>
          <w:sz w:val="21"/>
          <w:szCs w:val="21"/>
        </w:rPr>
        <w:t>套</w:t>
      </w:r>
      <w:r w:rsidRPr="007B4794">
        <w:rPr>
          <w:rFonts w:ascii="Arial" w:hAnsi="Arial" w:cs="Arial" w:hint="eastAsia"/>
          <w:color w:val="000000" w:themeColor="text1"/>
          <w:sz w:val="21"/>
          <w:szCs w:val="21"/>
        </w:rPr>
        <w:t>，供应</w:t>
      </w:r>
      <w:r w:rsidR="00AE33F6" w:rsidRPr="007B4794">
        <w:rPr>
          <w:rFonts w:ascii="Arial" w:hAnsi="Arial" w:cs="Arial" w:hint="eastAsia"/>
          <w:color w:val="000000" w:themeColor="text1"/>
          <w:sz w:val="21"/>
          <w:szCs w:val="21"/>
        </w:rPr>
        <w:t>面积同比增加</w:t>
      </w:r>
      <w:r w:rsidR="00AE33F6" w:rsidRPr="007B4794">
        <w:rPr>
          <w:rFonts w:ascii="Arial" w:hAnsi="Arial" w:cs="Arial" w:hint="eastAsia"/>
          <w:color w:val="000000" w:themeColor="text1"/>
          <w:sz w:val="21"/>
          <w:szCs w:val="21"/>
        </w:rPr>
        <w:t>17.4</w:t>
      </w:r>
      <w:r w:rsidR="00AE33F6" w:rsidRPr="007B4794">
        <w:rPr>
          <w:rFonts w:ascii="Arial" w:hAnsi="Arial" w:cs="Arial" w:hint="eastAsia"/>
          <w:color w:val="000000" w:themeColor="text1"/>
          <w:sz w:val="21"/>
          <w:szCs w:val="21"/>
        </w:rPr>
        <w:t>万平方米，</w:t>
      </w:r>
      <w:r w:rsidRPr="007B4794">
        <w:rPr>
          <w:rFonts w:ascii="Arial" w:hAnsi="Arial" w:cs="Arial" w:hint="eastAsia"/>
          <w:color w:val="000000" w:themeColor="text1"/>
          <w:sz w:val="21"/>
          <w:szCs w:val="21"/>
        </w:rPr>
        <w:t>从月度走势可以看到，一季度受假期及疫情影响，整个一季度新批供应处于低位，一季度共推出商品住宅仅</w:t>
      </w:r>
      <w:r w:rsidR="0029510E" w:rsidRPr="007B4794">
        <w:rPr>
          <w:rFonts w:ascii="Arial" w:hAnsi="Arial" w:cs="Arial" w:hint="eastAsia"/>
          <w:color w:val="000000" w:themeColor="text1"/>
          <w:sz w:val="21"/>
          <w:szCs w:val="21"/>
        </w:rPr>
        <w:t>10.77</w:t>
      </w:r>
      <w:r w:rsidRPr="007B4794">
        <w:rPr>
          <w:rFonts w:ascii="Arial" w:hAnsi="Arial" w:cs="Arial" w:hint="eastAsia"/>
          <w:color w:val="000000" w:themeColor="text1"/>
          <w:sz w:val="21"/>
          <w:szCs w:val="21"/>
        </w:rPr>
        <w:t>万平方米，其中</w:t>
      </w:r>
      <w:r w:rsidRPr="007B4794">
        <w:rPr>
          <w:rFonts w:ascii="Arial" w:hAnsi="Arial" w:cs="Arial" w:hint="eastAsia"/>
          <w:color w:val="000000" w:themeColor="text1"/>
          <w:sz w:val="21"/>
          <w:szCs w:val="21"/>
        </w:rPr>
        <w:t>2</w:t>
      </w:r>
      <w:r w:rsidRPr="007B4794">
        <w:rPr>
          <w:rFonts w:ascii="Arial" w:hAnsi="Arial" w:cs="Arial" w:hint="eastAsia"/>
          <w:color w:val="000000" w:themeColor="text1"/>
          <w:sz w:val="21"/>
          <w:szCs w:val="21"/>
        </w:rPr>
        <w:t>月单月出现零供应，进入二季度供应量逐月提升，二季度供应量为</w:t>
      </w:r>
      <w:r w:rsidR="0029510E" w:rsidRPr="007B4794">
        <w:rPr>
          <w:rFonts w:ascii="Arial" w:hAnsi="Arial" w:cs="Arial" w:hint="eastAsia"/>
          <w:color w:val="000000" w:themeColor="text1"/>
          <w:sz w:val="21"/>
          <w:szCs w:val="21"/>
        </w:rPr>
        <w:t>39.19</w:t>
      </w:r>
      <w:r w:rsidRPr="007B4794">
        <w:rPr>
          <w:rFonts w:ascii="Arial" w:hAnsi="Arial" w:cs="Arial" w:hint="eastAsia"/>
          <w:color w:val="000000" w:themeColor="text1"/>
          <w:sz w:val="21"/>
          <w:szCs w:val="21"/>
        </w:rPr>
        <w:t>万平方米，同比增长</w:t>
      </w:r>
      <w:r w:rsidRPr="007B4794">
        <w:rPr>
          <w:rFonts w:ascii="Arial" w:hAnsi="Arial" w:cs="Arial" w:hint="eastAsia"/>
          <w:color w:val="000000" w:themeColor="text1"/>
          <w:sz w:val="21"/>
          <w:szCs w:val="21"/>
        </w:rPr>
        <w:t>1.</w:t>
      </w:r>
      <w:r w:rsidR="0029510E" w:rsidRPr="007B4794">
        <w:rPr>
          <w:rFonts w:ascii="Arial" w:hAnsi="Arial" w:cs="Arial" w:hint="eastAsia"/>
          <w:color w:val="000000" w:themeColor="text1"/>
          <w:sz w:val="21"/>
          <w:szCs w:val="21"/>
        </w:rPr>
        <w:t>52</w:t>
      </w:r>
      <w:r w:rsidRPr="007B4794">
        <w:rPr>
          <w:rFonts w:ascii="Arial" w:hAnsi="Arial" w:cs="Arial" w:hint="eastAsia"/>
          <w:color w:val="000000" w:themeColor="text1"/>
          <w:sz w:val="21"/>
          <w:szCs w:val="21"/>
        </w:rPr>
        <w:t>倍；成交方面，同样受疫情影响，</w:t>
      </w:r>
      <w:r w:rsidRPr="007B4794">
        <w:rPr>
          <w:rFonts w:ascii="Arial" w:hAnsi="Arial" w:cs="Arial" w:hint="eastAsia"/>
          <w:color w:val="000000" w:themeColor="text1"/>
          <w:sz w:val="21"/>
          <w:szCs w:val="21"/>
        </w:rPr>
        <w:t>2</w:t>
      </w:r>
      <w:r w:rsidR="0029510E" w:rsidRPr="007B4794">
        <w:rPr>
          <w:rFonts w:ascii="Arial" w:hAnsi="Arial" w:cs="Arial" w:hint="eastAsia"/>
          <w:color w:val="000000" w:themeColor="text1"/>
          <w:sz w:val="21"/>
          <w:szCs w:val="21"/>
        </w:rPr>
        <w:t>-3</w:t>
      </w:r>
      <w:r w:rsidRPr="007B4794">
        <w:rPr>
          <w:rFonts w:ascii="Arial" w:hAnsi="Arial" w:cs="Arial" w:hint="eastAsia"/>
          <w:color w:val="000000" w:themeColor="text1"/>
          <w:sz w:val="21"/>
          <w:szCs w:val="21"/>
        </w:rPr>
        <w:t>月为近年来同期最低，之后随着疫情逐步得到控制，市场热度明显提升，成交量迅速回升，至</w:t>
      </w:r>
      <w:r w:rsidR="0029510E" w:rsidRPr="007B4794">
        <w:rPr>
          <w:rFonts w:ascii="Arial" w:hAnsi="Arial" w:cs="Arial" w:hint="eastAsia"/>
          <w:color w:val="000000" w:themeColor="text1"/>
          <w:sz w:val="21"/>
          <w:szCs w:val="21"/>
        </w:rPr>
        <w:t>5</w:t>
      </w:r>
      <w:r w:rsidRPr="007B4794">
        <w:rPr>
          <w:rFonts w:ascii="Arial" w:hAnsi="Arial" w:cs="Arial" w:hint="eastAsia"/>
          <w:color w:val="000000" w:themeColor="text1"/>
          <w:sz w:val="21"/>
          <w:szCs w:val="21"/>
        </w:rPr>
        <w:t>月份月度成交量超过</w:t>
      </w:r>
      <w:r w:rsidR="0029510E" w:rsidRPr="007B4794">
        <w:rPr>
          <w:rFonts w:ascii="Arial" w:hAnsi="Arial" w:cs="Arial" w:hint="eastAsia"/>
          <w:color w:val="000000" w:themeColor="text1"/>
          <w:sz w:val="21"/>
          <w:szCs w:val="21"/>
        </w:rPr>
        <w:t>890</w:t>
      </w:r>
      <w:r w:rsidRPr="007B4794">
        <w:rPr>
          <w:rFonts w:ascii="Arial" w:hAnsi="Arial" w:cs="Arial" w:hint="eastAsia"/>
          <w:color w:val="000000" w:themeColor="text1"/>
          <w:sz w:val="21"/>
          <w:szCs w:val="21"/>
        </w:rPr>
        <w:t>套，成交面积达到</w:t>
      </w:r>
      <w:r w:rsidR="0029510E" w:rsidRPr="007B4794">
        <w:rPr>
          <w:rFonts w:ascii="Arial" w:hAnsi="Arial" w:cs="Arial" w:hint="eastAsia"/>
          <w:color w:val="000000" w:themeColor="text1"/>
          <w:sz w:val="21"/>
          <w:szCs w:val="21"/>
        </w:rPr>
        <w:t>9.61</w:t>
      </w:r>
      <w:r w:rsidRPr="007B4794">
        <w:rPr>
          <w:rFonts w:ascii="Arial" w:hAnsi="Arial" w:cs="Arial" w:hint="eastAsia"/>
          <w:color w:val="000000" w:themeColor="text1"/>
          <w:sz w:val="21"/>
          <w:szCs w:val="21"/>
        </w:rPr>
        <w:t>万平方米，已</w:t>
      </w:r>
      <w:r w:rsidR="0029510E" w:rsidRPr="007B4794">
        <w:rPr>
          <w:rFonts w:ascii="Arial" w:hAnsi="Arial" w:cs="Arial" w:hint="eastAsia"/>
          <w:color w:val="000000" w:themeColor="text1"/>
          <w:sz w:val="21"/>
          <w:szCs w:val="21"/>
        </w:rPr>
        <w:t>超过</w:t>
      </w:r>
      <w:r w:rsidRPr="007B4794">
        <w:rPr>
          <w:rFonts w:ascii="Arial" w:hAnsi="Arial" w:cs="Arial" w:hint="eastAsia"/>
          <w:color w:val="000000" w:themeColor="text1"/>
          <w:sz w:val="21"/>
          <w:szCs w:val="21"/>
        </w:rPr>
        <w:t>去年市场平均水平，楼市整体呈回暖趋势。</w:t>
      </w:r>
    </w:p>
    <w:p w14:paraId="4871FFF8" w14:textId="4576ABBD" w:rsidR="00AE01CB" w:rsidRPr="007B4794" w:rsidRDefault="00AE33F6" w:rsidP="00AE01CB">
      <w:pPr>
        <w:widowControl w:val="0"/>
        <w:adjustRightInd w:val="0"/>
        <w:snapToGrid w:val="0"/>
        <w:spacing w:line="480" w:lineRule="auto"/>
        <w:jc w:val="center"/>
        <w:rPr>
          <w:rFonts w:ascii="Arial" w:hAnsi="Arial" w:cs="Arial"/>
          <w:color w:val="000000" w:themeColor="text1"/>
          <w:sz w:val="21"/>
          <w:szCs w:val="21"/>
        </w:rPr>
      </w:pPr>
      <w:r w:rsidRPr="007B4794">
        <w:rPr>
          <w:noProof/>
          <w:color w:val="000000" w:themeColor="text1"/>
        </w:rPr>
        <w:drawing>
          <wp:inline distT="0" distB="0" distL="0" distR="0" wp14:anchorId="74A752B0" wp14:editId="6A891809">
            <wp:extent cx="5876925" cy="2847975"/>
            <wp:effectExtent l="0" t="0" r="9525" b="9525"/>
            <wp:docPr id="25" name="图表 2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1C62EC59-CB9C-4170-A287-85EC3FCB8F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875B52B" w14:textId="241A1EB8" w:rsidR="00AE01CB" w:rsidRPr="007B4794" w:rsidRDefault="00AE01CB" w:rsidP="00AE01CB">
      <w:pPr>
        <w:adjustRightInd w:val="0"/>
        <w:snapToGrid w:val="0"/>
        <w:spacing w:line="480" w:lineRule="auto"/>
        <w:rPr>
          <w:rFonts w:ascii="华文细黑" w:eastAsia="华文细黑" w:hAnsi="华文细黑" w:cs="Arial"/>
          <w:color w:val="000000" w:themeColor="text1"/>
          <w:sz w:val="15"/>
          <w:szCs w:val="15"/>
        </w:rPr>
      </w:pPr>
      <w:r w:rsidRPr="007B4794">
        <w:rPr>
          <w:rFonts w:ascii="华文细黑" w:eastAsia="华文细黑" w:hAnsi="华文细黑" w:cs="Arial" w:hint="eastAsia"/>
          <w:color w:val="000000" w:themeColor="text1"/>
          <w:sz w:val="15"/>
          <w:szCs w:val="15"/>
        </w:rPr>
        <w:t>资料来源：</w:t>
      </w:r>
      <w:r w:rsidR="00D36E6A" w:rsidRPr="007B4794">
        <w:rPr>
          <w:rFonts w:ascii="Arial" w:eastAsia="华文细黑" w:hAnsi="Arial" w:cs="Arial"/>
          <w:color w:val="000000" w:themeColor="text1"/>
          <w:sz w:val="15"/>
          <w:szCs w:val="15"/>
        </w:rPr>
        <w:t>CRIC</w:t>
      </w:r>
      <w:r w:rsidR="00D36E6A" w:rsidRPr="007B4794">
        <w:rPr>
          <w:rFonts w:ascii="Arial" w:eastAsia="华文细黑" w:hAnsi="Arial" w:cs="Arial"/>
          <w:color w:val="000000" w:themeColor="text1"/>
          <w:sz w:val="15"/>
          <w:szCs w:val="15"/>
        </w:rPr>
        <w:t>克而瑞数据</w:t>
      </w:r>
    </w:p>
    <w:p w14:paraId="36B417ED" w14:textId="77777777" w:rsidR="00AE01CB" w:rsidRPr="007B4794" w:rsidRDefault="00AE01CB"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lastRenderedPageBreak/>
        <w:t>2</w:t>
      </w:r>
      <w:r w:rsidRPr="007B4794">
        <w:rPr>
          <w:rFonts w:ascii="Arial" w:hAnsi="Arial" w:cs="Arial" w:hint="eastAsia"/>
          <w:color w:val="000000" w:themeColor="text1"/>
          <w:sz w:val="21"/>
          <w:szCs w:val="21"/>
        </w:rPr>
        <w:t>、成交价格情况</w:t>
      </w:r>
    </w:p>
    <w:p w14:paraId="3606A8C1" w14:textId="437366B3" w:rsidR="00AE01CB" w:rsidRPr="007B4794" w:rsidRDefault="00AE01CB"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201</w:t>
      </w:r>
      <w:r w:rsidR="0029510E" w:rsidRPr="007B4794">
        <w:rPr>
          <w:rFonts w:ascii="Arial" w:hAnsi="Arial" w:cs="Arial" w:hint="eastAsia"/>
          <w:color w:val="000000" w:themeColor="text1"/>
          <w:sz w:val="21"/>
          <w:szCs w:val="21"/>
        </w:rPr>
        <w:t>7</w:t>
      </w:r>
      <w:r w:rsidRPr="007B4794">
        <w:rPr>
          <w:rFonts w:ascii="Arial" w:hAnsi="Arial" w:cs="Arial" w:hint="eastAsia"/>
          <w:color w:val="000000" w:themeColor="text1"/>
          <w:sz w:val="21"/>
          <w:szCs w:val="21"/>
        </w:rPr>
        <w:t>-2019</w:t>
      </w:r>
      <w:r w:rsidRPr="007B4794">
        <w:rPr>
          <w:rFonts w:ascii="Arial" w:hAnsi="Arial" w:cs="Arial" w:hint="eastAsia"/>
          <w:color w:val="000000" w:themeColor="text1"/>
          <w:sz w:val="21"/>
          <w:szCs w:val="21"/>
        </w:rPr>
        <w:t>年，</w:t>
      </w:r>
      <w:r w:rsidR="00D30D68" w:rsidRPr="007B4794">
        <w:rPr>
          <w:rFonts w:ascii="Arial" w:hAnsi="Arial" w:cs="Arial" w:hint="eastAsia"/>
          <w:color w:val="000000" w:themeColor="text1"/>
          <w:sz w:val="21"/>
          <w:szCs w:val="21"/>
        </w:rPr>
        <w:t>漳州</w:t>
      </w:r>
      <w:r w:rsidRPr="007B4794">
        <w:rPr>
          <w:rFonts w:ascii="Arial" w:hAnsi="Arial" w:cs="Arial" w:hint="eastAsia"/>
          <w:color w:val="000000" w:themeColor="text1"/>
          <w:sz w:val="21"/>
          <w:szCs w:val="21"/>
        </w:rPr>
        <w:t>市商品住宅成交价格整体呈上升趋势</w:t>
      </w:r>
      <w:r w:rsidR="00AF6518" w:rsidRPr="007B4794">
        <w:rPr>
          <w:rFonts w:ascii="Arial" w:hAnsi="Arial" w:cs="Arial" w:hint="eastAsia"/>
          <w:color w:val="000000" w:themeColor="text1"/>
          <w:sz w:val="21"/>
          <w:szCs w:val="21"/>
        </w:rPr>
        <w:t>，</w:t>
      </w:r>
      <w:r w:rsidR="0029510E" w:rsidRPr="007B4794">
        <w:rPr>
          <w:rFonts w:ascii="Arial" w:hAnsi="Arial" w:cs="Arial" w:hint="eastAsia"/>
          <w:color w:val="000000" w:themeColor="text1"/>
          <w:sz w:val="21"/>
          <w:szCs w:val="21"/>
        </w:rPr>
        <w:t>2017</w:t>
      </w:r>
      <w:r w:rsidR="0029510E" w:rsidRPr="007B4794">
        <w:rPr>
          <w:rFonts w:ascii="Arial" w:hAnsi="Arial" w:cs="Arial" w:hint="eastAsia"/>
          <w:color w:val="000000" w:themeColor="text1"/>
          <w:sz w:val="21"/>
          <w:szCs w:val="21"/>
        </w:rPr>
        <w:t>年成交均价为</w:t>
      </w:r>
      <w:r w:rsidR="0029510E" w:rsidRPr="007B4794">
        <w:rPr>
          <w:rFonts w:ascii="Arial" w:hAnsi="Arial" w:cs="Arial" w:hint="eastAsia"/>
          <w:color w:val="000000" w:themeColor="text1"/>
          <w:sz w:val="21"/>
          <w:szCs w:val="21"/>
        </w:rPr>
        <w:t>13681</w:t>
      </w:r>
      <w:r w:rsidR="0029510E" w:rsidRPr="007B4794">
        <w:rPr>
          <w:rFonts w:ascii="Arial" w:hAnsi="Arial" w:cs="Arial" w:hint="eastAsia"/>
          <w:color w:val="000000" w:themeColor="text1"/>
          <w:sz w:val="21"/>
          <w:szCs w:val="21"/>
        </w:rPr>
        <w:t>元</w:t>
      </w:r>
      <w:r w:rsidR="0029510E" w:rsidRPr="007B4794">
        <w:rPr>
          <w:rFonts w:ascii="Arial" w:hAnsi="Arial" w:cs="Arial" w:hint="eastAsia"/>
          <w:color w:val="000000" w:themeColor="text1"/>
          <w:sz w:val="21"/>
          <w:szCs w:val="21"/>
        </w:rPr>
        <w:t>/</w:t>
      </w:r>
      <w:r w:rsidR="0029510E" w:rsidRPr="007B4794">
        <w:rPr>
          <w:rFonts w:ascii="Arial" w:hAnsi="Arial" w:cs="Arial" w:hint="eastAsia"/>
          <w:color w:val="000000" w:themeColor="text1"/>
          <w:sz w:val="21"/>
          <w:szCs w:val="21"/>
        </w:rPr>
        <w:t>平方米</w:t>
      </w:r>
      <w:r w:rsidR="0065553E" w:rsidRPr="007B4794">
        <w:rPr>
          <w:rFonts w:ascii="Arial" w:hAnsi="Arial" w:cs="Arial" w:hint="eastAsia"/>
          <w:color w:val="000000" w:themeColor="text1"/>
          <w:sz w:val="21"/>
          <w:szCs w:val="21"/>
        </w:rPr>
        <w:t>；</w:t>
      </w:r>
      <w:r w:rsidR="0029510E" w:rsidRPr="007B4794">
        <w:rPr>
          <w:rFonts w:ascii="Arial" w:hAnsi="Arial" w:cs="Arial" w:hint="eastAsia"/>
          <w:color w:val="000000" w:themeColor="text1"/>
          <w:sz w:val="21"/>
          <w:szCs w:val="21"/>
        </w:rPr>
        <w:t>2018</w:t>
      </w:r>
      <w:r w:rsidR="0029510E" w:rsidRPr="007B4794">
        <w:rPr>
          <w:rFonts w:ascii="Arial" w:hAnsi="Arial" w:cs="Arial" w:hint="eastAsia"/>
          <w:color w:val="000000" w:themeColor="text1"/>
          <w:sz w:val="21"/>
          <w:szCs w:val="21"/>
        </w:rPr>
        <w:t>年成交均价为</w:t>
      </w:r>
      <w:r w:rsidR="0029510E" w:rsidRPr="007B4794">
        <w:rPr>
          <w:rFonts w:ascii="Arial" w:hAnsi="Arial" w:cs="Arial" w:hint="eastAsia"/>
          <w:color w:val="000000" w:themeColor="text1"/>
          <w:sz w:val="21"/>
          <w:szCs w:val="21"/>
        </w:rPr>
        <w:t>14824</w:t>
      </w:r>
      <w:r w:rsidRPr="007B4794">
        <w:rPr>
          <w:rFonts w:ascii="Arial" w:hAnsi="Arial" w:cs="Arial" w:hint="eastAsia"/>
          <w:color w:val="000000" w:themeColor="text1"/>
          <w:sz w:val="21"/>
          <w:szCs w:val="21"/>
        </w:rPr>
        <w:t>元</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平方米，</w:t>
      </w:r>
      <w:r w:rsidR="0065553E" w:rsidRPr="007B4794">
        <w:rPr>
          <w:rFonts w:ascii="Arial" w:hAnsi="Arial" w:cs="Arial" w:hint="eastAsia"/>
          <w:color w:val="000000" w:themeColor="text1"/>
          <w:sz w:val="21"/>
          <w:szCs w:val="21"/>
        </w:rPr>
        <w:t>环比增长</w:t>
      </w:r>
      <w:r w:rsidR="0065553E" w:rsidRPr="007B4794">
        <w:rPr>
          <w:rFonts w:ascii="Arial" w:hAnsi="Arial" w:cs="Arial" w:hint="eastAsia"/>
          <w:color w:val="000000" w:themeColor="text1"/>
          <w:sz w:val="21"/>
          <w:szCs w:val="21"/>
        </w:rPr>
        <w:t>8.35%</w:t>
      </w:r>
      <w:r w:rsidR="0065553E"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2019</w:t>
      </w:r>
      <w:r w:rsidRPr="007B4794">
        <w:rPr>
          <w:rFonts w:ascii="Arial" w:hAnsi="Arial" w:cs="Arial" w:hint="eastAsia"/>
          <w:color w:val="000000" w:themeColor="text1"/>
          <w:sz w:val="21"/>
          <w:szCs w:val="21"/>
        </w:rPr>
        <w:t>年成交均价为</w:t>
      </w:r>
      <w:r w:rsidR="0065553E" w:rsidRPr="007B4794">
        <w:rPr>
          <w:rFonts w:ascii="Arial" w:hAnsi="Arial" w:cs="Arial" w:hint="eastAsia"/>
          <w:color w:val="000000" w:themeColor="text1"/>
          <w:sz w:val="21"/>
          <w:szCs w:val="21"/>
        </w:rPr>
        <w:t>15200</w:t>
      </w:r>
      <w:r w:rsidRPr="007B4794">
        <w:rPr>
          <w:rFonts w:ascii="Arial" w:hAnsi="Arial" w:cs="Arial" w:hint="eastAsia"/>
          <w:color w:val="000000" w:themeColor="text1"/>
          <w:sz w:val="21"/>
          <w:szCs w:val="21"/>
        </w:rPr>
        <w:t>元</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平方米，环比增长</w:t>
      </w:r>
      <w:r w:rsidR="0065553E" w:rsidRPr="007B4794">
        <w:rPr>
          <w:rFonts w:ascii="Arial" w:hAnsi="Arial" w:cs="Arial" w:hint="eastAsia"/>
          <w:color w:val="000000" w:themeColor="text1"/>
          <w:sz w:val="21"/>
          <w:szCs w:val="21"/>
        </w:rPr>
        <w:t>2.54</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2020</w:t>
      </w:r>
      <w:r w:rsidRPr="007B4794">
        <w:rPr>
          <w:rFonts w:ascii="Arial" w:hAnsi="Arial" w:cs="Arial" w:hint="eastAsia"/>
          <w:color w:val="000000" w:themeColor="text1"/>
          <w:sz w:val="21"/>
          <w:szCs w:val="21"/>
        </w:rPr>
        <w:t>年</w:t>
      </w:r>
      <w:r w:rsidR="0065553E" w:rsidRPr="007B4794">
        <w:rPr>
          <w:rFonts w:ascii="Arial" w:hAnsi="Arial" w:cs="Arial" w:hint="eastAsia"/>
          <w:color w:val="000000" w:themeColor="text1"/>
          <w:sz w:val="21"/>
          <w:szCs w:val="21"/>
        </w:rPr>
        <w:t>1-10</w:t>
      </w:r>
      <w:r w:rsidR="0065553E" w:rsidRPr="007B4794">
        <w:rPr>
          <w:rFonts w:ascii="Arial" w:hAnsi="Arial" w:cs="Arial" w:hint="eastAsia"/>
          <w:color w:val="000000" w:themeColor="text1"/>
          <w:sz w:val="21"/>
          <w:szCs w:val="21"/>
        </w:rPr>
        <w:t>月</w:t>
      </w:r>
      <w:r w:rsidRPr="007B4794">
        <w:rPr>
          <w:rFonts w:ascii="Arial" w:hAnsi="Arial" w:cs="Arial" w:hint="eastAsia"/>
          <w:color w:val="000000" w:themeColor="text1"/>
          <w:sz w:val="21"/>
          <w:szCs w:val="21"/>
        </w:rPr>
        <w:t>成交均价为</w:t>
      </w:r>
      <w:r w:rsidR="0065553E" w:rsidRPr="007B4794">
        <w:rPr>
          <w:rFonts w:ascii="Arial" w:hAnsi="Arial" w:cs="Arial" w:hint="eastAsia"/>
          <w:color w:val="000000" w:themeColor="text1"/>
          <w:sz w:val="21"/>
          <w:szCs w:val="21"/>
        </w:rPr>
        <w:t>14687</w:t>
      </w:r>
      <w:r w:rsidRPr="007B4794">
        <w:rPr>
          <w:rFonts w:ascii="Arial" w:hAnsi="Arial" w:cs="Arial" w:hint="eastAsia"/>
          <w:color w:val="000000" w:themeColor="text1"/>
          <w:sz w:val="21"/>
          <w:szCs w:val="21"/>
        </w:rPr>
        <w:t>元</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平方米，相比去年全年均价</w:t>
      </w:r>
      <w:r w:rsidR="0065553E" w:rsidRPr="007B4794">
        <w:rPr>
          <w:rFonts w:ascii="Arial" w:hAnsi="Arial" w:cs="Arial" w:hint="eastAsia"/>
          <w:color w:val="000000" w:themeColor="text1"/>
          <w:sz w:val="21"/>
          <w:szCs w:val="21"/>
        </w:rPr>
        <w:t>下降</w:t>
      </w:r>
      <w:r w:rsidRPr="007B4794">
        <w:rPr>
          <w:rFonts w:ascii="Arial" w:hAnsi="Arial" w:cs="Arial" w:hint="eastAsia"/>
          <w:color w:val="000000" w:themeColor="text1"/>
          <w:sz w:val="21"/>
          <w:szCs w:val="21"/>
        </w:rPr>
        <w:t>了</w:t>
      </w:r>
      <w:r w:rsidR="0065553E" w:rsidRPr="007B4794">
        <w:rPr>
          <w:rFonts w:ascii="Arial" w:hAnsi="Arial" w:cs="Arial" w:hint="eastAsia"/>
          <w:color w:val="000000" w:themeColor="text1"/>
          <w:sz w:val="21"/>
          <w:szCs w:val="21"/>
        </w:rPr>
        <w:t>3.38</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。年总销售额在</w:t>
      </w:r>
      <w:r w:rsidRPr="007B4794">
        <w:rPr>
          <w:rFonts w:ascii="Arial" w:hAnsi="Arial" w:cs="Arial" w:hint="eastAsia"/>
          <w:color w:val="000000" w:themeColor="text1"/>
          <w:sz w:val="21"/>
          <w:szCs w:val="21"/>
        </w:rPr>
        <w:t>2017</w:t>
      </w:r>
      <w:r w:rsidRPr="007B4794">
        <w:rPr>
          <w:rFonts w:ascii="Arial" w:hAnsi="Arial" w:cs="Arial" w:hint="eastAsia"/>
          <w:color w:val="000000" w:themeColor="text1"/>
          <w:sz w:val="21"/>
          <w:szCs w:val="21"/>
        </w:rPr>
        <w:t>年</w:t>
      </w:r>
      <w:r w:rsidR="00AF6518" w:rsidRPr="007B4794">
        <w:rPr>
          <w:rFonts w:ascii="Arial" w:hAnsi="Arial" w:cs="Arial" w:hint="eastAsia"/>
          <w:color w:val="000000" w:themeColor="text1"/>
          <w:sz w:val="21"/>
          <w:szCs w:val="21"/>
        </w:rPr>
        <w:t>跌</w:t>
      </w:r>
      <w:r w:rsidRPr="007B4794">
        <w:rPr>
          <w:rFonts w:ascii="Arial" w:hAnsi="Arial" w:cs="Arial" w:hint="eastAsia"/>
          <w:color w:val="000000" w:themeColor="text1"/>
          <w:sz w:val="21"/>
          <w:szCs w:val="21"/>
        </w:rPr>
        <w:t>至谷底，而</w:t>
      </w:r>
      <w:r w:rsidRPr="007B4794">
        <w:rPr>
          <w:rFonts w:ascii="Arial" w:hAnsi="Arial" w:cs="Arial" w:hint="eastAsia"/>
          <w:color w:val="000000" w:themeColor="text1"/>
          <w:sz w:val="21"/>
          <w:szCs w:val="21"/>
        </w:rPr>
        <w:t>2018</w:t>
      </w:r>
      <w:r w:rsidRPr="007B4794">
        <w:rPr>
          <w:rFonts w:ascii="Arial" w:hAnsi="Arial" w:cs="Arial" w:hint="eastAsia"/>
          <w:color w:val="000000" w:themeColor="text1"/>
          <w:sz w:val="21"/>
          <w:szCs w:val="21"/>
        </w:rPr>
        <w:t>年出现反弹</w:t>
      </w:r>
      <w:r w:rsidR="00C7731B" w:rsidRPr="007B4794">
        <w:rPr>
          <w:rFonts w:ascii="Arial" w:hAnsi="Arial" w:cs="Arial" w:hint="eastAsia"/>
          <w:color w:val="000000" w:themeColor="text1"/>
          <w:sz w:val="21"/>
          <w:szCs w:val="21"/>
        </w:rPr>
        <w:t>，</w:t>
      </w:r>
      <w:r w:rsidR="00C7731B" w:rsidRPr="007B4794">
        <w:rPr>
          <w:rFonts w:ascii="Arial" w:hAnsi="Arial" w:cs="Arial" w:hint="eastAsia"/>
          <w:color w:val="000000" w:themeColor="text1"/>
          <w:sz w:val="21"/>
          <w:szCs w:val="21"/>
        </w:rPr>
        <w:t>2019</w:t>
      </w:r>
      <w:r w:rsidR="00C7731B" w:rsidRPr="007B4794">
        <w:rPr>
          <w:rFonts w:ascii="Arial" w:hAnsi="Arial" w:cs="Arial" w:hint="eastAsia"/>
          <w:color w:val="000000" w:themeColor="text1"/>
          <w:sz w:val="21"/>
          <w:szCs w:val="21"/>
        </w:rPr>
        <w:t>年</w:t>
      </w:r>
      <w:r w:rsidRPr="007B4794">
        <w:rPr>
          <w:rFonts w:ascii="Arial" w:hAnsi="Arial" w:cs="Arial" w:hint="eastAsia"/>
          <w:color w:val="000000" w:themeColor="text1"/>
          <w:sz w:val="21"/>
          <w:szCs w:val="21"/>
        </w:rPr>
        <w:t>达到近年来峰值，</w:t>
      </w:r>
      <w:r w:rsidR="00C7731B" w:rsidRPr="007B4794">
        <w:rPr>
          <w:rFonts w:ascii="Arial" w:hAnsi="Arial" w:cs="Arial" w:hint="eastAsia"/>
          <w:color w:val="000000" w:themeColor="text1"/>
          <w:sz w:val="21"/>
          <w:szCs w:val="21"/>
        </w:rPr>
        <w:t>2020</w:t>
      </w:r>
      <w:r w:rsidR="00C7731B" w:rsidRPr="007B4794">
        <w:rPr>
          <w:rFonts w:ascii="Arial" w:hAnsi="Arial" w:cs="Arial" w:hint="eastAsia"/>
          <w:color w:val="000000" w:themeColor="text1"/>
          <w:sz w:val="21"/>
          <w:szCs w:val="21"/>
        </w:rPr>
        <w:t>年</w:t>
      </w:r>
      <w:r w:rsidR="00C7731B" w:rsidRPr="007B4794">
        <w:rPr>
          <w:rFonts w:ascii="Arial" w:hAnsi="Arial" w:cs="Arial" w:hint="eastAsia"/>
          <w:color w:val="000000" w:themeColor="text1"/>
          <w:sz w:val="21"/>
          <w:szCs w:val="21"/>
        </w:rPr>
        <w:t>1-10</w:t>
      </w:r>
      <w:r w:rsidR="00C7731B" w:rsidRPr="007B4794">
        <w:rPr>
          <w:rFonts w:ascii="Arial" w:hAnsi="Arial" w:cs="Arial" w:hint="eastAsia"/>
          <w:color w:val="000000" w:themeColor="text1"/>
          <w:sz w:val="21"/>
          <w:szCs w:val="21"/>
        </w:rPr>
        <w:t>月成交总额为</w:t>
      </w:r>
      <w:r w:rsidR="00C7731B" w:rsidRPr="007B4794">
        <w:rPr>
          <w:rFonts w:ascii="Arial" w:hAnsi="Arial" w:cs="Arial" w:hint="eastAsia"/>
          <w:color w:val="000000" w:themeColor="text1"/>
          <w:sz w:val="21"/>
          <w:szCs w:val="21"/>
        </w:rPr>
        <w:t>133.1</w:t>
      </w:r>
      <w:r w:rsidR="00C7731B" w:rsidRPr="007B4794">
        <w:rPr>
          <w:rFonts w:ascii="Arial" w:hAnsi="Arial" w:cs="Arial" w:hint="eastAsia"/>
          <w:color w:val="000000" w:themeColor="text1"/>
          <w:sz w:val="21"/>
          <w:szCs w:val="21"/>
        </w:rPr>
        <w:t>亿元，超过去年同期成交总额，预计</w:t>
      </w:r>
      <w:r w:rsidR="00C7731B" w:rsidRPr="007B4794">
        <w:rPr>
          <w:rFonts w:ascii="Arial" w:hAnsi="Arial" w:cs="Arial" w:hint="eastAsia"/>
          <w:color w:val="000000" w:themeColor="text1"/>
          <w:sz w:val="21"/>
          <w:szCs w:val="21"/>
        </w:rPr>
        <w:t>2020</w:t>
      </w:r>
      <w:r w:rsidR="00C7731B" w:rsidRPr="007B4794">
        <w:rPr>
          <w:rFonts w:ascii="Arial" w:hAnsi="Arial" w:cs="Arial" w:hint="eastAsia"/>
          <w:color w:val="000000" w:themeColor="text1"/>
          <w:sz w:val="21"/>
          <w:szCs w:val="21"/>
        </w:rPr>
        <w:t>年全年</w:t>
      </w:r>
      <w:r w:rsidRPr="007B4794">
        <w:rPr>
          <w:rFonts w:ascii="Arial" w:hAnsi="Arial" w:cs="Arial" w:hint="eastAsia"/>
          <w:color w:val="000000" w:themeColor="text1"/>
          <w:sz w:val="21"/>
          <w:szCs w:val="21"/>
        </w:rPr>
        <w:t>整体收入水平</w:t>
      </w:r>
      <w:r w:rsidR="00D36E6A" w:rsidRPr="007B4794">
        <w:rPr>
          <w:rFonts w:ascii="Arial" w:hAnsi="Arial" w:cs="Arial" w:hint="eastAsia"/>
          <w:color w:val="000000" w:themeColor="text1"/>
          <w:sz w:val="21"/>
          <w:szCs w:val="21"/>
        </w:rPr>
        <w:t>将与</w:t>
      </w:r>
      <w:r w:rsidR="00D36E6A" w:rsidRPr="007B4794">
        <w:rPr>
          <w:rFonts w:ascii="Arial" w:hAnsi="Arial" w:cs="Arial" w:hint="eastAsia"/>
          <w:color w:val="000000" w:themeColor="text1"/>
          <w:sz w:val="21"/>
          <w:szCs w:val="21"/>
        </w:rPr>
        <w:t>2019</w:t>
      </w:r>
      <w:r w:rsidR="00D36E6A" w:rsidRPr="007B4794">
        <w:rPr>
          <w:rFonts w:ascii="Arial" w:hAnsi="Arial" w:cs="Arial" w:hint="eastAsia"/>
          <w:color w:val="000000" w:themeColor="text1"/>
          <w:sz w:val="21"/>
          <w:szCs w:val="21"/>
        </w:rPr>
        <w:t>年全年成交总额持平或超越，</w:t>
      </w:r>
      <w:r w:rsidRPr="007B4794">
        <w:rPr>
          <w:rFonts w:ascii="Arial" w:hAnsi="Arial" w:cs="Arial" w:hint="eastAsia"/>
          <w:color w:val="000000" w:themeColor="text1"/>
          <w:sz w:val="21"/>
          <w:szCs w:val="21"/>
        </w:rPr>
        <w:t>基本</w:t>
      </w:r>
      <w:r w:rsidR="00AF6518" w:rsidRPr="007B4794">
        <w:rPr>
          <w:rFonts w:ascii="Arial" w:hAnsi="Arial" w:cs="Arial" w:hint="eastAsia"/>
          <w:color w:val="000000" w:themeColor="text1"/>
          <w:sz w:val="21"/>
          <w:szCs w:val="21"/>
        </w:rPr>
        <w:t>保持</w:t>
      </w:r>
      <w:r w:rsidRPr="007B4794">
        <w:rPr>
          <w:rFonts w:ascii="Arial" w:hAnsi="Arial" w:cs="Arial" w:hint="eastAsia"/>
          <w:color w:val="000000" w:themeColor="text1"/>
          <w:sz w:val="21"/>
          <w:szCs w:val="21"/>
        </w:rPr>
        <w:t>稳中有升</w:t>
      </w:r>
      <w:r w:rsidR="00D36E6A" w:rsidRPr="007B4794">
        <w:rPr>
          <w:rFonts w:ascii="Arial" w:hAnsi="Arial" w:cs="Arial" w:hint="eastAsia"/>
          <w:color w:val="000000" w:themeColor="text1"/>
          <w:sz w:val="21"/>
          <w:szCs w:val="21"/>
        </w:rPr>
        <w:t>状态</w:t>
      </w:r>
      <w:r w:rsidRPr="007B4794">
        <w:rPr>
          <w:rFonts w:ascii="Arial" w:hAnsi="Arial" w:cs="Arial" w:hint="eastAsia"/>
          <w:color w:val="000000" w:themeColor="text1"/>
          <w:sz w:val="21"/>
          <w:szCs w:val="21"/>
        </w:rPr>
        <w:t>。</w:t>
      </w:r>
    </w:p>
    <w:p w14:paraId="574B98ED" w14:textId="3AC54700" w:rsidR="00AE01CB" w:rsidRPr="007B4794" w:rsidRDefault="0029510E" w:rsidP="00AE01CB">
      <w:pPr>
        <w:widowControl w:val="0"/>
        <w:adjustRightInd w:val="0"/>
        <w:snapToGrid w:val="0"/>
        <w:spacing w:line="480" w:lineRule="auto"/>
        <w:jc w:val="center"/>
        <w:rPr>
          <w:rFonts w:ascii="Arial" w:hAnsi="Arial" w:cs="Arial"/>
          <w:color w:val="000000" w:themeColor="text1"/>
          <w:sz w:val="21"/>
          <w:szCs w:val="21"/>
        </w:rPr>
      </w:pPr>
      <w:r w:rsidRPr="007B4794">
        <w:rPr>
          <w:noProof/>
          <w:color w:val="000000" w:themeColor="text1"/>
        </w:rPr>
        <w:drawing>
          <wp:inline distT="0" distB="0" distL="0" distR="0" wp14:anchorId="725839C2" wp14:editId="286C0B2E">
            <wp:extent cx="5486400" cy="2408555"/>
            <wp:effectExtent l="0" t="0" r="19050" b="10795"/>
            <wp:docPr id="30" name="图表 3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882303F7-F59D-4736-A72D-863D640199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7B4794">
        <w:rPr>
          <w:noProof/>
          <w:color w:val="000000" w:themeColor="text1"/>
        </w:rPr>
        <w:t xml:space="preserve"> </w:t>
      </w:r>
    </w:p>
    <w:p w14:paraId="0A36AC7E" w14:textId="6A2C2463" w:rsidR="00AE01CB" w:rsidRPr="007B4794" w:rsidRDefault="00AE01CB" w:rsidP="00AE01CB">
      <w:pPr>
        <w:spacing w:line="480" w:lineRule="auto"/>
        <w:rPr>
          <w:rFonts w:ascii="华文细黑" w:eastAsia="华文细黑" w:hAnsi="华文细黑" w:cs="Arial"/>
          <w:color w:val="000000" w:themeColor="text1"/>
          <w:sz w:val="15"/>
          <w:szCs w:val="15"/>
        </w:rPr>
      </w:pPr>
      <w:r w:rsidRPr="007B4794">
        <w:rPr>
          <w:rFonts w:ascii="华文细黑" w:eastAsia="华文细黑" w:hAnsi="华文细黑" w:cs="Arial" w:hint="eastAsia"/>
          <w:color w:val="000000" w:themeColor="text1"/>
          <w:sz w:val="15"/>
          <w:szCs w:val="15"/>
        </w:rPr>
        <w:t>资料来源：</w:t>
      </w:r>
      <w:r w:rsidR="00D36E6A" w:rsidRPr="007B4794">
        <w:rPr>
          <w:rFonts w:ascii="Arial" w:eastAsia="华文细黑" w:hAnsi="Arial" w:cs="Arial"/>
          <w:color w:val="000000" w:themeColor="text1"/>
          <w:sz w:val="15"/>
          <w:szCs w:val="15"/>
        </w:rPr>
        <w:t>CR</w:t>
      </w:r>
      <w:r w:rsidR="00D36E6A" w:rsidRPr="007B4794">
        <w:rPr>
          <w:rFonts w:ascii="Arial" w:eastAsia="华文细黑" w:hAnsi="Arial" w:cs="Arial" w:hint="eastAsia"/>
          <w:color w:val="000000" w:themeColor="text1"/>
          <w:sz w:val="15"/>
          <w:szCs w:val="15"/>
        </w:rPr>
        <w:t>IC</w:t>
      </w:r>
      <w:r w:rsidR="00D36E6A" w:rsidRPr="007B4794">
        <w:rPr>
          <w:rFonts w:ascii="华文细黑" w:eastAsia="华文细黑" w:hAnsi="华文细黑" w:cs="Arial" w:hint="eastAsia"/>
          <w:color w:val="000000" w:themeColor="text1"/>
          <w:sz w:val="15"/>
          <w:szCs w:val="15"/>
        </w:rPr>
        <w:t>克而瑞数据</w:t>
      </w:r>
    </w:p>
    <w:p w14:paraId="053758EC" w14:textId="77777777" w:rsidR="00B011C2" w:rsidRPr="007B4794" w:rsidRDefault="00B011C2" w:rsidP="00AE01CB">
      <w:pPr>
        <w:spacing w:line="480" w:lineRule="auto"/>
        <w:rPr>
          <w:rFonts w:ascii="华文细黑" w:eastAsia="华文细黑" w:hAnsi="华文细黑" w:cs="Arial"/>
          <w:color w:val="000000" w:themeColor="text1"/>
          <w:sz w:val="15"/>
          <w:szCs w:val="15"/>
        </w:rPr>
      </w:pPr>
    </w:p>
    <w:p w14:paraId="09944708" w14:textId="4D9EBA7D" w:rsidR="003004C8" w:rsidRPr="007B4794" w:rsidRDefault="003004C8" w:rsidP="00B011C2">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根据对克而瑞数据、中指数据</w:t>
      </w:r>
      <w:r w:rsidR="00B011C2" w:rsidRPr="007B4794">
        <w:rPr>
          <w:rFonts w:ascii="Arial" w:hAnsi="Arial" w:cs="Arial" w:hint="eastAsia"/>
          <w:color w:val="000000" w:themeColor="text1"/>
          <w:sz w:val="21"/>
          <w:szCs w:val="21"/>
        </w:rPr>
        <w:t>从</w:t>
      </w:r>
      <w:r w:rsidR="00B011C2" w:rsidRPr="007B4794">
        <w:rPr>
          <w:rFonts w:ascii="Arial" w:hAnsi="Arial" w:cs="Arial" w:hint="eastAsia"/>
          <w:color w:val="000000" w:themeColor="text1"/>
          <w:sz w:val="21"/>
          <w:szCs w:val="21"/>
        </w:rPr>
        <w:t>2</w:t>
      </w:r>
      <w:r w:rsidR="00B011C2" w:rsidRPr="007B4794">
        <w:rPr>
          <w:rFonts w:ascii="Arial" w:hAnsi="Arial" w:cs="Arial"/>
          <w:color w:val="000000" w:themeColor="text1"/>
          <w:sz w:val="21"/>
          <w:szCs w:val="21"/>
        </w:rPr>
        <w:t>019</w:t>
      </w:r>
      <w:r w:rsidR="00B011C2" w:rsidRPr="007B4794">
        <w:rPr>
          <w:rFonts w:ascii="Arial" w:hAnsi="Arial" w:cs="Arial" w:hint="eastAsia"/>
          <w:color w:val="000000" w:themeColor="text1"/>
          <w:sz w:val="21"/>
          <w:szCs w:val="21"/>
        </w:rPr>
        <w:t>至</w:t>
      </w:r>
      <w:r w:rsidR="00B011C2" w:rsidRPr="007B4794">
        <w:rPr>
          <w:rFonts w:ascii="Arial" w:hAnsi="Arial" w:cs="Arial"/>
          <w:color w:val="000000" w:themeColor="text1"/>
          <w:sz w:val="21"/>
          <w:szCs w:val="21"/>
        </w:rPr>
        <w:t>2020</w:t>
      </w:r>
      <w:r w:rsidR="00B011C2" w:rsidRPr="007B4794">
        <w:rPr>
          <w:rFonts w:ascii="Arial" w:hAnsi="Arial" w:cs="Arial" w:hint="eastAsia"/>
          <w:color w:val="000000" w:themeColor="text1"/>
          <w:sz w:val="21"/>
          <w:szCs w:val="21"/>
        </w:rPr>
        <w:t>年</w:t>
      </w:r>
      <w:r w:rsidR="00B011C2" w:rsidRPr="007B4794">
        <w:rPr>
          <w:rFonts w:ascii="Arial" w:hAnsi="Arial" w:cs="Arial" w:hint="eastAsia"/>
          <w:color w:val="000000" w:themeColor="text1"/>
          <w:sz w:val="21"/>
          <w:szCs w:val="21"/>
        </w:rPr>
        <w:t>10</w:t>
      </w:r>
      <w:r w:rsidR="00B011C2" w:rsidRPr="007B4794">
        <w:rPr>
          <w:rFonts w:ascii="Arial" w:hAnsi="Arial" w:cs="Arial" w:hint="eastAsia"/>
          <w:color w:val="000000" w:themeColor="text1"/>
          <w:sz w:val="21"/>
          <w:szCs w:val="21"/>
        </w:rPr>
        <w:t>月成交价格走势</w:t>
      </w:r>
      <w:r w:rsidRPr="007B4794">
        <w:rPr>
          <w:rFonts w:ascii="Arial" w:hAnsi="Arial" w:cs="Arial" w:hint="eastAsia"/>
          <w:color w:val="000000" w:themeColor="text1"/>
          <w:sz w:val="21"/>
          <w:szCs w:val="21"/>
        </w:rPr>
        <w:t>分析：</w:t>
      </w:r>
    </w:p>
    <w:p w14:paraId="0E502F6E" w14:textId="1BE680E5" w:rsidR="003004C8" w:rsidRPr="007B4794" w:rsidRDefault="003004C8" w:rsidP="003004C8">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克而瑞数据（包含茅城区、龙文区、高新区）</w:t>
      </w:r>
      <w:r w:rsidR="00B011C2" w:rsidRPr="007B4794">
        <w:rPr>
          <w:rFonts w:ascii="Arial" w:hAnsi="Arial" w:cs="Arial" w:hint="eastAsia"/>
          <w:color w:val="000000" w:themeColor="text1"/>
          <w:sz w:val="21"/>
          <w:szCs w:val="21"/>
        </w:rPr>
        <w:t>，近一年</w:t>
      </w:r>
      <w:r w:rsidR="00B011C2" w:rsidRPr="007B4794">
        <w:rPr>
          <w:rFonts w:ascii="Arial" w:hAnsi="Arial" w:cs="Arial" w:hint="eastAsia"/>
          <w:color w:val="000000" w:themeColor="text1"/>
          <w:sz w:val="21"/>
          <w:szCs w:val="21"/>
        </w:rPr>
        <w:t>10</w:t>
      </w:r>
      <w:r w:rsidR="00B011C2" w:rsidRPr="007B4794">
        <w:rPr>
          <w:rFonts w:ascii="Arial" w:hAnsi="Arial" w:cs="Arial" w:hint="eastAsia"/>
          <w:color w:val="000000" w:themeColor="text1"/>
          <w:sz w:val="21"/>
          <w:szCs w:val="21"/>
        </w:rPr>
        <w:t>个月整体价格走势运行相对平稳，</w:t>
      </w:r>
      <w:r w:rsidR="00B011C2" w:rsidRPr="007B4794">
        <w:rPr>
          <w:rFonts w:ascii="Arial" w:hAnsi="Arial" w:cs="Arial" w:hint="eastAsia"/>
          <w:color w:val="000000" w:themeColor="text1"/>
          <w:sz w:val="21"/>
          <w:szCs w:val="21"/>
        </w:rPr>
        <w:t>2019</w:t>
      </w:r>
      <w:r w:rsidR="00B011C2" w:rsidRPr="007B4794">
        <w:rPr>
          <w:rFonts w:ascii="Arial" w:hAnsi="Arial" w:cs="Arial" w:hint="eastAsia"/>
          <w:color w:val="000000" w:themeColor="text1"/>
          <w:sz w:val="21"/>
          <w:szCs w:val="21"/>
        </w:rPr>
        <w:t>年</w:t>
      </w:r>
      <w:r w:rsidR="00B011C2" w:rsidRPr="007B4794">
        <w:rPr>
          <w:rFonts w:ascii="Arial" w:hAnsi="Arial" w:cs="Arial" w:hint="eastAsia"/>
          <w:color w:val="000000" w:themeColor="text1"/>
          <w:sz w:val="21"/>
          <w:szCs w:val="21"/>
        </w:rPr>
        <w:t>1-10</w:t>
      </w:r>
      <w:r w:rsidR="00B011C2" w:rsidRPr="007B4794">
        <w:rPr>
          <w:rFonts w:ascii="Arial" w:hAnsi="Arial" w:cs="Arial" w:hint="eastAsia"/>
          <w:color w:val="000000" w:themeColor="text1"/>
          <w:sz w:val="21"/>
          <w:szCs w:val="21"/>
        </w:rPr>
        <w:t>月整体呈逐步上涨趋势，成交均价</w:t>
      </w:r>
      <w:r w:rsidR="00B011C2" w:rsidRPr="007B4794">
        <w:rPr>
          <w:rFonts w:ascii="Arial" w:hAnsi="Arial" w:cs="Arial" w:hint="eastAsia"/>
          <w:color w:val="000000" w:themeColor="text1"/>
          <w:sz w:val="21"/>
          <w:szCs w:val="21"/>
        </w:rPr>
        <w:t>13315</w:t>
      </w:r>
      <w:r w:rsidR="00B011C2" w:rsidRPr="007B4794">
        <w:rPr>
          <w:rFonts w:ascii="Arial" w:hAnsi="Arial" w:cs="Arial" w:hint="eastAsia"/>
          <w:color w:val="000000" w:themeColor="text1"/>
          <w:sz w:val="21"/>
          <w:szCs w:val="21"/>
        </w:rPr>
        <w:t>元</w:t>
      </w:r>
      <w:r w:rsidR="00B011C2" w:rsidRPr="007B4794">
        <w:rPr>
          <w:rFonts w:ascii="Arial" w:hAnsi="Arial" w:cs="Arial" w:hint="eastAsia"/>
          <w:color w:val="000000" w:themeColor="text1"/>
          <w:sz w:val="21"/>
          <w:szCs w:val="21"/>
        </w:rPr>
        <w:t>/</w:t>
      </w:r>
      <w:r w:rsidR="00B011C2" w:rsidRPr="007B4794">
        <w:rPr>
          <w:rFonts w:ascii="Arial" w:hAnsi="Arial" w:cs="Arial" w:hint="eastAsia"/>
          <w:color w:val="000000" w:themeColor="text1"/>
          <w:sz w:val="21"/>
          <w:szCs w:val="21"/>
        </w:rPr>
        <w:t>平方米上涨到</w:t>
      </w:r>
      <w:r w:rsidR="00B011C2" w:rsidRPr="007B4794">
        <w:rPr>
          <w:rFonts w:ascii="Arial" w:hAnsi="Arial" w:cs="Arial" w:hint="eastAsia"/>
          <w:color w:val="000000" w:themeColor="text1"/>
          <w:sz w:val="21"/>
          <w:szCs w:val="21"/>
        </w:rPr>
        <w:t>16052</w:t>
      </w:r>
      <w:r w:rsidR="00B011C2" w:rsidRPr="007B4794">
        <w:rPr>
          <w:rFonts w:ascii="Arial" w:hAnsi="Arial" w:cs="Arial" w:hint="eastAsia"/>
          <w:color w:val="000000" w:themeColor="text1"/>
          <w:sz w:val="21"/>
          <w:szCs w:val="21"/>
        </w:rPr>
        <w:t>元</w:t>
      </w:r>
      <w:r w:rsidR="00B011C2" w:rsidRPr="007B4794">
        <w:rPr>
          <w:rFonts w:ascii="Arial" w:hAnsi="Arial" w:cs="Arial" w:hint="eastAsia"/>
          <w:color w:val="000000" w:themeColor="text1"/>
          <w:sz w:val="21"/>
          <w:szCs w:val="21"/>
        </w:rPr>
        <w:t>/</w:t>
      </w:r>
      <w:r w:rsidR="00B011C2" w:rsidRPr="007B4794">
        <w:rPr>
          <w:rFonts w:ascii="Arial" w:hAnsi="Arial" w:cs="Arial" w:hint="eastAsia"/>
          <w:color w:val="000000" w:themeColor="text1"/>
          <w:sz w:val="21"/>
          <w:szCs w:val="21"/>
        </w:rPr>
        <w:t>平方米单价水平，</w:t>
      </w:r>
      <w:r w:rsidR="00B011C2" w:rsidRPr="007B4794">
        <w:rPr>
          <w:rFonts w:ascii="Arial" w:hAnsi="Arial" w:cs="Arial" w:hint="eastAsia"/>
          <w:color w:val="000000" w:themeColor="text1"/>
          <w:sz w:val="21"/>
          <w:szCs w:val="21"/>
        </w:rPr>
        <w:t>2019</w:t>
      </w:r>
      <w:r w:rsidR="00B011C2" w:rsidRPr="007B4794">
        <w:rPr>
          <w:rFonts w:ascii="Arial" w:hAnsi="Arial" w:cs="Arial" w:hint="eastAsia"/>
          <w:color w:val="000000" w:themeColor="text1"/>
          <w:sz w:val="21"/>
          <w:szCs w:val="21"/>
        </w:rPr>
        <w:t>年</w:t>
      </w:r>
      <w:r w:rsidR="00B011C2" w:rsidRPr="007B4794">
        <w:rPr>
          <w:rFonts w:ascii="Arial" w:hAnsi="Arial" w:cs="Arial" w:hint="eastAsia"/>
          <w:color w:val="000000" w:themeColor="text1"/>
          <w:sz w:val="21"/>
          <w:szCs w:val="21"/>
        </w:rPr>
        <w:t>11</w:t>
      </w:r>
      <w:r w:rsidR="00B011C2" w:rsidRPr="007B4794">
        <w:rPr>
          <w:rFonts w:ascii="Arial" w:hAnsi="Arial" w:cs="Arial" w:hint="eastAsia"/>
          <w:color w:val="000000" w:themeColor="text1"/>
          <w:sz w:val="21"/>
          <w:szCs w:val="21"/>
        </w:rPr>
        <w:t>月开始出现小幅度下降至</w:t>
      </w:r>
      <w:r w:rsidR="00B011C2" w:rsidRPr="007B4794">
        <w:rPr>
          <w:rFonts w:ascii="Arial" w:hAnsi="Arial" w:cs="Arial" w:hint="eastAsia"/>
          <w:color w:val="000000" w:themeColor="text1"/>
          <w:sz w:val="21"/>
          <w:szCs w:val="21"/>
        </w:rPr>
        <w:t>15267</w:t>
      </w:r>
      <w:r w:rsidR="00B011C2" w:rsidRPr="007B4794">
        <w:rPr>
          <w:rFonts w:ascii="Arial" w:hAnsi="Arial" w:cs="Arial" w:hint="eastAsia"/>
          <w:color w:val="000000" w:themeColor="text1"/>
          <w:sz w:val="21"/>
          <w:szCs w:val="21"/>
        </w:rPr>
        <w:t>元</w:t>
      </w:r>
      <w:r w:rsidR="00B011C2" w:rsidRPr="007B4794">
        <w:rPr>
          <w:rFonts w:ascii="Arial" w:hAnsi="Arial" w:cs="Arial" w:hint="eastAsia"/>
          <w:color w:val="000000" w:themeColor="text1"/>
          <w:sz w:val="21"/>
          <w:szCs w:val="21"/>
        </w:rPr>
        <w:t>/</w:t>
      </w:r>
      <w:r w:rsidR="00B011C2" w:rsidRPr="007B4794">
        <w:rPr>
          <w:rFonts w:ascii="Arial" w:hAnsi="Arial" w:cs="Arial" w:hint="eastAsia"/>
          <w:color w:val="000000" w:themeColor="text1"/>
          <w:sz w:val="21"/>
          <w:szCs w:val="21"/>
        </w:rPr>
        <w:t>平方米</w:t>
      </w:r>
      <w:r w:rsidR="00C45FC9" w:rsidRPr="007B4794">
        <w:rPr>
          <w:rFonts w:ascii="Arial" w:hAnsi="Arial" w:cs="Arial" w:hint="eastAsia"/>
          <w:color w:val="000000" w:themeColor="text1"/>
          <w:sz w:val="21"/>
          <w:szCs w:val="21"/>
        </w:rPr>
        <w:t>；</w:t>
      </w:r>
      <w:r w:rsidR="00B011C2" w:rsidRPr="007B4794">
        <w:rPr>
          <w:rFonts w:ascii="Arial" w:hAnsi="Arial" w:cs="Arial" w:hint="eastAsia"/>
          <w:color w:val="000000" w:themeColor="text1"/>
          <w:sz w:val="21"/>
          <w:szCs w:val="21"/>
        </w:rPr>
        <w:t>2020</w:t>
      </w:r>
      <w:r w:rsidR="00B011C2" w:rsidRPr="007B4794">
        <w:rPr>
          <w:rFonts w:ascii="Arial" w:hAnsi="Arial" w:cs="Arial" w:hint="eastAsia"/>
          <w:color w:val="000000" w:themeColor="text1"/>
          <w:sz w:val="21"/>
          <w:szCs w:val="21"/>
        </w:rPr>
        <w:t>年</w:t>
      </w:r>
      <w:r w:rsidR="00B011C2" w:rsidRPr="007B4794">
        <w:rPr>
          <w:rFonts w:ascii="Arial" w:hAnsi="Arial" w:cs="Arial" w:hint="eastAsia"/>
          <w:color w:val="000000" w:themeColor="text1"/>
          <w:sz w:val="21"/>
          <w:szCs w:val="21"/>
        </w:rPr>
        <w:t>1-10</w:t>
      </w:r>
      <w:r w:rsidR="00B011C2" w:rsidRPr="007B4794">
        <w:rPr>
          <w:rFonts w:ascii="Arial" w:hAnsi="Arial" w:cs="Arial" w:hint="eastAsia"/>
          <w:color w:val="000000" w:themeColor="text1"/>
          <w:sz w:val="21"/>
          <w:szCs w:val="21"/>
        </w:rPr>
        <w:t>月成交价格处于波动趋势，</w:t>
      </w:r>
      <w:r w:rsidR="00B011C2" w:rsidRPr="007B4794">
        <w:rPr>
          <w:rFonts w:ascii="Arial" w:hAnsi="Arial" w:cs="Arial" w:hint="eastAsia"/>
          <w:color w:val="000000" w:themeColor="text1"/>
          <w:sz w:val="21"/>
          <w:szCs w:val="21"/>
        </w:rPr>
        <w:t>3-4</w:t>
      </w:r>
      <w:r w:rsidR="00B011C2" w:rsidRPr="007B4794">
        <w:rPr>
          <w:rFonts w:ascii="Arial" w:hAnsi="Arial" w:cs="Arial" w:hint="eastAsia"/>
          <w:color w:val="000000" w:themeColor="text1"/>
          <w:sz w:val="21"/>
          <w:szCs w:val="21"/>
        </w:rPr>
        <w:t>月份受疫情影响，成交价格由</w:t>
      </w:r>
      <w:r w:rsidR="00B011C2" w:rsidRPr="007B4794">
        <w:rPr>
          <w:rFonts w:ascii="Arial" w:hAnsi="Arial" w:cs="Arial" w:hint="eastAsia"/>
          <w:color w:val="000000" w:themeColor="text1"/>
          <w:sz w:val="21"/>
          <w:szCs w:val="21"/>
        </w:rPr>
        <w:t>15373</w:t>
      </w:r>
      <w:r w:rsidR="00B011C2" w:rsidRPr="007B4794">
        <w:rPr>
          <w:rFonts w:ascii="Arial" w:hAnsi="Arial" w:cs="Arial" w:hint="eastAsia"/>
          <w:color w:val="000000" w:themeColor="text1"/>
          <w:sz w:val="21"/>
          <w:szCs w:val="21"/>
        </w:rPr>
        <w:t>元</w:t>
      </w:r>
      <w:r w:rsidR="00B011C2" w:rsidRPr="007B4794">
        <w:rPr>
          <w:rFonts w:ascii="Arial" w:hAnsi="Arial" w:cs="Arial" w:hint="eastAsia"/>
          <w:color w:val="000000" w:themeColor="text1"/>
          <w:sz w:val="21"/>
          <w:szCs w:val="21"/>
        </w:rPr>
        <w:t>/</w:t>
      </w:r>
      <w:r w:rsidR="00B011C2" w:rsidRPr="007B4794">
        <w:rPr>
          <w:rFonts w:ascii="Arial" w:hAnsi="Arial" w:cs="Arial" w:hint="eastAsia"/>
          <w:color w:val="000000" w:themeColor="text1"/>
          <w:sz w:val="21"/>
          <w:szCs w:val="21"/>
        </w:rPr>
        <w:t>平方米下降至</w:t>
      </w:r>
      <w:r w:rsidR="00B011C2" w:rsidRPr="007B4794">
        <w:rPr>
          <w:rFonts w:ascii="Arial" w:hAnsi="Arial" w:cs="Arial" w:hint="eastAsia"/>
          <w:color w:val="000000" w:themeColor="text1"/>
          <w:sz w:val="21"/>
          <w:szCs w:val="21"/>
        </w:rPr>
        <w:t>14769</w:t>
      </w:r>
      <w:r w:rsidR="00B011C2" w:rsidRPr="007B4794">
        <w:rPr>
          <w:rFonts w:ascii="Arial" w:hAnsi="Arial" w:cs="Arial" w:hint="eastAsia"/>
          <w:color w:val="000000" w:themeColor="text1"/>
          <w:sz w:val="21"/>
          <w:szCs w:val="21"/>
        </w:rPr>
        <w:t>元</w:t>
      </w:r>
      <w:r w:rsidR="00B011C2" w:rsidRPr="007B4794">
        <w:rPr>
          <w:rFonts w:ascii="Arial" w:hAnsi="Arial" w:cs="Arial" w:hint="eastAsia"/>
          <w:color w:val="000000" w:themeColor="text1"/>
          <w:sz w:val="21"/>
          <w:szCs w:val="21"/>
        </w:rPr>
        <w:t>/</w:t>
      </w:r>
      <w:r w:rsidR="00B011C2" w:rsidRPr="007B4794">
        <w:rPr>
          <w:rFonts w:ascii="Arial" w:hAnsi="Arial" w:cs="Arial" w:hint="eastAsia"/>
          <w:color w:val="000000" w:themeColor="text1"/>
          <w:sz w:val="21"/>
          <w:szCs w:val="21"/>
        </w:rPr>
        <w:t>平方米，</w:t>
      </w:r>
      <w:r w:rsidR="00B011C2" w:rsidRPr="007B4794">
        <w:rPr>
          <w:rFonts w:ascii="Arial" w:hAnsi="Arial" w:cs="Arial" w:hint="eastAsia"/>
          <w:color w:val="000000" w:themeColor="text1"/>
          <w:sz w:val="21"/>
          <w:szCs w:val="21"/>
        </w:rPr>
        <w:t>2020</w:t>
      </w:r>
      <w:r w:rsidR="00B011C2" w:rsidRPr="007B4794">
        <w:rPr>
          <w:rFonts w:ascii="Arial" w:hAnsi="Arial" w:cs="Arial" w:hint="eastAsia"/>
          <w:color w:val="000000" w:themeColor="text1"/>
          <w:sz w:val="21"/>
          <w:szCs w:val="21"/>
        </w:rPr>
        <w:t>年</w:t>
      </w:r>
      <w:r w:rsidR="00B011C2" w:rsidRPr="007B4794">
        <w:rPr>
          <w:rFonts w:ascii="Arial" w:hAnsi="Arial" w:cs="Arial" w:hint="eastAsia"/>
          <w:color w:val="000000" w:themeColor="text1"/>
          <w:sz w:val="21"/>
          <w:szCs w:val="21"/>
        </w:rPr>
        <w:t>5</w:t>
      </w:r>
      <w:r w:rsidR="00B011C2" w:rsidRPr="007B4794">
        <w:rPr>
          <w:rFonts w:ascii="Arial" w:hAnsi="Arial" w:cs="Arial" w:hint="eastAsia"/>
          <w:color w:val="000000" w:themeColor="text1"/>
          <w:sz w:val="21"/>
          <w:szCs w:val="21"/>
        </w:rPr>
        <w:t>月市场逐步稳定后成交价格又出现小幅度回升，</w:t>
      </w:r>
      <w:r w:rsidR="00B011C2" w:rsidRPr="007B4794">
        <w:rPr>
          <w:rFonts w:ascii="Arial" w:hAnsi="Arial" w:cs="Arial" w:hint="eastAsia"/>
          <w:color w:val="000000" w:themeColor="text1"/>
          <w:sz w:val="21"/>
          <w:szCs w:val="21"/>
        </w:rPr>
        <w:t>2020</w:t>
      </w:r>
      <w:r w:rsidR="00B011C2" w:rsidRPr="007B4794">
        <w:rPr>
          <w:rFonts w:ascii="Arial" w:hAnsi="Arial" w:cs="Arial" w:hint="eastAsia"/>
          <w:color w:val="000000" w:themeColor="text1"/>
          <w:sz w:val="21"/>
          <w:szCs w:val="21"/>
        </w:rPr>
        <w:t>年</w:t>
      </w:r>
      <w:r w:rsidR="00B011C2" w:rsidRPr="007B4794">
        <w:rPr>
          <w:rFonts w:ascii="Arial" w:hAnsi="Arial" w:cs="Arial" w:hint="eastAsia"/>
          <w:color w:val="000000" w:themeColor="text1"/>
          <w:sz w:val="21"/>
          <w:szCs w:val="21"/>
        </w:rPr>
        <w:t>8-10</w:t>
      </w:r>
      <w:r w:rsidR="00B011C2" w:rsidRPr="007B4794">
        <w:rPr>
          <w:rFonts w:ascii="Arial" w:hAnsi="Arial" w:cs="Arial" w:hint="eastAsia"/>
          <w:color w:val="000000" w:themeColor="text1"/>
          <w:sz w:val="21"/>
          <w:szCs w:val="21"/>
        </w:rPr>
        <w:t>月成交单价出现下降趋势，</w:t>
      </w:r>
      <w:r w:rsidRPr="007B4794">
        <w:rPr>
          <w:rFonts w:ascii="Arial" w:hAnsi="Arial" w:cs="Arial" w:hint="eastAsia"/>
          <w:color w:val="000000" w:themeColor="text1"/>
          <w:sz w:val="21"/>
          <w:szCs w:val="21"/>
        </w:rPr>
        <w:t>其中主要原因是</w:t>
      </w:r>
      <w:r w:rsidRPr="007B4794">
        <w:rPr>
          <w:rFonts w:ascii="Arial" w:hAnsi="Arial" w:cs="Arial" w:hint="eastAsia"/>
          <w:color w:val="000000" w:themeColor="text1"/>
          <w:sz w:val="21"/>
          <w:szCs w:val="21"/>
        </w:rPr>
        <w:t>2020</w:t>
      </w:r>
      <w:r w:rsidRPr="007B4794">
        <w:rPr>
          <w:rFonts w:ascii="Arial" w:hAnsi="Arial" w:cs="Arial" w:hint="eastAsia"/>
          <w:color w:val="000000" w:themeColor="text1"/>
          <w:sz w:val="21"/>
          <w:szCs w:val="21"/>
        </w:rPr>
        <w:t>年</w:t>
      </w:r>
      <w:r w:rsidRPr="007B4794">
        <w:rPr>
          <w:rFonts w:ascii="Arial" w:hAnsi="Arial" w:cs="Arial" w:hint="eastAsia"/>
          <w:color w:val="000000" w:themeColor="text1"/>
          <w:sz w:val="21"/>
          <w:szCs w:val="21"/>
        </w:rPr>
        <w:t>8</w:t>
      </w:r>
      <w:r w:rsidRPr="007B4794">
        <w:rPr>
          <w:rFonts w:ascii="Arial" w:hAnsi="Arial" w:cs="Arial" w:hint="eastAsia"/>
          <w:color w:val="000000" w:themeColor="text1"/>
          <w:sz w:val="21"/>
          <w:szCs w:val="21"/>
        </w:rPr>
        <w:t>月起克尔瑞将漳州市高新区纳入到统计范围内，高新区平均成交单价在</w:t>
      </w:r>
      <w:r w:rsidRPr="007B4794">
        <w:rPr>
          <w:rFonts w:ascii="Arial" w:hAnsi="Arial" w:cs="Arial" w:hint="eastAsia"/>
          <w:color w:val="000000" w:themeColor="text1"/>
          <w:sz w:val="21"/>
          <w:szCs w:val="21"/>
        </w:rPr>
        <w:t>10579</w:t>
      </w:r>
      <w:r w:rsidRPr="007B4794">
        <w:rPr>
          <w:rFonts w:ascii="Arial" w:hAnsi="Arial" w:cs="Arial" w:hint="eastAsia"/>
          <w:color w:val="000000" w:themeColor="text1"/>
          <w:sz w:val="21"/>
          <w:szCs w:val="21"/>
        </w:rPr>
        <w:t>元</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平方米</w:t>
      </w:r>
      <w:r w:rsidR="00C45FC9" w:rsidRPr="007B4794">
        <w:rPr>
          <w:rFonts w:ascii="Arial" w:hAnsi="Arial" w:cs="Arial" w:hint="eastAsia"/>
          <w:color w:val="000000" w:themeColor="text1"/>
          <w:sz w:val="21"/>
          <w:szCs w:val="21"/>
        </w:rPr>
        <w:t>，低于上述区域</w:t>
      </w:r>
      <w:r w:rsidRPr="007B4794">
        <w:rPr>
          <w:rFonts w:ascii="Arial" w:hAnsi="Arial" w:cs="Arial" w:hint="eastAsia"/>
          <w:color w:val="000000" w:themeColor="text1"/>
          <w:sz w:val="21"/>
          <w:szCs w:val="21"/>
        </w:rPr>
        <w:t>；另外龙文区大唐锦绣世家、世茂诚品项目</w:t>
      </w:r>
      <w:r w:rsidR="001E12D5" w:rsidRPr="007B4794">
        <w:rPr>
          <w:rFonts w:ascii="Arial" w:hAnsi="Arial" w:cs="Arial" w:hint="eastAsia"/>
          <w:color w:val="000000" w:themeColor="text1"/>
          <w:sz w:val="21"/>
          <w:szCs w:val="21"/>
        </w:rPr>
        <w:t>成为</w:t>
      </w:r>
      <w:r w:rsidRPr="007B4794">
        <w:rPr>
          <w:rFonts w:ascii="Arial" w:hAnsi="Arial" w:cs="Arial" w:hint="eastAsia"/>
          <w:color w:val="000000" w:themeColor="text1"/>
          <w:sz w:val="21"/>
          <w:szCs w:val="21"/>
        </w:rPr>
        <w:t>主力成交项目</w:t>
      </w:r>
      <w:r w:rsidR="001E12D5" w:rsidRPr="007B4794">
        <w:rPr>
          <w:rFonts w:ascii="Arial" w:hAnsi="Arial" w:cs="Arial" w:hint="eastAsia"/>
          <w:color w:val="000000" w:themeColor="text1"/>
          <w:sz w:val="21"/>
          <w:szCs w:val="21"/>
        </w:rPr>
        <w:t>，且成交均价仅为</w:t>
      </w:r>
      <w:r w:rsidR="001E12D5" w:rsidRPr="007B4794">
        <w:rPr>
          <w:rFonts w:ascii="Arial" w:hAnsi="Arial" w:cs="Arial" w:hint="eastAsia"/>
          <w:color w:val="000000" w:themeColor="text1"/>
          <w:sz w:val="21"/>
          <w:szCs w:val="21"/>
        </w:rPr>
        <w:t>7000-8000</w:t>
      </w:r>
      <w:r w:rsidR="001E12D5" w:rsidRPr="007B4794">
        <w:rPr>
          <w:rFonts w:ascii="Arial" w:hAnsi="Arial" w:cs="Arial" w:hint="eastAsia"/>
          <w:color w:val="000000" w:themeColor="text1"/>
          <w:sz w:val="21"/>
          <w:szCs w:val="21"/>
        </w:rPr>
        <w:t>元</w:t>
      </w:r>
      <w:r w:rsidR="001E12D5" w:rsidRPr="007B4794">
        <w:rPr>
          <w:rFonts w:ascii="Arial" w:hAnsi="Arial" w:cs="Arial" w:hint="eastAsia"/>
          <w:color w:val="000000" w:themeColor="text1"/>
          <w:sz w:val="21"/>
          <w:szCs w:val="21"/>
        </w:rPr>
        <w:t>/</w:t>
      </w:r>
      <w:r w:rsidR="001E12D5" w:rsidRPr="007B4794">
        <w:rPr>
          <w:rFonts w:ascii="Arial" w:hAnsi="Arial" w:cs="Arial" w:hint="eastAsia"/>
          <w:color w:val="000000" w:themeColor="text1"/>
          <w:sz w:val="21"/>
          <w:szCs w:val="21"/>
        </w:rPr>
        <w:t>平方米</w:t>
      </w:r>
      <w:r w:rsidRPr="007B4794">
        <w:rPr>
          <w:rFonts w:ascii="Arial" w:hAnsi="Arial" w:cs="Arial" w:hint="eastAsia"/>
          <w:color w:val="000000" w:themeColor="text1"/>
          <w:sz w:val="21"/>
          <w:szCs w:val="21"/>
        </w:rPr>
        <w:t>，拉低了整体成交单价趋势</w:t>
      </w:r>
      <w:r w:rsidR="001E12D5" w:rsidRPr="007B4794">
        <w:rPr>
          <w:rFonts w:ascii="Arial" w:hAnsi="Arial" w:cs="Arial" w:hint="eastAsia"/>
          <w:color w:val="000000" w:themeColor="text1"/>
          <w:sz w:val="21"/>
          <w:szCs w:val="21"/>
        </w:rPr>
        <w:t>。</w:t>
      </w:r>
    </w:p>
    <w:p w14:paraId="400CAD3E" w14:textId="74EB93F3" w:rsidR="00B011C2" w:rsidRPr="007B4794" w:rsidRDefault="003004C8" w:rsidP="003004C8">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lastRenderedPageBreak/>
        <w:t>中指数据（包含茅城区、龙文区），近一年</w:t>
      </w:r>
      <w:r w:rsidRPr="007B4794">
        <w:rPr>
          <w:rFonts w:ascii="Arial" w:hAnsi="Arial" w:cs="Arial" w:hint="eastAsia"/>
          <w:color w:val="000000" w:themeColor="text1"/>
          <w:sz w:val="21"/>
          <w:szCs w:val="21"/>
        </w:rPr>
        <w:t>10</w:t>
      </w:r>
      <w:r w:rsidRPr="007B4794">
        <w:rPr>
          <w:rFonts w:ascii="Arial" w:hAnsi="Arial" w:cs="Arial" w:hint="eastAsia"/>
          <w:color w:val="000000" w:themeColor="text1"/>
          <w:sz w:val="21"/>
          <w:szCs w:val="21"/>
        </w:rPr>
        <w:t>个月整体价格走势运行相对平稳</w:t>
      </w:r>
      <w:r w:rsidRPr="007B4794">
        <w:rPr>
          <w:rFonts w:ascii="Arial" w:hAnsi="Arial" w:cs="Arial" w:hint="eastAsia"/>
          <w:color w:val="000000" w:themeColor="text1"/>
          <w:sz w:val="21"/>
          <w:szCs w:val="21"/>
        </w:rPr>
        <w:t>2019</w:t>
      </w:r>
      <w:r w:rsidRPr="007B4794">
        <w:rPr>
          <w:rFonts w:ascii="Arial" w:hAnsi="Arial" w:cs="Arial" w:hint="eastAsia"/>
          <w:color w:val="000000" w:themeColor="text1"/>
          <w:sz w:val="21"/>
          <w:szCs w:val="21"/>
        </w:rPr>
        <w:t>年</w:t>
      </w:r>
      <w:r w:rsidRPr="007B4794">
        <w:rPr>
          <w:rFonts w:ascii="Arial" w:hAnsi="Arial" w:cs="Arial" w:hint="eastAsia"/>
          <w:color w:val="000000" w:themeColor="text1"/>
          <w:sz w:val="21"/>
          <w:szCs w:val="21"/>
        </w:rPr>
        <w:t>1-10</w:t>
      </w:r>
      <w:r w:rsidRPr="007B4794">
        <w:rPr>
          <w:rFonts w:ascii="Arial" w:hAnsi="Arial" w:cs="Arial" w:hint="eastAsia"/>
          <w:color w:val="000000" w:themeColor="text1"/>
          <w:sz w:val="21"/>
          <w:szCs w:val="21"/>
        </w:rPr>
        <w:t>月整体呈逐步上涨趋势，成交均价</w:t>
      </w:r>
      <w:r w:rsidRPr="007B4794">
        <w:rPr>
          <w:rFonts w:ascii="Arial" w:hAnsi="Arial" w:cs="Arial" w:hint="eastAsia"/>
          <w:color w:val="000000" w:themeColor="text1"/>
          <w:sz w:val="21"/>
          <w:szCs w:val="21"/>
        </w:rPr>
        <w:t>14138</w:t>
      </w:r>
      <w:r w:rsidRPr="007B4794">
        <w:rPr>
          <w:rFonts w:ascii="Arial" w:hAnsi="Arial" w:cs="Arial" w:hint="eastAsia"/>
          <w:color w:val="000000" w:themeColor="text1"/>
          <w:sz w:val="21"/>
          <w:szCs w:val="21"/>
        </w:rPr>
        <w:t>元</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平方米上涨到</w:t>
      </w:r>
      <w:r w:rsidRPr="007B4794">
        <w:rPr>
          <w:rFonts w:ascii="Arial" w:hAnsi="Arial" w:cs="Arial" w:hint="eastAsia"/>
          <w:color w:val="000000" w:themeColor="text1"/>
          <w:sz w:val="21"/>
          <w:szCs w:val="21"/>
        </w:rPr>
        <w:t>16019</w:t>
      </w:r>
      <w:r w:rsidRPr="007B4794">
        <w:rPr>
          <w:rFonts w:ascii="Arial" w:hAnsi="Arial" w:cs="Arial" w:hint="eastAsia"/>
          <w:color w:val="000000" w:themeColor="text1"/>
          <w:sz w:val="21"/>
          <w:szCs w:val="21"/>
        </w:rPr>
        <w:t>元</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平方米单价水平，</w:t>
      </w:r>
      <w:r w:rsidRPr="007B4794">
        <w:rPr>
          <w:rFonts w:ascii="Arial" w:hAnsi="Arial" w:cs="Arial" w:hint="eastAsia"/>
          <w:color w:val="000000" w:themeColor="text1"/>
          <w:sz w:val="21"/>
          <w:szCs w:val="21"/>
        </w:rPr>
        <w:t>2019</w:t>
      </w:r>
      <w:r w:rsidRPr="007B4794">
        <w:rPr>
          <w:rFonts w:ascii="Arial" w:hAnsi="Arial" w:cs="Arial" w:hint="eastAsia"/>
          <w:color w:val="000000" w:themeColor="text1"/>
          <w:sz w:val="21"/>
          <w:szCs w:val="21"/>
        </w:rPr>
        <w:t>年</w:t>
      </w:r>
      <w:r w:rsidRPr="007B4794">
        <w:rPr>
          <w:rFonts w:ascii="Arial" w:hAnsi="Arial" w:cs="Arial" w:hint="eastAsia"/>
          <w:color w:val="000000" w:themeColor="text1"/>
          <w:sz w:val="21"/>
          <w:szCs w:val="21"/>
        </w:rPr>
        <w:t>11</w:t>
      </w:r>
      <w:r w:rsidRPr="007B4794">
        <w:rPr>
          <w:rFonts w:ascii="Arial" w:hAnsi="Arial" w:cs="Arial" w:hint="eastAsia"/>
          <w:color w:val="000000" w:themeColor="text1"/>
          <w:sz w:val="21"/>
          <w:szCs w:val="21"/>
        </w:rPr>
        <w:t>月开始出现小幅度下降，</w:t>
      </w:r>
      <w:r w:rsidRPr="007B4794">
        <w:rPr>
          <w:rFonts w:ascii="Arial" w:hAnsi="Arial" w:cs="Arial" w:hint="eastAsia"/>
          <w:color w:val="000000" w:themeColor="text1"/>
          <w:sz w:val="21"/>
          <w:szCs w:val="21"/>
        </w:rPr>
        <w:t>2020</w:t>
      </w:r>
      <w:r w:rsidRPr="007B4794">
        <w:rPr>
          <w:rFonts w:ascii="Arial" w:hAnsi="Arial" w:cs="Arial" w:hint="eastAsia"/>
          <w:color w:val="000000" w:themeColor="text1"/>
          <w:sz w:val="21"/>
          <w:szCs w:val="21"/>
        </w:rPr>
        <w:t>年</w:t>
      </w:r>
      <w:r w:rsidRPr="007B4794">
        <w:rPr>
          <w:rFonts w:ascii="Arial" w:hAnsi="Arial" w:cs="Arial" w:hint="eastAsia"/>
          <w:color w:val="000000" w:themeColor="text1"/>
          <w:sz w:val="21"/>
          <w:szCs w:val="21"/>
        </w:rPr>
        <w:t>2</w:t>
      </w:r>
      <w:r w:rsidRPr="007B4794">
        <w:rPr>
          <w:rFonts w:ascii="Arial" w:hAnsi="Arial" w:cs="Arial" w:hint="eastAsia"/>
          <w:color w:val="000000" w:themeColor="text1"/>
          <w:sz w:val="21"/>
          <w:szCs w:val="21"/>
        </w:rPr>
        <w:t>月有逐步回升到</w:t>
      </w:r>
      <w:r w:rsidRPr="007B4794">
        <w:rPr>
          <w:rFonts w:ascii="Arial" w:hAnsi="Arial" w:cs="Arial" w:hint="eastAsia"/>
          <w:color w:val="000000" w:themeColor="text1"/>
          <w:sz w:val="21"/>
          <w:szCs w:val="21"/>
        </w:rPr>
        <w:t>16017</w:t>
      </w:r>
      <w:r w:rsidRPr="007B4794">
        <w:rPr>
          <w:rFonts w:ascii="Arial" w:hAnsi="Arial" w:cs="Arial" w:hint="eastAsia"/>
          <w:color w:val="000000" w:themeColor="text1"/>
          <w:sz w:val="21"/>
          <w:szCs w:val="21"/>
        </w:rPr>
        <w:t>元</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平方米；</w:t>
      </w:r>
      <w:r w:rsidRPr="007B4794">
        <w:rPr>
          <w:rFonts w:ascii="Arial" w:hAnsi="Arial" w:cs="Arial" w:hint="eastAsia"/>
          <w:color w:val="000000" w:themeColor="text1"/>
          <w:sz w:val="21"/>
          <w:szCs w:val="21"/>
        </w:rPr>
        <w:t>3-4</w:t>
      </w:r>
      <w:r w:rsidRPr="007B4794">
        <w:rPr>
          <w:rFonts w:ascii="Arial" w:hAnsi="Arial" w:cs="Arial" w:hint="eastAsia"/>
          <w:color w:val="000000" w:themeColor="text1"/>
          <w:sz w:val="21"/>
          <w:szCs w:val="21"/>
        </w:rPr>
        <w:t>月份受疫情影响。价格下降到</w:t>
      </w:r>
      <w:r w:rsidRPr="007B4794">
        <w:rPr>
          <w:rFonts w:ascii="Arial" w:hAnsi="Arial" w:cs="Arial" w:hint="eastAsia"/>
          <w:color w:val="000000" w:themeColor="text1"/>
          <w:sz w:val="21"/>
          <w:szCs w:val="21"/>
        </w:rPr>
        <w:t>15273</w:t>
      </w:r>
      <w:r w:rsidRPr="007B4794">
        <w:rPr>
          <w:rFonts w:ascii="Arial" w:hAnsi="Arial" w:cs="Arial" w:hint="eastAsia"/>
          <w:color w:val="000000" w:themeColor="text1"/>
          <w:sz w:val="21"/>
          <w:szCs w:val="21"/>
        </w:rPr>
        <w:t>元</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平方米；</w:t>
      </w:r>
      <w:r w:rsidRPr="007B4794">
        <w:rPr>
          <w:rFonts w:ascii="Arial" w:hAnsi="Arial" w:cs="Arial" w:hint="eastAsia"/>
          <w:color w:val="000000" w:themeColor="text1"/>
          <w:sz w:val="21"/>
          <w:szCs w:val="21"/>
        </w:rPr>
        <w:t>7-10</w:t>
      </w:r>
      <w:r w:rsidRPr="007B4794">
        <w:rPr>
          <w:rFonts w:ascii="Arial" w:hAnsi="Arial" w:cs="Arial" w:hint="eastAsia"/>
          <w:color w:val="000000" w:themeColor="text1"/>
          <w:sz w:val="21"/>
          <w:szCs w:val="21"/>
        </w:rPr>
        <w:t>月成交单价出现大幅度下降趋势，</w:t>
      </w:r>
      <w:r w:rsidR="00B011C2" w:rsidRPr="007B4794">
        <w:rPr>
          <w:rFonts w:ascii="Arial" w:hAnsi="Arial" w:cs="Arial" w:hint="eastAsia"/>
          <w:color w:val="000000" w:themeColor="text1"/>
          <w:sz w:val="21"/>
          <w:szCs w:val="21"/>
        </w:rPr>
        <w:t>主要原因是由于龙文区大唐锦绣世家、世茂诚品项目</w:t>
      </w:r>
      <w:r w:rsidR="001E12D5" w:rsidRPr="007B4794">
        <w:rPr>
          <w:rFonts w:ascii="Arial" w:hAnsi="Arial" w:cs="Arial" w:hint="eastAsia"/>
          <w:color w:val="000000" w:themeColor="text1"/>
          <w:sz w:val="21"/>
          <w:szCs w:val="21"/>
        </w:rPr>
        <w:t>成为</w:t>
      </w:r>
      <w:r w:rsidR="00B011C2" w:rsidRPr="007B4794">
        <w:rPr>
          <w:rFonts w:ascii="Arial" w:hAnsi="Arial" w:cs="Arial" w:hint="eastAsia"/>
          <w:color w:val="000000" w:themeColor="text1"/>
          <w:sz w:val="21"/>
          <w:szCs w:val="21"/>
        </w:rPr>
        <w:t>主力成交项目，</w:t>
      </w:r>
      <w:r w:rsidR="001E12D5" w:rsidRPr="007B4794">
        <w:rPr>
          <w:rFonts w:ascii="Arial" w:hAnsi="Arial" w:cs="Arial" w:hint="eastAsia"/>
          <w:color w:val="000000" w:themeColor="text1"/>
          <w:sz w:val="21"/>
          <w:szCs w:val="21"/>
        </w:rPr>
        <w:t>且</w:t>
      </w:r>
      <w:r w:rsidR="00B011C2" w:rsidRPr="007B4794">
        <w:rPr>
          <w:rFonts w:ascii="Arial" w:hAnsi="Arial" w:cs="Arial" w:hint="eastAsia"/>
          <w:color w:val="000000" w:themeColor="text1"/>
          <w:sz w:val="21"/>
          <w:szCs w:val="21"/>
        </w:rPr>
        <w:t>平均成交单价在</w:t>
      </w:r>
      <w:r w:rsidR="00B011C2" w:rsidRPr="007B4794">
        <w:rPr>
          <w:rFonts w:ascii="Arial" w:hAnsi="Arial" w:cs="Arial" w:hint="eastAsia"/>
          <w:color w:val="000000" w:themeColor="text1"/>
          <w:sz w:val="21"/>
          <w:szCs w:val="21"/>
        </w:rPr>
        <w:t>7000-8000</w:t>
      </w:r>
      <w:r w:rsidR="00B011C2" w:rsidRPr="007B4794">
        <w:rPr>
          <w:rFonts w:ascii="Arial" w:hAnsi="Arial" w:cs="Arial" w:hint="eastAsia"/>
          <w:color w:val="000000" w:themeColor="text1"/>
          <w:sz w:val="21"/>
          <w:szCs w:val="21"/>
        </w:rPr>
        <w:t>元</w:t>
      </w:r>
      <w:r w:rsidR="00B011C2" w:rsidRPr="007B4794">
        <w:rPr>
          <w:rFonts w:ascii="Arial" w:hAnsi="Arial" w:cs="Arial" w:hint="eastAsia"/>
          <w:color w:val="000000" w:themeColor="text1"/>
          <w:sz w:val="21"/>
          <w:szCs w:val="21"/>
        </w:rPr>
        <w:t>/</w:t>
      </w:r>
      <w:r w:rsidR="00B011C2" w:rsidRPr="007B4794">
        <w:rPr>
          <w:rFonts w:ascii="Arial" w:hAnsi="Arial" w:cs="Arial" w:hint="eastAsia"/>
          <w:color w:val="000000" w:themeColor="text1"/>
          <w:sz w:val="21"/>
          <w:szCs w:val="21"/>
        </w:rPr>
        <w:t>平方米，拉低了整体成交单价趋势。</w:t>
      </w:r>
    </w:p>
    <w:p w14:paraId="04078646" w14:textId="366357D5" w:rsidR="007D319F" w:rsidRPr="007B4794" w:rsidRDefault="001E12D5" w:rsidP="003004C8">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分析</w:t>
      </w:r>
      <w:r w:rsidR="007D319F" w:rsidRPr="007B4794">
        <w:rPr>
          <w:rFonts w:ascii="Arial" w:hAnsi="Arial" w:cs="Arial" w:hint="eastAsia"/>
          <w:color w:val="000000" w:themeColor="text1"/>
          <w:sz w:val="21"/>
          <w:szCs w:val="21"/>
        </w:rPr>
        <w:t>两者数据，整体趋势基本一致，但中指数据中</w:t>
      </w:r>
      <w:r w:rsidR="007D319F" w:rsidRPr="007B4794">
        <w:rPr>
          <w:rFonts w:ascii="Arial" w:hAnsi="Arial" w:cs="Arial" w:hint="eastAsia"/>
          <w:color w:val="000000" w:themeColor="text1"/>
          <w:sz w:val="21"/>
          <w:szCs w:val="21"/>
        </w:rPr>
        <w:t>7-8</w:t>
      </w:r>
      <w:r w:rsidR="007D319F" w:rsidRPr="007B4794">
        <w:rPr>
          <w:rFonts w:ascii="Arial" w:hAnsi="Arial" w:cs="Arial" w:hint="eastAsia"/>
          <w:color w:val="000000" w:themeColor="text1"/>
          <w:sz w:val="21"/>
          <w:szCs w:val="21"/>
        </w:rPr>
        <w:t>月价格降幅较大。分析原因主要是由于大唐锦绣世家、世茂诚品项目成交量统计数据不一致，克尔瑞数据成交套数约</w:t>
      </w:r>
      <w:r w:rsidR="007D319F" w:rsidRPr="007B4794">
        <w:rPr>
          <w:rFonts w:ascii="Arial" w:hAnsi="Arial" w:cs="Arial" w:hint="eastAsia"/>
          <w:color w:val="000000" w:themeColor="text1"/>
          <w:sz w:val="21"/>
          <w:szCs w:val="21"/>
        </w:rPr>
        <w:t>150</w:t>
      </w:r>
      <w:r w:rsidR="007D319F" w:rsidRPr="007B4794">
        <w:rPr>
          <w:rFonts w:ascii="Arial" w:hAnsi="Arial" w:cs="Arial" w:hint="eastAsia"/>
          <w:color w:val="000000" w:themeColor="text1"/>
          <w:sz w:val="21"/>
          <w:szCs w:val="21"/>
        </w:rPr>
        <w:t>套，中指数据成交套数约</w:t>
      </w:r>
      <w:r w:rsidR="007D319F" w:rsidRPr="007B4794">
        <w:rPr>
          <w:rFonts w:ascii="Arial" w:hAnsi="Arial" w:cs="Arial" w:hint="eastAsia"/>
          <w:color w:val="000000" w:themeColor="text1"/>
          <w:sz w:val="21"/>
          <w:szCs w:val="21"/>
        </w:rPr>
        <w:t>450</w:t>
      </w:r>
      <w:r w:rsidR="007D319F" w:rsidRPr="007B4794">
        <w:rPr>
          <w:rFonts w:ascii="Arial" w:hAnsi="Arial" w:cs="Arial" w:hint="eastAsia"/>
          <w:color w:val="000000" w:themeColor="text1"/>
          <w:sz w:val="21"/>
          <w:szCs w:val="21"/>
        </w:rPr>
        <w:t>套。</w:t>
      </w:r>
    </w:p>
    <w:p w14:paraId="6E8422EE" w14:textId="34F2AFD9" w:rsidR="00AE01CB" w:rsidRPr="007B4794" w:rsidRDefault="00D36E6A" w:rsidP="00AE01CB">
      <w:pPr>
        <w:spacing w:line="480" w:lineRule="auto"/>
        <w:jc w:val="center"/>
        <w:rPr>
          <w:rFonts w:ascii="Arial" w:hAnsi="Arial" w:cs="Arial"/>
          <w:color w:val="000000" w:themeColor="text1"/>
          <w:szCs w:val="21"/>
        </w:rPr>
      </w:pPr>
      <w:r w:rsidRPr="007B4794">
        <w:rPr>
          <w:noProof/>
          <w:color w:val="000000" w:themeColor="text1"/>
        </w:rPr>
        <w:drawing>
          <wp:inline distT="0" distB="0" distL="0" distR="0" wp14:anchorId="5D50F4D1" wp14:editId="53F5AB7E">
            <wp:extent cx="5772150" cy="2638425"/>
            <wp:effectExtent l="0" t="0" r="19050" b="9525"/>
            <wp:docPr id="5160" name="图表 516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E3CF766" w14:textId="62D4A073" w:rsidR="00AE01CB" w:rsidRPr="007B4794" w:rsidRDefault="00AE01CB" w:rsidP="00AE01CB">
      <w:pPr>
        <w:spacing w:line="480" w:lineRule="auto"/>
        <w:rPr>
          <w:rFonts w:ascii="华文细黑" w:eastAsia="华文细黑" w:hAnsi="华文细黑" w:cs="Arial"/>
          <w:color w:val="000000" w:themeColor="text1"/>
          <w:sz w:val="15"/>
          <w:szCs w:val="15"/>
        </w:rPr>
      </w:pPr>
      <w:r w:rsidRPr="007B4794">
        <w:rPr>
          <w:rFonts w:ascii="华文细黑" w:eastAsia="华文细黑" w:hAnsi="华文细黑" w:cs="Arial" w:hint="eastAsia"/>
          <w:color w:val="000000" w:themeColor="text1"/>
          <w:sz w:val="15"/>
          <w:szCs w:val="15"/>
        </w:rPr>
        <w:t>资料来源：</w:t>
      </w:r>
      <w:r w:rsidR="00D36E6A" w:rsidRPr="007B4794">
        <w:rPr>
          <w:rFonts w:ascii="Arial" w:eastAsia="华文细黑" w:hAnsi="Arial" w:cs="Arial"/>
          <w:color w:val="000000" w:themeColor="text1"/>
          <w:sz w:val="15"/>
          <w:szCs w:val="15"/>
        </w:rPr>
        <w:t>CR</w:t>
      </w:r>
      <w:r w:rsidR="00D36E6A" w:rsidRPr="007B4794">
        <w:rPr>
          <w:rFonts w:ascii="Arial" w:eastAsia="华文细黑" w:hAnsi="Arial" w:cs="Arial" w:hint="eastAsia"/>
          <w:color w:val="000000" w:themeColor="text1"/>
          <w:sz w:val="15"/>
          <w:szCs w:val="15"/>
        </w:rPr>
        <w:t>IC</w:t>
      </w:r>
      <w:r w:rsidR="00D36E6A" w:rsidRPr="007B4794">
        <w:rPr>
          <w:rFonts w:ascii="华文细黑" w:eastAsia="华文细黑" w:hAnsi="华文细黑" w:cs="Arial" w:hint="eastAsia"/>
          <w:color w:val="000000" w:themeColor="text1"/>
          <w:sz w:val="15"/>
          <w:szCs w:val="15"/>
        </w:rPr>
        <w:t>克而瑞数据</w:t>
      </w:r>
    </w:p>
    <w:p w14:paraId="4F27DA3F" w14:textId="77777777" w:rsidR="000164BF" w:rsidRPr="007B4794" w:rsidRDefault="000164BF" w:rsidP="00AE01CB">
      <w:pPr>
        <w:spacing w:line="480" w:lineRule="auto"/>
        <w:rPr>
          <w:rFonts w:ascii="华文细黑" w:eastAsia="华文细黑" w:hAnsi="华文细黑" w:cs="Arial"/>
          <w:color w:val="000000" w:themeColor="text1"/>
          <w:sz w:val="15"/>
          <w:szCs w:val="15"/>
        </w:rPr>
      </w:pPr>
    </w:p>
    <w:p w14:paraId="46EC93BB" w14:textId="0BB9E173" w:rsidR="000164BF" w:rsidRPr="007B4794" w:rsidRDefault="000164BF" w:rsidP="000164BF">
      <w:pPr>
        <w:spacing w:line="480" w:lineRule="auto"/>
        <w:jc w:val="center"/>
        <w:rPr>
          <w:rFonts w:ascii="Arial" w:hAnsi="Arial" w:cs="Arial"/>
          <w:color w:val="000000" w:themeColor="text1"/>
          <w:szCs w:val="21"/>
        </w:rPr>
      </w:pPr>
      <w:r w:rsidRPr="007B4794">
        <w:rPr>
          <w:noProof/>
          <w:color w:val="000000" w:themeColor="text1"/>
        </w:rPr>
        <w:drawing>
          <wp:inline distT="0" distB="0" distL="0" distR="0" wp14:anchorId="750ABE02" wp14:editId="5AC6832E">
            <wp:extent cx="5772150" cy="2038350"/>
            <wp:effectExtent l="0" t="0" r="19050" b="19050"/>
            <wp:docPr id="23" name="图表 2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243441B" w14:textId="65ECB1B7" w:rsidR="000164BF" w:rsidRPr="007B4794" w:rsidRDefault="000164BF" w:rsidP="000164BF">
      <w:pPr>
        <w:spacing w:line="480" w:lineRule="auto"/>
        <w:rPr>
          <w:rFonts w:ascii="华文细黑" w:eastAsia="华文细黑" w:hAnsi="华文细黑" w:cs="Arial"/>
          <w:color w:val="000000" w:themeColor="text1"/>
          <w:sz w:val="15"/>
          <w:szCs w:val="15"/>
        </w:rPr>
      </w:pPr>
      <w:r w:rsidRPr="007B4794">
        <w:rPr>
          <w:rFonts w:ascii="华文细黑" w:eastAsia="华文细黑" w:hAnsi="华文细黑" w:cs="Arial" w:hint="eastAsia"/>
          <w:color w:val="000000" w:themeColor="text1"/>
          <w:sz w:val="15"/>
          <w:szCs w:val="15"/>
        </w:rPr>
        <w:t>资料来源：</w:t>
      </w:r>
      <w:r w:rsidRPr="007B4794">
        <w:rPr>
          <w:rFonts w:ascii="Arial" w:eastAsia="华文细黑" w:hAnsi="Arial" w:cs="Arial"/>
          <w:color w:val="000000" w:themeColor="text1"/>
          <w:sz w:val="15"/>
          <w:szCs w:val="15"/>
        </w:rPr>
        <w:t>CR</w:t>
      </w:r>
      <w:r w:rsidRPr="007B4794">
        <w:rPr>
          <w:rFonts w:ascii="Arial" w:eastAsia="华文细黑" w:hAnsi="Arial" w:cs="Arial" w:hint="eastAsia"/>
          <w:color w:val="000000" w:themeColor="text1"/>
          <w:sz w:val="15"/>
          <w:szCs w:val="15"/>
        </w:rPr>
        <w:t>EIS</w:t>
      </w:r>
      <w:r w:rsidRPr="007B4794">
        <w:rPr>
          <w:rFonts w:ascii="Arial" w:eastAsia="华文细黑" w:hAnsi="Arial" w:cs="Arial" w:hint="eastAsia"/>
          <w:color w:val="000000" w:themeColor="text1"/>
          <w:sz w:val="15"/>
          <w:szCs w:val="15"/>
        </w:rPr>
        <w:t>中指</w:t>
      </w:r>
      <w:r w:rsidRPr="007B4794">
        <w:rPr>
          <w:rFonts w:ascii="华文细黑" w:eastAsia="华文细黑" w:hAnsi="华文细黑" w:cs="Arial" w:hint="eastAsia"/>
          <w:color w:val="000000" w:themeColor="text1"/>
          <w:sz w:val="15"/>
          <w:szCs w:val="15"/>
        </w:rPr>
        <w:t>数据</w:t>
      </w:r>
    </w:p>
    <w:p w14:paraId="2998923B" w14:textId="77777777" w:rsidR="000164BF" w:rsidRPr="007B4794" w:rsidRDefault="000164BF" w:rsidP="000164BF">
      <w:pPr>
        <w:spacing w:line="480" w:lineRule="auto"/>
        <w:rPr>
          <w:rFonts w:ascii="华文细黑" w:eastAsia="华文细黑" w:hAnsi="华文细黑" w:cs="Arial"/>
          <w:color w:val="000000" w:themeColor="text1"/>
          <w:sz w:val="15"/>
          <w:szCs w:val="15"/>
        </w:rPr>
      </w:pPr>
    </w:p>
    <w:p w14:paraId="63EBF652" w14:textId="77777777" w:rsidR="00AE01CB" w:rsidRPr="007B4794" w:rsidRDefault="00AE01CB"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lastRenderedPageBreak/>
        <w:t>3</w:t>
      </w:r>
      <w:r w:rsidRPr="007B4794">
        <w:rPr>
          <w:rFonts w:ascii="Arial" w:hAnsi="Arial" w:cs="Arial" w:hint="eastAsia"/>
          <w:color w:val="000000" w:themeColor="text1"/>
          <w:sz w:val="21"/>
          <w:szCs w:val="21"/>
        </w:rPr>
        <w:t>、区域分布</w:t>
      </w:r>
    </w:p>
    <w:p w14:paraId="6E5581B3" w14:textId="17F08C08" w:rsidR="00AE01CB" w:rsidRPr="007B4794" w:rsidRDefault="00AE01CB" w:rsidP="00A13044">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从区域分布上分析，</w:t>
      </w:r>
      <w:r w:rsidR="00453D36" w:rsidRPr="007B4794">
        <w:rPr>
          <w:rFonts w:ascii="Arial" w:hAnsi="Arial" w:cs="Arial" w:hint="eastAsia"/>
          <w:color w:val="000000" w:themeColor="text1"/>
          <w:sz w:val="21"/>
          <w:szCs w:val="21"/>
        </w:rPr>
        <w:t>漳州市商品住宅成交区域</w:t>
      </w:r>
      <w:r w:rsidRPr="007B4794">
        <w:rPr>
          <w:rFonts w:ascii="Arial" w:hAnsi="Arial" w:cs="Arial" w:hint="eastAsia"/>
          <w:color w:val="000000" w:themeColor="text1"/>
          <w:sz w:val="21"/>
          <w:szCs w:val="21"/>
        </w:rPr>
        <w:t>中</w:t>
      </w:r>
      <w:r w:rsidR="00453D36" w:rsidRPr="007B4794">
        <w:rPr>
          <w:rFonts w:ascii="Arial" w:hAnsi="Arial" w:cs="Arial" w:hint="eastAsia"/>
          <w:color w:val="000000" w:themeColor="text1"/>
          <w:sz w:val="21"/>
          <w:szCs w:val="21"/>
        </w:rPr>
        <w:t>，茅城区</w:t>
      </w:r>
      <w:r w:rsidR="00453D36" w:rsidRPr="007B4794">
        <w:rPr>
          <w:rFonts w:ascii="Arial" w:hAnsi="Arial" w:cs="Arial" w:hint="eastAsia"/>
          <w:color w:val="000000" w:themeColor="text1"/>
          <w:sz w:val="21"/>
          <w:szCs w:val="21"/>
        </w:rPr>
        <w:t>2020</w:t>
      </w:r>
      <w:r w:rsidR="00453D36" w:rsidRPr="007B4794">
        <w:rPr>
          <w:rFonts w:ascii="Arial" w:hAnsi="Arial" w:cs="Arial" w:hint="eastAsia"/>
          <w:color w:val="000000" w:themeColor="text1"/>
          <w:sz w:val="21"/>
          <w:szCs w:val="21"/>
        </w:rPr>
        <w:t>年</w:t>
      </w:r>
      <w:r w:rsidR="00453D36" w:rsidRPr="007B4794">
        <w:rPr>
          <w:rFonts w:ascii="Arial" w:hAnsi="Arial" w:cs="Arial" w:hint="eastAsia"/>
          <w:color w:val="000000" w:themeColor="text1"/>
          <w:sz w:val="21"/>
          <w:szCs w:val="21"/>
        </w:rPr>
        <w:t>1-10</w:t>
      </w:r>
      <w:r w:rsidR="00453D36" w:rsidRPr="007B4794">
        <w:rPr>
          <w:rFonts w:ascii="Arial" w:hAnsi="Arial" w:cs="Arial" w:hint="eastAsia"/>
          <w:color w:val="000000" w:themeColor="text1"/>
          <w:sz w:val="21"/>
          <w:szCs w:val="21"/>
        </w:rPr>
        <w:t>月成交面积为</w:t>
      </w:r>
      <w:r w:rsidR="00453D36" w:rsidRPr="007B4794">
        <w:rPr>
          <w:rFonts w:ascii="Arial" w:hAnsi="Arial" w:cs="Arial" w:hint="eastAsia"/>
          <w:color w:val="000000" w:themeColor="text1"/>
          <w:sz w:val="21"/>
          <w:szCs w:val="21"/>
        </w:rPr>
        <w:t>28.93</w:t>
      </w:r>
      <w:r w:rsidR="00453D36" w:rsidRPr="007B4794">
        <w:rPr>
          <w:rFonts w:ascii="Arial" w:hAnsi="Arial" w:cs="Arial" w:hint="eastAsia"/>
          <w:color w:val="000000" w:themeColor="text1"/>
          <w:sz w:val="21"/>
          <w:szCs w:val="21"/>
        </w:rPr>
        <w:t>万平方米，已超过</w:t>
      </w:r>
      <w:r w:rsidR="00453D36" w:rsidRPr="007B4794">
        <w:rPr>
          <w:rFonts w:ascii="Arial" w:hAnsi="Arial" w:cs="Arial" w:hint="eastAsia"/>
          <w:color w:val="000000" w:themeColor="text1"/>
          <w:sz w:val="21"/>
          <w:szCs w:val="21"/>
        </w:rPr>
        <w:t>2019</w:t>
      </w:r>
      <w:r w:rsidR="00453D36" w:rsidRPr="007B4794">
        <w:rPr>
          <w:rFonts w:ascii="Arial" w:hAnsi="Arial" w:cs="Arial" w:hint="eastAsia"/>
          <w:color w:val="000000" w:themeColor="text1"/>
          <w:sz w:val="21"/>
          <w:szCs w:val="21"/>
        </w:rPr>
        <w:t>年全年成交面积；龙文区成交量明显高于其他区域，</w:t>
      </w:r>
      <w:r w:rsidR="00453D36" w:rsidRPr="007B4794">
        <w:rPr>
          <w:rFonts w:ascii="Arial" w:hAnsi="Arial" w:cs="Arial" w:hint="eastAsia"/>
          <w:color w:val="000000" w:themeColor="text1"/>
          <w:sz w:val="21"/>
          <w:szCs w:val="21"/>
        </w:rPr>
        <w:t>2020</w:t>
      </w:r>
      <w:r w:rsidR="00453D36" w:rsidRPr="007B4794">
        <w:rPr>
          <w:rFonts w:ascii="Arial" w:hAnsi="Arial" w:cs="Arial" w:hint="eastAsia"/>
          <w:color w:val="000000" w:themeColor="text1"/>
          <w:sz w:val="21"/>
          <w:szCs w:val="21"/>
        </w:rPr>
        <w:t>年</w:t>
      </w:r>
      <w:r w:rsidR="00453D36" w:rsidRPr="007B4794">
        <w:rPr>
          <w:rFonts w:ascii="Arial" w:hAnsi="Arial" w:cs="Arial" w:hint="eastAsia"/>
          <w:color w:val="000000" w:themeColor="text1"/>
          <w:sz w:val="21"/>
          <w:szCs w:val="21"/>
        </w:rPr>
        <w:t>1-10</w:t>
      </w:r>
      <w:r w:rsidR="00453D36" w:rsidRPr="007B4794">
        <w:rPr>
          <w:rFonts w:ascii="Arial" w:hAnsi="Arial" w:cs="Arial" w:hint="eastAsia"/>
          <w:color w:val="000000" w:themeColor="text1"/>
          <w:sz w:val="21"/>
          <w:szCs w:val="21"/>
        </w:rPr>
        <w:t>月成交面积为</w:t>
      </w:r>
      <w:r w:rsidR="00453D36" w:rsidRPr="007B4794">
        <w:rPr>
          <w:rFonts w:ascii="Arial" w:hAnsi="Arial" w:cs="Arial" w:hint="eastAsia"/>
          <w:color w:val="000000" w:themeColor="text1"/>
          <w:sz w:val="21"/>
          <w:szCs w:val="21"/>
        </w:rPr>
        <w:t>57.32</w:t>
      </w:r>
      <w:r w:rsidR="00453D36" w:rsidRPr="007B4794">
        <w:rPr>
          <w:rFonts w:ascii="Arial" w:hAnsi="Arial" w:cs="Arial" w:hint="eastAsia"/>
          <w:color w:val="000000" w:themeColor="text1"/>
          <w:sz w:val="21"/>
          <w:szCs w:val="21"/>
        </w:rPr>
        <w:t>万平方米，</w:t>
      </w:r>
      <w:r w:rsidR="00FC5941" w:rsidRPr="007B4794">
        <w:rPr>
          <w:rFonts w:ascii="Arial" w:hAnsi="Arial" w:cs="Arial" w:hint="eastAsia"/>
          <w:color w:val="000000" w:themeColor="text1"/>
          <w:sz w:val="21"/>
          <w:szCs w:val="21"/>
        </w:rPr>
        <w:t>高于</w:t>
      </w:r>
      <w:r w:rsidR="00FC5941" w:rsidRPr="007B4794">
        <w:rPr>
          <w:rFonts w:ascii="Arial" w:hAnsi="Arial" w:cs="Arial" w:hint="eastAsia"/>
          <w:color w:val="000000" w:themeColor="text1"/>
          <w:sz w:val="21"/>
          <w:szCs w:val="21"/>
        </w:rPr>
        <w:t>2019</w:t>
      </w:r>
      <w:r w:rsidR="00FC5941" w:rsidRPr="007B4794">
        <w:rPr>
          <w:rFonts w:ascii="Arial" w:hAnsi="Arial" w:cs="Arial" w:hint="eastAsia"/>
          <w:color w:val="000000" w:themeColor="text1"/>
          <w:sz w:val="21"/>
          <w:szCs w:val="21"/>
        </w:rPr>
        <w:t>年同期水平</w:t>
      </w:r>
      <w:r w:rsidR="00FC5941" w:rsidRPr="007B4794">
        <w:rPr>
          <w:rFonts w:ascii="Arial" w:hAnsi="Arial" w:cs="Arial" w:hint="eastAsia"/>
          <w:color w:val="000000" w:themeColor="text1"/>
          <w:sz w:val="21"/>
          <w:szCs w:val="21"/>
        </w:rPr>
        <w:t>51.07</w:t>
      </w:r>
      <w:r w:rsidRPr="007B4794">
        <w:rPr>
          <w:rFonts w:ascii="Arial" w:hAnsi="Arial" w:cs="Arial" w:hint="eastAsia"/>
          <w:color w:val="000000" w:themeColor="text1"/>
          <w:sz w:val="21"/>
          <w:szCs w:val="21"/>
        </w:rPr>
        <w:t>万</w:t>
      </w:r>
      <w:r w:rsidRPr="007B4794">
        <w:rPr>
          <w:rFonts w:ascii="Arial" w:hAnsi="Arial" w:cs="Arial"/>
          <w:color w:val="000000" w:themeColor="text1"/>
          <w:sz w:val="21"/>
          <w:szCs w:val="21"/>
        </w:rPr>
        <w:t>平方米</w:t>
      </w:r>
      <w:r w:rsidRPr="007B4794">
        <w:rPr>
          <w:rFonts w:ascii="Arial" w:hAnsi="Arial" w:cs="Arial" w:hint="eastAsia"/>
          <w:color w:val="000000" w:themeColor="text1"/>
          <w:sz w:val="21"/>
          <w:szCs w:val="21"/>
        </w:rPr>
        <w:t>；</w:t>
      </w:r>
      <w:r w:rsidR="00FC5941" w:rsidRPr="007B4794">
        <w:rPr>
          <w:rFonts w:ascii="Arial" w:hAnsi="Arial" w:cs="Arial" w:hint="eastAsia"/>
          <w:color w:val="000000" w:themeColor="text1"/>
          <w:sz w:val="21"/>
          <w:szCs w:val="21"/>
        </w:rPr>
        <w:t>高新区于</w:t>
      </w:r>
      <w:r w:rsidR="00FC5941" w:rsidRPr="007B4794">
        <w:rPr>
          <w:rFonts w:ascii="Arial" w:hAnsi="Arial" w:cs="Arial" w:hint="eastAsia"/>
          <w:color w:val="000000" w:themeColor="text1"/>
          <w:sz w:val="21"/>
          <w:szCs w:val="21"/>
        </w:rPr>
        <w:t>2020</w:t>
      </w:r>
      <w:r w:rsidR="00FC5941" w:rsidRPr="007B4794">
        <w:rPr>
          <w:rFonts w:ascii="Arial" w:hAnsi="Arial" w:cs="Arial" w:hint="eastAsia"/>
          <w:color w:val="000000" w:themeColor="text1"/>
          <w:sz w:val="21"/>
          <w:szCs w:val="21"/>
        </w:rPr>
        <w:t>年</w:t>
      </w:r>
      <w:r w:rsidR="00FC5941" w:rsidRPr="007B4794">
        <w:rPr>
          <w:rFonts w:ascii="Arial" w:hAnsi="Arial" w:cs="Arial" w:hint="eastAsia"/>
          <w:color w:val="000000" w:themeColor="text1"/>
          <w:sz w:val="21"/>
          <w:szCs w:val="21"/>
        </w:rPr>
        <w:t>8</w:t>
      </w:r>
      <w:r w:rsidR="00FC5941" w:rsidRPr="007B4794">
        <w:rPr>
          <w:rFonts w:ascii="Arial" w:hAnsi="Arial" w:cs="Arial" w:hint="eastAsia"/>
          <w:color w:val="000000" w:themeColor="text1"/>
          <w:sz w:val="21"/>
          <w:szCs w:val="21"/>
        </w:rPr>
        <w:t>月开始纳入到克尔瑞数据统计中，</w:t>
      </w:r>
      <w:r w:rsidR="00FC5941" w:rsidRPr="007B4794">
        <w:rPr>
          <w:rFonts w:ascii="Arial" w:hAnsi="Arial" w:cs="Arial" w:hint="eastAsia"/>
          <w:color w:val="000000" w:themeColor="text1"/>
          <w:sz w:val="21"/>
          <w:szCs w:val="21"/>
        </w:rPr>
        <w:t>8-10</w:t>
      </w:r>
      <w:r w:rsidR="00FC5941" w:rsidRPr="007B4794">
        <w:rPr>
          <w:rFonts w:ascii="Arial" w:hAnsi="Arial" w:cs="Arial" w:hint="eastAsia"/>
          <w:color w:val="000000" w:themeColor="text1"/>
          <w:sz w:val="21"/>
          <w:szCs w:val="21"/>
        </w:rPr>
        <w:t>月成交面积</w:t>
      </w:r>
      <w:r w:rsidR="00FC5941" w:rsidRPr="007B4794">
        <w:rPr>
          <w:rFonts w:ascii="Arial" w:hAnsi="Arial" w:cs="Arial" w:hint="eastAsia"/>
          <w:color w:val="000000" w:themeColor="text1"/>
          <w:sz w:val="21"/>
          <w:szCs w:val="21"/>
        </w:rPr>
        <w:t>4.26</w:t>
      </w:r>
      <w:r w:rsidR="00FC5941" w:rsidRPr="007B4794">
        <w:rPr>
          <w:rFonts w:ascii="Arial" w:hAnsi="Arial" w:cs="Arial" w:hint="eastAsia"/>
          <w:color w:val="000000" w:themeColor="text1"/>
          <w:sz w:val="21"/>
          <w:szCs w:val="21"/>
        </w:rPr>
        <w:t>万平方米</w:t>
      </w:r>
      <w:r w:rsidR="00A13044"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从</w:t>
      </w:r>
      <w:r w:rsidR="00A13044" w:rsidRPr="007B4794">
        <w:rPr>
          <w:rFonts w:ascii="Arial" w:hAnsi="Arial" w:cs="Arial" w:hint="eastAsia"/>
          <w:color w:val="000000" w:themeColor="text1"/>
          <w:sz w:val="21"/>
          <w:szCs w:val="21"/>
        </w:rPr>
        <w:t>成交金额上看</w:t>
      </w:r>
      <w:r w:rsidRPr="007B4794">
        <w:rPr>
          <w:rFonts w:ascii="Arial" w:hAnsi="Arial" w:cs="Arial" w:hint="eastAsia"/>
          <w:color w:val="000000" w:themeColor="text1"/>
          <w:sz w:val="21"/>
          <w:szCs w:val="21"/>
        </w:rPr>
        <w:t>，</w:t>
      </w:r>
      <w:r w:rsidR="00051F0E" w:rsidRPr="007B4794">
        <w:rPr>
          <w:rFonts w:ascii="Arial" w:hAnsi="Arial" w:cs="Arial" w:hint="eastAsia"/>
          <w:color w:val="000000" w:themeColor="text1"/>
          <w:sz w:val="21"/>
          <w:szCs w:val="21"/>
        </w:rPr>
        <w:t>受疫情影响和楼盘成交位置等原因，</w:t>
      </w:r>
      <w:r w:rsidR="00A13044" w:rsidRPr="007B4794">
        <w:rPr>
          <w:rFonts w:ascii="Arial" w:hAnsi="Arial" w:cs="Arial" w:hint="eastAsia"/>
          <w:color w:val="000000" w:themeColor="text1"/>
          <w:sz w:val="21"/>
          <w:szCs w:val="21"/>
        </w:rPr>
        <w:t>2020</w:t>
      </w:r>
      <w:r w:rsidR="00A13044" w:rsidRPr="007B4794">
        <w:rPr>
          <w:rFonts w:ascii="Arial" w:hAnsi="Arial" w:cs="Arial" w:hint="eastAsia"/>
          <w:color w:val="000000" w:themeColor="text1"/>
          <w:sz w:val="21"/>
          <w:szCs w:val="21"/>
        </w:rPr>
        <w:t>年茅城区、龙文区成交均价都略低于</w:t>
      </w:r>
      <w:r w:rsidR="00A13044" w:rsidRPr="007B4794">
        <w:rPr>
          <w:rFonts w:ascii="Arial" w:hAnsi="Arial" w:cs="Arial" w:hint="eastAsia"/>
          <w:color w:val="000000" w:themeColor="text1"/>
          <w:sz w:val="21"/>
          <w:szCs w:val="21"/>
        </w:rPr>
        <w:t>2019</w:t>
      </w:r>
      <w:r w:rsidR="00A13044" w:rsidRPr="007B4794">
        <w:rPr>
          <w:rFonts w:ascii="Arial" w:hAnsi="Arial" w:cs="Arial" w:hint="eastAsia"/>
          <w:color w:val="000000" w:themeColor="text1"/>
          <w:sz w:val="21"/>
          <w:szCs w:val="21"/>
        </w:rPr>
        <w:t>年</w:t>
      </w:r>
      <w:r w:rsidR="00051F0E" w:rsidRPr="007B4794">
        <w:rPr>
          <w:rFonts w:ascii="Arial" w:hAnsi="Arial" w:cs="Arial" w:hint="eastAsia"/>
          <w:color w:val="000000" w:themeColor="text1"/>
          <w:sz w:val="21"/>
          <w:szCs w:val="21"/>
        </w:rPr>
        <w:t>。</w:t>
      </w:r>
    </w:p>
    <w:p w14:paraId="615DAF07" w14:textId="2A7F2AA8" w:rsidR="00AE01CB" w:rsidRPr="007B4794" w:rsidRDefault="00453D36" w:rsidP="00AE01CB">
      <w:pPr>
        <w:widowControl w:val="0"/>
        <w:adjustRightInd w:val="0"/>
        <w:snapToGrid w:val="0"/>
        <w:spacing w:line="480" w:lineRule="auto"/>
        <w:jc w:val="center"/>
        <w:rPr>
          <w:rFonts w:ascii="Arial" w:hAnsi="Arial" w:cs="Arial"/>
          <w:color w:val="000000" w:themeColor="text1"/>
          <w:sz w:val="21"/>
          <w:szCs w:val="21"/>
        </w:rPr>
      </w:pPr>
      <w:r w:rsidRPr="007B4794">
        <w:rPr>
          <w:noProof/>
          <w:color w:val="000000" w:themeColor="text1"/>
        </w:rPr>
        <w:drawing>
          <wp:inline distT="0" distB="0" distL="0" distR="0" wp14:anchorId="23ED7683" wp14:editId="12C0DB11">
            <wp:extent cx="5238750" cy="2790825"/>
            <wp:effectExtent l="0" t="0" r="19050" b="9525"/>
            <wp:docPr id="5163" name="图表 516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D48B7AAF-6929-4043-9861-C48CE782E1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76B84AD" w14:textId="77777777" w:rsidR="00453D36" w:rsidRPr="007B4794" w:rsidRDefault="00AE01CB" w:rsidP="00453D36">
      <w:pPr>
        <w:spacing w:line="480" w:lineRule="auto"/>
        <w:rPr>
          <w:rFonts w:ascii="Arial" w:hAnsi="Arial" w:cs="Arial"/>
          <w:color w:val="000000" w:themeColor="text1"/>
          <w:szCs w:val="21"/>
        </w:rPr>
      </w:pPr>
      <w:r w:rsidRPr="007B4794">
        <w:rPr>
          <w:rFonts w:ascii="华文细黑" w:eastAsia="华文细黑" w:hAnsi="华文细黑" w:cs="Arial" w:hint="eastAsia"/>
          <w:color w:val="000000" w:themeColor="text1"/>
          <w:sz w:val="15"/>
          <w:szCs w:val="15"/>
        </w:rPr>
        <w:t>资料来源：</w:t>
      </w:r>
      <w:r w:rsidR="00453D36" w:rsidRPr="007B4794">
        <w:rPr>
          <w:rFonts w:ascii="Arial" w:eastAsia="华文细黑" w:hAnsi="Arial" w:cs="Arial"/>
          <w:color w:val="000000" w:themeColor="text1"/>
          <w:sz w:val="15"/>
          <w:szCs w:val="15"/>
        </w:rPr>
        <w:t>CR</w:t>
      </w:r>
      <w:r w:rsidR="00453D36" w:rsidRPr="007B4794">
        <w:rPr>
          <w:rFonts w:ascii="Arial" w:eastAsia="华文细黑" w:hAnsi="Arial" w:cs="Arial" w:hint="eastAsia"/>
          <w:color w:val="000000" w:themeColor="text1"/>
          <w:sz w:val="15"/>
          <w:szCs w:val="15"/>
        </w:rPr>
        <w:t>IC</w:t>
      </w:r>
      <w:r w:rsidR="00453D36" w:rsidRPr="007B4794">
        <w:rPr>
          <w:rFonts w:ascii="华文细黑" w:eastAsia="华文细黑" w:hAnsi="华文细黑" w:cs="Arial" w:hint="eastAsia"/>
          <w:color w:val="000000" w:themeColor="text1"/>
          <w:sz w:val="15"/>
          <w:szCs w:val="15"/>
        </w:rPr>
        <w:t>克而瑞数据</w:t>
      </w:r>
    </w:p>
    <w:p w14:paraId="5A60B12E" w14:textId="19416011" w:rsidR="00751059" w:rsidRPr="007B4794" w:rsidRDefault="00751059" w:rsidP="00A13044">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4</w:t>
      </w:r>
      <w:r w:rsidRPr="007B4794">
        <w:rPr>
          <w:rFonts w:ascii="Arial" w:hAnsi="Arial" w:cs="Arial" w:hint="eastAsia"/>
          <w:color w:val="000000" w:themeColor="text1"/>
          <w:sz w:val="21"/>
          <w:szCs w:val="21"/>
        </w:rPr>
        <w:t>、价格走势</w:t>
      </w:r>
    </w:p>
    <w:p w14:paraId="0472B220" w14:textId="2830A0BF" w:rsidR="00A13044" w:rsidRDefault="00A13044" w:rsidP="00A13044">
      <w:pPr>
        <w:widowControl w:val="0"/>
        <w:adjustRightInd w:val="0"/>
        <w:snapToGrid w:val="0"/>
        <w:spacing w:line="480" w:lineRule="auto"/>
        <w:ind w:firstLineChars="200" w:firstLine="420"/>
        <w:jc w:val="both"/>
        <w:rPr>
          <w:rFonts w:ascii="Arial" w:hAnsi="Arial" w:cs="Arial" w:hint="eastAsia"/>
          <w:color w:val="000000" w:themeColor="text1"/>
          <w:sz w:val="21"/>
          <w:szCs w:val="21"/>
        </w:rPr>
      </w:pPr>
      <w:r w:rsidRPr="007B4794">
        <w:rPr>
          <w:rFonts w:ascii="Arial" w:hAnsi="Arial" w:cs="Arial" w:hint="eastAsia"/>
          <w:color w:val="000000" w:themeColor="text1"/>
          <w:sz w:val="21"/>
          <w:szCs w:val="21"/>
        </w:rPr>
        <w:t>根据中国房价行情网对漳州市共</w:t>
      </w:r>
      <w:r w:rsidRPr="007B4794">
        <w:rPr>
          <w:rFonts w:ascii="Arial" w:hAnsi="Arial" w:cs="Arial" w:hint="eastAsia"/>
          <w:color w:val="000000" w:themeColor="text1"/>
          <w:sz w:val="21"/>
          <w:szCs w:val="21"/>
        </w:rPr>
        <w:t>165</w:t>
      </w:r>
      <w:r w:rsidRPr="007B4794">
        <w:rPr>
          <w:rFonts w:ascii="Arial" w:hAnsi="Arial" w:cs="Arial" w:hint="eastAsia"/>
          <w:color w:val="000000" w:themeColor="text1"/>
          <w:sz w:val="21"/>
          <w:szCs w:val="21"/>
        </w:rPr>
        <w:t>个新建楼盘统计，</w:t>
      </w:r>
      <w:r w:rsidRPr="007B4794">
        <w:rPr>
          <w:rFonts w:ascii="Arial" w:hAnsi="Arial" w:cs="Arial" w:hint="eastAsia"/>
          <w:color w:val="000000" w:themeColor="text1"/>
          <w:sz w:val="21"/>
          <w:szCs w:val="21"/>
        </w:rPr>
        <w:t>201</w:t>
      </w:r>
      <w:r w:rsidR="00E92509" w:rsidRPr="007B4794">
        <w:rPr>
          <w:rFonts w:ascii="Arial" w:hAnsi="Arial" w:cs="Arial" w:hint="eastAsia"/>
          <w:color w:val="000000" w:themeColor="text1"/>
          <w:sz w:val="21"/>
          <w:szCs w:val="21"/>
        </w:rPr>
        <w:t>9</w:t>
      </w:r>
      <w:r w:rsidRPr="007B4794">
        <w:rPr>
          <w:rFonts w:ascii="Arial" w:hAnsi="Arial" w:cs="Arial" w:hint="eastAsia"/>
          <w:color w:val="000000" w:themeColor="text1"/>
          <w:sz w:val="21"/>
          <w:szCs w:val="21"/>
        </w:rPr>
        <w:t>年</w:t>
      </w:r>
      <w:r w:rsidR="00E92509" w:rsidRPr="007B4794">
        <w:rPr>
          <w:rFonts w:ascii="Arial" w:hAnsi="Arial" w:cs="Arial" w:hint="eastAsia"/>
          <w:color w:val="000000" w:themeColor="text1"/>
          <w:sz w:val="21"/>
          <w:szCs w:val="21"/>
        </w:rPr>
        <w:t>1</w:t>
      </w:r>
      <w:r w:rsidR="00E92509" w:rsidRPr="007B4794">
        <w:rPr>
          <w:rFonts w:ascii="Arial" w:hAnsi="Arial" w:cs="Arial" w:hint="eastAsia"/>
          <w:color w:val="000000" w:themeColor="text1"/>
          <w:sz w:val="21"/>
          <w:szCs w:val="21"/>
        </w:rPr>
        <w:t>月</w:t>
      </w:r>
      <w:r w:rsidRPr="007B4794">
        <w:rPr>
          <w:rFonts w:ascii="Arial" w:hAnsi="Arial" w:cs="Arial" w:hint="eastAsia"/>
          <w:color w:val="000000" w:themeColor="text1"/>
          <w:sz w:val="21"/>
          <w:szCs w:val="21"/>
        </w:rPr>
        <w:t>至</w:t>
      </w:r>
      <w:r w:rsidRPr="007B4794">
        <w:rPr>
          <w:rFonts w:ascii="Arial" w:hAnsi="Arial" w:cs="Arial" w:hint="eastAsia"/>
          <w:color w:val="000000" w:themeColor="text1"/>
          <w:sz w:val="21"/>
          <w:szCs w:val="21"/>
        </w:rPr>
        <w:t>20</w:t>
      </w:r>
      <w:r w:rsidR="00E92509" w:rsidRPr="007B4794">
        <w:rPr>
          <w:rFonts w:ascii="Arial" w:hAnsi="Arial" w:cs="Arial" w:hint="eastAsia"/>
          <w:color w:val="000000" w:themeColor="text1"/>
          <w:sz w:val="21"/>
          <w:szCs w:val="21"/>
        </w:rPr>
        <w:t>20</w:t>
      </w:r>
      <w:r w:rsidRPr="007B4794">
        <w:rPr>
          <w:rFonts w:ascii="Arial" w:hAnsi="Arial" w:cs="Arial" w:hint="eastAsia"/>
          <w:color w:val="000000" w:themeColor="text1"/>
          <w:sz w:val="21"/>
          <w:szCs w:val="21"/>
        </w:rPr>
        <w:t>年</w:t>
      </w:r>
      <w:r w:rsidR="00E92509" w:rsidRPr="007B4794">
        <w:rPr>
          <w:rFonts w:ascii="Arial" w:hAnsi="Arial" w:cs="Arial" w:hint="eastAsia"/>
          <w:color w:val="000000" w:themeColor="text1"/>
          <w:sz w:val="21"/>
          <w:szCs w:val="21"/>
        </w:rPr>
        <w:t>2</w:t>
      </w:r>
      <w:r w:rsidR="00E92509" w:rsidRPr="007B4794">
        <w:rPr>
          <w:rFonts w:ascii="Arial" w:hAnsi="Arial" w:cs="Arial" w:hint="eastAsia"/>
          <w:color w:val="000000" w:themeColor="text1"/>
          <w:sz w:val="21"/>
          <w:szCs w:val="21"/>
        </w:rPr>
        <w:t>月漳州</w:t>
      </w:r>
      <w:r w:rsidRPr="007B4794">
        <w:rPr>
          <w:rFonts w:ascii="Arial" w:hAnsi="Arial" w:cs="Arial" w:hint="eastAsia"/>
          <w:color w:val="000000" w:themeColor="text1"/>
          <w:sz w:val="21"/>
          <w:szCs w:val="21"/>
        </w:rPr>
        <w:t>市新楼盘单价（报价）持续增长，平均单价</w:t>
      </w:r>
      <w:r w:rsidR="00E92509" w:rsidRPr="007B4794">
        <w:rPr>
          <w:rFonts w:ascii="Arial" w:hAnsi="Arial" w:cs="Arial" w:hint="eastAsia"/>
          <w:color w:val="000000" w:themeColor="text1"/>
          <w:sz w:val="21"/>
          <w:szCs w:val="21"/>
        </w:rPr>
        <w:t>由</w:t>
      </w:r>
      <w:r w:rsidR="00E92509" w:rsidRPr="007B4794">
        <w:rPr>
          <w:rFonts w:ascii="Arial" w:hAnsi="Arial" w:cs="Arial" w:hint="eastAsia"/>
          <w:color w:val="000000" w:themeColor="text1"/>
          <w:sz w:val="21"/>
          <w:szCs w:val="21"/>
        </w:rPr>
        <w:t>11819</w:t>
      </w:r>
      <w:r w:rsidRPr="007B4794">
        <w:rPr>
          <w:rFonts w:ascii="Arial" w:hAnsi="Arial" w:cs="Arial"/>
          <w:color w:val="000000" w:themeColor="text1"/>
          <w:sz w:val="21"/>
          <w:szCs w:val="21"/>
        </w:rPr>
        <w:t>元</w:t>
      </w:r>
      <w:r w:rsidRPr="007B4794">
        <w:rPr>
          <w:rFonts w:ascii="Arial" w:hAnsi="Arial" w:cs="Arial"/>
          <w:color w:val="000000" w:themeColor="text1"/>
          <w:sz w:val="21"/>
          <w:szCs w:val="21"/>
        </w:rPr>
        <w:t>/</w:t>
      </w:r>
      <w:r w:rsidRPr="007B4794">
        <w:rPr>
          <w:rFonts w:ascii="Arial" w:hAnsi="Arial" w:cs="Arial"/>
          <w:color w:val="000000" w:themeColor="text1"/>
          <w:sz w:val="21"/>
          <w:szCs w:val="21"/>
        </w:rPr>
        <w:t>㎡</w:t>
      </w:r>
      <w:r w:rsidR="00E92509" w:rsidRPr="007B4794">
        <w:rPr>
          <w:rFonts w:ascii="Arial" w:hAnsi="Arial" w:cs="Arial" w:hint="eastAsia"/>
          <w:color w:val="000000" w:themeColor="text1"/>
          <w:sz w:val="21"/>
          <w:szCs w:val="21"/>
        </w:rPr>
        <w:t>上涨至</w:t>
      </w:r>
      <w:r w:rsidR="00E92509" w:rsidRPr="007B4794">
        <w:rPr>
          <w:rFonts w:ascii="Arial" w:hAnsi="Arial" w:cs="Arial" w:hint="eastAsia"/>
          <w:color w:val="000000" w:themeColor="text1"/>
          <w:sz w:val="21"/>
          <w:szCs w:val="21"/>
        </w:rPr>
        <w:t>12372</w:t>
      </w:r>
      <w:r w:rsidR="00E92509" w:rsidRPr="007B4794">
        <w:rPr>
          <w:rFonts w:ascii="Arial" w:hAnsi="Arial" w:cs="Arial"/>
          <w:color w:val="000000" w:themeColor="text1"/>
          <w:sz w:val="21"/>
          <w:szCs w:val="21"/>
        </w:rPr>
        <w:t>元</w:t>
      </w:r>
      <w:r w:rsidR="00E92509" w:rsidRPr="007B4794">
        <w:rPr>
          <w:rFonts w:ascii="Arial" w:hAnsi="Arial" w:cs="Arial"/>
          <w:color w:val="000000" w:themeColor="text1"/>
          <w:sz w:val="21"/>
          <w:szCs w:val="21"/>
        </w:rPr>
        <w:t>/</w:t>
      </w:r>
      <w:r w:rsidR="00E92509" w:rsidRPr="007B4794">
        <w:rPr>
          <w:rFonts w:ascii="Arial" w:hAnsi="Arial" w:cs="Arial"/>
          <w:color w:val="000000" w:themeColor="text1"/>
          <w:sz w:val="21"/>
          <w:szCs w:val="21"/>
        </w:rPr>
        <w:t>㎡</w:t>
      </w:r>
      <w:r w:rsidRPr="007B4794">
        <w:rPr>
          <w:rFonts w:ascii="Arial" w:hAnsi="Arial" w:cs="Arial" w:hint="eastAsia"/>
          <w:color w:val="000000" w:themeColor="text1"/>
          <w:sz w:val="21"/>
          <w:szCs w:val="21"/>
        </w:rPr>
        <w:t>；受疫情影响，</w:t>
      </w:r>
      <w:r w:rsidRPr="007B4794">
        <w:rPr>
          <w:rFonts w:ascii="Arial" w:hAnsi="Arial" w:cs="Arial" w:hint="eastAsia"/>
          <w:color w:val="000000" w:themeColor="text1"/>
          <w:sz w:val="21"/>
          <w:szCs w:val="21"/>
        </w:rPr>
        <w:t>2020</w:t>
      </w:r>
      <w:r w:rsidRPr="007B4794">
        <w:rPr>
          <w:rFonts w:ascii="Arial" w:hAnsi="Arial" w:cs="Arial" w:hint="eastAsia"/>
          <w:color w:val="000000" w:themeColor="text1"/>
          <w:sz w:val="21"/>
          <w:szCs w:val="21"/>
        </w:rPr>
        <w:t>年</w:t>
      </w:r>
      <w:r w:rsidR="00E92509" w:rsidRPr="007B4794">
        <w:rPr>
          <w:rFonts w:ascii="Arial" w:hAnsi="Arial" w:cs="Arial" w:hint="eastAsia"/>
          <w:color w:val="000000" w:themeColor="text1"/>
          <w:sz w:val="21"/>
          <w:szCs w:val="21"/>
        </w:rPr>
        <w:t>3</w:t>
      </w:r>
      <w:r w:rsidR="00E92509" w:rsidRPr="007B4794">
        <w:rPr>
          <w:rFonts w:ascii="Arial" w:hAnsi="Arial" w:cs="Arial" w:hint="eastAsia"/>
          <w:color w:val="000000" w:themeColor="text1"/>
          <w:sz w:val="21"/>
          <w:szCs w:val="21"/>
        </w:rPr>
        <w:t>月漳州</w:t>
      </w:r>
      <w:r w:rsidRPr="007B4794">
        <w:rPr>
          <w:rFonts w:ascii="Arial" w:hAnsi="Arial" w:cs="Arial" w:hint="eastAsia"/>
          <w:color w:val="000000" w:themeColor="text1"/>
          <w:sz w:val="21"/>
          <w:szCs w:val="21"/>
        </w:rPr>
        <w:t>市新楼盘单价出现小幅度下降</w:t>
      </w:r>
      <w:r w:rsidR="00E92509" w:rsidRPr="007B4794">
        <w:rPr>
          <w:rFonts w:ascii="Arial" w:hAnsi="Arial" w:cs="Arial" w:hint="eastAsia"/>
          <w:color w:val="000000" w:themeColor="text1"/>
          <w:sz w:val="21"/>
          <w:szCs w:val="21"/>
        </w:rPr>
        <w:t>，平均单价保持在</w:t>
      </w:r>
      <w:r w:rsidR="0041327D" w:rsidRPr="007B4794">
        <w:rPr>
          <w:rFonts w:ascii="Arial" w:hAnsi="Arial" w:cs="Arial" w:hint="eastAsia"/>
          <w:color w:val="000000" w:themeColor="text1"/>
          <w:sz w:val="21"/>
          <w:szCs w:val="21"/>
        </w:rPr>
        <w:t>115</w:t>
      </w:r>
      <w:r w:rsidR="00E92509" w:rsidRPr="007B4794">
        <w:rPr>
          <w:rFonts w:ascii="Arial" w:hAnsi="Arial" w:cs="Arial" w:hint="eastAsia"/>
          <w:color w:val="000000" w:themeColor="text1"/>
          <w:sz w:val="21"/>
          <w:szCs w:val="21"/>
        </w:rPr>
        <w:t>09</w:t>
      </w:r>
      <w:r w:rsidR="00E92509" w:rsidRPr="007B4794">
        <w:rPr>
          <w:rFonts w:ascii="Arial" w:hAnsi="Arial" w:cs="Arial"/>
          <w:color w:val="000000" w:themeColor="text1"/>
          <w:sz w:val="21"/>
          <w:szCs w:val="21"/>
        </w:rPr>
        <w:t>元</w:t>
      </w:r>
      <w:r w:rsidR="00E92509" w:rsidRPr="007B4794">
        <w:rPr>
          <w:rFonts w:ascii="Arial" w:hAnsi="Arial" w:cs="Arial"/>
          <w:color w:val="000000" w:themeColor="text1"/>
          <w:sz w:val="21"/>
          <w:szCs w:val="21"/>
        </w:rPr>
        <w:t>/</w:t>
      </w:r>
      <w:r w:rsidR="00E92509" w:rsidRPr="007B4794">
        <w:rPr>
          <w:rFonts w:ascii="Arial" w:hAnsi="Arial" w:cs="Arial"/>
          <w:color w:val="000000" w:themeColor="text1"/>
          <w:sz w:val="21"/>
          <w:szCs w:val="21"/>
        </w:rPr>
        <w:t>㎡</w:t>
      </w:r>
      <w:r w:rsidR="00E92509" w:rsidRPr="007B4794">
        <w:rPr>
          <w:rFonts w:ascii="Arial" w:hAnsi="Arial" w:cs="Arial" w:hint="eastAsia"/>
          <w:color w:val="000000" w:themeColor="text1"/>
          <w:sz w:val="21"/>
          <w:szCs w:val="21"/>
        </w:rPr>
        <w:t>水平</w:t>
      </w:r>
      <w:r w:rsidRPr="007B4794">
        <w:rPr>
          <w:rFonts w:ascii="Arial" w:hAnsi="Arial" w:cs="Arial" w:hint="eastAsia"/>
          <w:color w:val="000000" w:themeColor="text1"/>
          <w:sz w:val="21"/>
          <w:szCs w:val="21"/>
        </w:rPr>
        <w:t>。</w:t>
      </w:r>
    </w:p>
    <w:p w14:paraId="62ED55DE" w14:textId="65145336" w:rsidR="00074032" w:rsidRPr="00074032" w:rsidRDefault="00074032" w:rsidP="00A13044">
      <w:pPr>
        <w:widowControl w:val="0"/>
        <w:adjustRightInd w:val="0"/>
        <w:snapToGrid w:val="0"/>
        <w:spacing w:line="480" w:lineRule="auto"/>
        <w:ind w:firstLineChars="200" w:firstLine="420"/>
        <w:jc w:val="both"/>
        <w:rPr>
          <w:rFonts w:ascii="华文楷体" w:eastAsia="华文楷体" w:hAnsi="华文楷体" w:cs="Arial"/>
          <w:color w:val="000000" w:themeColor="text1"/>
          <w:sz w:val="21"/>
          <w:szCs w:val="21"/>
        </w:rPr>
      </w:pPr>
      <w:r w:rsidRPr="00074032">
        <w:rPr>
          <w:rFonts w:ascii="华文楷体" w:eastAsia="华文楷体" w:hAnsi="华文楷体" w:cs="Arial" w:hint="eastAsia"/>
          <w:color w:val="000000" w:themeColor="text1"/>
          <w:sz w:val="21"/>
          <w:szCs w:val="21"/>
        </w:rPr>
        <w:t>（转下页）</w:t>
      </w:r>
    </w:p>
    <w:p w14:paraId="7D261039" w14:textId="36E787BF" w:rsidR="00E92509" w:rsidRPr="007B4794" w:rsidRDefault="00E92509" w:rsidP="00E92509">
      <w:pPr>
        <w:widowControl w:val="0"/>
        <w:adjustRightInd w:val="0"/>
        <w:snapToGrid w:val="0"/>
        <w:spacing w:line="480" w:lineRule="auto"/>
        <w:jc w:val="both"/>
        <w:rPr>
          <w:rFonts w:ascii="Arial" w:hAnsi="Arial" w:cs="Arial"/>
          <w:color w:val="000000" w:themeColor="text1"/>
          <w:sz w:val="21"/>
          <w:szCs w:val="21"/>
        </w:rPr>
      </w:pPr>
      <w:r w:rsidRPr="007B4794">
        <w:rPr>
          <w:noProof/>
          <w:color w:val="000000" w:themeColor="text1"/>
        </w:rPr>
        <w:lastRenderedPageBreak/>
        <w:drawing>
          <wp:inline distT="0" distB="0" distL="0" distR="0" wp14:anchorId="6B4F8CC4" wp14:editId="0BA0C9EF">
            <wp:extent cx="6048375" cy="2276475"/>
            <wp:effectExtent l="0" t="0" r="9525" b="9525"/>
            <wp:docPr id="5169" name="图表 5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1C6673E" w14:textId="77777777" w:rsidR="00A13044" w:rsidRPr="007B4794" w:rsidRDefault="00A13044" w:rsidP="00A13044">
      <w:pPr>
        <w:widowControl w:val="0"/>
        <w:adjustRightInd w:val="0"/>
        <w:snapToGrid w:val="0"/>
        <w:spacing w:line="480" w:lineRule="auto"/>
        <w:ind w:firstLineChars="200" w:firstLine="300"/>
        <w:rPr>
          <w:rFonts w:ascii="华文细黑" w:eastAsia="华文细黑" w:hAnsi="华文细黑" w:cs="Arial"/>
          <w:color w:val="000000" w:themeColor="text1"/>
          <w:sz w:val="15"/>
          <w:szCs w:val="15"/>
        </w:rPr>
      </w:pPr>
      <w:r w:rsidRPr="007B4794">
        <w:rPr>
          <w:rFonts w:ascii="华文细黑" w:eastAsia="华文细黑" w:hAnsi="华文细黑" w:cs="Arial" w:hint="eastAsia"/>
          <w:color w:val="000000" w:themeColor="text1"/>
          <w:sz w:val="15"/>
          <w:szCs w:val="15"/>
        </w:rPr>
        <w:t>资料来源：</w:t>
      </w:r>
      <w:r w:rsidRPr="007B4794">
        <w:rPr>
          <w:rFonts w:ascii="Arial" w:eastAsia="华文细黑" w:hAnsi="Arial" w:cs="Arial" w:hint="eastAsia"/>
          <w:color w:val="000000" w:themeColor="text1"/>
          <w:sz w:val="15"/>
          <w:szCs w:val="15"/>
        </w:rPr>
        <w:t>中国房价行情网</w:t>
      </w:r>
    </w:p>
    <w:p w14:paraId="3220BBD2" w14:textId="6C939AB9" w:rsidR="00AE01CB" w:rsidRPr="007B4794" w:rsidRDefault="00751059"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5</w:t>
      </w:r>
      <w:r w:rsidR="00AE01CB" w:rsidRPr="007B4794">
        <w:rPr>
          <w:rFonts w:ascii="Arial" w:hAnsi="Arial" w:cs="Arial" w:hint="eastAsia"/>
          <w:color w:val="000000" w:themeColor="text1"/>
          <w:sz w:val="21"/>
          <w:szCs w:val="21"/>
        </w:rPr>
        <w:t>、库存及去化情况</w:t>
      </w:r>
    </w:p>
    <w:p w14:paraId="2CD22B66" w14:textId="75A39527" w:rsidR="00AE01CB" w:rsidRPr="007B4794" w:rsidRDefault="00AE01CB"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根据</w:t>
      </w:r>
      <w:r w:rsidR="00BD654F" w:rsidRPr="007B4794">
        <w:rPr>
          <w:rFonts w:ascii="Arial" w:hAnsi="Arial" w:cs="Arial"/>
          <w:color w:val="000000" w:themeColor="text1"/>
          <w:sz w:val="21"/>
          <w:szCs w:val="21"/>
        </w:rPr>
        <w:t>CRIC</w:t>
      </w:r>
      <w:r w:rsidR="00BD654F" w:rsidRPr="007B4794">
        <w:rPr>
          <w:rFonts w:ascii="Arial" w:hAnsi="Arial" w:cs="Arial"/>
          <w:color w:val="000000" w:themeColor="text1"/>
          <w:sz w:val="21"/>
          <w:szCs w:val="21"/>
        </w:rPr>
        <w:t>克而瑞数据</w:t>
      </w:r>
      <w:r w:rsidRPr="007B4794">
        <w:rPr>
          <w:rFonts w:ascii="Arial" w:hAnsi="Arial" w:cs="Arial" w:hint="eastAsia"/>
          <w:color w:val="000000" w:themeColor="text1"/>
          <w:sz w:val="21"/>
          <w:szCs w:val="21"/>
        </w:rPr>
        <w:t>显示，截至到</w:t>
      </w:r>
      <w:r w:rsidRPr="007B4794">
        <w:rPr>
          <w:rFonts w:ascii="Arial" w:hAnsi="Arial" w:cs="Arial" w:hint="eastAsia"/>
          <w:color w:val="000000" w:themeColor="text1"/>
          <w:sz w:val="21"/>
          <w:szCs w:val="21"/>
        </w:rPr>
        <w:t>2020</w:t>
      </w:r>
      <w:r w:rsidRPr="007B4794">
        <w:rPr>
          <w:rFonts w:ascii="Arial" w:hAnsi="Arial" w:cs="Arial" w:hint="eastAsia"/>
          <w:color w:val="000000" w:themeColor="text1"/>
          <w:sz w:val="21"/>
          <w:szCs w:val="21"/>
        </w:rPr>
        <w:t>年</w:t>
      </w:r>
      <w:r w:rsidR="00BD654F" w:rsidRPr="007B4794">
        <w:rPr>
          <w:rFonts w:ascii="Arial" w:hAnsi="Arial" w:cs="Arial" w:hint="eastAsia"/>
          <w:color w:val="000000" w:themeColor="text1"/>
          <w:sz w:val="21"/>
          <w:szCs w:val="21"/>
        </w:rPr>
        <w:t>10</w:t>
      </w:r>
      <w:r w:rsidRPr="007B4794">
        <w:rPr>
          <w:rFonts w:ascii="Arial" w:hAnsi="Arial" w:cs="Arial" w:hint="eastAsia"/>
          <w:color w:val="000000" w:themeColor="text1"/>
          <w:sz w:val="21"/>
          <w:szCs w:val="21"/>
        </w:rPr>
        <w:t>月</w:t>
      </w:r>
      <w:r w:rsidRPr="007B4794">
        <w:rPr>
          <w:rFonts w:ascii="Arial" w:hAnsi="Arial" w:cs="Arial"/>
          <w:color w:val="000000" w:themeColor="text1"/>
          <w:sz w:val="21"/>
          <w:szCs w:val="21"/>
        </w:rPr>
        <w:t>，</w:t>
      </w:r>
      <w:r w:rsidR="00D30D68" w:rsidRPr="007B4794">
        <w:rPr>
          <w:rFonts w:ascii="Arial" w:hAnsi="Arial" w:cs="Arial" w:hint="eastAsia"/>
          <w:color w:val="000000" w:themeColor="text1"/>
          <w:sz w:val="21"/>
          <w:szCs w:val="21"/>
        </w:rPr>
        <w:t>漳州</w:t>
      </w:r>
      <w:r w:rsidRPr="007B4794">
        <w:rPr>
          <w:rFonts w:ascii="Arial" w:hAnsi="Arial" w:cs="Arial"/>
          <w:color w:val="000000" w:themeColor="text1"/>
          <w:sz w:val="21"/>
          <w:szCs w:val="21"/>
        </w:rPr>
        <w:t>市商品住宅存量</w:t>
      </w:r>
      <w:r w:rsidR="00BD654F" w:rsidRPr="007B4794">
        <w:rPr>
          <w:rFonts w:ascii="Arial" w:hAnsi="Arial" w:cs="Arial" w:hint="eastAsia"/>
          <w:color w:val="000000" w:themeColor="text1"/>
          <w:sz w:val="21"/>
          <w:szCs w:val="21"/>
        </w:rPr>
        <w:t>467.39</w:t>
      </w:r>
      <w:r w:rsidRPr="007B4794">
        <w:rPr>
          <w:rFonts w:ascii="Arial" w:hAnsi="Arial" w:cs="Arial" w:hint="eastAsia"/>
          <w:color w:val="000000" w:themeColor="text1"/>
          <w:sz w:val="21"/>
          <w:szCs w:val="21"/>
        </w:rPr>
        <w:t>万</w:t>
      </w:r>
      <w:r w:rsidRPr="007B4794">
        <w:rPr>
          <w:rFonts w:ascii="Arial" w:hAnsi="Arial" w:cs="Arial"/>
          <w:color w:val="000000" w:themeColor="text1"/>
          <w:sz w:val="21"/>
          <w:szCs w:val="21"/>
        </w:rPr>
        <w:t>平方米，</w:t>
      </w:r>
      <w:r w:rsidRPr="007B4794">
        <w:rPr>
          <w:rFonts w:ascii="Arial" w:hAnsi="Arial" w:cs="Arial" w:hint="eastAsia"/>
          <w:color w:val="000000" w:themeColor="text1"/>
          <w:sz w:val="21"/>
          <w:szCs w:val="21"/>
        </w:rPr>
        <w:t>同比</w:t>
      </w:r>
      <w:r w:rsidR="00BD654F" w:rsidRPr="007B4794">
        <w:rPr>
          <w:rFonts w:ascii="Arial" w:hAnsi="Arial" w:cs="Arial" w:hint="eastAsia"/>
          <w:color w:val="000000" w:themeColor="text1"/>
          <w:sz w:val="21"/>
          <w:szCs w:val="21"/>
        </w:rPr>
        <w:t>下降</w:t>
      </w:r>
      <w:r w:rsidRPr="007B4794">
        <w:rPr>
          <w:rFonts w:ascii="Arial" w:hAnsi="Arial" w:cs="Arial" w:hint="eastAsia"/>
          <w:color w:val="000000" w:themeColor="text1"/>
          <w:sz w:val="21"/>
          <w:szCs w:val="21"/>
        </w:rPr>
        <w:t>6.3%</w:t>
      </w:r>
      <w:r w:rsidRPr="007B4794">
        <w:rPr>
          <w:rFonts w:ascii="Arial" w:hAnsi="Arial" w:cs="Arial" w:hint="eastAsia"/>
          <w:color w:val="000000" w:themeColor="text1"/>
          <w:sz w:val="21"/>
          <w:szCs w:val="21"/>
        </w:rPr>
        <w:t>，相比</w:t>
      </w:r>
      <w:r w:rsidRPr="007B4794">
        <w:rPr>
          <w:rFonts w:ascii="Arial" w:hAnsi="Arial" w:cs="Arial" w:hint="eastAsia"/>
          <w:color w:val="000000" w:themeColor="text1"/>
          <w:sz w:val="21"/>
          <w:szCs w:val="21"/>
        </w:rPr>
        <w:t>2019</w:t>
      </w:r>
      <w:r w:rsidRPr="007B4794">
        <w:rPr>
          <w:rFonts w:ascii="Arial" w:hAnsi="Arial" w:cs="Arial" w:hint="eastAsia"/>
          <w:color w:val="000000" w:themeColor="text1"/>
          <w:sz w:val="21"/>
          <w:szCs w:val="21"/>
        </w:rPr>
        <w:t>年</w:t>
      </w:r>
      <w:r w:rsidRPr="007B4794">
        <w:rPr>
          <w:rFonts w:ascii="Arial" w:hAnsi="Arial" w:cs="Arial" w:hint="eastAsia"/>
          <w:color w:val="000000" w:themeColor="text1"/>
          <w:sz w:val="21"/>
          <w:szCs w:val="21"/>
        </w:rPr>
        <w:t>12</w:t>
      </w:r>
      <w:r w:rsidRPr="007B4794">
        <w:rPr>
          <w:rFonts w:ascii="Arial" w:hAnsi="Arial" w:cs="Arial" w:hint="eastAsia"/>
          <w:color w:val="000000" w:themeColor="text1"/>
          <w:sz w:val="21"/>
          <w:szCs w:val="21"/>
        </w:rPr>
        <w:t>月下降</w:t>
      </w:r>
      <w:r w:rsidR="00BD654F" w:rsidRPr="007B4794">
        <w:rPr>
          <w:rFonts w:ascii="Arial" w:hAnsi="Arial" w:cs="Arial" w:hint="eastAsia"/>
          <w:color w:val="000000" w:themeColor="text1"/>
          <w:sz w:val="21"/>
          <w:szCs w:val="21"/>
        </w:rPr>
        <w:t>2.18</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，库存量近半年呈小幅下降趋势，但库存规模仍维持高位。去化方面，整体去化走势趋涨。出清周期来看，近一年半走势中，</w:t>
      </w:r>
      <w:r w:rsidRPr="007B4794">
        <w:rPr>
          <w:rFonts w:ascii="Arial" w:hAnsi="Arial" w:cs="Arial" w:hint="eastAsia"/>
          <w:color w:val="000000" w:themeColor="text1"/>
          <w:sz w:val="21"/>
          <w:szCs w:val="21"/>
        </w:rPr>
        <w:t>2019</w:t>
      </w:r>
      <w:r w:rsidRPr="007B4794">
        <w:rPr>
          <w:rFonts w:ascii="Arial" w:hAnsi="Arial" w:cs="Arial" w:hint="eastAsia"/>
          <w:color w:val="000000" w:themeColor="text1"/>
          <w:sz w:val="21"/>
          <w:szCs w:val="21"/>
        </w:rPr>
        <w:t>年</w:t>
      </w:r>
      <w:r w:rsidR="00BD654F" w:rsidRPr="007B4794">
        <w:rPr>
          <w:rFonts w:ascii="Arial" w:hAnsi="Arial" w:cs="Arial" w:hint="eastAsia"/>
          <w:color w:val="000000" w:themeColor="text1"/>
          <w:sz w:val="21"/>
          <w:szCs w:val="21"/>
        </w:rPr>
        <w:t>至</w:t>
      </w:r>
      <w:r w:rsidR="00BD654F" w:rsidRPr="007B4794">
        <w:rPr>
          <w:rFonts w:ascii="Arial" w:hAnsi="Arial" w:cs="Arial" w:hint="eastAsia"/>
          <w:color w:val="000000" w:themeColor="text1"/>
          <w:sz w:val="21"/>
          <w:szCs w:val="21"/>
        </w:rPr>
        <w:t>2020</w:t>
      </w:r>
      <w:r w:rsidR="00BD654F" w:rsidRPr="007B4794">
        <w:rPr>
          <w:rFonts w:ascii="Arial" w:hAnsi="Arial" w:cs="Arial" w:hint="eastAsia"/>
          <w:color w:val="000000" w:themeColor="text1"/>
          <w:sz w:val="21"/>
          <w:szCs w:val="21"/>
        </w:rPr>
        <w:t>年</w:t>
      </w:r>
      <w:r w:rsidR="00BD654F" w:rsidRPr="007B4794">
        <w:rPr>
          <w:rFonts w:ascii="Arial" w:hAnsi="Arial" w:cs="Arial" w:hint="eastAsia"/>
          <w:color w:val="000000" w:themeColor="text1"/>
          <w:sz w:val="21"/>
          <w:szCs w:val="21"/>
        </w:rPr>
        <w:t>10</w:t>
      </w:r>
      <w:r w:rsidR="00BD654F" w:rsidRPr="007B4794">
        <w:rPr>
          <w:rFonts w:ascii="Arial" w:hAnsi="Arial" w:cs="Arial" w:hint="eastAsia"/>
          <w:color w:val="000000" w:themeColor="text1"/>
          <w:sz w:val="21"/>
          <w:szCs w:val="21"/>
        </w:rPr>
        <w:t>月</w:t>
      </w:r>
      <w:r w:rsidRPr="007B4794">
        <w:rPr>
          <w:rFonts w:ascii="Arial" w:hAnsi="Arial" w:cs="Arial" w:hint="eastAsia"/>
          <w:color w:val="000000" w:themeColor="text1"/>
          <w:sz w:val="21"/>
          <w:szCs w:val="21"/>
        </w:rPr>
        <w:t>整体</w:t>
      </w:r>
      <w:r w:rsidR="00BD654F" w:rsidRPr="007B4794">
        <w:rPr>
          <w:rFonts w:ascii="Arial" w:hAnsi="Arial" w:cs="Arial" w:hint="eastAsia"/>
          <w:color w:val="000000" w:themeColor="text1"/>
          <w:sz w:val="21"/>
          <w:szCs w:val="21"/>
        </w:rPr>
        <w:t>持续</w:t>
      </w:r>
      <w:r w:rsidR="00FF5FED" w:rsidRPr="007B4794">
        <w:rPr>
          <w:rFonts w:ascii="Arial" w:hAnsi="Arial" w:cs="Arial" w:hint="eastAsia"/>
          <w:color w:val="000000" w:themeColor="text1"/>
          <w:sz w:val="21"/>
          <w:szCs w:val="21"/>
        </w:rPr>
        <w:t>下降</w:t>
      </w:r>
      <w:r w:rsidRPr="007B4794">
        <w:rPr>
          <w:rFonts w:ascii="Arial" w:hAnsi="Arial" w:cs="Arial" w:hint="eastAsia"/>
          <w:color w:val="000000" w:themeColor="text1"/>
          <w:sz w:val="21"/>
          <w:szCs w:val="21"/>
        </w:rPr>
        <w:t>，</w:t>
      </w:r>
      <w:r w:rsidR="00FF5FED" w:rsidRPr="007B4794">
        <w:rPr>
          <w:rFonts w:ascii="Arial" w:hAnsi="Arial" w:cs="Arial" w:hint="eastAsia"/>
          <w:color w:val="000000" w:themeColor="text1"/>
          <w:sz w:val="21"/>
          <w:szCs w:val="21"/>
        </w:rPr>
        <w:t>出清周期有所缩短，</w:t>
      </w:r>
      <w:r w:rsidR="00FF5FED" w:rsidRPr="007B4794">
        <w:rPr>
          <w:rFonts w:ascii="Arial" w:hAnsi="Arial" w:cs="Arial" w:hint="eastAsia"/>
          <w:color w:val="000000" w:themeColor="text1"/>
          <w:sz w:val="21"/>
          <w:szCs w:val="21"/>
        </w:rPr>
        <w:t>2019</w:t>
      </w:r>
      <w:r w:rsidR="00FF5FED" w:rsidRPr="007B4794">
        <w:rPr>
          <w:rFonts w:ascii="Arial" w:hAnsi="Arial" w:cs="Arial" w:hint="eastAsia"/>
          <w:color w:val="000000" w:themeColor="text1"/>
          <w:sz w:val="21"/>
          <w:szCs w:val="21"/>
        </w:rPr>
        <w:t>年</w:t>
      </w:r>
      <w:r w:rsidR="00FF5FED" w:rsidRPr="007B4794">
        <w:rPr>
          <w:rFonts w:ascii="Arial" w:hAnsi="Arial" w:cs="Arial" w:hint="eastAsia"/>
          <w:color w:val="000000" w:themeColor="text1"/>
          <w:sz w:val="21"/>
          <w:szCs w:val="21"/>
        </w:rPr>
        <w:t>10</w:t>
      </w:r>
      <w:r w:rsidR="00FF5FED" w:rsidRPr="007B4794">
        <w:rPr>
          <w:rFonts w:ascii="Arial" w:hAnsi="Arial" w:cs="Arial" w:hint="eastAsia"/>
          <w:color w:val="000000" w:themeColor="text1"/>
          <w:sz w:val="21"/>
          <w:szCs w:val="21"/>
        </w:rPr>
        <w:t>月出清周期约为</w:t>
      </w:r>
      <w:r w:rsidR="00FF5FED" w:rsidRPr="007B4794">
        <w:rPr>
          <w:rFonts w:ascii="Arial" w:hAnsi="Arial" w:cs="Arial" w:hint="eastAsia"/>
          <w:color w:val="000000" w:themeColor="text1"/>
          <w:sz w:val="21"/>
          <w:szCs w:val="21"/>
        </w:rPr>
        <w:t>76.5</w:t>
      </w:r>
      <w:r w:rsidR="00FF5FED" w:rsidRPr="007B4794">
        <w:rPr>
          <w:rFonts w:ascii="Arial" w:hAnsi="Arial" w:cs="Arial" w:hint="eastAsia"/>
          <w:color w:val="000000" w:themeColor="text1"/>
          <w:sz w:val="21"/>
          <w:szCs w:val="21"/>
        </w:rPr>
        <w:t>个月，</w:t>
      </w:r>
      <w:r w:rsidR="00FF5FED" w:rsidRPr="007B4794">
        <w:rPr>
          <w:rFonts w:ascii="Arial" w:hAnsi="Arial" w:cs="Arial" w:hint="eastAsia"/>
          <w:color w:val="000000" w:themeColor="text1"/>
          <w:sz w:val="21"/>
          <w:szCs w:val="21"/>
        </w:rPr>
        <w:t xml:space="preserve"> </w:t>
      </w:r>
      <w:r w:rsidR="00BD654F" w:rsidRPr="007B4794">
        <w:rPr>
          <w:rFonts w:ascii="Arial" w:hAnsi="Arial" w:cs="Arial" w:hint="eastAsia"/>
          <w:color w:val="000000" w:themeColor="text1"/>
          <w:sz w:val="21"/>
          <w:szCs w:val="21"/>
        </w:rPr>
        <w:t>2020</w:t>
      </w:r>
      <w:r w:rsidR="00BD654F" w:rsidRPr="007B4794">
        <w:rPr>
          <w:rFonts w:ascii="Arial" w:hAnsi="Arial" w:cs="Arial" w:hint="eastAsia"/>
          <w:color w:val="000000" w:themeColor="text1"/>
          <w:sz w:val="21"/>
          <w:szCs w:val="21"/>
        </w:rPr>
        <w:t>年</w:t>
      </w:r>
      <w:r w:rsidR="00FF5FED" w:rsidRPr="007B4794">
        <w:rPr>
          <w:rFonts w:ascii="Arial" w:hAnsi="Arial" w:cs="Arial" w:hint="eastAsia"/>
          <w:color w:val="000000" w:themeColor="text1"/>
          <w:sz w:val="21"/>
          <w:szCs w:val="21"/>
        </w:rPr>
        <w:t>10</w:t>
      </w:r>
      <w:r w:rsidR="00FF5FED" w:rsidRPr="007B4794">
        <w:rPr>
          <w:rFonts w:ascii="Arial" w:hAnsi="Arial" w:cs="Arial" w:hint="eastAsia"/>
          <w:color w:val="000000" w:themeColor="text1"/>
          <w:sz w:val="21"/>
          <w:szCs w:val="21"/>
        </w:rPr>
        <w:t>出清周期降至</w:t>
      </w:r>
      <w:r w:rsidR="00FF5FED" w:rsidRPr="007B4794">
        <w:rPr>
          <w:rFonts w:ascii="Arial" w:hAnsi="Arial" w:cs="Arial" w:hint="eastAsia"/>
          <w:color w:val="000000" w:themeColor="text1"/>
          <w:sz w:val="21"/>
          <w:szCs w:val="21"/>
        </w:rPr>
        <w:t>53.9</w:t>
      </w:r>
      <w:r w:rsidR="00FF5FED" w:rsidRPr="007B4794">
        <w:rPr>
          <w:rFonts w:ascii="Arial" w:hAnsi="Arial" w:cs="Arial" w:hint="eastAsia"/>
          <w:color w:val="000000" w:themeColor="text1"/>
          <w:sz w:val="21"/>
          <w:szCs w:val="21"/>
        </w:rPr>
        <w:t>个月，出清周期同比下降</w:t>
      </w:r>
      <w:r w:rsidR="00FF5FED" w:rsidRPr="007B4794">
        <w:rPr>
          <w:rFonts w:ascii="Arial" w:hAnsi="Arial" w:cs="Arial" w:hint="eastAsia"/>
          <w:color w:val="000000" w:themeColor="text1"/>
          <w:sz w:val="21"/>
          <w:szCs w:val="21"/>
        </w:rPr>
        <w:t>29.52</w:t>
      </w:r>
      <w:r w:rsidR="00FF5FED" w:rsidRPr="007B4794">
        <w:rPr>
          <w:rFonts w:ascii="Arial" w:hAnsi="Arial" w:cs="Arial" w:hint="eastAsia"/>
          <w:color w:val="000000" w:themeColor="text1"/>
          <w:sz w:val="21"/>
          <w:szCs w:val="21"/>
        </w:rPr>
        <w:t>个月，受政策和今年</w:t>
      </w:r>
      <w:r w:rsidR="00BD654F" w:rsidRPr="007B4794">
        <w:rPr>
          <w:rFonts w:ascii="Arial" w:hAnsi="Arial" w:cs="Arial" w:hint="eastAsia"/>
          <w:color w:val="000000" w:themeColor="text1"/>
          <w:sz w:val="21"/>
          <w:szCs w:val="21"/>
        </w:rPr>
        <w:t>疫情影响</w:t>
      </w:r>
      <w:r w:rsidRPr="007B4794">
        <w:rPr>
          <w:rFonts w:ascii="Arial" w:hAnsi="Arial" w:cs="Arial" w:hint="eastAsia"/>
          <w:color w:val="000000" w:themeColor="text1"/>
          <w:sz w:val="21"/>
          <w:szCs w:val="21"/>
        </w:rPr>
        <w:t>，出清周期持续延长</w:t>
      </w:r>
      <w:r w:rsidR="00FF5FED" w:rsidRPr="007B4794">
        <w:rPr>
          <w:rFonts w:ascii="Arial" w:hAnsi="Arial" w:cs="Arial" w:hint="eastAsia"/>
          <w:color w:val="000000" w:themeColor="text1"/>
          <w:sz w:val="21"/>
          <w:szCs w:val="21"/>
        </w:rPr>
        <w:t>。</w:t>
      </w:r>
    </w:p>
    <w:p w14:paraId="15D7C62B" w14:textId="0212D342" w:rsidR="00AE01CB" w:rsidRPr="007B4794" w:rsidRDefault="00BD654F" w:rsidP="00AE01CB">
      <w:pPr>
        <w:widowControl w:val="0"/>
        <w:adjustRightInd w:val="0"/>
        <w:snapToGrid w:val="0"/>
        <w:spacing w:line="480" w:lineRule="auto"/>
        <w:jc w:val="center"/>
        <w:rPr>
          <w:rFonts w:ascii="Arial" w:hAnsi="Arial" w:cs="Arial"/>
          <w:color w:val="000000" w:themeColor="text1"/>
          <w:sz w:val="21"/>
          <w:szCs w:val="21"/>
        </w:rPr>
      </w:pPr>
      <w:r w:rsidRPr="007B4794">
        <w:rPr>
          <w:noProof/>
          <w:color w:val="000000" w:themeColor="text1"/>
        </w:rPr>
        <w:drawing>
          <wp:inline distT="0" distB="0" distL="0" distR="0" wp14:anchorId="273F3649" wp14:editId="1AD8866C">
            <wp:extent cx="5810250" cy="2514600"/>
            <wp:effectExtent l="0" t="0" r="19050" b="19050"/>
            <wp:docPr id="5180" name="图表 518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888C4CB2-DB58-422B-A9FB-088CD3B6E0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AE2BFA4" w14:textId="77777777" w:rsidR="00FB28B6" w:rsidRPr="007B4794" w:rsidRDefault="00FB28B6" w:rsidP="00FB28B6">
      <w:pPr>
        <w:spacing w:line="480" w:lineRule="auto"/>
        <w:rPr>
          <w:rFonts w:ascii="Arial" w:hAnsi="Arial" w:cs="Arial"/>
          <w:color w:val="000000" w:themeColor="text1"/>
          <w:szCs w:val="21"/>
        </w:rPr>
      </w:pPr>
      <w:r w:rsidRPr="007B4794">
        <w:rPr>
          <w:rFonts w:ascii="华文细黑" w:eastAsia="华文细黑" w:hAnsi="华文细黑" w:cs="Arial" w:hint="eastAsia"/>
          <w:color w:val="000000" w:themeColor="text1"/>
          <w:sz w:val="15"/>
          <w:szCs w:val="15"/>
        </w:rPr>
        <w:t>资料来源：</w:t>
      </w:r>
      <w:r w:rsidRPr="007B4794">
        <w:rPr>
          <w:rFonts w:ascii="Arial" w:eastAsia="华文细黑" w:hAnsi="Arial" w:cs="Arial"/>
          <w:color w:val="000000" w:themeColor="text1"/>
          <w:sz w:val="15"/>
          <w:szCs w:val="15"/>
        </w:rPr>
        <w:t>CR</w:t>
      </w:r>
      <w:r w:rsidRPr="007B4794">
        <w:rPr>
          <w:rFonts w:ascii="Arial" w:eastAsia="华文细黑" w:hAnsi="Arial" w:cs="Arial" w:hint="eastAsia"/>
          <w:color w:val="000000" w:themeColor="text1"/>
          <w:sz w:val="15"/>
          <w:szCs w:val="15"/>
        </w:rPr>
        <w:t>IC</w:t>
      </w:r>
      <w:r w:rsidRPr="007B4794">
        <w:rPr>
          <w:rFonts w:ascii="华文细黑" w:eastAsia="华文细黑" w:hAnsi="华文细黑" w:cs="Arial" w:hint="eastAsia"/>
          <w:color w:val="000000" w:themeColor="text1"/>
          <w:sz w:val="15"/>
          <w:szCs w:val="15"/>
        </w:rPr>
        <w:t>克而瑞数据</w:t>
      </w:r>
    </w:p>
    <w:p w14:paraId="4D41EF4A" w14:textId="77777777" w:rsidR="00AE01CB" w:rsidRPr="007B4794" w:rsidRDefault="00AE01CB" w:rsidP="00AE01CB">
      <w:pPr>
        <w:pStyle w:val="2"/>
        <w:tabs>
          <w:tab w:val="left" w:pos="5220"/>
        </w:tabs>
        <w:spacing w:before="0" w:after="0" w:line="480" w:lineRule="auto"/>
        <w:ind w:firstLineChars="98" w:firstLine="207"/>
        <w:jc w:val="both"/>
        <w:rPr>
          <w:rFonts w:eastAsia="宋体" w:cs="Arial"/>
          <w:color w:val="000000" w:themeColor="text1"/>
          <w:sz w:val="21"/>
          <w:szCs w:val="21"/>
        </w:rPr>
      </w:pPr>
      <w:bookmarkStart w:id="68" w:name="_Toc43885860"/>
      <w:bookmarkStart w:id="69" w:name="_Toc54016592"/>
      <w:r w:rsidRPr="007B4794">
        <w:rPr>
          <w:rFonts w:eastAsia="宋体" w:cs="Arial"/>
          <w:color w:val="000000" w:themeColor="text1"/>
          <w:sz w:val="21"/>
          <w:szCs w:val="21"/>
        </w:rPr>
        <w:t>（</w:t>
      </w:r>
      <w:r w:rsidRPr="007B4794">
        <w:rPr>
          <w:rFonts w:eastAsia="宋体" w:cs="Arial" w:hint="eastAsia"/>
          <w:color w:val="000000" w:themeColor="text1"/>
          <w:sz w:val="21"/>
          <w:szCs w:val="21"/>
        </w:rPr>
        <w:t>六</w:t>
      </w:r>
      <w:r w:rsidRPr="007B4794">
        <w:rPr>
          <w:rFonts w:eastAsia="宋体" w:cs="Arial"/>
          <w:color w:val="000000" w:themeColor="text1"/>
          <w:sz w:val="21"/>
          <w:szCs w:val="21"/>
        </w:rPr>
        <w:t>）</w:t>
      </w:r>
      <w:r w:rsidRPr="007B4794">
        <w:rPr>
          <w:rFonts w:eastAsia="宋体" w:cs="Arial" w:hint="eastAsia"/>
          <w:color w:val="000000" w:themeColor="text1"/>
          <w:sz w:val="21"/>
          <w:szCs w:val="21"/>
        </w:rPr>
        <w:t>房地产政策</w:t>
      </w:r>
      <w:bookmarkEnd w:id="68"/>
      <w:bookmarkEnd w:id="69"/>
    </w:p>
    <w:p w14:paraId="7585C37E" w14:textId="77777777" w:rsidR="00AE01CB" w:rsidRPr="007B4794" w:rsidRDefault="00AE01CB" w:rsidP="00AE01CB">
      <w:pPr>
        <w:pStyle w:val="af1"/>
        <w:widowControl w:val="0"/>
        <w:numPr>
          <w:ilvl w:val="0"/>
          <w:numId w:val="18"/>
        </w:numPr>
        <w:adjustRightInd w:val="0"/>
        <w:snapToGrid w:val="0"/>
        <w:spacing w:line="480" w:lineRule="auto"/>
        <w:ind w:firstLineChars="0"/>
        <w:jc w:val="both"/>
        <w:rPr>
          <w:rFonts w:ascii="Arial" w:hAnsi="Arial" w:cs="Arial"/>
          <w:color w:val="000000" w:themeColor="text1"/>
          <w:sz w:val="21"/>
          <w:szCs w:val="21"/>
        </w:rPr>
      </w:pPr>
      <w:r w:rsidRPr="007B4794">
        <w:rPr>
          <w:rFonts w:ascii="Arial" w:hAnsi="Arial" w:cs="Arial" w:hint="eastAsia"/>
          <w:color w:val="000000" w:themeColor="text1"/>
          <w:sz w:val="21"/>
          <w:szCs w:val="21"/>
        </w:rPr>
        <w:t>限购政策</w:t>
      </w:r>
    </w:p>
    <w:p w14:paraId="24F2C5F1" w14:textId="77777777" w:rsidR="00D50D59" w:rsidRPr="007B4794" w:rsidRDefault="00D50D59" w:rsidP="00D50D59">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目前漳州执行的购房政策是：没有限购限贷，但部分地块最高限价</w:t>
      </w:r>
      <w:r w:rsidRPr="007B4794">
        <w:rPr>
          <w:rFonts w:ascii="Arial" w:hAnsi="Arial" w:cs="Arial"/>
          <w:color w:val="000000" w:themeColor="text1"/>
          <w:sz w:val="21"/>
          <w:szCs w:val="21"/>
        </w:rPr>
        <w:t>20000</w:t>
      </w:r>
      <w:r w:rsidRPr="007B4794">
        <w:rPr>
          <w:rFonts w:ascii="Arial" w:hAnsi="Arial" w:cs="Arial"/>
          <w:color w:val="000000" w:themeColor="text1"/>
          <w:sz w:val="21"/>
          <w:szCs w:val="21"/>
        </w:rPr>
        <w:t>元</w:t>
      </w:r>
      <w:r w:rsidRPr="007B4794">
        <w:rPr>
          <w:rFonts w:ascii="Arial" w:hAnsi="Arial" w:cs="Arial"/>
          <w:color w:val="000000" w:themeColor="text1"/>
          <w:sz w:val="21"/>
          <w:szCs w:val="21"/>
        </w:rPr>
        <w:t>/</w:t>
      </w:r>
      <w:r w:rsidRPr="007B4794">
        <w:rPr>
          <w:rFonts w:ascii="Arial" w:hAnsi="Arial" w:cs="Arial"/>
          <w:color w:val="000000" w:themeColor="text1"/>
          <w:sz w:val="21"/>
          <w:szCs w:val="21"/>
        </w:rPr>
        <w:t>㎡</w:t>
      </w:r>
      <w:r w:rsidRPr="007B4794">
        <w:rPr>
          <w:rFonts w:ascii="Arial" w:hAnsi="Arial" w:cs="Arial" w:hint="eastAsia"/>
          <w:color w:val="000000" w:themeColor="text1"/>
          <w:sz w:val="21"/>
          <w:szCs w:val="21"/>
        </w:rPr>
        <w:t>，无限售。</w:t>
      </w:r>
    </w:p>
    <w:p w14:paraId="10A06C4B" w14:textId="77777777" w:rsidR="00D50D59" w:rsidRPr="007B4794" w:rsidRDefault="00D50D59" w:rsidP="00D50D59">
      <w:pPr>
        <w:pStyle w:val="af1"/>
        <w:widowControl w:val="0"/>
        <w:numPr>
          <w:ilvl w:val="0"/>
          <w:numId w:val="18"/>
        </w:numPr>
        <w:adjustRightInd w:val="0"/>
        <w:snapToGrid w:val="0"/>
        <w:spacing w:line="480" w:lineRule="auto"/>
        <w:ind w:firstLineChars="0"/>
        <w:jc w:val="both"/>
        <w:rPr>
          <w:rFonts w:ascii="Arial" w:hAnsi="Arial" w:cs="Arial"/>
          <w:color w:val="000000" w:themeColor="text1"/>
          <w:sz w:val="21"/>
          <w:szCs w:val="21"/>
        </w:rPr>
      </w:pPr>
      <w:r w:rsidRPr="007B4794">
        <w:rPr>
          <w:rFonts w:ascii="Arial" w:hAnsi="Arial" w:cs="Arial" w:hint="eastAsia"/>
          <w:color w:val="000000" w:themeColor="text1"/>
          <w:sz w:val="21"/>
          <w:szCs w:val="21"/>
        </w:rPr>
        <w:lastRenderedPageBreak/>
        <w:t>限贷政策</w:t>
      </w:r>
    </w:p>
    <w:p w14:paraId="7567467F" w14:textId="77777777" w:rsidR="00D50D59" w:rsidRPr="007B4794" w:rsidRDefault="00D50D59" w:rsidP="00D50D59">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其中，对于首次贷款购买普通商品住房的，也就是名下无房无贷的，首付比例不低于</w:t>
      </w:r>
      <w:r w:rsidRPr="007B4794">
        <w:rPr>
          <w:rFonts w:ascii="Arial" w:hAnsi="Arial" w:cs="Arial"/>
          <w:color w:val="000000" w:themeColor="text1"/>
          <w:sz w:val="21"/>
          <w:szCs w:val="21"/>
        </w:rPr>
        <w:t>20%</w:t>
      </w:r>
      <w:r w:rsidRPr="007B4794">
        <w:rPr>
          <w:rFonts w:ascii="Arial" w:hAnsi="Arial" w:cs="Arial"/>
          <w:color w:val="000000" w:themeColor="text1"/>
          <w:sz w:val="21"/>
          <w:szCs w:val="21"/>
        </w:rPr>
        <w:t>；</w:t>
      </w:r>
    </w:p>
    <w:p w14:paraId="16085A65" w14:textId="77777777" w:rsidR="00D50D59" w:rsidRPr="007B4794" w:rsidRDefault="00D50D59" w:rsidP="00D50D59">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如果名下有房有贷但贷款已还清的，首付比例最低</w:t>
      </w:r>
      <w:r w:rsidRPr="007B4794">
        <w:rPr>
          <w:rFonts w:ascii="Arial" w:hAnsi="Arial" w:cs="Arial"/>
          <w:color w:val="000000" w:themeColor="text1"/>
          <w:sz w:val="21"/>
          <w:szCs w:val="21"/>
        </w:rPr>
        <w:t>30%</w:t>
      </w:r>
      <w:r w:rsidRPr="007B4794">
        <w:rPr>
          <w:rFonts w:ascii="Arial" w:hAnsi="Arial" w:cs="Arial"/>
          <w:color w:val="000000" w:themeColor="text1"/>
          <w:sz w:val="21"/>
          <w:szCs w:val="21"/>
        </w:rPr>
        <w:t>；如果名下有房有贷，且贷款尚未结清的，那么首付比例不低于</w:t>
      </w:r>
      <w:r w:rsidRPr="007B4794">
        <w:rPr>
          <w:rFonts w:ascii="Arial" w:hAnsi="Arial" w:cs="Arial"/>
          <w:color w:val="000000" w:themeColor="text1"/>
          <w:sz w:val="21"/>
          <w:szCs w:val="21"/>
        </w:rPr>
        <w:t>30%</w:t>
      </w:r>
      <w:r w:rsidRPr="007B4794">
        <w:rPr>
          <w:rFonts w:ascii="Arial" w:hAnsi="Arial" w:cs="Arial"/>
          <w:color w:val="000000" w:themeColor="text1"/>
          <w:sz w:val="21"/>
          <w:szCs w:val="21"/>
        </w:rPr>
        <w:t>（实际上一般至少需要</w:t>
      </w:r>
      <w:r w:rsidRPr="007B4794">
        <w:rPr>
          <w:rFonts w:ascii="Arial" w:hAnsi="Arial" w:cs="Arial"/>
          <w:color w:val="000000" w:themeColor="text1"/>
          <w:sz w:val="21"/>
          <w:szCs w:val="21"/>
        </w:rPr>
        <w:t>40%-50%</w:t>
      </w:r>
      <w:r w:rsidRPr="007B4794">
        <w:rPr>
          <w:rFonts w:ascii="Arial" w:hAnsi="Arial" w:cs="Arial"/>
          <w:color w:val="000000" w:themeColor="text1"/>
          <w:sz w:val="21"/>
          <w:szCs w:val="21"/>
        </w:rPr>
        <w:t>左右）</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2</w:t>
      </w:r>
      <w:r w:rsidRPr="007B4794">
        <w:rPr>
          <w:rFonts w:ascii="Arial" w:hAnsi="Arial" w:cs="Arial" w:hint="eastAsia"/>
          <w:color w:val="000000" w:themeColor="text1"/>
          <w:sz w:val="21"/>
          <w:szCs w:val="21"/>
        </w:rPr>
        <w:t>套贷款未结清的，不能贷款。</w:t>
      </w:r>
    </w:p>
    <w:p w14:paraId="59808984" w14:textId="77777777" w:rsidR="00D50D59" w:rsidRPr="007B4794" w:rsidRDefault="00D50D59" w:rsidP="00D50D59">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职工家庭购买商品住房申请住房公积金贷款的，首套房且首次申请公积金贷款，首付比例不低于</w:t>
      </w:r>
      <w:r w:rsidRPr="007B4794">
        <w:rPr>
          <w:rFonts w:ascii="Arial" w:hAnsi="Arial" w:cs="Arial"/>
          <w:color w:val="000000" w:themeColor="text1"/>
          <w:sz w:val="21"/>
          <w:szCs w:val="21"/>
        </w:rPr>
        <w:t>20%</w:t>
      </w:r>
      <w:r w:rsidRPr="007B4794">
        <w:rPr>
          <w:rFonts w:ascii="Arial" w:hAnsi="Arial" w:cs="Arial"/>
          <w:color w:val="000000" w:themeColor="text1"/>
          <w:sz w:val="21"/>
          <w:szCs w:val="21"/>
        </w:rPr>
        <w:t>，二套房或第二次申请的首付比例不低于</w:t>
      </w:r>
      <w:r w:rsidRPr="007B4794">
        <w:rPr>
          <w:rFonts w:ascii="Arial" w:hAnsi="Arial" w:cs="Arial"/>
          <w:color w:val="000000" w:themeColor="text1"/>
          <w:sz w:val="21"/>
          <w:szCs w:val="21"/>
        </w:rPr>
        <w:t>40%</w:t>
      </w:r>
      <w:r w:rsidRPr="007B4794">
        <w:rPr>
          <w:rFonts w:ascii="Arial" w:hAnsi="Arial" w:cs="Arial"/>
          <w:color w:val="000000" w:themeColor="text1"/>
          <w:sz w:val="21"/>
          <w:szCs w:val="21"/>
        </w:rPr>
        <w:t>（华安县、常山开发区不低于</w:t>
      </w:r>
      <w:r w:rsidRPr="007B4794">
        <w:rPr>
          <w:rFonts w:ascii="Arial" w:hAnsi="Arial" w:cs="Arial"/>
          <w:color w:val="000000" w:themeColor="text1"/>
          <w:sz w:val="21"/>
          <w:szCs w:val="21"/>
        </w:rPr>
        <w:t>20%</w:t>
      </w:r>
      <w:r w:rsidRPr="007B4794">
        <w:rPr>
          <w:rFonts w:ascii="Arial" w:hAnsi="Arial" w:cs="Arial"/>
          <w:color w:val="000000" w:themeColor="text1"/>
          <w:sz w:val="21"/>
          <w:szCs w:val="21"/>
        </w:rPr>
        <w:t>）。</w:t>
      </w:r>
    </w:p>
    <w:p w14:paraId="332868F7" w14:textId="77777777" w:rsidR="00D50D59" w:rsidRPr="007B4794" w:rsidRDefault="00D50D59" w:rsidP="00D50D59">
      <w:pPr>
        <w:pStyle w:val="af1"/>
        <w:widowControl w:val="0"/>
        <w:numPr>
          <w:ilvl w:val="0"/>
          <w:numId w:val="18"/>
        </w:numPr>
        <w:adjustRightInd w:val="0"/>
        <w:snapToGrid w:val="0"/>
        <w:spacing w:line="480" w:lineRule="auto"/>
        <w:ind w:firstLineChars="0"/>
        <w:jc w:val="both"/>
        <w:rPr>
          <w:rFonts w:ascii="Arial" w:hAnsi="Arial" w:cs="Arial"/>
          <w:color w:val="000000" w:themeColor="text1"/>
          <w:sz w:val="21"/>
          <w:szCs w:val="21"/>
        </w:rPr>
      </w:pPr>
      <w:r w:rsidRPr="007B4794">
        <w:rPr>
          <w:rFonts w:ascii="Arial" w:hAnsi="Arial" w:cs="Arial" w:hint="eastAsia"/>
          <w:color w:val="000000" w:themeColor="text1"/>
          <w:sz w:val="21"/>
          <w:szCs w:val="21"/>
        </w:rPr>
        <w:t>预售及资金监管政策</w:t>
      </w:r>
    </w:p>
    <w:p w14:paraId="304FA7AB" w14:textId="77777777" w:rsidR="00D50D59" w:rsidRPr="007B4794" w:rsidRDefault="00D50D59" w:rsidP="00D50D59">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预售政策：根据《福建省商品房预售管理暂行办法》（闽建房函〔</w:t>
      </w:r>
      <w:r w:rsidRPr="007B4794">
        <w:rPr>
          <w:rFonts w:ascii="Arial" w:hAnsi="Arial" w:cs="Arial"/>
          <w:color w:val="000000" w:themeColor="text1"/>
          <w:sz w:val="21"/>
          <w:szCs w:val="21"/>
        </w:rPr>
        <w:t>2005</w:t>
      </w:r>
      <w:r w:rsidRPr="007B4794">
        <w:rPr>
          <w:rFonts w:ascii="Arial" w:hAnsi="Arial" w:cs="Arial"/>
          <w:color w:val="000000" w:themeColor="text1"/>
          <w:sz w:val="21"/>
          <w:szCs w:val="21"/>
        </w:rPr>
        <w:t>〕</w:t>
      </w:r>
      <w:r w:rsidRPr="007B4794">
        <w:rPr>
          <w:rFonts w:ascii="Arial" w:hAnsi="Arial" w:cs="Arial"/>
          <w:color w:val="000000" w:themeColor="text1"/>
          <w:sz w:val="21"/>
          <w:szCs w:val="21"/>
        </w:rPr>
        <w:t>88</w:t>
      </w:r>
      <w:r w:rsidRPr="007B4794">
        <w:rPr>
          <w:rFonts w:ascii="Arial" w:hAnsi="Arial" w:cs="Arial"/>
          <w:color w:val="000000" w:themeColor="text1"/>
          <w:sz w:val="21"/>
          <w:szCs w:val="21"/>
        </w:rPr>
        <w:t>号</w:t>
      </w:r>
      <w:r w:rsidRPr="007B4794">
        <w:rPr>
          <w:rFonts w:ascii="Arial" w:hAnsi="Arial" w:cs="Arial" w:hint="eastAsia"/>
          <w:color w:val="000000" w:themeColor="text1"/>
          <w:sz w:val="21"/>
          <w:szCs w:val="21"/>
        </w:rPr>
        <w:t>）第七条规定，商品房预售应当符合下列条件</w:t>
      </w:r>
      <w:r w:rsidRPr="007B4794">
        <w:rPr>
          <w:rFonts w:ascii="Arial" w:hAnsi="Arial" w:cs="Arial"/>
          <w:color w:val="000000" w:themeColor="text1"/>
          <w:sz w:val="21"/>
          <w:szCs w:val="21"/>
        </w:rPr>
        <w:t>:</w:t>
      </w:r>
    </w:p>
    <w:p w14:paraId="7AE02016" w14:textId="77777777" w:rsidR="00D50D59" w:rsidRPr="007B4794" w:rsidRDefault="00D50D59" w:rsidP="00D50D59">
      <w:pPr>
        <w:widowControl w:val="0"/>
        <w:adjustRightInd w:val="0"/>
        <w:snapToGrid w:val="0"/>
        <w:spacing w:line="480" w:lineRule="auto"/>
        <w:ind w:firstLineChars="200" w:firstLine="420"/>
        <w:jc w:val="both"/>
        <w:rPr>
          <w:rFonts w:cs="Arial"/>
          <w:color w:val="000000" w:themeColor="text1"/>
          <w:sz w:val="21"/>
          <w:szCs w:val="21"/>
        </w:rPr>
      </w:pPr>
      <w:r w:rsidRPr="007B4794">
        <w:rPr>
          <w:rFonts w:cs="Arial"/>
          <w:color w:val="000000" w:themeColor="text1"/>
          <w:sz w:val="21"/>
          <w:szCs w:val="21"/>
        </w:rPr>
        <w:t>一)已交付全部土地使用权出让金，取得土地使用权证书;</w:t>
      </w:r>
    </w:p>
    <w:p w14:paraId="033BEB73" w14:textId="77777777" w:rsidR="00D50D59" w:rsidRPr="007B4794" w:rsidRDefault="00D50D59" w:rsidP="00D50D59">
      <w:pPr>
        <w:widowControl w:val="0"/>
        <w:adjustRightInd w:val="0"/>
        <w:snapToGrid w:val="0"/>
        <w:spacing w:line="480" w:lineRule="auto"/>
        <w:ind w:firstLineChars="200" w:firstLine="420"/>
        <w:jc w:val="both"/>
        <w:rPr>
          <w:rFonts w:cs="Arial"/>
          <w:color w:val="000000" w:themeColor="text1"/>
          <w:sz w:val="21"/>
          <w:szCs w:val="21"/>
        </w:rPr>
      </w:pPr>
      <w:r w:rsidRPr="007B4794">
        <w:rPr>
          <w:rFonts w:cs="Arial"/>
          <w:color w:val="000000" w:themeColor="text1"/>
          <w:sz w:val="21"/>
          <w:szCs w:val="21"/>
        </w:rPr>
        <w:t>二)持有建设工程规划许可证和施工许可证;</w:t>
      </w:r>
    </w:p>
    <w:p w14:paraId="2CC44D35" w14:textId="77777777" w:rsidR="00D50D59" w:rsidRPr="007B4794" w:rsidRDefault="00D50D59" w:rsidP="00D50D59">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cs="Arial"/>
          <w:color w:val="000000" w:themeColor="text1"/>
          <w:sz w:val="21"/>
          <w:szCs w:val="21"/>
        </w:rPr>
        <w:t>三)按提供预</w:t>
      </w:r>
      <w:r w:rsidRPr="007B4794">
        <w:rPr>
          <w:rFonts w:ascii="Arial" w:hAnsi="Arial" w:cs="Arial"/>
          <w:color w:val="000000" w:themeColor="text1"/>
          <w:sz w:val="21"/>
          <w:szCs w:val="21"/>
        </w:rPr>
        <w:t>售的商品房计算，投入开发建设的资金达到工程建设总投资的</w:t>
      </w:r>
      <w:r w:rsidRPr="007B4794">
        <w:rPr>
          <w:rFonts w:ascii="Arial" w:hAnsi="Arial" w:cs="Arial"/>
          <w:color w:val="000000" w:themeColor="text1"/>
          <w:sz w:val="21"/>
          <w:szCs w:val="21"/>
        </w:rPr>
        <w:t>25%</w:t>
      </w:r>
      <w:r w:rsidRPr="007B4794">
        <w:rPr>
          <w:rFonts w:ascii="Arial" w:hAnsi="Arial" w:cs="Arial"/>
          <w:color w:val="000000" w:themeColor="text1"/>
          <w:sz w:val="21"/>
          <w:szCs w:val="21"/>
        </w:rPr>
        <w:t>以</w:t>
      </w:r>
      <w:r w:rsidRPr="007B4794">
        <w:rPr>
          <w:rFonts w:ascii="Arial" w:hAnsi="Arial" w:cs="Arial" w:hint="eastAsia"/>
          <w:color w:val="000000" w:themeColor="text1"/>
          <w:sz w:val="21"/>
          <w:szCs w:val="21"/>
        </w:rPr>
        <w:t>上</w:t>
      </w:r>
      <w:r w:rsidRPr="007B4794">
        <w:rPr>
          <w:rFonts w:ascii="Arial" w:hAnsi="Arial" w:cs="Arial"/>
          <w:color w:val="000000" w:themeColor="text1"/>
          <w:sz w:val="21"/>
          <w:szCs w:val="21"/>
        </w:rPr>
        <w:t>(</w:t>
      </w:r>
      <w:r w:rsidRPr="007B4794">
        <w:rPr>
          <w:rFonts w:ascii="Arial" w:hAnsi="Arial" w:cs="Arial"/>
          <w:color w:val="000000" w:themeColor="text1"/>
          <w:sz w:val="21"/>
          <w:szCs w:val="21"/>
        </w:rPr>
        <w:t>商品房项目建设形象进度达到总层数的五分之一以上</w:t>
      </w:r>
      <w:r w:rsidRPr="007B4794">
        <w:rPr>
          <w:rFonts w:ascii="Arial" w:hAnsi="Arial" w:cs="Arial"/>
          <w:color w:val="000000" w:themeColor="text1"/>
          <w:sz w:val="21"/>
          <w:szCs w:val="21"/>
        </w:rPr>
        <w:t>)</w:t>
      </w:r>
      <w:r w:rsidRPr="007B4794">
        <w:rPr>
          <w:rFonts w:ascii="Arial" w:hAnsi="Arial" w:cs="Arial"/>
          <w:color w:val="000000" w:themeColor="text1"/>
          <w:sz w:val="21"/>
          <w:szCs w:val="21"/>
        </w:rPr>
        <w:t>，并已经确定施工进度和竣</w:t>
      </w:r>
      <w:r w:rsidRPr="007B4794">
        <w:rPr>
          <w:rFonts w:ascii="Arial" w:hAnsi="Arial" w:cs="Arial" w:hint="eastAsia"/>
          <w:color w:val="000000" w:themeColor="text1"/>
          <w:sz w:val="21"/>
          <w:szCs w:val="21"/>
        </w:rPr>
        <w:t>工交付日期。</w:t>
      </w:r>
      <w:r w:rsidRPr="007B4794">
        <w:rPr>
          <w:rFonts w:ascii="Arial" w:hAnsi="Arial" w:cs="Arial"/>
          <w:color w:val="000000" w:themeColor="text1"/>
          <w:sz w:val="21"/>
          <w:szCs w:val="21"/>
        </w:rPr>
        <w:t>.</w:t>
      </w:r>
    </w:p>
    <w:p w14:paraId="01D2A71A" w14:textId="77777777" w:rsidR="00D50D59" w:rsidRPr="007B4794" w:rsidRDefault="00D50D59" w:rsidP="00D50D59">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资金监管：根据漳州市住房和城乡建设局关于印发《漳州市区商品房预售资金监管实施意见》的通知，</w:t>
      </w:r>
      <w:r w:rsidRPr="007B4794">
        <w:rPr>
          <w:rFonts w:ascii="Arial" w:hAnsi="Arial" w:cs="Arial"/>
          <w:color w:val="000000" w:themeColor="text1"/>
          <w:sz w:val="21"/>
          <w:szCs w:val="21"/>
        </w:rPr>
        <w:t>市区房地产项目按预售许可为单位进行监管，每个预售许可工程监管资金额度原则上按以下标准确定（按建筑面积计算）：</w:t>
      </w:r>
    </w:p>
    <w:p w14:paraId="09614772" w14:textId="77777777" w:rsidR="00D50D59" w:rsidRPr="007B4794" w:rsidRDefault="00D50D59" w:rsidP="00D50D59">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一）</w:t>
      </w:r>
      <w:r w:rsidRPr="007B4794">
        <w:rPr>
          <w:rFonts w:ascii="Arial" w:hAnsi="Arial" w:cs="Arial"/>
          <w:color w:val="000000" w:themeColor="text1"/>
          <w:sz w:val="21"/>
          <w:szCs w:val="21"/>
        </w:rPr>
        <w:t>18</w:t>
      </w:r>
      <w:r w:rsidRPr="007B4794">
        <w:rPr>
          <w:rFonts w:ascii="Arial" w:hAnsi="Arial" w:cs="Arial"/>
          <w:color w:val="000000" w:themeColor="text1"/>
          <w:sz w:val="21"/>
          <w:szCs w:val="21"/>
        </w:rPr>
        <w:t>层以下（含</w:t>
      </w:r>
      <w:r w:rsidRPr="007B4794">
        <w:rPr>
          <w:rFonts w:ascii="Arial" w:hAnsi="Arial" w:cs="Arial"/>
          <w:color w:val="000000" w:themeColor="text1"/>
          <w:sz w:val="21"/>
          <w:szCs w:val="21"/>
        </w:rPr>
        <w:t>18</w:t>
      </w:r>
      <w:r w:rsidRPr="007B4794">
        <w:rPr>
          <w:rFonts w:ascii="Arial" w:hAnsi="Arial" w:cs="Arial"/>
          <w:color w:val="000000" w:themeColor="text1"/>
          <w:sz w:val="21"/>
          <w:szCs w:val="21"/>
        </w:rPr>
        <w:t>层）为</w:t>
      </w:r>
      <w:r w:rsidRPr="007B4794">
        <w:rPr>
          <w:rFonts w:ascii="Arial" w:hAnsi="Arial" w:cs="Arial"/>
          <w:color w:val="000000" w:themeColor="text1"/>
          <w:sz w:val="21"/>
          <w:szCs w:val="21"/>
        </w:rPr>
        <w:t>4200</w:t>
      </w:r>
      <w:r w:rsidRPr="007B4794">
        <w:rPr>
          <w:rFonts w:ascii="Arial" w:hAnsi="Arial" w:cs="Arial"/>
          <w:color w:val="000000" w:themeColor="text1"/>
          <w:sz w:val="21"/>
          <w:szCs w:val="21"/>
        </w:rPr>
        <w:t>元每平方米；</w:t>
      </w:r>
    </w:p>
    <w:p w14:paraId="73FEA054" w14:textId="77777777" w:rsidR="00D50D59" w:rsidRPr="007B4794" w:rsidRDefault="00D50D59" w:rsidP="00D50D59">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二）</w:t>
      </w:r>
      <w:r w:rsidRPr="007B4794">
        <w:rPr>
          <w:rFonts w:ascii="Arial" w:hAnsi="Arial" w:cs="Arial"/>
          <w:color w:val="000000" w:themeColor="text1"/>
          <w:sz w:val="21"/>
          <w:szCs w:val="21"/>
        </w:rPr>
        <w:t>19</w:t>
      </w:r>
      <w:r w:rsidRPr="007B4794">
        <w:rPr>
          <w:rFonts w:ascii="Arial" w:hAnsi="Arial" w:cs="Arial"/>
          <w:color w:val="000000" w:themeColor="text1"/>
          <w:sz w:val="21"/>
          <w:szCs w:val="21"/>
        </w:rPr>
        <w:t>层以上</w:t>
      </w:r>
      <w:r w:rsidRPr="007B4794">
        <w:rPr>
          <w:rFonts w:ascii="Arial" w:hAnsi="Arial" w:cs="Arial"/>
          <w:color w:val="000000" w:themeColor="text1"/>
          <w:sz w:val="21"/>
          <w:szCs w:val="21"/>
        </w:rPr>
        <w:t>30</w:t>
      </w:r>
      <w:r w:rsidRPr="007B4794">
        <w:rPr>
          <w:rFonts w:ascii="Arial" w:hAnsi="Arial" w:cs="Arial"/>
          <w:color w:val="000000" w:themeColor="text1"/>
          <w:sz w:val="21"/>
          <w:szCs w:val="21"/>
        </w:rPr>
        <w:t>层以下（含</w:t>
      </w:r>
      <w:r w:rsidRPr="007B4794">
        <w:rPr>
          <w:rFonts w:ascii="Arial" w:hAnsi="Arial" w:cs="Arial"/>
          <w:color w:val="000000" w:themeColor="text1"/>
          <w:sz w:val="21"/>
          <w:szCs w:val="21"/>
        </w:rPr>
        <w:t>30</w:t>
      </w:r>
      <w:r w:rsidRPr="007B4794">
        <w:rPr>
          <w:rFonts w:ascii="Arial" w:hAnsi="Arial" w:cs="Arial"/>
          <w:color w:val="000000" w:themeColor="text1"/>
          <w:sz w:val="21"/>
          <w:szCs w:val="21"/>
        </w:rPr>
        <w:t>层）为</w:t>
      </w:r>
      <w:r w:rsidRPr="007B4794">
        <w:rPr>
          <w:rFonts w:ascii="Arial" w:hAnsi="Arial" w:cs="Arial"/>
          <w:color w:val="000000" w:themeColor="text1"/>
          <w:sz w:val="21"/>
          <w:szCs w:val="21"/>
        </w:rPr>
        <w:t>4800</w:t>
      </w:r>
      <w:r w:rsidRPr="007B4794">
        <w:rPr>
          <w:rFonts w:ascii="Arial" w:hAnsi="Arial" w:cs="Arial"/>
          <w:color w:val="000000" w:themeColor="text1"/>
          <w:sz w:val="21"/>
          <w:szCs w:val="21"/>
        </w:rPr>
        <w:t>元每平方米；</w:t>
      </w:r>
    </w:p>
    <w:p w14:paraId="0A59A507" w14:textId="77777777" w:rsidR="00D50D59" w:rsidRPr="007B4794" w:rsidRDefault="00D50D59" w:rsidP="00D50D59">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三）</w:t>
      </w:r>
      <w:r w:rsidRPr="007B4794">
        <w:rPr>
          <w:rFonts w:ascii="Arial" w:hAnsi="Arial" w:cs="Arial"/>
          <w:color w:val="000000" w:themeColor="text1"/>
          <w:sz w:val="21"/>
          <w:szCs w:val="21"/>
        </w:rPr>
        <w:t>31</w:t>
      </w:r>
      <w:r w:rsidRPr="007B4794">
        <w:rPr>
          <w:rFonts w:ascii="Arial" w:hAnsi="Arial" w:cs="Arial"/>
          <w:color w:val="000000" w:themeColor="text1"/>
          <w:sz w:val="21"/>
          <w:szCs w:val="21"/>
        </w:rPr>
        <w:t>层以上为</w:t>
      </w:r>
      <w:r w:rsidRPr="007B4794">
        <w:rPr>
          <w:rFonts w:ascii="Arial" w:hAnsi="Arial" w:cs="Arial"/>
          <w:color w:val="000000" w:themeColor="text1"/>
          <w:sz w:val="21"/>
          <w:szCs w:val="21"/>
        </w:rPr>
        <w:t>6000</w:t>
      </w:r>
      <w:r w:rsidRPr="007B4794">
        <w:rPr>
          <w:rFonts w:ascii="Arial" w:hAnsi="Arial" w:cs="Arial"/>
          <w:color w:val="000000" w:themeColor="text1"/>
          <w:sz w:val="21"/>
          <w:szCs w:val="21"/>
        </w:rPr>
        <w:t>元每平方米；</w:t>
      </w:r>
    </w:p>
    <w:p w14:paraId="2C1CC51A" w14:textId="77777777" w:rsidR="00D50D59" w:rsidRPr="007B4794" w:rsidRDefault="00D50D59" w:rsidP="00D50D59">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带装修的预售项目，装修成本按</w:t>
      </w:r>
      <w:r w:rsidRPr="007B4794">
        <w:rPr>
          <w:rFonts w:ascii="Arial" w:hAnsi="Arial" w:cs="Arial"/>
          <w:color w:val="000000" w:themeColor="text1"/>
          <w:sz w:val="21"/>
          <w:szCs w:val="21"/>
        </w:rPr>
        <w:t>2000</w:t>
      </w:r>
      <w:r w:rsidRPr="007B4794">
        <w:rPr>
          <w:rFonts w:ascii="Arial" w:hAnsi="Arial" w:cs="Arial"/>
          <w:color w:val="000000" w:themeColor="text1"/>
          <w:sz w:val="21"/>
          <w:szCs w:val="21"/>
        </w:rPr>
        <w:t>元每平方米计算。</w:t>
      </w:r>
    </w:p>
    <w:p w14:paraId="66C23BD4" w14:textId="77777777" w:rsidR="00D50D59" w:rsidRPr="007B4794" w:rsidRDefault="00D50D59" w:rsidP="00D50D59">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预售人应当根据项目建设方案及施工进度编制预售项目用款计划，用款计划应按照节点申请支取：</w:t>
      </w:r>
    </w:p>
    <w:p w14:paraId="447E157F" w14:textId="77777777" w:rsidR="00D50D59" w:rsidRPr="007B4794" w:rsidRDefault="00D50D59" w:rsidP="00D50D59">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一）取得商品房预售许可证后，累计可申请使用监管资金额度内的预售资金不超过监管资金额度的</w:t>
      </w:r>
      <w:r w:rsidRPr="007B4794">
        <w:rPr>
          <w:rFonts w:ascii="Arial" w:hAnsi="Arial" w:cs="Arial"/>
          <w:color w:val="000000" w:themeColor="text1"/>
          <w:sz w:val="21"/>
          <w:szCs w:val="21"/>
        </w:rPr>
        <w:t>25%</w:t>
      </w:r>
      <w:r w:rsidRPr="007B4794">
        <w:rPr>
          <w:rFonts w:ascii="Arial" w:hAnsi="Arial" w:cs="Arial"/>
          <w:color w:val="000000" w:themeColor="text1"/>
          <w:sz w:val="21"/>
          <w:szCs w:val="21"/>
        </w:rPr>
        <w:t>；</w:t>
      </w:r>
    </w:p>
    <w:p w14:paraId="340B8F0A" w14:textId="77777777" w:rsidR="00D50D59" w:rsidRPr="007B4794" w:rsidRDefault="00D50D59" w:rsidP="00D50D59">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二）工程形象进度达</w:t>
      </w:r>
      <w:r w:rsidRPr="007B4794">
        <w:rPr>
          <w:rFonts w:ascii="Arial" w:hAnsi="Arial" w:cs="Arial"/>
          <w:color w:val="000000" w:themeColor="text1"/>
          <w:sz w:val="21"/>
          <w:szCs w:val="21"/>
        </w:rPr>
        <w:t>50%</w:t>
      </w:r>
      <w:r w:rsidRPr="007B4794">
        <w:rPr>
          <w:rFonts w:ascii="Arial" w:hAnsi="Arial" w:cs="Arial"/>
          <w:color w:val="000000" w:themeColor="text1"/>
          <w:sz w:val="21"/>
          <w:szCs w:val="21"/>
        </w:rPr>
        <w:t>，累计可申请使用监管资金额度内的预售资金不超过监管额度的</w:t>
      </w:r>
      <w:r w:rsidRPr="007B4794">
        <w:rPr>
          <w:rFonts w:ascii="Arial" w:hAnsi="Arial" w:cs="Arial"/>
          <w:color w:val="000000" w:themeColor="text1"/>
          <w:sz w:val="21"/>
          <w:szCs w:val="21"/>
        </w:rPr>
        <w:t>40%</w:t>
      </w:r>
      <w:r w:rsidRPr="007B4794">
        <w:rPr>
          <w:rFonts w:ascii="Arial" w:hAnsi="Arial" w:cs="Arial"/>
          <w:color w:val="000000" w:themeColor="text1"/>
          <w:sz w:val="21"/>
          <w:szCs w:val="21"/>
        </w:rPr>
        <w:t>；</w:t>
      </w:r>
    </w:p>
    <w:p w14:paraId="3A7B4DAC" w14:textId="77777777" w:rsidR="00D50D59" w:rsidRPr="007B4794" w:rsidRDefault="00D50D59" w:rsidP="00D50D59">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三）主体结构封顶后，累计可申请使用监管资金额度内的预售资金不超过监管额度的</w:t>
      </w:r>
      <w:r w:rsidRPr="007B4794">
        <w:rPr>
          <w:rFonts w:ascii="Arial" w:hAnsi="Arial" w:cs="Arial"/>
          <w:color w:val="000000" w:themeColor="text1"/>
          <w:sz w:val="21"/>
          <w:szCs w:val="21"/>
        </w:rPr>
        <w:t>50%</w:t>
      </w:r>
      <w:r w:rsidRPr="007B4794">
        <w:rPr>
          <w:rFonts w:ascii="Arial" w:hAnsi="Arial" w:cs="Arial"/>
          <w:color w:val="000000" w:themeColor="text1"/>
          <w:sz w:val="21"/>
          <w:szCs w:val="21"/>
        </w:rPr>
        <w:t>；</w:t>
      </w:r>
    </w:p>
    <w:p w14:paraId="275F8D90" w14:textId="77777777" w:rsidR="00D50D59" w:rsidRPr="007B4794" w:rsidRDefault="00D50D59" w:rsidP="00D50D59">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lastRenderedPageBreak/>
        <w:t>四）外墙装修完毕脚手架拆除，累计可申请使用监管资金额度内的预售资金不超过监管额度的</w:t>
      </w:r>
      <w:r w:rsidRPr="007B4794">
        <w:rPr>
          <w:rFonts w:ascii="Arial" w:hAnsi="Arial" w:cs="Arial"/>
          <w:color w:val="000000" w:themeColor="text1"/>
          <w:sz w:val="21"/>
          <w:szCs w:val="21"/>
        </w:rPr>
        <w:t>70%</w:t>
      </w:r>
      <w:r w:rsidRPr="007B4794">
        <w:rPr>
          <w:rFonts w:ascii="Arial" w:hAnsi="Arial" w:cs="Arial"/>
          <w:color w:val="000000" w:themeColor="text1"/>
          <w:sz w:val="21"/>
          <w:szCs w:val="21"/>
        </w:rPr>
        <w:t>；</w:t>
      </w:r>
    </w:p>
    <w:p w14:paraId="17C68B22" w14:textId="77777777" w:rsidR="00D50D59" w:rsidRPr="007B4794" w:rsidRDefault="00D50D59" w:rsidP="00D50D59">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五）单体验收完成，累计可申请使用监管资金额度内的预售资金不超过监管额度的</w:t>
      </w:r>
      <w:r w:rsidRPr="007B4794">
        <w:rPr>
          <w:rFonts w:ascii="Arial" w:hAnsi="Arial" w:cs="Arial"/>
          <w:color w:val="000000" w:themeColor="text1"/>
          <w:sz w:val="21"/>
          <w:szCs w:val="21"/>
        </w:rPr>
        <w:t>80%</w:t>
      </w:r>
      <w:r w:rsidRPr="007B4794">
        <w:rPr>
          <w:rFonts w:ascii="Arial" w:hAnsi="Arial" w:cs="Arial"/>
          <w:color w:val="000000" w:themeColor="text1"/>
          <w:sz w:val="21"/>
          <w:szCs w:val="21"/>
        </w:rPr>
        <w:t>；</w:t>
      </w:r>
    </w:p>
    <w:p w14:paraId="36D44535" w14:textId="77777777" w:rsidR="00D50D59" w:rsidRPr="007B4794" w:rsidRDefault="00D50D59" w:rsidP="00D50D59">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六）取得《工程竣工验收备案表》且无拖欠工程款和农民工工资的，预售人可申请支取全部监管资金。</w:t>
      </w:r>
    </w:p>
    <w:p w14:paraId="2998ED5D" w14:textId="5D230E91" w:rsidR="00AE01CB" w:rsidRPr="007B4794" w:rsidRDefault="00AE01CB"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p>
    <w:p w14:paraId="68092ED9" w14:textId="4921A579" w:rsidR="000F07DE" w:rsidRPr="007B4794" w:rsidRDefault="000F07DE" w:rsidP="00EB25D7">
      <w:pPr>
        <w:widowControl w:val="0"/>
        <w:adjustRightInd w:val="0"/>
        <w:snapToGrid w:val="0"/>
        <w:spacing w:line="480" w:lineRule="auto"/>
        <w:ind w:firstLineChars="200" w:firstLine="420"/>
        <w:jc w:val="both"/>
        <w:rPr>
          <w:rFonts w:ascii="Arial" w:hAnsi="Arial" w:cs="Arial"/>
          <w:color w:val="000000" w:themeColor="text1"/>
          <w:sz w:val="21"/>
          <w:szCs w:val="21"/>
        </w:rPr>
      </w:pPr>
    </w:p>
    <w:p w14:paraId="2AD5FCC2" w14:textId="5C2811CA" w:rsidR="000F07DE" w:rsidRPr="007B4794" w:rsidRDefault="000F07DE">
      <w:pPr>
        <w:rPr>
          <w:rFonts w:ascii="Arial" w:hAnsi="Arial" w:cs="Arial"/>
          <w:color w:val="000000" w:themeColor="text1"/>
          <w:sz w:val="21"/>
          <w:szCs w:val="21"/>
        </w:rPr>
      </w:pPr>
      <w:r w:rsidRPr="007B4794">
        <w:rPr>
          <w:rFonts w:ascii="Arial" w:hAnsi="Arial" w:cs="Arial"/>
          <w:color w:val="000000" w:themeColor="text1"/>
          <w:sz w:val="21"/>
          <w:szCs w:val="21"/>
        </w:rPr>
        <w:br w:type="page"/>
      </w:r>
    </w:p>
    <w:p w14:paraId="083F4E53" w14:textId="77777777" w:rsidR="000F07DE" w:rsidRPr="007B4794" w:rsidRDefault="000F07DE" w:rsidP="00EB25D7">
      <w:pPr>
        <w:widowControl w:val="0"/>
        <w:adjustRightInd w:val="0"/>
        <w:snapToGrid w:val="0"/>
        <w:spacing w:line="480" w:lineRule="auto"/>
        <w:ind w:firstLineChars="200" w:firstLine="40"/>
        <w:jc w:val="both"/>
        <w:rPr>
          <w:rFonts w:ascii="Arial" w:hAnsi="Arial" w:cs="Arial"/>
          <w:color w:val="000000" w:themeColor="text1"/>
          <w:sz w:val="2"/>
          <w:szCs w:val="2"/>
        </w:rPr>
      </w:pPr>
    </w:p>
    <w:p w14:paraId="630BC5C9" w14:textId="72345183" w:rsidR="00E352F7" w:rsidRPr="007B4794" w:rsidRDefault="000F07DE" w:rsidP="000F07DE">
      <w:pPr>
        <w:pStyle w:val="1"/>
        <w:spacing w:before="240"/>
        <w:rPr>
          <w:rFonts w:ascii="Arial" w:eastAsia="方正黑体简体" w:hAnsi="Arial" w:cs="Arial"/>
          <w:b w:val="0"/>
          <w:bCs/>
          <w:color w:val="000000" w:themeColor="text1"/>
          <w:sz w:val="32"/>
          <w:szCs w:val="32"/>
        </w:rPr>
      </w:pPr>
      <w:bookmarkStart w:id="70" w:name="_Toc54016593"/>
      <w:bookmarkEnd w:id="61"/>
      <w:r w:rsidRPr="007B4794">
        <w:rPr>
          <w:rFonts w:ascii="Arial" w:eastAsia="方正黑体简体" w:hAnsi="Arial" w:cs="Arial"/>
          <w:b w:val="0"/>
          <w:bCs/>
          <w:color w:val="000000" w:themeColor="text1"/>
          <w:sz w:val="32"/>
          <w:szCs w:val="32"/>
        </w:rPr>
        <w:t>第</w:t>
      </w:r>
      <w:r w:rsidRPr="007B4794">
        <w:rPr>
          <w:rFonts w:ascii="Arial" w:eastAsia="方正黑体简体" w:hAnsi="Arial" w:cs="Arial" w:hint="eastAsia"/>
          <w:b w:val="0"/>
          <w:bCs/>
          <w:color w:val="000000" w:themeColor="text1"/>
          <w:sz w:val="32"/>
          <w:szCs w:val="32"/>
        </w:rPr>
        <w:t>四</w:t>
      </w:r>
      <w:r w:rsidRPr="007B4794">
        <w:rPr>
          <w:rFonts w:ascii="Arial" w:eastAsia="方正黑体简体" w:hAnsi="Arial" w:cs="Arial"/>
          <w:b w:val="0"/>
          <w:bCs/>
          <w:color w:val="000000" w:themeColor="text1"/>
          <w:sz w:val="32"/>
          <w:szCs w:val="32"/>
        </w:rPr>
        <w:t>章</w:t>
      </w:r>
      <w:r w:rsidRPr="007B4794">
        <w:rPr>
          <w:rFonts w:ascii="Arial" w:eastAsia="方正黑体简体" w:hAnsi="Arial" w:cs="Arial"/>
          <w:b w:val="0"/>
          <w:bCs/>
          <w:color w:val="000000" w:themeColor="text1"/>
          <w:sz w:val="32"/>
          <w:szCs w:val="32"/>
        </w:rPr>
        <w:t xml:space="preserve">  </w:t>
      </w:r>
      <w:r w:rsidRPr="007B4794">
        <w:rPr>
          <w:rFonts w:ascii="Arial" w:eastAsia="方正黑体简体" w:hAnsi="Arial" w:cs="Arial" w:hint="eastAsia"/>
          <w:b w:val="0"/>
          <w:bCs/>
          <w:color w:val="000000" w:themeColor="text1"/>
          <w:sz w:val="32"/>
          <w:szCs w:val="32"/>
        </w:rPr>
        <w:t>区域市场分析</w:t>
      </w:r>
      <w:bookmarkEnd w:id="70"/>
    </w:p>
    <w:p w14:paraId="55AFA030" w14:textId="277B0F00" w:rsidR="00452EF7" w:rsidRPr="007B4794" w:rsidRDefault="00B6400D" w:rsidP="00F4397F">
      <w:pPr>
        <w:pStyle w:val="2"/>
        <w:tabs>
          <w:tab w:val="left" w:pos="5220"/>
        </w:tabs>
        <w:spacing w:before="0" w:after="0" w:line="480" w:lineRule="auto"/>
        <w:ind w:firstLineChars="98" w:firstLine="207"/>
        <w:jc w:val="both"/>
        <w:rPr>
          <w:rFonts w:eastAsia="宋体" w:cs="Arial"/>
          <w:color w:val="000000" w:themeColor="text1"/>
          <w:sz w:val="21"/>
          <w:szCs w:val="21"/>
        </w:rPr>
      </w:pPr>
      <w:bookmarkStart w:id="71" w:name="_Toc54016594"/>
      <w:r w:rsidRPr="007B4794">
        <w:rPr>
          <w:rFonts w:eastAsia="宋体" w:cs="Arial" w:hint="eastAsia"/>
          <w:color w:val="000000" w:themeColor="text1"/>
          <w:sz w:val="21"/>
          <w:szCs w:val="21"/>
        </w:rPr>
        <w:t>一、</w:t>
      </w:r>
      <w:r w:rsidR="00452EF7" w:rsidRPr="007B4794">
        <w:rPr>
          <w:rFonts w:eastAsia="宋体" w:cs="Arial" w:hint="eastAsia"/>
          <w:color w:val="000000" w:themeColor="text1"/>
          <w:sz w:val="21"/>
          <w:szCs w:val="21"/>
        </w:rPr>
        <w:t>区域概况</w:t>
      </w:r>
      <w:bookmarkEnd w:id="71"/>
    </w:p>
    <w:p w14:paraId="424CBBF7" w14:textId="77777777" w:rsidR="009A1352" w:rsidRPr="007B4794" w:rsidRDefault="009A1352" w:rsidP="009A1352">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漳州台商投资区位于漳州、厦门城市节点，是规划中的漳州市中心城区组团之一，区域总面积</w:t>
      </w:r>
      <w:r w:rsidRPr="007B4794">
        <w:rPr>
          <w:rFonts w:ascii="Arial" w:hAnsi="Arial" w:cs="Arial"/>
          <w:color w:val="000000" w:themeColor="text1"/>
          <w:sz w:val="21"/>
          <w:szCs w:val="21"/>
        </w:rPr>
        <w:t>163</w:t>
      </w:r>
      <w:r w:rsidRPr="007B4794">
        <w:rPr>
          <w:rFonts w:ascii="Arial" w:hAnsi="Arial" w:cs="Arial"/>
          <w:color w:val="000000" w:themeColor="text1"/>
          <w:sz w:val="21"/>
          <w:szCs w:val="21"/>
        </w:rPr>
        <w:t>平方公里，辖角美镇及所属</w:t>
      </w:r>
      <w:r w:rsidRPr="007B4794">
        <w:rPr>
          <w:rFonts w:ascii="Arial" w:hAnsi="Arial" w:cs="Arial"/>
          <w:color w:val="000000" w:themeColor="text1"/>
          <w:sz w:val="21"/>
          <w:szCs w:val="21"/>
        </w:rPr>
        <w:t>45</w:t>
      </w:r>
      <w:r w:rsidRPr="007B4794">
        <w:rPr>
          <w:rFonts w:ascii="Arial" w:hAnsi="Arial" w:cs="Arial"/>
          <w:color w:val="000000" w:themeColor="text1"/>
          <w:sz w:val="21"/>
          <w:szCs w:val="21"/>
        </w:rPr>
        <w:t>个村（居、场），总人口</w:t>
      </w:r>
      <w:r w:rsidRPr="007B4794">
        <w:rPr>
          <w:rFonts w:ascii="Arial" w:hAnsi="Arial" w:cs="Arial"/>
          <w:color w:val="000000" w:themeColor="text1"/>
          <w:sz w:val="21"/>
          <w:szCs w:val="21"/>
        </w:rPr>
        <w:t>27.3</w:t>
      </w:r>
      <w:r w:rsidRPr="007B4794">
        <w:rPr>
          <w:rFonts w:ascii="Arial" w:hAnsi="Arial" w:cs="Arial"/>
          <w:color w:val="000000" w:themeColor="text1"/>
          <w:sz w:val="21"/>
          <w:szCs w:val="21"/>
        </w:rPr>
        <w:t>万，其中常住人口</w:t>
      </w:r>
      <w:r w:rsidRPr="007B4794">
        <w:rPr>
          <w:rFonts w:ascii="Arial" w:hAnsi="Arial" w:cs="Arial"/>
          <w:color w:val="000000" w:themeColor="text1"/>
          <w:sz w:val="21"/>
          <w:szCs w:val="21"/>
        </w:rPr>
        <w:t>13.7</w:t>
      </w:r>
      <w:r w:rsidRPr="007B4794">
        <w:rPr>
          <w:rFonts w:ascii="Arial" w:hAnsi="Arial" w:cs="Arial"/>
          <w:color w:val="000000" w:themeColor="text1"/>
          <w:sz w:val="21"/>
          <w:szCs w:val="21"/>
        </w:rPr>
        <w:t>万，外来人口</w:t>
      </w:r>
      <w:r w:rsidRPr="007B4794">
        <w:rPr>
          <w:rFonts w:ascii="Arial" w:hAnsi="Arial" w:cs="Arial"/>
          <w:color w:val="000000" w:themeColor="text1"/>
          <w:sz w:val="21"/>
          <w:szCs w:val="21"/>
        </w:rPr>
        <w:t>13.6</w:t>
      </w:r>
      <w:r w:rsidRPr="007B4794">
        <w:rPr>
          <w:rFonts w:ascii="Arial" w:hAnsi="Arial" w:cs="Arial"/>
          <w:color w:val="000000" w:themeColor="text1"/>
          <w:sz w:val="21"/>
          <w:szCs w:val="21"/>
        </w:rPr>
        <w:t>万。</w:t>
      </w:r>
    </w:p>
    <w:p w14:paraId="64E05AA8" w14:textId="5602BE56" w:rsidR="00AE01CB" w:rsidRPr="007B4794" w:rsidRDefault="009A1352" w:rsidP="009A1352">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漳州台商投资区地处九龙江出海口，与厦门市接壤，面对台湾距台北、台中、高雄约</w:t>
      </w:r>
      <w:r w:rsidRPr="007B4794">
        <w:rPr>
          <w:rFonts w:ascii="Arial" w:hAnsi="Arial" w:cs="Arial"/>
          <w:color w:val="000000" w:themeColor="text1"/>
          <w:sz w:val="21"/>
          <w:szCs w:val="21"/>
        </w:rPr>
        <w:t>300</w:t>
      </w:r>
      <w:r w:rsidRPr="007B4794">
        <w:rPr>
          <w:rFonts w:ascii="Arial" w:hAnsi="Arial" w:cs="Arial"/>
          <w:color w:val="000000" w:themeColor="text1"/>
          <w:sz w:val="21"/>
          <w:szCs w:val="21"/>
        </w:rPr>
        <w:t>公里；距厦门岛</w:t>
      </w:r>
      <w:r w:rsidRPr="007B4794">
        <w:rPr>
          <w:rFonts w:ascii="Arial" w:hAnsi="Arial" w:cs="Arial"/>
          <w:color w:val="000000" w:themeColor="text1"/>
          <w:sz w:val="21"/>
          <w:szCs w:val="21"/>
        </w:rPr>
        <w:t>15</w:t>
      </w:r>
      <w:r w:rsidRPr="007B4794">
        <w:rPr>
          <w:rFonts w:ascii="Arial" w:hAnsi="Arial" w:cs="Arial"/>
          <w:color w:val="000000" w:themeColor="text1"/>
          <w:sz w:val="21"/>
          <w:szCs w:val="21"/>
        </w:rPr>
        <w:t>公里，距厦门高崎国际机场</w:t>
      </w:r>
      <w:r w:rsidRPr="007B4794">
        <w:rPr>
          <w:rFonts w:ascii="Arial" w:hAnsi="Arial" w:cs="Arial"/>
          <w:color w:val="000000" w:themeColor="text1"/>
          <w:sz w:val="21"/>
          <w:szCs w:val="21"/>
        </w:rPr>
        <w:t>26</w:t>
      </w:r>
      <w:r w:rsidRPr="007B4794">
        <w:rPr>
          <w:rFonts w:ascii="Arial" w:hAnsi="Arial" w:cs="Arial"/>
          <w:color w:val="000000" w:themeColor="text1"/>
          <w:sz w:val="21"/>
          <w:szCs w:val="21"/>
        </w:rPr>
        <w:t>公里，距厦门东渡和海沧国际货柜码头分别为</w:t>
      </w:r>
      <w:r w:rsidRPr="007B4794">
        <w:rPr>
          <w:rFonts w:ascii="Arial" w:hAnsi="Arial" w:cs="Arial"/>
          <w:color w:val="000000" w:themeColor="text1"/>
          <w:sz w:val="21"/>
          <w:szCs w:val="21"/>
        </w:rPr>
        <w:t>19</w:t>
      </w:r>
      <w:r w:rsidRPr="007B4794">
        <w:rPr>
          <w:rFonts w:ascii="Arial" w:hAnsi="Arial" w:cs="Arial"/>
          <w:color w:val="000000" w:themeColor="text1"/>
          <w:sz w:val="21"/>
          <w:szCs w:val="21"/>
        </w:rPr>
        <w:t>公里和</w:t>
      </w:r>
      <w:r w:rsidRPr="007B4794">
        <w:rPr>
          <w:rFonts w:ascii="Arial" w:hAnsi="Arial" w:cs="Arial"/>
          <w:color w:val="000000" w:themeColor="text1"/>
          <w:sz w:val="21"/>
          <w:szCs w:val="21"/>
        </w:rPr>
        <w:t>13</w:t>
      </w:r>
      <w:r w:rsidRPr="007B4794">
        <w:rPr>
          <w:rFonts w:ascii="Arial" w:hAnsi="Arial" w:cs="Arial"/>
          <w:color w:val="000000" w:themeColor="text1"/>
          <w:sz w:val="21"/>
          <w:szCs w:val="21"/>
        </w:rPr>
        <w:t>公里，是厦门市环岛</w:t>
      </w:r>
      <w:r w:rsidRPr="007B4794">
        <w:rPr>
          <w:rFonts w:ascii="Arial" w:hAnsi="Arial" w:cs="Arial"/>
          <w:color w:val="000000" w:themeColor="text1"/>
          <w:sz w:val="21"/>
          <w:szCs w:val="21"/>
        </w:rPr>
        <w:t>“</w:t>
      </w:r>
      <w:r w:rsidRPr="007B4794">
        <w:rPr>
          <w:rFonts w:ascii="Arial" w:hAnsi="Arial" w:cs="Arial"/>
          <w:color w:val="000000" w:themeColor="text1"/>
          <w:sz w:val="21"/>
          <w:szCs w:val="21"/>
        </w:rPr>
        <w:t>半小时经济圈</w:t>
      </w:r>
      <w:r w:rsidRPr="007B4794">
        <w:rPr>
          <w:rFonts w:ascii="Arial" w:hAnsi="Arial" w:cs="Arial"/>
          <w:color w:val="000000" w:themeColor="text1"/>
          <w:sz w:val="21"/>
          <w:szCs w:val="21"/>
        </w:rPr>
        <w:t>”</w:t>
      </w:r>
      <w:r w:rsidRPr="007B4794">
        <w:rPr>
          <w:rFonts w:ascii="Arial" w:hAnsi="Arial" w:cs="Arial"/>
          <w:color w:val="000000" w:themeColor="text1"/>
          <w:sz w:val="21"/>
          <w:szCs w:val="21"/>
        </w:rPr>
        <w:t>和海湾型城市建设重要组成部分。区内港口资源丰富，是海沧港区重要组成部分和闽东南重要的水陆交通枢纽</w:t>
      </w:r>
      <w:r w:rsidR="00AE01CB" w:rsidRPr="007B4794">
        <w:rPr>
          <w:rFonts w:ascii="Arial" w:hAnsi="Arial" w:cs="Arial"/>
          <w:color w:val="000000" w:themeColor="text1"/>
          <w:sz w:val="21"/>
          <w:szCs w:val="21"/>
        </w:rPr>
        <w:t>。</w:t>
      </w:r>
    </w:p>
    <w:p w14:paraId="00EFFF95" w14:textId="77777777" w:rsidR="009A1352" w:rsidRPr="007B4794" w:rsidRDefault="009A1352" w:rsidP="009A1352">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1998</w:t>
      </w:r>
      <w:r w:rsidRPr="007B4794">
        <w:rPr>
          <w:rFonts w:ascii="Arial" w:hAnsi="Arial" w:cs="Arial"/>
          <w:color w:val="000000" w:themeColor="text1"/>
          <w:sz w:val="21"/>
          <w:szCs w:val="21"/>
        </w:rPr>
        <w:t>年</w:t>
      </w:r>
      <w:r w:rsidRPr="007B4794">
        <w:rPr>
          <w:rFonts w:ascii="Arial" w:hAnsi="Arial" w:cs="Arial"/>
          <w:color w:val="000000" w:themeColor="text1"/>
          <w:sz w:val="21"/>
          <w:szCs w:val="21"/>
        </w:rPr>
        <w:t>4</w:t>
      </w:r>
      <w:r w:rsidRPr="007B4794">
        <w:rPr>
          <w:rFonts w:ascii="Arial" w:hAnsi="Arial" w:cs="Arial"/>
          <w:color w:val="000000" w:themeColor="text1"/>
          <w:sz w:val="21"/>
          <w:szCs w:val="21"/>
        </w:rPr>
        <w:t>月，被漳州市政府命名</w:t>
      </w:r>
      <w:r w:rsidRPr="007B4794">
        <w:rPr>
          <w:rFonts w:ascii="Arial" w:hAnsi="Arial" w:cs="Arial"/>
          <w:color w:val="000000" w:themeColor="text1"/>
          <w:sz w:val="21"/>
          <w:szCs w:val="21"/>
        </w:rPr>
        <w:t>“</w:t>
      </w:r>
      <w:r w:rsidRPr="007B4794">
        <w:rPr>
          <w:rFonts w:ascii="Arial" w:hAnsi="Arial" w:cs="Arial"/>
          <w:color w:val="000000" w:themeColor="text1"/>
          <w:sz w:val="21"/>
          <w:szCs w:val="21"/>
        </w:rPr>
        <w:t>漳州市台商投资区</w:t>
      </w:r>
      <w:r w:rsidRPr="007B4794">
        <w:rPr>
          <w:rFonts w:ascii="Arial" w:hAnsi="Arial" w:cs="Arial"/>
          <w:color w:val="000000" w:themeColor="text1"/>
          <w:sz w:val="21"/>
          <w:szCs w:val="21"/>
        </w:rPr>
        <w:t>”</w:t>
      </w:r>
      <w:r w:rsidRPr="007B4794">
        <w:rPr>
          <w:rFonts w:ascii="Arial" w:hAnsi="Arial" w:cs="Arial"/>
          <w:color w:val="000000" w:themeColor="text1"/>
          <w:sz w:val="21"/>
          <w:szCs w:val="21"/>
        </w:rPr>
        <w:t>；</w:t>
      </w:r>
      <w:r w:rsidRPr="007B4794">
        <w:rPr>
          <w:rFonts w:ascii="Arial" w:hAnsi="Arial" w:cs="Arial"/>
          <w:color w:val="000000" w:themeColor="text1"/>
          <w:sz w:val="21"/>
          <w:szCs w:val="21"/>
        </w:rPr>
        <w:t>2003</w:t>
      </w:r>
      <w:r w:rsidRPr="007B4794">
        <w:rPr>
          <w:rFonts w:ascii="Arial" w:hAnsi="Arial" w:cs="Arial"/>
          <w:color w:val="000000" w:themeColor="text1"/>
          <w:sz w:val="21"/>
          <w:szCs w:val="21"/>
        </w:rPr>
        <w:t>年，漳州市启动国家级台商投资区申报工作；</w:t>
      </w:r>
      <w:r w:rsidRPr="007B4794">
        <w:rPr>
          <w:rFonts w:ascii="Arial" w:hAnsi="Arial" w:cs="Arial"/>
          <w:color w:val="000000" w:themeColor="text1"/>
          <w:sz w:val="21"/>
          <w:szCs w:val="21"/>
        </w:rPr>
        <w:t>2009</w:t>
      </w:r>
      <w:r w:rsidRPr="007B4794">
        <w:rPr>
          <w:rFonts w:ascii="Arial" w:hAnsi="Arial" w:cs="Arial"/>
          <w:color w:val="000000" w:themeColor="text1"/>
          <w:sz w:val="21"/>
          <w:szCs w:val="21"/>
        </w:rPr>
        <w:t>年</w:t>
      </w:r>
      <w:r w:rsidRPr="007B4794">
        <w:rPr>
          <w:rFonts w:ascii="Arial" w:hAnsi="Arial" w:cs="Arial"/>
          <w:color w:val="000000" w:themeColor="text1"/>
          <w:sz w:val="21"/>
          <w:szCs w:val="21"/>
        </w:rPr>
        <w:t>7</w:t>
      </w:r>
      <w:r w:rsidRPr="007B4794">
        <w:rPr>
          <w:rFonts w:ascii="Arial" w:hAnsi="Arial" w:cs="Arial"/>
          <w:color w:val="000000" w:themeColor="text1"/>
          <w:sz w:val="21"/>
          <w:szCs w:val="21"/>
        </w:rPr>
        <w:t>月，福建省委八届六次全会通过福建省贯彻落实《国务院关于支持福建加快建设海峡西岸经济区的若干意见》的实施意见，支持设立漳州台商投资区；</w:t>
      </w:r>
      <w:r w:rsidRPr="007B4794">
        <w:rPr>
          <w:rFonts w:ascii="Arial" w:hAnsi="Arial" w:cs="Arial"/>
          <w:color w:val="000000" w:themeColor="text1"/>
          <w:sz w:val="21"/>
          <w:szCs w:val="21"/>
        </w:rPr>
        <w:t>2009</w:t>
      </w:r>
      <w:r w:rsidRPr="007B4794">
        <w:rPr>
          <w:rFonts w:ascii="Arial" w:hAnsi="Arial" w:cs="Arial"/>
          <w:color w:val="000000" w:themeColor="text1"/>
          <w:sz w:val="21"/>
          <w:szCs w:val="21"/>
        </w:rPr>
        <w:t>年</w:t>
      </w:r>
      <w:r w:rsidRPr="007B4794">
        <w:rPr>
          <w:rFonts w:ascii="Arial" w:hAnsi="Arial" w:cs="Arial"/>
          <w:color w:val="000000" w:themeColor="text1"/>
          <w:sz w:val="21"/>
          <w:szCs w:val="21"/>
        </w:rPr>
        <w:t>9</w:t>
      </w:r>
      <w:r w:rsidRPr="007B4794">
        <w:rPr>
          <w:rFonts w:ascii="Arial" w:hAnsi="Arial" w:cs="Arial"/>
          <w:color w:val="000000" w:themeColor="text1"/>
          <w:sz w:val="21"/>
          <w:szCs w:val="21"/>
        </w:rPr>
        <w:t>月，漳州市政府向省政府提交设立漳州台商投资区的请示；</w:t>
      </w:r>
      <w:r w:rsidRPr="007B4794">
        <w:rPr>
          <w:rFonts w:ascii="Arial" w:hAnsi="Arial" w:cs="Arial"/>
          <w:color w:val="000000" w:themeColor="text1"/>
          <w:sz w:val="21"/>
          <w:szCs w:val="21"/>
        </w:rPr>
        <w:t>2009</w:t>
      </w:r>
      <w:r w:rsidRPr="007B4794">
        <w:rPr>
          <w:rFonts w:ascii="Arial" w:hAnsi="Arial" w:cs="Arial"/>
          <w:color w:val="000000" w:themeColor="text1"/>
          <w:sz w:val="21"/>
          <w:szCs w:val="21"/>
        </w:rPr>
        <w:t>年</w:t>
      </w:r>
      <w:r w:rsidRPr="007B4794">
        <w:rPr>
          <w:rFonts w:ascii="Arial" w:hAnsi="Arial" w:cs="Arial"/>
          <w:color w:val="000000" w:themeColor="text1"/>
          <w:sz w:val="21"/>
          <w:szCs w:val="21"/>
        </w:rPr>
        <w:t>10</w:t>
      </w:r>
      <w:r w:rsidRPr="007B4794">
        <w:rPr>
          <w:rFonts w:ascii="Arial" w:hAnsi="Arial" w:cs="Arial"/>
          <w:color w:val="000000" w:themeColor="text1"/>
          <w:sz w:val="21"/>
          <w:szCs w:val="21"/>
        </w:rPr>
        <w:t>月，福建省政府向国务院提交福建省人民政府关于设立漳州台商投资区的请示；</w:t>
      </w:r>
      <w:r w:rsidRPr="007B4794">
        <w:rPr>
          <w:rFonts w:ascii="Arial" w:hAnsi="Arial" w:cs="Arial"/>
          <w:color w:val="000000" w:themeColor="text1"/>
          <w:sz w:val="21"/>
          <w:szCs w:val="21"/>
        </w:rPr>
        <w:t>2010</w:t>
      </w:r>
      <w:r w:rsidRPr="007B4794">
        <w:rPr>
          <w:rFonts w:ascii="Arial" w:hAnsi="Arial" w:cs="Arial"/>
          <w:color w:val="000000" w:themeColor="text1"/>
          <w:sz w:val="21"/>
          <w:szCs w:val="21"/>
        </w:rPr>
        <w:t>年</w:t>
      </w:r>
      <w:r w:rsidRPr="007B4794">
        <w:rPr>
          <w:rFonts w:ascii="Arial" w:hAnsi="Arial" w:cs="Arial"/>
          <w:color w:val="000000" w:themeColor="text1"/>
          <w:sz w:val="21"/>
          <w:szCs w:val="21"/>
        </w:rPr>
        <w:t>12</w:t>
      </w:r>
      <w:r w:rsidRPr="007B4794">
        <w:rPr>
          <w:rFonts w:ascii="Arial" w:hAnsi="Arial" w:cs="Arial"/>
          <w:color w:val="000000" w:themeColor="text1"/>
          <w:sz w:val="21"/>
          <w:szCs w:val="21"/>
        </w:rPr>
        <w:t>月，商务部以商资发【</w:t>
      </w:r>
      <w:r w:rsidRPr="007B4794">
        <w:rPr>
          <w:rFonts w:ascii="Arial" w:hAnsi="Arial" w:cs="Arial"/>
          <w:color w:val="000000" w:themeColor="text1"/>
          <w:sz w:val="21"/>
          <w:szCs w:val="21"/>
        </w:rPr>
        <w:t>2010</w:t>
      </w:r>
      <w:r w:rsidRPr="007B4794">
        <w:rPr>
          <w:rFonts w:ascii="Arial" w:hAnsi="Arial" w:cs="Arial"/>
          <w:color w:val="000000" w:themeColor="text1"/>
          <w:sz w:val="21"/>
          <w:szCs w:val="21"/>
        </w:rPr>
        <w:t>】</w:t>
      </w:r>
      <w:r w:rsidRPr="007B4794">
        <w:rPr>
          <w:rFonts w:ascii="Arial" w:hAnsi="Arial" w:cs="Arial"/>
          <w:color w:val="000000" w:themeColor="text1"/>
          <w:sz w:val="21"/>
          <w:szCs w:val="21"/>
        </w:rPr>
        <w:t>507</w:t>
      </w:r>
      <w:r w:rsidRPr="007B4794">
        <w:rPr>
          <w:rFonts w:ascii="Arial" w:hAnsi="Arial" w:cs="Arial"/>
          <w:color w:val="000000" w:themeColor="text1"/>
          <w:sz w:val="21"/>
          <w:szCs w:val="21"/>
        </w:rPr>
        <w:t>号文上报国务院，建议设立漳州台商投资区；</w:t>
      </w:r>
      <w:r w:rsidRPr="007B4794">
        <w:rPr>
          <w:rFonts w:ascii="Arial" w:hAnsi="Arial" w:cs="Arial"/>
          <w:color w:val="000000" w:themeColor="text1"/>
          <w:sz w:val="21"/>
          <w:szCs w:val="21"/>
        </w:rPr>
        <w:t>2011</w:t>
      </w:r>
      <w:r w:rsidRPr="007B4794">
        <w:rPr>
          <w:rFonts w:ascii="Arial" w:hAnsi="Arial" w:cs="Arial"/>
          <w:color w:val="000000" w:themeColor="text1"/>
          <w:sz w:val="21"/>
          <w:szCs w:val="21"/>
        </w:rPr>
        <w:t>年</w:t>
      </w:r>
      <w:r w:rsidRPr="007B4794">
        <w:rPr>
          <w:rFonts w:ascii="Arial" w:hAnsi="Arial" w:cs="Arial"/>
          <w:color w:val="000000" w:themeColor="text1"/>
          <w:sz w:val="21"/>
          <w:szCs w:val="21"/>
        </w:rPr>
        <w:t>6</w:t>
      </w:r>
      <w:r w:rsidRPr="007B4794">
        <w:rPr>
          <w:rFonts w:ascii="Arial" w:hAnsi="Arial" w:cs="Arial"/>
          <w:color w:val="000000" w:themeColor="text1"/>
          <w:sz w:val="21"/>
          <w:szCs w:val="21"/>
        </w:rPr>
        <w:t>月，福建省委、省</w:t>
      </w:r>
      <w:r w:rsidRPr="007B4794">
        <w:rPr>
          <w:rFonts w:ascii="Arial" w:hAnsi="Arial" w:cs="Arial" w:hint="eastAsia"/>
          <w:color w:val="000000" w:themeColor="text1"/>
          <w:sz w:val="21"/>
          <w:szCs w:val="21"/>
        </w:rPr>
        <w:t>政府批准成立漳州台商投资区管理委员会；</w:t>
      </w:r>
      <w:r w:rsidRPr="007B4794">
        <w:rPr>
          <w:rFonts w:ascii="Arial" w:hAnsi="Arial" w:cs="Arial"/>
          <w:color w:val="000000" w:themeColor="text1"/>
          <w:sz w:val="21"/>
          <w:szCs w:val="21"/>
        </w:rPr>
        <w:t>2011</w:t>
      </w:r>
      <w:r w:rsidRPr="007B4794">
        <w:rPr>
          <w:rFonts w:ascii="Arial" w:hAnsi="Arial" w:cs="Arial"/>
          <w:color w:val="000000" w:themeColor="text1"/>
          <w:sz w:val="21"/>
          <w:szCs w:val="21"/>
        </w:rPr>
        <w:t>年</w:t>
      </w:r>
      <w:r w:rsidRPr="007B4794">
        <w:rPr>
          <w:rFonts w:ascii="Arial" w:hAnsi="Arial" w:cs="Arial"/>
          <w:color w:val="000000" w:themeColor="text1"/>
          <w:sz w:val="21"/>
          <w:szCs w:val="21"/>
        </w:rPr>
        <w:t>7</w:t>
      </w:r>
      <w:r w:rsidRPr="007B4794">
        <w:rPr>
          <w:rFonts w:ascii="Arial" w:hAnsi="Arial" w:cs="Arial"/>
          <w:color w:val="000000" w:themeColor="text1"/>
          <w:sz w:val="21"/>
          <w:szCs w:val="21"/>
        </w:rPr>
        <w:t>月，漳州市委批准成立漳州台商投资区党工委；</w:t>
      </w:r>
      <w:r w:rsidRPr="007B4794">
        <w:rPr>
          <w:rFonts w:ascii="Arial" w:hAnsi="Arial" w:cs="Arial"/>
          <w:color w:val="000000" w:themeColor="text1"/>
          <w:sz w:val="21"/>
          <w:szCs w:val="21"/>
        </w:rPr>
        <w:t>8</w:t>
      </w:r>
      <w:r w:rsidRPr="007B4794">
        <w:rPr>
          <w:rFonts w:ascii="Arial" w:hAnsi="Arial" w:cs="Arial"/>
          <w:color w:val="000000" w:themeColor="text1"/>
          <w:sz w:val="21"/>
          <w:szCs w:val="21"/>
        </w:rPr>
        <w:t>月，漳州台商投资区成立，直属漳州市人民政府管辖。</w:t>
      </w:r>
      <w:r w:rsidRPr="007B4794">
        <w:rPr>
          <w:rFonts w:ascii="Arial" w:hAnsi="Arial" w:cs="Arial"/>
          <w:color w:val="000000" w:themeColor="text1"/>
          <w:sz w:val="21"/>
          <w:szCs w:val="21"/>
        </w:rPr>
        <w:t>2012</w:t>
      </w:r>
      <w:r w:rsidRPr="007B4794">
        <w:rPr>
          <w:rFonts w:ascii="Arial" w:hAnsi="Arial" w:cs="Arial"/>
          <w:color w:val="000000" w:themeColor="text1"/>
          <w:sz w:val="21"/>
          <w:szCs w:val="21"/>
        </w:rPr>
        <w:t>年</w:t>
      </w:r>
      <w:r w:rsidRPr="007B4794">
        <w:rPr>
          <w:rFonts w:ascii="Arial" w:hAnsi="Arial" w:cs="Arial"/>
          <w:color w:val="000000" w:themeColor="text1"/>
          <w:sz w:val="21"/>
          <w:szCs w:val="21"/>
        </w:rPr>
        <w:t>1</w:t>
      </w:r>
      <w:r w:rsidRPr="007B4794">
        <w:rPr>
          <w:rFonts w:ascii="Arial" w:hAnsi="Arial" w:cs="Arial"/>
          <w:color w:val="000000" w:themeColor="text1"/>
          <w:sz w:val="21"/>
          <w:szCs w:val="21"/>
        </w:rPr>
        <w:t>月，国务院批准同意设立国家级漳州台商投资区。</w:t>
      </w:r>
    </w:p>
    <w:p w14:paraId="1CA89016" w14:textId="43AF4DD1" w:rsidR="00AE01CB" w:rsidRPr="007B4794" w:rsidRDefault="009A1352" w:rsidP="009A1352">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漳州台商投资区是福建省重点侨乡和台胞祖籍地之一。目前，在台湾及海外台侨胞达</w:t>
      </w:r>
      <w:r w:rsidRPr="007B4794">
        <w:rPr>
          <w:rFonts w:ascii="Arial" w:hAnsi="Arial" w:cs="Arial"/>
          <w:color w:val="000000" w:themeColor="text1"/>
          <w:sz w:val="21"/>
          <w:szCs w:val="21"/>
        </w:rPr>
        <w:t>4</w:t>
      </w:r>
      <w:r w:rsidRPr="007B4794">
        <w:rPr>
          <w:rFonts w:ascii="Arial" w:hAnsi="Arial" w:cs="Arial"/>
          <w:color w:val="000000" w:themeColor="text1"/>
          <w:sz w:val="21"/>
          <w:szCs w:val="21"/>
        </w:rPr>
        <w:t>万多人，分布于</w:t>
      </w:r>
      <w:r w:rsidRPr="007B4794">
        <w:rPr>
          <w:rFonts w:ascii="Arial" w:hAnsi="Arial" w:cs="Arial"/>
          <w:color w:val="000000" w:themeColor="text1"/>
          <w:sz w:val="21"/>
          <w:szCs w:val="21"/>
        </w:rPr>
        <w:t>21</w:t>
      </w:r>
      <w:r w:rsidRPr="007B4794">
        <w:rPr>
          <w:rFonts w:ascii="Arial" w:hAnsi="Arial" w:cs="Arial"/>
          <w:color w:val="000000" w:themeColor="text1"/>
          <w:sz w:val="21"/>
          <w:szCs w:val="21"/>
        </w:rPr>
        <w:t>个国家和地区。与台湾有着地缘、血缘、方言等自然历史渊源深厚，是台湾政要王金平、林洋港的祖籍地。区内名胜古迹、休闲胜地众多。拥有台胞朝圣地</w:t>
      </w:r>
      <w:r w:rsidRPr="007B4794">
        <w:rPr>
          <w:rFonts w:ascii="Arial" w:hAnsi="Arial" w:cs="Arial"/>
          <w:color w:val="000000" w:themeColor="text1"/>
          <w:sz w:val="21"/>
          <w:szCs w:val="21"/>
        </w:rPr>
        <w:t>“</w:t>
      </w:r>
      <w:r w:rsidRPr="007B4794">
        <w:rPr>
          <w:rFonts w:ascii="Arial" w:hAnsi="Arial" w:cs="Arial"/>
          <w:color w:val="000000" w:themeColor="text1"/>
          <w:sz w:val="21"/>
          <w:szCs w:val="21"/>
        </w:rPr>
        <w:t>闽台保生大帝祖庙白礁慈济宫</w:t>
      </w:r>
      <w:r w:rsidRPr="007B4794">
        <w:rPr>
          <w:rFonts w:ascii="Arial" w:hAnsi="Arial" w:cs="Arial"/>
          <w:color w:val="000000" w:themeColor="text1"/>
          <w:sz w:val="21"/>
          <w:szCs w:val="21"/>
        </w:rPr>
        <w:t>”</w:t>
      </w:r>
      <w:r w:rsidRPr="007B4794">
        <w:rPr>
          <w:rFonts w:ascii="Arial" w:hAnsi="Arial" w:cs="Arial"/>
          <w:color w:val="000000" w:themeColor="text1"/>
          <w:sz w:val="21"/>
          <w:szCs w:val="21"/>
        </w:rPr>
        <w:t>、世界最大的石梁桥</w:t>
      </w:r>
      <w:r w:rsidRPr="007B4794">
        <w:rPr>
          <w:rFonts w:ascii="Arial" w:hAnsi="Arial" w:cs="Arial"/>
          <w:color w:val="000000" w:themeColor="text1"/>
          <w:sz w:val="21"/>
          <w:szCs w:val="21"/>
        </w:rPr>
        <w:t>“</w:t>
      </w:r>
      <w:r w:rsidRPr="007B4794">
        <w:rPr>
          <w:rFonts w:ascii="Arial" w:hAnsi="Arial" w:cs="Arial"/>
          <w:color w:val="000000" w:themeColor="text1"/>
          <w:sz w:val="21"/>
          <w:szCs w:val="21"/>
        </w:rPr>
        <w:t>宋代江东桥</w:t>
      </w:r>
      <w:r w:rsidRPr="007B4794">
        <w:rPr>
          <w:rFonts w:ascii="Arial" w:hAnsi="Arial" w:cs="Arial"/>
          <w:color w:val="000000" w:themeColor="text1"/>
          <w:sz w:val="21"/>
          <w:szCs w:val="21"/>
        </w:rPr>
        <w:t>”</w:t>
      </w:r>
      <w:r w:rsidRPr="007B4794">
        <w:rPr>
          <w:rFonts w:ascii="Arial" w:hAnsi="Arial" w:cs="Arial"/>
          <w:color w:val="000000" w:themeColor="text1"/>
          <w:sz w:val="21"/>
          <w:szCs w:val="21"/>
        </w:rPr>
        <w:t>和清代历史名庄</w:t>
      </w:r>
      <w:r w:rsidRPr="007B4794">
        <w:rPr>
          <w:rFonts w:ascii="Arial" w:hAnsi="Arial" w:cs="Arial"/>
          <w:color w:val="000000" w:themeColor="text1"/>
          <w:sz w:val="21"/>
          <w:szCs w:val="21"/>
        </w:rPr>
        <w:t>“</w:t>
      </w:r>
      <w:r w:rsidRPr="007B4794">
        <w:rPr>
          <w:rFonts w:ascii="Arial" w:hAnsi="Arial" w:cs="Arial"/>
          <w:color w:val="000000" w:themeColor="text1"/>
          <w:sz w:val="21"/>
          <w:szCs w:val="21"/>
        </w:rPr>
        <w:t>林氏义庄</w:t>
      </w:r>
      <w:r w:rsidRPr="007B4794">
        <w:rPr>
          <w:rFonts w:ascii="Arial" w:hAnsi="Arial" w:cs="Arial"/>
          <w:color w:val="000000" w:themeColor="text1"/>
          <w:sz w:val="21"/>
          <w:szCs w:val="21"/>
        </w:rPr>
        <w:t>”</w:t>
      </w:r>
      <w:r w:rsidRPr="007B4794">
        <w:rPr>
          <w:rFonts w:ascii="Arial" w:hAnsi="Arial" w:cs="Arial"/>
          <w:color w:val="000000" w:themeColor="text1"/>
          <w:sz w:val="21"/>
          <w:szCs w:val="21"/>
        </w:rPr>
        <w:t>以及中国最早、规模最大、影响最广的民间邮局</w:t>
      </w:r>
      <w:r w:rsidRPr="007B4794">
        <w:rPr>
          <w:rFonts w:ascii="Arial" w:hAnsi="Arial" w:cs="Arial"/>
          <w:color w:val="000000" w:themeColor="text1"/>
          <w:sz w:val="21"/>
          <w:szCs w:val="21"/>
        </w:rPr>
        <w:t>“</w:t>
      </w:r>
      <w:r w:rsidRPr="007B4794">
        <w:rPr>
          <w:rFonts w:ascii="Arial" w:hAnsi="Arial" w:cs="Arial"/>
          <w:color w:val="000000" w:themeColor="text1"/>
          <w:sz w:val="21"/>
          <w:szCs w:val="21"/>
        </w:rPr>
        <w:t>天一总局</w:t>
      </w:r>
      <w:r w:rsidRPr="007B4794">
        <w:rPr>
          <w:rFonts w:ascii="Arial" w:hAnsi="Arial" w:cs="Arial"/>
          <w:color w:val="000000" w:themeColor="text1"/>
          <w:sz w:val="21"/>
          <w:szCs w:val="21"/>
        </w:rPr>
        <w:t>”</w:t>
      </w:r>
      <w:r w:rsidRPr="007B4794">
        <w:rPr>
          <w:rFonts w:ascii="Arial" w:hAnsi="Arial" w:cs="Arial"/>
          <w:color w:val="000000" w:themeColor="text1"/>
          <w:sz w:val="21"/>
          <w:szCs w:val="21"/>
        </w:rPr>
        <w:t>等四个国家级文化保护单位，有</w:t>
      </w:r>
      <w:r w:rsidRPr="007B4794">
        <w:rPr>
          <w:rFonts w:ascii="Arial" w:hAnsi="Arial" w:cs="Arial"/>
          <w:color w:val="000000" w:themeColor="text1"/>
          <w:sz w:val="21"/>
          <w:szCs w:val="21"/>
        </w:rPr>
        <w:t>1500</w:t>
      </w:r>
      <w:r w:rsidRPr="007B4794">
        <w:rPr>
          <w:rFonts w:ascii="Arial" w:hAnsi="Arial" w:cs="Arial"/>
          <w:color w:val="000000" w:themeColor="text1"/>
          <w:sz w:val="21"/>
          <w:szCs w:val="21"/>
        </w:rPr>
        <w:t>年历史的千年古刹文圃龙池岩寺和朱熹讲学遗址等名胜古迹，以及十八世纪清代世界首富、漳州海商风云人物潘振承的</w:t>
      </w:r>
      <w:r w:rsidRPr="007B4794">
        <w:rPr>
          <w:rFonts w:ascii="Arial" w:hAnsi="Arial" w:cs="Arial" w:hint="eastAsia"/>
          <w:color w:val="000000" w:themeColor="text1"/>
          <w:sz w:val="21"/>
          <w:szCs w:val="21"/>
        </w:rPr>
        <w:t>故居“潘厝”、世界糖王郭春秧的故居“辽东社”、菲律宾前总统科拉松·阿基诺祖籍地鸿渐“吕宋村”、明代郑和庙和国家</w:t>
      </w:r>
      <w:r w:rsidRPr="007B4794">
        <w:rPr>
          <w:rFonts w:ascii="Arial" w:hAnsi="Arial" w:cs="Arial"/>
          <w:color w:val="000000" w:themeColor="text1"/>
          <w:sz w:val="21"/>
          <w:szCs w:val="21"/>
        </w:rPr>
        <w:t>4A</w:t>
      </w:r>
      <w:r w:rsidRPr="007B4794">
        <w:rPr>
          <w:rFonts w:ascii="Arial" w:hAnsi="Arial" w:cs="Arial"/>
          <w:color w:val="000000" w:themeColor="text1"/>
          <w:sz w:val="21"/>
          <w:szCs w:val="21"/>
        </w:rPr>
        <w:t>级旅游</w:t>
      </w:r>
      <w:r w:rsidRPr="007B4794">
        <w:rPr>
          <w:rFonts w:ascii="Arial" w:hAnsi="Arial" w:cs="Arial"/>
          <w:color w:val="000000" w:themeColor="text1"/>
          <w:sz w:val="21"/>
          <w:szCs w:val="21"/>
        </w:rPr>
        <w:lastRenderedPageBreak/>
        <w:t>景区龙佳生态温泉山庄以及龙泉谷休闲山庄等一批旅游景点，旅游资源丰富，人文积淀深厚</w:t>
      </w:r>
      <w:r w:rsidR="00AE01CB" w:rsidRPr="007B4794">
        <w:rPr>
          <w:rFonts w:ascii="Arial" w:hAnsi="Arial" w:cs="Arial" w:hint="eastAsia"/>
          <w:color w:val="000000" w:themeColor="text1"/>
          <w:sz w:val="21"/>
          <w:szCs w:val="21"/>
        </w:rPr>
        <w:t>。</w:t>
      </w:r>
    </w:p>
    <w:p w14:paraId="374926F0" w14:textId="2C4D0034" w:rsidR="009A1352" w:rsidRPr="007B4794" w:rsidRDefault="009A1352" w:rsidP="009A1352">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区内主要道路交通网络四通八达，供电、给水、污水处理等设施完善。国道</w:t>
      </w:r>
      <w:r w:rsidRPr="007B4794">
        <w:rPr>
          <w:rFonts w:ascii="Arial" w:hAnsi="Arial" w:cs="Arial"/>
          <w:color w:val="000000" w:themeColor="text1"/>
          <w:sz w:val="21"/>
          <w:szCs w:val="21"/>
        </w:rPr>
        <w:t>324</w:t>
      </w:r>
      <w:r w:rsidRPr="007B4794">
        <w:rPr>
          <w:rFonts w:ascii="Arial" w:hAnsi="Arial" w:cs="Arial"/>
          <w:color w:val="000000" w:themeColor="text1"/>
          <w:sz w:val="21"/>
          <w:szCs w:val="21"/>
        </w:rPr>
        <w:t>、</w:t>
      </w:r>
      <w:r w:rsidRPr="007B4794">
        <w:rPr>
          <w:rFonts w:ascii="Arial" w:hAnsi="Arial" w:cs="Arial"/>
          <w:color w:val="000000" w:themeColor="text1"/>
          <w:sz w:val="21"/>
          <w:szCs w:val="21"/>
        </w:rPr>
        <w:t>319</w:t>
      </w:r>
      <w:r w:rsidRPr="007B4794">
        <w:rPr>
          <w:rFonts w:ascii="Arial" w:hAnsi="Arial" w:cs="Arial"/>
          <w:color w:val="000000" w:themeColor="text1"/>
          <w:sz w:val="21"/>
          <w:szCs w:val="21"/>
        </w:rPr>
        <w:t>线，沈海、厦成高速公路，福广高速（沈海复线）、鹰厦铁路、龙厦、厦深高铁、厦漳跨海大桥以及建设中的厦漳城际轻轨、厦漳同城大道均横贯全区。区内城市快速路、主干（次）路等数十条路网全面覆盖，全区形成了</w:t>
      </w:r>
      <w:r w:rsidRPr="007B4794">
        <w:rPr>
          <w:rFonts w:ascii="Arial" w:hAnsi="Arial" w:cs="Arial"/>
          <w:color w:val="000000" w:themeColor="text1"/>
          <w:sz w:val="21"/>
          <w:szCs w:val="21"/>
        </w:rPr>
        <w:t>“</w:t>
      </w:r>
      <w:r w:rsidRPr="007B4794">
        <w:rPr>
          <w:rFonts w:ascii="Arial" w:hAnsi="Arial" w:cs="Arial"/>
          <w:color w:val="000000" w:themeColor="text1"/>
          <w:sz w:val="21"/>
          <w:szCs w:val="21"/>
        </w:rPr>
        <w:t>五横七纵</w:t>
      </w:r>
      <w:r w:rsidRPr="007B4794">
        <w:rPr>
          <w:rFonts w:ascii="Arial" w:hAnsi="Arial" w:cs="Arial"/>
          <w:color w:val="000000" w:themeColor="text1"/>
          <w:sz w:val="21"/>
          <w:szCs w:val="21"/>
        </w:rPr>
        <w:t>”</w:t>
      </w:r>
      <w:r w:rsidRPr="007B4794">
        <w:rPr>
          <w:rFonts w:ascii="Arial" w:hAnsi="Arial" w:cs="Arial"/>
          <w:color w:val="000000" w:themeColor="text1"/>
          <w:sz w:val="21"/>
          <w:szCs w:val="21"/>
        </w:rPr>
        <w:t>大交通格局。已建成</w:t>
      </w:r>
      <w:r w:rsidRPr="007B4794">
        <w:rPr>
          <w:rFonts w:ascii="Arial" w:hAnsi="Arial" w:cs="Arial"/>
          <w:color w:val="000000" w:themeColor="text1"/>
          <w:sz w:val="21"/>
          <w:szCs w:val="21"/>
        </w:rPr>
        <w:t>2</w:t>
      </w:r>
      <w:r w:rsidRPr="007B4794">
        <w:rPr>
          <w:rFonts w:ascii="Arial" w:hAnsi="Arial" w:cs="Arial"/>
          <w:color w:val="000000" w:themeColor="text1"/>
          <w:sz w:val="21"/>
          <w:szCs w:val="21"/>
        </w:rPr>
        <w:t>座日供</w:t>
      </w:r>
      <w:r w:rsidRPr="007B4794">
        <w:rPr>
          <w:rFonts w:ascii="Arial" w:hAnsi="Arial" w:cs="Arial"/>
          <w:color w:val="000000" w:themeColor="text1"/>
          <w:sz w:val="21"/>
          <w:szCs w:val="21"/>
        </w:rPr>
        <w:t>10.75</w:t>
      </w:r>
      <w:r w:rsidRPr="007B4794">
        <w:rPr>
          <w:rFonts w:ascii="Arial" w:hAnsi="Arial" w:cs="Arial"/>
          <w:color w:val="000000" w:themeColor="text1"/>
          <w:sz w:val="21"/>
          <w:szCs w:val="21"/>
        </w:rPr>
        <w:t>万吨的自来水厂、</w:t>
      </w:r>
      <w:r w:rsidRPr="007B4794">
        <w:rPr>
          <w:rFonts w:ascii="Arial" w:hAnsi="Arial" w:cs="Arial"/>
          <w:color w:val="000000" w:themeColor="text1"/>
          <w:sz w:val="21"/>
          <w:szCs w:val="21"/>
        </w:rPr>
        <w:t>3</w:t>
      </w:r>
      <w:r w:rsidRPr="007B4794">
        <w:rPr>
          <w:rFonts w:ascii="Arial" w:hAnsi="Arial" w:cs="Arial"/>
          <w:color w:val="000000" w:themeColor="text1"/>
          <w:sz w:val="21"/>
          <w:szCs w:val="21"/>
        </w:rPr>
        <w:t>座日处理能力总量达</w:t>
      </w:r>
      <w:r w:rsidRPr="007B4794">
        <w:rPr>
          <w:rFonts w:ascii="Arial" w:hAnsi="Arial" w:cs="Arial"/>
          <w:color w:val="000000" w:themeColor="text1"/>
          <w:sz w:val="21"/>
          <w:szCs w:val="21"/>
        </w:rPr>
        <w:t>8.5</w:t>
      </w:r>
      <w:r w:rsidRPr="007B4794">
        <w:rPr>
          <w:rFonts w:ascii="Arial" w:hAnsi="Arial" w:cs="Arial"/>
          <w:color w:val="000000" w:themeColor="text1"/>
          <w:sz w:val="21"/>
          <w:szCs w:val="21"/>
        </w:rPr>
        <w:t>万吨的污水处理厂、</w:t>
      </w:r>
      <w:r w:rsidRPr="007B4794">
        <w:rPr>
          <w:rFonts w:ascii="Arial" w:hAnsi="Arial" w:cs="Arial"/>
          <w:color w:val="000000" w:themeColor="text1"/>
          <w:sz w:val="21"/>
          <w:szCs w:val="21"/>
        </w:rPr>
        <w:t>1</w:t>
      </w:r>
      <w:r w:rsidRPr="007B4794">
        <w:rPr>
          <w:rFonts w:ascii="Arial" w:hAnsi="Arial" w:cs="Arial"/>
          <w:color w:val="000000" w:themeColor="text1"/>
          <w:sz w:val="21"/>
          <w:szCs w:val="21"/>
        </w:rPr>
        <w:t>座垃圾无害化填埋场，以及</w:t>
      </w:r>
      <w:r w:rsidRPr="007B4794">
        <w:rPr>
          <w:rFonts w:ascii="Arial" w:hAnsi="Arial" w:cs="Arial"/>
          <w:color w:val="000000" w:themeColor="text1"/>
          <w:sz w:val="21"/>
          <w:szCs w:val="21"/>
        </w:rPr>
        <w:t>2</w:t>
      </w:r>
      <w:r w:rsidRPr="007B4794">
        <w:rPr>
          <w:rFonts w:ascii="Arial" w:hAnsi="Arial" w:cs="Arial"/>
          <w:color w:val="000000" w:themeColor="text1"/>
          <w:sz w:val="21"/>
          <w:szCs w:val="21"/>
        </w:rPr>
        <w:t>座</w:t>
      </w:r>
      <w:r w:rsidRPr="007B4794">
        <w:rPr>
          <w:rFonts w:ascii="Arial" w:hAnsi="Arial" w:cs="Arial"/>
          <w:color w:val="000000" w:themeColor="text1"/>
          <w:sz w:val="21"/>
          <w:szCs w:val="21"/>
        </w:rPr>
        <w:t>22</w:t>
      </w:r>
      <w:r w:rsidRPr="007B4794">
        <w:rPr>
          <w:rFonts w:ascii="Arial" w:hAnsi="Arial" w:cs="Arial"/>
          <w:color w:val="000000" w:themeColor="text1"/>
          <w:sz w:val="21"/>
          <w:szCs w:val="21"/>
        </w:rPr>
        <w:t>万伏、</w:t>
      </w:r>
      <w:r w:rsidRPr="007B4794">
        <w:rPr>
          <w:rFonts w:ascii="Arial" w:hAnsi="Arial" w:cs="Arial"/>
          <w:color w:val="000000" w:themeColor="text1"/>
          <w:sz w:val="21"/>
          <w:szCs w:val="21"/>
        </w:rPr>
        <w:t>3</w:t>
      </w:r>
      <w:r w:rsidRPr="007B4794">
        <w:rPr>
          <w:rFonts w:ascii="Arial" w:hAnsi="Arial" w:cs="Arial"/>
          <w:color w:val="000000" w:themeColor="text1"/>
          <w:sz w:val="21"/>
          <w:szCs w:val="21"/>
        </w:rPr>
        <w:t>座</w:t>
      </w:r>
      <w:r w:rsidRPr="007B4794">
        <w:rPr>
          <w:rFonts w:ascii="Arial" w:hAnsi="Arial" w:cs="Arial"/>
          <w:color w:val="000000" w:themeColor="text1"/>
          <w:sz w:val="21"/>
          <w:szCs w:val="21"/>
        </w:rPr>
        <w:t>11</w:t>
      </w:r>
      <w:r w:rsidRPr="007B4794">
        <w:rPr>
          <w:rFonts w:ascii="Arial" w:hAnsi="Arial" w:cs="Arial"/>
          <w:color w:val="000000" w:themeColor="text1"/>
          <w:sz w:val="21"/>
          <w:szCs w:val="21"/>
        </w:rPr>
        <w:t>万伏、</w:t>
      </w:r>
      <w:r w:rsidRPr="007B4794">
        <w:rPr>
          <w:rFonts w:ascii="Arial" w:hAnsi="Arial" w:cs="Arial"/>
          <w:color w:val="000000" w:themeColor="text1"/>
          <w:sz w:val="21"/>
          <w:szCs w:val="21"/>
        </w:rPr>
        <w:t>1</w:t>
      </w:r>
      <w:r w:rsidRPr="007B4794">
        <w:rPr>
          <w:rFonts w:ascii="Arial" w:hAnsi="Arial" w:cs="Arial"/>
          <w:color w:val="000000" w:themeColor="text1"/>
          <w:sz w:val="21"/>
          <w:szCs w:val="21"/>
        </w:rPr>
        <w:t>座</w:t>
      </w:r>
      <w:r w:rsidRPr="007B4794">
        <w:rPr>
          <w:rFonts w:ascii="Arial" w:hAnsi="Arial" w:cs="Arial"/>
          <w:color w:val="000000" w:themeColor="text1"/>
          <w:sz w:val="21"/>
          <w:szCs w:val="21"/>
        </w:rPr>
        <w:t>3.5</w:t>
      </w:r>
      <w:r w:rsidRPr="007B4794">
        <w:rPr>
          <w:rFonts w:ascii="Arial" w:hAnsi="Arial" w:cs="Arial"/>
          <w:color w:val="000000" w:themeColor="text1"/>
          <w:sz w:val="21"/>
          <w:szCs w:val="21"/>
        </w:rPr>
        <w:t>万伏输变电站；区内海岸线长</w:t>
      </w:r>
      <w:r w:rsidRPr="007B4794">
        <w:rPr>
          <w:rFonts w:ascii="Arial" w:hAnsi="Arial" w:cs="Arial"/>
          <w:color w:val="000000" w:themeColor="text1"/>
          <w:sz w:val="21"/>
          <w:szCs w:val="21"/>
        </w:rPr>
        <w:t>3.5</w:t>
      </w:r>
      <w:r w:rsidRPr="007B4794">
        <w:rPr>
          <w:rFonts w:ascii="Arial" w:hAnsi="Arial" w:cs="Arial"/>
          <w:color w:val="000000" w:themeColor="text1"/>
          <w:sz w:val="21"/>
          <w:szCs w:val="21"/>
        </w:rPr>
        <w:t>公里，可建设万吨级以上泊位</w:t>
      </w:r>
      <w:r w:rsidRPr="007B4794">
        <w:rPr>
          <w:rFonts w:ascii="Arial" w:hAnsi="Arial" w:cs="Arial"/>
          <w:color w:val="000000" w:themeColor="text1"/>
          <w:sz w:val="21"/>
          <w:szCs w:val="21"/>
        </w:rPr>
        <w:t>16</w:t>
      </w:r>
      <w:r w:rsidRPr="007B4794">
        <w:rPr>
          <w:rFonts w:ascii="Arial" w:hAnsi="Arial" w:cs="Arial"/>
          <w:color w:val="000000" w:themeColor="text1"/>
          <w:sz w:val="21"/>
          <w:szCs w:val="21"/>
        </w:rPr>
        <w:t>个，</w:t>
      </w:r>
      <w:r w:rsidRPr="007B4794">
        <w:rPr>
          <w:rFonts w:ascii="Arial" w:hAnsi="Arial" w:cs="Arial" w:hint="eastAsia"/>
          <w:color w:val="000000" w:themeColor="text1"/>
          <w:sz w:val="21"/>
          <w:szCs w:val="21"/>
        </w:rPr>
        <w:t>目前在建</w:t>
      </w:r>
      <w:r w:rsidRPr="007B4794">
        <w:rPr>
          <w:rFonts w:ascii="Arial" w:hAnsi="Arial" w:cs="Arial"/>
          <w:color w:val="000000" w:themeColor="text1"/>
          <w:sz w:val="21"/>
          <w:szCs w:val="21"/>
        </w:rPr>
        <w:t>2</w:t>
      </w:r>
      <w:r w:rsidRPr="007B4794">
        <w:rPr>
          <w:rFonts w:ascii="Arial" w:hAnsi="Arial" w:cs="Arial"/>
          <w:color w:val="000000" w:themeColor="text1"/>
          <w:sz w:val="21"/>
          <w:szCs w:val="21"/>
        </w:rPr>
        <w:t>个</w:t>
      </w:r>
      <w:r w:rsidRPr="007B4794">
        <w:rPr>
          <w:rFonts w:ascii="Arial" w:hAnsi="Arial" w:cs="Arial"/>
          <w:color w:val="000000" w:themeColor="text1"/>
          <w:sz w:val="21"/>
          <w:szCs w:val="21"/>
        </w:rPr>
        <w:t>3.5</w:t>
      </w:r>
      <w:r w:rsidRPr="007B4794">
        <w:rPr>
          <w:rFonts w:ascii="Arial" w:hAnsi="Arial" w:cs="Arial"/>
          <w:color w:val="000000" w:themeColor="text1"/>
          <w:sz w:val="21"/>
          <w:szCs w:val="21"/>
        </w:rPr>
        <w:t>万吨级码头泊位，是厦门港海沧港区的重要组成部分，也是闽东南重要的水陆交通枢纽；区内拥有</w:t>
      </w:r>
      <w:r w:rsidRPr="007B4794">
        <w:rPr>
          <w:rFonts w:ascii="Arial" w:hAnsi="Arial" w:cs="Arial"/>
          <w:color w:val="000000" w:themeColor="text1"/>
          <w:sz w:val="21"/>
          <w:szCs w:val="21"/>
        </w:rPr>
        <w:t>7</w:t>
      </w:r>
      <w:r w:rsidRPr="007B4794">
        <w:rPr>
          <w:rFonts w:ascii="Arial" w:hAnsi="Arial" w:cs="Arial"/>
          <w:color w:val="000000" w:themeColor="text1"/>
          <w:sz w:val="21"/>
          <w:szCs w:val="21"/>
        </w:rPr>
        <w:t>所中学、</w:t>
      </w:r>
      <w:r w:rsidRPr="007B4794">
        <w:rPr>
          <w:rFonts w:ascii="Arial" w:hAnsi="Arial" w:cs="Arial"/>
          <w:color w:val="000000" w:themeColor="text1"/>
          <w:sz w:val="21"/>
          <w:szCs w:val="21"/>
        </w:rPr>
        <w:t>38</w:t>
      </w:r>
      <w:r w:rsidRPr="007B4794">
        <w:rPr>
          <w:rFonts w:ascii="Arial" w:hAnsi="Arial" w:cs="Arial"/>
          <w:color w:val="000000" w:themeColor="text1"/>
          <w:sz w:val="21"/>
          <w:szCs w:val="21"/>
        </w:rPr>
        <w:t>所小学、</w:t>
      </w:r>
      <w:r w:rsidRPr="007B4794">
        <w:rPr>
          <w:rFonts w:ascii="Arial" w:hAnsi="Arial" w:cs="Arial"/>
          <w:color w:val="000000" w:themeColor="text1"/>
          <w:sz w:val="21"/>
          <w:szCs w:val="21"/>
        </w:rPr>
        <w:t>2</w:t>
      </w:r>
      <w:r w:rsidRPr="007B4794">
        <w:rPr>
          <w:rFonts w:ascii="Arial" w:hAnsi="Arial" w:cs="Arial"/>
          <w:color w:val="000000" w:themeColor="text1"/>
          <w:sz w:val="21"/>
          <w:szCs w:val="21"/>
        </w:rPr>
        <w:t>座公园、</w:t>
      </w:r>
      <w:r w:rsidRPr="007B4794">
        <w:rPr>
          <w:rFonts w:ascii="Arial" w:hAnsi="Arial" w:cs="Arial"/>
          <w:color w:val="000000" w:themeColor="text1"/>
          <w:sz w:val="21"/>
          <w:szCs w:val="21"/>
        </w:rPr>
        <w:t>4</w:t>
      </w:r>
      <w:r w:rsidRPr="007B4794">
        <w:rPr>
          <w:rFonts w:ascii="Arial" w:hAnsi="Arial" w:cs="Arial"/>
          <w:color w:val="000000" w:themeColor="text1"/>
          <w:sz w:val="21"/>
          <w:szCs w:val="21"/>
        </w:rPr>
        <w:t>处高档次的温泉休闲健身馆，医院、星级酒店、购物商场、休闲娱乐场所等公共配套一应俱全，生活住宅小区品位高尚，城镇功能完备，服务机构完整，服务体系完善。其中，总投资</w:t>
      </w:r>
      <w:r w:rsidRPr="007B4794">
        <w:rPr>
          <w:rFonts w:ascii="Arial" w:hAnsi="Arial" w:cs="Arial"/>
          <w:color w:val="000000" w:themeColor="text1"/>
          <w:sz w:val="21"/>
          <w:szCs w:val="21"/>
        </w:rPr>
        <w:t>2.3</w:t>
      </w:r>
      <w:r w:rsidRPr="007B4794">
        <w:rPr>
          <w:rFonts w:ascii="Arial" w:hAnsi="Arial" w:cs="Arial"/>
          <w:color w:val="000000" w:themeColor="text1"/>
          <w:sz w:val="21"/>
          <w:szCs w:val="21"/>
        </w:rPr>
        <w:t>亿元的厦门双十中学漳州分校已顺利投入使用；总投资</w:t>
      </w:r>
      <w:r w:rsidRPr="007B4794">
        <w:rPr>
          <w:rFonts w:ascii="Arial" w:hAnsi="Arial" w:cs="Arial"/>
          <w:color w:val="000000" w:themeColor="text1"/>
          <w:sz w:val="21"/>
          <w:szCs w:val="21"/>
        </w:rPr>
        <w:t>3</w:t>
      </w:r>
      <w:r w:rsidRPr="007B4794">
        <w:rPr>
          <w:rFonts w:ascii="Arial" w:hAnsi="Arial" w:cs="Arial"/>
          <w:color w:val="000000" w:themeColor="text1"/>
          <w:sz w:val="21"/>
          <w:szCs w:val="21"/>
        </w:rPr>
        <w:t>亿元的漳州市第五医院医疗综合大楼正在加快建设。圣地亚哥、龙泉华庭、天翔世家等一批品位高端生活住宅小区，成为厦、漳两地市民的居家选择。核心区内万达广场、万益广场</w:t>
      </w:r>
      <w:r w:rsidRPr="007B4794">
        <w:rPr>
          <w:rFonts w:ascii="Arial" w:hAnsi="Arial" w:cs="Arial" w:hint="eastAsia"/>
          <w:color w:val="000000" w:themeColor="text1"/>
          <w:sz w:val="21"/>
          <w:szCs w:val="21"/>
        </w:rPr>
        <w:t>、中骏四季阳光、富雅国际、水岸新城、龙江国际大酒店、龙佳温泉大酒店等总投资额</w:t>
      </w:r>
      <w:r w:rsidRPr="007B4794">
        <w:rPr>
          <w:rFonts w:ascii="Arial" w:hAnsi="Arial" w:cs="Arial"/>
          <w:color w:val="000000" w:themeColor="text1"/>
          <w:sz w:val="21"/>
          <w:szCs w:val="21"/>
        </w:rPr>
        <w:t>270</w:t>
      </w:r>
      <w:r w:rsidRPr="007B4794">
        <w:rPr>
          <w:rFonts w:ascii="Arial" w:hAnsi="Arial" w:cs="Arial"/>
          <w:color w:val="000000" w:themeColor="text1"/>
          <w:sz w:val="21"/>
          <w:szCs w:val="21"/>
        </w:rPr>
        <w:t>亿元的</w:t>
      </w:r>
      <w:r w:rsidRPr="007B4794">
        <w:rPr>
          <w:rFonts w:ascii="Arial" w:hAnsi="Arial" w:cs="Arial"/>
          <w:color w:val="000000" w:themeColor="text1"/>
          <w:sz w:val="21"/>
          <w:szCs w:val="21"/>
        </w:rPr>
        <w:t>23</w:t>
      </w:r>
      <w:r w:rsidRPr="007B4794">
        <w:rPr>
          <w:rFonts w:ascii="Arial" w:hAnsi="Arial" w:cs="Arial"/>
          <w:color w:val="000000" w:themeColor="text1"/>
          <w:sz w:val="21"/>
          <w:szCs w:val="21"/>
        </w:rPr>
        <w:t>个城市综合体和房地产项目正紧锣密鼓建设中，今明两年内均可建成投入使用。其中，总投资</w:t>
      </w:r>
      <w:r w:rsidRPr="007B4794">
        <w:rPr>
          <w:rFonts w:ascii="Arial" w:hAnsi="Arial" w:cs="Arial"/>
          <w:color w:val="000000" w:themeColor="text1"/>
          <w:sz w:val="21"/>
          <w:szCs w:val="21"/>
        </w:rPr>
        <w:t>1.2</w:t>
      </w:r>
      <w:r w:rsidRPr="007B4794">
        <w:rPr>
          <w:rFonts w:ascii="Arial" w:hAnsi="Arial" w:cs="Arial"/>
          <w:color w:val="000000" w:themeColor="text1"/>
          <w:sz w:val="21"/>
          <w:szCs w:val="21"/>
        </w:rPr>
        <w:t>亿元的多棱高星级温泉酒店已于今年元月份开始投入运营；总投资</w:t>
      </w:r>
      <w:r w:rsidRPr="007B4794">
        <w:rPr>
          <w:rFonts w:ascii="Arial" w:hAnsi="Arial" w:cs="Arial"/>
          <w:color w:val="000000" w:themeColor="text1"/>
          <w:sz w:val="21"/>
          <w:szCs w:val="21"/>
        </w:rPr>
        <w:t>50</w:t>
      </w:r>
      <w:r w:rsidRPr="007B4794">
        <w:rPr>
          <w:rFonts w:ascii="Arial" w:hAnsi="Arial" w:cs="Arial"/>
          <w:color w:val="000000" w:themeColor="text1"/>
          <w:sz w:val="21"/>
          <w:szCs w:val="21"/>
        </w:rPr>
        <w:t>亿元的万达广场，将建成</w:t>
      </w:r>
      <w:r w:rsidRPr="007B4794">
        <w:rPr>
          <w:rFonts w:ascii="Arial" w:hAnsi="Arial" w:cs="Arial"/>
          <w:color w:val="000000" w:themeColor="text1"/>
          <w:sz w:val="21"/>
          <w:szCs w:val="21"/>
        </w:rPr>
        <w:t>63</w:t>
      </w:r>
      <w:r w:rsidRPr="007B4794">
        <w:rPr>
          <w:rFonts w:ascii="Arial" w:hAnsi="Arial" w:cs="Arial"/>
          <w:color w:val="000000" w:themeColor="text1"/>
          <w:sz w:val="21"/>
          <w:szCs w:val="21"/>
        </w:rPr>
        <w:t>万平方米的标杆性城市综合体，致力打造一座新的城市中心；总投资</w:t>
      </w:r>
      <w:r w:rsidRPr="007B4794">
        <w:rPr>
          <w:rFonts w:ascii="Arial" w:hAnsi="Arial" w:cs="Arial"/>
          <w:color w:val="000000" w:themeColor="text1"/>
          <w:sz w:val="21"/>
          <w:szCs w:val="21"/>
        </w:rPr>
        <w:t>50</w:t>
      </w:r>
      <w:r w:rsidRPr="007B4794">
        <w:rPr>
          <w:rFonts w:ascii="Arial" w:hAnsi="Arial" w:cs="Arial"/>
          <w:color w:val="000000" w:themeColor="text1"/>
          <w:sz w:val="21"/>
          <w:szCs w:val="21"/>
        </w:rPr>
        <w:t>亿元的万益广场，将建成一栋高</w:t>
      </w:r>
      <w:r w:rsidRPr="007B4794">
        <w:rPr>
          <w:rFonts w:ascii="Arial" w:hAnsi="Arial" w:cs="Arial"/>
          <w:color w:val="000000" w:themeColor="text1"/>
          <w:sz w:val="21"/>
          <w:szCs w:val="21"/>
        </w:rPr>
        <w:t>220</w:t>
      </w:r>
      <w:r w:rsidRPr="007B4794">
        <w:rPr>
          <w:rFonts w:ascii="Arial" w:hAnsi="Arial" w:cs="Arial"/>
          <w:color w:val="000000" w:themeColor="text1"/>
          <w:sz w:val="21"/>
          <w:szCs w:val="21"/>
        </w:rPr>
        <w:t>米的全市最高楼，是未来漳州市新地标。</w:t>
      </w:r>
    </w:p>
    <w:p w14:paraId="09AC6606" w14:textId="1F9DF33A" w:rsidR="00AE01CB" w:rsidRDefault="009A1352" w:rsidP="009A1352">
      <w:pPr>
        <w:widowControl w:val="0"/>
        <w:adjustRightInd w:val="0"/>
        <w:snapToGrid w:val="0"/>
        <w:spacing w:line="480" w:lineRule="auto"/>
        <w:ind w:firstLineChars="200" w:firstLine="420"/>
        <w:jc w:val="both"/>
        <w:rPr>
          <w:rFonts w:ascii="Arial" w:hAnsi="Arial" w:cs="Arial" w:hint="eastAsia"/>
          <w:color w:val="000000" w:themeColor="text1"/>
          <w:sz w:val="21"/>
          <w:szCs w:val="21"/>
        </w:rPr>
      </w:pPr>
      <w:r w:rsidRPr="007B4794">
        <w:rPr>
          <w:rFonts w:ascii="Arial" w:hAnsi="Arial" w:cs="Arial"/>
          <w:color w:val="000000" w:themeColor="text1"/>
          <w:sz w:val="21"/>
          <w:szCs w:val="21"/>
        </w:rPr>
        <w:t>2019</w:t>
      </w:r>
      <w:r w:rsidRPr="007B4794">
        <w:rPr>
          <w:rFonts w:ascii="Arial" w:hAnsi="Arial" w:cs="Arial"/>
          <w:color w:val="000000" w:themeColor="text1"/>
          <w:sz w:val="21"/>
          <w:szCs w:val="21"/>
        </w:rPr>
        <w:t>年，全年实现地区生产总值</w:t>
      </w:r>
      <w:r w:rsidRPr="007B4794">
        <w:rPr>
          <w:rFonts w:ascii="Arial" w:hAnsi="Arial" w:cs="Arial"/>
          <w:color w:val="000000" w:themeColor="text1"/>
          <w:sz w:val="21"/>
          <w:szCs w:val="21"/>
        </w:rPr>
        <w:t>353.17</w:t>
      </w:r>
      <w:r w:rsidRPr="007B4794">
        <w:rPr>
          <w:rFonts w:ascii="Arial" w:hAnsi="Arial" w:cs="Arial"/>
          <w:color w:val="000000" w:themeColor="text1"/>
          <w:sz w:val="21"/>
          <w:szCs w:val="21"/>
        </w:rPr>
        <w:t>亿元、增长</w:t>
      </w:r>
      <w:r w:rsidRPr="007B4794">
        <w:rPr>
          <w:rFonts w:ascii="Arial" w:hAnsi="Arial" w:cs="Arial"/>
          <w:color w:val="000000" w:themeColor="text1"/>
          <w:sz w:val="21"/>
          <w:szCs w:val="21"/>
        </w:rPr>
        <w:t>7.2</w:t>
      </w:r>
      <w:r w:rsidRPr="007B4794">
        <w:rPr>
          <w:rFonts w:ascii="Arial" w:hAnsi="Arial" w:cs="Arial"/>
          <w:color w:val="000000" w:themeColor="text1"/>
          <w:sz w:val="21"/>
          <w:szCs w:val="21"/>
        </w:rPr>
        <w:t>％；固定资产投资</w:t>
      </w:r>
      <w:r w:rsidRPr="007B4794">
        <w:rPr>
          <w:rFonts w:ascii="Arial" w:hAnsi="Arial" w:cs="Arial"/>
          <w:color w:val="000000" w:themeColor="text1"/>
          <w:sz w:val="21"/>
          <w:szCs w:val="21"/>
        </w:rPr>
        <w:t>202.45</w:t>
      </w:r>
      <w:r w:rsidRPr="007B4794">
        <w:rPr>
          <w:rFonts w:ascii="Arial" w:hAnsi="Arial" w:cs="Arial"/>
          <w:color w:val="000000" w:themeColor="text1"/>
          <w:sz w:val="21"/>
          <w:szCs w:val="21"/>
        </w:rPr>
        <w:t>亿元；规模工业总产值</w:t>
      </w:r>
      <w:r w:rsidRPr="007B4794">
        <w:rPr>
          <w:rFonts w:ascii="Arial" w:hAnsi="Arial" w:cs="Arial"/>
          <w:color w:val="000000" w:themeColor="text1"/>
          <w:sz w:val="21"/>
          <w:szCs w:val="21"/>
        </w:rPr>
        <w:t>750.72</w:t>
      </w:r>
      <w:r w:rsidRPr="007B4794">
        <w:rPr>
          <w:rFonts w:ascii="Arial" w:hAnsi="Arial" w:cs="Arial"/>
          <w:color w:val="000000" w:themeColor="text1"/>
          <w:sz w:val="21"/>
          <w:szCs w:val="21"/>
        </w:rPr>
        <w:t>亿元、增长</w:t>
      </w:r>
      <w:r w:rsidRPr="007B4794">
        <w:rPr>
          <w:rFonts w:ascii="Arial" w:hAnsi="Arial" w:cs="Arial"/>
          <w:color w:val="000000" w:themeColor="text1"/>
          <w:sz w:val="21"/>
          <w:szCs w:val="21"/>
        </w:rPr>
        <w:t>9.4</w:t>
      </w:r>
      <w:r w:rsidRPr="007B4794">
        <w:rPr>
          <w:rFonts w:ascii="Arial" w:hAnsi="Arial" w:cs="Arial"/>
          <w:color w:val="000000" w:themeColor="text1"/>
          <w:sz w:val="21"/>
          <w:szCs w:val="21"/>
        </w:rPr>
        <w:t>％；规模工业增加值</w:t>
      </w:r>
      <w:r w:rsidRPr="007B4794">
        <w:rPr>
          <w:rFonts w:ascii="Arial" w:hAnsi="Arial" w:cs="Arial"/>
          <w:color w:val="000000" w:themeColor="text1"/>
          <w:sz w:val="21"/>
          <w:szCs w:val="21"/>
        </w:rPr>
        <w:t xml:space="preserve">204.07 </w:t>
      </w:r>
      <w:r w:rsidRPr="007B4794">
        <w:rPr>
          <w:rFonts w:ascii="Arial" w:hAnsi="Arial" w:cs="Arial"/>
          <w:color w:val="000000" w:themeColor="text1"/>
          <w:sz w:val="21"/>
          <w:szCs w:val="21"/>
        </w:rPr>
        <w:t>亿元、增长</w:t>
      </w:r>
      <w:r w:rsidRPr="007B4794">
        <w:rPr>
          <w:rFonts w:ascii="Arial" w:hAnsi="Arial" w:cs="Arial"/>
          <w:color w:val="000000" w:themeColor="text1"/>
          <w:sz w:val="21"/>
          <w:szCs w:val="21"/>
        </w:rPr>
        <w:t>9.1</w:t>
      </w:r>
      <w:r w:rsidRPr="007B4794">
        <w:rPr>
          <w:rFonts w:ascii="Arial" w:hAnsi="Arial" w:cs="Arial"/>
          <w:color w:val="000000" w:themeColor="text1"/>
          <w:sz w:val="21"/>
          <w:szCs w:val="21"/>
        </w:rPr>
        <w:t>％；一般公共预算总收入</w:t>
      </w:r>
      <w:r w:rsidRPr="007B4794">
        <w:rPr>
          <w:rFonts w:ascii="Arial" w:hAnsi="Arial" w:cs="Arial"/>
          <w:color w:val="000000" w:themeColor="text1"/>
          <w:sz w:val="21"/>
          <w:szCs w:val="21"/>
        </w:rPr>
        <w:t>34.46</w:t>
      </w:r>
      <w:r w:rsidRPr="007B4794">
        <w:rPr>
          <w:rFonts w:ascii="Arial" w:hAnsi="Arial" w:cs="Arial"/>
          <w:color w:val="000000" w:themeColor="text1"/>
          <w:sz w:val="21"/>
          <w:szCs w:val="21"/>
        </w:rPr>
        <w:t>亿元；地方一般公共预算收入</w:t>
      </w:r>
      <w:r w:rsidRPr="007B4794">
        <w:rPr>
          <w:rFonts w:ascii="Arial" w:hAnsi="Arial" w:cs="Arial"/>
          <w:color w:val="000000" w:themeColor="text1"/>
          <w:sz w:val="21"/>
          <w:szCs w:val="21"/>
        </w:rPr>
        <w:t>21.19</w:t>
      </w:r>
      <w:r w:rsidRPr="007B4794">
        <w:rPr>
          <w:rFonts w:ascii="Arial" w:hAnsi="Arial" w:cs="Arial"/>
          <w:color w:val="000000" w:themeColor="text1"/>
          <w:sz w:val="21"/>
          <w:szCs w:val="21"/>
        </w:rPr>
        <w:t>亿元；社会消费品零售总额</w:t>
      </w:r>
      <w:r w:rsidRPr="007B4794">
        <w:rPr>
          <w:rFonts w:ascii="Arial" w:hAnsi="Arial" w:cs="Arial"/>
          <w:color w:val="000000" w:themeColor="text1"/>
          <w:sz w:val="21"/>
          <w:szCs w:val="21"/>
        </w:rPr>
        <w:t>36.79</w:t>
      </w:r>
      <w:r w:rsidRPr="007B4794">
        <w:rPr>
          <w:rFonts w:ascii="Arial" w:hAnsi="Arial" w:cs="Arial"/>
          <w:color w:val="000000" w:themeColor="text1"/>
          <w:sz w:val="21"/>
          <w:szCs w:val="21"/>
        </w:rPr>
        <w:t>亿元、增长</w:t>
      </w:r>
      <w:r w:rsidRPr="007B4794">
        <w:rPr>
          <w:rFonts w:ascii="Arial" w:hAnsi="Arial" w:cs="Arial"/>
          <w:color w:val="000000" w:themeColor="text1"/>
          <w:sz w:val="21"/>
          <w:szCs w:val="21"/>
        </w:rPr>
        <w:t>8.4</w:t>
      </w:r>
      <w:r w:rsidRPr="007B4794">
        <w:rPr>
          <w:rFonts w:ascii="Arial" w:hAnsi="Arial" w:cs="Arial"/>
          <w:color w:val="000000" w:themeColor="text1"/>
          <w:sz w:val="21"/>
          <w:szCs w:val="21"/>
        </w:rPr>
        <w:t>％；实际利用外资</w:t>
      </w:r>
      <w:r w:rsidRPr="007B4794">
        <w:rPr>
          <w:rFonts w:ascii="Arial" w:hAnsi="Arial" w:cs="Arial"/>
          <w:color w:val="000000" w:themeColor="text1"/>
          <w:sz w:val="21"/>
          <w:szCs w:val="21"/>
        </w:rPr>
        <w:t>38028</w:t>
      </w:r>
      <w:r w:rsidRPr="007B4794">
        <w:rPr>
          <w:rFonts w:ascii="Arial" w:hAnsi="Arial" w:cs="Arial"/>
          <w:color w:val="000000" w:themeColor="text1"/>
          <w:sz w:val="21"/>
          <w:szCs w:val="21"/>
        </w:rPr>
        <w:t>万元；外贸出口总值</w:t>
      </w:r>
      <w:r w:rsidRPr="007B4794">
        <w:rPr>
          <w:rFonts w:ascii="Arial" w:hAnsi="Arial" w:cs="Arial"/>
          <w:color w:val="000000" w:themeColor="text1"/>
          <w:sz w:val="21"/>
          <w:szCs w:val="21"/>
        </w:rPr>
        <w:t>78.18</w:t>
      </w:r>
      <w:r w:rsidRPr="007B4794">
        <w:rPr>
          <w:rFonts w:ascii="Arial" w:hAnsi="Arial" w:cs="Arial"/>
          <w:color w:val="000000" w:themeColor="text1"/>
          <w:sz w:val="21"/>
          <w:szCs w:val="21"/>
        </w:rPr>
        <w:t>亿元，比增</w:t>
      </w:r>
      <w:r w:rsidRPr="007B4794">
        <w:rPr>
          <w:rFonts w:ascii="Arial" w:hAnsi="Arial" w:cs="Arial"/>
          <w:color w:val="000000" w:themeColor="text1"/>
          <w:sz w:val="21"/>
          <w:szCs w:val="21"/>
        </w:rPr>
        <w:t>1.5</w:t>
      </w:r>
      <w:r w:rsidRPr="007B4794">
        <w:rPr>
          <w:rFonts w:ascii="Arial" w:hAnsi="Arial" w:cs="Arial"/>
          <w:color w:val="000000" w:themeColor="text1"/>
          <w:sz w:val="21"/>
          <w:szCs w:val="21"/>
        </w:rPr>
        <w:t>％；城镇居民人均可支配收入</w:t>
      </w:r>
      <w:r w:rsidRPr="007B4794">
        <w:rPr>
          <w:rFonts w:ascii="Arial" w:hAnsi="Arial" w:cs="Arial"/>
          <w:color w:val="000000" w:themeColor="text1"/>
          <w:sz w:val="21"/>
          <w:szCs w:val="21"/>
        </w:rPr>
        <w:t>40053.1</w:t>
      </w:r>
      <w:r w:rsidRPr="007B4794">
        <w:rPr>
          <w:rFonts w:ascii="Arial" w:hAnsi="Arial" w:cs="Arial"/>
          <w:color w:val="000000" w:themeColor="text1"/>
          <w:sz w:val="21"/>
          <w:szCs w:val="21"/>
        </w:rPr>
        <w:t>元、增长</w:t>
      </w:r>
      <w:r w:rsidRPr="007B4794">
        <w:rPr>
          <w:rFonts w:ascii="Arial" w:hAnsi="Arial" w:cs="Arial"/>
          <w:color w:val="000000" w:themeColor="text1"/>
          <w:sz w:val="21"/>
          <w:szCs w:val="21"/>
        </w:rPr>
        <w:t>8.1</w:t>
      </w:r>
      <w:r w:rsidRPr="007B4794">
        <w:rPr>
          <w:rFonts w:ascii="Arial" w:hAnsi="Arial" w:cs="Arial"/>
          <w:color w:val="000000" w:themeColor="text1"/>
          <w:sz w:val="21"/>
          <w:szCs w:val="21"/>
        </w:rPr>
        <w:t>％；农村居民人均可支配收入</w:t>
      </w:r>
      <w:r w:rsidRPr="007B4794">
        <w:rPr>
          <w:rFonts w:ascii="Arial" w:hAnsi="Arial" w:cs="Arial"/>
          <w:color w:val="000000" w:themeColor="text1"/>
          <w:sz w:val="21"/>
          <w:szCs w:val="21"/>
        </w:rPr>
        <w:t>20935</w:t>
      </w:r>
      <w:r w:rsidRPr="007B4794">
        <w:rPr>
          <w:rFonts w:ascii="Arial" w:hAnsi="Arial" w:cs="Arial"/>
          <w:color w:val="000000" w:themeColor="text1"/>
          <w:sz w:val="21"/>
          <w:szCs w:val="21"/>
        </w:rPr>
        <w:t>元、增长</w:t>
      </w:r>
      <w:r w:rsidRPr="007B4794">
        <w:rPr>
          <w:rFonts w:ascii="Arial" w:hAnsi="Arial" w:cs="Arial"/>
          <w:color w:val="000000" w:themeColor="text1"/>
          <w:sz w:val="21"/>
          <w:szCs w:val="21"/>
        </w:rPr>
        <w:t>10.1</w:t>
      </w:r>
      <w:r w:rsidRPr="007B4794">
        <w:rPr>
          <w:rFonts w:ascii="Arial" w:hAnsi="Arial" w:cs="Arial"/>
          <w:color w:val="000000" w:themeColor="text1"/>
          <w:sz w:val="21"/>
          <w:szCs w:val="21"/>
        </w:rPr>
        <w:t>％。</w:t>
      </w:r>
    </w:p>
    <w:p w14:paraId="4B6C4022" w14:textId="77777777" w:rsidR="00074032" w:rsidRPr="00074032" w:rsidRDefault="00074032" w:rsidP="00074032">
      <w:pPr>
        <w:widowControl w:val="0"/>
        <w:adjustRightInd w:val="0"/>
        <w:snapToGrid w:val="0"/>
        <w:spacing w:line="480" w:lineRule="auto"/>
        <w:ind w:firstLineChars="200" w:firstLine="420"/>
        <w:jc w:val="both"/>
        <w:rPr>
          <w:rFonts w:ascii="华文楷体" w:eastAsia="华文楷体" w:hAnsi="华文楷体" w:cs="Arial"/>
          <w:color w:val="000000" w:themeColor="text1"/>
          <w:sz w:val="21"/>
          <w:szCs w:val="21"/>
        </w:rPr>
      </w:pPr>
      <w:r w:rsidRPr="00074032">
        <w:rPr>
          <w:rFonts w:ascii="华文楷体" w:eastAsia="华文楷体" w:hAnsi="华文楷体" w:cs="Arial" w:hint="eastAsia"/>
          <w:color w:val="000000" w:themeColor="text1"/>
          <w:sz w:val="21"/>
          <w:szCs w:val="21"/>
        </w:rPr>
        <w:t>（转下页）</w:t>
      </w:r>
    </w:p>
    <w:p w14:paraId="41F76862" w14:textId="77777777" w:rsidR="00074032" w:rsidRPr="007B4794" w:rsidRDefault="00074032" w:rsidP="009A1352">
      <w:pPr>
        <w:widowControl w:val="0"/>
        <w:adjustRightInd w:val="0"/>
        <w:snapToGrid w:val="0"/>
        <w:spacing w:line="480" w:lineRule="auto"/>
        <w:ind w:firstLineChars="200" w:firstLine="420"/>
        <w:jc w:val="both"/>
        <w:rPr>
          <w:rFonts w:ascii="Arial" w:hAnsi="Arial" w:cs="Arial"/>
          <w:color w:val="000000" w:themeColor="text1"/>
          <w:sz w:val="21"/>
          <w:szCs w:val="21"/>
        </w:rPr>
      </w:pPr>
    </w:p>
    <w:p w14:paraId="6D782952" w14:textId="5F6F6610" w:rsidR="00B11670" w:rsidRPr="007B4794" w:rsidRDefault="00B6400D" w:rsidP="00F4397F">
      <w:pPr>
        <w:pStyle w:val="2"/>
        <w:tabs>
          <w:tab w:val="left" w:pos="5220"/>
        </w:tabs>
        <w:spacing w:before="0" w:after="0" w:line="480" w:lineRule="auto"/>
        <w:ind w:firstLineChars="98" w:firstLine="207"/>
        <w:jc w:val="both"/>
        <w:rPr>
          <w:rFonts w:eastAsia="宋体" w:cs="Arial"/>
          <w:color w:val="000000" w:themeColor="text1"/>
          <w:sz w:val="21"/>
          <w:szCs w:val="21"/>
        </w:rPr>
      </w:pPr>
      <w:bookmarkStart w:id="72" w:name="_Toc54016595"/>
      <w:r w:rsidRPr="007B4794">
        <w:rPr>
          <w:rFonts w:eastAsia="宋体" w:cs="Arial" w:hint="eastAsia"/>
          <w:color w:val="000000" w:themeColor="text1"/>
          <w:sz w:val="21"/>
          <w:szCs w:val="21"/>
        </w:rPr>
        <w:lastRenderedPageBreak/>
        <w:t>二、</w:t>
      </w:r>
      <w:r w:rsidR="00B11670" w:rsidRPr="007B4794">
        <w:rPr>
          <w:rFonts w:eastAsia="宋体" w:cs="Arial" w:hint="eastAsia"/>
          <w:color w:val="000000" w:themeColor="text1"/>
          <w:sz w:val="21"/>
          <w:szCs w:val="21"/>
        </w:rPr>
        <w:t>区域定位</w:t>
      </w:r>
      <w:bookmarkEnd w:id="72"/>
    </w:p>
    <w:p w14:paraId="64D64C78" w14:textId="77777777" w:rsidR="009A1352" w:rsidRPr="007B4794" w:rsidRDefault="009A1352" w:rsidP="009A1352">
      <w:pPr>
        <w:widowControl w:val="0"/>
        <w:adjustRightInd w:val="0"/>
        <w:snapToGrid w:val="0"/>
        <w:spacing w:line="480" w:lineRule="auto"/>
        <w:ind w:leftChars="50" w:left="120" w:firstLineChars="150" w:firstLine="360"/>
        <w:jc w:val="both"/>
        <w:rPr>
          <w:rFonts w:ascii="Arial" w:hAnsi="Arial" w:cs="Arial"/>
          <w:color w:val="000000" w:themeColor="text1"/>
          <w:sz w:val="21"/>
          <w:szCs w:val="21"/>
        </w:rPr>
      </w:pPr>
      <w:r w:rsidRPr="007B4794">
        <w:rPr>
          <w:noProof/>
          <w:color w:val="000000" w:themeColor="text1"/>
        </w:rPr>
        <w:drawing>
          <wp:inline distT="0" distB="0" distL="0" distR="0" wp14:anchorId="6E46FD66" wp14:editId="34741855">
            <wp:extent cx="5486400" cy="3959225"/>
            <wp:effectExtent l="0" t="0" r="0" b="3175"/>
            <wp:docPr id="5179" name="图片 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486400" cy="3959225"/>
                    </a:xfrm>
                    <a:prstGeom prst="rect">
                      <a:avLst/>
                    </a:prstGeom>
                  </pic:spPr>
                </pic:pic>
              </a:graphicData>
            </a:graphic>
          </wp:inline>
        </w:drawing>
      </w:r>
    </w:p>
    <w:p w14:paraId="6C085073" w14:textId="0C407E66" w:rsidR="003D0902" w:rsidRPr="007B4794" w:rsidRDefault="009A1352" w:rsidP="009A1352">
      <w:pPr>
        <w:widowControl w:val="0"/>
        <w:adjustRightInd w:val="0"/>
        <w:snapToGrid w:val="0"/>
        <w:spacing w:line="480" w:lineRule="auto"/>
        <w:ind w:leftChars="50" w:left="120"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漳州台商投资区坚持产业新城与宜居新城同步推进，突出“水城”、“绿城”、“文化名城”的城市特色，委托中国城市规划院对城市总体规划进行修编，委托同济大学城规院研究编制</w:t>
      </w:r>
      <w:r w:rsidRPr="007B4794">
        <w:rPr>
          <w:rFonts w:ascii="Arial" w:hAnsi="Arial" w:cs="Arial"/>
          <w:color w:val="000000" w:themeColor="text1"/>
          <w:sz w:val="21"/>
          <w:szCs w:val="21"/>
        </w:rPr>
        <w:t>20.5</w:t>
      </w:r>
      <w:r w:rsidRPr="007B4794">
        <w:rPr>
          <w:rFonts w:ascii="Arial" w:hAnsi="Arial" w:cs="Arial"/>
          <w:color w:val="000000" w:themeColor="text1"/>
          <w:sz w:val="21"/>
          <w:szCs w:val="21"/>
        </w:rPr>
        <w:t>平方公里中心城区控规和</w:t>
      </w:r>
      <w:r w:rsidRPr="007B4794">
        <w:rPr>
          <w:rFonts w:ascii="Arial" w:hAnsi="Arial" w:cs="Arial"/>
          <w:color w:val="000000" w:themeColor="text1"/>
          <w:sz w:val="21"/>
          <w:szCs w:val="21"/>
        </w:rPr>
        <w:t>7.2</w:t>
      </w:r>
      <w:r w:rsidRPr="007B4794">
        <w:rPr>
          <w:rFonts w:ascii="Arial" w:hAnsi="Arial" w:cs="Arial"/>
          <w:color w:val="000000" w:themeColor="text1"/>
          <w:sz w:val="21"/>
          <w:szCs w:val="21"/>
        </w:rPr>
        <w:t>平方公里核心区城市设计；委托上海市政工程设计院对中心城区水系、引水工程及绿化景观进行全面规划设计，不断提高城市品位，全力提升城市实力。目前已确定了</w:t>
      </w:r>
      <w:r w:rsidRPr="007B4794">
        <w:rPr>
          <w:rFonts w:ascii="Arial" w:hAnsi="Arial" w:cs="Arial"/>
          <w:color w:val="000000" w:themeColor="text1"/>
          <w:sz w:val="21"/>
          <w:szCs w:val="21"/>
        </w:rPr>
        <w:t>“</w:t>
      </w:r>
      <w:r w:rsidRPr="007B4794">
        <w:rPr>
          <w:rFonts w:ascii="Arial" w:hAnsi="Arial" w:cs="Arial"/>
          <w:color w:val="000000" w:themeColor="text1"/>
          <w:sz w:val="21"/>
          <w:szCs w:val="21"/>
        </w:rPr>
        <w:t>一城两区三园，一心一轴一带</w:t>
      </w:r>
      <w:r w:rsidRPr="007B4794">
        <w:rPr>
          <w:rFonts w:ascii="Arial" w:hAnsi="Arial" w:cs="Arial"/>
          <w:color w:val="000000" w:themeColor="text1"/>
          <w:sz w:val="21"/>
          <w:szCs w:val="21"/>
        </w:rPr>
        <w:t>”</w:t>
      </w:r>
      <w:r w:rsidRPr="007B4794">
        <w:rPr>
          <w:rFonts w:ascii="Arial" w:hAnsi="Arial" w:cs="Arial"/>
          <w:color w:val="000000" w:themeColor="text1"/>
          <w:sz w:val="21"/>
          <w:szCs w:val="21"/>
        </w:rPr>
        <w:t>的城市空间结构，致力打造产业、城市、港口、生态、文化</w:t>
      </w:r>
      <w:r w:rsidRPr="007B4794">
        <w:rPr>
          <w:rFonts w:ascii="Arial" w:hAnsi="Arial" w:cs="Arial"/>
          <w:color w:val="000000" w:themeColor="text1"/>
          <w:sz w:val="21"/>
          <w:szCs w:val="21"/>
        </w:rPr>
        <w:t>“</w:t>
      </w:r>
      <w:r w:rsidRPr="007B4794">
        <w:rPr>
          <w:rFonts w:ascii="Arial" w:hAnsi="Arial" w:cs="Arial"/>
          <w:color w:val="000000" w:themeColor="text1"/>
          <w:sz w:val="21"/>
          <w:szCs w:val="21"/>
        </w:rPr>
        <w:t>五位一体</w:t>
      </w:r>
      <w:r w:rsidRPr="007B4794">
        <w:rPr>
          <w:rFonts w:ascii="Arial" w:hAnsi="Arial" w:cs="Arial"/>
          <w:color w:val="000000" w:themeColor="text1"/>
          <w:sz w:val="21"/>
          <w:szCs w:val="21"/>
        </w:rPr>
        <w:t>”</w:t>
      </w:r>
      <w:r w:rsidRPr="007B4794">
        <w:rPr>
          <w:rFonts w:ascii="Arial" w:hAnsi="Arial" w:cs="Arial"/>
          <w:color w:val="000000" w:themeColor="text1"/>
          <w:sz w:val="21"/>
          <w:szCs w:val="21"/>
        </w:rPr>
        <w:t>的</w:t>
      </w:r>
      <w:r w:rsidRPr="007B4794">
        <w:rPr>
          <w:rFonts w:ascii="Arial" w:hAnsi="Arial" w:cs="Arial"/>
          <w:color w:val="000000" w:themeColor="text1"/>
          <w:sz w:val="21"/>
          <w:szCs w:val="21"/>
        </w:rPr>
        <w:t>“</w:t>
      </w:r>
      <w:r w:rsidRPr="007B4794">
        <w:rPr>
          <w:rFonts w:ascii="Arial" w:hAnsi="Arial" w:cs="Arial"/>
          <w:color w:val="000000" w:themeColor="text1"/>
          <w:sz w:val="21"/>
          <w:szCs w:val="21"/>
        </w:rPr>
        <w:t>活力经济之城</w:t>
      </w:r>
      <w:r w:rsidRPr="007B4794">
        <w:rPr>
          <w:rFonts w:ascii="Arial" w:hAnsi="Arial" w:cs="Arial"/>
          <w:color w:val="000000" w:themeColor="text1"/>
          <w:sz w:val="21"/>
          <w:szCs w:val="21"/>
        </w:rPr>
        <w:t>”</w:t>
      </w:r>
      <w:r w:rsidRPr="007B4794">
        <w:rPr>
          <w:rFonts w:ascii="Arial" w:hAnsi="Arial" w:cs="Arial"/>
          <w:color w:val="000000" w:themeColor="text1"/>
          <w:sz w:val="21"/>
          <w:szCs w:val="21"/>
        </w:rPr>
        <w:t>、</w:t>
      </w:r>
      <w:r w:rsidRPr="007B4794">
        <w:rPr>
          <w:rFonts w:ascii="Arial" w:hAnsi="Arial" w:cs="Arial"/>
          <w:color w:val="000000" w:themeColor="text1"/>
          <w:sz w:val="21"/>
          <w:szCs w:val="21"/>
        </w:rPr>
        <w:t>“</w:t>
      </w:r>
      <w:r w:rsidRPr="007B4794">
        <w:rPr>
          <w:rFonts w:ascii="Arial" w:hAnsi="Arial" w:cs="Arial"/>
          <w:color w:val="000000" w:themeColor="text1"/>
          <w:sz w:val="21"/>
          <w:szCs w:val="21"/>
        </w:rPr>
        <w:t>宜居宜业之城</w:t>
      </w:r>
      <w:r w:rsidRPr="007B4794">
        <w:rPr>
          <w:rFonts w:ascii="Arial" w:hAnsi="Arial" w:cs="Arial"/>
          <w:color w:val="000000" w:themeColor="text1"/>
          <w:sz w:val="21"/>
          <w:szCs w:val="21"/>
        </w:rPr>
        <w:t>”</w:t>
      </w:r>
      <w:r w:rsidRPr="007B4794">
        <w:rPr>
          <w:rFonts w:ascii="Arial" w:hAnsi="Arial" w:cs="Arial"/>
          <w:color w:val="000000" w:themeColor="text1"/>
          <w:sz w:val="21"/>
          <w:szCs w:val="21"/>
        </w:rPr>
        <w:t>和</w:t>
      </w:r>
      <w:r w:rsidRPr="007B4794">
        <w:rPr>
          <w:rFonts w:ascii="Arial" w:hAnsi="Arial" w:cs="Arial"/>
          <w:color w:val="000000" w:themeColor="text1"/>
          <w:sz w:val="21"/>
          <w:szCs w:val="21"/>
        </w:rPr>
        <w:t>“</w:t>
      </w:r>
      <w:r w:rsidRPr="007B4794">
        <w:rPr>
          <w:rFonts w:ascii="Arial" w:hAnsi="Arial" w:cs="Arial"/>
          <w:color w:val="000000" w:themeColor="text1"/>
          <w:sz w:val="21"/>
          <w:szCs w:val="21"/>
        </w:rPr>
        <w:t>两岸交融之城</w:t>
      </w:r>
      <w:r w:rsidRPr="007B4794">
        <w:rPr>
          <w:rFonts w:ascii="Arial" w:hAnsi="Arial" w:cs="Arial"/>
          <w:color w:val="000000" w:themeColor="text1"/>
          <w:sz w:val="21"/>
          <w:szCs w:val="21"/>
        </w:rPr>
        <w:t>”</w:t>
      </w:r>
      <w:r w:rsidRPr="007B4794">
        <w:rPr>
          <w:rFonts w:ascii="Arial" w:hAnsi="Arial" w:cs="Arial"/>
          <w:color w:val="000000" w:themeColor="text1"/>
          <w:sz w:val="21"/>
          <w:szCs w:val="21"/>
        </w:rPr>
        <w:t>。至</w:t>
      </w:r>
      <w:r w:rsidRPr="007B4794">
        <w:rPr>
          <w:rFonts w:ascii="Arial" w:hAnsi="Arial" w:cs="Arial"/>
          <w:color w:val="000000" w:themeColor="text1"/>
          <w:sz w:val="21"/>
          <w:szCs w:val="21"/>
        </w:rPr>
        <w:t>2020</w:t>
      </w:r>
      <w:r w:rsidRPr="007B4794">
        <w:rPr>
          <w:rFonts w:ascii="Arial" w:hAnsi="Arial" w:cs="Arial"/>
          <w:color w:val="000000" w:themeColor="text1"/>
          <w:sz w:val="21"/>
          <w:szCs w:val="21"/>
        </w:rPr>
        <w:t>年，全区</w:t>
      </w:r>
      <w:r w:rsidRPr="007B4794">
        <w:rPr>
          <w:rFonts w:ascii="Arial" w:hAnsi="Arial" w:cs="Arial" w:hint="eastAsia"/>
          <w:color w:val="000000" w:themeColor="text1"/>
          <w:sz w:val="21"/>
          <w:szCs w:val="21"/>
        </w:rPr>
        <w:t>城市建成区面积将达到</w:t>
      </w:r>
      <w:r w:rsidRPr="007B4794">
        <w:rPr>
          <w:rFonts w:ascii="Arial" w:hAnsi="Arial" w:cs="Arial"/>
          <w:color w:val="000000" w:themeColor="text1"/>
          <w:sz w:val="21"/>
          <w:szCs w:val="21"/>
        </w:rPr>
        <w:t>56</w:t>
      </w:r>
      <w:r w:rsidRPr="007B4794">
        <w:rPr>
          <w:rFonts w:ascii="Arial" w:hAnsi="Arial" w:cs="Arial"/>
          <w:color w:val="000000" w:themeColor="text1"/>
          <w:sz w:val="21"/>
          <w:szCs w:val="21"/>
        </w:rPr>
        <w:t>平方公里，人口将达到</w:t>
      </w:r>
      <w:r w:rsidRPr="007B4794">
        <w:rPr>
          <w:rFonts w:ascii="Arial" w:hAnsi="Arial" w:cs="Arial"/>
          <w:color w:val="000000" w:themeColor="text1"/>
          <w:sz w:val="21"/>
          <w:szCs w:val="21"/>
        </w:rPr>
        <w:t>40</w:t>
      </w:r>
      <w:r w:rsidRPr="007B4794">
        <w:rPr>
          <w:rFonts w:ascii="Arial" w:hAnsi="Arial" w:cs="Arial"/>
          <w:color w:val="000000" w:themeColor="text1"/>
          <w:sz w:val="21"/>
          <w:szCs w:val="21"/>
        </w:rPr>
        <w:t>万。</w:t>
      </w:r>
    </w:p>
    <w:p w14:paraId="2A4A88CF" w14:textId="1CB71332" w:rsidR="00B11670" w:rsidRPr="007B4794" w:rsidRDefault="00B6400D" w:rsidP="00EA4910">
      <w:pPr>
        <w:pStyle w:val="2"/>
        <w:tabs>
          <w:tab w:val="left" w:pos="5220"/>
        </w:tabs>
        <w:spacing w:before="0" w:after="0" w:line="480" w:lineRule="auto"/>
        <w:ind w:firstLineChars="98" w:firstLine="207"/>
        <w:jc w:val="both"/>
        <w:rPr>
          <w:rFonts w:eastAsia="宋体" w:cs="Arial"/>
          <w:color w:val="000000" w:themeColor="text1"/>
          <w:sz w:val="21"/>
          <w:szCs w:val="21"/>
        </w:rPr>
      </w:pPr>
      <w:bookmarkStart w:id="73" w:name="_Toc54016596"/>
      <w:r w:rsidRPr="007B4794">
        <w:rPr>
          <w:rFonts w:eastAsia="宋体" w:cs="Arial" w:hint="eastAsia"/>
          <w:color w:val="000000" w:themeColor="text1"/>
          <w:sz w:val="21"/>
          <w:szCs w:val="21"/>
        </w:rPr>
        <w:t>三、</w:t>
      </w:r>
      <w:r w:rsidR="00B11670" w:rsidRPr="007B4794">
        <w:rPr>
          <w:rFonts w:eastAsia="宋体" w:cs="Arial" w:hint="eastAsia"/>
          <w:color w:val="000000" w:themeColor="text1"/>
          <w:sz w:val="21"/>
          <w:szCs w:val="21"/>
        </w:rPr>
        <w:t>区域</w:t>
      </w:r>
      <w:r w:rsidR="007E78B3" w:rsidRPr="007B4794">
        <w:rPr>
          <w:rFonts w:eastAsia="宋体" w:cs="Arial" w:hint="eastAsia"/>
          <w:color w:val="000000" w:themeColor="text1"/>
          <w:sz w:val="21"/>
          <w:szCs w:val="21"/>
        </w:rPr>
        <w:t>土地</w:t>
      </w:r>
      <w:r w:rsidR="00B11670" w:rsidRPr="007B4794">
        <w:rPr>
          <w:rFonts w:eastAsia="宋体" w:cs="Arial" w:hint="eastAsia"/>
          <w:color w:val="000000" w:themeColor="text1"/>
          <w:sz w:val="21"/>
          <w:szCs w:val="21"/>
        </w:rPr>
        <w:t>市场</w:t>
      </w:r>
      <w:r w:rsidR="007E78B3" w:rsidRPr="007B4794">
        <w:rPr>
          <w:rFonts w:eastAsia="宋体" w:cs="Arial" w:hint="eastAsia"/>
          <w:color w:val="000000" w:themeColor="text1"/>
          <w:sz w:val="21"/>
          <w:szCs w:val="21"/>
        </w:rPr>
        <w:t>分析</w:t>
      </w:r>
      <w:bookmarkEnd w:id="73"/>
    </w:p>
    <w:p w14:paraId="718C1B7E" w14:textId="2A7DCAA4" w:rsidR="00AE01CB" w:rsidRDefault="00AE01CB" w:rsidP="00AE01CB">
      <w:pPr>
        <w:widowControl w:val="0"/>
        <w:adjustRightInd w:val="0"/>
        <w:snapToGrid w:val="0"/>
        <w:spacing w:line="480" w:lineRule="auto"/>
        <w:ind w:firstLineChars="200" w:firstLine="420"/>
        <w:jc w:val="both"/>
        <w:rPr>
          <w:rFonts w:ascii="Arial" w:hAnsi="Arial" w:cs="Arial" w:hint="eastAsia"/>
          <w:color w:val="000000" w:themeColor="text1"/>
          <w:sz w:val="21"/>
          <w:szCs w:val="21"/>
        </w:rPr>
      </w:pP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015</w:t>
      </w:r>
      <w:r w:rsidRPr="007B4794">
        <w:rPr>
          <w:rFonts w:ascii="Arial" w:hAnsi="Arial" w:cs="Arial" w:hint="eastAsia"/>
          <w:color w:val="000000" w:themeColor="text1"/>
          <w:sz w:val="21"/>
          <w:szCs w:val="21"/>
        </w:rPr>
        <w:t>年至</w:t>
      </w:r>
      <w:r w:rsidRPr="007B4794">
        <w:rPr>
          <w:rFonts w:ascii="Arial" w:hAnsi="Arial" w:cs="Arial"/>
          <w:color w:val="000000" w:themeColor="text1"/>
          <w:sz w:val="21"/>
          <w:szCs w:val="21"/>
        </w:rPr>
        <w:t>2020</w:t>
      </w:r>
      <w:r w:rsidRPr="007B4794">
        <w:rPr>
          <w:rFonts w:ascii="Arial" w:hAnsi="Arial" w:cs="Arial" w:hint="eastAsia"/>
          <w:color w:val="000000" w:themeColor="text1"/>
          <w:sz w:val="21"/>
          <w:szCs w:val="21"/>
        </w:rPr>
        <w:t>年</w:t>
      </w:r>
      <w:r w:rsidR="009876B3" w:rsidRPr="007B4794">
        <w:rPr>
          <w:rFonts w:ascii="Arial" w:hAnsi="Arial" w:cs="Arial" w:hint="eastAsia"/>
          <w:color w:val="000000" w:themeColor="text1"/>
          <w:sz w:val="21"/>
          <w:szCs w:val="21"/>
        </w:rPr>
        <w:t>1-10</w:t>
      </w:r>
      <w:r w:rsidR="009876B3" w:rsidRPr="007B4794">
        <w:rPr>
          <w:rFonts w:ascii="Arial" w:hAnsi="Arial" w:cs="Arial" w:hint="eastAsia"/>
          <w:color w:val="000000" w:themeColor="text1"/>
          <w:sz w:val="21"/>
          <w:szCs w:val="21"/>
        </w:rPr>
        <w:t>月</w:t>
      </w:r>
      <w:r w:rsidRPr="007B4794">
        <w:rPr>
          <w:rFonts w:ascii="Arial" w:hAnsi="Arial" w:cs="Arial" w:hint="eastAsia"/>
          <w:color w:val="000000" w:themeColor="text1"/>
          <w:sz w:val="21"/>
          <w:szCs w:val="21"/>
        </w:rPr>
        <w:t>，</w:t>
      </w:r>
      <w:r w:rsidR="009876B3" w:rsidRPr="007B4794">
        <w:rPr>
          <w:rFonts w:ascii="Arial" w:hAnsi="Arial" w:cs="Arial" w:hint="eastAsia"/>
          <w:color w:val="000000" w:themeColor="text1"/>
          <w:sz w:val="21"/>
          <w:szCs w:val="21"/>
        </w:rPr>
        <w:t>漳州台商投资区（即角美镇）</w:t>
      </w:r>
      <w:proofErr w:type="gramStart"/>
      <w:r w:rsidRPr="007B4794">
        <w:rPr>
          <w:rFonts w:ascii="Arial" w:hAnsi="Arial" w:cs="Arial" w:hint="eastAsia"/>
          <w:color w:val="000000" w:themeColor="text1"/>
          <w:sz w:val="21"/>
          <w:szCs w:val="21"/>
        </w:rPr>
        <w:t>涉宅用地</w:t>
      </w:r>
      <w:proofErr w:type="gramEnd"/>
      <w:r w:rsidRPr="007B4794">
        <w:rPr>
          <w:rFonts w:ascii="Arial" w:hAnsi="Arial" w:cs="Arial" w:hint="eastAsia"/>
          <w:color w:val="000000" w:themeColor="text1"/>
          <w:sz w:val="21"/>
          <w:szCs w:val="21"/>
        </w:rPr>
        <w:t>共成交</w:t>
      </w:r>
      <w:r w:rsidR="009876B3" w:rsidRPr="007B4794">
        <w:rPr>
          <w:rFonts w:ascii="Arial" w:hAnsi="Arial" w:cs="Arial" w:hint="eastAsia"/>
          <w:color w:val="000000" w:themeColor="text1"/>
          <w:sz w:val="21"/>
          <w:szCs w:val="21"/>
        </w:rPr>
        <w:t>1</w:t>
      </w:r>
      <w:r w:rsidR="00094AA3" w:rsidRPr="007B4794">
        <w:rPr>
          <w:rFonts w:ascii="Arial" w:hAnsi="Arial" w:cs="Arial" w:hint="eastAsia"/>
          <w:color w:val="000000" w:themeColor="text1"/>
          <w:sz w:val="21"/>
          <w:szCs w:val="21"/>
        </w:rPr>
        <w:t>8</w:t>
      </w:r>
      <w:r w:rsidRPr="007B4794">
        <w:rPr>
          <w:rFonts w:ascii="Arial" w:hAnsi="Arial" w:cs="Arial" w:hint="eastAsia"/>
          <w:color w:val="000000" w:themeColor="text1"/>
          <w:sz w:val="21"/>
          <w:szCs w:val="21"/>
        </w:rPr>
        <w:t>宗，总成交土地面积</w:t>
      </w:r>
      <w:r w:rsidR="00094AA3" w:rsidRPr="007B4794">
        <w:rPr>
          <w:rFonts w:ascii="Arial" w:hAnsi="Arial" w:cs="Arial" w:hint="eastAsia"/>
          <w:color w:val="000000" w:themeColor="text1"/>
          <w:sz w:val="21"/>
          <w:szCs w:val="21"/>
        </w:rPr>
        <w:t>80.36</w:t>
      </w:r>
      <w:r w:rsidRPr="007B4794">
        <w:rPr>
          <w:rFonts w:ascii="Arial" w:hAnsi="Arial" w:cs="Arial" w:hint="eastAsia"/>
          <w:color w:val="000000" w:themeColor="text1"/>
          <w:sz w:val="21"/>
          <w:szCs w:val="21"/>
        </w:rPr>
        <w:t>万平方米，总成交建筑面积约</w:t>
      </w:r>
      <w:r w:rsidR="00094AA3" w:rsidRPr="007B4794">
        <w:rPr>
          <w:rFonts w:ascii="Arial" w:hAnsi="Arial" w:cs="Arial" w:hint="eastAsia"/>
          <w:color w:val="000000" w:themeColor="text1"/>
          <w:sz w:val="21"/>
          <w:szCs w:val="21"/>
        </w:rPr>
        <w:t>208.97</w:t>
      </w:r>
      <w:r w:rsidRPr="007B4794">
        <w:rPr>
          <w:rFonts w:ascii="Arial" w:hAnsi="Arial" w:cs="Arial" w:hint="eastAsia"/>
          <w:color w:val="000000" w:themeColor="text1"/>
          <w:sz w:val="21"/>
          <w:szCs w:val="21"/>
        </w:rPr>
        <w:t>万平方米，总成交金额约为</w:t>
      </w:r>
      <w:r w:rsidR="00094AA3" w:rsidRPr="007B4794">
        <w:rPr>
          <w:rFonts w:ascii="Arial" w:hAnsi="Arial" w:cs="Arial" w:hint="eastAsia"/>
          <w:color w:val="000000" w:themeColor="text1"/>
          <w:sz w:val="21"/>
          <w:szCs w:val="21"/>
        </w:rPr>
        <w:t>182.49</w:t>
      </w:r>
      <w:r w:rsidRPr="007B4794">
        <w:rPr>
          <w:rFonts w:ascii="Arial" w:hAnsi="Arial" w:cs="Arial" w:hint="eastAsia"/>
          <w:color w:val="000000" w:themeColor="text1"/>
          <w:sz w:val="21"/>
          <w:szCs w:val="21"/>
        </w:rPr>
        <w:t>亿元。</w:t>
      </w:r>
    </w:p>
    <w:p w14:paraId="7CC65EDA" w14:textId="77777777" w:rsidR="00074032" w:rsidRPr="00074032" w:rsidRDefault="00074032" w:rsidP="00074032">
      <w:pPr>
        <w:widowControl w:val="0"/>
        <w:adjustRightInd w:val="0"/>
        <w:snapToGrid w:val="0"/>
        <w:spacing w:line="480" w:lineRule="auto"/>
        <w:ind w:firstLineChars="200" w:firstLine="420"/>
        <w:jc w:val="both"/>
        <w:rPr>
          <w:rFonts w:ascii="华文楷体" w:eastAsia="华文楷体" w:hAnsi="华文楷体" w:cs="Arial"/>
          <w:color w:val="000000" w:themeColor="text1"/>
          <w:sz w:val="21"/>
          <w:szCs w:val="21"/>
        </w:rPr>
      </w:pPr>
      <w:r w:rsidRPr="00074032">
        <w:rPr>
          <w:rFonts w:ascii="华文楷体" w:eastAsia="华文楷体" w:hAnsi="华文楷体" w:cs="Arial" w:hint="eastAsia"/>
          <w:color w:val="000000" w:themeColor="text1"/>
          <w:sz w:val="21"/>
          <w:szCs w:val="21"/>
        </w:rPr>
        <w:t>（转下页）</w:t>
      </w:r>
    </w:p>
    <w:p w14:paraId="12E52B9A" w14:textId="77777777" w:rsidR="00074032" w:rsidRPr="007B4794" w:rsidRDefault="00074032"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p>
    <w:p w14:paraId="27079362" w14:textId="1F87134A" w:rsidR="00AE01CB" w:rsidRPr="007B4794" w:rsidRDefault="00094AA3" w:rsidP="009876B3">
      <w:pPr>
        <w:widowControl w:val="0"/>
        <w:adjustRightInd w:val="0"/>
        <w:snapToGrid w:val="0"/>
        <w:spacing w:line="480" w:lineRule="auto"/>
        <w:jc w:val="both"/>
        <w:rPr>
          <w:rFonts w:ascii="Arial" w:hAnsi="Arial" w:cs="Arial"/>
          <w:color w:val="000000" w:themeColor="text1"/>
          <w:sz w:val="21"/>
          <w:szCs w:val="21"/>
        </w:rPr>
      </w:pPr>
      <w:r w:rsidRPr="007B4794">
        <w:rPr>
          <w:noProof/>
          <w:color w:val="000000" w:themeColor="text1"/>
        </w:rPr>
        <w:lastRenderedPageBreak/>
        <w:drawing>
          <wp:inline distT="0" distB="0" distL="0" distR="0" wp14:anchorId="1BFBCD3C" wp14:editId="69DEB3AB">
            <wp:extent cx="5943600" cy="2705100"/>
            <wp:effectExtent l="0" t="0" r="19050" b="1905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8ADCB93" w14:textId="77777777" w:rsidR="00AE01CB" w:rsidRPr="007B4794" w:rsidRDefault="00AE01CB" w:rsidP="00AE01CB">
      <w:pPr>
        <w:widowControl w:val="0"/>
        <w:adjustRightInd w:val="0"/>
        <w:snapToGrid w:val="0"/>
        <w:spacing w:line="480" w:lineRule="auto"/>
        <w:jc w:val="both"/>
        <w:rPr>
          <w:rFonts w:ascii="华文细黑" w:eastAsia="华文细黑" w:hAnsi="华文细黑" w:cs="Arial"/>
          <w:color w:val="000000" w:themeColor="text1"/>
          <w:sz w:val="15"/>
          <w:szCs w:val="15"/>
        </w:rPr>
      </w:pPr>
      <w:r w:rsidRPr="007B4794">
        <w:rPr>
          <w:rFonts w:ascii="华文细黑" w:eastAsia="华文细黑" w:hAnsi="华文细黑" w:cs="Arial" w:hint="eastAsia"/>
          <w:color w:val="000000" w:themeColor="text1"/>
          <w:sz w:val="15"/>
          <w:szCs w:val="15"/>
        </w:rPr>
        <w:t>资料来源：</w:t>
      </w:r>
      <w:r w:rsidRPr="007B4794">
        <w:rPr>
          <w:rFonts w:ascii="Arial" w:eastAsia="华文细黑" w:hAnsi="Arial" w:cs="Arial"/>
          <w:color w:val="000000" w:themeColor="text1"/>
          <w:sz w:val="15"/>
          <w:szCs w:val="15"/>
        </w:rPr>
        <w:t>CREIS</w:t>
      </w:r>
      <w:r w:rsidRPr="007B4794">
        <w:rPr>
          <w:rFonts w:ascii="华文细黑" w:eastAsia="华文细黑" w:hAnsi="华文细黑" w:cs="Arial" w:hint="eastAsia"/>
          <w:color w:val="000000" w:themeColor="text1"/>
          <w:sz w:val="15"/>
          <w:szCs w:val="15"/>
        </w:rPr>
        <w:t>中指数据</w:t>
      </w:r>
    </w:p>
    <w:p w14:paraId="6E67B059" w14:textId="0B63B895" w:rsidR="00AE01CB" w:rsidRPr="007B4794" w:rsidRDefault="00AE01CB"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从各年度成交走势来看，成交波动较大，</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015</w:t>
      </w:r>
      <w:r w:rsidRPr="007B4794">
        <w:rPr>
          <w:rFonts w:ascii="Arial" w:hAnsi="Arial" w:cs="Arial" w:hint="eastAsia"/>
          <w:color w:val="000000" w:themeColor="text1"/>
          <w:sz w:val="21"/>
          <w:szCs w:val="21"/>
        </w:rPr>
        <w:t>年</w:t>
      </w:r>
      <w:r w:rsidR="00C86CF2" w:rsidRPr="007B4794">
        <w:rPr>
          <w:rFonts w:ascii="Arial" w:hAnsi="Arial" w:cs="Arial" w:hint="eastAsia"/>
          <w:color w:val="000000" w:themeColor="text1"/>
          <w:sz w:val="21"/>
          <w:szCs w:val="21"/>
        </w:rPr>
        <w:t>成交</w:t>
      </w:r>
      <w:r w:rsidR="00C86CF2" w:rsidRPr="007B4794">
        <w:rPr>
          <w:rFonts w:ascii="Arial" w:hAnsi="Arial" w:cs="Arial" w:hint="eastAsia"/>
          <w:color w:val="000000" w:themeColor="text1"/>
          <w:sz w:val="21"/>
          <w:szCs w:val="21"/>
        </w:rPr>
        <w:t>2</w:t>
      </w:r>
      <w:r w:rsidR="00C86CF2" w:rsidRPr="007B4794">
        <w:rPr>
          <w:rFonts w:ascii="Arial" w:hAnsi="Arial" w:cs="Arial" w:hint="eastAsia"/>
          <w:color w:val="000000" w:themeColor="text1"/>
          <w:sz w:val="21"/>
          <w:szCs w:val="21"/>
        </w:rPr>
        <w:t>宗涉宅用地，</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01</w:t>
      </w:r>
      <w:r w:rsidRPr="007B4794">
        <w:rPr>
          <w:rFonts w:ascii="Arial" w:hAnsi="Arial" w:cs="Arial" w:hint="eastAsia"/>
          <w:color w:val="000000" w:themeColor="text1"/>
          <w:sz w:val="21"/>
          <w:szCs w:val="21"/>
        </w:rPr>
        <w:t>6</w:t>
      </w:r>
      <w:r w:rsidRPr="007B4794">
        <w:rPr>
          <w:rFonts w:ascii="Arial" w:hAnsi="Arial" w:cs="Arial" w:hint="eastAsia"/>
          <w:color w:val="000000" w:themeColor="text1"/>
          <w:sz w:val="21"/>
          <w:szCs w:val="21"/>
        </w:rPr>
        <w:t>年成交</w:t>
      </w:r>
      <w:r w:rsidR="00C86CF2" w:rsidRPr="007B4794">
        <w:rPr>
          <w:rFonts w:ascii="Arial" w:hAnsi="Arial" w:cs="Arial" w:hint="eastAsia"/>
          <w:color w:val="000000" w:themeColor="text1"/>
          <w:sz w:val="21"/>
          <w:szCs w:val="21"/>
        </w:rPr>
        <w:t>1</w:t>
      </w:r>
      <w:r w:rsidR="00C86CF2" w:rsidRPr="007B4794">
        <w:rPr>
          <w:rFonts w:ascii="Arial" w:hAnsi="Arial" w:cs="Arial" w:hint="eastAsia"/>
          <w:color w:val="000000" w:themeColor="text1"/>
          <w:sz w:val="21"/>
          <w:szCs w:val="21"/>
        </w:rPr>
        <w:t>宗涉宅用地</w:t>
      </w:r>
      <w:r w:rsidRPr="007B4794">
        <w:rPr>
          <w:rFonts w:ascii="Arial" w:hAnsi="Arial" w:cs="Arial" w:hint="eastAsia"/>
          <w:color w:val="000000" w:themeColor="text1"/>
          <w:sz w:val="21"/>
          <w:szCs w:val="21"/>
        </w:rPr>
        <w:t>，于</w:t>
      </w:r>
      <w:r w:rsidRPr="007B4794">
        <w:rPr>
          <w:rFonts w:ascii="Arial" w:hAnsi="Arial" w:cs="Arial" w:hint="eastAsia"/>
          <w:color w:val="000000" w:themeColor="text1"/>
          <w:sz w:val="21"/>
          <w:szCs w:val="21"/>
        </w:rPr>
        <w:t xml:space="preserve"> 2</w:t>
      </w:r>
      <w:r w:rsidRPr="007B4794">
        <w:rPr>
          <w:rFonts w:ascii="Arial" w:hAnsi="Arial" w:cs="Arial"/>
          <w:color w:val="000000" w:themeColor="text1"/>
          <w:sz w:val="21"/>
          <w:szCs w:val="21"/>
        </w:rPr>
        <w:t>01</w:t>
      </w:r>
      <w:r w:rsidR="009876B3" w:rsidRPr="007B4794">
        <w:rPr>
          <w:rFonts w:ascii="Arial" w:hAnsi="Arial" w:cs="Arial" w:hint="eastAsia"/>
          <w:color w:val="000000" w:themeColor="text1"/>
          <w:sz w:val="21"/>
          <w:szCs w:val="21"/>
        </w:rPr>
        <w:t>7</w:t>
      </w:r>
      <w:r w:rsidRPr="007B4794">
        <w:rPr>
          <w:rFonts w:ascii="Arial" w:hAnsi="Arial" w:cs="Arial" w:hint="eastAsia"/>
          <w:color w:val="000000" w:themeColor="text1"/>
          <w:sz w:val="21"/>
          <w:szCs w:val="21"/>
        </w:rPr>
        <w:t>年达到最高点，共成交</w:t>
      </w:r>
      <w:r w:rsidR="009876B3" w:rsidRPr="007B4794">
        <w:rPr>
          <w:rFonts w:ascii="Arial" w:hAnsi="Arial" w:cs="Arial" w:hint="eastAsia"/>
          <w:color w:val="000000" w:themeColor="text1"/>
          <w:sz w:val="21"/>
          <w:szCs w:val="21"/>
        </w:rPr>
        <w:t>6</w:t>
      </w:r>
      <w:r w:rsidRPr="007B4794">
        <w:rPr>
          <w:rFonts w:ascii="Arial" w:hAnsi="Arial" w:cs="Arial" w:hint="eastAsia"/>
          <w:color w:val="000000" w:themeColor="text1"/>
          <w:sz w:val="21"/>
          <w:szCs w:val="21"/>
        </w:rPr>
        <w:t>宗地，成交土地面积约</w:t>
      </w:r>
      <w:r w:rsidR="00C86CF2" w:rsidRPr="007B4794">
        <w:rPr>
          <w:rFonts w:ascii="Arial" w:hAnsi="Arial" w:cs="Arial" w:hint="eastAsia"/>
          <w:color w:val="000000" w:themeColor="text1"/>
          <w:sz w:val="21"/>
          <w:szCs w:val="21"/>
        </w:rPr>
        <w:t>26.47</w:t>
      </w:r>
      <w:r w:rsidRPr="007B4794">
        <w:rPr>
          <w:rFonts w:ascii="Arial" w:hAnsi="Arial" w:cs="Arial" w:hint="eastAsia"/>
          <w:color w:val="000000" w:themeColor="text1"/>
          <w:sz w:val="21"/>
          <w:szCs w:val="21"/>
        </w:rPr>
        <w:t>平方米，总成交金额约</w:t>
      </w:r>
      <w:r w:rsidR="00C86CF2" w:rsidRPr="007B4794">
        <w:rPr>
          <w:rFonts w:ascii="Arial" w:hAnsi="Arial" w:cs="Arial" w:hint="eastAsia"/>
          <w:color w:val="000000" w:themeColor="text1"/>
          <w:sz w:val="21"/>
          <w:szCs w:val="21"/>
        </w:rPr>
        <w:t>67.89</w:t>
      </w:r>
      <w:r w:rsidRPr="007B4794">
        <w:rPr>
          <w:rFonts w:ascii="Arial" w:hAnsi="Arial" w:cs="Arial" w:hint="eastAsia"/>
          <w:color w:val="000000" w:themeColor="text1"/>
          <w:sz w:val="21"/>
          <w:szCs w:val="21"/>
        </w:rPr>
        <w:t>亿元。在这之后，</w:t>
      </w:r>
      <w:r w:rsidRPr="007B4794">
        <w:rPr>
          <w:rFonts w:ascii="Arial" w:hAnsi="Arial" w:cs="Arial" w:hint="eastAsia"/>
          <w:color w:val="000000" w:themeColor="text1"/>
          <w:sz w:val="21"/>
          <w:szCs w:val="21"/>
        </w:rPr>
        <w:t>201</w:t>
      </w:r>
      <w:r w:rsidR="00C86CF2" w:rsidRPr="007B4794">
        <w:rPr>
          <w:rFonts w:ascii="Arial" w:hAnsi="Arial" w:cs="Arial" w:hint="eastAsia"/>
          <w:color w:val="000000" w:themeColor="text1"/>
          <w:sz w:val="21"/>
          <w:szCs w:val="21"/>
        </w:rPr>
        <w:t>8</w:t>
      </w:r>
      <w:r w:rsidRPr="007B4794">
        <w:rPr>
          <w:rFonts w:ascii="Arial" w:hAnsi="Arial" w:cs="Arial" w:hint="eastAsia"/>
          <w:color w:val="000000" w:themeColor="text1"/>
          <w:sz w:val="21"/>
          <w:szCs w:val="21"/>
        </w:rPr>
        <w:t>年开始成交面积大幅度下降，成交宗数仅为</w:t>
      </w:r>
      <w:r w:rsidR="00C86CF2" w:rsidRPr="007B4794">
        <w:rPr>
          <w:rFonts w:ascii="Arial" w:hAnsi="Arial" w:cs="Arial" w:hint="eastAsia"/>
          <w:color w:val="000000" w:themeColor="text1"/>
          <w:sz w:val="21"/>
          <w:szCs w:val="21"/>
        </w:rPr>
        <w:t>1</w:t>
      </w:r>
      <w:r w:rsidRPr="007B4794">
        <w:rPr>
          <w:rFonts w:ascii="Arial" w:hAnsi="Arial" w:cs="Arial" w:hint="eastAsia"/>
          <w:color w:val="000000" w:themeColor="text1"/>
          <w:sz w:val="21"/>
          <w:szCs w:val="21"/>
        </w:rPr>
        <w:t>宗；</w:t>
      </w:r>
      <w:r w:rsidRPr="007B4794">
        <w:rPr>
          <w:rFonts w:ascii="Arial" w:hAnsi="Arial" w:cs="Arial" w:hint="eastAsia"/>
          <w:color w:val="000000" w:themeColor="text1"/>
          <w:sz w:val="21"/>
          <w:szCs w:val="21"/>
        </w:rPr>
        <w:t>201</w:t>
      </w:r>
      <w:r w:rsidR="00C86CF2" w:rsidRPr="007B4794">
        <w:rPr>
          <w:rFonts w:ascii="Arial" w:hAnsi="Arial" w:cs="Arial" w:hint="eastAsia"/>
          <w:color w:val="000000" w:themeColor="text1"/>
          <w:sz w:val="21"/>
          <w:szCs w:val="21"/>
        </w:rPr>
        <w:t>9</w:t>
      </w:r>
      <w:r w:rsidRPr="007B4794">
        <w:rPr>
          <w:rFonts w:ascii="Arial" w:hAnsi="Arial" w:cs="Arial" w:hint="eastAsia"/>
          <w:color w:val="000000" w:themeColor="text1"/>
          <w:sz w:val="21"/>
          <w:szCs w:val="21"/>
        </w:rPr>
        <w:t>年成交面积略有回升，共成交</w:t>
      </w:r>
      <w:r w:rsidR="00C86CF2" w:rsidRPr="007B4794">
        <w:rPr>
          <w:rFonts w:ascii="Arial" w:hAnsi="Arial" w:cs="Arial" w:hint="eastAsia"/>
          <w:color w:val="000000" w:themeColor="text1"/>
          <w:sz w:val="21"/>
          <w:szCs w:val="21"/>
        </w:rPr>
        <w:t>2</w:t>
      </w:r>
      <w:r w:rsidRPr="007B4794">
        <w:rPr>
          <w:rFonts w:ascii="Arial" w:hAnsi="Arial" w:cs="Arial" w:hint="eastAsia"/>
          <w:color w:val="000000" w:themeColor="text1"/>
          <w:sz w:val="21"/>
          <w:szCs w:val="21"/>
        </w:rPr>
        <w:t>宗地；</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020</w:t>
      </w:r>
      <w:r w:rsidRPr="007B4794">
        <w:rPr>
          <w:rFonts w:ascii="Arial" w:hAnsi="Arial" w:cs="Arial" w:hint="eastAsia"/>
          <w:color w:val="000000" w:themeColor="text1"/>
          <w:sz w:val="21"/>
          <w:szCs w:val="21"/>
        </w:rPr>
        <w:t>年</w:t>
      </w:r>
      <w:r w:rsidRPr="007B4794">
        <w:rPr>
          <w:rFonts w:ascii="Arial" w:hAnsi="Arial" w:cs="Arial" w:hint="eastAsia"/>
          <w:color w:val="000000" w:themeColor="text1"/>
          <w:sz w:val="21"/>
          <w:szCs w:val="21"/>
        </w:rPr>
        <w:t>1-</w:t>
      </w:r>
      <w:r w:rsidR="00C86CF2" w:rsidRPr="007B4794">
        <w:rPr>
          <w:rFonts w:ascii="Arial" w:hAnsi="Arial" w:cs="Arial" w:hint="eastAsia"/>
          <w:color w:val="000000" w:themeColor="text1"/>
          <w:sz w:val="21"/>
          <w:szCs w:val="21"/>
        </w:rPr>
        <w:t>10</w:t>
      </w:r>
      <w:r w:rsidRPr="007B4794">
        <w:rPr>
          <w:rFonts w:ascii="Arial" w:hAnsi="Arial" w:cs="Arial" w:hint="eastAsia"/>
          <w:color w:val="000000" w:themeColor="text1"/>
          <w:sz w:val="21"/>
          <w:szCs w:val="21"/>
        </w:rPr>
        <w:t>月，成交宗地数量为</w:t>
      </w:r>
      <w:r w:rsidR="00094AA3" w:rsidRPr="007B4794">
        <w:rPr>
          <w:rFonts w:ascii="Arial" w:hAnsi="Arial" w:cs="Arial" w:hint="eastAsia"/>
          <w:color w:val="000000" w:themeColor="text1"/>
          <w:sz w:val="21"/>
          <w:szCs w:val="21"/>
        </w:rPr>
        <w:t>6</w:t>
      </w:r>
      <w:r w:rsidRPr="007B4794">
        <w:rPr>
          <w:rFonts w:ascii="Arial" w:hAnsi="Arial" w:cs="Arial" w:hint="eastAsia"/>
          <w:color w:val="000000" w:themeColor="text1"/>
          <w:sz w:val="21"/>
          <w:szCs w:val="21"/>
        </w:rPr>
        <w:t>宗（含本项目），成交土地面积为</w:t>
      </w:r>
      <w:r w:rsidR="00094AA3" w:rsidRPr="007B4794">
        <w:rPr>
          <w:rFonts w:ascii="Arial" w:hAnsi="Arial" w:cs="Arial" w:hint="eastAsia"/>
          <w:color w:val="000000" w:themeColor="text1"/>
          <w:sz w:val="21"/>
          <w:szCs w:val="21"/>
        </w:rPr>
        <w:t>25.39</w:t>
      </w:r>
      <w:r w:rsidRPr="007B4794">
        <w:rPr>
          <w:rFonts w:ascii="Arial" w:hAnsi="Arial" w:cs="Arial" w:hint="eastAsia"/>
          <w:color w:val="000000" w:themeColor="text1"/>
          <w:sz w:val="21"/>
          <w:szCs w:val="21"/>
        </w:rPr>
        <w:t>万平方米，成交规划建筑面积为</w:t>
      </w:r>
      <w:r w:rsidR="00094AA3" w:rsidRPr="007B4794">
        <w:rPr>
          <w:rFonts w:ascii="Arial" w:hAnsi="Arial" w:cs="Arial" w:hint="eastAsia"/>
          <w:color w:val="000000" w:themeColor="text1"/>
          <w:sz w:val="21"/>
          <w:szCs w:val="21"/>
        </w:rPr>
        <w:t>62.87</w:t>
      </w:r>
      <w:r w:rsidRPr="007B4794">
        <w:rPr>
          <w:rFonts w:ascii="Arial" w:hAnsi="Arial" w:cs="Arial" w:hint="eastAsia"/>
          <w:color w:val="000000" w:themeColor="text1"/>
          <w:sz w:val="21"/>
          <w:szCs w:val="21"/>
        </w:rPr>
        <w:t>万平方米，成交金额共计</w:t>
      </w:r>
      <w:r w:rsidR="00094AA3" w:rsidRPr="007B4794">
        <w:rPr>
          <w:rFonts w:ascii="Arial" w:hAnsi="Arial" w:cs="Arial" w:hint="eastAsia"/>
          <w:color w:val="000000" w:themeColor="text1"/>
          <w:sz w:val="21"/>
          <w:szCs w:val="21"/>
        </w:rPr>
        <w:t>40.84</w:t>
      </w:r>
      <w:r w:rsidRPr="007B4794">
        <w:rPr>
          <w:rFonts w:ascii="Arial" w:hAnsi="Arial" w:cs="Arial" w:hint="eastAsia"/>
          <w:color w:val="000000" w:themeColor="text1"/>
          <w:sz w:val="21"/>
          <w:szCs w:val="21"/>
        </w:rPr>
        <w:t>亿元。</w:t>
      </w:r>
    </w:p>
    <w:p w14:paraId="6396A45A" w14:textId="44B69C5D" w:rsidR="00A956D7" w:rsidRPr="007B4794" w:rsidRDefault="003B3124" w:rsidP="00A956D7">
      <w:pPr>
        <w:widowControl w:val="0"/>
        <w:adjustRightInd w:val="0"/>
        <w:snapToGrid w:val="0"/>
        <w:spacing w:line="480" w:lineRule="auto"/>
        <w:jc w:val="both"/>
        <w:rPr>
          <w:rFonts w:ascii="Arial" w:hAnsi="Arial" w:cs="Arial"/>
          <w:color w:val="000000" w:themeColor="text1"/>
          <w:sz w:val="21"/>
          <w:szCs w:val="21"/>
        </w:rPr>
      </w:pPr>
      <w:r w:rsidRPr="007B4794">
        <w:rPr>
          <w:noProof/>
          <w:color w:val="000000" w:themeColor="text1"/>
        </w:rPr>
        <w:drawing>
          <wp:inline distT="0" distB="0" distL="0" distR="0" wp14:anchorId="2C99625F" wp14:editId="6EACAFD7">
            <wp:extent cx="5895975" cy="2428875"/>
            <wp:effectExtent l="0" t="0" r="9525" b="952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52BF1BB" w14:textId="77777777" w:rsidR="00A956D7" w:rsidRPr="007B4794" w:rsidRDefault="00A956D7" w:rsidP="00A956D7">
      <w:pPr>
        <w:widowControl w:val="0"/>
        <w:adjustRightInd w:val="0"/>
        <w:snapToGrid w:val="0"/>
        <w:spacing w:line="480" w:lineRule="auto"/>
        <w:jc w:val="both"/>
        <w:rPr>
          <w:rFonts w:ascii="华文细黑" w:eastAsia="华文细黑" w:hAnsi="华文细黑" w:cs="Arial"/>
          <w:color w:val="000000" w:themeColor="text1"/>
          <w:sz w:val="15"/>
          <w:szCs w:val="15"/>
        </w:rPr>
      </w:pPr>
      <w:r w:rsidRPr="007B4794">
        <w:rPr>
          <w:rFonts w:ascii="华文细黑" w:eastAsia="华文细黑" w:hAnsi="华文细黑" w:cs="Arial" w:hint="eastAsia"/>
          <w:color w:val="000000" w:themeColor="text1"/>
          <w:sz w:val="15"/>
          <w:szCs w:val="15"/>
        </w:rPr>
        <w:t>资料来源：</w:t>
      </w:r>
      <w:r w:rsidRPr="007B4794">
        <w:rPr>
          <w:rFonts w:ascii="Arial" w:eastAsia="华文细黑" w:hAnsi="Arial" w:cs="Arial"/>
          <w:color w:val="000000" w:themeColor="text1"/>
          <w:sz w:val="15"/>
          <w:szCs w:val="15"/>
        </w:rPr>
        <w:t>CREIS</w:t>
      </w:r>
      <w:r w:rsidRPr="007B4794">
        <w:rPr>
          <w:rFonts w:ascii="华文细黑" w:eastAsia="华文细黑" w:hAnsi="华文细黑" w:cs="Arial" w:hint="eastAsia"/>
          <w:color w:val="000000" w:themeColor="text1"/>
          <w:sz w:val="15"/>
          <w:szCs w:val="15"/>
        </w:rPr>
        <w:t>中指数据</w:t>
      </w:r>
    </w:p>
    <w:p w14:paraId="1AE54065" w14:textId="53180E16" w:rsidR="00AE01CB" w:rsidRDefault="00AE01CB" w:rsidP="00AE01CB">
      <w:pPr>
        <w:widowControl w:val="0"/>
        <w:adjustRightInd w:val="0"/>
        <w:snapToGrid w:val="0"/>
        <w:spacing w:line="480" w:lineRule="auto"/>
        <w:ind w:firstLineChars="200" w:firstLine="420"/>
        <w:jc w:val="both"/>
        <w:rPr>
          <w:rFonts w:ascii="Arial" w:hAnsi="Arial" w:cs="Arial" w:hint="eastAsia"/>
          <w:color w:val="000000" w:themeColor="text1"/>
          <w:sz w:val="21"/>
          <w:szCs w:val="21"/>
        </w:rPr>
      </w:pPr>
      <w:r w:rsidRPr="007B4794">
        <w:rPr>
          <w:rFonts w:ascii="Arial" w:hAnsi="Arial" w:cs="Arial" w:hint="eastAsia"/>
          <w:color w:val="000000" w:themeColor="text1"/>
          <w:sz w:val="21"/>
          <w:szCs w:val="21"/>
        </w:rPr>
        <w:t>在过往</w:t>
      </w:r>
      <w:r w:rsidRPr="007B4794">
        <w:rPr>
          <w:rFonts w:ascii="Arial" w:hAnsi="Arial" w:cs="Arial" w:hint="eastAsia"/>
          <w:color w:val="000000" w:themeColor="text1"/>
          <w:sz w:val="21"/>
          <w:szCs w:val="21"/>
        </w:rPr>
        <w:t>5</w:t>
      </w:r>
      <w:r w:rsidRPr="007B4794">
        <w:rPr>
          <w:rFonts w:ascii="Arial" w:hAnsi="Arial" w:cs="Arial" w:hint="eastAsia"/>
          <w:color w:val="000000" w:themeColor="text1"/>
          <w:sz w:val="21"/>
          <w:szCs w:val="21"/>
        </w:rPr>
        <w:t>年</w:t>
      </w:r>
      <w:r w:rsidR="00A956D7" w:rsidRPr="007B4794">
        <w:rPr>
          <w:rFonts w:ascii="Arial" w:hAnsi="Arial" w:cs="Arial" w:hint="eastAsia"/>
          <w:color w:val="000000" w:themeColor="text1"/>
          <w:sz w:val="21"/>
          <w:szCs w:val="21"/>
        </w:rPr>
        <w:t>台商投资区（即角美镇）</w:t>
      </w:r>
      <w:r w:rsidRPr="007B4794">
        <w:rPr>
          <w:rFonts w:ascii="Arial" w:hAnsi="Arial" w:cs="Arial" w:hint="eastAsia"/>
          <w:color w:val="000000" w:themeColor="text1"/>
          <w:sz w:val="21"/>
          <w:szCs w:val="21"/>
        </w:rPr>
        <w:t>成交的</w:t>
      </w:r>
      <w:r w:rsidR="00A956D7" w:rsidRPr="007B4794">
        <w:rPr>
          <w:rFonts w:ascii="Arial" w:hAnsi="Arial" w:cs="Arial" w:hint="eastAsia"/>
          <w:color w:val="000000" w:themeColor="text1"/>
          <w:sz w:val="21"/>
          <w:szCs w:val="21"/>
        </w:rPr>
        <w:t>18</w:t>
      </w:r>
      <w:r w:rsidRPr="007B4794">
        <w:rPr>
          <w:rFonts w:ascii="Arial" w:hAnsi="Arial" w:cs="Arial" w:hint="eastAsia"/>
          <w:color w:val="000000" w:themeColor="text1"/>
          <w:sz w:val="21"/>
          <w:szCs w:val="21"/>
        </w:rPr>
        <w:t>宗涉宅用地当中，有</w:t>
      </w:r>
      <w:r w:rsidR="00A956D7" w:rsidRPr="007B4794">
        <w:rPr>
          <w:rFonts w:ascii="Arial" w:hAnsi="Arial" w:cs="Arial" w:hint="eastAsia"/>
          <w:color w:val="000000" w:themeColor="text1"/>
          <w:sz w:val="21"/>
          <w:szCs w:val="21"/>
        </w:rPr>
        <w:t>15</w:t>
      </w:r>
      <w:r w:rsidRPr="007B4794">
        <w:rPr>
          <w:rFonts w:ascii="Arial" w:hAnsi="Arial" w:cs="Arial" w:hint="eastAsia"/>
          <w:color w:val="000000" w:themeColor="text1"/>
          <w:sz w:val="21"/>
          <w:szCs w:val="21"/>
        </w:rPr>
        <w:t>宗溢价出让，溢价率用地主要集中在</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01</w:t>
      </w:r>
      <w:r w:rsidR="00A956D7" w:rsidRPr="007B4794">
        <w:rPr>
          <w:rFonts w:ascii="Arial" w:hAnsi="Arial" w:cs="Arial" w:hint="eastAsia"/>
          <w:color w:val="000000" w:themeColor="text1"/>
          <w:sz w:val="21"/>
          <w:szCs w:val="21"/>
        </w:rPr>
        <w:t>5</w:t>
      </w:r>
      <w:r w:rsidRPr="007B4794">
        <w:rPr>
          <w:rFonts w:ascii="Arial" w:hAnsi="Arial" w:cs="Arial" w:hint="eastAsia"/>
          <w:color w:val="000000" w:themeColor="text1"/>
          <w:sz w:val="21"/>
          <w:szCs w:val="21"/>
        </w:rPr>
        <w:t>到</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01</w:t>
      </w:r>
      <w:r w:rsidRPr="007B4794">
        <w:rPr>
          <w:rFonts w:ascii="Arial" w:hAnsi="Arial" w:cs="Arial" w:hint="eastAsia"/>
          <w:color w:val="000000" w:themeColor="text1"/>
          <w:sz w:val="21"/>
          <w:szCs w:val="21"/>
        </w:rPr>
        <w:t>7</w:t>
      </w:r>
      <w:r w:rsidRPr="007B4794">
        <w:rPr>
          <w:rFonts w:ascii="Arial" w:hAnsi="Arial" w:cs="Arial" w:hint="eastAsia"/>
          <w:color w:val="000000" w:themeColor="text1"/>
          <w:sz w:val="21"/>
          <w:szCs w:val="21"/>
        </w:rPr>
        <w:t>年，</w:t>
      </w:r>
      <w:r w:rsidRPr="007B4794">
        <w:rPr>
          <w:rFonts w:ascii="Arial" w:hAnsi="Arial" w:cs="Arial" w:hint="eastAsia"/>
          <w:color w:val="000000" w:themeColor="text1"/>
          <w:sz w:val="21"/>
          <w:szCs w:val="21"/>
        </w:rPr>
        <w:t xml:space="preserve"> 201</w:t>
      </w:r>
      <w:r w:rsidR="00A956D7" w:rsidRPr="007B4794">
        <w:rPr>
          <w:rFonts w:ascii="Arial" w:hAnsi="Arial" w:cs="Arial" w:hint="eastAsia"/>
          <w:color w:val="000000" w:themeColor="text1"/>
          <w:sz w:val="21"/>
          <w:szCs w:val="21"/>
        </w:rPr>
        <w:t>5</w:t>
      </w:r>
      <w:r w:rsidRPr="007B4794">
        <w:rPr>
          <w:rFonts w:ascii="Arial" w:hAnsi="Arial" w:cs="Arial" w:hint="eastAsia"/>
          <w:color w:val="000000" w:themeColor="text1"/>
          <w:sz w:val="21"/>
          <w:szCs w:val="21"/>
        </w:rPr>
        <w:t>年溢价率为</w:t>
      </w:r>
      <w:r w:rsidR="00A956D7" w:rsidRPr="007B4794">
        <w:rPr>
          <w:rFonts w:ascii="Arial" w:hAnsi="Arial" w:cs="Arial" w:hint="eastAsia"/>
          <w:color w:val="000000" w:themeColor="text1"/>
          <w:sz w:val="21"/>
          <w:szCs w:val="21"/>
        </w:rPr>
        <w:t>115.08</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、平均楼面单价为</w:t>
      </w:r>
      <w:r w:rsidR="00A956D7" w:rsidRPr="007B4794">
        <w:rPr>
          <w:rFonts w:ascii="Arial" w:hAnsi="Arial" w:cs="Arial" w:hint="eastAsia"/>
          <w:color w:val="000000" w:themeColor="text1"/>
          <w:sz w:val="21"/>
          <w:szCs w:val="21"/>
        </w:rPr>
        <w:t>4803</w:t>
      </w:r>
      <w:r w:rsidRPr="007B4794">
        <w:rPr>
          <w:rFonts w:ascii="Arial" w:hAnsi="Arial" w:cs="Arial" w:hint="eastAsia"/>
          <w:color w:val="000000" w:themeColor="text1"/>
          <w:sz w:val="21"/>
          <w:szCs w:val="21"/>
        </w:rPr>
        <w:t>元</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平方米；</w:t>
      </w:r>
      <w:r w:rsidRPr="007B4794">
        <w:rPr>
          <w:rFonts w:ascii="Arial" w:hAnsi="Arial" w:cs="Arial" w:hint="eastAsia"/>
          <w:color w:val="000000" w:themeColor="text1"/>
          <w:sz w:val="21"/>
          <w:szCs w:val="21"/>
        </w:rPr>
        <w:t>201</w:t>
      </w:r>
      <w:r w:rsidR="00A956D7" w:rsidRPr="007B4794">
        <w:rPr>
          <w:rFonts w:ascii="Arial" w:hAnsi="Arial" w:cs="Arial" w:hint="eastAsia"/>
          <w:color w:val="000000" w:themeColor="text1"/>
          <w:sz w:val="21"/>
          <w:szCs w:val="21"/>
        </w:rPr>
        <w:t>6</w:t>
      </w:r>
      <w:r w:rsidRPr="007B4794">
        <w:rPr>
          <w:rFonts w:ascii="Arial" w:hAnsi="Arial" w:cs="Arial" w:hint="eastAsia"/>
          <w:color w:val="000000" w:themeColor="text1"/>
          <w:sz w:val="21"/>
          <w:szCs w:val="21"/>
        </w:rPr>
        <w:t>年溢价率为</w:t>
      </w:r>
      <w:r w:rsidR="00A956D7" w:rsidRPr="007B4794">
        <w:rPr>
          <w:rFonts w:ascii="Arial" w:hAnsi="Arial" w:cs="Arial" w:hint="eastAsia"/>
          <w:color w:val="000000" w:themeColor="text1"/>
          <w:sz w:val="21"/>
          <w:szCs w:val="21"/>
        </w:rPr>
        <w:t>301.33</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、平均楼面单价为</w:t>
      </w:r>
      <w:r w:rsidR="00A956D7" w:rsidRPr="007B4794">
        <w:rPr>
          <w:rFonts w:ascii="Arial" w:hAnsi="Arial" w:cs="Arial" w:hint="eastAsia"/>
          <w:color w:val="000000" w:themeColor="text1"/>
          <w:sz w:val="21"/>
          <w:szCs w:val="21"/>
        </w:rPr>
        <w:t>12042</w:t>
      </w:r>
      <w:r w:rsidRPr="007B4794">
        <w:rPr>
          <w:rFonts w:ascii="Arial" w:hAnsi="Arial" w:cs="Arial" w:hint="eastAsia"/>
          <w:color w:val="000000" w:themeColor="text1"/>
          <w:sz w:val="21"/>
          <w:szCs w:val="21"/>
        </w:rPr>
        <w:t>元</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平方米；</w:t>
      </w:r>
      <w:r w:rsidRPr="007B4794">
        <w:rPr>
          <w:rFonts w:ascii="Arial" w:hAnsi="Arial" w:cs="Arial" w:hint="eastAsia"/>
          <w:color w:val="000000" w:themeColor="text1"/>
          <w:sz w:val="21"/>
          <w:szCs w:val="21"/>
        </w:rPr>
        <w:t>201</w:t>
      </w:r>
      <w:r w:rsidR="00A956D7" w:rsidRPr="007B4794">
        <w:rPr>
          <w:rFonts w:ascii="Arial" w:hAnsi="Arial" w:cs="Arial" w:hint="eastAsia"/>
          <w:color w:val="000000" w:themeColor="text1"/>
          <w:sz w:val="21"/>
          <w:szCs w:val="21"/>
        </w:rPr>
        <w:t>7</w:t>
      </w:r>
      <w:r w:rsidRPr="007B4794">
        <w:rPr>
          <w:rFonts w:ascii="Arial" w:hAnsi="Arial" w:cs="Arial" w:hint="eastAsia"/>
          <w:color w:val="000000" w:themeColor="text1"/>
          <w:sz w:val="21"/>
          <w:szCs w:val="21"/>
        </w:rPr>
        <w:t>年溢价率为</w:t>
      </w:r>
      <w:r w:rsidR="00A956D7" w:rsidRPr="007B4794">
        <w:rPr>
          <w:rFonts w:ascii="Arial" w:hAnsi="Arial" w:cs="Arial" w:hint="eastAsia"/>
          <w:color w:val="000000" w:themeColor="text1"/>
          <w:sz w:val="21"/>
          <w:szCs w:val="21"/>
        </w:rPr>
        <w:t>32.84</w:t>
      </w:r>
      <w:r w:rsidRPr="007B4794">
        <w:rPr>
          <w:rFonts w:ascii="Arial" w:hAnsi="Arial" w:cs="Arial" w:hint="eastAsia"/>
          <w:color w:val="000000" w:themeColor="text1"/>
          <w:sz w:val="21"/>
          <w:szCs w:val="21"/>
        </w:rPr>
        <w:t>%</w:t>
      </w:r>
      <w:r w:rsidR="00A956D7" w:rsidRPr="007B4794">
        <w:rPr>
          <w:rFonts w:ascii="Arial" w:hAnsi="Arial" w:cs="Arial" w:hint="eastAsia"/>
          <w:color w:val="000000" w:themeColor="text1"/>
          <w:sz w:val="21"/>
          <w:szCs w:val="21"/>
        </w:rPr>
        <w:t>、平均楼面单价</w:t>
      </w:r>
      <w:r w:rsidR="00A956D7" w:rsidRPr="007B4794">
        <w:rPr>
          <w:rFonts w:ascii="Arial" w:hAnsi="Arial" w:cs="Arial" w:hint="eastAsia"/>
          <w:color w:val="000000" w:themeColor="text1"/>
          <w:sz w:val="21"/>
          <w:szCs w:val="21"/>
        </w:rPr>
        <w:lastRenderedPageBreak/>
        <w:t>为</w:t>
      </w:r>
      <w:r w:rsidR="00B728A0" w:rsidRPr="007B4794">
        <w:rPr>
          <w:rFonts w:ascii="Arial" w:hAnsi="Arial" w:cs="Arial" w:hint="eastAsia"/>
          <w:color w:val="000000" w:themeColor="text1"/>
          <w:sz w:val="21"/>
          <w:szCs w:val="21"/>
        </w:rPr>
        <w:t>11976</w:t>
      </w:r>
      <w:r w:rsidR="00A956D7" w:rsidRPr="007B4794">
        <w:rPr>
          <w:rFonts w:ascii="Arial" w:hAnsi="Arial" w:cs="Arial" w:hint="eastAsia"/>
          <w:color w:val="000000" w:themeColor="text1"/>
          <w:sz w:val="21"/>
          <w:szCs w:val="21"/>
        </w:rPr>
        <w:t>元</w:t>
      </w:r>
      <w:r w:rsidR="00A956D7" w:rsidRPr="007B4794">
        <w:rPr>
          <w:rFonts w:ascii="Arial" w:hAnsi="Arial" w:cs="Arial" w:hint="eastAsia"/>
          <w:color w:val="000000" w:themeColor="text1"/>
          <w:sz w:val="21"/>
          <w:szCs w:val="21"/>
        </w:rPr>
        <w:t>/</w:t>
      </w:r>
      <w:r w:rsidR="00A956D7" w:rsidRPr="007B4794">
        <w:rPr>
          <w:rFonts w:ascii="Arial" w:hAnsi="Arial" w:cs="Arial" w:hint="eastAsia"/>
          <w:color w:val="000000" w:themeColor="text1"/>
          <w:sz w:val="21"/>
          <w:szCs w:val="21"/>
        </w:rPr>
        <w:t>平方米</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01</w:t>
      </w:r>
      <w:r w:rsidR="00B728A0" w:rsidRPr="007B4794">
        <w:rPr>
          <w:rFonts w:ascii="Arial" w:hAnsi="Arial" w:cs="Arial" w:hint="eastAsia"/>
          <w:color w:val="000000" w:themeColor="text1"/>
          <w:sz w:val="21"/>
          <w:szCs w:val="21"/>
        </w:rPr>
        <w:t>8</w:t>
      </w:r>
      <w:r w:rsidRPr="007B4794">
        <w:rPr>
          <w:rFonts w:ascii="Arial" w:hAnsi="Arial" w:cs="Arial" w:hint="eastAsia"/>
          <w:color w:val="000000" w:themeColor="text1"/>
          <w:sz w:val="21"/>
          <w:szCs w:val="21"/>
        </w:rPr>
        <w:t>年溢价率为</w:t>
      </w:r>
      <w:r w:rsidR="00B728A0" w:rsidRPr="007B4794">
        <w:rPr>
          <w:rFonts w:ascii="Arial" w:hAnsi="Arial" w:cs="Arial" w:hint="eastAsia"/>
          <w:color w:val="000000" w:themeColor="text1"/>
          <w:sz w:val="21"/>
          <w:szCs w:val="21"/>
        </w:rPr>
        <w:t>2.03</w:t>
      </w:r>
      <w:r w:rsidRPr="007B4794">
        <w:rPr>
          <w:rFonts w:ascii="Arial" w:hAnsi="Arial" w:cs="Arial" w:hint="eastAsia"/>
          <w:color w:val="000000" w:themeColor="text1"/>
          <w:sz w:val="21"/>
          <w:szCs w:val="21"/>
        </w:rPr>
        <w:t>%</w:t>
      </w:r>
      <w:r w:rsidR="00B728A0" w:rsidRPr="007B4794">
        <w:rPr>
          <w:rFonts w:ascii="Arial" w:hAnsi="Arial" w:cs="Arial" w:hint="eastAsia"/>
          <w:color w:val="000000" w:themeColor="text1"/>
          <w:sz w:val="21"/>
          <w:szCs w:val="21"/>
        </w:rPr>
        <w:t>，</w:t>
      </w:r>
      <w:r w:rsidR="00B728A0" w:rsidRPr="007B4794">
        <w:rPr>
          <w:rFonts w:ascii="Arial" w:hAnsi="Arial" w:cs="Arial" w:hint="eastAsia"/>
          <w:color w:val="000000" w:themeColor="text1"/>
          <w:sz w:val="21"/>
          <w:szCs w:val="21"/>
        </w:rPr>
        <w:t>2019</w:t>
      </w:r>
      <w:r w:rsidR="00B728A0" w:rsidRPr="007B4794">
        <w:rPr>
          <w:rFonts w:ascii="Arial" w:hAnsi="Arial" w:cs="Arial" w:hint="eastAsia"/>
          <w:color w:val="000000" w:themeColor="text1"/>
          <w:sz w:val="21"/>
          <w:szCs w:val="21"/>
        </w:rPr>
        <w:t>年溢价率为</w:t>
      </w:r>
      <w:r w:rsidR="00B728A0" w:rsidRPr="007B4794">
        <w:rPr>
          <w:rFonts w:ascii="Arial" w:hAnsi="Arial" w:cs="Arial" w:hint="eastAsia"/>
          <w:color w:val="000000" w:themeColor="text1"/>
          <w:sz w:val="21"/>
          <w:szCs w:val="21"/>
        </w:rPr>
        <w:t>0</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020</w:t>
      </w:r>
      <w:r w:rsidRPr="007B4794">
        <w:rPr>
          <w:rFonts w:ascii="Arial" w:hAnsi="Arial" w:cs="Arial" w:hint="eastAsia"/>
          <w:color w:val="000000" w:themeColor="text1"/>
          <w:sz w:val="21"/>
          <w:szCs w:val="21"/>
        </w:rPr>
        <w:t>年</w:t>
      </w:r>
      <w:r w:rsidRPr="007B4794">
        <w:rPr>
          <w:rFonts w:ascii="Arial" w:hAnsi="Arial" w:cs="Arial" w:hint="eastAsia"/>
          <w:color w:val="000000" w:themeColor="text1"/>
          <w:sz w:val="21"/>
          <w:szCs w:val="21"/>
        </w:rPr>
        <w:t>1-</w:t>
      </w:r>
      <w:r w:rsidR="00B728A0" w:rsidRPr="007B4794">
        <w:rPr>
          <w:rFonts w:ascii="Arial" w:hAnsi="Arial" w:cs="Arial" w:hint="eastAsia"/>
          <w:color w:val="000000" w:themeColor="text1"/>
          <w:sz w:val="21"/>
          <w:szCs w:val="21"/>
        </w:rPr>
        <w:t>10</w:t>
      </w:r>
      <w:r w:rsidRPr="007B4794">
        <w:rPr>
          <w:rFonts w:ascii="Arial" w:hAnsi="Arial" w:cs="Arial" w:hint="eastAsia"/>
          <w:color w:val="000000" w:themeColor="text1"/>
          <w:sz w:val="21"/>
          <w:szCs w:val="21"/>
        </w:rPr>
        <w:t>月，溢价率为</w:t>
      </w:r>
      <w:r w:rsidR="00B728A0" w:rsidRPr="007B4794">
        <w:rPr>
          <w:rFonts w:ascii="Arial" w:hAnsi="Arial" w:cs="Arial" w:hint="eastAsia"/>
          <w:color w:val="000000" w:themeColor="text1"/>
          <w:sz w:val="21"/>
          <w:szCs w:val="21"/>
        </w:rPr>
        <w:t>18.86</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，平均楼面单价为</w:t>
      </w:r>
      <w:r w:rsidR="00B728A0" w:rsidRPr="007B4794">
        <w:rPr>
          <w:rFonts w:ascii="Arial" w:hAnsi="Arial" w:cs="Arial" w:hint="eastAsia"/>
          <w:color w:val="000000" w:themeColor="text1"/>
          <w:sz w:val="21"/>
          <w:szCs w:val="21"/>
        </w:rPr>
        <w:t>6496</w:t>
      </w:r>
      <w:r w:rsidRPr="007B4794">
        <w:rPr>
          <w:rFonts w:ascii="Arial" w:hAnsi="Arial" w:cs="Arial" w:hint="eastAsia"/>
          <w:color w:val="000000" w:themeColor="text1"/>
          <w:sz w:val="21"/>
          <w:szCs w:val="21"/>
        </w:rPr>
        <w:t>元</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平方米。逐年来看，</w:t>
      </w:r>
      <w:r w:rsidRPr="007B4794">
        <w:rPr>
          <w:rFonts w:ascii="Arial" w:hAnsi="Arial" w:cs="Arial" w:hint="eastAsia"/>
          <w:color w:val="000000" w:themeColor="text1"/>
          <w:sz w:val="21"/>
          <w:szCs w:val="21"/>
        </w:rPr>
        <w:t>2016</w:t>
      </w:r>
      <w:r w:rsidR="003B3124" w:rsidRPr="007B4794">
        <w:rPr>
          <w:rFonts w:ascii="Arial" w:hAnsi="Arial" w:cs="Arial" w:hint="eastAsia"/>
          <w:color w:val="000000" w:themeColor="text1"/>
          <w:sz w:val="21"/>
          <w:szCs w:val="21"/>
        </w:rPr>
        <w:t>、</w:t>
      </w:r>
      <w:r w:rsidR="003B3124" w:rsidRPr="007B4794">
        <w:rPr>
          <w:rFonts w:ascii="Arial" w:hAnsi="Arial" w:cs="Arial" w:hint="eastAsia"/>
          <w:color w:val="000000" w:themeColor="text1"/>
          <w:sz w:val="21"/>
          <w:szCs w:val="21"/>
        </w:rPr>
        <w:t>2017</w:t>
      </w:r>
      <w:r w:rsidRPr="007B4794">
        <w:rPr>
          <w:rFonts w:ascii="Arial" w:hAnsi="Arial" w:cs="Arial" w:hint="eastAsia"/>
          <w:color w:val="000000" w:themeColor="text1"/>
          <w:sz w:val="21"/>
          <w:szCs w:val="21"/>
        </w:rPr>
        <w:t>年成交价格达到最高点，</w:t>
      </w:r>
      <w:r w:rsidRPr="007B4794">
        <w:rPr>
          <w:rFonts w:ascii="Arial" w:hAnsi="Arial" w:cs="Arial" w:hint="eastAsia"/>
          <w:color w:val="000000" w:themeColor="text1"/>
          <w:sz w:val="21"/>
          <w:szCs w:val="21"/>
        </w:rPr>
        <w:t>201</w:t>
      </w:r>
      <w:r w:rsidR="003B3124" w:rsidRPr="007B4794">
        <w:rPr>
          <w:rFonts w:ascii="Arial" w:hAnsi="Arial" w:cs="Arial" w:hint="eastAsia"/>
          <w:color w:val="000000" w:themeColor="text1"/>
          <w:sz w:val="21"/>
          <w:szCs w:val="21"/>
        </w:rPr>
        <w:t>8</w:t>
      </w:r>
      <w:r w:rsidRPr="007B4794">
        <w:rPr>
          <w:rFonts w:ascii="Arial" w:hAnsi="Arial" w:cs="Arial" w:hint="eastAsia"/>
          <w:color w:val="000000" w:themeColor="text1"/>
          <w:sz w:val="21"/>
          <w:szCs w:val="21"/>
        </w:rPr>
        <w:t>年开始成交价格</w:t>
      </w:r>
      <w:r w:rsidR="003B3124" w:rsidRPr="007B4794">
        <w:rPr>
          <w:rFonts w:ascii="Arial" w:hAnsi="Arial" w:cs="Arial" w:hint="eastAsia"/>
          <w:color w:val="000000" w:themeColor="text1"/>
          <w:sz w:val="21"/>
          <w:szCs w:val="21"/>
        </w:rPr>
        <w:t>开始下降</w:t>
      </w:r>
      <w:r w:rsidRPr="007B4794">
        <w:rPr>
          <w:rFonts w:ascii="Arial" w:hAnsi="Arial" w:cs="Arial" w:hint="eastAsia"/>
          <w:color w:val="000000" w:themeColor="text1"/>
          <w:sz w:val="21"/>
          <w:szCs w:val="21"/>
        </w:rPr>
        <w:t>，</w:t>
      </w:r>
      <w:r w:rsidR="003B3124" w:rsidRPr="007B4794">
        <w:rPr>
          <w:rFonts w:ascii="Arial" w:hAnsi="Arial" w:cs="Arial" w:hint="eastAsia"/>
          <w:color w:val="000000" w:themeColor="text1"/>
          <w:sz w:val="21"/>
          <w:szCs w:val="21"/>
        </w:rPr>
        <w:t xml:space="preserve"> </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019</w:t>
      </w:r>
      <w:r w:rsidRPr="007B4794">
        <w:rPr>
          <w:rFonts w:ascii="Arial" w:hAnsi="Arial" w:cs="Arial" w:hint="eastAsia"/>
          <w:color w:val="000000" w:themeColor="text1"/>
          <w:sz w:val="21"/>
          <w:szCs w:val="21"/>
        </w:rPr>
        <w:t>年出现</w:t>
      </w:r>
      <w:r w:rsidR="003B3124" w:rsidRPr="007B4794">
        <w:rPr>
          <w:rFonts w:ascii="Arial" w:hAnsi="Arial" w:cs="Arial" w:hint="eastAsia"/>
          <w:color w:val="000000" w:themeColor="text1"/>
          <w:sz w:val="21"/>
          <w:szCs w:val="21"/>
        </w:rPr>
        <w:t>大</w:t>
      </w:r>
      <w:r w:rsidRPr="007B4794">
        <w:rPr>
          <w:rFonts w:ascii="Arial" w:hAnsi="Arial" w:cs="Arial" w:hint="eastAsia"/>
          <w:color w:val="000000" w:themeColor="text1"/>
          <w:sz w:val="21"/>
          <w:szCs w:val="21"/>
        </w:rPr>
        <w:t>幅度下降，</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020</w:t>
      </w:r>
      <w:r w:rsidRPr="007B4794">
        <w:rPr>
          <w:rFonts w:ascii="Arial" w:hAnsi="Arial" w:cs="Arial" w:hint="eastAsia"/>
          <w:color w:val="000000" w:themeColor="text1"/>
          <w:sz w:val="21"/>
          <w:szCs w:val="21"/>
        </w:rPr>
        <w:t>年</w:t>
      </w:r>
      <w:r w:rsidR="003B3124" w:rsidRPr="007B4794">
        <w:rPr>
          <w:rFonts w:ascii="Arial" w:hAnsi="Arial" w:cs="Arial" w:hint="eastAsia"/>
          <w:color w:val="000000" w:themeColor="text1"/>
          <w:sz w:val="21"/>
          <w:szCs w:val="21"/>
        </w:rPr>
        <w:t>成交楼面单价与</w:t>
      </w:r>
      <w:r w:rsidR="003B3124" w:rsidRPr="007B4794">
        <w:rPr>
          <w:rFonts w:ascii="Arial" w:hAnsi="Arial" w:cs="Arial" w:hint="eastAsia"/>
          <w:color w:val="000000" w:themeColor="text1"/>
          <w:sz w:val="21"/>
          <w:szCs w:val="21"/>
        </w:rPr>
        <w:t>2019</w:t>
      </w:r>
      <w:r w:rsidR="003B3124" w:rsidRPr="007B4794">
        <w:rPr>
          <w:rFonts w:ascii="Arial" w:hAnsi="Arial" w:cs="Arial" w:hint="eastAsia"/>
          <w:color w:val="000000" w:themeColor="text1"/>
          <w:sz w:val="21"/>
          <w:szCs w:val="21"/>
        </w:rPr>
        <w:t>年基本持平</w:t>
      </w:r>
      <w:r w:rsidRPr="007B4794">
        <w:rPr>
          <w:rFonts w:ascii="Arial" w:hAnsi="Arial" w:cs="Arial" w:hint="eastAsia"/>
          <w:color w:val="000000" w:themeColor="text1"/>
          <w:sz w:val="21"/>
          <w:szCs w:val="21"/>
        </w:rPr>
        <w:t>。</w:t>
      </w:r>
    </w:p>
    <w:p w14:paraId="4C04ECCA" w14:textId="77777777" w:rsidR="00074032" w:rsidRPr="00074032" w:rsidRDefault="00074032" w:rsidP="00074032">
      <w:pPr>
        <w:widowControl w:val="0"/>
        <w:adjustRightInd w:val="0"/>
        <w:snapToGrid w:val="0"/>
        <w:spacing w:line="480" w:lineRule="auto"/>
        <w:ind w:firstLineChars="200" w:firstLine="420"/>
        <w:jc w:val="both"/>
        <w:rPr>
          <w:rFonts w:ascii="华文楷体" w:eastAsia="华文楷体" w:hAnsi="华文楷体" w:cs="Arial"/>
          <w:color w:val="000000" w:themeColor="text1"/>
          <w:sz w:val="21"/>
          <w:szCs w:val="21"/>
        </w:rPr>
      </w:pPr>
      <w:r w:rsidRPr="00074032">
        <w:rPr>
          <w:rFonts w:ascii="华文楷体" w:eastAsia="华文楷体" w:hAnsi="华文楷体" w:cs="Arial" w:hint="eastAsia"/>
          <w:color w:val="000000" w:themeColor="text1"/>
          <w:sz w:val="21"/>
          <w:szCs w:val="21"/>
        </w:rPr>
        <w:t>（转下页）</w:t>
      </w:r>
    </w:p>
    <w:p w14:paraId="6131BBF7" w14:textId="77777777" w:rsidR="00074032" w:rsidRPr="007B4794" w:rsidRDefault="00074032"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p>
    <w:p w14:paraId="67E4121E" w14:textId="77777777" w:rsidR="00AE01CB" w:rsidRPr="007B4794" w:rsidRDefault="00AE01CB"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p>
    <w:p w14:paraId="264B577E" w14:textId="77777777" w:rsidR="00AE01CB" w:rsidRPr="007B4794" w:rsidRDefault="00AE01CB" w:rsidP="00AE01CB">
      <w:pPr>
        <w:widowControl w:val="0"/>
        <w:adjustRightInd w:val="0"/>
        <w:snapToGrid w:val="0"/>
        <w:spacing w:line="480" w:lineRule="auto"/>
        <w:ind w:firstLineChars="200" w:firstLine="420"/>
        <w:jc w:val="both"/>
        <w:rPr>
          <w:rFonts w:ascii="Arial" w:hAnsi="Arial" w:cs="Arial"/>
          <w:color w:val="000000" w:themeColor="text1"/>
          <w:sz w:val="21"/>
          <w:szCs w:val="21"/>
        </w:rPr>
        <w:sectPr w:rsidR="00AE01CB" w:rsidRPr="007B4794" w:rsidSect="009B0B0F">
          <w:headerReference w:type="even" r:id="rId52"/>
          <w:headerReference w:type="default" r:id="rId53"/>
          <w:headerReference w:type="first" r:id="rId54"/>
          <w:pgSz w:w="11906" w:h="16838" w:code="9"/>
          <w:pgMar w:top="1843" w:right="1304" w:bottom="1134" w:left="1304" w:header="1134" w:footer="907" w:gutter="0"/>
          <w:cols w:space="425"/>
          <w:titlePg/>
          <w:docGrid w:linePitch="312"/>
        </w:sectPr>
      </w:pPr>
    </w:p>
    <w:p w14:paraId="336846E1" w14:textId="151C8829" w:rsidR="00AE01CB" w:rsidRPr="007B4794" w:rsidRDefault="00AE01CB" w:rsidP="00AE01CB">
      <w:pPr>
        <w:widowControl w:val="0"/>
        <w:spacing w:line="360" w:lineRule="auto"/>
        <w:jc w:val="center"/>
        <w:rPr>
          <w:rFonts w:ascii="Arial" w:eastAsia="黑体" w:hAnsi="Arial" w:cs="Arial"/>
          <w:color w:val="000000" w:themeColor="text1"/>
          <w:sz w:val="28"/>
          <w:szCs w:val="28"/>
        </w:rPr>
      </w:pPr>
      <w:r w:rsidRPr="007B4794">
        <w:rPr>
          <w:rFonts w:ascii="Arial" w:eastAsia="黑体" w:hAnsi="Arial" w:cs="Arial"/>
          <w:color w:val="000000" w:themeColor="text1"/>
          <w:sz w:val="28"/>
          <w:szCs w:val="28"/>
        </w:rPr>
        <w:lastRenderedPageBreak/>
        <w:t>2015</w:t>
      </w:r>
      <w:r w:rsidRPr="007B4794">
        <w:rPr>
          <w:rFonts w:ascii="Arial" w:eastAsia="黑体" w:hAnsi="Arial" w:cs="Arial"/>
          <w:color w:val="000000" w:themeColor="text1"/>
          <w:sz w:val="28"/>
          <w:szCs w:val="28"/>
        </w:rPr>
        <w:t>年至</w:t>
      </w:r>
      <w:r w:rsidRPr="007B4794">
        <w:rPr>
          <w:rFonts w:ascii="Arial" w:eastAsia="黑体" w:hAnsi="Arial" w:cs="Arial"/>
          <w:color w:val="000000" w:themeColor="text1"/>
          <w:sz w:val="28"/>
          <w:szCs w:val="28"/>
        </w:rPr>
        <w:t>2020</w:t>
      </w:r>
      <w:r w:rsidRPr="007B4794">
        <w:rPr>
          <w:rFonts w:ascii="Arial" w:eastAsia="黑体" w:hAnsi="Arial" w:cs="Arial"/>
          <w:color w:val="000000" w:themeColor="text1"/>
          <w:sz w:val="28"/>
          <w:szCs w:val="28"/>
        </w:rPr>
        <w:t>年</w:t>
      </w:r>
      <w:r w:rsidR="003B3124" w:rsidRPr="007B4794">
        <w:rPr>
          <w:rFonts w:ascii="Arial" w:eastAsia="黑体" w:hAnsi="Arial" w:cs="Arial"/>
          <w:color w:val="000000" w:themeColor="text1"/>
          <w:sz w:val="28"/>
          <w:szCs w:val="28"/>
        </w:rPr>
        <w:t>10</w:t>
      </w:r>
      <w:r w:rsidRPr="007B4794">
        <w:rPr>
          <w:rFonts w:ascii="Arial" w:eastAsia="黑体" w:hAnsi="Arial" w:cs="Arial"/>
          <w:color w:val="000000" w:themeColor="text1"/>
          <w:sz w:val="28"/>
          <w:szCs w:val="28"/>
        </w:rPr>
        <w:t>月</w:t>
      </w:r>
      <w:r w:rsidR="003B3124" w:rsidRPr="007B4794">
        <w:rPr>
          <w:rFonts w:ascii="Arial" w:eastAsia="黑体" w:hAnsi="Arial" w:cs="Arial"/>
          <w:color w:val="000000" w:themeColor="text1"/>
          <w:sz w:val="28"/>
          <w:szCs w:val="28"/>
        </w:rPr>
        <w:t>漳州台商投资区（即角美镇）</w:t>
      </w:r>
      <w:r w:rsidRPr="007B4794">
        <w:rPr>
          <w:rFonts w:ascii="Arial" w:eastAsia="黑体" w:hAnsi="Arial" w:cs="Arial"/>
          <w:color w:val="000000" w:themeColor="text1"/>
          <w:sz w:val="28"/>
          <w:szCs w:val="28"/>
        </w:rPr>
        <w:t>涉宅用地出让情况一览表</w:t>
      </w:r>
    </w:p>
    <w:tbl>
      <w:tblPr>
        <w:tblW w:w="5000" w:type="pct"/>
        <w:tblLayout w:type="fixed"/>
        <w:tblLook w:val="04A0" w:firstRow="1" w:lastRow="0" w:firstColumn="1" w:lastColumn="0" w:noHBand="0" w:noVBand="1"/>
      </w:tblPr>
      <w:tblGrid>
        <w:gridCol w:w="536"/>
        <w:gridCol w:w="1420"/>
        <w:gridCol w:w="989"/>
        <w:gridCol w:w="1081"/>
        <w:gridCol w:w="780"/>
        <w:gridCol w:w="971"/>
        <w:gridCol w:w="1135"/>
        <w:gridCol w:w="994"/>
        <w:gridCol w:w="2551"/>
        <w:gridCol w:w="850"/>
        <w:gridCol w:w="991"/>
        <w:gridCol w:w="994"/>
        <w:gridCol w:w="785"/>
      </w:tblGrid>
      <w:tr w:rsidR="003B3124" w:rsidRPr="007B4794" w14:paraId="2157B80A" w14:textId="77777777" w:rsidTr="003B3124">
        <w:trPr>
          <w:trHeight w:val="435"/>
          <w:tblHeader/>
        </w:trPr>
        <w:tc>
          <w:tcPr>
            <w:tcW w:w="190" w:type="pct"/>
            <w:tcBorders>
              <w:top w:val="single" w:sz="8" w:space="0" w:color="auto"/>
              <w:left w:val="nil"/>
              <w:bottom w:val="single" w:sz="8" w:space="0" w:color="auto"/>
              <w:right w:val="nil"/>
            </w:tcBorders>
            <w:shd w:val="clear" w:color="000000" w:fill="FFFFFF"/>
            <w:noWrap/>
            <w:vAlign w:val="center"/>
            <w:hideMark/>
          </w:tcPr>
          <w:p w14:paraId="2A87FA47"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序号</w:t>
            </w:r>
          </w:p>
        </w:tc>
        <w:tc>
          <w:tcPr>
            <w:tcW w:w="504" w:type="pct"/>
            <w:tcBorders>
              <w:top w:val="single" w:sz="8" w:space="0" w:color="auto"/>
              <w:left w:val="nil"/>
              <w:bottom w:val="single" w:sz="8" w:space="0" w:color="auto"/>
              <w:right w:val="nil"/>
            </w:tcBorders>
            <w:shd w:val="clear" w:color="000000" w:fill="FFFFFF"/>
            <w:noWrap/>
            <w:vAlign w:val="center"/>
            <w:hideMark/>
          </w:tcPr>
          <w:p w14:paraId="3D994BA9"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地块名称</w:t>
            </w:r>
          </w:p>
        </w:tc>
        <w:tc>
          <w:tcPr>
            <w:tcW w:w="351" w:type="pct"/>
            <w:tcBorders>
              <w:top w:val="single" w:sz="8" w:space="0" w:color="auto"/>
              <w:left w:val="nil"/>
              <w:bottom w:val="single" w:sz="8" w:space="0" w:color="auto"/>
              <w:right w:val="nil"/>
            </w:tcBorders>
            <w:shd w:val="clear" w:color="000000" w:fill="FFFFFF"/>
            <w:noWrap/>
            <w:vAlign w:val="center"/>
            <w:hideMark/>
          </w:tcPr>
          <w:p w14:paraId="3CF87261"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地块编号</w:t>
            </w:r>
          </w:p>
        </w:tc>
        <w:tc>
          <w:tcPr>
            <w:tcW w:w="384" w:type="pct"/>
            <w:tcBorders>
              <w:top w:val="single" w:sz="8" w:space="0" w:color="auto"/>
              <w:left w:val="nil"/>
              <w:bottom w:val="single" w:sz="8" w:space="0" w:color="auto"/>
              <w:right w:val="nil"/>
            </w:tcBorders>
            <w:shd w:val="clear" w:color="000000" w:fill="FFFFFF"/>
            <w:noWrap/>
            <w:vAlign w:val="center"/>
            <w:hideMark/>
          </w:tcPr>
          <w:p w14:paraId="2248C0DE"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详细规划</w:t>
            </w:r>
          </w:p>
        </w:tc>
        <w:tc>
          <w:tcPr>
            <w:tcW w:w="277" w:type="pct"/>
            <w:tcBorders>
              <w:top w:val="single" w:sz="8" w:space="0" w:color="auto"/>
              <w:left w:val="nil"/>
              <w:bottom w:val="single" w:sz="8" w:space="0" w:color="auto"/>
              <w:right w:val="nil"/>
            </w:tcBorders>
            <w:shd w:val="clear" w:color="000000" w:fill="FFFFFF"/>
            <w:noWrap/>
            <w:vAlign w:val="center"/>
            <w:hideMark/>
          </w:tcPr>
          <w:p w14:paraId="5C1BBF04" w14:textId="77777777" w:rsidR="003B3124" w:rsidRPr="007B4794" w:rsidRDefault="003B3124" w:rsidP="003B3124">
            <w:pPr>
              <w:rPr>
                <w:rFonts w:cs="Arial"/>
                <w:color w:val="000000" w:themeColor="text1"/>
                <w:sz w:val="15"/>
                <w:szCs w:val="15"/>
              </w:rPr>
            </w:pPr>
            <w:r w:rsidRPr="007B4794">
              <w:rPr>
                <w:rFonts w:cs="Arial" w:hint="eastAsia"/>
                <w:color w:val="000000" w:themeColor="text1"/>
                <w:sz w:val="15"/>
                <w:szCs w:val="15"/>
              </w:rPr>
              <w:t>建设用地面积</w:t>
            </w:r>
          </w:p>
        </w:tc>
        <w:tc>
          <w:tcPr>
            <w:tcW w:w="345" w:type="pct"/>
            <w:tcBorders>
              <w:top w:val="single" w:sz="8" w:space="0" w:color="auto"/>
              <w:left w:val="nil"/>
              <w:bottom w:val="single" w:sz="8" w:space="0" w:color="auto"/>
              <w:right w:val="nil"/>
            </w:tcBorders>
            <w:shd w:val="clear" w:color="000000" w:fill="FFFFFF"/>
            <w:noWrap/>
            <w:vAlign w:val="center"/>
            <w:hideMark/>
          </w:tcPr>
          <w:p w14:paraId="2F7BE966" w14:textId="77777777" w:rsidR="003B3124" w:rsidRPr="007B4794" w:rsidRDefault="003B3124" w:rsidP="003B3124">
            <w:pPr>
              <w:rPr>
                <w:rFonts w:cs="Arial"/>
                <w:color w:val="000000" w:themeColor="text1"/>
                <w:sz w:val="15"/>
                <w:szCs w:val="15"/>
              </w:rPr>
            </w:pPr>
            <w:r w:rsidRPr="007B4794">
              <w:rPr>
                <w:rFonts w:cs="Arial" w:hint="eastAsia"/>
                <w:color w:val="000000" w:themeColor="text1"/>
                <w:sz w:val="15"/>
                <w:szCs w:val="15"/>
              </w:rPr>
              <w:t>规划建筑面积</w:t>
            </w:r>
          </w:p>
        </w:tc>
        <w:tc>
          <w:tcPr>
            <w:tcW w:w="403" w:type="pct"/>
            <w:tcBorders>
              <w:top w:val="single" w:sz="8" w:space="0" w:color="auto"/>
              <w:left w:val="nil"/>
              <w:bottom w:val="single" w:sz="8" w:space="0" w:color="auto"/>
              <w:right w:val="nil"/>
            </w:tcBorders>
            <w:shd w:val="clear" w:color="000000" w:fill="FFFFFF"/>
            <w:noWrap/>
            <w:vAlign w:val="center"/>
            <w:hideMark/>
          </w:tcPr>
          <w:p w14:paraId="3FB5CBF1" w14:textId="77777777" w:rsidR="003B3124" w:rsidRPr="007B4794" w:rsidRDefault="003B3124" w:rsidP="003B3124">
            <w:pPr>
              <w:rPr>
                <w:rFonts w:cs="Arial"/>
                <w:color w:val="000000" w:themeColor="text1"/>
                <w:sz w:val="15"/>
                <w:szCs w:val="15"/>
              </w:rPr>
            </w:pPr>
            <w:r w:rsidRPr="007B4794">
              <w:rPr>
                <w:rFonts w:cs="Arial" w:hint="eastAsia"/>
                <w:color w:val="000000" w:themeColor="text1"/>
                <w:sz w:val="15"/>
                <w:szCs w:val="15"/>
              </w:rPr>
              <w:t>容积率</w:t>
            </w:r>
          </w:p>
        </w:tc>
        <w:tc>
          <w:tcPr>
            <w:tcW w:w="353" w:type="pct"/>
            <w:tcBorders>
              <w:top w:val="single" w:sz="8" w:space="0" w:color="auto"/>
              <w:left w:val="nil"/>
              <w:bottom w:val="single" w:sz="8" w:space="0" w:color="auto"/>
              <w:right w:val="nil"/>
            </w:tcBorders>
            <w:shd w:val="clear" w:color="000000" w:fill="FFFFFF"/>
            <w:noWrap/>
            <w:vAlign w:val="center"/>
            <w:hideMark/>
          </w:tcPr>
          <w:p w14:paraId="3C5DA6E1" w14:textId="77777777" w:rsidR="003B3124" w:rsidRPr="007B4794" w:rsidRDefault="003B3124" w:rsidP="003B3124">
            <w:pPr>
              <w:rPr>
                <w:rFonts w:cs="Arial"/>
                <w:color w:val="000000" w:themeColor="text1"/>
                <w:sz w:val="15"/>
                <w:szCs w:val="15"/>
              </w:rPr>
            </w:pPr>
            <w:r w:rsidRPr="007B4794">
              <w:rPr>
                <w:rFonts w:cs="Arial" w:hint="eastAsia"/>
                <w:color w:val="000000" w:themeColor="text1"/>
                <w:sz w:val="15"/>
                <w:szCs w:val="15"/>
              </w:rPr>
              <w:t>成交日期</w:t>
            </w:r>
          </w:p>
        </w:tc>
        <w:tc>
          <w:tcPr>
            <w:tcW w:w="906" w:type="pct"/>
            <w:tcBorders>
              <w:top w:val="single" w:sz="8" w:space="0" w:color="auto"/>
              <w:left w:val="nil"/>
              <w:bottom w:val="single" w:sz="8" w:space="0" w:color="auto"/>
              <w:right w:val="nil"/>
            </w:tcBorders>
            <w:shd w:val="clear" w:color="000000" w:fill="FFFFFF"/>
            <w:noWrap/>
            <w:vAlign w:val="center"/>
            <w:hideMark/>
          </w:tcPr>
          <w:p w14:paraId="6FD7E6C5" w14:textId="77777777" w:rsidR="003B3124" w:rsidRPr="007B4794" w:rsidRDefault="003B3124" w:rsidP="003B3124">
            <w:pPr>
              <w:rPr>
                <w:rFonts w:cs="Arial"/>
                <w:color w:val="000000" w:themeColor="text1"/>
                <w:sz w:val="15"/>
                <w:szCs w:val="15"/>
              </w:rPr>
            </w:pPr>
            <w:r w:rsidRPr="007B4794">
              <w:rPr>
                <w:rFonts w:cs="Arial" w:hint="eastAsia"/>
                <w:color w:val="000000" w:themeColor="text1"/>
                <w:sz w:val="15"/>
                <w:szCs w:val="15"/>
              </w:rPr>
              <w:t>受让单位</w:t>
            </w:r>
          </w:p>
        </w:tc>
        <w:tc>
          <w:tcPr>
            <w:tcW w:w="302" w:type="pct"/>
            <w:tcBorders>
              <w:top w:val="single" w:sz="8" w:space="0" w:color="auto"/>
              <w:left w:val="nil"/>
              <w:bottom w:val="single" w:sz="8" w:space="0" w:color="auto"/>
              <w:right w:val="nil"/>
            </w:tcBorders>
            <w:shd w:val="clear" w:color="000000" w:fill="FFFFFF"/>
            <w:noWrap/>
            <w:vAlign w:val="center"/>
            <w:hideMark/>
          </w:tcPr>
          <w:p w14:paraId="48BCF606"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成交价</w:t>
            </w:r>
          </w:p>
        </w:tc>
        <w:tc>
          <w:tcPr>
            <w:tcW w:w="352" w:type="pct"/>
            <w:tcBorders>
              <w:top w:val="single" w:sz="8" w:space="0" w:color="auto"/>
              <w:left w:val="nil"/>
              <w:bottom w:val="single" w:sz="8" w:space="0" w:color="auto"/>
              <w:right w:val="nil"/>
            </w:tcBorders>
            <w:shd w:val="clear" w:color="000000" w:fill="FFFFFF"/>
            <w:noWrap/>
            <w:vAlign w:val="center"/>
            <w:hideMark/>
          </w:tcPr>
          <w:p w14:paraId="14371195"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成交每亩价</w:t>
            </w:r>
          </w:p>
        </w:tc>
        <w:tc>
          <w:tcPr>
            <w:tcW w:w="353" w:type="pct"/>
            <w:tcBorders>
              <w:top w:val="single" w:sz="8" w:space="0" w:color="auto"/>
              <w:left w:val="nil"/>
              <w:bottom w:val="single" w:sz="8" w:space="0" w:color="auto"/>
              <w:right w:val="nil"/>
            </w:tcBorders>
            <w:shd w:val="clear" w:color="000000" w:fill="FFFFFF"/>
            <w:noWrap/>
            <w:vAlign w:val="center"/>
            <w:hideMark/>
          </w:tcPr>
          <w:p w14:paraId="1FAA4CF5"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成交楼面价</w:t>
            </w:r>
          </w:p>
        </w:tc>
        <w:tc>
          <w:tcPr>
            <w:tcW w:w="279" w:type="pct"/>
            <w:tcBorders>
              <w:top w:val="single" w:sz="8" w:space="0" w:color="auto"/>
              <w:left w:val="nil"/>
              <w:bottom w:val="single" w:sz="8" w:space="0" w:color="auto"/>
              <w:right w:val="nil"/>
            </w:tcBorders>
            <w:shd w:val="clear" w:color="000000" w:fill="FFFFFF"/>
            <w:noWrap/>
            <w:vAlign w:val="center"/>
            <w:hideMark/>
          </w:tcPr>
          <w:p w14:paraId="635725F3"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溢价率</w:t>
            </w:r>
          </w:p>
        </w:tc>
      </w:tr>
      <w:tr w:rsidR="003B3124" w:rsidRPr="007B4794" w14:paraId="0E952BB8" w14:textId="77777777" w:rsidTr="003B3124">
        <w:trPr>
          <w:trHeight w:val="630"/>
        </w:trPr>
        <w:tc>
          <w:tcPr>
            <w:tcW w:w="190" w:type="pct"/>
            <w:tcBorders>
              <w:top w:val="nil"/>
              <w:left w:val="nil"/>
              <w:bottom w:val="nil"/>
              <w:right w:val="nil"/>
            </w:tcBorders>
            <w:shd w:val="clear" w:color="000000" w:fill="FFFFFF"/>
            <w:noWrap/>
            <w:vAlign w:val="center"/>
            <w:hideMark/>
          </w:tcPr>
          <w:p w14:paraId="3D3C2C87"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w:t>
            </w:r>
          </w:p>
        </w:tc>
        <w:tc>
          <w:tcPr>
            <w:tcW w:w="504" w:type="pct"/>
            <w:tcBorders>
              <w:top w:val="nil"/>
              <w:left w:val="nil"/>
              <w:bottom w:val="nil"/>
              <w:right w:val="nil"/>
            </w:tcBorders>
            <w:shd w:val="clear" w:color="000000" w:fill="FFFFFF"/>
            <w:noWrap/>
            <w:vAlign w:val="center"/>
            <w:hideMark/>
          </w:tcPr>
          <w:p w14:paraId="4885092A"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三二四国道以东规划社头中路以南</w:t>
            </w:r>
          </w:p>
        </w:tc>
        <w:tc>
          <w:tcPr>
            <w:tcW w:w="351" w:type="pct"/>
            <w:tcBorders>
              <w:top w:val="nil"/>
              <w:left w:val="nil"/>
              <w:bottom w:val="nil"/>
              <w:right w:val="nil"/>
            </w:tcBorders>
            <w:shd w:val="clear" w:color="000000" w:fill="FFFFFF"/>
            <w:noWrap/>
            <w:vAlign w:val="center"/>
            <w:hideMark/>
          </w:tcPr>
          <w:p w14:paraId="32BD6D18"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台2020P05</w:t>
            </w:r>
          </w:p>
        </w:tc>
        <w:tc>
          <w:tcPr>
            <w:tcW w:w="384" w:type="pct"/>
            <w:tcBorders>
              <w:top w:val="nil"/>
              <w:left w:val="nil"/>
              <w:bottom w:val="nil"/>
              <w:right w:val="nil"/>
            </w:tcBorders>
            <w:shd w:val="clear" w:color="000000" w:fill="FFFFFF"/>
            <w:noWrap/>
            <w:vAlign w:val="center"/>
            <w:hideMark/>
          </w:tcPr>
          <w:p w14:paraId="280F0D95"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台2020P05</w:t>
            </w:r>
          </w:p>
        </w:tc>
        <w:tc>
          <w:tcPr>
            <w:tcW w:w="277" w:type="pct"/>
            <w:tcBorders>
              <w:top w:val="nil"/>
              <w:left w:val="nil"/>
              <w:bottom w:val="nil"/>
              <w:right w:val="nil"/>
            </w:tcBorders>
            <w:shd w:val="clear" w:color="000000" w:fill="FFFFFF"/>
            <w:noWrap/>
            <w:vAlign w:val="center"/>
            <w:hideMark/>
          </w:tcPr>
          <w:p w14:paraId="6488DB21"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43574</w:t>
            </w:r>
          </w:p>
        </w:tc>
        <w:tc>
          <w:tcPr>
            <w:tcW w:w="345" w:type="pct"/>
            <w:tcBorders>
              <w:top w:val="nil"/>
              <w:left w:val="nil"/>
              <w:bottom w:val="nil"/>
              <w:right w:val="nil"/>
            </w:tcBorders>
            <w:shd w:val="clear" w:color="000000" w:fill="FFFFFF"/>
            <w:noWrap/>
            <w:vAlign w:val="center"/>
            <w:hideMark/>
          </w:tcPr>
          <w:p w14:paraId="714B5E32"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95862.8</w:t>
            </w:r>
          </w:p>
        </w:tc>
        <w:tc>
          <w:tcPr>
            <w:tcW w:w="403" w:type="pct"/>
            <w:tcBorders>
              <w:top w:val="nil"/>
              <w:left w:val="nil"/>
              <w:bottom w:val="nil"/>
              <w:right w:val="nil"/>
            </w:tcBorders>
            <w:shd w:val="clear" w:color="000000" w:fill="FFFFFF"/>
            <w:noWrap/>
            <w:vAlign w:val="center"/>
            <w:hideMark/>
          </w:tcPr>
          <w:p w14:paraId="7369A2DD"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大于</w:t>
            </w:r>
            <w:r w:rsidRPr="007B4794">
              <w:rPr>
                <w:rFonts w:ascii="Arial" w:hAnsi="Arial" w:cs="Arial"/>
                <w:color w:val="000000" w:themeColor="text1"/>
                <w:sz w:val="15"/>
                <w:szCs w:val="15"/>
              </w:rPr>
              <w:t>1</w:t>
            </w:r>
            <w:r w:rsidRPr="007B4794">
              <w:rPr>
                <w:rFonts w:ascii="Arial" w:hAnsi="Arial" w:cs="Arial"/>
                <w:color w:val="000000" w:themeColor="text1"/>
                <w:sz w:val="15"/>
                <w:szCs w:val="15"/>
              </w:rPr>
              <w:t>并且小于</w:t>
            </w:r>
            <w:r w:rsidRPr="007B4794">
              <w:rPr>
                <w:rFonts w:ascii="Arial" w:hAnsi="Arial" w:cs="Arial"/>
                <w:color w:val="000000" w:themeColor="text1"/>
                <w:sz w:val="15"/>
                <w:szCs w:val="15"/>
              </w:rPr>
              <w:t>2.2</w:t>
            </w:r>
          </w:p>
        </w:tc>
        <w:tc>
          <w:tcPr>
            <w:tcW w:w="353" w:type="pct"/>
            <w:tcBorders>
              <w:top w:val="nil"/>
              <w:left w:val="nil"/>
              <w:bottom w:val="nil"/>
              <w:right w:val="nil"/>
            </w:tcBorders>
            <w:shd w:val="clear" w:color="000000" w:fill="FFFFFF"/>
            <w:noWrap/>
            <w:vAlign w:val="center"/>
            <w:hideMark/>
          </w:tcPr>
          <w:p w14:paraId="3699FE7C"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2020-11-04</w:t>
            </w:r>
          </w:p>
        </w:tc>
        <w:tc>
          <w:tcPr>
            <w:tcW w:w="906" w:type="pct"/>
            <w:tcBorders>
              <w:top w:val="nil"/>
              <w:left w:val="nil"/>
              <w:bottom w:val="nil"/>
              <w:right w:val="nil"/>
            </w:tcBorders>
            <w:shd w:val="clear" w:color="000000" w:fill="FFFFFF"/>
            <w:noWrap/>
            <w:vAlign w:val="center"/>
            <w:hideMark/>
          </w:tcPr>
          <w:p w14:paraId="4CC49ACF"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漳州金禾房地产开发有限公司</w:t>
            </w:r>
          </w:p>
        </w:tc>
        <w:tc>
          <w:tcPr>
            <w:tcW w:w="302" w:type="pct"/>
            <w:tcBorders>
              <w:top w:val="nil"/>
              <w:left w:val="nil"/>
              <w:bottom w:val="nil"/>
              <w:right w:val="nil"/>
            </w:tcBorders>
            <w:shd w:val="clear" w:color="000000" w:fill="FFFFFF"/>
            <w:noWrap/>
            <w:vAlign w:val="center"/>
            <w:hideMark/>
          </w:tcPr>
          <w:p w14:paraId="2D73E725"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48100</w:t>
            </w:r>
          </w:p>
        </w:tc>
        <w:tc>
          <w:tcPr>
            <w:tcW w:w="352" w:type="pct"/>
            <w:tcBorders>
              <w:top w:val="nil"/>
              <w:left w:val="nil"/>
              <w:bottom w:val="nil"/>
              <w:right w:val="nil"/>
            </w:tcBorders>
            <w:shd w:val="clear" w:color="000000" w:fill="FFFFFF"/>
            <w:noWrap/>
            <w:vAlign w:val="center"/>
            <w:hideMark/>
          </w:tcPr>
          <w:p w14:paraId="52773827"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735.91</w:t>
            </w:r>
          </w:p>
        </w:tc>
        <w:tc>
          <w:tcPr>
            <w:tcW w:w="353" w:type="pct"/>
            <w:tcBorders>
              <w:top w:val="nil"/>
              <w:left w:val="nil"/>
              <w:bottom w:val="nil"/>
              <w:right w:val="nil"/>
            </w:tcBorders>
            <w:shd w:val="clear" w:color="000000" w:fill="FFFFFF"/>
            <w:noWrap/>
            <w:vAlign w:val="center"/>
            <w:hideMark/>
          </w:tcPr>
          <w:p w14:paraId="42B21579"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5017.59</w:t>
            </w:r>
          </w:p>
        </w:tc>
        <w:tc>
          <w:tcPr>
            <w:tcW w:w="279" w:type="pct"/>
            <w:tcBorders>
              <w:top w:val="nil"/>
              <w:left w:val="nil"/>
              <w:bottom w:val="nil"/>
              <w:right w:val="nil"/>
            </w:tcBorders>
            <w:shd w:val="clear" w:color="000000" w:fill="FFFFFF"/>
            <w:noWrap/>
            <w:vAlign w:val="center"/>
            <w:hideMark/>
          </w:tcPr>
          <w:p w14:paraId="44EE8C9D"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0.21</w:t>
            </w:r>
          </w:p>
        </w:tc>
      </w:tr>
      <w:tr w:rsidR="003B3124" w:rsidRPr="007B4794" w14:paraId="5AE8E506" w14:textId="77777777" w:rsidTr="003B3124">
        <w:trPr>
          <w:trHeight w:val="630"/>
        </w:trPr>
        <w:tc>
          <w:tcPr>
            <w:tcW w:w="190" w:type="pct"/>
            <w:tcBorders>
              <w:top w:val="nil"/>
              <w:left w:val="nil"/>
              <w:bottom w:val="nil"/>
              <w:right w:val="nil"/>
            </w:tcBorders>
            <w:shd w:val="clear" w:color="000000" w:fill="FFFFFF"/>
            <w:noWrap/>
            <w:vAlign w:val="center"/>
            <w:hideMark/>
          </w:tcPr>
          <w:p w14:paraId="0BBAECAA"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w:t>
            </w:r>
          </w:p>
        </w:tc>
        <w:tc>
          <w:tcPr>
            <w:tcW w:w="504" w:type="pct"/>
            <w:tcBorders>
              <w:top w:val="nil"/>
              <w:left w:val="nil"/>
              <w:bottom w:val="nil"/>
              <w:right w:val="nil"/>
            </w:tcBorders>
            <w:shd w:val="clear" w:color="000000" w:fill="FFFFFF"/>
            <w:noWrap/>
            <w:vAlign w:val="center"/>
            <w:hideMark/>
          </w:tcPr>
          <w:p w14:paraId="1D15FFCA"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三二四国道以东规划社头中路以北</w:t>
            </w:r>
          </w:p>
        </w:tc>
        <w:tc>
          <w:tcPr>
            <w:tcW w:w="351" w:type="pct"/>
            <w:tcBorders>
              <w:top w:val="nil"/>
              <w:left w:val="nil"/>
              <w:bottom w:val="nil"/>
              <w:right w:val="nil"/>
            </w:tcBorders>
            <w:shd w:val="clear" w:color="000000" w:fill="FFFFFF"/>
            <w:noWrap/>
            <w:vAlign w:val="center"/>
            <w:hideMark/>
          </w:tcPr>
          <w:p w14:paraId="7002AD8A"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台2020P06</w:t>
            </w:r>
          </w:p>
        </w:tc>
        <w:tc>
          <w:tcPr>
            <w:tcW w:w="384" w:type="pct"/>
            <w:tcBorders>
              <w:top w:val="nil"/>
              <w:left w:val="nil"/>
              <w:bottom w:val="nil"/>
              <w:right w:val="nil"/>
            </w:tcBorders>
            <w:shd w:val="clear" w:color="000000" w:fill="FFFFFF"/>
            <w:noWrap/>
            <w:vAlign w:val="center"/>
            <w:hideMark/>
          </w:tcPr>
          <w:p w14:paraId="31C87A13"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台2020P06</w:t>
            </w:r>
          </w:p>
        </w:tc>
        <w:tc>
          <w:tcPr>
            <w:tcW w:w="277" w:type="pct"/>
            <w:tcBorders>
              <w:top w:val="nil"/>
              <w:left w:val="nil"/>
              <w:bottom w:val="nil"/>
              <w:right w:val="nil"/>
            </w:tcBorders>
            <w:shd w:val="clear" w:color="000000" w:fill="FFFFFF"/>
            <w:noWrap/>
            <w:vAlign w:val="center"/>
            <w:hideMark/>
          </w:tcPr>
          <w:p w14:paraId="72FFF6CD"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45219</w:t>
            </w:r>
          </w:p>
        </w:tc>
        <w:tc>
          <w:tcPr>
            <w:tcW w:w="345" w:type="pct"/>
            <w:tcBorders>
              <w:top w:val="nil"/>
              <w:left w:val="nil"/>
              <w:bottom w:val="nil"/>
              <w:right w:val="nil"/>
            </w:tcBorders>
            <w:shd w:val="clear" w:color="000000" w:fill="FFFFFF"/>
            <w:noWrap/>
            <w:vAlign w:val="center"/>
            <w:hideMark/>
          </w:tcPr>
          <w:p w14:paraId="60AC16C0"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90438</w:t>
            </w:r>
          </w:p>
        </w:tc>
        <w:tc>
          <w:tcPr>
            <w:tcW w:w="403" w:type="pct"/>
            <w:tcBorders>
              <w:top w:val="nil"/>
              <w:left w:val="nil"/>
              <w:bottom w:val="nil"/>
              <w:right w:val="nil"/>
            </w:tcBorders>
            <w:shd w:val="clear" w:color="000000" w:fill="FFFFFF"/>
            <w:noWrap/>
            <w:vAlign w:val="center"/>
            <w:hideMark/>
          </w:tcPr>
          <w:p w14:paraId="44F19C64"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大于</w:t>
            </w:r>
            <w:r w:rsidRPr="007B4794">
              <w:rPr>
                <w:rFonts w:ascii="Arial" w:hAnsi="Arial" w:cs="Arial"/>
                <w:color w:val="000000" w:themeColor="text1"/>
                <w:sz w:val="15"/>
                <w:szCs w:val="15"/>
              </w:rPr>
              <w:t>1</w:t>
            </w:r>
            <w:r w:rsidRPr="007B4794">
              <w:rPr>
                <w:rFonts w:ascii="Arial" w:hAnsi="Arial" w:cs="Arial"/>
                <w:color w:val="000000" w:themeColor="text1"/>
                <w:sz w:val="15"/>
                <w:szCs w:val="15"/>
              </w:rPr>
              <w:t>并且小于</w:t>
            </w:r>
            <w:r w:rsidRPr="007B4794">
              <w:rPr>
                <w:rFonts w:ascii="Arial" w:hAnsi="Arial" w:cs="Arial"/>
                <w:color w:val="000000" w:themeColor="text1"/>
                <w:sz w:val="15"/>
                <w:szCs w:val="15"/>
              </w:rPr>
              <w:t>2</w:t>
            </w:r>
          </w:p>
        </w:tc>
        <w:tc>
          <w:tcPr>
            <w:tcW w:w="353" w:type="pct"/>
            <w:tcBorders>
              <w:top w:val="nil"/>
              <w:left w:val="nil"/>
              <w:bottom w:val="nil"/>
              <w:right w:val="nil"/>
            </w:tcBorders>
            <w:shd w:val="clear" w:color="000000" w:fill="FFFFFF"/>
            <w:noWrap/>
            <w:vAlign w:val="center"/>
            <w:hideMark/>
          </w:tcPr>
          <w:p w14:paraId="04097D9A"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2020-11-04</w:t>
            </w:r>
          </w:p>
        </w:tc>
        <w:tc>
          <w:tcPr>
            <w:tcW w:w="906" w:type="pct"/>
            <w:tcBorders>
              <w:top w:val="nil"/>
              <w:left w:val="nil"/>
              <w:bottom w:val="nil"/>
              <w:right w:val="nil"/>
            </w:tcBorders>
            <w:shd w:val="clear" w:color="000000" w:fill="FFFFFF"/>
            <w:noWrap/>
            <w:vAlign w:val="center"/>
            <w:hideMark/>
          </w:tcPr>
          <w:p w14:paraId="7B24252E"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厦门臻晟铭企业管理有限公司</w:t>
            </w:r>
          </w:p>
        </w:tc>
        <w:tc>
          <w:tcPr>
            <w:tcW w:w="302" w:type="pct"/>
            <w:tcBorders>
              <w:top w:val="nil"/>
              <w:left w:val="nil"/>
              <w:bottom w:val="nil"/>
              <w:right w:val="nil"/>
            </w:tcBorders>
            <w:shd w:val="clear" w:color="000000" w:fill="FFFFFF"/>
            <w:noWrap/>
            <w:vAlign w:val="center"/>
            <w:hideMark/>
          </w:tcPr>
          <w:p w14:paraId="34B3444E"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44100</w:t>
            </w:r>
          </w:p>
        </w:tc>
        <w:tc>
          <w:tcPr>
            <w:tcW w:w="352" w:type="pct"/>
            <w:tcBorders>
              <w:top w:val="nil"/>
              <w:left w:val="nil"/>
              <w:bottom w:val="nil"/>
              <w:right w:val="nil"/>
            </w:tcBorders>
            <w:shd w:val="clear" w:color="000000" w:fill="FFFFFF"/>
            <w:noWrap/>
            <w:vAlign w:val="center"/>
            <w:hideMark/>
          </w:tcPr>
          <w:p w14:paraId="5C504212"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650.17</w:t>
            </w:r>
          </w:p>
        </w:tc>
        <w:tc>
          <w:tcPr>
            <w:tcW w:w="353" w:type="pct"/>
            <w:tcBorders>
              <w:top w:val="nil"/>
              <w:left w:val="nil"/>
              <w:bottom w:val="nil"/>
              <w:right w:val="nil"/>
            </w:tcBorders>
            <w:shd w:val="clear" w:color="000000" w:fill="FFFFFF"/>
            <w:noWrap/>
            <w:vAlign w:val="center"/>
            <w:hideMark/>
          </w:tcPr>
          <w:p w14:paraId="0E038F4C"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4876.27</w:t>
            </w:r>
          </w:p>
        </w:tc>
        <w:tc>
          <w:tcPr>
            <w:tcW w:w="279" w:type="pct"/>
            <w:tcBorders>
              <w:top w:val="nil"/>
              <w:left w:val="nil"/>
              <w:bottom w:val="nil"/>
              <w:right w:val="nil"/>
            </w:tcBorders>
            <w:shd w:val="clear" w:color="000000" w:fill="FFFFFF"/>
            <w:noWrap/>
            <w:vAlign w:val="center"/>
            <w:hideMark/>
          </w:tcPr>
          <w:p w14:paraId="399D1985"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0.23</w:t>
            </w:r>
          </w:p>
        </w:tc>
      </w:tr>
      <w:tr w:rsidR="003B3124" w:rsidRPr="007B4794" w14:paraId="1084CFEC" w14:textId="77777777" w:rsidTr="003B3124">
        <w:trPr>
          <w:trHeight w:val="630"/>
        </w:trPr>
        <w:tc>
          <w:tcPr>
            <w:tcW w:w="190" w:type="pct"/>
            <w:tcBorders>
              <w:top w:val="nil"/>
              <w:left w:val="nil"/>
              <w:bottom w:val="nil"/>
              <w:right w:val="nil"/>
            </w:tcBorders>
            <w:shd w:val="clear" w:color="000000" w:fill="FFFFFF"/>
            <w:noWrap/>
            <w:vAlign w:val="center"/>
            <w:hideMark/>
          </w:tcPr>
          <w:p w14:paraId="33A6EBA0"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3</w:t>
            </w:r>
          </w:p>
        </w:tc>
        <w:tc>
          <w:tcPr>
            <w:tcW w:w="504" w:type="pct"/>
            <w:tcBorders>
              <w:top w:val="nil"/>
              <w:left w:val="nil"/>
              <w:bottom w:val="nil"/>
              <w:right w:val="nil"/>
            </w:tcBorders>
            <w:shd w:val="clear" w:color="000000" w:fill="FFFFFF"/>
            <w:noWrap/>
            <w:vAlign w:val="center"/>
            <w:hideMark/>
          </w:tcPr>
          <w:p w14:paraId="25AA27CD"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湖中路以北锦江大道以东</w:t>
            </w:r>
          </w:p>
        </w:tc>
        <w:tc>
          <w:tcPr>
            <w:tcW w:w="351" w:type="pct"/>
            <w:tcBorders>
              <w:top w:val="nil"/>
              <w:left w:val="nil"/>
              <w:bottom w:val="nil"/>
              <w:right w:val="nil"/>
            </w:tcBorders>
            <w:shd w:val="clear" w:color="000000" w:fill="FFFFFF"/>
            <w:noWrap/>
            <w:vAlign w:val="center"/>
            <w:hideMark/>
          </w:tcPr>
          <w:p w14:paraId="0BC5B2AD"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台2020P04</w:t>
            </w:r>
          </w:p>
        </w:tc>
        <w:tc>
          <w:tcPr>
            <w:tcW w:w="384" w:type="pct"/>
            <w:tcBorders>
              <w:top w:val="nil"/>
              <w:left w:val="nil"/>
              <w:bottom w:val="nil"/>
              <w:right w:val="nil"/>
            </w:tcBorders>
            <w:shd w:val="clear" w:color="000000" w:fill="FFFFFF"/>
            <w:noWrap/>
            <w:vAlign w:val="center"/>
            <w:hideMark/>
          </w:tcPr>
          <w:p w14:paraId="3A644A19"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台2020P04</w:t>
            </w:r>
          </w:p>
        </w:tc>
        <w:tc>
          <w:tcPr>
            <w:tcW w:w="277" w:type="pct"/>
            <w:tcBorders>
              <w:top w:val="nil"/>
              <w:left w:val="nil"/>
              <w:bottom w:val="nil"/>
              <w:right w:val="nil"/>
            </w:tcBorders>
            <w:shd w:val="clear" w:color="000000" w:fill="FFFFFF"/>
            <w:noWrap/>
            <w:vAlign w:val="center"/>
            <w:hideMark/>
          </w:tcPr>
          <w:p w14:paraId="347B8437"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46645</w:t>
            </w:r>
          </w:p>
        </w:tc>
        <w:tc>
          <w:tcPr>
            <w:tcW w:w="345" w:type="pct"/>
            <w:tcBorders>
              <w:top w:val="nil"/>
              <w:left w:val="nil"/>
              <w:bottom w:val="nil"/>
              <w:right w:val="nil"/>
            </w:tcBorders>
            <w:shd w:val="clear" w:color="000000" w:fill="FFFFFF"/>
            <w:noWrap/>
            <w:vAlign w:val="center"/>
            <w:hideMark/>
          </w:tcPr>
          <w:p w14:paraId="018BF160"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135270.5</w:t>
            </w:r>
          </w:p>
        </w:tc>
        <w:tc>
          <w:tcPr>
            <w:tcW w:w="403" w:type="pct"/>
            <w:tcBorders>
              <w:top w:val="nil"/>
              <w:left w:val="nil"/>
              <w:bottom w:val="nil"/>
              <w:right w:val="nil"/>
            </w:tcBorders>
            <w:shd w:val="clear" w:color="000000" w:fill="FFFFFF"/>
            <w:noWrap/>
            <w:vAlign w:val="center"/>
            <w:hideMark/>
          </w:tcPr>
          <w:p w14:paraId="70B7969C"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大于</w:t>
            </w:r>
            <w:r w:rsidRPr="007B4794">
              <w:rPr>
                <w:rFonts w:ascii="Arial" w:hAnsi="Arial" w:cs="Arial"/>
                <w:color w:val="000000" w:themeColor="text1"/>
                <w:sz w:val="15"/>
                <w:szCs w:val="15"/>
              </w:rPr>
              <w:t>1</w:t>
            </w:r>
            <w:r w:rsidRPr="007B4794">
              <w:rPr>
                <w:rFonts w:ascii="Arial" w:hAnsi="Arial" w:cs="Arial"/>
                <w:color w:val="000000" w:themeColor="text1"/>
                <w:sz w:val="15"/>
                <w:szCs w:val="15"/>
              </w:rPr>
              <w:t>并且小于</w:t>
            </w:r>
            <w:r w:rsidRPr="007B4794">
              <w:rPr>
                <w:rFonts w:ascii="Arial" w:hAnsi="Arial" w:cs="Arial"/>
                <w:color w:val="000000" w:themeColor="text1"/>
                <w:sz w:val="15"/>
                <w:szCs w:val="15"/>
              </w:rPr>
              <w:t>2.9</w:t>
            </w:r>
          </w:p>
        </w:tc>
        <w:tc>
          <w:tcPr>
            <w:tcW w:w="353" w:type="pct"/>
            <w:tcBorders>
              <w:top w:val="nil"/>
              <w:left w:val="nil"/>
              <w:bottom w:val="nil"/>
              <w:right w:val="nil"/>
            </w:tcBorders>
            <w:shd w:val="clear" w:color="000000" w:fill="FFFFFF"/>
            <w:noWrap/>
            <w:vAlign w:val="center"/>
            <w:hideMark/>
          </w:tcPr>
          <w:p w14:paraId="4E19DB5A"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2020-10-21</w:t>
            </w:r>
          </w:p>
        </w:tc>
        <w:tc>
          <w:tcPr>
            <w:tcW w:w="906" w:type="pct"/>
            <w:tcBorders>
              <w:top w:val="nil"/>
              <w:left w:val="nil"/>
              <w:bottom w:val="nil"/>
              <w:right w:val="nil"/>
            </w:tcBorders>
            <w:shd w:val="clear" w:color="000000" w:fill="FFFFFF"/>
            <w:noWrap/>
            <w:vAlign w:val="center"/>
            <w:hideMark/>
          </w:tcPr>
          <w:p w14:paraId="5100FAAA"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福州奥华置业有限公司</w:t>
            </w:r>
          </w:p>
        </w:tc>
        <w:tc>
          <w:tcPr>
            <w:tcW w:w="302" w:type="pct"/>
            <w:tcBorders>
              <w:top w:val="nil"/>
              <w:left w:val="nil"/>
              <w:bottom w:val="nil"/>
              <w:right w:val="nil"/>
            </w:tcBorders>
            <w:shd w:val="clear" w:color="000000" w:fill="FFFFFF"/>
            <w:noWrap/>
            <w:vAlign w:val="center"/>
            <w:hideMark/>
          </w:tcPr>
          <w:p w14:paraId="2D9D25F9"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74200</w:t>
            </w:r>
          </w:p>
        </w:tc>
        <w:tc>
          <w:tcPr>
            <w:tcW w:w="352" w:type="pct"/>
            <w:tcBorders>
              <w:top w:val="nil"/>
              <w:left w:val="nil"/>
              <w:bottom w:val="nil"/>
              <w:right w:val="nil"/>
            </w:tcBorders>
            <w:shd w:val="clear" w:color="000000" w:fill="FFFFFF"/>
            <w:noWrap/>
            <w:vAlign w:val="center"/>
            <w:hideMark/>
          </w:tcPr>
          <w:p w14:paraId="00C68F9D"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1060.49</w:t>
            </w:r>
          </w:p>
        </w:tc>
        <w:tc>
          <w:tcPr>
            <w:tcW w:w="353" w:type="pct"/>
            <w:tcBorders>
              <w:top w:val="nil"/>
              <w:left w:val="nil"/>
              <w:bottom w:val="nil"/>
              <w:right w:val="nil"/>
            </w:tcBorders>
            <w:shd w:val="clear" w:color="000000" w:fill="FFFFFF"/>
            <w:noWrap/>
            <w:vAlign w:val="center"/>
            <w:hideMark/>
          </w:tcPr>
          <w:p w14:paraId="5C801874"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5485.31</w:t>
            </w:r>
          </w:p>
        </w:tc>
        <w:tc>
          <w:tcPr>
            <w:tcW w:w="279" w:type="pct"/>
            <w:tcBorders>
              <w:top w:val="nil"/>
              <w:left w:val="nil"/>
              <w:bottom w:val="nil"/>
              <w:right w:val="nil"/>
            </w:tcBorders>
            <w:shd w:val="clear" w:color="000000" w:fill="FFFFFF"/>
            <w:noWrap/>
            <w:vAlign w:val="center"/>
            <w:hideMark/>
          </w:tcPr>
          <w:p w14:paraId="3937109B"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0.27</w:t>
            </w:r>
          </w:p>
        </w:tc>
      </w:tr>
      <w:tr w:rsidR="003B3124" w:rsidRPr="007B4794" w14:paraId="59A60B4D" w14:textId="77777777" w:rsidTr="003B3124">
        <w:trPr>
          <w:trHeight w:val="630"/>
        </w:trPr>
        <w:tc>
          <w:tcPr>
            <w:tcW w:w="190" w:type="pct"/>
            <w:tcBorders>
              <w:top w:val="nil"/>
              <w:left w:val="nil"/>
              <w:bottom w:val="nil"/>
              <w:right w:val="nil"/>
            </w:tcBorders>
            <w:shd w:val="clear" w:color="000000" w:fill="FFFFFF"/>
            <w:noWrap/>
            <w:vAlign w:val="center"/>
            <w:hideMark/>
          </w:tcPr>
          <w:p w14:paraId="52293A65"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4</w:t>
            </w:r>
          </w:p>
        </w:tc>
        <w:tc>
          <w:tcPr>
            <w:tcW w:w="504" w:type="pct"/>
            <w:tcBorders>
              <w:top w:val="nil"/>
              <w:left w:val="nil"/>
              <w:bottom w:val="nil"/>
              <w:right w:val="nil"/>
            </w:tcBorders>
            <w:shd w:val="clear" w:color="000000" w:fill="FFFFFF"/>
            <w:noWrap/>
            <w:vAlign w:val="center"/>
            <w:hideMark/>
          </w:tcPr>
          <w:p w14:paraId="12B20E3C"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角江路以南洪岱路以西</w:t>
            </w:r>
          </w:p>
        </w:tc>
        <w:tc>
          <w:tcPr>
            <w:tcW w:w="351" w:type="pct"/>
            <w:tcBorders>
              <w:top w:val="nil"/>
              <w:left w:val="nil"/>
              <w:bottom w:val="nil"/>
              <w:right w:val="nil"/>
            </w:tcBorders>
            <w:shd w:val="clear" w:color="000000" w:fill="FFFFFF"/>
            <w:noWrap/>
            <w:vAlign w:val="center"/>
            <w:hideMark/>
          </w:tcPr>
          <w:p w14:paraId="53D8C998"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台2020P03</w:t>
            </w:r>
          </w:p>
        </w:tc>
        <w:tc>
          <w:tcPr>
            <w:tcW w:w="384" w:type="pct"/>
            <w:tcBorders>
              <w:top w:val="nil"/>
              <w:left w:val="nil"/>
              <w:bottom w:val="nil"/>
              <w:right w:val="nil"/>
            </w:tcBorders>
            <w:shd w:val="clear" w:color="000000" w:fill="FFFFFF"/>
            <w:noWrap/>
            <w:vAlign w:val="center"/>
            <w:hideMark/>
          </w:tcPr>
          <w:p w14:paraId="3EBAB618"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台2020P03</w:t>
            </w:r>
          </w:p>
        </w:tc>
        <w:tc>
          <w:tcPr>
            <w:tcW w:w="277" w:type="pct"/>
            <w:tcBorders>
              <w:top w:val="nil"/>
              <w:left w:val="nil"/>
              <w:bottom w:val="nil"/>
              <w:right w:val="nil"/>
            </w:tcBorders>
            <w:shd w:val="clear" w:color="000000" w:fill="FFFFFF"/>
            <w:noWrap/>
            <w:vAlign w:val="center"/>
            <w:hideMark/>
          </w:tcPr>
          <w:p w14:paraId="1BE88373"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59327</w:t>
            </w:r>
          </w:p>
        </w:tc>
        <w:tc>
          <w:tcPr>
            <w:tcW w:w="345" w:type="pct"/>
            <w:tcBorders>
              <w:top w:val="nil"/>
              <w:left w:val="nil"/>
              <w:bottom w:val="nil"/>
              <w:right w:val="nil"/>
            </w:tcBorders>
            <w:shd w:val="clear" w:color="000000" w:fill="FFFFFF"/>
            <w:noWrap/>
            <w:vAlign w:val="center"/>
            <w:hideMark/>
          </w:tcPr>
          <w:p w14:paraId="42078641"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154250.2</w:t>
            </w:r>
          </w:p>
        </w:tc>
        <w:tc>
          <w:tcPr>
            <w:tcW w:w="403" w:type="pct"/>
            <w:tcBorders>
              <w:top w:val="nil"/>
              <w:left w:val="nil"/>
              <w:bottom w:val="nil"/>
              <w:right w:val="nil"/>
            </w:tcBorders>
            <w:shd w:val="clear" w:color="000000" w:fill="FFFFFF"/>
            <w:noWrap/>
            <w:vAlign w:val="center"/>
            <w:hideMark/>
          </w:tcPr>
          <w:p w14:paraId="35B63D49"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大于</w:t>
            </w:r>
            <w:r w:rsidRPr="007B4794">
              <w:rPr>
                <w:rFonts w:ascii="Arial" w:hAnsi="Arial" w:cs="Arial"/>
                <w:color w:val="000000" w:themeColor="text1"/>
                <w:sz w:val="15"/>
                <w:szCs w:val="15"/>
              </w:rPr>
              <w:t>1</w:t>
            </w:r>
            <w:r w:rsidRPr="007B4794">
              <w:rPr>
                <w:rFonts w:ascii="Arial" w:hAnsi="Arial" w:cs="Arial"/>
                <w:color w:val="000000" w:themeColor="text1"/>
                <w:sz w:val="15"/>
                <w:szCs w:val="15"/>
              </w:rPr>
              <w:t>并且小于</w:t>
            </w:r>
            <w:r w:rsidRPr="007B4794">
              <w:rPr>
                <w:rFonts w:ascii="Arial" w:hAnsi="Arial" w:cs="Arial"/>
                <w:color w:val="000000" w:themeColor="text1"/>
                <w:sz w:val="15"/>
                <w:szCs w:val="15"/>
              </w:rPr>
              <w:t>2.6</w:t>
            </w:r>
          </w:p>
        </w:tc>
        <w:tc>
          <w:tcPr>
            <w:tcW w:w="353" w:type="pct"/>
            <w:tcBorders>
              <w:top w:val="nil"/>
              <w:left w:val="nil"/>
              <w:bottom w:val="nil"/>
              <w:right w:val="nil"/>
            </w:tcBorders>
            <w:shd w:val="clear" w:color="000000" w:fill="FFFFFF"/>
            <w:noWrap/>
            <w:vAlign w:val="center"/>
            <w:hideMark/>
          </w:tcPr>
          <w:p w14:paraId="2B59F2E9"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2020-07-29</w:t>
            </w:r>
          </w:p>
        </w:tc>
        <w:tc>
          <w:tcPr>
            <w:tcW w:w="906" w:type="pct"/>
            <w:tcBorders>
              <w:top w:val="nil"/>
              <w:left w:val="nil"/>
              <w:bottom w:val="nil"/>
              <w:right w:val="nil"/>
            </w:tcBorders>
            <w:shd w:val="clear" w:color="000000" w:fill="FFFFFF"/>
            <w:noWrap/>
            <w:vAlign w:val="center"/>
            <w:hideMark/>
          </w:tcPr>
          <w:p w14:paraId="34C8A2DF"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漳州市经发置业有限公司</w:t>
            </w:r>
          </w:p>
        </w:tc>
        <w:tc>
          <w:tcPr>
            <w:tcW w:w="302" w:type="pct"/>
            <w:tcBorders>
              <w:top w:val="nil"/>
              <w:left w:val="nil"/>
              <w:bottom w:val="nil"/>
              <w:right w:val="nil"/>
            </w:tcBorders>
            <w:shd w:val="clear" w:color="000000" w:fill="FFFFFF"/>
            <w:noWrap/>
            <w:vAlign w:val="center"/>
            <w:hideMark/>
          </w:tcPr>
          <w:p w14:paraId="101D10C4"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132200</w:t>
            </w:r>
          </w:p>
        </w:tc>
        <w:tc>
          <w:tcPr>
            <w:tcW w:w="352" w:type="pct"/>
            <w:tcBorders>
              <w:top w:val="nil"/>
              <w:left w:val="nil"/>
              <w:bottom w:val="nil"/>
              <w:right w:val="nil"/>
            </w:tcBorders>
            <w:shd w:val="clear" w:color="000000" w:fill="FFFFFF"/>
            <w:noWrap/>
            <w:vAlign w:val="center"/>
            <w:hideMark/>
          </w:tcPr>
          <w:p w14:paraId="4618FB2E"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1485.55</w:t>
            </w:r>
          </w:p>
        </w:tc>
        <w:tc>
          <w:tcPr>
            <w:tcW w:w="353" w:type="pct"/>
            <w:tcBorders>
              <w:top w:val="nil"/>
              <w:left w:val="nil"/>
              <w:bottom w:val="nil"/>
              <w:right w:val="nil"/>
            </w:tcBorders>
            <w:shd w:val="clear" w:color="000000" w:fill="FFFFFF"/>
            <w:noWrap/>
            <w:vAlign w:val="center"/>
            <w:hideMark/>
          </w:tcPr>
          <w:p w14:paraId="4768F498"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8570.48</w:t>
            </w:r>
          </w:p>
        </w:tc>
        <w:tc>
          <w:tcPr>
            <w:tcW w:w="279" w:type="pct"/>
            <w:tcBorders>
              <w:top w:val="nil"/>
              <w:left w:val="nil"/>
              <w:bottom w:val="nil"/>
              <w:right w:val="nil"/>
            </w:tcBorders>
            <w:shd w:val="clear" w:color="000000" w:fill="FFFFFF"/>
            <w:noWrap/>
            <w:vAlign w:val="center"/>
            <w:hideMark/>
          </w:tcPr>
          <w:p w14:paraId="207C3FBD"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46.89</w:t>
            </w:r>
          </w:p>
        </w:tc>
      </w:tr>
      <w:tr w:rsidR="003B3124" w:rsidRPr="007B4794" w14:paraId="4186F99C" w14:textId="77777777" w:rsidTr="003B3124">
        <w:trPr>
          <w:trHeight w:val="630"/>
        </w:trPr>
        <w:tc>
          <w:tcPr>
            <w:tcW w:w="190" w:type="pct"/>
            <w:tcBorders>
              <w:top w:val="nil"/>
              <w:left w:val="nil"/>
              <w:bottom w:val="nil"/>
              <w:right w:val="nil"/>
            </w:tcBorders>
            <w:shd w:val="clear" w:color="000000" w:fill="FFFFFF"/>
            <w:noWrap/>
            <w:vAlign w:val="center"/>
            <w:hideMark/>
          </w:tcPr>
          <w:p w14:paraId="520C7A6A"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5</w:t>
            </w:r>
          </w:p>
        </w:tc>
        <w:tc>
          <w:tcPr>
            <w:tcW w:w="504" w:type="pct"/>
            <w:tcBorders>
              <w:top w:val="nil"/>
              <w:left w:val="nil"/>
              <w:bottom w:val="nil"/>
              <w:right w:val="nil"/>
            </w:tcBorders>
            <w:shd w:val="clear" w:color="000000" w:fill="FFFFFF"/>
            <w:noWrap/>
            <w:vAlign w:val="center"/>
            <w:hideMark/>
          </w:tcPr>
          <w:p w14:paraId="43C10E7F"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翁角路以南、锦江大道以东</w:t>
            </w:r>
          </w:p>
        </w:tc>
        <w:tc>
          <w:tcPr>
            <w:tcW w:w="351" w:type="pct"/>
            <w:tcBorders>
              <w:top w:val="nil"/>
              <w:left w:val="nil"/>
              <w:bottom w:val="nil"/>
              <w:right w:val="nil"/>
            </w:tcBorders>
            <w:shd w:val="clear" w:color="000000" w:fill="FFFFFF"/>
            <w:noWrap/>
            <w:vAlign w:val="center"/>
            <w:hideMark/>
          </w:tcPr>
          <w:p w14:paraId="6055FDBE"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2020P02</w:t>
            </w:r>
          </w:p>
        </w:tc>
        <w:tc>
          <w:tcPr>
            <w:tcW w:w="384" w:type="pct"/>
            <w:tcBorders>
              <w:top w:val="nil"/>
              <w:left w:val="nil"/>
              <w:bottom w:val="nil"/>
              <w:right w:val="nil"/>
            </w:tcBorders>
            <w:shd w:val="clear" w:color="000000" w:fill="FFFFFF"/>
            <w:noWrap/>
            <w:vAlign w:val="center"/>
            <w:hideMark/>
          </w:tcPr>
          <w:p w14:paraId="5DF45988"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2020P02</w:t>
            </w:r>
          </w:p>
        </w:tc>
        <w:tc>
          <w:tcPr>
            <w:tcW w:w="277" w:type="pct"/>
            <w:tcBorders>
              <w:top w:val="nil"/>
              <w:left w:val="nil"/>
              <w:bottom w:val="nil"/>
              <w:right w:val="nil"/>
            </w:tcBorders>
            <w:shd w:val="clear" w:color="000000" w:fill="FFFFFF"/>
            <w:noWrap/>
            <w:vAlign w:val="center"/>
            <w:hideMark/>
          </w:tcPr>
          <w:p w14:paraId="021BABC0"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33858</w:t>
            </w:r>
          </w:p>
        </w:tc>
        <w:tc>
          <w:tcPr>
            <w:tcW w:w="345" w:type="pct"/>
            <w:tcBorders>
              <w:top w:val="nil"/>
              <w:left w:val="nil"/>
              <w:bottom w:val="nil"/>
              <w:right w:val="nil"/>
            </w:tcBorders>
            <w:shd w:val="clear" w:color="000000" w:fill="FFFFFF"/>
            <w:noWrap/>
            <w:vAlign w:val="center"/>
            <w:hideMark/>
          </w:tcPr>
          <w:p w14:paraId="7A988318"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104959</w:t>
            </w:r>
          </w:p>
        </w:tc>
        <w:tc>
          <w:tcPr>
            <w:tcW w:w="403" w:type="pct"/>
            <w:tcBorders>
              <w:top w:val="nil"/>
              <w:left w:val="nil"/>
              <w:bottom w:val="nil"/>
              <w:right w:val="nil"/>
            </w:tcBorders>
            <w:shd w:val="clear" w:color="000000" w:fill="FFFFFF"/>
            <w:noWrap/>
            <w:vAlign w:val="center"/>
            <w:hideMark/>
          </w:tcPr>
          <w:p w14:paraId="47EA1F37"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w:t>
            </w:r>
            <w:r w:rsidRPr="007B4794">
              <w:rPr>
                <w:rFonts w:ascii="Arial" w:hAnsi="Arial" w:cs="Arial"/>
                <w:color w:val="000000" w:themeColor="text1"/>
                <w:sz w:val="15"/>
                <w:szCs w:val="15"/>
              </w:rPr>
              <w:t>1.0</w:t>
            </w:r>
            <w:r w:rsidRPr="007B4794">
              <w:rPr>
                <w:rFonts w:ascii="Arial" w:hAnsi="Arial" w:cs="Arial"/>
                <w:color w:val="000000" w:themeColor="text1"/>
                <w:sz w:val="15"/>
                <w:szCs w:val="15"/>
              </w:rPr>
              <w:t>且＜</w:t>
            </w:r>
            <w:r w:rsidRPr="007B4794">
              <w:rPr>
                <w:rFonts w:ascii="Arial" w:hAnsi="Arial" w:cs="Arial"/>
                <w:color w:val="000000" w:themeColor="text1"/>
                <w:sz w:val="15"/>
                <w:szCs w:val="15"/>
              </w:rPr>
              <w:t>3.1</w:t>
            </w:r>
          </w:p>
        </w:tc>
        <w:tc>
          <w:tcPr>
            <w:tcW w:w="353" w:type="pct"/>
            <w:tcBorders>
              <w:top w:val="nil"/>
              <w:left w:val="nil"/>
              <w:bottom w:val="nil"/>
              <w:right w:val="nil"/>
            </w:tcBorders>
            <w:shd w:val="clear" w:color="000000" w:fill="FFFFFF"/>
            <w:noWrap/>
            <w:vAlign w:val="center"/>
            <w:hideMark/>
          </w:tcPr>
          <w:p w14:paraId="7BBC562C"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2020-05-27</w:t>
            </w:r>
          </w:p>
        </w:tc>
        <w:tc>
          <w:tcPr>
            <w:tcW w:w="906" w:type="pct"/>
            <w:tcBorders>
              <w:top w:val="nil"/>
              <w:left w:val="nil"/>
              <w:bottom w:val="nil"/>
              <w:right w:val="nil"/>
            </w:tcBorders>
            <w:shd w:val="clear" w:color="000000" w:fill="FFFFFF"/>
            <w:noWrap/>
            <w:vAlign w:val="center"/>
            <w:hideMark/>
          </w:tcPr>
          <w:p w14:paraId="0342C3FC"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福州奥盈房地产有限公司</w:t>
            </w:r>
          </w:p>
        </w:tc>
        <w:tc>
          <w:tcPr>
            <w:tcW w:w="302" w:type="pct"/>
            <w:tcBorders>
              <w:top w:val="nil"/>
              <w:left w:val="nil"/>
              <w:bottom w:val="nil"/>
              <w:right w:val="nil"/>
            </w:tcBorders>
            <w:shd w:val="clear" w:color="000000" w:fill="FFFFFF"/>
            <w:noWrap/>
            <w:vAlign w:val="center"/>
            <w:hideMark/>
          </w:tcPr>
          <w:p w14:paraId="33654089"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90400</w:t>
            </w:r>
          </w:p>
        </w:tc>
        <w:tc>
          <w:tcPr>
            <w:tcW w:w="352" w:type="pct"/>
            <w:tcBorders>
              <w:top w:val="nil"/>
              <w:left w:val="nil"/>
              <w:bottom w:val="nil"/>
              <w:right w:val="nil"/>
            </w:tcBorders>
            <w:shd w:val="clear" w:color="000000" w:fill="FFFFFF"/>
            <w:noWrap/>
            <w:vAlign w:val="center"/>
            <w:hideMark/>
          </w:tcPr>
          <w:p w14:paraId="4E69A522"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1779.98</w:t>
            </w:r>
          </w:p>
        </w:tc>
        <w:tc>
          <w:tcPr>
            <w:tcW w:w="353" w:type="pct"/>
            <w:tcBorders>
              <w:top w:val="nil"/>
              <w:left w:val="nil"/>
              <w:bottom w:val="nil"/>
              <w:right w:val="nil"/>
            </w:tcBorders>
            <w:shd w:val="clear" w:color="000000" w:fill="FFFFFF"/>
            <w:noWrap/>
            <w:vAlign w:val="center"/>
            <w:hideMark/>
          </w:tcPr>
          <w:p w14:paraId="45F0E045"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8612.88</w:t>
            </w:r>
          </w:p>
        </w:tc>
        <w:tc>
          <w:tcPr>
            <w:tcW w:w="279" w:type="pct"/>
            <w:tcBorders>
              <w:top w:val="nil"/>
              <w:left w:val="nil"/>
              <w:bottom w:val="nil"/>
              <w:right w:val="nil"/>
            </w:tcBorders>
            <w:shd w:val="clear" w:color="000000" w:fill="FFFFFF"/>
            <w:noWrap/>
            <w:vAlign w:val="center"/>
            <w:hideMark/>
          </w:tcPr>
          <w:p w14:paraId="44D88584"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32.55</w:t>
            </w:r>
          </w:p>
        </w:tc>
      </w:tr>
      <w:tr w:rsidR="003B3124" w:rsidRPr="007B4794" w14:paraId="43BD617A" w14:textId="77777777" w:rsidTr="003B3124">
        <w:trPr>
          <w:trHeight w:val="630"/>
        </w:trPr>
        <w:tc>
          <w:tcPr>
            <w:tcW w:w="190" w:type="pct"/>
            <w:tcBorders>
              <w:top w:val="nil"/>
              <w:left w:val="nil"/>
              <w:bottom w:val="nil"/>
              <w:right w:val="nil"/>
            </w:tcBorders>
            <w:shd w:val="clear" w:color="000000" w:fill="FFFFFF"/>
            <w:noWrap/>
            <w:vAlign w:val="center"/>
            <w:hideMark/>
          </w:tcPr>
          <w:p w14:paraId="7222BBA6"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6</w:t>
            </w:r>
          </w:p>
        </w:tc>
        <w:tc>
          <w:tcPr>
            <w:tcW w:w="504" w:type="pct"/>
            <w:tcBorders>
              <w:top w:val="nil"/>
              <w:left w:val="nil"/>
              <w:bottom w:val="nil"/>
              <w:right w:val="nil"/>
            </w:tcBorders>
            <w:shd w:val="clear" w:color="000000" w:fill="FFFFFF"/>
            <w:noWrap/>
            <w:vAlign w:val="center"/>
            <w:hideMark/>
          </w:tcPr>
          <w:p w14:paraId="3985B150"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翁角路与角美大道交叉口西南侧</w:t>
            </w:r>
          </w:p>
        </w:tc>
        <w:tc>
          <w:tcPr>
            <w:tcW w:w="351" w:type="pct"/>
            <w:tcBorders>
              <w:top w:val="nil"/>
              <w:left w:val="nil"/>
              <w:bottom w:val="nil"/>
              <w:right w:val="nil"/>
            </w:tcBorders>
            <w:shd w:val="clear" w:color="000000" w:fill="FFFFFF"/>
            <w:noWrap/>
            <w:vAlign w:val="center"/>
            <w:hideMark/>
          </w:tcPr>
          <w:p w14:paraId="58F01404"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2020P01</w:t>
            </w:r>
          </w:p>
        </w:tc>
        <w:tc>
          <w:tcPr>
            <w:tcW w:w="384" w:type="pct"/>
            <w:tcBorders>
              <w:top w:val="nil"/>
              <w:left w:val="nil"/>
              <w:bottom w:val="nil"/>
              <w:right w:val="nil"/>
            </w:tcBorders>
            <w:shd w:val="clear" w:color="000000" w:fill="FFFFFF"/>
            <w:noWrap/>
            <w:vAlign w:val="center"/>
            <w:hideMark/>
          </w:tcPr>
          <w:p w14:paraId="0D3CC203"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2020P01</w:t>
            </w:r>
          </w:p>
        </w:tc>
        <w:tc>
          <w:tcPr>
            <w:tcW w:w="277" w:type="pct"/>
            <w:tcBorders>
              <w:top w:val="nil"/>
              <w:left w:val="nil"/>
              <w:bottom w:val="nil"/>
              <w:right w:val="nil"/>
            </w:tcBorders>
            <w:shd w:val="clear" w:color="000000" w:fill="FFFFFF"/>
            <w:noWrap/>
            <w:vAlign w:val="center"/>
            <w:hideMark/>
          </w:tcPr>
          <w:p w14:paraId="6EEB976C"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25243</w:t>
            </w:r>
          </w:p>
        </w:tc>
        <w:tc>
          <w:tcPr>
            <w:tcW w:w="345" w:type="pct"/>
            <w:tcBorders>
              <w:top w:val="nil"/>
              <w:left w:val="nil"/>
              <w:bottom w:val="nil"/>
              <w:right w:val="nil"/>
            </w:tcBorders>
            <w:shd w:val="clear" w:color="000000" w:fill="FFFFFF"/>
            <w:noWrap/>
            <w:vAlign w:val="center"/>
            <w:hideMark/>
          </w:tcPr>
          <w:p w14:paraId="5F1CFC20"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47961</w:t>
            </w:r>
          </w:p>
        </w:tc>
        <w:tc>
          <w:tcPr>
            <w:tcW w:w="403" w:type="pct"/>
            <w:tcBorders>
              <w:top w:val="nil"/>
              <w:left w:val="nil"/>
              <w:bottom w:val="nil"/>
              <w:right w:val="nil"/>
            </w:tcBorders>
            <w:shd w:val="clear" w:color="000000" w:fill="FFFFFF"/>
            <w:noWrap/>
            <w:vAlign w:val="center"/>
            <w:hideMark/>
          </w:tcPr>
          <w:p w14:paraId="7601350F"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w:t>
            </w:r>
            <w:r w:rsidRPr="007B4794">
              <w:rPr>
                <w:rFonts w:ascii="Arial" w:hAnsi="Arial" w:cs="Arial"/>
                <w:color w:val="000000" w:themeColor="text1"/>
                <w:sz w:val="15"/>
                <w:szCs w:val="15"/>
              </w:rPr>
              <w:t>1.0</w:t>
            </w:r>
            <w:r w:rsidRPr="007B4794">
              <w:rPr>
                <w:rFonts w:ascii="Arial" w:hAnsi="Arial" w:cs="Arial"/>
                <w:color w:val="000000" w:themeColor="text1"/>
                <w:sz w:val="15"/>
                <w:szCs w:val="15"/>
              </w:rPr>
              <w:t>且＜</w:t>
            </w:r>
            <w:r w:rsidRPr="007B4794">
              <w:rPr>
                <w:rFonts w:ascii="Arial" w:hAnsi="Arial" w:cs="Arial"/>
                <w:color w:val="000000" w:themeColor="text1"/>
                <w:sz w:val="15"/>
                <w:szCs w:val="15"/>
              </w:rPr>
              <w:t>1.9</w:t>
            </w:r>
          </w:p>
        </w:tc>
        <w:tc>
          <w:tcPr>
            <w:tcW w:w="353" w:type="pct"/>
            <w:tcBorders>
              <w:top w:val="nil"/>
              <w:left w:val="nil"/>
              <w:bottom w:val="nil"/>
              <w:right w:val="nil"/>
            </w:tcBorders>
            <w:shd w:val="clear" w:color="000000" w:fill="FFFFFF"/>
            <w:noWrap/>
            <w:vAlign w:val="center"/>
            <w:hideMark/>
          </w:tcPr>
          <w:p w14:paraId="275D6DB2"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2020-05-27</w:t>
            </w:r>
          </w:p>
        </w:tc>
        <w:tc>
          <w:tcPr>
            <w:tcW w:w="906" w:type="pct"/>
            <w:tcBorders>
              <w:top w:val="nil"/>
              <w:left w:val="nil"/>
              <w:bottom w:val="nil"/>
              <w:right w:val="nil"/>
            </w:tcBorders>
            <w:shd w:val="clear" w:color="000000" w:fill="FFFFFF"/>
            <w:noWrap/>
            <w:vAlign w:val="center"/>
            <w:hideMark/>
          </w:tcPr>
          <w:p w14:paraId="4646190F"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深圳华侨城房地产有限公司、漳州市角美轨道交通投资发展有限公司、深圳华侨城酒店发展有限公司</w:t>
            </w:r>
          </w:p>
        </w:tc>
        <w:tc>
          <w:tcPr>
            <w:tcW w:w="302" w:type="pct"/>
            <w:tcBorders>
              <w:top w:val="nil"/>
              <w:left w:val="nil"/>
              <w:bottom w:val="nil"/>
              <w:right w:val="nil"/>
            </w:tcBorders>
            <w:shd w:val="clear" w:color="000000" w:fill="FFFFFF"/>
            <w:noWrap/>
            <w:vAlign w:val="center"/>
            <w:hideMark/>
          </w:tcPr>
          <w:p w14:paraId="0A3C34A9"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19430</w:t>
            </w:r>
          </w:p>
        </w:tc>
        <w:tc>
          <w:tcPr>
            <w:tcW w:w="352" w:type="pct"/>
            <w:tcBorders>
              <w:top w:val="nil"/>
              <w:left w:val="nil"/>
              <w:bottom w:val="nil"/>
              <w:right w:val="nil"/>
            </w:tcBorders>
            <w:shd w:val="clear" w:color="000000" w:fill="FFFFFF"/>
            <w:noWrap/>
            <w:vAlign w:val="center"/>
            <w:hideMark/>
          </w:tcPr>
          <w:p w14:paraId="42BCF390"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513.15</w:t>
            </w:r>
          </w:p>
        </w:tc>
        <w:tc>
          <w:tcPr>
            <w:tcW w:w="353" w:type="pct"/>
            <w:tcBorders>
              <w:top w:val="nil"/>
              <w:left w:val="nil"/>
              <w:bottom w:val="nil"/>
              <w:right w:val="nil"/>
            </w:tcBorders>
            <w:shd w:val="clear" w:color="000000" w:fill="FFFFFF"/>
            <w:noWrap/>
            <w:vAlign w:val="center"/>
            <w:hideMark/>
          </w:tcPr>
          <w:p w14:paraId="65D8AFAE"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4051.21</w:t>
            </w:r>
          </w:p>
        </w:tc>
        <w:tc>
          <w:tcPr>
            <w:tcW w:w="279" w:type="pct"/>
            <w:tcBorders>
              <w:top w:val="nil"/>
              <w:left w:val="nil"/>
              <w:bottom w:val="nil"/>
              <w:right w:val="nil"/>
            </w:tcBorders>
            <w:shd w:val="clear" w:color="000000" w:fill="FFFFFF"/>
            <w:noWrap/>
            <w:vAlign w:val="center"/>
            <w:hideMark/>
          </w:tcPr>
          <w:p w14:paraId="44D89448"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0</w:t>
            </w:r>
          </w:p>
        </w:tc>
      </w:tr>
      <w:tr w:rsidR="003B3124" w:rsidRPr="007B4794" w14:paraId="613725A8" w14:textId="77777777" w:rsidTr="003B3124">
        <w:trPr>
          <w:trHeight w:val="630"/>
        </w:trPr>
        <w:tc>
          <w:tcPr>
            <w:tcW w:w="190" w:type="pct"/>
            <w:tcBorders>
              <w:top w:val="nil"/>
              <w:left w:val="nil"/>
              <w:bottom w:val="nil"/>
              <w:right w:val="nil"/>
            </w:tcBorders>
            <w:shd w:val="clear" w:color="000000" w:fill="FFFFFF"/>
            <w:noWrap/>
            <w:vAlign w:val="center"/>
            <w:hideMark/>
          </w:tcPr>
          <w:p w14:paraId="53515E8F"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7</w:t>
            </w:r>
          </w:p>
        </w:tc>
        <w:tc>
          <w:tcPr>
            <w:tcW w:w="504" w:type="pct"/>
            <w:tcBorders>
              <w:top w:val="nil"/>
              <w:left w:val="nil"/>
              <w:bottom w:val="nil"/>
              <w:right w:val="nil"/>
            </w:tcBorders>
            <w:shd w:val="clear" w:color="000000" w:fill="FFFFFF"/>
            <w:noWrap/>
            <w:vAlign w:val="center"/>
            <w:hideMark/>
          </w:tcPr>
          <w:p w14:paraId="73A57A99"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翁角路以南角海路以东</w:t>
            </w:r>
          </w:p>
        </w:tc>
        <w:tc>
          <w:tcPr>
            <w:tcW w:w="351" w:type="pct"/>
            <w:tcBorders>
              <w:top w:val="nil"/>
              <w:left w:val="nil"/>
              <w:bottom w:val="nil"/>
              <w:right w:val="nil"/>
            </w:tcBorders>
            <w:shd w:val="clear" w:color="000000" w:fill="FFFFFF"/>
            <w:noWrap/>
            <w:vAlign w:val="center"/>
            <w:hideMark/>
          </w:tcPr>
          <w:p w14:paraId="2E5D39F1"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2019P04</w:t>
            </w:r>
          </w:p>
        </w:tc>
        <w:tc>
          <w:tcPr>
            <w:tcW w:w="384" w:type="pct"/>
            <w:tcBorders>
              <w:top w:val="nil"/>
              <w:left w:val="nil"/>
              <w:bottom w:val="nil"/>
              <w:right w:val="nil"/>
            </w:tcBorders>
            <w:shd w:val="clear" w:color="000000" w:fill="FFFFFF"/>
            <w:noWrap/>
            <w:vAlign w:val="center"/>
            <w:hideMark/>
          </w:tcPr>
          <w:p w14:paraId="49849DDA"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2019P04</w:t>
            </w:r>
          </w:p>
        </w:tc>
        <w:tc>
          <w:tcPr>
            <w:tcW w:w="277" w:type="pct"/>
            <w:tcBorders>
              <w:top w:val="nil"/>
              <w:left w:val="nil"/>
              <w:bottom w:val="nil"/>
              <w:right w:val="nil"/>
            </w:tcBorders>
            <w:shd w:val="clear" w:color="000000" w:fill="FFFFFF"/>
            <w:noWrap/>
            <w:vAlign w:val="center"/>
            <w:hideMark/>
          </w:tcPr>
          <w:p w14:paraId="7FA8A316"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49439</w:t>
            </w:r>
          </w:p>
        </w:tc>
        <w:tc>
          <w:tcPr>
            <w:tcW w:w="345" w:type="pct"/>
            <w:tcBorders>
              <w:top w:val="nil"/>
              <w:left w:val="nil"/>
              <w:bottom w:val="nil"/>
              <w:right w:val="nil"/>
            </w:tcBorders>
            <w:shd w:val="clear" w:color="000000" w:fill="FFFFFF"/>
            <w:noWrap/>
            <w:vAlign w:val="center"/>
            <w:hideMark/>
          </w:tcPr>
          <w:p w14:paraId="03857C9B"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133485.3</w:t>
            </w:r>
          </w:p>
        </w:tc>
        <w:tc>
          <w:tcPr>
            <w:tcW w:w="403" w:type="pct"/>
            <w:tcBorders>
              <w:top w:val="nil"/>
              <w:left w:val="nil"/>
              <w:bottom w:val="nil"/>
              <w:right w:val="nil"/>
            </w:tcBorders>
            <w:shd w:val="clear" w:color="000000" w:fill="FFFFFF"/>
            <w:noWrap/>
            <w:vAlign w:val="center"/>
            <w:hideMark/>
          </w:tcPr>
          <w:p w14:paraId="3309F24B"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大于</w:t>
            </w:r>
            <w:r w:rsidRPr="007B4794">
              <w:rPr>
                <w:rFonts w:ascii="Arial" w:hAnsi="Arial" w:cs="Arial"/>
                <w:color w:val="000000" w:themeColor="text1"/>
                <w:sz w:val="15"/>
                <w:szCs w:val="15"/>
              </w:rPr>
              <w:t>1</w:t>
            </w:r>
            <w:r w:rsidRPr="007B4794">
              <w:rPr>
                <w:rFonts w:ascii="Arial" w:hAnsi="Arial" w:cs="Arial"/>
                <w:color w:val="000000" w:themeColor="text1"/>
                <w:sz w:val="15"/>
                <w:szCs w:val="15"/>
              </w:rPr>
              <w:t>并且小于</w:t>
            </w:r>
            <w:r w:rsidRPr="007B4794">
              <w:rPr>
                <w:rFonts w:ascii="Arial" w:hAnsi="Arial" w:cs="Arial"/>
                <w:color w:val="000000" w:themeColor="text1"/>
                <w:sz w:val="15"/>
                <w:szCs w:val="15"/>
              </w:rPr>
              <w:t>2.7</w:t>
            </w:r>
          </w:p>
        </w:tc>
        <w:tc>
          <w:tcPr>
            <w:tcW w:w="353" w:type="pct"/>
            <w:tcBorders>
              <w:top w:val="nil"/>
              <w:left w:val="nil"/>
              <w:bottom w:val="nil"/>
              <w:right w:val="nil"/>
            </w:tcBorders>
            <w:shd w:val="clear" w:color="000000" w:fill="FFFFFF"/>
            <w:noWrap/>
            <w:vAlign w:val="center"/>
            <w:hideMark/>
          </w:tcPr>
          <w:p w14:paraId="1FA0F2A0"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2019-10-30</w:t>
            </w:r>
          </w:p>
        </w:tc>
        <w:tc>
          <w:tcPr>
            <w:tcW w:w="906" w:type="pct"/>
            <w:tcBorders>
              <w:top w:val="nil"/>
              <w:left w:val="nil"/>
              <w:bottom w:val="nil"/>
              <w:right w:val="nil"/>
            </w:tcBorders>
            <w:shd w:val="clear" w:color="000000" w:fill="FFFFFF"/>
            <w:noWrap/>
            <w:vAlign w:val="center"/>
            <w:hideMark/>
          </w:tcPr>
          <w:p w14:paraId="7C88B39F"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厦门金臻利企业管理咨询有限公司</w:t>
            </w:r>
          </w:p>
        </w:tc>
        <w:tc>
          <w:tcPr>
            <w:tcW w:w="302" w:type="pct"/>
            <w:tcBorders>
              <w:top w:val="nil"/>
              <w:left w:val="nil"/>
              <w:bottom w:val="nil"/>
              <w:right w:val="nil"/>
            </w:tcBorders>
            <w:shd w:val="clear" w:color="000000" w:fill="FFFFFF"/>
            <w:noWrap/>
            <w:vAlign w:val="center"/>
            <w:hideMark/>
          </w:tcPr>
          <w:p w14:paraId="235FD040"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75000</w:t>
            </w:r>
          </w:p>
        </w:tc>
        <w:tc>
          <w:tcPr>
            <w:tcW w:w="352" w:type="pct"/>
            <w:tcBorders>
              <w:top w:val="nil"/>
              <w:left w:val="nil"/>
              <w:bottom w:val="nil"/>
              <w:right w:val="nil"/>
            </w:tcBorders>
            <w:shd w:val="clear" w:color="000000" w:fill="FFFFFF"/>
            <w:noWrap/>
            <w:vAlign w:val="center"/>
            <w:hideMark/>
          </w:tcPr>
          <w:p w14:paraId="2DC4F9E6"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1011.35</w:t>
            </w:r>
          </w:p>
        </w:tc>
        <w:tc>
          <w:tcPr>
            <w:tcW w:w="353" w:type="pct"/>
            <w:tcBorders>
              <w:top w:val="nil"/>
              <w:left w:val="nil"/>
              <w:bottom w:val="nil"/>
              <w:right w:val="nil"/>
            </w:tcBorders>
            <w:shd w:val="clear" w:color="000000" w:fill="FFFFFF"/>
            <w:noWrap/>
            <w:vAlign w:val="center"/>
            <w:hideMark/>
          </w:tcPr>
          <w:p w14:paraId="78B3AD71"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5618.6</w:t>
            </w:r>
          </w:p>
        </w:tc>
        <w:tc>
          <w:tcPr>
            <w:tcW w:w="279" w:type="pct"/>
            <w:tcBorders>
              <w:top w:val="nil"/>
              <w:left w:val="nil"/>
              <w:bottom w:val="nil"/>
              <w:right w:val="nil"/>
            </w:tcBorders>
            <w:shd w:val="clear" w:color="000000" w:fill="FFFFFF"/>
            <w:noWrap/>
            <w:vAlign w:val="center"/>
            <w:hideMark/>
          </w:tcPr>
          <w:p w14:paraId="2011AD6E"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0</w:t>
            </w:r>
          </w:p>
        </w:tc>
      </w:tr>
      <w:tr w:rsidR="003B3124" w:rsidRPr="007B4794" w14:paraId="5B68D8A1" w14:textId="77777777" w:rsidTr="003B3124">
        <w:trPr>
          <w:trHeight w:val="630"/>
        </w:trPr>
        <w:tc>
          <w:tcPr>
            <w:tcW w:w="190" w:type="pct"/>
            <w:tcBorders>
              <w:top w:val="nil"/>
              <w:left w:val="nil"/>
              <w:bottom w:val="nil"/>
              <w:right w:val="nil"/>
            </w:tcBorders>
            <w:shd w:val="clear" w:color="000000" w:fill="FFFFFF"/>
            <w:noWrap/>
            <w:vAlign w:val="center"/>
            <w:hideMark/>
          </w:tcPr>
          <w:p w14:paraId="1BAC8FED"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8</w:t>
            </w:r>
          </w:p>
        </w:tc>
        <w:tc>
          <w:tcPr>
            <w:tcW w:w="504" w:type="pct"/>
            <w:tcBorders>
              <w:top w:val="nil"/>
              <w:left w:val="nil"/>
              <w:bottom w:val="nil"/>
              <w:right w:val="nil"/>
            </w:tcBorders>
            <w:shd w:val="clear" w:color="000000" w:fill="FFFFFF"/>
            <w:noWrap/>
            <w:vAlign w:val="center"/>
            <w:hideMark/>
          </w:tcPr>
          <w:p w14:paraId="461A2E2B"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角海路以东湖中路以北</w:t>
            </w:r>
          </w:p>
        </w:tc>
        <w:tc>
          <w:tcPr>
            <w:tcW w:w="351" w:type="pct"/>
            <w:tcBorders>
              <w:top w:val="nil"/>
              <w:left w:val="nil"/>
              <w:bottom w:val="nil"/>
              <w:right w:val="nil"/>
            </w:tcBorders>
            <w:shd w:val="clear" w:color="000000" w:fill="FFFFFF"/>
            <w:noWrap/>
            <w:vAlign w:val="center"/>
            <w:hideMark/>
          </w:tcPr>
          <w:p w14:paraId="756A14DD"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2019P03</w:t>
            </w:r>
          </w:p>
        </w:tc>
        <w:tc>
          <w:tcPr>
            <w:tcW w:w="384" w:type="pct"/>
            <w:tcBorders>
              <w:top w:val="nil"/>
              <w:left w:val="nil"/>
              <w:bottom w:val="nil"/>
              <w:right w:val="nil"/>
            </w:tcBorders>
            <w:shd w:val="clear" w:color="000000" w:fill="FFFFFF"/>
            <w:noWrap/>
            <w:vAlign w:val="center"/>
            <w:hideMark/>
          </w:tcPr>
          <w:p w14:paraId="01AF5C0C"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2019P03</w:t>
            </w:r>
          </w:p>
        </w:tc>
        <w:tc>
          <w:tcPr>
            <w:tcW w:w="277" w:type="pct"/>
            <w:tcBorders>
              <w:top w:val="nil"/>
              <w:left w:val="nil"/>
              <w:bottom w:val="nil"/>
              <w:right w:val="nil"/>
            </w:tcBorders>
            <w:shd w:val="clear" w:color="000000" w:fill="FFFFFF"/>
            <w:noWrap/>
            <w:vAlign w:val="center"/>
            <w:hideMark/>
          </w:tcPr>
          <w:p w14:paraId="3F6AF248"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32102</w:t>
            </w:r>
          </w:p>
        </w:tc>
        <w:tc>
          <w:tcPr>
            <w:tcW w:w="345" w:type="pct"/>
            <w:tcBorders>
              <w:top w:val="nil"/>
              <w:left w:val="nil"/>
              <w:bottom w:val="nil"/>
              <w:right w:val="nil"/>
            </w:tcBorders>
            <w:shd w:val="clear" w:color="000000" w:fill="FFFFFF"/>
            <w:noWrap/>
            <w:vAlign w:val="center"/>
            <w:hideMark/>
          </w:tcPr>
          <w:p w14:paraId="04DD774C"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96306</w:t>
            </w:r>
          </w:p>
        </w:tc>
        <w:tc>
          <w:tcPr>
            <w:tcW w:w="403" w:type="pct"/>
            <w:tcBorders>
              <w:top w:val="nil"/>
              <w:left w:val="nil"/>
              <w:bottom w:val="nil"/>
              <w:right w:val="nil"/>
            </w:tcBorders>
            <w:shd w:val="clear" w:color="000000" w:fill="FFFFFF"/>
            <w:noWrap/>
            <w:vAlign w:val="center"/>
            <w:hideMark/>
          </w:tcPr>
          <w:p w14:paraId="3F365F7F"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大于</w:t>
            </w:r>
            <w:r w:rsidRPr="007B4794">
              <w:rPr>
                <w:rFonts w:ascii="Arial" w:hAnsi="Arial" w:cs="Arial"/>
                <w:color w:val="000000" w:themeColor="text1"/>
                <w:sz w:val="15"/>
                <w:szCs w:val="15"/>
              </w:rPr>
              <w:t>1</w:t>
            </w:r>
            <w:r w:rsidRPr="007B4794">
              <w:rPr>
                <w:rFonts w:ascii="Arial" w:hAnsi="Arial" w:cs="Arial"/>
                <w:color w:val="000000" w:themeColor="text1"/>
                <w:sz w:val="15"/>
                <w:szCs w:val="15"/>
              </w:rPr>
              <w:t>并且小于</w:t>
            </w:r>
            <w:r w:rsidRPr="007B4794">
              <w:rPr>
                <w:rFonts w:ascii="Arial" w:hAnsi="Arial" w:cs="Arial"/>
                <w:color w:val="000000" w:themeColor="text1"/>
                <w:sz w:val="15"/>
                <w:szCs w:val="15"/>
              </w:rPr>
              <w:t>3</w:t>
            </w:r>
          </w:p>
        </w:tc>
        <w:tc>
          <w:tcPr>
            <w:tcW w:w="353" w:type="pct"/>
            <w:tcBorders>
              <w:top w:val="nil"/>
              <w:left w:val="nil"/>
              <w:bottom w:val="nil"/>
              <w:right w:val="nil"/>
            </w:tcBorders>
            <w:shd w:val="clear" w:color="000000" w:fill="FFFFFF"/>
            <w:noWrap/>
            <w:vAlign w:val="center"/>
            <w:hideMark/>
          </w:tcPr>
          <w:p w14:paraId="23FA7084"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2019-10-30</w:t>
            </w:r>
          </w:p>
        </w:tc>
        <w:tc>
          <w:tcPr>
            <w:tcW w:w="906" w:type="pct"/>
            <w:tcBorders>
              <w:top w:val="nil"/>
              <w:left w:val="nil"/>
              <w:bottom w:val="nil"/>
              <w:right w:val="nil"/>
            </w:tcBorders>
            <w:shd w:val="clear" w:color="000000" w:fill="FFFFFF"/>
            <w:noWrap/>
            <w:vAlign w:val="center"/>
            <w:hideMark/>
          </w:tcPr>
          <w:p w14:paraId="59BB4893"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厦门金臻利企业管理咨询有限公司</w:t>
            </w:r>
          </w:p>
        </w:tc>
        <w:tc>
          <w:tcPr>
            <w:tcW w:w="302" w:type="pct"/>
            <w:tcBorders>
              <w:top w:val="nil"/>
              <w:left w:val="nil"/>
              <w:bottom w:val="nil"/>
              <w:right w:val="nil"/>
            </w:tcBorders>
            <w:shd w:val="clear" w:color="000000" w:fill="FFFFFF"/>
            <w:noWrap/>
            <w:vAlign w:val="center"/>
            <w:hideMark/>
          </w:tcPr>
          <w:p w14:paraId="00DC1A54"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76000</w:t>
            </w:r>
          </w:p>
        </w:tc>
        <w:tc>
          <w:tcPr>
            <w:tcW w:w="352" w:type="pct"/>
            <w:tcBorders>
              <w:top w:val="nil"/>
              <w:left w:val="nil"/>
              <w:bottom w:val="nil"/>
              <w:right w:val="nil"/>
            </w:tcBorders>
            <w:shd w:val="clear" w:color="000000" w:fill="FFFFFF"/>
            <w:noWrap/>
            <w:vAlign w:val="center"/>
            <w:hideMark/>
          </w:tcPr>
          <w:p w14:paraId="16EAC3B6"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1578.3</w:t>
            </w:r>
          </w:p>
        </w:tc>
        <w:tc>
          <w:tcPr>
            <w:tcW w:w="353" w:type="pct"/>
            <w:tcBorders>
              <w:top w:val="nil"/>
              <w:left w:val="nil"/>
              <w:bottom w:val="nil"/>
              <w:right w:val="nil"/>
            </w:tcBorders>
            <w:shd w:val="clear" w:color="000000" w:fill="FFFFFF"/>
            <w:noWrap/>
            <w:vAlign w:val="center"/>
            <w:hideMark/>
          </w:tcPr>
          <w:p w14:paraId="4762E3A0"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7891.51</w:t>
            </w:r>
          </w:p>
        </w:tc>
        <w:tc>
          <w:tcPr>
            <w:tcW w:w="279" w:type="pct"/>
            <w:tcBorders>
              <w:top w:val="nil"/>
              <w:left w:val="nil"/>
              <w:bottom w:val="nil"/>
              <w:right w:val="nil"/>
            </w:tcBorders>
            <w:shd w:val="clear" w:color="000000" w:fill="FFFFFF"/>
            <w:noWrap/>
            <w:vAlign w:val="center"/>
            <w:hideMark/>
          </w:tcPr>
          <w:p w14:paraId="37C3538B"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0</w:t>
            </w:r>
          </w:p>
        </w:tc>
      </w:tr>
      <w:tr w:rsidR="003B3124" w:rsidRPr="007B4794" w14:paraId="5785BB70" w14:textId="77777777" w:rsidTr="003B3124">
        <w:trPr>
          <w:trHeight w:val="630"/>
        </w:trPr>
        <w:tc>
          <w:tcPr>
            <w:tcW w:w="190" w:type="pct"/>
            <w:tcBorders>
              <w:top w:val="nil"/>
              <w:left w:val="nil"/>
              <w:bottom w:val="nil"/>
              <w:right w:val="nil"/>
            </w:tcBorders>
            <w:shd w:val="clear" w:color="000000" w:fill="FFFFFF"/>
            <w:noWrap/>
            <w:vAlign w:val="center"/>
            <w:hideMark/>
          </w:tcPr>
          <w:p w14:paraId="604B9039"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9</w:t>
            </w:r>
          </w:p>
        </w:tc>
        <w:tc>
          <w:tcPr>
            <w:tcW w:w="504" w:type="pct"/>
            <w:tcBorders>
              <w:top w:val="nil"/>
              <w:left w:val="nil"/>
              <w:bottom w:val="nil"/>
              <w:right w:val="nil"/>
            </w:tcBorders>
            <w:shd w:val="clear" w:color="000000" w:fill="FFFFFF"/>
            <w:noWrap/>
            <w:vAlign w:val="center"/>
            <w:hideMark/>
          </w:tcPr>
          <w:p w14:paraId="4DE8BE96"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漳州台商投资区角江路与锦江大道交叉口西南侧</w:t>
            </w:r>
          </w:p>
        </w:tc>
        <w:tc>
          <w:tcPr>
            <w:tcW w:w="351" w:type="pct"/>
            <w:tcBorders>
              <w:top w:val="nil"/>
              <w:left w:val="nil"/>
              <w:bottom w:val="nil"/>
              <w:right w:val="nil"/>
            </w:tcBorders>
            <w:shd w:val="clear" w:color="000000" w:fill="FFFFFF"/>
            <w:noWrap/>
            <w:vAlign w:val="center"/>
            <w:hideMark/>
          </w:tcPr>
          <w:p w14:paraId="74E45F33"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2018P01</w:t>
            </w:r>
          </w:p>
        </w:tc>
        <w:tc>
          <w:tcPr>
            <w:tcW w:w="384" w:type="pct"/>
            <w:tcBorders>
              <w:top w:val="nil"/>
              <w:left w:val="nil"/>
              <w:bottom w:val="nil"/>
              <w:right w:val="nil"/>
            </w:tcBorders>
            <w:shd w:val="clear" w:color="000000" w:fill="FFFFFF"/>
            <w:noWrap/>
            <w:vAlign w:val="center"/>
            <w:hideMark/>
          </w:tcPr>
          <w:p w14:paraId="78251824"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2018P01</w:t>
            </w:r>
          </w:p>
        </w:tc>
        <w:tc>
          <w:tcPr>
            <w:tcW w:w="277" w:type="pct"/>
            <w:tcBorders>
              <w:top w:val="nil"/>
              <w:left w:val="nil"/>
              <w:bottom w:val="nil"/>
              <w:right w:val="nil"/>
            </w:tcBorders>
            <w:shd w:val="clear" w:color="000000" w:fill="FFFFFF"/>
            <w:noWrap/>
            <w:vAlign w:val="center"/>
            <w:hideMark/>
          </w:tcPr>
          <w:p w14:paraId="421C1D95"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39857</w:t>
            </w:r>
          </w:p>
        </w:tc>
        <w:tc>
          <w:tcPr>
            <w:tcW w:w="345" w:type="pct"/>
            <w:tcBorders>
              <w:top w:val="nil"/>
              <w:left w:val="nil"/>
              <w:bottom w:val="nil"/>
              <w:right w:val="nil"/>
            </w:tcBorders>
            <w:shd w:val="clear" w:color="000000" w:fill="FFFFFF"/>
            <w:noWrap/>
            <w:vAlign w:val="center"/>
            <w:hideMark/>
          </w:tcPr>
          <w:p w14:paraId="4BA7A463"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79714</w:t>
            </w:r>
          </w:p>
        </w:tc>
        <w:tc>
          <w:tcPr>
            <w:tcW w:w="403" w:type="pct"/>
            <w:tcBorders>
              <w:top w:val="nil"/>
              <w:left w:val="nil"/>
              <w:bottom w:val="nil"/>
              <w:right w:val="nil"/>
            </w:tcBorders>
            <w:shd w:val="clear" w:color="000000" w:fill="FFFFFF"/>
            <w:noWrap/>
            <w:vAlign w:val="center"/>
            <w:hideMark/>
          </w:tcPr>
          <w:p w14:paraId="795A39D6"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w:t>
            </w:r>
            <w:r w:rsidRPr="007B4794">
              <w:rPr>
                <w:rFonts w:ascii="Arial" w:hAnsi="Arial" w:cs="Arial"/>
                <w:color w:val="000000" w:themeColor="text1"/>
                <w:sz w:val="15"/>
                <w:szCs w:val="15"/>
              </w:rPr>
              <w:t>1</w:t>
            </w:r>
            <w:r w:rsidRPr="007B4794">
              <w:rPr>
                <w:rFonts w:ascii="Arial" w:hAnsi="Arial" w:cs="Arial"/>
                <w:color w:val="000000" w:themeColor="text1"/>
                <w:sz w:val="15"/>
                <w:szCs w:val="15"/>
              </w:rPr>
              <w:t>且＜</w:t>
            </w:r>
            <w:r w:rsidRPr="007B4794">
              <w:rPr>
                <w:rFonts w:ascii="Arial" w:hAnsi="Arial" w:cs="Arial"/>
                <w:color w:val="000000" w:themeColor="text1"/>
                <w:sz w:val="15"/>
                <w:szCs w:val="15"/>
              </w:rPr>
              <w:t>2</w:t>
            </w:r>
          </w:p>
        </w:tc>
        <w:tc>
          <w:tcPr>
            <w:tcW w:w="353" w:type="pct"/>
            <w:tcBorders>
              <w:top w:val="nil"/>
              <w:left w:val="nil"/>
              <w:bottom w:val="nil"/>
              <w:right w:val="nil"/>
            </w:tcBorders>
            <w:shd w:val="clear" w:color="000000" w:fill="FFFFFF"/>
            <w:noWrap/>
            <w:vAlign w:val="center"/>
            <w:hideMark/>
          </w:tcPr>
          <w:p w14:paraId="1569B8B6"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2018-09-12</w:t>
            </w:r>
          </w:p>
        </w:tc>
        <w:tc>
          <w:tcPr>
            <w:tcW w:w="906" w:type="pct"/>
            <w:tcBorders>
              <w:top w:val="nil"/>
              <w:left w:val="nil"/>
              <w:bottom w:val="nil"/>
              <w:right w:val="nil"/>
            </w:tcBorders>
            <w:shd w:val="clear" w:color="000000" w:fill="FFFFFF"/>
            <w:noWrap/>
            <w:vAlign w:val="center"/>
            <w:hideMark/>
          </w:tcPr>
          <w:p w14:paraId="13DFDC3C"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厦门宝嘉鼎盛贸易有限公司</w:t>
            </w:r>
          </w:p>
        </w:tc>
        <w:tc>
          <w:tcPr>
            <w:tcW w:w="302" w:type="pct"/>
            <w:tcBorders>
              <w:top w:val="nil"/>
              <w:left w:val="nil"/>
              <w:bottom w:val="nil"/>
              <w:right w:val="nil"/>
            </w:tcBorders>
            <w:shd w:val="clear" w:color="000000" w:fill="FFFFFF"/>
            <w:noWrap/>
            <w:vAlign w:val="center"/>
            <w:hideMark/>
          </w:tcPr>
          <w:p w14:paraId="0E10B388"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80600</w:t>
            </w:r>
          </w:p>
        </w:tc>
        <w:tc>
          <w:tcPr>
            <w:tcW w:w="352" w:type="pct"/>
            <w:tcBorders>
              <w:top w:val="nil"/>
              <w:left w:val="nil"/>
              <w:bottom w:val="nil"/>
              <w:right w:val="nil"/>
            </w:tcBorders>
            <w:shd w:val="clear" w:color="000000" w:fill="FFFFFF"/>
            <w:noWrap/>
            <w:vAlign w:val="center"/>
            <w:hideMark/>
          </w:tcPr>
          <w:p w14:paraId="31C411B1"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1348.15</w:t>
            </w:r>
          </w:p>
        </w:tc>
        <w:tc>
          <w:tcPr>
            <w:tcW w:w="353" w:type="pct"/>
            <w:tcBorders>
              <w:top w:val="nil"/>
              <w:left w:val="nil"/>
              <w:bottom w:val="nil"/>
              <w:right w:val="nil"/>
            </w:tcBorders>
            <w:shd w:val="clear" w:color="000000" w:fill="FFFFFF"/>
            <w:noWrap/>
            <w:vAlign w:val="center"/>
            <w:hideMark/>
          </w:tcPr>
          <w:p w14:paraId="49E7905D"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10111.14</w:t>
            </w:r>
          </w:p>
        </w:tc>
        <w:tc>
          <w:tcPr>
            <w:tcW w:w="279" w:type="pct"/>
            <w:tcBorders>
              <w:top w:val="nil"/>
              <w:left w:val="nil"/>
              <w:bottom w:val="nil"/>
              <w:right w:val="nil"/>
            </w:tcBorders>
            <w:shd w:val="clear" w:color="000000" w:fill="FFFFFF"/>
            <w:noWrap/>
            <w:vAlign w:val="center"/>
            <w:hideMark/>
          </w:tcPr>
          <w:p w14:paraId="539A0A30"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2.03</w:t>
            </w:r>
          </w:p>
        </w:tc>
      </w:tr>
      <w:tr w:rsidR="003B3124" w:rsidRPr="007B4794" w14:paraId="4E041767" w14:textId="77777777" w:rsidTr="003B3124">
        <w:trPr>
          <w:trHeight w:val="420"/>
        </w:trPr>
        <w:tc>
          <w:tcPr>
            <w:tcW w:w="190" w:type="pct"/>
            <w:tcBorders>
              <w:top w:val="nil"/>
              <w:left w:val="nil"/>
              <w:bottom w:val="nil"/>
              <w:right w:val="nil"/>
            </w:tcBorders>
            <w:shd w:val="clear" w:color="000000" w:fill="FFFFFF"/>
            <w:noWrap/>
            <w:vAlign w:val="center"/>
            <w:hideMark/>
          </w:tcPr>
          <w:p w14:paraId="40749606"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10</w:t>
            </w:r>
          </w:p>
        </w:tc>
        <w:tc>
          <w:tcPr>
            <w:tcW w:w="504" w:type="pct"/>
            <w:tcBorders>
              <w:top w:val="nil"/>
              <w:left w:val="nil"/>
              <w:bottom w:val="nil"/>
              <w:right w:val="nil"/>
            </w:tcBorders>
            <w:shd w:val="clear" w:color="000000" w:fill="FFFFFF"/>
            <w:noWrap/>
            <w:vAlign w:val="center"/>
            <w:hideMark/>
          </w:tcPr>
          <w:p w14:paraId="53AC31F4"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龙池大道与锦湖路交叉口东南侧</w:t>
            </w:r>
          </w:p>
        </w:tc>
        <w:tc>
          <w:tcPr>
            <w:tcW w:w="351" w:type="pct"/>
            <w:tcBorders>
              <w:top w:val="nil"/>
              <w:left w:val="nil"/>
              <w:bottom w:val="nil"/>
              <w:right w:val="nil"/>
            </w:tcBorders>
            <w:shd w:val="clear" w:color="000000" w:fill="FFFFFF"/>
            <w:noWrap/>
            <w:vAlign w:val="center"/>
            <w:hideMark/>
          </w:tcPr>
          <w:p w14:paraId="10054C50"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2017P05</w:t>
            </w:r>
          </w:p>
        </w:tc>
        <w:tc>
          <w:tcPr>
            <w:tcW w:w="384" w:type="pct"/>
            <w:tcBorders>
              <w:top w:val="nil"/>
              <w:left w:val="nil"/>
              <w:bottom w:val="nil"/>
              <w:right w:val="nil"/>
            </w:tcBorders>
            <w:shd w:val="clear" w:color="000000" w:fill="FFFFFF"/>
            <w:noWrap/>
            <w:vAlign w:val="center"/>
            <w:hideMark/>
          </w:tcPr>
          <w:p w14:paraId="364D5767"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2017P05</w:t>
            </w:r>
          </w:p>
        </w:tc>
        <w:tc>
          <w:tcPr>
            <w:tcW w:w="277" w:type="pct"/>
            <w:tcBorders>
              <w:top w:val="nil"/>
              <w:left w:val="nil"/>
              <w:bottom w:val="nil"/>
              <w:right w:val="nil"/>
            </w:tcBorders>
            <w:shd w:val="clear" w:color="000000" w:fill="FFFFFF"/>
            <w:noWrap/>
            <w:vAlign w:val="center"/>
            <w:hideMark/>
          </w:tcPr>
          <w:p w14:paraId="501EE90D"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46582</w:t>
            </w:r>
          </w:p>
        </w:tc>
        <w:tc>
          <w:tcPr>
            <w:tcW w:w="345" w:type="pct"/>
            <w:tcBorders>
              <w:top w:val="nil"/>
              <w:left w:val="nil"/>
              <w:bottom w:val="nil"/>
              <w:right w:val="nil"/>
            </w:tcBorders>
            <w:shd w:val="clear" w:color="000000" w:fill="FFFFFF"/>
            <w:noWrap/>
            <w:vAlign w:val="center"/>
            <w:hideMark/>
          </w:tcPr>
          <w:p w14:paraId="4CDF815F"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107138.6</w:t>
            </w:r>
          </w:p>
        </w:tc>
        <w:tc>
          <w:tcPr>
            <w:tcW w:w="403" w:type="pct"/>
            <w:tcBorders>
              <w:top w:val="nil"/>
              <w:left w:val="nil"/>
              <w:bottom w:val="nil"/>
              <w:right w:val="nil"/>
            </w:tcBorders>
            <w:shd w:val="clear" w:color="000000" w:fill="FFFFFF"/>
            <w:noWrap/>
            <w:vAlign w:val="center"/>
            <w:hideMark/>
          </w:tcPr>
          <w:p w14:paraId="3572F7B3"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w:t>
            </w:r>
            <w:r w:rsidRPr="007B4794">
              <w:rPr>
                <w:rFonts w:ascii="Arial" w:hAnsi="Arial" w:cs="Arial"/>
                <w:color w:val="000000" w:themeColor="text1"/>
                <w:sz w:val="15"/>
                <w:szCs w:val="15"/>
              </w:rPr>
              <w:t>1</w:t>
            </w:r>
            <w:r w:rsidRPr="007B4794">
              <w:rPr>
                <w:rFonts w:ascii="Arial" w:hAnsi="Arial" w:cs="Arial"/>
                <w:color w:val="000000" w:themeColor="text1"/>
                <w:sz w:val="15"/>
                <w:szCs w:val="15"/>
              </w:rPr>
              <w:t>且＜</w:t>
            </w:r>
            <w:r w:rsidRPr="007B4794">
              <w:rPr>
                <w:rFonts w:ascii="Arial" w:hAnsi="Arial" w:cs="Arial"/>
                <w:color w:val="000000" w:themeColor="text1"/>
                <w:sz w:val="15"/>
                <w:szCs w:val="15"/>
              </w:rPr>
              <w:t>2.3</w:t>
            </w:r>
          </w:p>
        </w:tc>
        <w:tc>
          <w:tcPr>
            <w:tcW w:w="353" w:type="pct"/>
            <w:tcBorders>
              <w:top w:val="nil"/>
              <w:left w:val="nil"/>
              <w:bottom w:val="nil"/>
              <w:right w:val="nil"/>
            </w:tcBorders>
            <w:shd w:val="clear" w:color="000000" w:fill="FFFFFF"/>
            <w:noWrap/>
            <w:vAlign w:val="center"/>
            <w:hideMark/>
          </w:tcPr>
          <w:p w14:paraId="16954DDE"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2017-12-12</w:t>
            </w:r>
          </w:p>
        </w:tc>
        <w:tc>
          <w:tcPr>
            <w:tcW w:w="906" w:type="pct"/>
            <w:tcBorders>
              <w:top w:val="nil"/>
              <w:left w:val="nil"/>
              <w:bottom w:val="nil"/>
              <w:right w:val="nil"/>
            </w:tcBorders>
            <w:shd w:val="clear" w:color="000000" w:fill="FFFFFF"/>
            <w:noWrap/>
            <w:vAlign w:val="center"/>
            <w:hideMark/>
          </w:tcPr>
          <w:p w14:paraId="78D90E31"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厦门泰禾房地产开发有限公司</w:t>
            </w:r>
          </w:p>
        </w:tc>
        <w:tc>
          <w:tcPr>
            <w:tcW w:w="302" w:type="pct"/>
            <w:tcBorders>
              <w:top w:val="nil"/>
              <w:left w:val="nil"/>
              <w:bottom w:val="nil"/>
              <w:right w:val="nil"/>
            </w:tcBorders>
            <w:shd w:val="clear" w:color="000000" w:fill="FFFFFF"/>
            <w:noWrap/>
            <w:vAlign w:val="center"/>
            <w:hideMark/>
          </w:tcPr>
          <w:p w14:paraId="3A02781E"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128000</w:t>
            </w:r>
          </w:p>
        </w:tc>
        <w:tc>
          <w:tcPr>
            <w:tcW w:w="352" w:type="pct"/>
            <w:tcBorders>
              <w:top w:val="nil"/>
              <w:left w:val="nil"/>
              <w:bottom w:val="nil"/>
              <w:right w:val="nil"/>
            </w:tcBorders>
            <w:shd w:val="clear" w:color="000000" w:fill="FFFFFF"/>
            <w:noWrap/>
            <w:vAlign w:val="center"/>
            <w:hideMark/>
          </w:tcPr>
          <w:p w14:paraId="0BC6FC94"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1831.9</w:t>
            </w:r>
          </w:p>
        </w:tc>
        <w:tc>
          <w:tcPr>
            <w:tcW w:w="353" w:type="pct"/>
            <w:tcBorders>
              <w:top w:val="nil"/>
              <w:left w:val="nil"/>
              <w:bottom w:val="nil"/>
              <w:right w:val="nil"/>
            </w:tcBorders>
            <w:shd w:val="clear" w:color="000000" w:fill="FFFFFF"/>
            <w:noWrap/>
            <w:vAlign w:val="center"/>
            <w:hideMark/>
          </w:tcPr>
          <w:p w14:paraId="6BD47FE5"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11947.13</w:t>
            </w:r>
          </w:p>
        </w:tc>
        <w:tc>
          <w:tcPr>
            <w:tcW w:w="279" w:type="pct"/>
            <w:tcBorders>
              <w:top w:val="nil"/>
              <w:left w:val="nil"/>
              <w:bottom w:val="nil"/>
              <w:right w:val="nil"/>
            </w:tcBorders>
            <w:shd w:val="clear" w:color="000000" w:fill="FFFFFF"/>
            <w:noWrap/>
            <w:vAlign w:val="center"/>
            <w:hideMark/>
          </w:tcPr>
          <w:p w14:paraId="523B74FE"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28</w:t>
            </w:r>
          </w:p>
        </w:tc>
      </w:tr>
      <w:tr w:rsidR="003B3124" w:rsidRPr="007B4794" w14:paraId="5E7AA139" w14:textId="77777777" w:rsidTr="003B3124">
        <w:trPr>
          <w:trHeight w:val="630"/>
        </w:trPr>
        <w:tc>
          <w:tcPr>
            <w:tcW w:w="190" w:type="pct"/>
            <w:tcBorders>
              <w:top w:val="nil"/>
              <w:left w:val="nil"/>
              <w:bottom w:val="nil"/>
              <w:right w:val="nil"/>
            </w:tcBorders>
            <w:shd w:val="clear" w:color="000000" w:fill="FFFFFF"/>
            <w:noWrap/>
            <w:vAlign w:val="center"/>
            <w:hideMark/>
          </w:tcPr>
          <w:p w14:paraId="0E02B02D"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11</w:t>
            </w:r>
          </w:p>
        </w:tc>
        <w:tc>
          <w:tcPr>
            <w:tcW w:w="504" w:type="pct"/>
            <w:tcBorders>
              <w:top w:val="nil"/>
              <w:left w:val="nil"/>
              <w:bottom w:val="nil"/>
              <w:right w:val="nil"/>
            </w:tcBorders>
            <w:shd w:val="clear" w:color="000000" w:fill="FFFFFF"/>
            <w:noWrap/>
            <w:vAlign w:val="center"/>
            <w:hideMark/>
          </w:tcPr>
          <w:p w14:paraId="182D5517"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龙池大道与锦湖路交叉口东南侧</w:t>
            </w:r>
          </w:p>
        </w:tc>
        <w:tc>
          <w:tcPr>
            <w:tcW w:w="351" w:type="pct"/>
            <w:tcBorders>
              <w:top w:val="nil"/>
              <w:left w:val="nil"/>
              <w:bottom w:val="nil"/>
              <w:right w:val="nil"/>
            </w:tcBorders>
            <w:shd w:val="clear" w:color="000000" w:fill="FFFFFF"/>
            <w:noWrap/>
            <w:vAlign w:val="center"/>
            <w:hideMark/>
          </w:tcPr>
          <w:p w14:paraId="1E260350"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2017P06</w:t>
            </w:r>
          </w:p>
        </w:tc>
        <w:tc>
          <w:tcPr>
            <w:tcW w:w="384" w:type="pct"/>
            <w:tcBorders>
              <w:top w:val="nil"/>
              <w:left w:val="nil"/>
              <w:bottom w:val="nil"/>
              <w:right w:val="nil"/>
            </w:tcBorders>
            <w:shd w:val="clear" w:color="000000" w:fill="FFFFFF"/>
            <w:noWrap/>
            <w:vAlign w:val="center"/>
            <w:hideMark/>
          </w:tcPr>
          <w:p w14:paraId="3359D121"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2017P06</w:t>
            </w:r>
          </w:p>
        </w:tc>
        <w:tc>
          <w:tcPr>
            <w:tcW w:w="277" w:type="pct"/>
            <w:tcBorders>
              <w:top w:val="nil"/>
              <w:left w:val="nil"/>
              <w:bottom w:val="nil"/>
              <w:right w:val="nil"/>
            </w:tcBorders>
            <w:shd w:val="clear" w:color="000000" w:fill="FFFFFF"/>
            <w:noWrap/>
            <w:vAlign w:val="center"/>
            <w:hideMark/>
          </w:tcPr>
          <w:p w14:paraId="17B8BA41"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51493</w:t>
            </w:r>
          </w:p>
        </w:tc>
        <w:tc>
          <w:tcPr>
            <w:tcW w:w="345" w:type="pct"/>
            <w:tcBorders>
              <w:top w:val="nil"/>
              <w:left w:val="nil"/>
              <w:bottom w:val="nil"/>
              <w:right w:val="nil"/>
            </w:tcBorders>
            <w:shd w:val="clear" w:color="000000" w:fill="FFFFFF"/>
            <w:noWrap/>
            <w:vAlign w:val="center"/>
            <w:hideMark/>
          </w:tcPr>
          <w:p w14:paraId="24CE0C3B"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118433.9</w:t>
            </w:r>
          </w:p>
        </w:tc>
        <w:tc>
          <w:tcPr>
            <w:tcW w:w="403" w:type="pct"/>
            <w:tcBorders>
              <w:top w:val="nil"/>
              <w:left w:val="nil"/>
              <w:bottom w:val="nil"/>
              <w:right w:val="nil"/>
            </w:tcBorders>
            <w:shd w:val="clear" w:color="000000" w:fill="FFFFFF"/>
            <w:noWrap/>
            <w:vAlign w:val="center"/>
            <w:hideMark/>
          </w:tcPr>
          <w:p w14:paraId="0FB80B41"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w:t>
            </w:r>
            <w:r w:rsidRPr="007B4794">
              <w:rPr>
                <w:rFonts w:ascii="Arial" w:hAnsi="Arial" w:cs="Arial"/>
                <w:color w:val="000000" w:themeColor="text1"/>
                <w:sz w:val="15"/>
                <w:szCs w:val="15"/>
              </w:rPr>
              <w:t>1</w:t>
            </w:r>
            <w:r w:rsidRPr="007B4794">
              <w:rPr>
                <w:rFonts w:ascii="Arial" w:hAnsi="Arial" w:cs="Arial"/>
                <w:color w:val="000000" w:themeColor="text1"/>
                <w:sz w:val="15"/>
                <w:szCs w:val="15"/>
              </w:rPr>
              <w:t>且＜</w:t>
            </w:r>
            <w:r w:rsidRPr="007B4794">
              <w:rPr>
                <w:rFonts w:ascii="Arial" w:hAnsi="Arial" w:cs="Arial"/>
                <w:color w:val="000000" w:themeColor="text1"/>
                <w:sz w:val="15"/>
                <w:szCs w:val="15"/>
              </w:rPr>
              <w:t>2.3</w:t>
            </w:r>
          </w:p>
        </w:tc>
        <w:tc>
          <w:tcPr>
            <w:tcW w:w="353" w:type="pct"/>
            <w:tcBorders>
              <w:top w:val="nil"/>
              <w:left w:val="nil"/>
              <w:bottom w:val="nil"/>
              <w:right w:val="nil"/>
            </w:tcBorders>
            <w:shd w:val="clear" w:color="000000" w:fill="FFFFFF"/>
            <w:noWrap/>
            <w:vAlign w:val="center"/>
            <w:hideMark/>
          </w:tcPr>
          <w:p w14:paraId="22946B98"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2017-12-12</w:t>
            </w:r>
          </w:p>
        </w:tc>
        <w:tc>
          <w:tcPr>
            <w:tcW w:w="906" w:type="pct"/>
            <w:tcBorders>
              <w:top w:val="nil"/>
              <w:left w:val="nil"/>
              <w:bottom w:val="nil"/>
              <w:right w:val="nil"/>
            </w:tcBorders>
            <w:shd w:val="clear" w:color="000000" w:fill="FFFFFF"/>
            <w:noWrap/>
            <w:vAlign w:val="center"/>
            <w:hideMark/>
          </w:tcPr>
          <w:p w14:paraId="32F07BCA"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厦门泰禾房地产开发有限公司</w:t>
            </w:r>
          </w:p>
        </w:tc>
        <w:tc>
          <w:tcPr>
            <w:tcW w:w="302" w:type="pct"/>
            <w:tcBorders>
              <w:top w:val="nil"/>
              <w:left w:val="nil"/>
              <w:bottom w:val="nil"/>
              <w:right w:val="nil"/>
            </w:tcBorders>
            <w:shd w:val="clear" w:color="000000" w:fill="FFFFFF"/>
            <w:noWrap/>
            <w:vAlign w:val="center"/>
            <w:hideMark/>
          </w:tcPr>
          <w:p w14:paraId="4EC9B87E"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142000</w:t>
            </w:r>
          </w:p>
        </w:tc>
        <w:tc>
          <w:tcPr>
            <w:tcW w:w="352" w:type="pct"/>
            <w:tcBorders>
              <w:top w:val="nil"/>
              <w:left w:val="nil"/>
              <w:bottom w:val="nil"/>
              <w:right w:val="nil"/>
            </w:tcBorders>
            <w:shd w:val="clear" w:color="000000" w:fill="FFFFFF"/>
            <w:noWrap/>
            <w:vAlign w:val="center"/>
            <w:hideMark/>
          </w:tcPr>
          <w:p w14:paraId="2BB797E3"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1838.44</w:t>
            </w:r>
          </w:p>
        </w:tc>
        <w:tc>
          <w:tcPr>
            <w:tcW w:w="353" w:type="pct"/>
            <w:tcBorders>
              <w:top w:val="nil"/>
              <w:left w:val="nil"/>
              <w:bottom w:val="nil"/>
              <w:right w:val="nil"/>
            </w:tcBorders>
            <w:shd w:val="clear" w:color="000000" w:fill="FFFFFF"/>
            <w:noWrap/>
            <w:vAlign w:val="center"/>
            <w:hideMark/>
          </w:tcPr>
          <w:p w14:paraId="3D4A9856"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11989.8</w:t>
            </w:r>
          </w:p>
        </w:tc>
        <w:tc>
          <w:tcPr>
            <w:tcW w:w="279" w:type="pct"/>
            <w:tcBorders>
              <w:top w:val="nil"/>
              <w:left w:val="nil"/>
              <w:bottom w:val="nil"/>
              <w:right w:val="nil"/>
            </w:tcBorders>
            <w:shd w:val="clear" w:color="000000" w:fill="FFFFFF"/>
            <w:noWrap/>
            <w:vAlign w:val="center"/>
            <w:hideMark/>
          </w:tcPr>
          <w:p w14:paraId="71C2EFE9"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29.09</w:t>
            </w:r>
          </w:p>
        </w:tc>
      </w:tr>
      <w:tr w:rsidR="003B3124" w:rsidRPr="007B4794" w14:paraId="77C6196E" w14:textId="77777777" w:rsidTr="003B3124">
        <w:trPr>
          <w:trHeight w:val="630"/>
        </w:trPr>
        <w:tc>
          <w:tcPr>
            <w:tcW w:w="190" w:type="pct"/>
            <w:tcBorders>
              <w:top w:val="nil"/>
              <w:left w:val="nil"/>
              <w:bottom w:val="nil"/>
              <w:right w:val="nil"/>
            </w:tcBorders>
            <w:shd w:val="clear" w:color="000000" w:fill="FFFFFF"/>
            <w:noWrap/>
            <w:vAlign w:val="center"/>
            <w:hideMark/>
          </w:tcPr>
          <w:p w14:paraId="2187F0FC"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12</w:t>
            </w:r>
          </w:p>
        </w:tc>
        <w:tc>
          <w:tcPr>
            <w:tcW w:w="504" w:type="pct"/>
            <w:tcBorders>
              <w:top w:val="nil"/>
              <w:left w:val="nil"/>
              <w:bottom w:val="nil"/>
              <w:right w:val="nil"/>
            </w:tcBorders>
            <w:shd w:val="clear" w:color="000000" w:fill="FFFFFF"/>
            <w:noWrap/>
            <w:vAlign w:val="center"/>
            <w:hideMark/>
          </w:tcPr>
          <w:p w14:paraId="7734AEE3"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龙池大道与锦湖路交叉口东南侧</w:t>
            </w:r>
          </w:p>
        </w:tc>
        <w:tc>
          <w:tcPr>
            <w:tcW w:w="351" w:type="pct"/>
            <w:tcBorders>
              <w:top w:val="nil"/>
              <w:left w:val="nil"/>
              <w:bottom w:val="nil"/>
              <w:right w:val="nil"/>
            </w:tcBorders>
            <w:shd w:val="clear" w:color="000000" w:fill="FFFFFF"/>
            <w:noWrap/>
            <w:vAlign w:val="center"/>
            <w:hideMark/>
          </w:tcPr>
          <w:p w14:paraId="3B263546"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2017P07</w:t>
            </w:r>
          </w:p>
        </w:tc>
        <w:tc>
          <w:tcPr>
            <w:tcW w:w="384" w:type="pct"/>
            <w:tcBorders>
              <w:top w:val="nil"/>
              <w:left w:val="nil"/>
              <w:bottom w:val="nil"/>
              <w:right w:val="nil"/>
            </w:tcBorders>
            <w:shd w:val="clear" w:color="000000" w:fill="FFFFFF"/>
            <w:noWrap/>
            <w:vAlign w:val="center"/>
            <w:hideMark/>
          </w:tcPr>
          <w:p w14:paraId="43D68D2E"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2017P07</w:t>
            </w:r>
          </w:p>
        </w:tc>
        <w:tc>
          <w:tcPr>
            <w:tcW w:w="277" w:type="pct"/>
            <w:tcBorders>
              <w:top w:val="nil"/>
              <w:left w:val="nil"/>
              <w:bottom w:val="nil"/>
              <w:right w:val="nil"/>
            </w:tcBorders>
            <w:shd w:val="clear" w:color="000000" w:fill="FFFFFF"/>
            <w:noWrap/>
            <w:vAlign w:val="center"/>
            <w:hideMark/>
          </w:tcPr>
          <w:p w14:paraId="18F2F3E2"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59168</w:t>
            </w:r>
          </w:p>
        </w:tc>
        <w:tc>
          <w:tcPr>
            <w:tcW w:w="345" w:type="pct"/>
            <w:tcBorders>
              <w:top w:val="nil"/>
              <w:left w:val="nil"/>
              <w:bottom w:val="nil"/>
              <w:right w:val="nil"/>
            </w:tcBorders>
            <w:shd w:val="clear" w:color="000000" w:fill="FFFFFF"/>
            <w:noWrap/>
            <w:vAlign w:val="center"/>
            <w:hideMark/>
          </w:tcPr>
          <w:p w14:paraId="3B82D43B"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136086.4</w:t>
            </w:r>
          </w:p>
        </w:tc>
        <w:tc>
          <w:tcPr>
            <w:tcW w:w="403" w:type="pct"/>
            <w:tcBorders>
              <w:top w:val="nil"/>
              <w:left w:val="nil"/>
              <w:bottom w:val="nil"/>
              <w:right w:val="nil"/>
            </w:tcBorders>
            <w:shd w:val="clear" w:color="000000" w:fill="FFFFFF"/>
            <w:noWrap/>
            <w:vAlign w:val="center"/>
            <w:hideMark/>
          </w:tcPr>
          <w:p w14:paraId="2514BEF1"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w:t>
            </w:r>
            <w:r w:rsidRPr="007B4794">
              <w:rPr>
                <w:rFonts w:ascii="Arial" w:hAnsi="Arial" w:cs="Arial"/>
                <w:color w:val="000000" w:themeColor="text1"/>
                <w:sz w:val="15"/>
                <w:szCs w:val="15"/>
              </w:rPr>
              <w:t>1</w:t>
            </w:r>
            <w:r w:rsidRPr="007B4794">
              <w:rPr>
                <w:rFonts w:ascii="Arial" w:hAnsi="Arial" w:cs="Arial"/>
                <w:color w:val="000000" w:themeColor="text1"/>
                <w:sz w:val="15"/>
                <w:szCs w:val="15"/>
              </w:rPr>
              <w:t>且＜</w:t>
            </w:r>
            <w:r w:rsidRPr="007B4794">
              <w:rPr>
                <w:rFonts w:ascii="Arial" w:hAnsi="Arial" w:cs="Arial"/>
                <w:color w:val="000000" w:themeColor="text1"/>
                <w:sz w:val="15"/>
                <w:szCs w:val="15"/>
              </w:rPr>
              <w:t>2.3</w:t>
            </w:r>
          </w:p>
        </w:tc>
        <w:tc>
          <w:tcPr>
            <w:tcW w:w="353" w:type="pct"/>
            <w:tcBorders>
              <w:top w:val="nil"/>
              <w:left w:val="nil"/>
              <w:bottom w:val="nil"/>
              <w:right w:val="nil"/>
            </w:tcBorders>
            <w:shd w:val="clear" w:color="000000" w:fill="FFFFFF"/>
            <w:noWrap/>
            <w:vAlign w:val="center"/>
            <w:hideMark/>
          </w:tcPr>
          <w:p w14:paraId="27EDDF6C"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2017-12-12</w:t>
            </w:r>
          </w:p>
        </w:tc>
        <w:tc>
          <w:tcPr>
            <w:tcW w:w="906" w:type="pct"/>
            <w:tcBorders>
              <w:top w:val="nil"/>
              <w:left w:val="nil"/>
              <w:bottom w:val="nil"/>
              <w:right w:val="nil"/>
            </w:tcBorders>
            <w:shd w:val="clear" w:color="000000" w:fill="FFFFFF"/>
            <w:noWrap/>
            <w:vAlign w:val="center"/>
            <w:hideMark/>
          </w:tcPr>
          <w:p w14:paraId="6BA0EABA"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厦门泰禾房地产开发有限公司</w:t>
            </w:r>
          </w:p>
        </w:tc>
        <w:tc>
          <w:tcPr>
            <w:tcW w:w="302" w:type="pct"/>
            <w:tcBorders>
              <w:top w:val="nil"/>
              <w:left w:val="nil"/>
              <w:bottom w:val="nil"/>
              <w:right w:val="nil"/>
            </w:tcBorders>
            <w:shd w:val="clear" w:color="000000" w:fill="FFFFFF"/>
            <w:noWrap/>
            <w:vAlign w:val="center"/>
            <w:hideMark/>
          </w:tcPr>
          <w:p w14:paraId="1759E021"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163000</w:t>
            </w:r>
          </w:p>
        </w:tc>
        <w:tc>
          <w:tcPr>
            <w:tcW w:w="352" w:type="pct"/>
            <w:tcBorders>
              <w:top w:val="nil"/>
              <w:left w:val="nil"/>
              <w:bottom w:val="nil"/>
              <w:right w:val="nil"/>
            </w:tcBorders>
            <w:shd w:val="clear" w:color="000000" w:fill="FFFFFF"/>
            <w:noWrap/>
            <w:vAlign w:val="center"/>
            <w:hideMark/>
          </w:tcPr>
          <w:p w14:paraId="6DF7FD85"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1836.58</w:t>
            </w:r>
          </w:p>
        </w:tc>
        <w:tc>
          <w:tcPr>
            <w:tcW w:w="353" w:type="pct"/>
            <w:tcBorders>
              <w:top w:val="nil"/>
              <w:left w:val="nil"/>
              <w:bottom w:val="nil"/>
              <w:right w:val="nil"/>
            </w:tcBorders>
            <w:shd w:val="clear" w:color="000000" w:fill="FFFFFF"/>
            <w:noWrap/>
            <w:vAlign w:val="center"/>
            <w:hideMark/>
          </w:tcPr>
          <w:p w14:paraId="5DC5C59C"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11977.68</w:t>
            </w:r>
          </w:p>
        </w:tc>
        <w:tc>
          <w:tcPr>
            <w:tcW w:w="279" w:type="pct"/>
            <w:tcBorders>
              <w:top w:val="nil"/>
              <w:left w:val="nil"/>
              <w:bottom w:val="nil"/>
              <w:right w:val="nil"/>
            </w:tcBorders>
            <w:shd w:val="clear" w:color="000000" w:fill="FFFFFF"/>
            <w:noWrap/>
            <w:vAlign w:val="center"/>
            <w:hideMark/>
          </w:tcPr>
          <w:p w14:paraId="073AD9E7"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28.35</w:t>
            </w:r>
          </w:p>
        </w:tc>
      </w:tr>
      <w:tr w:rsidR="003B3124" w:rsidRPr="007B4794" w14:paraId="0864DE9D" w14:textId="77777777" w:rsidTr="009C0308">
        <w:trPr>
          <w:trHeight w:val="1124"/>
        </w:trPr>
        <w:tc>
          <w:tcPr>
            <w:tcW w:w="190" w:type="pct"/>
            <w:tcBorders>
              <w:top w:val="nil"/>
              <w:left w:val="nil"/>
              <w:bottom w:val="nil"/>
              <w:right w:val="nil"/>
            </w:tcBorders>
            <w:shd w:val="clear" w:color="000000" w:fill="FFFFFF"/>
            <w:noWrap/>
            <w:vAlign w:val="center"/>
            <w:hideMark/>
          </w:tcPr>
          <w:p w14:paraId="05CA78BE"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lastRenderedPageBreak/>
              <w:t>13</w:t>
            </w:r>
          </w:p>
        </w:tc>
        <w:tc>
          <w:tcPr>
            <w:tcW w:w="504" w:type="pct"/>
            <w:tcBorders>
              <w:top w:val="nil"/>
              <w:left w:val="nil"/>
              <w:bottom w:val="nil"/>
              <w:right w:val="nil"/>
            </w:tcBorders>
            <w:shd w:val="clear" w:color="000000" w:fill="FFFFFF"/>
            <w:noWrap/>
            <w:vAlign w:val="center"/>
            <w:hideMark/>
          </w:tcPr>
          <w:p w14:paraId="4386B42A"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漳州台商投资区角美大道与仁和西路交叉口西南侧</w:t>
            </w:r>
          </w:p>
        </w:tc>
        <w:tc>
          <w:tcPr>
            <w:tcW w:w="351" w:type="pct"/>
            <w:tcBorders>
              <w:top w:val="nil"/>
              <w:left w:val="nil"/>
              <w:bottom w:val="nil"/>
              <w:right w:val="nil"/>
            </w:tcBorders>
            <w:shd w:val="clear" w:color="000000" w:fill="FFFFFF"/>
            <w:noWrap/>
            <w:vAlign w:val="center"/>
            <w:hideMark/>
          </w:tcPr>
          <w:p w14:paraId="21BA905E"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2017P03</w:t>
            </w:r>
          </w:p>
        </w:tc>
        <w:tc>
          <w:tcPr>
            <w:tcW w:w="384" w:type="pct"/>
            <w:tcBorders>
              <w:top w:val="nil"/>
              <w:left w:val="nil"/>
              <w:bottom w:val="nil"/>
              <w:right w:val="nil"/>
            </w:tcBorders>
            <w:shd w:val="clear" w:color="000000" w:fill="FFFFFF"/>
            <w:noWrap/>
            <w:vAlign w:val="center"/>
            <w:hideMark/>
          </w:tcPr>
          <w:p w14:paraId="0D412936"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2017P03</w:t>
            </w:r>
          </w:p>
        </w:tc>
        <w:tc>
          <w:tcPr>
            <w:tcW w:w="277" w:type="pct"/>
            <w:tcBorders>
              <w:top w:val="nil"/>
              <w:left w:val="nil"/>
              <w:bottom w:val="nil"/>
              <w:right w:val="nil"/>
            </w:tcBorders>
            <w:shd w:val="clear" w:color="000000" w:fill="FFFFFF"/>
            <w:noWrap/>
            <w:vAlign w:val="center"/>
            <w:hideMark/>
          </w:tcPr>
          <w:p w14:paraId="17D6C5E6"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26168</w:t>
            </w:r>
          </w:p>
        </w:tc>
        <w:tc>
          <w:tcPr>
            <w:tcW w:w="345" w:type="pct"/>
            <w:tcBorders>
              <w:top w:val="nil"/>
              <w:left w:val="nil"/>
              <w:bottom w:val="nil"/>
              <w:right w:val="nil"/>
            </w:tcBorders>
            <w:shd w:val="clear" w:color="000000" w:fill="FFFFFF"/>
            <w:noWrap/>
            <w:vAlign w:val="center"/>
            <w:hideMark/>
          </w:tcPr>
          <w:p w14:paraId="2572D4C2"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73270.4</w:t>
            </w:r>
          </w:p>
        </w:tc>
        <w:tc>
          <w:tcPr>
            <w:tcW w:w="403" w:type="pct"/>
            <w:tcBorders>
              <w:top w:val="nil"/>
              <w:left w:val="nil"/>
              <w:bottom w:val="nil"/>
              <w:right w:val="nil"/>
            </w:tcBorders>
            <w:shd w:val="clear" w:color="000000" w:fill="FFFFFF"/>
            <w:noWrap/>
            <w:vAlign w:val="center"/>
            <w:hideMark/>
          </w:tcPr>
          <w:p w14:paraId="4158E5E7"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w:t>
            </w:r>
            <w:r w:rsidRPr="007B4794">
              <w:rPr>
                <w:rFonts w:ascii="Arial" w:hAnsi="Arial" w:cs="Arial"/>
                <w:color w:val="000000" w:themeColor="text1"/>
                <w:sz w:val="15"/>
                <w:szCs w:val="15"/>
              </w:rPr>
              <w:t>1</w:t>
            </w:r>
            <w:r w:rsidRPr="007B4794">
              <w:rPr>
                <w:rFonts w:ascii="Arial" w:hAnsi="Arial" w:cs="Arial"/>
                <w:color w:val="000000" w:themeColor="text1"/>
                <w:sz w:val="15"/>
                <w:szCs w:val="15"/>
              </w:rPr>
              <w:t>且＜</w:t>
            </w:r>
            <w:r w:rsidRPr="007B4794">
              <w:rPr>
                <w:rFonts w:ascii="Arial" w:hAnsi="Arial" w:cs="Arial"/>
                <w:color w:val="000000" w:themeColor="text1"/>
                <w:sz w:val="15"/>
                <w:szCs w:val="15"/>
              </w:rPr>
              <w:t>2.8</w:t>
            </w:r>
          </w:p>
        </w:tc>
        <w:tc>
          <w:tcPr>
            <w:tcW w:w="353" w:type="pct"/>
            <w:tcBorders>
              <w:top w:val="nil"/>
              <w:left w:val="nil"/>
              <w:bottom w:val="nil"/>
              <w:right w:val="nil"/>
            </w:tcBorders>
            <w:shd w:val="clear" w:color="000000" w:fill="FFFFFF"/>
            <w:noWrap/>
            <w:vAlign w:val="center"/>
            <w:hideMark/>
          </w:tcPr>
          <w:p w14:paraId="0A789714"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2017-09-12</w:t>
            </w:r>
          </w:p>
        </w:tc>
        <w:tc>
          <w:tcPr>
            <w:tcW w:w="906" w:type="pct"/>
            <w:tcBorders>
              <w:top w:val="nil"/>
              <w:left w:val="nil"/>
              <w:bottom w:val="nil"/>
              <w:right w:val="nil"/>
            </w:tcBorders>
            <w:shd w:val="clear" w:color="000000" w:fill="FFFFFF"/>
            <w:noWrap/>
            <w:vAlign w:val="center"/>
            <w:hideMark/>
          </w:tcPr>
          <w:p w14:paraId="4F488AAB"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厦门古龙房地产有限公司</w:t>
            </w:r>
          </w:p>
        </w:tc>
        <w:tc>
          <w:tcPr>
            <w:tcW w:w="302" w:type="pct"/>
            <w:tcBorders>
              <w:top w:val="nil"/>
              <w:left w:val="nil"/>
              <w:bottom w:val="nil"/>
              <w:right w:val="nil"/>
            </w:tcBorders>
            <w:shd w:val="clear" w:color="000000" w:fill="FFFFFF"/>
            <w:noWrap/>
            <w:vAlign w:val="center"/>
            <w:hideMark/>
          </w:tcPr>
          <w:p w14:paraId="2CFCA900"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88000</w:t>
            </w:r>
          </w:p>
        </w:tc>
        <w:tc>
          <w:tcPr>
            <w:tcW w:w="352" w:type="pct"/>
            <w:tcBorders>
              <w:top w:val="nil"/>
              <w:left w:val="nil"/>
              <w:bottom w:val="nil"/>
              <w:right w:val="nil"/>
            </w:tcBorders>
            <w:shd w:val="clear" w:color="000000" w:fill="FFFFFF"/>
            <w:noWrap/>
            <w:vAlign w:val="center"/>
            <w:hideMark/>
          </w:tcPr>
          <w:p w14:paraId="73EC2789"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2241.92</w:t>
            </w:r>
          </w:p>
        </w:tc>
        <w:tc>
          <w:tcPr>
            <w:tcW w:w="353" w:type="pct"/>
            <w:tcBorders>
              <w:top w:val="nil"/>
              <w:left w:val="nil"/>
              <w:bottom w:val="nil"/>
              <w:right w:val="nil"/>
            </w:tcBorders>
            <w:shd w:val="clear" w:color="000000" w:fill="FFFFFF"/>
            <w:noWrap/>
            <w:vAlign w:val="center"/>
            <w:hideMark/>
          </w:tcPr>
          <w:p w14:paraId="45B597FF"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12010.3</w:t>
            </w:r>
          </w:p>
        </w:tc>
        <w:tc>
          <w:tcPr>
            <w:tcW w:w="279" w:type="pct"/>
            <w:tcBorders>
              <w:top w:val="nil"/>
              <w:left w:val="nil"/>
              <w:bottom w:val="nil"/>
              <w:right w:val="nil"/>
            </w:tcBorders>
            <w:shd w:val="clear" w:color="000000" w:fill="FFFFFF"/>
            <w:noWrap/>
            <w:vAlign w:val="center"/>
            <w:hideMark/>
          </w:tcPr>
          <w:p w14:paraId="6294FAC2"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33.33</w:t>
            </w:r>
          </w:p>
        </w:tc>
      </w:tr>
      <w:tr w:rsidR="003B3124" w:rsidRPr="007B4794" w14:paraId="1412FCA3" w14:textId="77777777" w:rsidTr="003B3124">
        <w:trPr>
          <w:trHeight w:val="630"/>
        </w:trPr>
        <w:tc>
          <w:tcPr>
            <w:tcW w:w="190" w:type="pct"/>
            <w:tcBorders>
              <w:top w:val="nil"/>
              <w:left w:val="nil"/>
              <w:bottom w:val="nil"/>
              <w:right w:val="nil"/>
            </w:tcBorders>
            <w:shd w:val="clear" w:color="000000" w:fill="FFFFFF"/>
            <w:noWrap/>
            <w:vAlign w:val="center"/>
            <w:hideMark/>
          </w:tcPr>
          <w:p w14:paraId="20BCE35C"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14</w:t>
            </w:r>
          </w:p>
        </w:tc>
        <w:tc>
          <w:tcPr>
            <w:tcW w:w="504" w:type="pct"/>
            <w:tcBorders>
              <w:top w:val="nil"/>
              <w:left w:val="nil"/>
              <w:bottom w:val="nil"/>
              <w:right w:val="nil"/>
            </w:tcBorders>
            <w:shd w:val="clear" w:color="000000" w:fill="FFFFFF"/>
            <w:noWrap/>
            <w:vAlign w:val="center"/>
            <w:hideMark/>
          </w:tcPr>
          <w:p w14:paraId="096B0E5A"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漳州台商投资区阳光东路与规划七路交叉口西南侧</w:t>
            </w:r>
          </w:p>
        </w:tc>
        <w:tc>
          <w:tcPr>
            <w:tcW w:w="351" w:type="pct"/>
            <w:tcBorders>
              <w:top w:val="nil"/>
              <w:left w:val="nil"/>
              <w:bottom w:val="nil"/>
              <w:right w:val="nil"/>
            </w:tcBorders>
            <w:shd w:val="clear" w:color="000000" w:fill="FFFFFF"/>
            <w:noWrap/>
            <w:vAlign w:val="center"/>
            <w:hideMark/>
          </w:tcPr>
          <w:p w14:paraId="6B124292"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2017P02</w:t>
            </w:r>
          </w:p>
        </w:tc>
        <w:tc>
          <w:tcPr>
            <w:tcW w:w="384" w:type="pct"/>
            <w:tcBorders>
              <w:top w:val="nil"/>
              <w:left w:val="nil"/>
              <w:bottom w:val="nil"/>
              <w:right w:val="nil"/>
            </w:tcBorders>
            <w:shd w:val="clear" w:color="000000" w:fill="FFFFFF"/>
            <w:noWrap/>
            <w:vAlign w:val="center"/>
            <w:hideMark/>
          </w:tcPr>
          <w:p w14:paraId="3690DDDD"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2017P02</w:t>
            </w:r>
          </w:p>
        </w:tc>
        <w:tc>
          <w:tcPr>
            <w:tcW w:w="277" w:type="pct"/>
            <w:tcBorders>
              <w:top w:val="nil"/>
              <w:left w:val="nil"/>
              <w:bottom w:val="nil"/>
              <w:right w:val="nil"/>
            </w:tcBorders>
            <w:shd w:val="clear" w:color="000000" w:fill="FFFFFF"/>
            <w:noWrap/>
            <w:vAlign w:val="center"/>
            <w:hideMark/>
          </w:tcPr>
          <w:p w14:paraId="6E9C46AB"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39409</w:t>
            </w:r>
          </w:p>
        </w:tc>
        <w:tc>
          <w:tcPr>
            <w:tcW w:w="345" w:type="pct"/>
            <w:tcBorders>
              <w:top w:val="nil"/>
              <w:left w:val="nil"/>
              <w:bottom w:val="nil"/>
              <w:right w:val="nil"/>
            </w:tcBorders>
            <w:shd w:val="clear" w:color="000000" w:fill="FFFFFF"/>
            <w:noWrap/>
            <w:vAlign w:val="center"/>
            <w:hideMark/>
          </w:tcPr>
          <w:p w14:paraId="7C4FF0B9"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118227</w:t>
            </w:r>
          </w:p>
        </w:tc>
        <w:tc>
          <w:tcPr>
            <w:tcW w:w="403" w:type="pct"/>
            <w:tcBorders>
              <w:top w:val="nil"/>
              <w:left w:val="nil"/>
              <w:bottom w:val="nil"/>
              <w:right w:val="nil"/>
            </w:tcBorders>
            <w:shd w:val="clear" w:color="000000" w:fill="FFFFFF"/>
            <w:noWrap/>
            <w:vAlign w:val="center"/>
            <w:hideMark/>
          </w:tcPr>
          <w:p w14:paraId="21D2EAE9"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w:t>
            </w:r>
            <w:r w:rsidRPr="007B4794">
              <w:rPr>
                <w:rFonts w:ascii="Arial" w:hAnsi="Arial" w:cs="Arial"/>
                <w:color w:val="000000" w:themeColor="text1"/>
                <w:sz w:val="15"/>
                <w:szCs w:val="15"/>
              </w:rPr>
              <w:t>1</w:t>
            </w:r>
            <w:r w:rsidRPr="007B4794">
              <w:rPr>
                <w:rFonts w:ascii="Arial" w:hAnsi="Arial" w:cs="Arial"/>
                <w:color w:val="000000" w:themeColor="text1"/>
                <w:sz w:val="15"/>
                <w:szCs w:val="15"/>
              </w:rPr>
              <w:t>且＜</w:t>
            </w:r>
            <w:r w:rsidRPr="007B4794">
              <w:rPr>
                <w:rFonts w:ascii="Arial" w:hAnsi="Arial" w:cs="Arial"/>
                <w:color w:val="000000" w:themeColor="text1"/>
                <w:sz w:val="15"/>
                <w:szCs w:val="15"/>
              </w:rPr>
              <w:t>3</w:t>
            </w:r>
          </w:p>
        </w:tc>
        <w:tc>
          <w:tcPr>
            <w:tcW w:w="353" w:type="pct"/>
            <w:tcBorders>
              <w:top w:val="nil"/>
              <w:left w:val="nil"/>
              <w:bottom w:val="nil"/>
              <w:right w:val="nil"/>
            </w:tcBorders>
            <w:shd w:val="clear" w:color="000000" w:fill="FFFFFF"/>
            <w:noWrap/>
            <w:vAlign w:val="center"/>
            <w:hideMark/>
          </w:tcPr>
          <w:p w14:paraId="338AB04E"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2017-08-10</w:t>
            </w:r>
          </w:p>
        </w:tc>
        <w:tc>
          <w:tcPr>
            <w:tcW w:w="906" w:type="pct"/>
            <w:tcBorders>
              <w:top w:val="nil"/>
              <w:left w:val="nil"/>
              <w:bottom w:val="nil"/>
              <w:right w:val="nil"/>
            </w:tcBorders>
            <w:shd w:val="clear" w:color="000000" w:fill="FFFFFF"/>
            <w:noWrap/>
            <w:vAlign w:val="center"/>
            <w:hideMark/>
          </w:tcPr>
          <w:p w14:paraId="6A9A7AFF"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漳州市经发置业有限公司</w:t>
            </w:r>
          </w:p>
        </w:tc>
        <w:tc>
          <w:tcPr>
            <w:tcW w:w="302" w:type="pct"/>
            <w:tcBorders>
              <w:top w:val="nil"/>
              <w:left w:val="nil"/>
              <w:bottom w:val="nil"/>
              <w:right w:val="nil"/>
            </w:tcBorders>
            <w:shd w:val="clear" w:color="000000" w:fill="FFFFFF"/>
            <w:noWrap/>
            <w:vAlign w:val="center"/>
            <w:hideMark/>
          </w:tcPr>
          <w:p w14:paraId="436D8099"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142000</w:t>
            </w:r>
          </w:p>
        </w:tc>
        <w:tc>
          <w:tcPr>
            <w:tcW w:w="352" w:type="pct"/>
            <w:tcBorders>
              <w:top w:val="nil"/>
              <w:left w:val="nil"/>
              <w:bottom w:val="nil"/>
              <w:right w:val="nil"/>
            </w:tcBorders>
            <w:shd w:val="clear" w:color="000000" w:fill="FFFFFF"/>
            <w:noWrap/>
            <w:vAlign w:val="center"/>
            <w:hideMark/>
          </w:tcPr>
          <w:p w14:paraId="5AEB4000"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2402.16</w:t>
            </w:r>
          </w:p>
        </w:tc>
        <w:tc>
          <w:tcPr>
            <w:tcW w:w="353" w:type="pct"/>
            <w:tcBorders>
              <w:top w:val="nil"/>
              <w:left w:val="nil"/>
              <w:bottom w:val="nil"/>
              <w:right w:val="nil"/>
            </w:tcBorders>
            <w:shd w:val="clear" w:color="000000" w:fill="FFFFFF"/>
            <w:noWrap/>
            <w:vAlign w:val="center"/>
            <w:hideMark/>
          </w:tcPr>
          <w:p w14:paraId="0E0338B6"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12010.79</w:t>
            </w:r>
          </w:p>
        </w:tc>
        <w:tc>
          <w:tcPr>
            <w:tcW w:w="279" w:type="pct"/>
            <w:tcBorders>
              <w:top w:val="nil"/>
              <w:left w:val="nil"/>
              <w:bottom w:val="nil"/>
              <w:right w:val="nil"/>
            </w:tcBorders>
            <w:shd w:val="clear" w:color="000000" w:fill="FFFFFF"/>
            <w:noWrap/>
            <w:vAlign w:val="center"/>
            <w:hideMark/>
          </w:tcPr>
          <w:p w14:paraId="2CA3697F"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32.71</w:t>
            </w:r>
          </w:p>
        </w:tc>
      </w:tr>
      <w:tr w:rsidR="003B3124" w:rsidRPr="007B4794" w14:paraId="73DB935F" w14:textId="77777777" w:rsidTr="003B3124">
        <w:trPr>
          <w:trHeight w:val="630"/>
        </w:trPr>
        <w:tc>
          <w:tcPr>
            <w:tcW w:w="190" w:type="pct"/>
            <w:tcBorders>
              <w:top w:val="nil"/>
              <w:left w:val="nil"/>
              <w:bottom w:val="nil"/>
              <w:right w:val="nil"/>
            </w:tcBorders>
            <w:shd w:val="clear" w:color="000000" w:fill="FFFFFF"/>
            <w:noWrap/>
            <w:vAlign w:val="center"/>
            <w:hideMark/>
          </w:tcPr>
          <w:p w14:paraId="3772C857"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15</w:t>
            </w:r>
          </w:p>
        </w:tc>
        <w:tc>
          <w:tcPr>
            <w:tcW w:w="504" w:type="pct"/>
            <w:tcBorders>
              <w:top w:val="nil"/>
              <w:left w:val="nil"/>
              <w:bottom w:val="nil"/>
              <w:right w:val="nil"/>
            </w:tcBorders>
            <w:shd w:val="clear" w:color="000000" w:fill="FFFFFF"/>
            <w:noWrap/>
            <w:vAlign w:val="center"/>
            <w:hideMark/>
          </w:tcPr>
          <w:p w14:paraId="497C8440"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角美镇洪岱村</w:t>
            </w:r>
          </w:p>
        </w:tc>
        <w:tc>
          <w:tcPr>
            <w:tcW w:w="351" w:type="pct"/>
            <w:tcBorders>
              <w:top w:val="nil"/>
              <w:left w:val="nil"/>
              <w:bottom w:val="nil"/>
              <w:right w:val="nil"/>
            </w:tcBorders>
            <w:shd w:val="clear" w:color="000000" w:fill="FFFFFF"/>
            <w:noWrap/>
            <w:vAlign w:val="center"/>
            <w:hideMark/>
          </w:tcPr>
          <w:p w14:paraId="48EA7280"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2017P01</w:t>
            </w:r>
          </w:p>
        </w:tc>
        <w:tc>
          <w:tcPr>
            <w:tcW w:w="384" w:type="pct"/>
            <w:tcBorders>
              <w:top w:val="nil"/>
              <w:left w:val="nil"/>
              <w:bottom w:val="nil"/>
              <w:right w:val="nil"/>
            </w:tcBorders>
            <w:shd w:val="clear" w:color="000000" w:fill="FFFFFF"/>
            <w:noWrap/>
            <w:vAlign w:val="center"/>
            <w:hideMark/>
          </w:tcPr>
          <w:p w14:paraId="65377DE0"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2017P01</w:t>
            </w:r>
          </w:p>
        </w:tc>
        <w:tc>
          <w:tcPr>
            <w:tcW w:w="277" w:type="pct"/>
            <w:tcBorders>
              <w:top w:val="nil"/>
              <w:left w:val="nil"/>
              <w:bottom w:val="nil"/>
              <w:right w:val="nil"/>
            </w:tcBorders>
            <w:shd w:val="clear" w:color="000000" w:fill="FFFFFF"/>
            <w:noWrap/>
            <w:vAlign w:val="center"/>
            <w:hideMark/>
          </w:tcPr>
          <w:p w14:paraId="1CE4F15D"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41898</w:t>
            </w:r>
          </w:p>
        </w:tc>
        <w:tc>
          <w:tcPr>
            <w:tcW w:w="345" w:type="pct"/>
            <w:tcBorders>
              <w:top w:val="nil"/>
              <w:left w:val="nil"/>
              <w:bottom w:val="nil"/>
              <w:right w:val="nil"/>
            </w:tcBorders>
            <w:shd w:val="clear" w:color="000000" w:fill="FFFFFF"/>
            <w:noWrap/>
            <w:vAlign w:val="center"/>
            <w:hideMark/>
          </w:tcPr>
          <w:p w14:paraId="160C4159"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125694</w:t>
            </w:r>
          </w:p>
        </w:tc>
        <w:tc>
          <w:tcPr>
            <w:tcW w:w="403" w:type="pct"/>
            <w:tcBorders>
              <w:top w:val="nil"/>
              <w:left w:val="nil"/>
              <w:bottom w:val="nil"/>
              <w:right w:val="nil"/>
            </w:tcBorders>
            <w:shd w:val="clear" w:color="000000" w:fill="FFFFFF"/>
            <w:noWrap/>
            <w:vAlign w:val="center"/>
            <w:hideMark/>
          </w:tcPr>
          <w:p w14:paraId="6F33AE86"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w:t>
            </w:r>
            <w:r w:rsidRPr="007B4794">
              <w:rPr>
                <w:rFonts w:ascii="Arial" w:hAnsi="Arial" w:cs="Arial"/>
                <w:color w:val="000000" w:themeColor="text1"/>
                <w:sz w:val="15"/>
                <w:szCs w:val="15"/>
              </w:rPr>
              <w:t>1,</w:t>
            </w:r>
            <w:r w:rsidRPr="007B4794">
              <w:rPr>
                <w:rFonts w:ascii="Arial" w:hAnsi="Arial" w:cs="Arial"/>
                <w:color w:val="000000" w:themeColor="text1"/>
                <w:sz w:val="15"/>
                <w:szCs w:val="15"/>
              </w:rPr>
              <w:t>＜</w:t>
            </w:r>
            <w:r w:rsidRPr="007B4794">
              <w:rPr>
                <w:rFonts w:ascii="Arial" w:hAnsi="Arial" w:cs="Arial"/>
                <w:color w:val="000000" w:themeColor="text1"/>
                <w:sz w:val="15"/>
                <w:szCs w:val="15"/>
              </w:rPr>
              <w:t>3</w:t>
            </w:r>
          </w:p>
        </w:tc>
        <w:tc>
          <w:tcPr>
            <w:tcW w:w="353" w:type="pct"/>
            <w:tcBorders>
              <w:top w:val="nil"/>
              <w:left w:val="nil"/>
              <w:bottom w:val="nil"/>
              <w:right w:val="nil"/>
            </w:tcBorders>
            <w:shd w:val="clear" w:color="000000" w:fill="FFFFFF"/>
            <w:noWrap/>
            <w:vAlign w:val="center"/>
            <w:hideMark/>
          </w:tcPr>
          <w:p w14:paraId="2CBB378D"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2017-05-09</w:t>
            </w:r>
          </w:p>
        </w:tc>
        <w:tc>
          <w:tcPr>
            <w:tcW w:w="906" w:type="pct"/>
            <w:tcBorders>
              <w:top w:val="nil"/>
              <w:left w:val="nil"/>
              <w:bottom w:val="nil"/>
              <w:right w:val="nil"/>
            </w:tcBorders>
            <w:shd w:val="clear" w:color="000000" w:fill="FFFFFF"/>
            <w:noWrap/>
            <w:vAlign w:val="center"/>
            <w:hideMark/>
          </w:tcPr>
          <w:p w14:paraId="254EF337"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厦门大唐房地产集团有限公司</w:t>
            </w:r>
          </w:p>
        </w:tc>
        <w:tc>
          <w:tcPr>
            <w:tcW w:w="302" w:type="pct"/>
            <w:tcBorders>
              <w:top w:val="nil"/>
              <w:left w:val="nil"/>
              <w:bottom w:val="nil"/>
              <w:right w:val="nil"/>
            </w:tcBorders>
            <w:shd w:val="clear" w:color="000000" w:fill="FFFFFF"/>
            <w:noWrap/>
            <w:vAlign w:val="center"/>
            <w:hideMark/>
          </w:tcPr>
          <w:p w14:paraId="60D55A66"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150000</w:t>
            </w:r>
          </w:p>
        </w:tc>
        <w:tc>
          <w:tcPr>
            <w:tcW w:w="352" w:type="pct"/>
            <w:tcBorders>
              <w:top w:val="nil"/>
              <w:left w:val="nil"/>
              <w:bottom w:val="nil"/>
              <w:right w:val="nil"/>
            </w:tcBorders>
            <w:shd w:val="clear" w:color="000000" w:fill="FFFFFF"/>
            <w:noWrap/>
            <w:vAlign w:val="center"/>
            <w:hideMark/>
          </w:tcPr>
          <w:p w14:paraId="73F9D797"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2386.75</w:t>
            </w:r>
          </w:p>
        </w:tc>
        <w:tc>
          <w:tcPr>
            <w:tcW w:w="353" w:type="pct"/>
            <w:tcBorders>
              <w:top w:val="nil"/>
              <w:left w:val="nil"/>
              <w:bottom w:val="nil"/>
              <w:right w:val="nil"/>
            </w:tcBorders>
            <w:shd w:val="clear" w:color="000000" w:fill="FFFFFF"/>
            <w:noWrap/>
            <w:vAlign w:val="center"/>
            <w:hideMark/>
          </w:tcPr>
          <w:p w14:paraId="52D0A235"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11933.73</w:t>
            </w:r>
          </w:p>
        </w:tc>
        <w:tc>
          <w:tcPr>
            <w:tcW w:w="279" w:type="pct"/>
            <w:tcBorders>
              <w:top w:val="nil"/>
              <w:left w:val="nil"/>
              <w:bottom w:val="nil"/>
              <w:right w:val="nil"/>
            </w:tcBorders>
            <w:shd w:val="clear" w:color="000000" w:fill="FFFFFF"/>
            <w:noWrap/>
            <w:vAlign w:val="center"/>
            <w:hideMark/>
          </w:tcPr>
          <w:p w14:paraId="28EBA9BD"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47.06</w:t>
            </w:r>
          </w:p>
        </w:tc>
      </w:tr>
      <w:tr w:rsidR="003B3124" w:rsidRPr="007B4794" w14:paraId="1F0FE178" w14:textId="77777777" w:rsidTr="003B3124">
        <w:trPr>
          <w:trHeight w:val="630"/>
        </w:trPr>
        <w:tc>
          <w:tcPr>
            <w:tcW w:w="190" w:type="pct"/>
            <w:tcBorders>
              <w:top w:val="nil"/>
              <w:left w:val="nil"/>
              <w:bottom w:val="nil"/>
              <w:right w:val="nil"/>
            </w:tcBorders>
            <w:shd w:val="clear" w:color="000000" w:fill="FFFFFF"/>
            <w:noWrap/>
            <w:vAlign w:val="center"/>
            <w:hideMark/>
          </w:tcPr>
          <w:p w14:paraId="49B189F0"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16</w:t>
            </w:r>
          </w:p>
        </w:tc>
        <w:tc>
          <w:tcPr>
            <w:tcW w:w="504" w:type="pct"/>
            <w:tcBorders>
              <w:top w:val="nil"/>
              <w:left w:val="nil"/>
              <w:bottom w:val="nil"/>
              <w:right w:val="nil"/>
            </w:tcBorders>
            <w:shd w:val="clear" w:color="000000" w:fill="FFFFFF"/>
            <w:noWrap/>
            <w:vAlign w:val="center"/>
            <w:hideMark/>
          </w:tcPr>
          <w:p w14:paraId="3B05A1B7"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角美镇锦宅村</w:t>
            </w:r>
          </w:p>
        </w:tc>
        <w:tc>
          <w:tcPr>
            <w:tcW w:w="351" w:type="pct"/>
            <w:tcBorders>
              <w:top w:val="nil"/>
              <w:left w:val="nil"/>
              <w:bottom w:val="nil"/>
              <w:right w:val="nil"/>
            </w:tcBorders>
            <w:shd w:val="clear" w:color="000000" w:fill="FFFFFF"/>
            <w:noWrap/>
            <w:vAlign w:val="center"/>
            <w:hideMark/>
          </w:tcPr>
          <w:p w14:paraId="6219C80A"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2016P01</w:t>
            </w:r>
          </w:p>
        </w:tc>
        <w:tc>
          <w:tcPr>
            <w:tcW w:w="384" w:type="pct"/>
            <w:tcBorders>
              <w:top w:val="nil"/>
              <w:left w:val="nil"/>
              <w:bottom w:val="nil"/>
              <w:right w:val="nil"/>
            </w:tcBorders>
            <w:shd w:val="clear" w:color="000000" w:fill="FFFFFF"/>
            <w:noWrap/>
            <w:vAlign w:val="center"/>
            <w:hideMark/>
          </w:tcPr>
          <w:p w14:paraId="121C0A51"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2016P01</w:t>
            </w:r>
          </w:p>
        </w:tc>
        <w:tc>
          <w:tcPr>
            <w:tcW w:w="277" w:type="pct"/>
            <w:tcBorders>
              <w:top w:val="nil"/>
              <w:left w:val="nil"/>
              <w:bottom w:val="nil"/>
              <w:right w:val="nil"/>
            </w:tcBorders>
            <w:shd w:val="clear" w:color="000000" w:fill="FFFFFF"/>
            <w:noWrap/>
            <w:vAlign w:val="center"/>
            <w:hideMark/>
          </w:tcPr>
          <w:p w14:paraId="58C4815E"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66710</w:t>
            </w:r>
          </w:p>
        </w:tc>
        <w:tc>
          <w:tcPr>
            <w:tcW w:w="345" w:type="pct"/>
            <w:tcBorders>
              <w:top w:val="nil"/>
              <w:left w:val="nil"/>
              <w:bottom w:val="nil"/>
              <w:right w:val="nil"/>
            </w:tcBorders>
            <w:shd w:val="clear" w:color="000000" w:fill="FFFFFF"/>
            <w:noWrap/>
            <w:vAlign w:val="center"/>
            <w:hideMark/>
          </w:tcPr>
          <w:p w14:paraId="05A3D8FB"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200130</w:t>
            </w:r>
          </w:p>
        </w:tc>
        <w:tc>
          <w:tcPr>
            <w:tcW w:w="403" w:type="pct"/>
            <w:tcBorders>
              <w:top w:val="nil"/>
              <w:left w:val="nil"/>
              <w:bottom w:val="nil"/>
              <w:right w:val="nil"/>
            </w:tcBorders>
            <w:shd w:val="clear" w:color="000000" w:fill="FFFFFF"/>
            <w:noWrap/>
            <w:vAlign w:val="center"/>
            <w:hideMark/>
          </w:tcPr>
          <w:p w14:paraId="79C7C2E3"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大于</w:t>
            </w:r>
            <w:r w:rsidRPr="007B4794">
              <w:rPr>
                <w:rFonts w:ascii="Arial" w:hAnsi="Arial" w:cs="Arial"/>
                <w:color w:val="000000" w:themeColor="text1"/>
                <w:sz w:val="15"/>
                <w:szCs w:val="15"/>
              </w:rPr>
              <w:t>1</w:t>
            </w:r>
            <w:r w:rsidRPr="007B4794">
              <w:rPr>
                <w:rFonts w:ascii="Arial" w:hAnsi="Arial" w:cs="Arial"/>
                <w:color w:val="000000" w:themeColor="text1"/>
                <w:sz w:val="15"/>
                <w:szCs w:val="15"/>
              </w:rPr>
              <w:t>并且小于</w:t>
            </w:r>
            <w:r w:rsidRPr="007B4794">
              <w:rPr>
                <w:rFonts w:ascii="Arial" w:hAnsi="Arial" w:cs="Arial"/>
                <w:color w:val="000000" w:themeColor="text1"/>
                <w:sz w:val="15"/>
                <w:szCs w:val="15"/>
              </w:rPr>
              <w:t>3</w:t>
            </w:r>
          </w:p>
        </w:tc>
        <w:tc>
          <w:tcPr>
            <w:tcW w:w="353" w:type="pct"/>
            <w:tcBorders>
              <w:top w:val="nil"/>
              <w:left w:val="nil"/>
              <w:bottom w:val="nil"/>
              <w:right w:val="nil"/>
            </w:tcBorders>
            <w:shd w:val="clear" w:color="000000" w:fill="FFFFFF"/>
            <w:noWrap/>
            <w:vAlign w:val="center"/>
            <w:hideMark/>
          </w:tcPr>
          <w:p w14:paraId="7F8C7705"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2016-06-20</w:t>
            </w:r>
          </w:p>
        </w:tc>
        <w:tc>
          <w:tcPr>
            <w:tcW w:w="906" w:type="pct"/>
            <w:tcBorders>
              <w:top w:val="nil"/>
              <w:left w:val="nil"/>
              <w:bottom w:val="nil"/>
              <w:right w:val="nil"/>
            </w:tcBorders>
            <w:shd w:val="clear" w:color="000000" w:fill="FFFFFF"/>
            <w:noWrap/>
            <w:vAlign w:val="center"/>
            <w:hideMark/>
          </w:tcPr>
          <w:p w14:paraId="4ABF050F"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厦门海投房地产有限公司</w:t>
            </w:r>
          </w:p>
        </w:tc>
        <w:tc>
          <w:tcPr>
            <w:tcW w:w="302" w:type="pct"/>
            <w:tcBorders>
              <w:top w:val="nil"/>
              <w:left w:val="nil"/>
              <w:bottom w:val="nil"/>
              <w:right w:val="nil"/>
            </w:tcBorders>
            <w:shd w:val="clear" w:color="000000" w:fill="FFFFFF"/>
            <w:noWrap/>
            <w:vAlign w:val="center"/>
            <w:hideMark/>
          </w:tcPr>
          <w:p w14:paraId="1D31EF3C"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241000</w:t>
            </w:r>
          </w:p>
        </w:tc>
        <w:tc>
          <w:tcPr>
            <w:tcW w:w="352" w:type="pct"/>
            <w:tcBorders>
              <w:top w:val="nil"/>
              <w:left w:val="nil"/>
              <w:bottom w:val="nil"/>
              <w:right w:val="nil"/>
            </w:tcBorders>
            <w:shd w:val="clear" w:color="000000" w:fill="FFFFFF"/>
            <w:noWrap/>
            <w:vAlign w:val="center"/>
            <w:hideMark/>
          </w:tcPr>
          <w:p w14:paraId="1FB3A205"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2408.43</w:t>
            </w:r>
          </w:p>
        </w:tc>
        <w:tc>
          <w:tcPr>
            <w:tcW w:w="353" w:type="pct"/>
            <w:tcBorders>
              <w:top w:val="nil"/>
              <w:left w:val="nil"/>
              <w:bottom w:val="nil"/>
              <w:right w:val="nil"/>
            </w:tcBorders>
            <w:shd w:val="clear" w:color="000000" w:fill="FFFFFF"/>
            <w:noWrap/>
            <w:vAlign w:val="center"/>
            <w:hideMark/>
          </w:tcPr>
          <w:p w14:paraId="495B6FC2"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12042.17</w:t>
            </w:r>
          </w:p>
        </w:tc>
        <w:tc>
          <w:tcPr>
            <w:tcW w:w="279" w:type="pct"/>
            <w:tcBorders>
              <w:top w:val="nil"/>
              <w:left w:val="nil"/>
              <w:bottom w:val="nil"/>
              <w:right w:val="nil"/>
            </w:tcBorders>
            <w:shd w:val="clear" w:color="000000" w:fill="FFFFFF"/>
            <w:noWrap/>
            <w:vAlign w:val="center"/>
            <w:hideMark/>
          </w:tcPr>
          <w:p w14:paraId="53DB4C6D"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301.33</w:t>
            </w:r>
          </w:p>
        </w:tc>
      </w:tr>
      <w:tr w:rsidR="003B3124" w:rsidRPr="007B4794" w14:paraId="6F9A9243" w14:textId="77777777" w:rsidTr="003B3124">
        <w:trPr>
          <w:trHeight w:val="420"/>
        </w:trPr>
        <w:tc>
          <w:tcPr>
            <w:tcW w:w="190" w:type="pct"/>
            <w:tcBorders>
              <w:top w:val="nil"/>
              <w:left w:val="nil"/>
              <w:bottom w:val="nil"/>
              <w:right w:val="nil"/>
            </w:tcBorders>
            <w:shd w:val="clear" w:color="000000" w:fill="FFFFFF"/>
            <w:noWrap/>
            <w:vAlign w:val="center"/>
            <w:hideMark/>
          </w:tcPr>
          <w:p w14:paraId="3F497357"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17</w:t>
            </w:r>
          </w:p>
        </w:tc>
        <w:tc>
          <w:tcPr>
            <w:tcW w:w="504" w:type="pct"/>
            <w:tcBorders>
              <w:top w:val="nil"/>
              <w:left w:val="nil"/>
              <w:bottom w:val="nil"/>
              <w:right w:val="nil"/>
            </w:tcBorders>
            <w:shd w:val="clear" w:color="000000" w:fill="FFFFFF"/>
            <w:noWrap/>
            <w:vAlign w:val="center"/>
            <w:hideMark/>
          </w:tcPr>
          <w:p w14:paraId="7FDA93AA"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角美镇石厝村锦宅村</w:t>
            </w:r>
          </w:p>
        </w:tc>
        <w:tc>
          <w:tcPr>
            <w:tcW w:w="351" w:type="pct"/>
            <w:tcBorders>
              <w:top w:val="nil"/>
              <w:left w:val="nil"/>
              <w:bottom w:val="nil"/>
              <w:right w:val="nil"/>
            </w:tcBorders>
            <w:shd w:val="clear" w:color="000000" w:fill="FFFFFF"/>
            <w:noWrap/>
            <w:vAlign w:val="center"/>
            <w:hideMark/>
          </w:tcPr>
          <w:p w14:paraId="7F5FD066"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2015P02</w:t>
            </w:r>
          </w:p>
        </w:tc>
        <w:tc>
          <w:tcPr>
            <w:tcW w:w="384" w:type="pct"/>
            <w:tcBorders>
              <w:top w:val="nil"/>
              <w:left w:val="nil"/>
              <w:bottom w:val="nil"/>
              <w:right w:val="nil"/>
            </w:tcBorders>
            <w:shd w:val="clear" w:color="000000" w:fill="FFFFFF"/>
            <w:noWrap/>
            <w:vAlign w:val="center"/>
            <w:hideMark/>
          </w:tcPr>
          <w:p w14:paraId="19CACB9F"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2015P02</w:t>
            </w:r>
          </w:p>
        </w:tc>
        <w:tc>
          <w:tcPr>
            <w:tcW w:w="277" w:type="pct"/>
            <w:tcBorders>
              <w:top w:val="nil"/>
              <w:left w:val="nil"/>
              <w:bottom w:val="nil"/>
              <w:right w:val="nil"/>
            </w:tcBorders>
            <w:shd w:val="clear" w:color="000000" w:fill="FFFFFF"/>
            <w:noWrap/>
            <w:vAlign w:val="center"/>
            <w:hideMark/>
          </w:tcPr>
          <w:p w14:paraId="13F26243"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60757</w:t>
            </w:r>
          </w:p>
        </w:tc>
        <w:tc>
          <w:tcPr>
            <w:tcW w:w="345" w:type="pct"/>
            <w:tcBorders>
              <w:top w:val="nil"/>
              <w:left w:val="nil"/>
              <w:bottom w:val="nil"/>
              <w:right w:val="nil"/>
            </w:tcBorders>
            <w:shd w:val="clear" w:color="000000" w:fill="FFFFFF"/>
            <w:noWrap/>
            <w:vAlign w:val="center"/>
            <w:hideMark/>
          </w:tcPr>
          <w:p w14:paraId="54B07377"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164043.9</w:t>
            </w:r>
          </w:p>
        </w:tc>
        <w:tc>
          <w:tcPr>
            <w:tcW w:w="403" w:type="pct"/>
            <w:tcBorders>
              <w:top w:val="nil"/>
              <w:left w:val="nil"/>
              <w:bottom w:val="nil"/>
              <w:right w:val="nil"/>
            </w:tcBorders>
            <w:shd w:val="clear" w:color="000000" w:fill="FFFFFF"/>
            <w:noWrap/>
            <w:vAlign w:val="center"/>
            <w:hideMark/>
          </w:tcPr>
          <w:p w14:paraId="104A6EE1"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w:t>
            </w:r>
            <w:r w:rsidRPr="007B4794">
              <w:rPr>
                <w:rFonts w:ascii="Arial" w:hAnsi="Arial" w:cs="Arial"/>
                <w:color w:val="000000" w:themeColor="text1"/>
                <w:sz w:val="15"/>
                <w:szCs w:val="15"/>
              </w:rPr>
              <w:t>1.0</w:t>
            </w:r>
            <w:r w:rsidRPr="007B4794">
              <w:rPr>
                <w:rFonts w:ascii="Arial" w:hAnsi="Arial" w:cs="Arial"/>
                <w:color w:val="000000" w:themeColor="text1"/>
                <w:sz w:val="15"/>
                <w:szCs w:val="15"/>
              </w:rPr>
              <w:t>、＜</w:t>
            </w:r>
            <w:r w:rsidRPr="007B4794">
              <w:rPr>
                <w:rFonts w:ascii="Arial" w:hAnsi="Arial" w:cs="Arial"/>
                <w:color w:val="000000" w:themeColor="text1"/>
                <w:sz w:val="15"/>
                <w:szCs w:val="15"/>
              </w:rPr>
              <w:t>2.7</w:t>
            </w:r>
          </w:p>
        </w:tc>
        <w:tc>
          <w:tcPr>
            <w:tcW w:w="353" w:type="pct"/>
            <w:tcBorders>
              <w:top w:val="nil"/>
              <w:left w:val="nil"/>
              <w:bottom w:val="nil"/>
              <w:right w:val="nil"/>
            </w:tcBorders>
            <w:shd w:val="clear" w:color="000000" w:fill="FFFFFF"/>
            <w:noWrap/>
            <w:vAlign w:val="center"/>
            <w:hideMark/>
          </w:tcPr>
          <w:p w14:paraId="128C6EA1"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2015-08-18</w:t>
            </w:r>
          </w:p>
        </w:tc>
        <w:tc>
          <w:tcPr>
            <w:tcW w:w="906" w:type="pct"/>
            <w:tcBorders>
              <w:top w:val="nil"/>
              <w:left w:val="nil"/>
              <w:bottom w:val="nil"/>
              <w:right w:val="nil"/>
            </w:tcBorders>
            <w:shd w:val="clear" w:color="000000" w:fill="FFFFFF"/>
            <w:noWrap/>
            <w:vAlign w:val="center"/>
            <w:hideMark/>
          </w:tcPr>
          <w:p w14:paraId="307CD581"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阳光城(厦门)置业有限公司</w:t>
            </w:r>
          </w:p>
        </w:tc>
        <w:tc>
          <w:tcPr>
            <w:tcW w:w="302" w:type="pct"/>
            <w:tcBorders>
              <w:top w:val="nil"/>
              <w:left w:val="nil"/>
              <w:bottom w:val="nil"/>
              <w:right w:val="nil"/>
            </w:tcBorders>
            <w:shd w:val="clear" w:color="000000" w:fill="FFFFFF"/>
            <w:noWrap/>
            <w:vAlign w:val="center"/>
            <w:hideMark/>
          </w:tcPr>
          <w:p w14:paraId="4017867D"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80000</w:t>
            </w:r>
          </w:p>
        </w:tc>
        <w:tc>
          <w:tcPr>
            <w:tcW w:w="352" w:type="pct"/>
            <w:tcBorders>
              <w:top w:val="nil"/>
              <w:left w:val="nil"/>
              <w:bottom w:val="nil"/>
              <w:right w:val="nil"/>
            </w:tcBorders>
            <w:shd w:val="clear" w:color="000000" w:fill="FFFFFF"/>
            <w:noWrap/>
            <w:vAlign w:val="center"/>
            <w:hideMark/>
          </w:tcPr>
          <w:p w14:paraId="618F2DF8"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877.81</w:t>
            </w:r>
          </w:p>
        </w:tc>
        <w:tc>
          <w:tcPr>
            <w:tcW w:w="353" w:type="pct"/>
            <w:tcBorders>
              <w:top w:val="nil"/>
              <w:left w:val="nil"/>
              <w:bottom w:val="nil"/>
              <w:right w:val="nil"/>
            </w:tcBorders>
            <w:shd w:val="clear" w:color="000000" w:fill="FFFFFF"/>
            <w:noWrap/>
            <w:vAlign w:val="center"/>
            <w:hideMark/>
          </w:tcPr>
          <w:p w14:paraId="4CE364A6"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4876.73</w:t>
            </w:r>
          </w:p>
        </w:tc>
        <w:tc>
          <w:tcPr>
            <w:tcW w:w="279" w:type="pct"/>
            <w:tcBorders>
              <w:top w:val="nil"/>
              <w:left w:val="nil"/>
              <w:bottom w:val="nil"/>
              <w:right w:val="nil"/>
            </w:tcBorders>
            <w:shd w:val="clear" w:color="000000" w:fill="FFFFFF"/>
            <w:noWrap/>
            <w:vAlign w:val="center"/>
            <w:hideMark/>
          </w:tcPr>
          <w:p w14:paraId="4A99212D"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119.42</w:t>
            </w:r>
          </w:p>
        </w:tc>
      </w:tr>
      <w:tr w:rsidR="003B3124" w:rsidRPr="007B4794" w14:paraId="573A2D93" w14:textId="77777777" w:rsidTr="003B3124">
        <w:trPr>
          <w:trHeight w:val="630"/>
        </w:trPr>
        <w:tc>
          <w:tcPr>
            <w:tcW w:w="190" w:type="pct"/>
            <w:tcBorders>
              <w:top w:val="nil"/>
              <w:left w:val="nil"/>
              <w:bottom w:val="single" w:sz="8" w:space="0" w:color="auto"/>
              <w:right w:val="nil"/>
            </w:tcBorders>
            <w:shd w:val="clear" w:color="000000" w:fill="FFFFFF"/>
            <w:noWrap/>
            <w:vAlign w:val="center"/>
            <w:hideMark/>
          </w:tcPr>
          <w:p w14:paraId="17EA0928"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18</w:t>
            </w:r>
          </w:p>
        </w:tc>
        <w:tc>
          <w:tcPr>
            <w:tcW w:w="504" w:type="pct"/>
            <w:tcBorders>
              <w:top w:val="nil"/>
              <w:left w:val="nil"/>
              <w:bottom w:val="single" w:sz="8" w:space="0" w:color="auto"/>
              <w:right w:val="nil"/>
            </w:tcBorders>
            <w:shd w:val="clear" w:color="000000" w:fill="FFFFFF"/>
            <w:noWrap/>
            <w:vAlign w:val="center"/>
            <w:hideMark/>
          </w:tcPr>
          <w:p w14:paraId="086DFDE7"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角美镇石厝村锦宅村</w:t>
            </w:r>
          </w:p>
        </w:tc>
        <w:tc>
          <w:tcPr>
            <w:tcW w:w="351" w:type="pct"/>
            <w:tcBorders>
              <w:top w:val="nil"/>
              <w:left w:val="nil"/>
              <w:bottom w:val="single" w:sz="8" w:space="0" w:color="auto"/>
              <w:right w:val="nil"/>
            </w:tcBorders>
            <w:shd w:val="clear" w:color="000000" w:fill="FFFFFF"/>
            <w:noWrap/>
            <w:vAlign w:val="center"/>
            <w:hideMark/>
          </w:tcPr>
          <w:p w14:paraId="7EB24D7F"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2015P01</w:t>
            </w:r>
          </w:p>
        </w:tc>
        <w:tc>
          <w:tcPr>
            <w:tcW w:w="384" w:type="pct"/>
            <w:tcBorders>
              <w:top w:val="nil"/>
              <w:left w:val="nil"/>
              <w:bottom w:val="single" w:sz="8" w:space="0" w:color="auto"/>
              <w:right w:val="nil"/>
            </w:tcBorders>
            <w:shd w:val="clear" w:color="000000" w:fill="FFFFFF"/>
            <w:noWrap/>
            <w:vAlign w:val="center"/>
            <w:hideMark/>
          </w:tcPr>
          <w:p w14:paraId="19540563"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2015P01</w:t>
            </w:r>
          </w:p>
        </w:tc>
        <w:tc>
          <w:tcPr>
            <w:tcW w:w="277" w:type="pct"/>
            <w:tcBorders>
              <w:top w:val="nil"/>
              <w:left w:val="nil"/>
              <w:bottom w:val="single" w:sz="8" w:space="0" w:color="auto"/>
              <w:right w:val="nil"/>
            </w:tcBorders>
            <w:shd w:val="clear" w:color="000000" w:fill="FFFFFF"/>
            <w:noWrap/>
            <w:vAlign w:val="center"/>
            <w:hideMark/>
          </w:tcPr>
          <w:p w14:paraId="475F715E"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36151</w:t>
            </w:r>
          </w:p>
        </w:tc>
        <w:tc>
          <w:tcPr>
            <w:tcW w:w="345" w:type="pct"/>
            <w:tcBorders>
              <w:top w:val="nil"/>
              <w:left w:val="nil"/>
              <w:bottom w:val="single" w:sz="8" w:space="0" w:color="auto"/>
              <w:right w:val="nil"/>
            </w:tcBorders>
            <w:shd w:val="clear" w:color="000000" w:fill="FFFFFF"/>
            <w:noWrap/>
            <w:vAlign w:val="center"/>
            <w:hideMark/>
          </w:tcPr>
          <w:p w14:paraId="338D0B26"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108453</w:t>
            </w:r>
          </w:p>
        </w:tc>
        <w:tc>
          <w:tcPr>
            <w:tcW w:w="403" w:type="pct"/>
            <w:tcBorders>
              <w:top w:val="nil"/>
              <w:left w:val="nil"/>
              <w:bottom w:val="single" w:sz="8" w:space="0" w:color="auto"/>
              <w:right w:val="nil"/>
            </w:tcBorders>
            <w:shd w:val="clear" w:color="000000" w:fill="FFFFFF"/>
            <w:noWrap/>
            <w:vAlign w:val="center"/>
            <w:hideMark/>
          </w:tcPr>
          <w:p w14:paraId="44F18F24"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w:t>
            </w:r>
            <w:r w:rsidRPr="007B4794">
              <w:rPr>
                <w:rFonts w:ascii="Arial" w:hAnsi="Arial" w:cs="Arial"/>
                <w:color w:val="000000" w:themeColor="text1"/>
                <w:sz w:val="15"/>
                <w:szCs w:val="15"/>
              </w:rPr>
              <w:t>1.0</w:t>
            </w:r>
            <w:r w:rsidRPr="007B4794">
              <w:rPr>
                <w:rFonts w:ascii="Arial" w:hAnsi="Arial" w:cs="Arial"/>
                <w:color w:val="000000" w:themeColor="text1"/>
                <w:sz w:val="15"/>
                <w:szCs w:val="15"/>
              </w:rPr>
              <w:t>、＜</w:t>
            </w:r>
            <w:r w:rsidRPr="007B4794">
              <w:rPr>
                <w:rFonts w:ascii="Arial" w:hAnsi="Arial" w:cs="Arial"/>
                <w:color w:val="000000" w:themeColor="text1"/>
                <w:sz w:val="15"/>
                <w:szCs w:val="15"/>
              </w:rPr>
              <w:t>3.0</w:t>
            </w:r>
          </w:p>
        </w:tc>
        <w:tc>
          <w:tcPr>
            <w:tcW w:w="353" w:type="pct"/>
            <w:tcBorders>
              <w:top w:val="nil"/>
              <w:left w:val="nil"/>
              <w:bottom w:val="single" w:sz="8" w:space="0" w:color="auto"/>
              <w:right w:val="nil"/>
            </w:tcBorders>
            <w:shd w:val="clear" w:color="000000" w:fill="FFFFFF"/>
            <w:noWrap/>
            <w:vAlign w:val="center"/>
            <w:hideMark/>
          </w:tcPr>
          <w:p w14:paraId="020D25DC"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2015-08-18</w:t>
            </w:r>
          </w:p>
        </w:tc>
        <w:tc>
          <w:tcPr>
            <w:tcW w:w="906" w:type="pct"/>
            <w:tcBorders>
              <w:top w:val="nil"/>
              <w:left w:val="nil"/>
              <w:bottom w:val="single" w:sz="8" w:space="0" w:color="auto"/>
              <w:right w:val="nil"/>
            </w:tcBorders>
            <w:shd w:val="clear" w:color="000000" w:fill="FFFFFF"/>
            <w:noWrap/>
            <w:vAlign w:val="center"/>
            <w:hideMark/>
          </w:tcPr>
          <w:p w14:paraId="4D720ADD"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阳光城(厦门)置业有限公司</w:t>
            </w:r>
          </w:p>
        </w:tc>
        <w:tc>
          <w:tcPr>
            <w:tcW w:w="302" w:type="pct"/>
            <w:tcBorders>
              <w:top w:val="nil"/>
              <w:left w:val="nil"/>
              <w:bottom w:val="single" w:sz="8" w:space="0" w:color="auto"/>
              <w:right w:val="nil"/>
            </w:tcBorders>
            <w:shd w:val="clear" w:color="000000" w:fill="FFFFFF"/>
            <w:noWrap/>
            <w:vAlign w:val="center"/>
            <w:hideMark/>
          </w:tcPr>
          <w:p w14:paraId="2B17A4FE"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50900</w:t>
            </w:r>
          </w:p>
        </w:tc>
        <w:tc>
          <w:tcPr>
            <w:tcW w:w="352" w:type="pct"/>
            <w:tcBorders>
              <w:top w:val="nil"/>
              <w:left w:val="nil"/>
              <w:bottom w:val="single" w:sz="8" w:space="0" w:color="auto"/>
              <w:right w:val="nil"/>
            </w:tcBorders>
            <w:shd w:val="clear" w:color="000000" w:fill="FFFFFF"/>
            <w:noWrap/>
            <w:vAlign w:val="center"/>
            <w:hideMark/>
          </w:tcPr>
          <w:p w14:paraId="4521738C"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938.66</w:t>
            </w:r>
          </w:p>
        </w:tc>
        <w:tc>
          <w:tcPr>
            <w:tcW w:w="353" w:type="pct"/>
            <w:tcBorders>
              <w:top w:val="nil"/>
              <w:left w:val="nil"/>
              <w:bottom w:val="single" w:sz="8" w:space="0" w:color="auto"/>
              <w:right w:val="nil"/>
            </w:tcBorders>
            <w:shd w:val="clear" w:color="000000" w:fill="FFFFFF"/>
            <w:noWrap/>
            <w:vAlign w:val="center"/>
            <w:hideMark/>
          </w:tcPr>
          <w:p w14:paraId="2F5AA271" w14:textId="77777777" w:rsidR="003B3124" w:rsidRPr="007B4794" w:rsidRDefault="003B3124">
            <w:pPr>
              <w:jc w:val="both"/>
              <w:rPr>
                <w:rFonts w:ascii="Arial" w:hAnsi="Arial" w:cs="Arial"/>
                <w:color w:val="000000" w:themeColor="text1"/>
                <w:sz w:val="15"/>
                <w:szCs w:val="15"/>
              </w:rPr>
            </w:pPr>
            <w:r w:rsidRPr="007B4794">
              <w:rPr>
                <w:rFonts w:ascii="Arial" w:hAnsi="Arial" w:cs="Arial"/>
                <w:color w:val="000000" w:themeColor="text1"/>
                <w:sz w:val="15"/>
                <w:szCs w:val="15"/>
              </w:rPr>
              <w:t>4693.27</w:t>
            </w:r>
          </w:p>
        </w:tc>
        <w:tc>
          <w:tcPr>
            <w:tcW w:w="279" w:type="pct"/>
            <w:tcBorders>
              <w:top w:val="nil"/>
              <w:left w:val="nil"/>
              <w:bottom w:val="single" w:sz="8" w:space="0" w:color="auto"/>
              <w:right w:val="nil"/>
            </w:tcBorders>
            <w:shd w:val="clear" w:color="000000" w:fill="FFFFFF"/>
            <w:noWrap/>
            <w:vAlign w:val="center"/>
            <w:hideMark/>
          </w:tcPr>
          <w:p w14:paraId="4316A80F" w14:textId="77777777" w:rsidR="003B3124" w:rsidRPr="007B4794" w:rsidRDefault="003B3124">
            <w:pPr>
              <w:jc w:val="both"/>
              <w:rPr>
                <w:rFonts w:cs="Arial"/>
                <w:color w:val="000000" w:themeColor="text1"/>
                <w:sz w:val="15"/>
                <w:szCs w:val="15"/>
              </w:rPr>
            </w:pPr>
            <w:r w:rsidRPr="007B4794">
              <w:rPr>
                <w:rFonts w:cs="Arial" w:hint="eastAsia"/>
                <w:color w:val="000000" w:themeColor="text1"/>
                <w:sz w:val="15"/>
                <w:szCs w:val="15"/>
              </w:rPr>
              <w:t>108.61</w:t>
            </w:r>
          </w:p>
        </w:tc>
      </w:tr>
    </w:tbl>
    <w:p w14:paraId="49FF695C" w14:textId="77777777" w:rsidR="00AE01CB" w:rsidRPr="007B4794" w:rsidRDefault="00AE01CB" w:rsidP="00AE01CB">
      <w:pPr>
        <w:widowControl w:val="0"/>
        <w:adjustRightInd w:val="0"/>
        <w:snapToGrid w:val="0"/>
        <w:jc w:val="both"/>
        <w:rPr>
          <w:rFonts w:ascii="华文细黑" w:eastAsia="华文细黑" w:hAnsi="华文细黑" w:cs="Arial"/>
          <w:color w:val="000000" w:themeColor="text1"/>
          <w:sz w:val="15"/>
          <w:szCs w:val="15"/>
        </w:rPr>
      </w:pPr>
      <w:r w:rsidRPr="007B4794">
        <w:rPr>
          <w:rFonts w:ascii="华文细黑" w:eastAsia="华文细黑" w:hAnsi="华文细黑" w:cs="Arial" w:hint="eastAsia"/>
          <w:color w:val="000000" w:themeColor="text1"/>
          <w:sz w:val="15"/>
          <w:szCs w:val="15"/>
        </w:rPr>
        <w:t>单位：平方米、万元、元/亩、元</w:t>
      </w:r>
      <w:r w:rsidRPr="007B4794">
        <w:rPr>
          <w:rFonts w:ascii="华文细黑" w:eastAsia="华文细黑" w:hAnsi="华文细黑" w:cs="Arial"/>
          <w:color w:val="000000" w:themeColor="text1"/>
          <w:sz w:val="15"/>
          <w:szCs w:val="15"/>
        </w:rPr>
        <w:t>/</w:t>
      </w:r>
      <w:r w:rsidRPr="007B4794">
        <w:rPr>
          <w:rFonts w:ascii="华文细黑" w:eastAsia="华文细黑" w:hAnsi="华文细黑" w:cs="Arial" w:hint="eastAsia"/>
          <w:color w:val="000000" w:themeColor="text1"/>
          <w:sz w:val="15"/>
          <w:szCs w:val="15"/>
        </w:rPr>
        <w:t>平方米、%</w:t>
      </w:r>
    </w:p>
    <w:p w14:paraId="6679D4EC" w14:textId="77777777" w:rsidR="00AE01CB" w:rsidRPr="007B4794" w:rsidRDefault="00AE01CB" w:rsidP="00AE01CB">
      <w:pPr>
        <w:widowControl w:val="0"/>
        <w:adjustRightInd w:val="0"/>
        <w:snapToGrid w:val="0"/>
        <w:jc w:val="both"/>
        <w:rPr>
          <w:rFonts w:ascii="华文细黑" w:eastAsia="华文细黑" w:hAnsi="华文细黑" w:cs="Arial"/>
          <w:color w:val="000000" w:themeColor="text1"/>
          <w:sz w:val="15"/>
          <w:szCs w:val="15"/>
        </w:rPr>
      </w:pPr>
    </w:p>
    <w:p w14:paraId="6AEA4E27" w14:textId="77777777" w:rsidR="00AE01CB" w:rsidRPr="007B4794" w:rsidRDefault="00AE01CB" w:rsidP="00AE01CB">
      <w:pPr>
        <w:widowControl w:val="0"/>
        <w:adjustRightInd w:val="0"/>
        <w:snapToGrid w:val="0"/>
        <w:spacing w:line="480" w:lineRule="auto"/>
        <w:jc w:val="both"/>
        <w:rPr>
          <w:rFonts w:ascii="华文细黑" w:eastAsia="华文细黑" w:hAnsi="华文细黑" w:cs="Arial"/>
          <w:color w:val="000000" w:themeColor="text1"/>
          <w:sz w:val="15"/>
          <w:szCs w:val="15"/>
        </w:rPr>
      </w:pPr>
      <w:r w:rsidRPr="007B4794">
        <w:rPr>
          <w:rFonts w:ascii="华文细黑" w:eastAsia="华文细黑" w:hAnsi="华文细黑" w:cs="Arial" w:hint="eastAsia"/>
          <w:color w:val="000000" w:themeColor="text1"/>
          <w:sz w:val="15"/>
          <w:szCs w:val="15"/>
        </w:rPr>
        <w:t>资料来源：</w:t>
      </w:r>
      <w:r w:rsidRPr="007B4794">
        <w:rPr>
          <w:rFonts w:ascii="Arial" w:eastAsia="华文细黑" w:hAnsi="Arial" w:cs="Arial"/>
          <w:color w:val="000000" w:themeColor="text1"/>
          <w:sz w:val="15"/>
          <w:szCs w:val="15"/>
        </w:rPr>
        <w:t>CREIS</w:t>
      </w:r>
      <w:r w:rsidRPr="007B4794">
        <w:rPr>
          <w:rFonts w:ascii="华文细黑" w:eastAsia="华文细黑" w:hAnsi="华文细黑" w:cs="Arial" w:hint="eastAsia"/>
          <w:color w:val="000000" w:themeColor="text1"/>
          <w:sz w:val="15"/>
          <w:szCs w:val="15"/>
        </w:rPr>
        <w:t>中指数据</w:t>
      </w:r>
    </w:p>
    <w:p w14:paraId="39C52801" w14:textId="77777777" w:rsidR="00AE01CB" w:rsidRDefault="00AE01CB" w:rsidP="00AE01CB">
      <w:pPr>
        <w:widowControl w:val="0"/>
        <w:adjustRightInd w:val="0"/>
        <w:snapToGrid w:val="0"/>
        <w:spacing w:line="480" w:lineRule="auto"/>
        <w:jc w:val="center"/>
        <w:rPr>
          <w:rFonts w:ascii="Arial" w:hAnsi="Arial" w:cs="Arial" w:hint="eastAsia"/>
          <w:color w:val="000000" w:themeColor="text1"/>
          <w:sz w:val="21"/>
          <w:szCs w:val="21"/>
        </w:rPr>
      </w:pPr>
    </w:p>
    <w:p w14:paraId="109C01B8" w14:textId="77777777" w:rsidR="00074032" w:rsidRPr="00074032" w:rsidRDefault="00074032" w:rsidP="00074032">
      <w:pPr>
        <w:widowControl w:val="0"/>
        <w:adjustRightInd w:val="0"/>
        <w:snapToGrid w:val="0"/>
        <w:spacing w:line="480" w:lineRule="auto"/>
        <w:ind w:firstLineChars="200" w:firstLine="420"/>
        <w:jc w:val="both"/>
        <w:rPr>
          <w:rFonts w:ascii="华文楷体" w:eastAsia="华文楷体" w:hAnsi="华文楷体" w:cs="Arial"/>
          <w:color w:val="000000" w:themeColor="text1"/>
          <w:sz w:val="21"/>
          <w:szCs w:val="21"/>
        </w:rPr>
      </w:pPr>
      <w:r w:rsidRPr="00074032">
        <w:rPr>
          <w:rFonts w:ascii="华文楷体" w:eastAsia="华文楷体" w:hAnsi="华文楷体" w:cs="Arial" w:hint="eastAsia"/>
          <w:color w:val="000000" w:themeColor="text1"/>
          <w:sz w:val="21"/>
          <w:szCs w:val="21"/>
        </w:rPr>
        <w:t>（转下页）</w:t>
      </w:r>
    </w:p>
    <w:p w14:paraId="45D4D27E" w14:textId="77777777" w:rsidR="00074032" w:rsidRPr="007B4794" w:rsidRDefault="00074032" w:rsidP="00AE01CB">
      <w:pPr>
        <w:widowControl w:val="0"/>
        <w:adjustRightInd w:val="0"/>
        <w:snapToGrid w:val="0"/>
        <w:spacing w:line="480" w:lineRule="auto"/>
        <w:jc w:val="center"/>
        <w:rPr>
          <w:rFonts w:ascii="Arial" w:hAnsi="Arial" w:cs="Arial"/>
          <w:color w:val="000000" w:themeColor="text1"/>
          <w:sz w:val="21"/>
          <w:szCs w:val="21"/>
        </w:rPr>
      </w:pPr>
    </w:p>
    <w:p w14:paraId="5B9C6F2D" w14:textId="77777777" w:rsidR="00AE01CB" w:rsidRPr="007B4794" w:rsidRDefault="00AE01CB" w:rsidP="00AE01CB">
      <w:pPr>
        <w:widowControl w:val="0"/>
        <w:adjustRightInd w:val="0"/>
        <w:snapToGrid w:val="0"/>
        <w:spacing w:line="480" w:lineRule="auto"/>
        <w:jc w:val="center"/>
        <w:rPr>
          <w:rFonts w:ascii="Arial" w:hAnsi="Arial" w:cs="Arial"/>
          <w:color w:val="000000" w:themeColor="text1"/>
          <w:sz w:val="21"/>
          <w:szCs w:val="21"/>
        </w:rPr>
        <w:sectPr w:rsidR="00AE01CB" w:rsidRPr="007B4794" w:rsidSect="00225405">
          <w:pgSz w:w="16838" w:h="11906" w:orient="landscape" w:code="9"/>
          <w:pgMar w:top="1304" w:right="1843" w:bottom="1304" w:left="1134" w:header="1134" w:footer="907" w:gutter="0"/>
          <w:cols w:space="425"/>
          <w:titlePg/>
          <w:docGrid w:linePitch="326"/>
        </w:sectPr>
      </w:pPr>
    </w:p>
    <w:p w14:paraId="1B61EFC3" w14:textId="0988CDDE" w:rsidR="00AE01CB" w:rsidRPr="007B4794" w:rsidRDefault="00AE01CB"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lastRenderedPageBreak/>
        <w:t>2015</w:t>
      </w:r>
      <w:r w:rsidRPr="007B4794">
        <w:rPr>
          <w:rFonts w:ascii="Arial" w:hAnsi="Arial" w:cs="Arial" w:hint="eastAsia"/>
          <w:color w:val="000000" w:themeColor="text1"/>
          <w:sz w:val="21"/>
          <w:szCs w:val="21"/>
        </w:rPr>
        <w:t>年</w:t>
      </w:r>
      <w:r w:rsidRPr="007B4794">
        <w:rPr>
          <w:rFonts w:ascii="Arial" w:hAnsi="Arial" w:cs="Arial" w:hint="eastAsia"/>
          <w:color w:val="000000" w:themeColor="text1"/>
          <w:sz w:val="21"/>
          <w:szCs w:val="21"/>
        </w:rPr>
        <w:t>1</w:t>
      </w:r>
      <w:r w:rsidRPr="007B4794">
        <w:rPr>
          <w:rFonts w:ascii="Arial" w:hAnsi="Arial" w:cs="Arial" w:hint="eastAsia"/>
          <w:color w:val="000000" w:themeColor="text1"/>
          <w:sz w:val="21"/>
          <w:szCs w:val="21"/>
        </w:rPr>
        <w:t>月</w:t>
      </w:r>
      <w:r w:rsidR="003B3124" w:rsidRPr="007B4794">
        <w:rPr>
          <w:rFonts w:ascii="Arial" w:hAnsi="Arial" w:cs="Arial" w:hint="eastAsia"/>
          <w:color w:val="000000" w:themeColor="text1"/>
          <w:sz w:val="21"/>
          <w:szCs w:val="21"/>
        </w:rPr>
        <w:t>至</w:t>
      </w:r>
      <w:r w:rsidRPr="007B4794">
        <w:rPr>
          <w:rFonts w:ascii="Arial" w:hAnsi="Arial" w:cs="Arial" w:hint="eastAsia"/>
          <w:color w:val="000000" w:themeColor="text1"/>
          <w:sz w:val="21"/>
          <w:szCs w:val="21"/>
        </w:rPr>
        <w:t>2020</w:t>
      </w:r>
      <w:r w:rsidRPr="007B4794">
        <w:rPr>
          <w:rFonts w:ascii="Arial" w:hAnsi="Arial" w:cs="Arial" w:hint="eastAsia"/>
          <w:color w:val="000000" w:themeColor="text1"/>
          <w:sz w:val="21"/>
          <w:szCs w:val="21"/>
        </w:rPr>
        <w:t>年</w:t>
      </w:r>
      <w:r w:rsidR="003B3124" w:rsidRPr="007B4794">
        <w:rPr>
          <w:rFonts w:ascii="Arial" w:hAnsi="Arial" w:cs="Arial" w:hint="eastAsia"/>
          <w:color w:val="000000" w:themeColor="text1"/>
          <w:sz w:val="21"/>
          <w:szCs w:val="21"/>
        </w:rPr>
        <w:t>10</w:t>
      </w:r>
      <w:r w:rsidRPr="007B4794">
        <w:rPr>
          <w:rFonts w:ascii="Arial" w:hAnsi="Arial" w:cs="Arial" w:hint="eastAsia"/>
          <w:color w:val="000000" w:themeColor="text1"/>
          <w:sz w:val="21"/>
          <w:szCs w:val="21"/>
        </w:rPr>
        <w:t>月间</w:t>
      </w:r>
      <w:r w:rsidR="00325CF0" w:rsidRPr="007B4794">
        <w:rPr>
          <w:rFonts w:ascii="Arial" w:hAnsi="Arial" w:cs="Arial" w:hint="eastAsia"/>
          <w:color w:val="000000" w:themeColor="text1"/>
          <w:sz w:val="21"/>
          <w:szCs w:val="21"/>
        </w:rPr>
        <w:t>漳州台商投资区（即角美镇）</w:t>
      </w:r>
      <w:r w:rsidRPr="007B4794">
        <w:rPr>
          <w:rFonts w:ascii="Arial" w:hAnsi="Arial" w:cs="Arial" w:hint="eastAsia"/>
          <w:color w:val="000000" w:themeColor="text1"/>
          <w:sz w:val="21"/>
          <w:szCs w:val="21"/>
        </w:rPr>
        <w:t>共成交</w:t>
      </w:r>
      <w:r w:rsidR="00E87416" w:rsidRPr="007B4794">
        <w:rPr>
          <w:rFonts w:ascii="Arial" w:hAnsi="Arial" w:cs="Arial" w:hint="eastAsia"/>
          <w:color w:val="000000" w:themeColor="text1"/>
          <w:sz w:val="21"/>
          <w:szCs w:val="21"/>
        </w:rPr>
        <w:t>18</w:t>
      </w:r>
      <w:r w:rsidRPr="007B4794">
        <w:rPr>
          <w:rFonts w:ascii="Arial" w:hAnsi="Arial" w:cs="Arial" w:hint="eastAsia"/>
          <w:color w:val="000000" w:themeColor="text1"/>
          <w:sz w:val="21"/>
          <w:szCs w:val="21"/>
        </w:rPr>
        <w:t>宗涉宅用地，其中</w:t>
      </w:r>
      <w:r w:rsidRPr="007B4794">
        <w:rPr>
          <w:rFonts w:ascii="Arial" w:hAnsi="Arial" w:cs="Arial" w:hint="eastAsia"/>
          <w:color w:val="000000" w:themeColor="text1"/>
          <w:sz w:val="21"/>
          <w:szCs w:val="21"/>
        </w:rPr>
        <w:t>201</w:t>
      </w:r>
      <w:r w:rsidR="00E87416" w:rsidRPr="007B4794">
        <w:rPr>
          <w:rFonts w:ascii="Arial" w:hAnsi="Arial" w:cs="Arial" w:hint="eastAsia"/>
          <w:color w:val="000000" w:themeColor="text1"/>
          <w:sz w:val="21"/>
          <w:szCs w:val="21"/>
        </w:rPr>
        <w:t>5</w:t>
      </w:r>
      <w:r w:rsidRPr="007B4794">
        <w:rPr>
          <w:rFonts w:ascii="Arial" w:hAnsi="Arial" w:cs="Arial" w:hint="eastAsia"/>
          <w:color w:val="000000" w:themeColor="text1"/>
          <w:sz w:val="21"/>
          <w:szCs w:val="21"/>
        </w:rPr>
        <w:t>年成交的用地，成交楼面单价范围为</w:t>
      </w:r>
      <w:r w:rsidR="00B011C2" w:rsidRPr="007B4794">
        <w:rPr>
          <w:rFonts w:ascii="Arial" w:hAnsi="Arial" w:cs="Arial" w:hint="eastAsia"/>
          <w:color w:val="000000" w:themeColor="text1"/>
          <w:sz w:val="21"/>
          <w:szCs w:val="21"/>
        </w:rPr>
        <w:t>45</w:t>
      </w:r>
      <w:r w:rsidRPr="007B4794">
        <w:rPr>
          <w:rFonts w:ascii="Arial" w:hAnsi="Arial" w:cs="Arial"/>
          <w:color w:val="000000" w:themeColor="text1"/>
          <w:sz w:val="21"/>
          <w:szCs w:val="21"/>
        </w:rPr>
        <w:t>00</w:t>
      </w:r>
      <w:r w:rsidRPr="007B4794">
        <w:rPr>
          <w:rFonts w:ascii="Arial" w:hAnsi="Arial" w:cs="Arial" w:hint="eastAsia"/>
          <w:color w:val="000000" w:themeColor="text1"/>
          <w:sz w:val="21"/>
          <w:szCs w:val="21"/>
        </w:rPr>
        <w:t>-</w:t>
      </w:r>
      <w:r w:rsidR="00B011C2" w:rsidRPr="007B4794">
        <w:rPr>
          <w:rFonts w:ascii="Arial" w:hAnsi="Arial" w:cs="Arial" w:hint="eastAsia"/>
          <w:color w:val="000000" w:themeColor="text1"/>
          <w:sz w:val="21"/>
          <w:szCs w:val="21"/>
        </w:rPr>
        <w:t>5</w:t>
      </w:r>
      <w:r w:rsidRPr="007B4794">
        <w:rPr>
          <w:rFonts w:ascii="Arial" w:hAnsi="Arial" w:cs="Arial" w:hint="eastAsia"/>
          <w:color w:val="000000" w:themeColor="text1"/>
          <w:sz w:val="21"/>
          <w:szCs w:val="21"/>
        </w:rPr>
        <w:t>00</w:t>
      </w:r>
      <w:r w:rsidRPr="007B4794">
        <w:rPr>
          <w:rFonts w:ascii="Arial" w:hAnsi="Arial" w:cs="Arial"/>
          <w:color w:val="000000" w:themeColor="text1"/>
          <w:sz w:val="21"/>
          <w:szCs w:val="21"/>
        </w:rPr>
        <w:t>0</w:t>
      </w:r>
      <w:r w:rsidRPr="007B4794">
        <w:rPr>
          <w:rFonts w:ascii="Arial" w:hAnsi="Arial" w:cs="Arial" w:hint="eastAsia"/>
          <w:color w:val="000000" w:themeColor="text1"/>
          <w:sz w:val="21"/>
          <w:szCs w:val="21"/>
        </w:rPr>
        <w:t>元</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平方米</w:t>
      </w:r>
      <w:r w:rsidR="00433598" w:rsidRPr="007B4794">
        <w:rPr>
          <w:rFonts w:ascii="Arial" w:hAnsi="Arial" w:cs="Arial" w:hint="eastAsia"/>
          <w:color w:val="000000" w:themeColor="text1"/>
          <w:sz w:val="21"/>
          <w:szCs w:val="21"/>
        </w:rPr>
        <w:t>，溢价率均在</w:t>
      </w:r>
      <w:r w:rsidR="00433598" w:rsidRPr="007B4794">
        <w:rPr>
          <w:rFonts w:ascii="Arial" w:hAnsi="Arial" w:cs="Arial" w:hint="eastAsia"/>
          <w:color w:val="000000" w:themeColor="text1"/>
          <w:sz w:val="21"/>
          <w:szCs w:val="21"/>
        </w:rPr>
        <w:t>100%</w:t>
      </w:r>
      <w:r w:rsidR="00433598" w:rsidRPr="007B4794">
        <w:rPr>
          <w:rFonts w:ascii="Arial" w:hAnsi="Arial" w:cs="Arial" w:hint="eastAsia"/>
          <w:color w:val="000000" w:themeColor="text1"/>
          <w:sz w:val="21"/>
          <w:szCs w:val="21"/>
        </w:rPr>
        <w:t>以上</w:t>
      </w:r>
      <w:r w:rsidRPr="007B4794">
        <w:rPr>
          <w:rFonts w:ascii="Arial" w:hAnsi="Arial" w:cs="Arial" w:hint="eastAsia"/>
          <w:color w:val="000000" w:themeColor="text1"/>
          <w:sz w:val="21"/>
          <w:szCs w:val="21"/>
        </w:rPr>
        <w:t>；</w:t>
      </w:r>
      <w:r w:rsidR="00433598" w:rsidRPr="007B4794">
        <w:rPr>
          <w:rFonts w:ascii="Arial" w:hAnsi="Arial" w:cs="Arial" w:hint="eastAsia"/>
          <w:color w:val="000000" w:themeColor="text1"/>
          <w:sz w:val="21"/>
          <w:szCs w:val="21"/>
        </w:rPr>
        <w:t>2016</w:t>
      </w:r>
      <w:r w:rsidR="00433598" w:rsidRPr="007B4794">
        <w:rPr>
          <w:rFonts w:ascii="Arial" w:hAnsi="Arial" w:cs="Arial" w:hint="eastAsia"/>
          <w:color w:val="000000" w:themeColor="text1"/>
          <w:sz w:val="21"/>
          <w:szCs w:val="21"/>
        </w:rPr>
        <w:t>年成交的用地，成交楼面单价为</w:t>
      </w:r>
      <w:r w:rsidR="00433598" w:rsidRPr="007B4794">
        <w:rPr>
          <w:rFonts w:ascii="Arial" w:hAnsi="Arial" w:cs="Arial" w:hint="eastAsia"/>
          <w:color w:val="000000" w:themeColor="text1"/>
          <w:sz w:val="21"/>
          <w:szCs w:val="21"/>
        </w:rPr>
        <w:t>12042.17</w:t>
      </w:r>
      <w:r w:rsidR="00433598" w:rsidRPr="007B4794">
        <w:rPr>
          <w:rFonts w:ascii="Arial" w:hAnsi="Arial" w:cs="Arial" w:hint="eastAsia"/>
          <w:color w:val="000000" w:themeColor="text1"/>
          <w:sz w:val="21"/>
          <w:szCs w:val="21"/>
        </w:rPr>
        <w:t>元</w:t>
      </w:r>
      <w:r w:rsidR="00433598" w:rsidRPr="007B4794">
        <w:rPr>
          <w:rFonts w:ascii="Arial" w:hAnsi="Arial" w:cs="Arial" w:hint="eastAsia"/>
          <w:color w:val="000000" w:themeColor="text1"/>
          <w:sz w:val="21"/>
          <w:szCs w:val="21"/>
        </w:rPr>
        <w:t>/</w:t>
      </w:r>
      <w:r w:rsidR="00433598" w:rsidRPr="007B4794">
        <w:rPr>
          <w:rFonts w:ascii="Arial" w:hAnsi="Arial" w:cs="Arial" w:hint="eastAsia"/>
          <w:color w:val="000000" w:themeColor="text1"/>
          <w:sz w:val="21"/>
          <w:szCs w:val="21"/>
        </w:rPr>
        <w:t>平方米，溢价率在</w:t>
      </w:r>
      <w:r w:rsidR="00433598" w:rsidRPr="007B4794">
        <w:rPr>
          <w:rFonts w:ascii="Arial" w:hAnsi="Arial" w:cs="Arial" w:hint="eastAsia"/>
          <w:color w:val="000000" w:themeColor="text1"/>
          <w:sz w:val="21"/>
          <w:szCs w:val="21"/>
        </w:rPr>
        <w:t>300%</w:t>
      </w:r>
      <w:r w:rsidR="00433598" w:rsidRPr="007B4794">
        <w:rPr>
          <w:rFonts w:ascii="Arial" w:hAnsi="Arial" w:cs="Arial" w:hint="eastAsia"/>
          <w:color w:val="000000" w:themeColor="text1"/>
          <w:sz w:val="21"/>
          <w:szCs w:val="21"/>
        </w:rPr>
        <w:t>以上；</w:t>
      </w:r>
      <w:r w:rsidRPr="007B4794">
        <w:rPr>
          <w:rFonts w:ascii="Arial" w:hAnsi="Arial" w:cs="Arial" w:hint="eastAsia"/>
          <w:color w:val="000000" w:themeColor="text1"/>
          <w:sz w:val="21"/>
          <w:szCs w:val="21"/>
        </w:rPr>
        <w:t>2017</w:t>
      </w:r>
      <w:r w:rsidRPr="007B4794">
        <w:rPr>
          <w:rFonts w:ascii="Arial" w:hAnsi="Arial" w:cs="Arial" w:hint="eastAsia"/>
          <w:color w:val="000000" w:themeColor="text1"/>
          <w:sz w:val="21"/>
          <w:szCs w:val="21"/>
        </w:rPr>
        <w:t>年</w:t>
      </w:r>
      <w:r w:rsidR="00433598" w:rsidRPr="007B4794">
        <w:rPr>
          <w:rFonts w:ascii="Arial" w:hAnsi="Arial" w:cs="Arial" w:hint="eastAsia"/>
          <w:color w:val="000000" w:themeColor="text1"/>
          <w:sz w:val="21"/>
          <w:szCs w:val="21"/>
        </w:rPr>
        <w:t>-2018</w:t>
      </w:r>
      <w:r w:rsidR="00433598" w:rsidRPr="007B4794">
        <w:rPr>
          <w:rFonts w:ascii="Arial" w:hAnsi="Arial" w:cs="Arial" w:hint="eastAsia"/>
          <w:color w:val="000000" w:themeColor="text1"/>
          <w:sz w:val="21"/>
          <w:szCs w:val="21"/>
        </w:rPr>
        <w:t>年成交的用地，成交楼面单价为</w:t>
      </w:r>
      <w:r w:rsidR="00433598" w:rsidRPr="007B4794">
        <w:rPr>
          <w:rFonts w:ascii="Arial" w:hAnsi="Arial" w:cs="Arial" w:hint="eastAsia"/>
          <w:color w:val="000000" w:themeColor="text1"/>
          <w:sz w:val="21"/>
          <w:szCs w:val="21"/>
        </w:rPr>
        <w:t>11000-12000</w:t>
      </w:r>
      <w:r w:rsidR="00433598" w:rsidRPr="007B4794">
        <w:rPr>
          <w:rFonts w:ascii="Arial" w:hAnsi="Arial" w:cs="Arial" w:hint="eastAsia"/>
          <w:color w:val="000000" w:themeColor="text1"/>
          <w:sz w:val="21"/>
          <w:szCs w:val="21"/>
        </w:rPr>
        <w:t>元</w:t>
      </w:r>
      <w:r w:rsidR="00433598" w:rsidRPr="007B4794">
        <w:rPr>
          <w:rFonts w:ascii="Arial" w:hAnsi="Arial" w:cs="Arial" w:hint="eastAsia"/>
          <w:color w:val="000000" w:themeColor="text1"/>
          <w:sz w:val="21"/>
          <w:szCs w:val="21"/>
        </w:rPr>
        <w:t>/</w:t>
      </w:r>
      <w:r w:rsidR="00433598" w:rsidRPr="007B4794">
        <w:rPr>
          <w:rFonts w:ascii="Arial" w:hAnsi="Arial" w:cs="Arial" w:hint="eastAsia"/>
          <w:color w:val="000000" w:themeColor="text1"/>
          <w:sz w:val="21"/>
          <w:szCs w:val="21"/>
        </w:rPr>
        <w:t>平方米；</w:t>
      </w:r>
      <w:r w:rsidR="00433598" w:rsidRPr="007B4794">
        <w:rPr>
          <w:rFonts w:ascii="Arial" w:hAnsi="Arial" w:cs="Arial" w:hint="eastAsia"/>
          <w:color w:val="000000" w:themeColor="text1"/>
          <w:sz w:val="21"/>
          <w:szCs w:val="21"/>
        </w:rPr>
        <w:t>2019</w:t>
      </w:r>
      <w:r w:rsidRPr="007B4794">
        <w:rPr>
          <w:rFonts w:ascii="Arial" w:hAnsi="Arial" w:cs="Arial" w:hint="eastAsia"/>
          <w:color w:val="000000" w:themeColor="text1"/>
          <w:sz w:val="21"/>
          <w:szCs w:val="21"/>
        </w:rPr>
        <w:t>至</w:t>
      </w:r>
      <w:r w:rsidRPr="007B4794">
        <w:rPr>
          <w:rFonts w:ascii="Arial" w:hAnsi="Arial" w:cs="Arial" w:hint="eastAsia"/>
          <w:color w:val="000000" w:themeColor="text1"/>
          <w:sz w:val="21"/>
          <w:szCs w:val="21"/>
        </w:rPr>
        <w:t>2020</w:t>
      </w:r>
      <w:r w:rsidRPr="007B4794">
        <w:rPr>
          <w:rFonts w:ascii="Arial" w:hAnsi="Arial" w:cs="Arial" w:hint="eastAsia"/>
          <w:color w:val="000000" w:themeColor="text1"/>
          <w:sz w:val="21"/>
          <w:szCs w:val="21"/>
        </w:rPr>
        <w:t>年</w:t>
      </w:r>
      <w:r w:rsidR="00433598" w:rsidRPr="007B4794">
        <w:rPr>
          <w:rFonts w:ascii="Arial" w:hAnsi="Arial" w:cs="Arial" w:hint="eastAsia"/>
          <w:color w:val="000000" w:themeColor="text1"/>
          <w:sz w:val="21"/>
          <w:szCs w:val="21"/>
        </w:rPr>
        <w:t>10</w:t>
      </w:r>
      <w:r w:rsidRPr="007B4794">
        <w:rPr>
          <w:rFonts w:ascii="Arial" w:hAnsi="Arial" w:cs="Arial" w:hint="eastAsia"/>
          <w:color w:val="000000" w:themeColor="text1"/>
          <w:sz w:val="21"/>
          <w:szCs w:val="21"/>
        </w:rPr>
        <w:t>月，</w:t>
      </w:r>
      <w:r w:rsidR="00433598" w:rsidRPr="007B4794">
        <w:rPr>
          <w:rFonts w:ascii="Arial" w:hAnsi="Arial" w:cs="Arial" w:hint="eastAsia"/>
          <w:color w:val="000000" w:themeColor="text1"/>
          <w:sz w:val="21"/>
          <w:szCs w:val="21"/>
        </w:rPr>
        <w:t>其中</w:t>
      </w:r>
      <w:r w:rsidR="00433598" w:rsidRPr="007B4794">
        <w:rPr>
          <w:rFonts w:ascii="Arial" w:hAnsi="Arial" w:cs="Arial" w:hint="eastAsia"/>
          <w:color w:val="000000" w:themeColor="text1"/>
          <w:sz w:val="21"/>
          <w:szCs w:val="21"/>
        </w:rPr>
        <w:t>3</w:t>
      </w:r>
      <w:r w:rsidR="00433598" w:rsidRPr="007B4794">
        <w:rPr>
          <w:rFonts w:ascii="Arial" w:hAnsi="Arial" w:cs="Arial" w:hint="eastAsia"/>
          <w:color w:val="000000" w:themeColor="text1"/>
          <w:sz w:val="21"/>
          <w:szCs w:val="21"/>
        </w:rPr>
        <w:t>宗</w:t>
      </w:r>
      <w:r w:rsidRPr="007B4794">
        <w:rPr>
          <w:rFonts w:ascii="Arial" w:hAnsi="Arial" w:cs="Arial" w:hint="eastAsia"/>
          <w:color w:val="000000" w:themeColor="text1"/>
          <w:sz w:val="21"/>
          <w:szCs w:val="21"/>
        </w:rPr>
        <w:t>成交楼面单价范围为</w:t>
      </w:r>
      <w:r w:rsidR="00433598" w:rsidRPr="007B4794">
        <w:rPr>
          <w:rFonts w:ascii="Arial" w:hAnsi="Arial" w:cs="Arial" w:hint="eastAsia"/>
          <w:color w:val="000000" w:themeColor="text1"/>
          <w:sz w:val="21"/>
          <w:szCs w:val="21"/>
        </w:rPr>
        <w:t>7</w:t>
      </w:r>
      <w:r w:rsidRPr="007B4794">
        <w:rPr>
          <w:rFonts w:ascii="Arial" w:hAnsi="Arial" w:cs="Arial"/>
          <w:color w:val="000000" w:themeColor="text1"/>
          <w:sz w:val="21"/>
          <w:szCs w:val="21"/>
        </w:rPr>
        <w:t>000</w:t>
      </w:r>
      <w:r w:rsidR="00433598" w:rsidRPr="007B4794">
        <w:rPr>
          <w:rFonts w:ascii="Arial" w:hAnsi="Arial" w:cs="Arial" w:hint="eastAsia"/>
          <w:color w:val="000000" w:themeColor="text1"/>
          <w:sz w:val="21"/>
          <w:szCs w:val="21"/>
        </w:rPr>
        <w:t>-9</w:t>
      </w:r>
      <w:r w:rsidRPr="007B4794">
        <w:rPr>
          <w:rFonts w:ascii="Arial" w:hAnsi="Arial" w:cs="Arial" w:hint="eastAsia"/>
          <w:color w:val="000000" w:themeColor="text1"/>
          <w:sz w:val="21"/>
          <w:szCs w:val="21"/>
        </w:rPr>
        <w:t>00</w:t>
      </w:r>
      <w:r w:rsidRPr="007B4794">
        <w:rPr>
          <w:rFonts w:ascii="Arial" w:hAnsi="Arial" w:cs="Arial"/>
          <w:color w:val="000000" w:themeColor="text1"/>
          <w:sz w:val="21"/>
          <w:szCs w:val="21"/>
        </w:rPr>
        <w:t>0</w:t>
      </w:r>
      <w:r w:rsidRPr="007B4794">
        <w:rPr>
          <w:rFonts w:ascii="Arial" w:hAnsi="Arial" w:cs="Arial" w:hint="eastAsia"/>
          <w:color w:val="000000" w:themeColor="text1"/>
          <w:sz w:val="21"/>
          <w:szCs w:val="21"/>
        </w:rPr>
        <w:t>元</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平方米，其余成交楼面单价范围为</w:t>
      </w:r>
      <w:r w:rsidRPr="007B4794">
        <w:rPr>
          <w:rFonts w:ascii="Arial" w:hAnsi="Arial" w:cs="Arial" w:hint="eastAsia"/>
          <w:color w:val="000000" w:themeColor="text1"/>
          <w:sz w:val="21"/>
          <w:szCs w:val="21"/>
        </w:rPr>
        <w:t>4</w:t>
      </w:r>
      <w:r w:rsidRPr="007B4794">
        <w:rPr>
          <w:rFonts w:ascii="Arial" w:hAnsi="Arial" w:cs="Arial"/>
          <w:color w:val="000000" w:themeColor="text1"/>
          <w:sz w:val="21"/>
          <w:szCs w:val="21"/>
        </w:rPr>
        <w:t>000</w:t>
      </w:r>
      <w:r w:rsidRPr="007B4794">
        <w:rPr>
          <w:rFonts w:ascii="Arial" w:hAnsi="Arial" w:cs="Arial" w:hint="eastAsia"/>
          <w:color w:val="000000" w:themeColor="text1"/>
          <w:sz w:val="21"/>
          <w:szCs w:val="21"/>
        </w:rPr>
        <w:t>-</w:t>
      </w:r>
      <w:r w:rsidR="00433598" w:rsidRPr="007B4794">
        <w:rPr>
          <w:rFonts w:ascii="Arial" w:hAnsi="Arial" w:cs="Arial" w:hint="eastAsia"/>
          <w:color w:val="000000" w:themeColor="text1"/>
          <w:sz w:val="21"/>
          <w:szCs w:val="21"/>
        </w:rPr>
        <w:t>6</w:t>
      </w:r>
      <w:r w:rsidRPr="007B4794">
        <w:rPr>
          <w:rFonts w:ascii="Arial" w:hAnsi="Arial" w:cs="Arial"/>
          <w:color w:val="000000" w:themeColor="text1"/>
          <w:sz w:val="21"/>
          <w:szCs w:val="21"/>
        </w:rPr>
        <w:t>000</w:t>
      </w:r>
      <w:r w:rsidRPr="007B4794">
        <w:rPr>
          <w:rFonts w:ascii="Arial" w:hAnsi="Arial" w:cs="Arial" w:hint="eastAsia"/>
          <w:color w:val="000000" w:themeColor="text1"/>
          <w:sz w:val="21"/>
          <w:szCs w:val="21"/>
        </w:rPr>
        <w:t>元</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平方米，绝大部分土地目前处于建设阶段，部分已开盘销售。</w:t>
      </w:r>
    </w:p>
    <w:p w14:paraId="1737BA39" w14:textId="77777777" w:rsidR="00AE01CB" w:rsidRPr="007B4794" w:rsidRDefault="00AE01CB" w:rsidP="00AE01CB">
      <w:pPr>
        <w:widowControl w:val="0"/>
        <w:adjustRightInd w:val="0"/>
        <w:snapToGrid w:val="0"/>
        <w:spacing w:line="480" w:lineRule="auto"/>
        <w:ind w:firstLineChars="202" w:firstLine="424"/>
        <w:jc w:val="both"/>
        <w:rPr>
          <w:rFonts w:ascii="Arial" w:hAnsi="Arial" w:cs="Arial"/>
          <w:color w:val="000000" w:themeColor="text1"/>
          <w:sz w:val="21"/>
          <w:szCs w:val="21"/>
        </w:rPr>
      </w:pPr>
      <w:r w:rsidRPr="007B4794">
        <w:rPr>
          <w:rFonts w:ascii="Arial" w:hAnsi="Arial" w:cs="Arial" w:hint="eastAsia"/>
          <w:color w:val="000000" w:themeColor="text1"/>
          <w:sz w:val="21"/>
          <w:szCs w:val="21"/>
        </w:rPr>
        <w:t>周边区域涉宅土地位置及成交详细情况如下图：</w:t>
      </w:r>
    </w:p>
    <w:p w14:paraId="534695CC" w14:textId="77777777" w:rsidR="00AE01CB" w:rsidRPr="007B4794" w:rsidRDefault="00AE01CB" w:rsidP="00AE01CB">
      <w:pPr>
        <w:widowControl w:val="0"/>
        <w:adjustRightInd w:val="0"/>
        <w:snapToGrid w:val="0"/>
        <w:spacing w:line="480" w:lineRule="auto"/>
        <w:ind w:firstLineChars="202" w:firstLine="424"/>
        <w:jc w:val="both"/>
        <w:rPr>
          <w:rFonts w:ascii="Arial" w:hAnsi="Arial" w:cs="Arial"/>
          <w:color w:val="000000" w:themeColor="text1"/>
          <w:sz w:val="21"/>
          <w:szCs w:val="21"/>
        </w:rPr>
      </w:pPr>
    </w:p>
    <w:p w14:paraId="73FCD719" w14:textId="77777777" w:rsidR="00074032" w:rsidRPr="00074032" w:rsidRDefault="00074032" w:rsidP="00074032">
      <w:pPr>
        <w:widowControl w:val="0"/>
        <w:adjustRightInd w:val="0"/>
        <w:snapToGrid w:val="0"/>
        <w:spacing w:line="480" w:lineRule="auto"/>
        <w:ind w:firstLineChars="200" w:firstLine="420"/>
        <w:jc w:val="both"/>
        <w:rPr>
          <w:rFonts w:ascii="华文楷体" w:eastAsia="华文楷体" w:hAnsi="华文楷体" w:cs="Arial"/>
          <w:color w:val="000000" w:themeColor="text1"/>
          <w:sz w:val="21"/>
          <w:szCs w:val="21"/>
        </w:rPr>
      </w:pPr>
      <w:r w:rsidRPr="00074032">
        <w:rPr>
          <w:rFonts w:ascii="华文楷体" w:eastAsia="华文楷体" w:hAnsi="华文楷体" w:cs="Arial" w:hint="eastAsia"/>
          <w:color w:val="000000" w:themeColor="text1"/>
          <w:sz w:val="21"/>
          <w:szCs w:val="21"/>
        </w:rPr>
        <w:t>（转下页）</w:t>
      </w:r>
    </w:p>
    <w:p w14:paraId="55ED9D82" w14:textId="77777777" w:rsidR="00AE01CB" w:rsidRPr="007B4794" w:rsidRDefault="00AE01CB" w:rsidP="00AE01CB">
      <w:pPr>
        <w:widowControl w:val="0"/>
        <w:adjustRightInd w:val="0"/>
        <w:snapToGrid w:val="0"/>
        <w:spacing w:line="480" w:lineRule="auto"/>
        <w:ind w:firstLineChars="202" w:firstLine="424"/>
        <w:jc w:val="both"/>
        <w:rPr>
          <w:rFonts w:ascii="Arial" w:hAnsi="Arial" w:cs="Arial"/>
          <w:color w:val="000000" w:themeColor="text1"/>
          <w:sz w:val="21"/>
          <w:szCs w:val="21"/>
        </w:rPr>
      </w:pPr>
    </w:p>
    <w:p w14:paraId="17C05B5F" w14:textId="77777777" w:rsidR="00AE01CB" w:rsidRPr="007B4794" w:rsidRDefault="00AE01CB" w:rsidP="00AE01CB">
      <w:pPr>
        <w:widowControl w:val="0"/>
        <w:adjustRightInd w:val="0"/>
        <w:snapToGrid w:val="0"/>
        <w:spacing w:line="480" w:lineRule="auto"/>
        <w:ind w:firstLineChars="202" w:firstLine="424"/>
        <w:jc w:val="both"/>
        <w:rPr>
          <w:rFonts w:ascii="Arial" w:hAnsi="Arial" w:cs="Arial"/>
          <w:color w:val="000000" w:themeColor="text1"/>
          <w:sz w:val="21"/>
          <w:szCs w:val="21"/>
        </w:rPr>
      </w:pPr>
    </w:p>
    <w:p w14:paraId="497E0881" w14:textId="77777777" w:rsidR="00AE01CB" w:rsidRPr="007B4794" w:rsidRDefault="00AE01CB" w:rsidP="00AE01CB">
      <w:pPr>
        <w:widowControl w:val="0"/>
        <w:adjustRightInd w:val="0"/>
        <w:snapToGrid w:val="0"/>
        <w:spacing w:line="480" w:lineRule="auto"/>
        <w:ind w:firstLineChars="202" w:firstLine="424"/>
        <w:jc w:val="both"/>
        <w:rPr>
          <w:rFonts w:ascii="Arial" w:hAnsi="Arial" w:cs="Arial"/>
          <w:color w:val="000000" w:themeColor="text1"/>
          <w:sz w:val="21"/>
          <w:szCs w:val="21"/>
        </w:rPr>
      </w:pPr>
    </w:p>
    <w:p w14:paraId="03191129" w14:textId="77777777" w:rsidR="00AE01CB" w:rsidRPr="007B4794" w:rsidRDefault="00AE01CB" w:rsidP="00AE01CB">
      <w:pPr>
        <w:widowControl w:val="0"/>
        <w:adjustRightInd w:val="0"/>
        <w:snapToGrid w:val="0"/>
        <w:spacing w:line="480" w:lineRule="auto"/>
        <w:ind w:firstLineChars="202" w:firstLine="424"/>
        <w:jc w:val="both"/>
        <w:rPr>
          <w:rFonts w:ascii="Arial" w:hAnsi="Arial" w:cs="Arial"/>
          <w:color w:val="000000" w:themeColor="text1"/>
          <w:sz w:val="21"/>
          <w:szCs w:val="21"/>
        </w:rPr>
      </w:pPr>
    </w:p>
    <w:p w14:paraId="73B412A1" w14:textId="77777777" w:rsidR="00AE01CB" w:rsidRPr="007B4794" w:rsidRDefault="00AE01CB" w:rsidP="00AE01CB">
      <w:pPr>
        <w:widowControl w:val="0"/>
        <w:adjustRightInd w:val="0"/>
        <w:snapToGrid w:val="0"/>
        <w:spacing w:line="480" w:lineRule="auto"/>
        <w:ind w:firstLineChars="202" w:firstLine="424"/>
        <w:jc w:val="both"/>
        <w:rPr>
          <w:rFonts w:ascii="Arial" w:hAnsi="Arial" w:cs="Arial"/>
          <w:color w:val="000000" w:themeColor="text1"/>
          <w:sz w:val="21"/>
          <w:szCs w:val="21"/>
        </w:rPr>
      </w:pPr>
    </w:p>
    <w:p w14:paraId="5E3BA84B" w14:textId="77777777" w:rsidR="00AE01CB" w:rsidRPr="007B4794" w:rsidRDefault="00AE01CB" w:rsidP="00AE01CB">
      <w:pPr>
        <w:widowControl w:val="0"/>
        <w:adjustRightInd w:val="0"/>
        <w:snapToGrid w:val="0"/>
        <w:spacing w:line="480" w:lineRule="auto"/>
        <w:ind w:firstLineChars="202" w:firstLine="424"/>
        <w:jc w:val="both"/>
        <w:rPr>
          <w:rFonts w:ascii="Arial" w:hAnsi="Arial" w:cs="Arial"/>
          <w:color w:val="000000" w:themeColor="text1"/>
          <w:sz w:val="21"/>
          <w:szCs w:val="21"/>
        </w:rPr>
      </w:pPr>
    </w:p>
    <w:p w14:paraId="31B4351D" w14:textId="77777777" w:rsidR="00AE01CB" w:rsidRPr="007B4794" w:rsidRDefault="00AE01CB" w:rsidP="00AE01CB">
      <w:pPr>
        <w:widowControl w:val="0"/>
        <w:adjustRightInd w:val="0"/>
        <w:snapToGrid w:val="0"/>
        <w:spacing w:line="480" w:lineRule="auto"/>
        <w:ind w:firstLineChars="202" w:firstLine="424"/>
        <w:jc w:val="both"/>
        <w:rPr>
          <w:rFonts w:ascii="Arial" w:hAnsi="Arial" w:cs="Arial"/>
          <w:color w:val="000000" w:themeColor="text1"/>
          <w:sz w:val="21"/>
          <w:szCs w:val="21"/>
        </w:rPr>
      </w:pPr>
    </w:p>
    <w:p w14:paraId="69667AA4" w14:textId="77777777" w:rsidR="00AE01CB" w:rsidRPr="007B4794" w:rsidRDefault="00AE01CB" w:rsidP="00AE01CB">
      <w:pPr>
        <w:widowControl w:val="0"/>
        <w:adjustRightInd w:val="0"/>
        <w:snapToGrid w:val="0"/>
        <w:spacing w:line="480" w:lineRule="auto"/>
        <w:ind w:firstLineChars="202" w:firstLine="424"/>
        <w:jc w:val="both"/>
        <w:rPr>
          <w:rFonts w:ascii="Arial" w:hAnsi="Arial" w:cs="Arial"/>
          <w:color w:val="000000" w:themeColor="text1"/>
          <w:sz w:val="21"/>
          <w:szCs w:val="21"/>
        </w:rPr>
      </w:pPr>
    </w:p>
    <w:p w14:paraId="1B7BCF01" w14:textId="77777777" w:rsidR="00AE01CB" w:rsidRPr="007B4794" w:rsidRDefault="00AE01CB" w:rsidP="00AE01CB">
      <w:pPr>
        <w:widowControl w:val="0"/>
        <w:adjustRightInd w:val="0"/>
        <w:snapToGrid w:val="0"/>
        <w:spacing w:line="480" w:lineRule="auto"/>
        <w:ind w:firstLineChars="202" w:firstLine="424"/>
        <w:jc w:val="both"/>
        <w:rPr>
          <w:rFonts w:ascii="Arial" w:hAnsi="Arial" w:cs="Arial"/>
          <w:color w:val="000000" w:themeColor="text1"/>
          <w:sz w:val="21"/>
          <w:szCs w:val="21"/>
        </w:rPr>
      </w:pPr>
    </w:p>
    <w:p w14:paraId="77C122A4" w14:textId="77777777" w:rsidR="00AE01CB" w:rsidRPr="007B4794" w:rsidRDefault="00AE01CB" w:rsidP="00AE01CB">
      <w:pPr>
        <w:widowControl w:val="0"/>
        <w:adjustRightInd w:val="0"/>
        <w:snapToGrid w:val="0"/>
        <w:spacing w:line="480" w:lineRule="auto"/>
        <w:ind w:firstLineChars="202" w:firstLine="424"/>
        <w:jc w:val="both"/>
        <w:rPr>
          <w:rFonts w:ascii="Arial" w:hAnsi="Arial" w:cs="Arial"/>
          <w:color w:val="000000" w:themeColor="text1"/>
          <w:sz w:val="21"/>
          <w:szCs w:val="21"/>
        </w:rPr>
      </w:pPr>
    </w:p>
    <w:p w14:paraId="475AE025" w14:textId="77777777" w:rsidR="00AE01CB" w:rsidRPr="007B4794" w:rsidRDefault="00AE01CB" w:rsidP="00AE01CB">
      <w:pPr>
        <w:widowControl w:val="0"/>
        <w:adjustRightInd w:val="0"/>
        <w:snapToGrid w:val="0"/>
        <w:spacing w:line="480" w:lineRule="auto"/>
        <w:ind w:firstLineChars="202" w:firstLine="424"/>
        <w:jc w:val="both"/>
        <w:rPr>
          <w:rFonts w:ascii="Arial" w:hAnsi="Arial" w:cs="Arial"/>
          <w:color w:val="000000" w:themeColor="text1"/>
          <w:sz w:val="21"/>
          <w:szCs w:val="21"/>
        </w:rPr>
      </w:pPr>
    </w:p>
    <w:p w14:paraId="0455BAF2" w14:textId="77777777" w:rsidR="00AE01CB" w:rsidRPr="007B4794" w:rsidRDefault="00AE01CB" w:rsidP="00AE01CB">
      <w:pPr>
        <w:widowControl w:val="0"/>
        <w:adjustRightInd w:val="0"/>
        <w:snapToGrid w:val="0"/>
        <w:spacing w:line="480" w:lineRule="auto"/>
        <w:ind w:firstLineChars="202" w:firstLine="424"/>
        <w:jc w:val="both"/>
        <w:rPr>
          <w:rFonts w:ascii="Arial" w:hAnsi="Arial" w:cs="Arial"/>
          <w:color w:val="000000" w:themeColor="text1"/>
          <w:sz w:val="21"/>
          <w:szCs w:val="21"/>
        </w:rPr>
      </w:pPr>
    </w:p>
    <w:p w14:paraId="67F17EAC" w14:textId="77777777" w:rsidR="00AE01CB" w:rsidRPr="007B4794" w:rsidRDefault="00AE01CB" w:rsidP="00AE01CB">
      <w:pPr>
        <w:widowControl w:val="0"/>
        <w:adjustRightInd w:val="0"/>
        <w:snapToGrid w:val="0"/>
        <w:spacing w:line="480" w:lineRule="auto"/>
        <w:ind w:firstLineChars="202" w:firstLine="424"/>
        <w:jc w:val="both"/>
        <w:rPr>
          <w:rFonts w:ascii="Arial" w:hAnsi="Arial" w:cs="Arial"/>
          <w:color w:val="000000" w:themeColor="text1"/>
          <w:sz w:val="21"/>
          <w:szCs w:val="21"/>
        </w:rPr>
      </w:pPr>
    </w:p>
    <w:p w14:paraId="62675CEC" w14:textId="77777777" w:rsidR="00AE01CB" w:rsidRPr="007B4794" w:rsidRDefault="00AE01CB" w:rsidP="00AE01CB">
      <w:pPr>
        <w:widowControl w:val="0"/>
        <w:adjustRightInd w:val="0"/>
        <w:snapToGrid w:val="0"/>
        <w:spacing w:line="480" w:lineRule="auto"/>
        <w:ind w:firstLineChars="202" w:firstLine="424"/>
        <w:jc w:val="both"/>
        <w:rPr>
          <w:rFonts w:ascii="Arial" w:hAnsi="Arial" w:cs="Arial"/>
          <w:color w:val="000000" w:themeColor="text1"/>
          <w:sz w:val="21"/>
          <w:szCs w:val="21"/>
        </w:rPr>
      </w:pPr>
    </w:p>
    <w:p w14:paraId="3264B69B" w14:textId="77777777" w:rsidR="00AE01CB" w:rsidRPr="007B4794" w:rsidRDefault="00AE01CB" w:rsidP="00AE01CB">
      <w:pPr>
        <w:widowControl w:val="0"/>
        <w:adjustRightInd w:val="0"/>
        <w:snapToGrid w:val="0"/>
        <w:spacing w:line="480" w:lineRule="auto"/>
        <w:ind w:firstLineChars="202" w:firstLine="424"/>
        <w:jc w:val="both"/>
        <w:rPr>
          <w:rFonts w:ascii="Arial" w:hAnsi="Arial" w:cs="Arial"/>
          <w:color w:val="000000" w:themeColor="text1"/>
          <w:sz w:val="21"/>
          <w:szCs w:val="21"/>
        </w:rPr>
      </w:pPr>
    </w:p>
    <w:p w14:paraId="5CBE2F39" w14:textId="77777777" w:rsidR="00AE01CB" w:rsidRPr="007B4794" w:rsidRDefault="00AE01CB" w:rsidP="00AE01CB">
      <w:pPr>
        <w:widowControl w:val="0"/>
        <w:adjustRightInd w:val="0"/>
        <w:snapToGrid w:val="0"/>
        <w:spacing w:line="480" w:lineRule="auto"/>
        <w:ind w:firstLineChars="202" w:firstLine="424"/>
        <w:jc w:val="both"/>
        <w:rPr>
          <w:rFonts w:ascii="Arial" w:hAnsi="Arial" w:cs="Arial"/>
          <w:color w:val="000000" w:themeColor="text1"/>
          <w:sz w:val="21"/>
          <w:szCs w:val="21"/>
        </w:rPr>
      </w:pPr>
    </w:p>
    <w:p w14:paraId="07269286" w14:textId="77777777" w:rsidR="00AE01CB" w:rsidRPr="007B4794" w:rsidRDefault="00AE01CB" w:rsidP="00AE01CB">
      <w:pPr>
        <w:widowControl w:val="0"/>
        <w:adjustRightInd w:val="0"/>
        <w:snapToGrid w:val="0"/>
        <w:spacing w:line="480" w:lineRule="auto"/>
        <w:ind w:firstLineChars="202" w:firstLine="424"/>
        <w:jc w:val="both"/>
        <w:rPr>
          <w:rFonts w:ascii="Arial" w:hAnsi="Arial" w:cs="Arial"/>
          <w:color w:val="000000" w:themeColor="text1"/>
          <w:sz w:val="21"/>
          <w:szCs w:val="21"/>
        </w:rPr>
      </w:pPr>
    </w:p>
    <w:p w14:paraId="6DCFD8F9" w14:textId="77777777" w:rsidR="00AE01CB" w:rsidRPr="007B4794" w:rsidRDefault="00AE01CB" w:rsidP="00AE01CB">
      <w:pPr>
        <w:widowControl w:val="0"/>
        <w:adjustRightInd w:val="0"/>
        <w:snapToGrid w:val="0"/>
        <w:spacing w:line="480" w:lineRule="auto"/>
        <w:ind w:firstLineChars="202" w:firstLine="424"/>
        <w:jc w:val="both"/>
        <w:rPr>
          <w:rFonts w:ascii="Arial" w:hAnsi="Arial" w:cs="Arial"/>
          <w:color w:val="000000" w:themeColor="text1"/>
          <w:sz w:val="21"/>
          <w:szCs w:val="21"/>
        </w:rPr>
      </w:pPr>
    </w:p>
    <w:p w14:paraId="1A86F8B5" w14:textId="77777777" w:rsidR="00AE01CB" w:rsidRPr="007B4794" w:rsidRDefault="00AE01CB" w:rsidP="00AE01CB">
      <w:pPr>
        <w:widowControl w:val="0"/>
        <w:adjustRightInd w:val="0"/>
        <w:snapToGrid w:val="0"/>
        <w:spacing w:line="480" w:lineRule="auto"/>
        <w:ind w:firstLineChars="202" w:firstLine="424"/>
        <w:jc w:val="both"/>
        <w:rPr>
          <w:rFonts w:ascii="Arial" w:hAnsi="Arial" w:cs="Arial"/>
          <w:color w:val="000000" w:themeColor="text1"/>
          <w:sz w:val="21"/>
          <w:szCs w:val="21"/>
        </w:rPr>
        <w:sectPr w:rsidR="00AE01CB" w:rsidRPr="007B4794" w:rsidSect="009B0B0F">
          <w:headerReference w:type="even" r:id="rId55"/>
          <w:headerReference w:type="default" r:id="rId56"/>
          <w:headerReference w:type="first" r:id="rId57"/>
          <w:pgSz w:w="11906" w:h="16838" w:code="9"/>
          <w:pgMar w:top="1843" w:right="1304" w:bottom="1134" w:left="1304" w:header="1134" w:footer="907" w:gutter="0"/>
          <w:cols w:space="425"/>
          <w:titlePg/>
          <w:docGrid w:linePitch="312"/>
        </w:sectPr>
      </w:pPr>
    </w:p>
    <w:p w14:paraId="18B224B2" w14:textId="738987A6" w:rsidR="007B7994" w:rsidRPr="007B4794" w:rsidRDefault="007B7994" w:rsidP="007B7994">
      <w:pPr>
        <w:rPr>
          <w:color w:val="000000" w:themeColor="text1"/>
        </w:rPr>
      </w:pPr>
      <w:r w:rsidRPr="007B4794">
        <w:rPr>
          <w:noProof/>
          <w:color w:val="000000" w:themeColor="text1"/>
        </w:rPr>
        <w:lastRenderedPageBreak/>
        <w:drawing>
          <wp:inline distT="0" distB="0" distL="0" distR="0" wp14:anchorId="1F303D73" wp14:editId="6320FB5D">
            <wp:extent cx="8686800" cy="5524465"/>
            <wp:effectExtent l="0" t="0" r="0" b="635"/>
            <wp:docPr id="4" name="图片 4" descr="C:\Documents and Settings\Administrator\Application Data\Tencent\Users\273361491\QQ\WinTemp\RichOle\@7NZ2PM4N1VC`REFN6Q90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Application Data\Tencent\Users\273361491\QQ\WinTemp\RichOle\@7NZ2PM4N1VC`REFN6Q90F5.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686734" cy="5524423"/>
                    </a:xfrm>
                    <a:prstGeom prst="rect">
                      <a:avLst/>
                    </a:prstGeom>
                    <a:noFill/>
                    <a:ln>
                      <a:noFill/>
                    </a:ln>
                  </pic:spPr>
                </pic:pic>
              </a:graphicData>
            </a:graphic>
          </wp:inline>
        </w:drawing>
      </w:r>
    </w:p>
    <w:p w14:paraId="12BCDE79" w14:textId="77777777" w:rsidR="00AE01CB" w:rsidRPr="007B4794" w:rsidRDefault="00AE01CB" w:rsidP="00AE01CB">
      <w:pPr>
        <w:widowControl w:val="0"/>
        <w:adjustRightInd w:val="0"/>
        <w:snapToGrid w:val="0"/>
        <w:spacing w:line="480" w:lineRule="auto"/>
        <w:jc w:val="both"/>
        <w:rPr>
          <w:rFonts w:ascii="华文细黑" w:eastAsia="华文细黑" w:hAnsi="华文细黑" w:cs="Arial"/>
          <w:color w:val="000000" w:themeColor="text1"/>
          <w:sz w:val="15"/>
          <w:szCs w:val="15"/>
        </w:rPr>
        <w:sectPr w:rsidR="00AE01CB" w:rsidRPr="007B4794" w:rsidSect="00AE01CB">
          <w:pgSz w:w="16838" w:h="11906" w:orient="landscape" w:code="9"/>
          <w:pgMar w:top="1304" w:right="1843" w:bottom="1304" w:left="1134" w:header="1134" w:footer="907" w:gutter="0"/>
          <w:cols w:space="425"/>
          <w:titlePg/>
          <w:docGrid w:linePitch="326"/>
        </w:sectPr>
      </w:pPr>
      <w:r w:rsidRPr="007B4794">
        <w:rPr>
          <w:rFonts w:ascii="华文细黑" w:eastAsia="华文细黑" w:hAnsi="华文细黑" w:cs="Arial" w:hint="eastAsia"/>
          <w:color w:val="000000" w:themeColor="text1"/>
          <w:sz w:val="15"/>
          <w:szCs w:val="15"/>
        </w:rPr>
        <w:t>资料来源：中指数据</w:t>
      </w:r>
    </w:p>
    <w:p w14:paraId="6EF8CBB8" w14:textId="3AA588AF" w:rsidR="004562EA" w:rsidRPr="007B4794" w:rsidRDefault="00B6400D" w:rsidP="004562EA">
      <w:pPr>
        <w:pStyle w:val="2"/>
        <w:tabs>
          <w:tab w:val="left" w:pos="5220"/>
        </w:tabs>
        <w:spacing w:before="0" w:after="0" w:line="480" w:lineRule="auto"/>
        <w:ind w:firstLineChars="98" w:firstLine="207"/>
        <w:jc w:val="both"/>
        <w:rPr>
          <w:rFonts w:eastAsia="宋体" w:cs="Arial"/>
          <w:color w:val="000000" w:themeColor="text1"/>
          <w:sz w:val="21"/>
          <w:szCs w:val="21"/>
        </w:rPr>
      </w:pPr>
      <w:bookmarkStart w:id="74" w:name="_Toc54016597"/>
      <w:r w:rsidRPr="007B4794">
        <w:rPr>
          <w:rFonts w:eastAsia="宋体" w:cs="Arial" w:hint="eastAsia"/>
          <w:color w:val="000000" w:themeColor="text1"/>
          <w:sz w:val="21"/>
          <w:szCs w:val="21"/>
        </w:rPr>
        <w:lastRenderedPageBreak/>
        <w:t>四、</w:t>
      </w:r>
      <w:r w:rsidR="004562EA" w:rsidRPr="007B4794">
        <w:rPr>
          <w:rFonts w:eastAsia="宋体" w:cs="Arial" w:hint="eastAsia"/>
          <w:color w:val="000000" w:themeColor="text1"/>
          <w:sz w:val="21"/>
          <w:szCs w:val="21"/>
        </w:rPr>
        <w:t>区域房地产市场分析</w:t>
      </w:r>
      <w:bookmarkEnd w:id="74"/>
    </w:p>
    <w:p w14:paraId="4558868F" w14:textId="301C8011" w:rsidR="00AE01CB" w:rsidRPr="007B4794" w:rsidRDefault="00AE01CB" w:rsidP="0020186A">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从</w:t>
      </w:r>
      <w:r w:rsidR="004B2C7C" w:rsidRPr="007B4794">
        <w:rPr>
          <w:rFonts w:ascii="Arial" w:hAnsi="Arial" w:cs="Arial" w:hint="eastAsia"/>
          <w:color w:val="000000" w:themeColor="text1"/>
          <w:sz w:val="21"/>
          <w:szCs w:val="21"/>
        </w:rPr>
        <w:t>立丹行发布的</w:t>
      </w:r>
      <w:r w:rsidRPr="007B4794">
        <w:rPr>
          <w:rFonts w:ascii="Arial" w:hAnsi="Arial" w:cs="Arial" w:hint="eastAsia"/>
          <w:color w:val="000000" w:themeColor="text1"/>
          <w:sz w:val="21"/>
          <w:szCs w:val="21"/>
        </w:rPr>
        <w:t>商品住宅交易数据来看，</w:t>
      </w:r>
      <w:r w:rsidR="004B2C7C" w:rsidRPr="007B4794">
        <w:rPr>
          <w:rFonts w:ascii="Arial" w:hAnsi="Arial" w:cs="Arial" w:hint="eastAsia"/>
          <w:color w:val="000000" w:themeColor="text1"/>
          <w:sz w:val="21"/>
          <w:szCs w:val="21"/>
        </w:rPr>
        <w:t>台商投资区</w:t>
      </w:r>
      <w:r w:rsidR="004B2C7C" w:rsidRPr="007B4794">
        <w:rPr>
          <w:rFonts w:ascii="Arial" w:hAnsi="Arial" w:cs="Arial" w:hint="eastAsia"/>
          <w:color w:val="000000" w:themeColor="text1"/>
          <w:sz w:val="21"/>
          <w:szCs w:val="21"/>
        </w:rPr>
        <w:t>2020</w:t>
      </w:r>
      <w:r w:rsidR="004B2C7C" w:rsidRPr="007B4794">
        <w:rPr>
          <w:rFonts w:ascii="Arial" w:hAnsi="Arial" w:cs="Arial" w:hint="eastAsia"/>
          <w:color w:val="000000" w:themeColor="text1"/>
          <w:sz w:val="21"/>
          <w:szCs w:val="21"/>
        </w:rPr>
        <w:t>年</w:t>
      </w:r>
      <w:r w:rsidR="004B2C7C" w:rsidRPr="007B4794">
        <w:rPr>
          <w:rFonts w:ascii="Arial" w:hAnsi="Arial" w:cs="Arial" w:hint="eastAsia"/>
          <w:color w:val="000000" w:themeColor="text1"/>
          <w:sz w:val="21"/>
          <w:szCs w:val="21"/>
        </w:rPr>
        <w:t>1</w:t>
      </w:r>
      <w:r w:rsidR="004B2C7C" w:rsidRPr="007B4794">
        <w:rPr>
          <w:rFonts w:ascii="Arial" w:hAnsi="Arial" w:cs="Arial" w:hint="eastAsia"/>
          <w:color w:val="000000" w:themeColor="text1"/>
          <w:sz w:val="21"/>
          <w:szCs w:val="21"/>
        </w:rPr>
        <w:t>至</w:t>
      </w:r>
      <w:r w:rsidR="004B2C7C" w:rsidRPr="007B4794">
        <w:rPr>
          <w:rFonts w:ascii="Arial" w:hAnsi="Arial" w:cs="Arial" w:hint="eastAsia"/>
          <w:color w:val="000000" w:themeColor="text1"/>
          <w:sz w:val="21"/>
          <w:szCs w:val="21"/>
        </w:rPr>
        <w:t>10</w:t>
      </w:r>
      <w:r w:rsidR="004B2C7C" w:rsidRPr="007B4794">
        <w:rPr>
          <w:rFonts w:ascii="Arial" w:hAnsi="Arial" w:cs="Arial" w:hint="eastAsia"/>
          <w:color w:val="000000" w:themeColor="text1"/>
          <w:sz w:val="21"/>
          <w:szCs w:val="21"/>
        </w:rPr>
        <w:t>月总</w:t>
      </w:r>
      <w:r w:rsidRPr="007B4794">
        <w:rPr>
          <w:rFonts w:ascii="Arial" w:hAnsi="Arial" w:cs="Arial" w:hint="eastAsia"/>
          <w:color w:val="000000" w:themeColor="text1"/>
          <w:sz w:val="21"/>
          <w:szCs w:val="21"/>
        </w:rPr>
        <w:t>供应</w:t>
      </w:r>
      <w:r w:rsidR="004B2C7C" w:rsidRPr="007B4794">
        <w:rPr>
          <w:rFonts w:ascii="Arial" w:hAnsi="Arial" w:cs="Arial" w:hint="eastAsia"/>
          <w:color w:val="000000" w:themeColor="text1"/>
          <w:sz w:val="21"/>
          <w:szCs w:val="21"/>
        </w:rPr>
        <w:t>面积约</w:t>
      </w:r>
      <w:r w:rsidR="0020186A" w:rsidRPr="007B4794">
        <w:rPr>
          <w:rFonts w:ascii="Arial" w:hAnsi="Arial" w:cs="Arial" w:hint="eastAsia"/>
          <w:color w:val="000000" w:themeColor="text1"/>
          <w:sz w:val="21"/>
          <w:szCs w:val="21"/>
        </w:rPr>
        <w:t>27</w:t>
      </w:r>
      <w:r w:rsidR="004B2C7C" w:rsidRPr="007B4794">
        <w:rPr>
          <w:rFonts w:ascii="Arial" w:hAnsi="Arial" w:cs="Arial" w:hint="eastAsia"/>
          <w:color w:val="000000" w:themeColor="text1"/>
          <w:sz w:val="21"/>
          <w:szCs w:val="21"/>
        </w:rPr>
        <w:t>万平方米</w:t>
      </w:r>
      <w:r w:rsidRPr="007B4794">
        <w:rPr>
          <w:rFonts w:ascii="Arial" w:hAnsi="Arial" w:cs="Arial" w:hint="eastAsia"/>
          <w:color w:val="000000" w:themeColor="text1"/>
          <w:sz w:val="21"/>
          <w:szCs w:val="21"/>
        </w:rPr>
        <w:t>，</w:t>
      </w:r>
      <w:r w:rsidR="0020186A" w:rsidRPr="007B4794">
        <w:rPr>
          <w:rFonts w:ascii="Arial" w:hAnsi="Arial" w:cs="Arial" w:hint="eastAsia"/>
          <w:color w:val="000000" w:themeColor="text1"/>
          <w:sz w:val="21"/>
          <w:szCs w:val="21"/>
        </w:rPr>
        <w:t>成交面积约在</w:t>
      </w:r>
      <w:r w:rsidR="0020186A" w:rsidRPr="007B4794">
        <w:rPr>
          <w:rFonts w:ascii="Arial" w:hAnsi="Arial" w:cs="Arial" w:hint="eastAsia"/>
          <w:color w:val="000000" w:themeColor="text1"/>
          <w:sz w:val="21"/>
          <w:szCs w:val="21"/>
        </w:rPr>
        <w:t>15.5</w:t>
      </w:r>
      <w:r w:rsidR="0020186A" w:rsidRPr="007B4794">
        <w:rPr>
          <w:rFonts w:ascii="Arial" w:hAnsi="Arial" w:cs="Arial" w:hint="eastAsia"/>
          <w:color w:val="000000" w:themeColor="text1"/>
          <w:sz w:val="21"/>
          <w:szCs w:val="21"/>
        </w:rPr>
        <w:t>万平方米</w:t>
      </w:r>
      <w:r w:rsidRPr="007B4794">
        <w:rPr>
          <w:rFonts w:ascii="Arial" w:hAnsi="Arial" w:cs="Arial" w:hint="eastAsia"/>
          <w:color w:val="000000" w:themeColor="text1"/>
          <w:sz w:val="21"/>
          <w:szCs w:val="21"/>
        </w:rPr>
        <w:t>，</w:t>
      </w:r>
      <w:r w:rsidR="00647AE5" w:rsidRPr="007B4794">
        <w:rPr>
          <w:rFonts w:ascii="Arial" w:hAnsi="Arial" w:cs="Arial" w:hint="eastAsia"/>
          <w:color w:val="000000" w:themeColor="text1"/>
          <w:sz w:val="21"/>
          <w:szCs w:val="21"/>
        </w:rPr>
        <w:t>月均供应面积约在</w:t>
      </w:r>
      <w:r w:rsidR="00647AE5" w:rsidRPr="007B4794">
        <w:rPr>
          <w:rFonts w:ascii="Arial" w:hAnsi="Arial" w:cs="Arial" w:hint="eastAsia"/>
          <w:color w:val="000000" w:themeColor="text1"/>
          <w:sz w:val="21"/>
          <w:szCs w:val="21"/>
        </w:rPr>
        <w:t>2.7</w:t>
      </w:r>
      <w:r w:rsidR="00647AE5" w:rsidRPr="007B4794">
        <w:rPr>
          <w:rFonts w:ascii="Arial" w:hAnsi="Arial" w:cs="Arial" w:hint="eastAsia"/>
          <w:color w:val="000000" w:themeColor="text1"/>
          <w:sz w:val="21"/>
          <w:szCs w:val="21"/>
        </w:rPr>
        <w:t>万平方米，月均成交面积约在</w:t>
      </w:r>
      <w:r w:rsidR="00647AE5" w:rsidRPr="007B4794">
        <w:rPr>
          <w:rFonts w:ascii="Arial" w:hAnsi="Arial" w:cs="Arial" w:hint="eastAsia"/>
          <w:color w:val="000000" w:themeColor="text1"/>
          <w:sz w:val="21"/>
          <w:szCs w:val="21"/>
        </w:rPr>
        <w:t>1.55</w:t>
      </w:r>
      <w:r w:rsidR="00647AE5" w:rsidRPr="007B4794">
        <w:rPr>
          <w:rFonts w:ascii="Arial" w:hAnsi="Arial" w:cs="Arial" w:hint="eastAsia"/>
          <w:color w:val="000000" w:themeColor="text1"/>
          <w:sz w:val="21"/>
          <w:szCs w:val="21"/>
        </w:rPr>
        <w:t>万平方米。</w:t>
      </w:r>
      <w:r w:rsidR="00325CF0" w:rsidRPr="007B4794">
        <w:rPr>
          <w:rFonts w:ascii="Arial" w:hAnsi="Arial" w:cs="Arial" w:hint="eastAsia"/>
          <w:color w:val="000000" w:themeColor="text1"/>
          <w:sz w:val="21"/>
          <w:szCs w:val="21"/>
        </w:rPr>
        <w:t>从供应</w:t>
      </w:r>
      <w:r w:rsidR="005F0787" w:rsidRPr="007B4794">
        <w:rPr>
          <w:rFonts w:ascii="Arial" w:hAnsi="Arial" w:cs="Arial" w:hint="eastAsia"/>
          <w:color w:val="000000" w:themeColor="text1"/>
          <w:sz w:val="21"/>
          <w:szCs w:val="21"/>
        </w:rPr>
        <w:t>和成交</w:t>
      </w:r>
      <w:r w:rsidR="00325CF0" w:rsidRPr="007B4794">
        <w:rPr>
          <w:rFonts w:ascii="Arial" w:hAnsi="Arial" w:cs="Arial" w:hint="eastAsia"/>
          <w:color w:val="000000" w:themeColor="text1"/>
          <w:sz w:val="21"/>
          <w:szCs w:val="21"/>
        </w:rPr>
        <w:t>方面看，疫情结束后，商品住宅供应量</w:t>
      </w:r>
      <w:r w:rsidR="005F0787" w:rsidRPr="007B4794">
        <w:rPr>
          <w:rFonts w:ascii="Arial" w:hAnsi="Arial" w:cs="Arial" w:hint="eastAsia"/>
          <w:color w:val="000000" w:themeColor="text1"/>
          <w:sz w:val="21"/>
          <w:szCs w:val="21"/>
        </w:rPr>
        <w:t>及成交量均</w:t>
      </w:r>
      <w:r w:rsidR="00AE3D4B" w:rsidRPr="007B4794">
        <w:rPr>
          <w:rFonts w:ascii="Arial" w:hAnsi="Arial" w:cs="Arial" w:hint="eastAsia"/>
          <w:color w:val="000000" w:themeColor="text1"/>
          <w:sz w:val="21"/>
          <w:szCs w:val="21"/>
        </w:rPr>
        <w:t>呈现波动态势</w:t>
      </w:r>
      <w:r w:rsidR="005F0787" w:rsidRPr="007B4794">
        <w:rPr>
          <w:rFonts w:ascii="Arial" w:hAnsi="Arial" w:cs="Arial" w:hint="eastAsia"/>
          <w:color w:val="000000" w:themeColor="text1"/>
          <w:sz w:val="21"/>
          <w:szCs w:val="21"/>
        </w:rPr>
        <w:t>。</w:t>
      </w:r>
    </w:p>
    <w:p w14:paraId="702EEF1E" w14:textId="4BBD181E" w:rsidR="00AE01CB" w:rsidRPr="007B4794" w:rsidRDefault="004B2C7C" w:rsidP="004B2C7C">
      <w:pPr>
        <w:widowControl w:val="0"/>
        <w:adjustRightInd w:val="0"/>
        <w:snapToGrid w:val="0"/>
        <w:spacing w:line="480" w:lineRule="auto"/>
        <w:ind w:firstLineChars="200" w:firstLine="480"/>
        <w:jc w:val="both"/>
        <w:rPr>
          <w:rFonts w:ascii="Arial" w:hAnsi="Arial" w:cs="Arial"/>
          <w:color w:val="000000" w:themeColor="text1"/>
          <w:sz w:val="21"/>
          <w:szCs w:val="21"/>
        </w:rPr>
      </w:pPr>
      <w:r w:rsidRPr="007B4794">
        <w:rPr>
          <w:noProof/>
          <w:color w:val="000000" w:themeColor="text1"/>
        </w:rPr>
        <w:drawing>
          <wp:inline distT="0" distB="0" distL="0" distR="0" wp14:anchorId="3053245F" wp14:editId="00A71274">
            <wp:extent cx="5486400" cy="2898775"/>
            <wp:effectExtent l="0" t="0" r="19050" b="15875"/>
            <wp:docPr id="5176" name="图表 5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3984390" w14:textId="1264F59E" w:rsidR="00AE01CB" w:rsidRPr="007B4794" w:rsidRDefault="00AE01CB" w:rsidP="00AE01CB">
      <w:pPr>
        <w:widowControl w:val="0"/>
        <w:adjustRightInd w:val="0"/>
        <w:snapToGrid w:val="0"/>
        <w:spacing w:line="480" w:lineRule="auto"/>
        <w:jc w:val="both"/>
        <w:rPr>
          <w:rFonts w:ascii="华文细黑" w:eastAsia="华文细黑" w:hAnsi="华文细黑" w:cs="Arial"/>
          <w:color w:val="000000" w:themeColor="text1"/>
          <w:sz w:val="15"/>
          <w:szCs w:val="15"/>
        </w:rPr>
      </w:pPr>
      <w:r w:rsidRPr="007B4794">
        <w:rPr>
          <w:rFonts w:ascii="华文细黑" w:eastAsia="华文细黑" w:hAnsi="华文细黑" w:cs="Arial" w:hint="eastAsia"/>
          <w:color w:val="000000" w:themeColor="text1"/>
          <w:sz w:val="15"/>
          <w:szCs w:val="15"/>
        </w:rPr>
        <w:t>资料来源：</w:t>
      </w:r>
      <w:r w:rsidR="004B2C7C" w:rsidRPr="007B4794">
        <w:rPr>
          <w:rFonts w:ascii="Arial" w:eastAsia="华文细黑" w:hAnsi="Arial" w:cs="Arial" w:hint="eastAsia"/>
          <w:color w:val="000000" w:themeColor="text1"/>
          <w:sz w:val="15"/>
          <w:szCs w:val="15"/>
        </w:rPr>
        <w:t>立丹行</w:t>
      </w:r>
      <w:r w:rsidRPr="007B4794">
        <w:rPr>
          <w:rFonts w:ascii="华文细黑" w:eastAsia="华文细黑" w:hAnsi="华文细黑" w:cs="Arial" w:hint="eastAsia"/>
          <w:color w:val="000000" w:themeColor="text1"/>
          <w:sz w:val="15"/>
          <w:szCs w:val="15"/>
        </w:rPr>
        <w:t>数据</w:t>
      </w:r>
    </w:p>
    <w:p w14:paraId="0013D0C5" w14:textId="77777777" w:rsidR="002F6849" w:rsidRPr="007B4794" w:rsidRDefault="002F6849" w:rsidP="00AE01CB">
      <w:pPr>
        <w:widowControl w:val="0"/>
        <w:tabs>
          <w:tab w:val="left" w:pos="567"/>
        </w:tabs>
        <w:adjustRightInd w:val="0"/>
        <w:snapToGrid w:val="0"/>
        <w:spacing w:line="480" w:lineRule="auto"/>
        <w:ind w:firstLineChars="200" w:firstLine="420"/>
        <w:jc w:val="both"/>
        <w:rPr>
          <w:rFonts w:ascii="Arial" w:hAnsi="Arial" w:cs="Arial"/>
          <w:color w:val="000000" w:themeColor="text1"/>
          <w:sz w:val="21"/>
          <w:szCs w:val="21"/>
        </w:rPr>
      </w:pPr>
    </w:p>
    <w:p w14:paraId="5DA169BF" w14:textId="6F776179" w:rsidR="002F6849" w:rsidRDefault="002F6849" w:rsidP="002F6849">
      <w:pPr>
        <w:widowControl w:val="0"/>
        <w:adjustRightInd w:val="0"/>
        <w:snapToGrid w:val="0"/>
        <w:spacing w:line="480" w:lineRule="auto"/>
        <w:ind w:firstLineChars="200" w:firstLine="420"/>
        <w:jc w:val="both"/>
        <w:rPr>
          <w:rFonts w:ascii="Arial" w:hAnsi="Arial" w:cs="Arial" w:hint="eastAsia"/>
          <w:color w:val="000000" w:themeColor="text1"/>
          <w:sz w:val="21"/>
          <w:szCs w:val="21"/>
        </w:rPr>
      </w:pPr>
      <w:r w:rsidRPr="007B4794">
        <w:rPr>
          <w:rFonts w:ascii="Arial" w:hAnsi="Arial" w:cs="Arial" w:hint="eastAsia"/>
          <w:color w:val="000000" w:themeColor="text1"/>
          <w:sz w:val="21"/>
          <w:szCs w:val="21"/>
        </w:rPr>
        <w:t>根据中国房价行情网对</w:t>
      </w:r>
      <w:r w:rsidR="007458B6" w:rsidRPr="007B4794">
        <w:rPr>
          <w:rFonts w:ascii="Arial" w:hAnsi="Arial" w:cs="Arial" w:hint="eastAsia"/>
          <w:color w:val="000000" w:themeColor="text1"/>
          <w:sz w:val="21"/>
          <w:szCs w:val="21"/>
        </w:rPr>
        <w:t>台商投资区</w:t>
      </w:r>
      <w:r w:rsidRPr="007B4794">
        <w:rPr>
          <w:rFonts w:ascii="Arial" w:hAnsi="Arial" w:cs="Arial" w:hint="eastAsia"/>
          <w:color w:val="000000" w:themeColor="text1"/>
          <w:sz w:val="21"/>
          <w:szCs w:val="21"/>
        </w:rPr>
        <w:t>共</w:t>
      </w:r>
      <w:r w:rsidR="004B2C7C" w:rsidRPr="007B4794">
        <w:rPr>
          <w:rFonts w:ascii="Arial" w:hAnsi="Arial" w:cs="Arial" w:hint="eastAsia"/>
          <w:color w:val="000000" w:themeColor="text1"/>
          <w:sz w:val="21"/>
          <w:szCs w:val="21"/>
        </w:rPr>
        <w:t>12</w:t>
      </w:r>
      <w:r w:rsidRPr="007B4794">
        <w:rPr>
          <w:rFonts w:ascii="Arial" w:hAnsi="Arial" w:cs="Arial" w:hint="eastAsia"/>
          <w:color w:val="000000" w:themeColor="text1"/>
          <w:sz w:val="21"/>
          <w:szCs w:val="21"/>
        </w:rPr>
        <w:t>个新建楼盘统计，</w:t>
      </w:r>
      <w:r w:rsidRPr="007B4794">
        <w:rPr>
          <w:rFonts w:ascii="Arial" w:hAnsi="Arial" w:cs="Arial" w:hint="eastAsia"/>
          <w:color w:val="000000" w:themeColor="text1"/>
          <w:sz w:val="21"/>
          <w:szCs w:val="21"/>
        </w:rPr>
        <w:t>2019</w:t>
      </w:r>
      <w:r w:rsidRPr="007B4794">
        <w:rPr>
          <w:rFonts w:ascii="Arial" w:hAnsi="Arial" w:cs="Arial" w:hint="eastAsia"/>
          <w:color w:val="000000" w:themeColor="text1"/>
          <w:sz w:val="21"/>
          <w:szCs w:val="21"/>
        </w:rPr>
        <w:t>年</w:t>
      </w:r>
      <w:r w:rsidRPr="007B4794">
        <w:rPr>
          <w:rFonts w:ascii="Arial" w:hAnsi="Arial" w:cs="Arial" w:hint="eastAsia"/>
          <w:color w:val="000000" w:themeColor="text1"/>
          <w:sz w:val="21"/>
          <w:szCs w:val="21"/>
        </w:rPr>
        <w:t>1</w:t>
      </w:r>
      <w:r w:rsidRPr="007B4794">
        <w:rPr>
          <w:rFonts w:ascii="Arial" w:hAnsi="Arial" w:cs="Arial" w:hint="eastAsia"/>
          <w:color w:val="000000" w:themeColor="text1"/>
          <w:sz w:val="21"/>
          <w:szCs w:val="21"/>
        </w:rPr>
        <w:t>月至</w:t>
      </w:r>
      <w:r w:rsidRPr="007B4794">
        <w:rPr>
          <w:rFonts w:ascii="Arial" w:hAnsi="Arial" w:cs="Arial" w:hint="eastAsia"/>
          <w:color w:val="000000" w:themeColor="text1"/>
          <w:sz w:val="21"/>
          <w:szCs w:val="21"/>
        </w:rPr>
        <w:t>2020</w:t>
      </w:r>
      <w:r w:rsidRPr="007B4794">
        <w:rPr>
          <w:rFonts w:ascii="Arial" w:hAnsi="Arial" w:cs="Arial" w:hint="eastAsia"/>
          <w:color w:val="000000" w:themeColor="text1"/>
          <w:sz w:val="21"/>
          <w:szCs w:val="21"/>
        </w:rPr>
        <w:t>年</w:t>
      </w:r>
      <w:r w:rsidR="007458B6" w:rsidRPr="007B4794">
        <w:rPr>
          <w:rFonts w:ascii="Arial" w:hAnsi="Arial" w:cs="Arial" w:hint="eastAsia"/>
          <w:color w:val="000000" w:themeColor="text1"/>
          <w:sz w:val="21"/>
          <w:szCs w:val="21"/>
        </w:rPr>
        <w:t>10</w:t>
      </w:r>
      <w:r w:rsidRPr="007B4794">
        <w:rPr>
          <w:rFonts w:ascii="Arial" w:hAnsi="Arial" w:cs="Arial" w:hint="eastAsia"/>
          <w:color w:val="000000" w:themeColor="text1"/>
          <w:sz w:val="21"/>
          <w:szCs w:val="21"/>
        </w:rPr>
        <w:t>月</w:t>
      </w:r>
      <w:r w:rsidR="007458B6" w:rsidRPr="007B4794">
        <w:rPr>
          <w:rFonts w:ascii="Arial" w:hAnsi="Arial" w:cs="Arial" w:hint="eastAsia"/>
          <w:color w:val="000000" w:themeColor="text1"/>
          <w:sz w:val="21"/>
          <w:szCs w:val="21"/>
        </w:rPr>
        <w:t>台商投资区销售价格呈波动</w:t>
      </w:r>
      <w:proofErr w:type="gramStart"/>
      <w:r w:rsidR="007458B6" w:rsidRPr="007B4794">
        <w:rPr>
          <w:rFonts w:ascii="Arial" w:hAnsi="Arial" w:cs="Arial" w:hint="eastAsia"/>
          <w:color w:val="000000" w:themeColor="text1"/>
          <w:sz w:val="21"/>
          <w:szCs w:val="21"/>
        </w:rPr>
        <w:t>式</w:t>
      </w:r>
      <w:r w:rsidRPr="007B4794">
        <w:rPr>
          <w:rFonts w:ascii="Arial" w:hAnsi="Arial" w:cs="Arial" w:hint="eastAsia"/>
          <w:color w:val="000000" w:themeColor="text1"/>
          <w:sz w:val="21"/>
          <w:szCs w:val="21"/>
        </w:rPr>
        <w:t>持续</w:t>
      </w:r>
      <w:proofErr w:type="gramEnd"/>
      <w:r w:rsidRPr="007B4794">
        <w:rPr>
          <w:rFonts w:ascii="Arial" w:hAnsi="Arial" w:cs="Arial" w:hint="eastAsia"/>
          <w:color w:val="000000" w:themeColor="text1"/>
          <w:sz w:val="21"/>
          <w:szCs w:val="21"/>
        </w:rPr>
        <w:t>增长，</w:t>
      </w:r>
      <w:r w:rsidR="007458B6" w:rsidRPr="007B4794">
        <w:rPr>
          <w:rFonts w:ascii="Arial" w:hAnsi="Arial" w:cs="Arial" w:hint="eastAsia"/>
          <w:color w:val="000000" w:themeColor="text1"/>
          <w:sz w:val="21"/>
          <w:szCs w:val="21"/>
        </w:rPr>
        <w:t>2019</w:t>
      </w:r>
      <w:r w:rsidR="007458B6" w:rsidRPr="007B4794">
        <w:rPr>
          <w:rFonts w:ascii="Arial" w:hAnsi="Arial" w:cs="Arial" w:hint="eastAsia"/>
          <w:color w:val="000000" w:themeColor="text1"/>
          <w:sz w:val="21"/>
          <w:szCs w:val="21"/>
        </w:rPr>
        <w:t>年</w:t>
      </w:r>
      <w:r w:rsidR="007458B6" w:rsidRPr="007B4794">
        <w:rPr>
          <w:rFonts w:ascii="Arial" w:hAnsi="Arial" w:cs="Arial" w:hint="eastAsia"/>
          <w:color w:val="000000" w:themeColor="text1"/>
          <w:sz w:val="21"/>
          <w:szCs w:val="21"/>
        </w:rPr>
        <w:t>1-4</w:t>
      </w:r>
      <w:r w:rsidR="007458B6" w:rsidRPr="007B4794">
        <w:rPr>
          <w:rFonts w:ascii="Arial" w:hAnsi="Arial" w:cs="Arial" w:hint="eastAsia"/>
          <w:color w:val="000000" w:themeColor="text1"/>
          <w:sz w:val="21"/>
          <w:szCs w:val="21"/>
        </w:rPr>
        <w:t>月小幅度上涨后开始持续下降，</w:t>
      </w:r>
      <w:r w:rsidR="007458B6" w:rsidRPr="007B4794">
        <w:rPr>
          <w:rFonts w:ascii="Arial" w:hAnsi="Arial" w:cs="Arial" w:hint="eastAsia"/>
          <w:color w:val="000000" w:themeColor="text1"/>
          <w:sz w:val="21"/>
          <w:szCs w:val="21"/>
        </w:rPr>
        <w:t>2019</w:t>
      </w:r>
      <w:r w:rsidR="007458B6" w:rsidRPr="007B4794">
        <w:rPr>
          <w:rFonts w:ascii="Arial" w:hAnsi="Arial" w:cs="Arial" w:hint="eastAsia"/>
          <w:color w:val="000000" w:themeColor="text1"/>
          <w:sz w:val="21"/>
          <w:szCs w:val="21"/>
        </w:rPr>
        <w:t>年</w:t>
      </w:r>
      <w:r w:rsidR="007458B6" w:rsidRPr="007B4794">
        <w:rPr>
          <w:rFonts w:ascii="Arial" w:hAnsi="Arial" w:cs="Arial" w:hint="eastAsia"/>
          <w:color w:val="000000" w:themeColor="text1"/>
          <w:sz w:val="21"/>
          <w:szCs w:val="21"/>
        </w:rPr>
        <w:t>8</w:t>
      </w:r>
      <w:r w:rsidR="007458B6" w:rsidRPr="007B4794">
        <w:rPr>
          <w:rFonts w:ascii="Arial" w:hAnsi="Arial" w:cs="Arial" w:hint="eastAsia"/>
          <w:color w:val="000000" w:themeColor="text1"/>
          <w:sz w:val="21"/>
          <w:szCs w:val="21"/>
        </w:rPr>
        <w:t>月价格最低为</w:t>
      </w:r>
      <w:r w:rsidR="007458B6" w:rsidRPr="007B4794">
        <w:rPr>
          <w:rFonts w:ascii="Arial" w:hAnsi="Arial" w:cs="Arial" w:hint="eastAsia"/>
          <w:color w:val="000000" w:themeColor="text1"/>
          <w:sz w:val="21"/>
          <w:szCs w:val="21"/>
        </w:rPr>
        <w:t>16500</w:t>
      </w:r>
      <w:r w:rsidR="007458B6" w:rsidRPr="007B4794">
        <w:rPr>
          <w:rFonts w:ascii="Arial" w:hAnsi="Arial" w:cs="Arial" w:hint="eastAsia"/>
          <w:color w:val="000000" w:themeColor="text1"/>
          <w:sz w:val="21"/>
          <w:szCs w:val="21"/>
        </w:rPr>
        <w:t>元</w:t>
      </w:r>
      <w:r w:rsidR="007458B6" w:rsidRPr="007B4794">
        <w:rPr>
          <w:rFonts w:ascii="Arial" w:hAnsi="Arial" w:cs="Arial" w:hint="eastAsia"/>
          <w:color w:val="000000" w:themeColor="text1"/>
          <w:sz w:val="21"/>
          <w:szCs w:val="21"/>
        </w:rPr>
        <w:t>/</w:t>
      </w:r>
      <w:r w:rsidR="007458B6" w:rsidRPr="007B4794">
        <w:rPr>
          <w:rFonts w:ascii="Arial" w:hAnsi="Arial" w:cs="Arial" w:hint="eastAsia"/>
          <w:color w:val="000000" w:themeColor="text1"/>
          <w:sz w:val="21"/>
          <w:szCs w:val="21"/>
        </w:rPr>
        <w:t>平方米，</w:t>
      </w:r>
      <w:r w:rsidR="007458B6" w:rsidRPr="007B4794">
        <w:rPr>
          <w:rFonts w:ascii="Arial" w:hAnsi="Arial" w:cs="Arial" w:hint="eastAsia"/>
          <w:color w:val="000000" w:themeColor="text1"/>
          <w:sz w:val="21"/>
          <w:szCs w:val="21"/>
        </w:rPr>
        <w:t>2019</w:t>
      </w:r>
      <w:r w:rsidR="007458B6" w:rsidRPr="007B4794">
        <w:rPr>
          <w:rFonts w:ascii="Arial" w:hAnsi="Arial" w:cs="Arial" w:hint="eastAsia"/>
          <w:color w:val="000000" w:themeColor="text1"/>
          <w:sz w:val="21"/>
          <w:szCs w:val="21"/>
        </w:rPr>
        <w:t>年</w:t>
      </w:r>
      <w:r w:rsidR="007458B6" w:rsidRPr="007B4794">
        <w:rPr>
          <w:rFonts w:ascii="Arial" w:hAnsi="Arial" w:cs="Arial" w:hint="eastAsia"/>
          <w:color w:val="000000" w:themeColor="text1"/>
          <w:sz w:val="21"/>
          <w:szCs w:val="21"/>
        </w:rPr>
        <w:t>9</w:t>
      </w:r>
      <w:r w:rsidR="007458B6" w:rsidRPr="007B4794">
        <w:rPr>
          <w:rFonts w:ascii="Arial" w:hAnsi="Arial" w:cs="Arial" w:hint="eastAsia"/>
          <w:color w:val="000000" w:themeColor="text1"/>
          <w:sz w:val="21"/>
          <w:szCs w:val="21"/>
        </w:rPr>
        <w:t>月开始缓慢回升</w:t>
      </w:r>
      <w:r w:rsidRPr="007B4794">
        <w:rPr>
          <w:rFonts w:ascii="Arial" w:hAnsi="Arial" w:cs="Arial" w:hint="eastAsia"/>
          <w:color w:val="000000" w:themeColor="text1"/>
          <w:sz w:val="21"/>
          <w:szCs w:val="21"/>
        </w:rPr>
        <w:t>平均单价由</w:t>
      </w:r>
      <w:r w:rsidRPr="007B4794">
        <w:rPr>
          <w:rFonts w:ascii="Arial" w:hAnsi="Arial" w:cs="Arial" w:hint="eastAsia"/>
          <w:color w:val="000000" w:themeColor="text1"/>
          <w:sz w:val="21"/>
          <w:szCs w:val="21"/>
        </w:rPr>
        <w:t>1</w:t>
      </w:r>
      <w:r w:rsidR="007458B6" w:rsidRPr="007B4794">
        <w:rPr>
          <w:rFonts w:ascii="Arial" w:hAnsi="Arial" w:cs="Arial" w:hint="eastAsia"/>
          <w:color w:val="000000" w:themeColor="text1"/>
          <w:sz w:val="21"/>
          <w:szCs w:val="21"/>
        </w:rPr>
        <w:t>6714</w:t>
      </w:r>
      <w:r w:rsidRPr="007B4794">
        <w:rPr>
          <w:rFonts w:ascii="Arial" w:hAnsi="Arial" w:cs="Arial"/>
          <w:color w:val="000000" w:themeColor="text1"/>
          <w:sz w:val="21"/>
          <w:szCs w:val="21"/>
        </w:rPr>
        <w:t>元</w:t>
      </w:r>
      <w:r w:rsidRPr="007B4794">
        <w:rPr>
          <w:rFonts w:ascii="Arial" w:hAnsi="Arial" w:cs="Arial"/>
          <w:color w:val="000000" w:themeColor="text1"/>
          <w:sz w:val="21"/>
          <w:szCs w:val="21"/>
        </w:rPr>
        <w:t>/</w:t>
      </w:r>
      <w:r w:rsidRPr="007B4794">
        <w:rPr>
          <w:rFonts w:ascii="Arial" w:hAnsi="Arial" w:cs="Arial"/>
          <w:color w:val="000000" w:themeColor="text1"/>
          <w:sz w:val="21"/>
          <w:szCs w:val="21"/>
        </w:rPr>
        <w:t>㎡</w:t>
      </w:r>
      <w:r w:rsidRPr="007B4794">
        <w:rPr>
          <w:rFonts w:ascii="Arial" w:hAnsi="Arial" w:cs="Arial" w:hint="eastAsia"/>
          <w:color w:val="000000" w:themeColor="text1"/>
          <w:sz w:val="21"/>
          <w:szCs w:val="21"/>
        </w:rPr>
        <w:t>上涨至</w:t>
      </w:r>
      <w:r w:rsidR="007458B6" w:rsidRPr="007B4794">
        <w:rPr>
          <w:rFonts w:ascii="Arial" w:hAnsi="Arial" w:cs="Arial" w:hint="eastAsia"/>
          <w:color w:val="000000" w:themeColor="text1"/>
          <w:sz w:val="21"/>
          <w:szCs w:val="21"/>
        </w:rPr>
        <w:t>17600</w:t>
      </w:r>
      <w:r w:rsidRPr="007B4794">
        <w:rPr>
          <w:rFonts w:ascii="Arial" w:hAnsi="Arial" w:cs="Arial"/>
          <w:color w:val="000000" w:themeColor="text1"/>
          <w:sz w:val="21"/>
          <w:szCs w:val="21"/>
        </w:rPr>
        <w:t>元</w:t>
      </w:r>
      <w:r w:rsidRPr="007B4794">
        <w:rPr>
          <w:rFonts w:ascii="Arial" w:hAnsi="Arial" w:cs="Arial"/>
          <w:color w:val="000000" w:themeColor="text1"/>
          <w:sz w:val="21"/>
          <w:szCs w:val="21"/>
        </w:rPr>
        <w:t>/</w:t>
      </w:r>
      <w:r w:rsidRPr="007B4794">
        <w:rPr>
          <w:rFonts w:ascii="Arial" w:hAnsi="Arial" w:cs="Arial"/>
          <w:color w:val="000000" w:themeColor="text1"/>
          <w:sz w:val="21"/>
          <w:szCs w:val="21"/>
        </w:rPr>
        <w:t>㎡</w:t>
      </w:r>
      <w:r w:rsidRPr="007B4794">
        <w:rPr>
          <w:rFonts w:ascii="Arial" w:hAnsi="Arial" w:cs="Arial" w:hint="eastAsia"/>
          <w:color w:val="000000" w:themeColor="text1"/>
          <w:sz w:val="21"/>
          <w:szCs w:val="21"/>
        </w:rPr>
        <w:t>；受疫情影响，</w:t>
      </w:r>
      <w:r w:rsidRPr="007B4794">
        <w:rPr>
          <w:rFonts w:ascii="Arial" w:hAnsi="Arial" w:cs="Arial" w:hint="eastAsia"/>
          <w:color w:val="000000" w:themeColor="text1"/>
          <w:sz w:val="21"/>
          <w:szCs w:val="21"/>
        </w:rPr>
        <w:t>2020</w:t>
      </w:r>
      <w:r w:rsidRPr="007B4794">
        <w:rPr>
          <w:rFonts w:ascii="Arial" w:hAnsi="Arial" w:cs="Arial" w:hint="eastAsia"/>
          <w:color w:val="000000" w:themeColor="text1"/>
          <w:sz w:val="21"/>
          <w:szCs w:val="21"/>
        </w:rPr>
        <w:t>年</w:t>
      </w:r>
      <w:r w:rsidRPr="007B4794">
        <w:rPr>
          <w:rFonts w:ascii="Arial" w:hAnsi="Arial" w:cs="Arial" w:hint="eastAsia"/>
          <w:color w:val="000000" w:themeColor="text1"/>
          <w:sz w:val="21"/>
          <w:szCs w:val="21"/>
        </w:rPr>
        <w:t>3</w:t>
      </w:r>
      <w:r w:rsidRPr="007B4794">
        <w:rPr>
          <w:rFonts w:ascii="Arial" w:hAnsi="Arial" w:cs="Arial" w:hint="eastAsia"/>
          <w:color w:val="000000" w:themeColor="text1"/>
          <w:sz w:val="21"/>
          <w:szCs w:val="21"/>
        </w:rPr>
        <w:t>月漳州市新楼盘单价出现小幅度下降，</w:t>
      </w:r>
      <w:r w:rsidR="007458B6" w:rsidRPr="007B4794">
        <w:rPr>
          <w:rFonts w:ascii="Arial" w:hAnsi="Arial" w:cs="Arial" w:hint="eastAsia"/>
          <w:color w:val="000000" w:themeColor="text1"/>
          <w:sz w:val="21"/>
          <w:szCs w:val="21"/>
        </w:rPr>
        <w:t>随着市场逐渐稳定，</w:t>
      </w:r>
      <w:r w:rsidRPr="007B4794">
        <w:rPr>
          <w:rFonts w:ascii="Arial" w:hAnsi="Arial" w:cs="Arial" w:hint="eastAsia"/>
          <w:color w:val="000000" w:themeColor="text1"/>
          <w:sz w:val="21"/>
          <w:szCs w:val="21"/>
        </w:rPr>
        <w:t>平均单价</w:t>
      </w:r>
      <w:r w:rsidR="007458B6" w:rsidRPr="007B4794">
        <w:rPr>
          <w:rFonts w:ascii="Arial" w:hAnsi="Arial" w:cs="Arial" w:hint="eastAsia"/>
          <w:color w:val="000000" w:themeColor="text1"/>
          <w:sz w:val="21"/>
          <w:szCs w:val="21"/>
        </w:rPr>
        <w:t>于</w:t>
      </w:r>
      <w:r w:rsidR="007458B6" w:rsidRPr="007B4794">
        <w:rPr>
          <w:rFonts w:ascii="Arial" w:hAnsi="Arial" w:cs="Arial" w:hint="eastAsia"/>
          <w:color w:val="000000" w:themeColor="text1"/>
          <w:sz w:val="21"/>
          <w:szCs w:val="21"/>
        </w:rPr>
        <w:t>2020</w:t>
      </w:r>
      <w:r w:rsidR="007458B6" w:rsidRPr="007B4794">
        <w:rPr>
          <w:rFonts w:ascii="Arial" w:hAnsi="Arial" w:cs="Arial" w:hint="eastAsia"/>
          <w:color w:val="000000" w:themeColor="text1"/>
          <w:sz w:val="21"/>
          <w:szCs w:val="21"/>
        </w:rPr>
        <w:t>年</w:t>
      </w:r>
      <w:r w:rsidR="007458B6" w:rsidRPr="007B4794">
        <w:rPr>
          <w:rFonts w:ascii="Arial" w:hAnsi="Arial" w:cs="Arial" w:hint="eastAsia"/>
          <w:color w:val="000000" w:themeColor="text1"/>
          <w:sz w:val="21"/>
          <w:szCs w:val="21"/>
        </w:rPr>
        <w:t>10</w:t>
      </w:r>
      <w:r w:rsidR="007458B6" w:rsidRPr="007B4794">
        <w:rPr>
          <w:rFonts w:ascii="Arial" w:hAnsi="Arial" w:cs="Arial" w:hint="eastAsia"/>
          <w:color w:val="000000" w:themeColor="text1"/>
          <w:sz w:val="21"/>
          <w:szCs w:val="21"/>
        </w:rPr>
        <w:t>月回升到</w:t>
      </w:r>
      <w:r w:rsidR="007458B6" w:rsidRPr="007B4794">
        <w:rPr>
          <w:rFonts w:ascii="Arial" w:hAnsi="Arial" w:cs="Arial" w:hint="eastAsia"/>
          <w:color w:val="000000" w:themeColor="text1"/>
          <w:sz w:val="21"/>
          <w:szCs w:val="21"/>
        </w:rPr>
        <w:t>17611</w:t>
      </w:r>
      <w:r w:rsidRPr="007B4794">
        <w:rPr>
          <w:rFonts w:ascii="Arial" w:hAnsi="Arial" w:cs="Arial"/>
          <w:color w:val="000000" w:themeColor="text1"/>
          <w:sz w:val="21"/>
          <w:szCs w:val="21"/>
        </w:rPr>
        <w:t>元</w:t>
      </w:r>
      <w:r w:rsidRPr="007B4794">
        <w:rPr>
          <w:rFonts w:ascii="Arial" w:hAnsi="Arial" w:cs="Arial"/>
          <w:color w:val="000000" w:themeColor="text1"/>
          <w:sz w:val="21"/>
          <w:szCs w:val="21"/>
        </w:rPr>
        <w:t>/</w:t>
      </w:r>
      <w:r w:rsidRPr="007B4794">
        <w:rPr>
          <w:rFonts w:ascii="Arial" w:hAnsi="Arial" w:cs="Arial"/>
          <w:color w:val="000000" w:themeColor="text1"/>
          <w:sz w:val="21"/>
          <w:szCs w:val="21"/>
        </w:rPr>
        <w:t>㎡</w:t>
      </w:r>
      <w:r w:rsidRPr="007B4794">
        <w:rPr>
          <w:rFonts w:ascii="Arial" w:hAnsi="Arial" w:cs="Arial" w:hint="eastAsia"/>
          <w:color w:val="000000" w:themeColor="text1"/>
          <w:sz w:val="21"/>
          <w:szCs w:val="21"/>
        </w:rPr>
        <w:t>水平。</w:t>
      </w:r>
    </w:p>
    <w:p w14:paraId="6B4F5BD4" w14:textId="77777777" w:rsidR="00074032" w:rsidRPr="00074032" w:rsidRDefault="00074032" w:rsidP="00074032">
      <w:pPr>
        <w:widowControl w:val="0"/>
        <w:adjustRightInd w:val="0"/>
        <w:snapToGrid w:val="0"/>
        <w:spacing w:line="480" w:lineRule="auto"/>
        <w:ind w:firstLineChars="200" w:firstLine="420"/>
        <w:jc w:val="both"/>
        <w:rPr>
          <w:rFonts w:ascii="华文楷体" w:eastAsia="华文楷体" w:hAnsi="华文楷体" w:cs="Arial"/>
          <w:color w:val="000000" w:themeColor="text1"/>
          <w:sz w:val="21"/>
          <w:szCs w:val="21"/>
        </w:rPr>
      </w:pPr>
      <w:r w:rsidRPr="00074032">
        <w:rPr>
          <w:rFonts w:ascii="华文楷体" w:eastAsia="华文楷体" w:hAnsi="华文楷体" w:cs="Arial" w:hint="eastAsia"/>
          <w:color w:val="000000" w:themeColor="text1"/>
          <w:sz w:val="21"/>
          <w:szCs w:val="21"/>
        </w:rPr>
        <w:t>（转下页）</w:t>
      </w:r>
    </w:p>
    <w:p w14:paraId="4BFAB06E" w14:textId="77777777" w:rsidR="00074032" w:rsidRPr="007B4794" w:rsidRDefault="00074032" w:rsidP="002F6849">
      <w:pPr>
        <w:widowControl w:val="0"/>
        <w:adjustRightInd w:val="0"/>
        <w:snapToGrid w:val="0"/>
        <w:spacing w:line="480" w:lineRule="auto"/>
        <w:ind w:firstLineChars="200" w:firstLine="420"/>
        <w:jc w:val="both"/>
        <w:rPr>
          <w:rFonts w:ascii="Arial" w:hAnsi="Arial" w:cs="Arial"/>
          <w:color w:val="000000" w:themeColor="text1"/>
          <w:sz w:val="21"/>
          <w:szCs w:val="21"/>
        </w:rPr>
      </w:pPr>
    </w:p>
    <w:p w14:paraId="1462B2AF" w14:textId="6583D6B3" w:rsidR="002F6849" w:rsidRPr="007B4794" w:rsidRDefault="002F6849" w:rsidP="002F6849">
      <w:pPr>
        <w:widowControl w:val="0"/>
        <w:adjustRightInd w:val="0"/>
        <w:snapToGrid w:val="0"/>
        <w:spacing w:line="480" w:lineRule="auto"/>
        <w:jc w:val="both"/>
        <w:rPr>
          <w:rFonts w:ascii="Arial" w:hAnsi="Arial" w:cs="Arial"/>
          <w:color w:val="000000" w:themeColor="text1"/>
          <w:sz w:val="21"/>
          <w:szCs w:val="21"/>
        </w:rPr>
      </w:pPr>
      <w:r w:rsidRPr="007B4794">
        <w:rPr>
          <w:noProof/>
          <w:color w:val="000000" w:themeColor="text1"/>
        </w:rPr>
        <w:lastRenderedPageBreak/>
        <w:drawing>
          <wp:inline distT="0" distB="0" distL="0" distR="0" wp14:anchorId="0DD077E8" wp14:editId="6B465BAC">
            <wp:extent cx="5943600" cy="2809875"/>
            <wp:effectExtent l="0" t="0" r="19050" b="9525"/>
            <wp:docPr id="5175" name="图表 5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96DA570" w14:textId="77777777" w:rsidR="002F6849" w:rsidRPr="007B4794" w:rsidRDefault="002F6849" w:rsidP="002F6849">
      <w:pPr>
        <w:widowControl w:val="0"/>
        <w:adjustRightInd w:val="0"/>
        <w:snapToGrid w:val="0"/>
        <w:spacing w:line="480" w:lineRule="auto"/>
        <w:ind w:firstLineChars="200" w:firstLine="300"/>
        <w:rPr>
          <w:rFonts w:ascii="Arial" w:eastAsia="华文细黑" w:hAnsi="Arial" w:cs="Arial"/>
          <w:color w:val="000000" w:themeColor="text1"/>
          <w:sz w:val="15"/>
          <w:szCs w:val="15"/>
        </w:rPr>
      </w:pPr>
      <w:r w:rsidRPr="007B4794">
        <w:rPr>
          <w:rFonts w:ascii="华文细黑" w:eastAsia="华文细黑" w:hAnsi="华文细黑" w:cs="Arial" w:hint="eastAsia"/>
          <w:color w:val="000000" w:themeColor="text1"/>
          <w:sz w:val="15"/>
          <w:szCs w:val="15"/>
        </w:rPr>
        <w:t>资料来源：</w:t>
      </w:r>
      <w:r w:rsidRPr="007B4794">
        <w:rPr>
          <w:rFonts w:ascii="Arial" w:eastAsia="华文细黑" w:hAnsi="Arial" w:cs="Arial" w:hint="eastAsia"/>
          <w:color w:val="000000" w:themeColor="text1"/>
          <w:sz w:val="15"/>
          <w:szCs w:val="15"/>
        </w:rPr>
        <w:t>中国房价行情网</w:t>
      </w:r>
    </w:p>
    <w:p w14:paraId="76095296" w14:textId="77777777" w:rsidR="0041327D" w:rsidRPr="007B4794" w:rsidRDefault="0041327D" w:rsidP="002F6849">
      <w:pPr>
        <w:widowControl w:val="0"/>
        <w:adjustRightInd w:val="0"/>
        <w:snapToGrid w:val="0"/>
        <w:spacing w:line="480" w:lineRule="auto"/>
        <w:ind w:firstLineChars="200" w:firstLine="300"/>
        <w:rPr>
          <w:rFonts w:ascii="华文细黑" w:eastAsia="华文细黑" w:hAnsi="华文细黑" w:cs="Arial"/>
          <w:color w:val="000000" w:themeColor="text1"/>
          <w:sz w:val="15"/>
          <w:szCs w:val="15"/>
        </w:rPr>
      </w:pPr>
    </w:p>
    <w:p w14:paraId="65950337" w14:textId="03059E2B" w:rsidR="002C2588" w:rsidRPr="007B4794" w:rsidRDefault="004562EA" w:rsidP="00B6400D">
      <w:pPr>
        <w:pStyle w:val="2"/>
        <w:tabs>
          <w:tab w:val="left" w:pos="5220"/>
        </w:tabs>
        <w:spacing w:before="0" w:after="0" w:line="480" w:lineRule="auto"/>
        <w:ind w:firstLineChars="98" w:firstLine="207"/>
        <w:jc w:val="both"/>
        <w:rPr>
          <w:rFonts w:eastAsia="宋体" w:cs="Arial"/>
          <w:color w:val="000000" w:themeColor="text1"/>
          <w:sz w:val="21"/>
          <w:szCs w:val="21"/>
        </w:rPr>
      </w:pPr>
      <w:bookmarkStart w:id="75" w:name="_Toc54016598"/>
      <w:r w:rsidRPr="007B4794">
        <w:rPr>
          <w:rFonts w:eastAsia="宋体" w:cs="Arial" w:hint="eastAsia"/>
          <w:color w:val="000000" w:themeColor="text1"/>
          <w:sz w:val="21"/>
          <w:szCs w:val="21"/>
        </w:rPr>
        <w:t>五</w:t>
      </w:r>
      <w:r w:rsidR="00B6400D" w:rsidRPr="007B4794">
        <w:rPr>
          <w:rFonts w:eastAsia="宋体" w:cs="Arial" w:hint="eastAsia"/>
          <w:color w:val="000000" w:themeColor="text1"/>
          <w:sz w:val="21"/>
          <w:szCs w:val="21"/>
        </w:rPr>
        <w:t>、</w:t>
      </w:r>
      <w:bookmarkStart w:id="76" w:name="_Hlk32681897"/>
      <w:bookmarkEnd w:id="76"/>
      <w:r w:rsidR="00831F2C" w:rsidRPr="007B4794">
        <w:rPr>
          <w:rFonts w:eastAsia="宋体" w:cs="Arial" w:hint="eastAsia"/>
          <w:color w:val="000000" w:themeColor="text1"/>
          <w:sz w:val="21"/>
          <w:szCs w:val="21"/>
        </w:rPr>
        <w:t>项目周边部分在售居住项目分析</w:t>
      </w:r>
      <w:bookmarkEnd w:id="75"/>
    </w:p>
    <w:p w14:paraId="08BD913E" w14:textId="1184C813" w:rsidR="00C65E4A" w:rsidRPr="007B4794" w:rsidRDefault="00C65E4A" w:rsidP="00E0520F">
      <w:pPr>
        <w:widowControl w:val="0"/>
        <w:tabs>
          <w:tab w:val="left" w:pos="567"/>
        </w:tabs>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通过对项目周边住宅市场调研分析，所在区域高层</w:t>
      </w:r>
      <w:r w:rsidR="00291B84" w:rsidRPr="007B4794">
        <w:rPr>
          <w:rFonts w:ascii="Arial" w:hAnsi="Arial" w:cs="Arial" w:hint="eastAsia"/>
          <w:color w:val="000000" w:themeColor="text1"/>
          <w:sz w:val="21"/>
          <w:szCs w:val="21"/>
        </w:rPr>
        <w:t>住宅</w:t>
      </w:r>
      <w:r w:rsidRPr="007B4794">
        <w:rPr>
          <w:rFonts w:ascii="Arial" w:hAnsi="Arial" w:cs="Arial" w:hint="eastAsia"/>
          <w:color w:val="000000" w:themeColor="text1"/>
          <w:sz w:val="21"/>
          <w:szCs w:val="21"/>
        </w:rPr>
        <w:t>产品售价水平在</w:t>
      </w:r>
      <w:r w:rsidR="00CC2F79" w:rsidRPr="007B4794">
        <w:rPr>
          <w:rFonts w:ascii="Arial" w:hAnsi="Arial" w:cs="Arial" w:hint="eastAsia"/>
          <w:color w:val="000000" w:themeColor="text1"/>
          <w:sz w:val="21"/>
          <w:szCs w:val="21"/>
        </w:rPr>
        <w:t>1</w:t>
      </w:r>
      <w:r w:rsidR="00291B84" w:rsidRPr="007B4794">
        <w:rPr>
          <w:rFonts w:ascii="Arial" w:hAnsi="Arial" w:cs="Arial" w:hint="eastAsia"/>
          <w:color w:val="000000" w:themeColor="text1"/>
          <w:sz w:val="21"/>
          <w:szCs w:val="21"/>
        </w:rPr>
        <w:t>6</w:t>
      </w:r>
      <w:r w:rsidR="00CC2F79" w:rsidRPr="007B4794">
        <w:rPr>
          <w:rFonts w:ascii="Arial" w:hAnsi="Arial" w:cs="Arial" w:hint="eastAsia"/>
          <w:color w:val="000000" w:themeColor="text1"/>
          <w:sz w:val="21"/>
          <w:szCs w:val="21"/>
        </w:rPr>
        <w:t>000-</w:t>
      </w:r>
      <w:r w:rsidR="00291B84" w:rsidRPr="007B4794">
        <w:rPr>
          <w:rFonts w:ascii="Arial" w:hAnsi="Arial" w:cs="Arial" w:hint="eastAsia"/>
          <w:color w:val="000000" w:themeColor="text1"/>
          <w:sz w:val="21"/>
          <w:szCs w:val="21"/>
        </w:rPr>
        <w:t>18</w:t>
      </w:r>
      <w:r w:rsidR="00CC2F79" w:rsidRPr="007B4794">
        <w:rPr>
          <w:rFonts w:ascii="Arial" w:hAnsi="Arial" w:cs="Arial" w:hint="eastAsia"/>
          <w:color w:val="000000" w:themeColor="text1"/>
          <w:sz w:val="21"/>
          <w:szCs w:val="21"/>
        </w:rPr>
        <w:t>000</w:t>
      </w:r>
      <w:r w:rsidRPr="007B4794">
        <w:rPr>
          <w:rFonts w:ascii="Arial" w:hAnsi="Arial" w:cs="Arial" w:hint="eastAsia"/>
          <w:color w:val="000000" w:themeColor="text1"/>
          <w:sz w:val="21"/>
          <w:szCs w:val="21"/>
        </w:rPr>
        <w:t>元</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平方米，本案</w:t>
      </w:r>
      <w:r w:rsidR="00CC2F79" w:rsidRPr="007B4794">
        <w:rPr>
          <w:rFonts w:ascii="Arial" w:hAnsi="Arial" w:cs="Arial" w:hint="eastAsia"/>
          <w:color w:val="000000" w:themeColor="text1"/>
          <w:sz w:val="21"/>
          <w:szCs w:val="21"/>
        </w:rPr>
        <w:t>东、</w:t>
      </w:r>
      <w:r w:rsidRPr="007B4794">
        <w:rPr>
          <w:rFonts w:ascii="Arial" w:hAnsi="Arial" w:cs="Arial" w:hint="eastAsia"/>
          <w:color w:val="000000" w:themeColor="text1"/>
          <w:sz w:val="21"/>
          <w:szCs w:val="21"/>
        </w:rPr>
        <w:t>南</w:t>
      </w:r>
      <w:r w:rsidR="00D2037C" w:rsidRPr="007B4794">
        <w:rPr>
          <w:rFonts w:ascii="Arial" w:hAnsi="Arial" w:cs="Arial" w:hint="eastAsia"/>
          <w:color w:val="000000" w:themeColor="text1"/>
          <w:sz w:val="21"/>
          <w:szCs w:val="21"/>
        </w:rPr>
        <w:t>方向</w:t>
      </w:r>
      <w:r w:rsidRPr="007B4794">
        <w:rPr>
          <w:rFonts w:ascii="Arial" w:hAnsi="Arial" w:cs="Arial" w:hint="eastAsia"/>
          <w:color w:val="000000" w:themeColor="text1"/>
          <w:sz w:val="21"/>
          <w:szCs w:val="21"/>
        </w:rPr>
        <w:t>项目价格因区域配套更为成熟</w:t>
      </w:r>
      <w:r w:rsidR="0082063E" w:rsidRPr="007B4794">
        <w:rPr>
          <w:rFonts w:ascii="Arial" w:hAnsi="Arial" w:cs="Arial" w:hint="eastAsia"/>
          <w:color w:val="000000" w:themeColor="text1"/>
          <w:sz w:val="21"/>
          <w:szCs w:val="21"/>
        </w:rPr>
        <w:t>。</w:t>
      </w:r>
    </w:p>
    <w:p w14:paraId="5CDCBA95" w14:textId="6712B2B5" w:rsidR="00D2037C" w:rsidRPr="007B4794" w:rsidRDefault="0041327D" w:rsidP="00E0520F">
      <w:pPr>
        <w:widowControl w:val="0"/>
        <w:tabs>
          <w:tab w:val="left" w:pos="567"/>
        </w:tabs>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项目北侧奥园悦鹭云境项目预计于</w:t>
      </w:r>
      <w:r w:rsidRPr="007B4794">
        <w:rPr>
          <w:rFonts w:ascii="Arial" w:hAnsi="Arial" w:cs="Arial" w:hint="eastAsia"/>
          <w:color w:val="000000" w:themeColor="text1"/>
          <w:sz w:val="21"/>
          <w:szCs w:val="21"/>
        </w:rPr>
        <w:t>11</w:t>
      </w:r>
      <w:r w:rsidRPr="007B4794">
        <w:rPr>
          <w:rFonts w:ascii="Arial" w:hAnsi="Arial" w:cs="Arial" w:hint="eastAsia"/>
          <w:color w:val="000000" w:themeColor="text1"/>
          <w:sz w:val="21"/>
          <w:szCs w:val="21"/>
        </w:rPr>
        <w:t>月</w:t>
      </w:r>
      <w:r w:rsidRPr="007B4794">
        <w:rPr>
          <w:rFonts w:ascii="Arial" w:hAnsi="Arial" w:cs="Arial" w:hint="eastAsia"/>
          <w:color w:val="000000" w:themeColor="text1"/>
          <w:sz w:val="21"/>
          <w:szCs w:val="21"/>
        </w:rPr>
        <w:t>28</w:t>
      </w:r>
      <w:r w:rsidRPr="007B4794">
        <w:rPr>
          <w:rFonts w:ascii="Arial" w:hAnsi="Arial" w:cs="Arial" w:hint="eastAsia"/>
          <w:color w:val="000000" w:themeColor="text1"/>
          <w:sz w:val="21"/>
          <w:szCs w:val="21"/>
        </w:rPr>
        <w:t>日正式开盘，主推户型有</w:t>
      </w:r>
      <w:r w:rsidRPr="007B4794">
        <w:rPr>
          <w:rFonts w:ascii="Arial" w:hAnsi="Arial" w:cs="Arial" w:hint="eastAsia"/>
          <w:color w:val="000000" w:themeColor="text1"/>
          <w:sz w:val="21"/>
          <w:szCs w:val="21"/>
        </w:rPr>
        <w:t>88</w:t>
      </w:r>
      <w:r w:rsidRPr="007B4794">
        <w:rPr>
          <w:rFonts w:ascii="Arial" w:hAnsi="Arial" w:cs="Arial" w:hint="eastAsia"/>
          <w:color w:val="000000" w:themeColor="text1"/>
          <w:sz w:val="21"/>
          <w:szCs w:val="21"/>
        </w:rPr>
        <w:t>平方米的毛坯复式住宅，售价为</w:t>
      </w:r>
      <w:r w:rsidRPr="007B4794">
        <w:rPr>
          <w:rFonts w:ascii="Arial" w:hAnsi="Arial" w:cs="Arial" w:hint="eastAsia"/>
          <w:color w:val="000000" w:themeColor="text1"/>
          <w:sz w:val="21"/>
          <w:szCs w:val="21"/>
        </w:rPr>
        <w:t>16900</w:t>
      </w:r>
      <w:r w:rsidRPr="007B4794">
        <w:rPr>
          <w:rFonts w:ascii="Arial" w:hAnsi="Arial" w:cs="Arial" w:hint="eastAsia"/>
          <w:color w:val="000000" w:themeColor="text1"/>
          <w:sz w:val="21"/>
          <w:szCs w:val="21"/>
        </w:rPr>
        <w:t>元</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平方米；有</w:t>
      </w:r>
      <w:r w:rsidRPr="007B4794">
        <w:rPr>
          <w:rFonts w:ascii="Arial" w:hAnsi="Arial" w:cs="Arial" w:hint="eastAsia"/>
          <w:color w:val="000000" w:themeColor="text1"/>
          <w:sz w:val="21"/>
          <w:szCs w:val="21"/>
        </w:rPr>
        <w:t>79-109</w:t>
      </w:r>
      <w:r w:rsidRPr="007B4794">
        <w:rPr>
          <w:rFonts w:ascii="Arial" w:hAnsi="Arial" w:cs="Arial" w:hint="eastAsia"/>
          <w:color w:val="000000" w:themeColor="text1"/>
          <w:sz w:val="21"/>
          <w:szCs w:val="21"/>
        </w:rPr>
        <w:t>平方米的平层住宅，售价为</w:t>
      </w:r>
      <w:r w:rsidRPr="007B4794">
        <w:rPr>
          <w:rFonts w:ascii="Arial" w:hAnsi="Arial" w:cs="Arial" w:hint="eastAsia"/>
          <w:color w:val="000000" w:themeColor="text1"/>
          <w:sz w:val="21"/>
          <w:szCs w:val="21"/>
        </w:rPr>
        <w:t>16500</w:t>
      </w:r>
      <w:r w:rsidRPr="007B4794">
        <w:rPr>
          <w:rFonts w:ascii="Arial" w:hAnsi="Arial" w:cs="Arial" w:hint="eastAsia"/>
          <w:color w:val="000000" w:themeColor="text1"/>
          <w:sz w:val="21"/>
          <w:szCs w:val="21"/>
        </w:rPr>
        <w:t>元</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平方米，此次开盘共</w:t>
      </w:r>
      <w:r w:rsidRPr="007B4794">
        <w:rPr>
          <w:rFonts w:ascii="Arial" w:hAnsi="Arial" w:cs="Arial" w:hint="eastAsia"/>
          <w:color w:val="000000" w:themeColor="text1"/>
          <w:sz w:val="21"/>
          <w:szCs w:val="21"/>
        </w:rPr>
        <w:t>2</w:t>
      </w:r>
      <w:r w:rsidRPr="007B4794">
        <w:rPr>
          <w:rFonts w:ascii="Arial" w:hAnsi="Arial" w:cs="Arial" w:hint="eastAsia"/>
          <w:color w:val="000000" w:themeColor="text1"/>
          <w:sz w:val="21"/>
          <w:szCs w:val="21"/>
        </w:rPr>
        <w:t>栋住宅楼，预计共推出</w:t>
      </w:r>
      <w:r w:rsidRPr="007B4794">
        <w:rPr>
          <w:rFonts w:ascii="Arial" w:hAnsi="Arial" w:cs="Arial" w:hint="eastAsia"/>
          <w:color w:val="000000" w:themeColor="text1"/>
          <w:sz w:val="21"/>
          <w:szCs w:val="21"/>
        </w:rPr>
        <w:t>200</w:t>
      </w:r>
      <w:r w:rsidRPr="007B4794">
        <w:rPr>
          <w:rFonts w:ascii="Arial" w:hAnsi="Arial" w:cs="Arial" w:hint="eastAsia"/>
          <w:color w:val="000000" w:themeColor="text1"/>
          <w:sz w:val="21"/>
          <w:szCs w:val="21"/>
        </w:rPr>
        <w:t>多套住宅。</w:t>
      </w:r>
    </w:p>
    <w:p w14:paraId="507B53A8" w14:textId="535EC71C" w:rsidR="009B1B8B" w:rsidRDefault="009B1B8B" w:rsidP="00E0520F">
      <w:pPr>
        <w:widowControl w:val="0"/>
        <w:tabs>
          <w:tab w:val="left" w:pos="567"/>
        </w:tabs>
        <w:adjustRightInd w:val="0"/>
        <w:snapToGrid w:val="0"/>
        <w:spacing w:line="480" w:lineRule="auto"/>
        <w:ind w:firstLineChars="200" w:firstLine="420"/>
        <w:jc w:val="both"/>
        <w:rPr>
          <w:rFonts w:ascii="Arial" w:hAnsi="Arial" w:cs="Arial" w:hint="eastAsia"/>
          <w:color w:val="000000" w:themeColor="text1"/>
          <w:sz w:val="21"/>
          <w:szCs w:val="21"/>
        </w:rPr>
      </w:pPr>
      <w:r w:rsidRPr="007B4794">
        <w:rPr>
          <w:rFonts w:ascii="Arial" w:hAnsi="Arial" w:cs="Arial" w:hint="eastAsia"/>
          <w:color w:val="000000" w:themeColor="text1"/>
          <w:sz w:val="21"/>
          <w:szCs w:val="21"/>
        </w:rPr>
        <w:t>项目所在</w:t>
      </w:r>
      <w:proofErr w:type="gramStart"/>
      <w:r w:rsidRPr="007B4794">
        <w:rPr>
          <w:rFonts w:ascii="Arial" w:hAnsi="Arial" w:cs="Arial" w:hint="eastAsia"/>
          <w:color w:val="000000" w:themeColor="text1"/>
          <w:sz w:val="21"/>
          <w:szCs w:val="21"/>
        </w:rPr>
        <w:t>版块</w:t>
      </w:r>
      <w:proofErr w:type="gramEnd"/>
      <w:r w:rsidRPr="007B4794">
        <w:rPr>
          <w:rFonts w:ascii="Arial" w:hAnsi="Arial" w:cs="Arial" w:hint="eastAsia"/>
          <w:color w:val="000000" w:themeColor="text1"/>
          <w:sz w:val="21"/>
          <w:szCs w:val="21"/>
        </w:rPr>
        <w:t>在售新房项目有</w:t>
      </w:r>
      <w:r w:rsidR="00FA48ED" w:rsidRPr="007B4794">
        <w:rPr>
          <w:rFonts w:ascii="Arial" w:hAnsi="Arial" w:cs="Arial" w:hint="eastAsia"/>
          <w:color w:val="000000" w:themeColor="text1"/>
          <w:sz w:val="21"/>
          <w:szCs w:val="21"/>
        </w:rPr>
        <w:t>水晶湖畔</w:t>
      </w:r>
      <w:r w:rsidRPr="007B4794">
        <w:rPr>
          <w:rFonts w:ascii="Arial" w:hAnsi="Arial" w:cs="Arial" w:hint="eastAsia"/>
          <w:color w:val="000000" w:themeColor="text1"/>
          <w:sz w:val="21"/>
          <w:szCs w:val="21"/>
        </w:rPr>
        <w:t>，</w:t>
      </w:r>
      <w:r w:rsidR="00067078" w:rsidRPr="007B4794">
        <w:rPr>
          <w:rFonts w:ascii="Arial" w:hAnsi="Arial" w:cs="Arial" w:hint="eastAsia"/>
          <w:color w:val="000000" w:themeColor="text1"/>
          <w:sz w:val="21"/>
          <w:szCs w:val="21"/>
        </w:rPr>
        <w:t>201</w:t>
      </w:r>
      <w:r w:rsidR="00CC2F79" w:rsidRPr="007B4794">
        <w:rPr>
          <w:rFonts w:ascii="Arial" w:hAnsi="Arial" w:cs="Arial" w:hint="eastAsia"/>
          <w:color w:val="000000" w:themeColor="text1"/>
          <w:sz w:val="21"/>
          <w:szCs w:val="21"/>
        </w:rPr>
        <w:t>7</w:t>
      </w:r>
      <w:r w:rsidR="00067078" w:rsidRPr="007B4794">
        <w:rPr>
          <w:rFonts w:ascii="Arial" w:hAnsi="Arial" w:cs="Arial" w:hint="eastAsia"/>
          <w:color w:val="000000" w:themeColor="text1"/>
          <w:sz w:val="21"/>
          <w:szCs w:val="21"/>
        </w:rPr>
        <w:t>年开盘，目前</w:t>
      </w:r>
      <w:r w:rsidR="00FA48ED" w:rsidRPr="007B4794">
        <w:rPr>
          <w:rFonts w:ascii="Arial" w:hAnsi="Arial" w:cs="Arial" w:hint="eastAsia"/>
          <w:color w:val="000000" w:themeColor="text1"/>
          <w:sz w:val="21"/>
          <w:szCs w:val="21"/>
        </w:rPr>
        <w:t>已开盘的</w:t>
      </w:r>
      <w:r w:rsidR="00FA48ED" w:rsidRPr="007B4794">
        <w:rPr>
          <w:rFonts w:ascii="Arial" w:hAnsi="Arial" w:cs="Arial" w:hint="eastAsia"/>
          <w:color w:val="000000" w:themeColor="text1"/>
          <w:sz w:val="21"/>
          <w:szCs w:val="21"/>
        </w:rPr>
        <w:t>3</w:t>
      </w:r>
      <w:r w:rsidR="00FA48ED" w:rsidRPr="007B4794">
        <w:rPr>
          <w:rFonts w:ascii="Arial" w:hAnsi="Arial" w:cs="Arial" w:hint="eastAsia"/>
          <w:color w:val="000000" w:themeColor="text1"/>
          <w:sz w:val="21"/>
          <w:szCs w:val="21"/>
        </w:rPr>
        <w:t>栋住宅楼已全部售完</w:t>
      </w:r>
      <w:r w:rsidR="00C65E4A" w:rsidRPr="007B4794">
        <w:rPr>
          <w:rFonts w:ascii="Arial" w:hAnsi="Arial" w:cs="Arial" w:hint="eastAsia"/>
          <w:color w:val="000000" w:themeColor="text1"/>
          <w:sz w:val="21"/>
          <w:szCs w:val="21"/>
        </w:rPr>
        <w:t>；</w:t>
      </w:r>
      <w:r w:rsidR="00A95CB6" w:rsidRPr="007B4794">
        <w:rPr>
          <w:rFonts w:ascii="Arial" w:hAnsi="Arial" w:cs="Arial" w:hint="eastAsia"/>
          <w:color w:val="000000" w:themeColor="text1"/>
          <w:sz w:val="21"/>
          <w:szCs w:val="21"/>
        </w:rPr>
        <w:t>本次调研项目</w:t>
      </w:r>
      <w:r w:rsidRPr="007B4794">
        <w:rPr>
          <w:rFonts w:ascii="Arial" w:hAnsi="Arial" w:cs="Arial" w:hint="eastAsia"/>
          <w:color w:val="000000" w:themeColor="text1"/>
          <w:sz w:val="21"/>
          <w:szCs w:val="21"/>
        </w:rPr>
        <w:t>同期直接</w:t>
      </w:r>
      <w:proofErr w:type="gramStart"/>
      <w:r w:rsidRPr="007B4794">
        <w:rPr>
          <w:rFonts w:ascii="Arial" w:hAnsi="Arial" w:cs="Arial" w:hint="eastAsia"/>
          <w:color w:val="000000" w:themeColor="text1"/>
          <w:sz w:val="21"/>
          <w:szCs w:val="21"/>
        </w:rPr>
        <w:t>竞品项目</w:t>
      </w:r>
      <w:proofErr w:type="gramEnd"/>
      <w:r w:rsidRPr="007B4794">
        <w:rPr>
          <w:rFonts w:ascii="Arial" w:hAnsi="Arial" w:cs="Arial" w:hint="eastAsia"/>
          <w:color w:val="000000" w:themeColor="text1"/>
          <w:sz w:val="21"/>
          <w:szCs w:val="21"/>
        </w:rPr>
        <w:t>还有</w:t>
      </w:r>
      <w:r w:rsidR="00FA48ED" w:rsidRPr="007B4794">
        <w:rPr>
          <w:rFonts w:ascii="Arial" w:hAnsi="Arial" w:cs="Arial" w:hint="eastAsia"/>
          <w:color w:val="000000" w:themeColor="text1"/>
          <w:sz w:val="21"/>
          <w:szCs w:val="21"/>
        </w:rPr>
        <w:t>万益广场（望春风）</w:t>
      </w:r>
      <w:r w:rsidRPr="007B4794">
        <w:rPr>
          <w:rFonts w:ascii="Arial" w:hAnsi="Arial" w:cs="Arial" w:hint="eastAsia"/>
          <w:color w:val="000000" w:themeColor="text1"/>
          <w:sz w:val="21"/>
          <w:szCs w:val="21"/>
        </w:rPr>
        <w:t>、</w:t>
      </w:r>
      <w:r w:rsidR="00FA48ED" w:rsidRPr="007B4794">
        <w:rPr>
          <w:rFonts w:ascii="Arial" w:hAnsi="Arial" w:cs="Arial" w:hint="eastAsia"/>
          <w:color w:val="000000" w:themeColor="text1"/>
          <w:sz w:val="21"/>
          <w:szCs w:val="21"/>
        </w:rPr>
        <w:t>龙泉丽景</w:t>
      </w:r>
      <w:r w:rsidR="00CC2F79" w:rsidRPr="007B4794">
        <w:rPr>
          <w:rFonts w:ascii="Arial" w:hAnsi="Arial" w:cs="Arial" w:hint="eastAsia"/>
          <w:color w:val="000000" w:themeColor="text1"/>
          <w:sz w:val="21"/>
          <w:szCs w:val="21"/>
        </w:rPr>
        <w:t>、</w:t>
      </w:r>
      <w:r w:rsidR="00FA48ED" w:rsidRPr="007B4794">
        <w:rPr>
          <w:rFonts w:ascii="Arial" w:hAnsi="Arial" w:cs="Arial" w:hint="eastAsia"/>
          <w:color w:val="000000" w:themeColor="text1"/>
          <w:sz w:val="21"/>
          <w:szCs w:val="21"/>
        </w:rPr>
        <w:t>旭辉·大唐</w:t>
      </w:r>
      <w:proofErr w:type="gramStart"/>
      <w:r w:rsidR="00FA48ED" w:rsidRPr="007B4794">
        <w:rPr>
          <w:rFonts w:ascii="Arial" w:hAnsi="Arial" w:cs="Arial" w:hint="eastAsia"/>
          <w:color w:val="000000" w:themeColor="text1"/>
          <w:sz w:val="21"/>
          <w:szCs w:val="21"/>
        </w:rPr>
        <w:t>江山天境</w:t>
      </w:r>
      <w:proofErr w:type="gramEnd"/>
      <w:r w:rsidR="00FA48ED" w:rsidRPr="007B4794">
        <w:rPr>
          <w:rFonts w:ascii="Arial" w:hAnsi="Arial" w:cs="Arial" w:hint="eastAsia"/>
          <w:color w:val="000000" w:themeColor="text1"/>
          <w:sz w:val="21"/>
          <w:szCs w:val="21"/>
        </w:rPr>
        <w:t>、金地宝嘉·厦</w:t>
      </w:r>
      <w:proofErr w:type="gramStart"/>
      <w:r w:rsidR="00FA48ED" w:rsidRPr="007B4794">
        <w:rPr>
          <w:rFonts w:ascii="Arial" w:hAnsi="Arial" w:cs="Arial" w:hint="eastAsia"/>
          <w:color w:val="000000" w:themeColor="text1"/>
          <w:sz w:val="21"/>
          <w:szCs w:val="21"/>
        </w:rPr>
        <w:t>一</w:t>
      </w:r>
      <w:proofErr w:type="gramEnd"/>
      <w:r w:rsidR="00FA48ED" w:rsidRPr="007B4794">
        <w:rPr>
          <w:rFonts w:ascii="Arial" w:hAnsi="Arial" w:cs="Arial" w:hint="eastAsia"/>
          <w:color w:val="000000" w:themeColor="text1"/>
          <w:sz w:val="21"/>
          <w:szCs w:val="21"/>
        </w:rPr>
        <w:t>城</w:t>
      </w:r>
      <w:r w:rsidRPr="007B4794">
        <w:rPr>
          <w:rFonts w:ascii="Arial" w:hAnsi="Arial" w:cs="Arial" w:hint="eastAsia"/>
          <w:color w:val="000000" w:themeColor="text1"/>
          <w:sz w:val="21"/>
          <w:szCs w:val="21"/>
        </w:rPr>
        <w:t>，其中</w:t>
      </w:r>
      <w:r w:rsidR="00FA48ED" w:rsidRPr="007B4794">
        <w:rPr>
          <w:rFonts w:ascii="Arial" w:hAnsi="Arial" w:cs="Arial" w:hint="eastAsia"/>
          <w:color w:val="000000" w:themeColor="text1"/>
          <w:sz w:val="21"/>
          <w:szCs w:val="21"/>
        </w:rPr>
        <w:t>万益广场（望春风）</w:t>
      </w:r>
      <w:r w:rsidR="00CC2F79" w:rsidRPr="007B4794">
        <w:rPr>
          <w:rFonts w:ascii="Arial" w:hAnsi="Arial" w:cs="Arial" w:hint="eastAsia"/>
          <w:color w:val="000000" w:themeColor="text1"/>
          <w:sz w:val="21"/>
          <w:szCs w:val="21"/>
        </w:rPr>
        <w:t>成</w:t>
      </w:r>
      <w:r w:rsidRPr="007B4794">
        <w:rPr>
          <w:rFonts w:ascii="Arial" w:hAnsi="Arial" w:cs="Arial" w:hint="eastAsia"/>
          <w:color w:val="000000" w:themeColor="text1"/>
          <w:sz w:val="21"/>
          <w:szCs w:val="21"/>
        </w:rPr>
        <w:t>于</w:t>
      </w:r>
      <w:r w:rsidR="00FA48ED" w:rsidRPr="007B4794">
        <w:rPr>
          <w:rFonts w:ascii="Arial" w:hAnsi="Arial" w:cs="Arial" w:hint="eastAsia"/>
          <w:color w:val="000000" w:themeColor="text1"/>
          <w:sz w:val="21"/>
          <w:szCs w:val="21"/>
        </w:rPr>
        <w:t>2015</w:t>
      </w:r>
      <w:r w:rsidR="00CC2F79" w:rsidRPr="007B4794">
        <w:rPr>
          <w:rFonts w:ascii="Arial" w:hAnsi="Arial" w:cs="Arial" w:hint="eastAsia"/>
          <w:color w:val="000000" w:themeColor="text1"/>
          <w:sz w:val="21"/>
          <w:szCs w:val="21"/>
        </w:rPr>
        <w:t>年</w:t>
      </w:r>
      <w:r w:rsidR="00FA48ED" w:rsidRPr="007B4794">
        <w:rPr>
          <w:rFonts w:ascii="Arial" w:hAnsi="Arial" w:cs="Arial" w:hint="eastAsia"/>
          <w:color w:val="000000" w:themeColor="text1"/>
          <w:sz w:val="21"/>
          <w:szCs w:val="21"/>
        </w:rPr>
        <w:t>6</w:t>
      </w:r>
      <w:r w:rsidRPr="007B4794">
        <w:rPr>
          <w:rFonts w:ascii="Arial" w:hAnsi="Arial" w:cs="Arial" w:hint="eastAsia"/>
          <w:color w:val="000000" w:themeColor="text1"/>
          <w:sz w:val="21"/>
          <w:szCs w:val="21"/>
        </w:rPr>
        <w:t>月份首期开盘销售</w:t>
      </w:r>
      <w:r w:rsidR="00FA48ED" w:rsidRPr="007B4794">
        <w:rPr>
          <w:rFonts w:ascii="Arial" w:hAnsi="Arial" w:cs="Arial" w:hint="eastAsia"/>
          <w:color w:val="000000" w:themeColor="text1"/>
          <w:sz w:val="21"/>
          <w:szCs w:val="21"/>
        </w:rPr>
        <w:t>至今</w:t>
      </w:r>
      <w:r w:rsidRPr="007B4794">
        <w:rPr>
          <w:rFonts w:ascii="Arial" w:hAnsi="Arial" w:cs="Arial" w:hint="eastAsia"/>
          <w:color w:val="000000" w:themeColor="text1"/>
          <w:sz w:val="21"/>
          <w:szCs w:val="21"/>
        </w:rPr>
        <w:t>，</w:t>
      </w:r>
      <w:r w:rsidR="00CC2F79" w:rsidRPr="007B4794">
        <w:rPr>
          <w:rFonts w:ascii="Arial" w:hAnsi="Arial" w:cs="Arial" w:hint="eastAsia"/>
          <w:color w:val="000000" w:themeColor="text1"/>
          <w:sz w:val="21"/>
          <w:szCs w:val="21"/>
        </w:rPr>
        <w:t>目前去化</w:t>
      </w:r>
      <w:r w:rsidR="00FA48ED" w:rsidRPr="007B4794">
        <w:rPr>
          <w:rFonts w:ascii="Arial" w:hAnsi="Arial" w:cs="Arial" w:hint="eastAsia"/>
          <w:color w:val="000000" w:themeColor="text1"/>
          <w:sz w:val="21"/>
          <w:szCs w:val="21"/>
        </w:rPr>
        <w:t>95%</w:t>
      </w:r>
      <w:r w:rsidR="00FA48ED" w:rsidRPr="007B4794">
        <w:rPr>
          <w:rFonts w:ascii="Arial" w:hAnsi="Arial" w:cs="Arial" w:hint="eastAsia"/>
          <w:color w:val="000000" w:themeColor="text1"/>
          <w:sz w:val="21"/>
          <w:szCs w:val="21"/>
        </w:rPr>
        <w:t>左右，目前已进入清盘状态</w:t>
      </w:r>
      <w:r w:rsidR="00CC2F79" w:rsidRPr="007B4794">
        <w:rPr>
          <w:rFonts w:ascii="Arial" w:hAnsi="Arial" w:cs="Arial" w:hint="eastAsia"/>
          <w:color w:val="000000" w:themeColor="text1"/>
          <w:sz w:val="21"/>
          <w:szCs w:val="21"/>
        </w:rPr>
        <w:t>；</w:t>
      </w:r>
      <w:r w:rsidR="00FA48ED" w:rsidRPr="007B4794">
        <w:rPr>
          <w:rFonts w:ascii="Arial" w:hAnsi="Arial" w:cs="Arial" w:hint="eastAsia"/>
          <w:color w:val="000000" w:themeColor="text1"/>
          <w:sz w:val="21"/>
          <w:szCs w:val="21"/>
        </w:rPr>
        <w:t>龙泉丽景</w:t>
      </w:r>
      <w:r w:rsidRPr="007B4794">
        <w:rPr>
          <w:rFonts w:ascii="Arial" w:hAnsi="Arial" w:cs="Arial" w:hint="eastAsia"/>
          <w:color w:val="000000" w:themeColor="text1"/>
          <w:sz w:val="21"/>
          <w:szCs w:val="21"/>
        </w:rPr>
        <w:t>于</w:t>
      </w:r>
      <w:r w:rsidR="00CC2F79" w:rsidRPr="007B4794">
        <w:rPr>
          <w:rFonts w:ascii="Arial" w:hAnsi="Arial" w:cs="Arial" w:hint="eastAsia"/>
          <w:color w:val="000000" w:themeColor="text1"/>
          <w:sz w:val="21"/>
          <w:szCs w:val="21"/>
        </w:rPr>
        <w:t>201</w:t>
      </w:r>
      <w:r w:rsidR="00FA48ED" w:rsidRPr="007B4794">
        <w:rPr>
          <w:rFonts w:ascii="Arial" w:hAnsi="Arial" w:cs="Arial" w:hint="eastAsia"/>
          <w:color w:val="000000" w:themeColor="text1"/>
          <w:sz w:val="21"/>
          <w:szCs w:val="21"/>
        </w:rPr>
        <w:t>7</w:t>
      </w:r>
      <w:r w:rsidR="00CC2F79" w:rsidRPr="007B4794">
        <w:rPr>
          <w:rFonts w:ascii="Arial" w:hAnsi="Arial" w:cs="Arial" w:hint="eastAsia"/>
          <w:color w:val="000000" w:themeColor="text1"/>
          <w:sz w:val="21"/>
          <w:szCs w:val="21"/>
        </w:rPr>
        <w:t>年</w:t>
      </w:r>
      <w:r w:rsidR="00FA48ED" w:rsidRPr="007B4794">
        <w:rPr>
          <w:rFonts w:ascii="Arial" w:hAnsi="Arial" w:cs="Arial" w:hint="eastAsia"/>
          <w:color w:val="000000" w:themeColor="text1"/>
          <w:sz w:val="21"/>
          <w:szCs w:val="21"/>
        </w:rPr>
        <w:t>4</w:t>
      </w:r>
      <w:r w:rsidRPr="007B4794">
        <w:rPr>
          <w:rFonts w:ascii="Arial" w:hAnsi="Arial" w:cs="Arial" w:hint="eastAsia"/>
          <w:color w:val="000000" w:themeColor="text1"/>
          <w:sz w:val="21"/>
          <w:szCs w:val="21"/>
        </w:rPr>
        <w:t>月</w:t>
      </w:r>
      <w:r w:rsidR="00CC2F79" w:rsidRPr="007B4794">
        <w:rPr>
          <w:rFonts w:ascii="Arial" w:hAnsi="Arial" w:cs="Arial" w:hint="eastAsia"/>
          <w:color w:val="000000" w:themeColor="text1"/>
          <w:sz w:val="21"/>
          <w:szCs w:val="21"/>
        </w:rPr>
        <w:t>开盘</w:t>
      </w:r>
      <w:r w:rsidRPr="007B4794">
        <w:rPr>
          <w:rFonts w:ascii="Arial" w:hAnsi="Arial" w:cs="Arial" w:hint="eastAsia"/>
          <w:color w:val="000000" w:themeColor="text1"/>
          <w:sz w:val="21"/>
          <w:szCs w:val="21"/>
        </w:rPr>
        <w:t>，</w:t>
      </w:r>
      <w:r w:rsidR="00FA48ED" w:rsidRPr="007B4794">
        <w:rPr>
          <w:rFonts w:ascii="Arial" w:hAnsi="Arial" w:cs="Arial" w:hint="eastAsia"/>
          <w:color w:val="000000" w:themeColor="text1"/>
          <w:sz w:val="21"/>
          <w:szCs w:val="21"/>
        </w:rPr>
        <w:t>目前去化</w:t>
      </w:r>
      <w:r w:rsidR="00FA48ED" w:rsidRPr="007B4794">
        <w:rPr>
          <w:rFonts w:ascii="Arial" w:hAnsi="Arial" w:cs="Arial" w:hint="eastAsia"/>
          <w:color w:val="000000" w:themeColor="text1"/>
          <w:sz w:val="21"/>
          <w:szCs w:val="21"/>
        </w:rPr>
        <w:t>90%</w:t>
      </w:r>
      <w:r w:rsidR="00FA48ED" w:rsidRPr="007B4794">
        <w:rPr>
          <w:rFonts w:ascii="Arial" w:hAnsi="Arial" w:cs="Arial" w:hint="eastAsia"/>
          <w:color w:val="000000" w:themeColor="text1"/>
          <w:sz w:val="21"/>
          <w:szCs w:val="21"/>
        </w:rPr>
        <w:t>左右，目前已进入清盘状态</w:t>
      </w:r>
      <w:r w:rsidR="00CC2F79" w:rsidRPr="007B4794">
        <w:rPr>
          <w:rFonts w:ascii="Arial" w:hAnsi="Arial" w:cs="Arial" w:hint="eastAsia"/>
          <w:color w:val="000000" w:themeColor="text1"/>
          <w:sz w:val="21"/>
          <w:szCs w:val="21"/>
        </w:rPr>
        <w:t>；</w:t>
      </w:r>
      <w:r w:rsidR="00FA48ED" w:rsidRPr="007B4794">
        <w:rPr>
          <w:rFonts w:ascii="Arial" w:hAnsi="Arial" w:cs="Arial" w:hint="eastAsia"/>
          <w:color w:val="000000" w:themeColor="text1"/>
          <w:sz w:val="21"/>
          <w:szCs w:val="21"/>
        </w:rPr>
        <w:t>大唐</w:t>
      </w:r>
      <w:proofErr w:type="gramStart"/>
      <w:r w:rsidR="00FA48ED" w:rsidRPr="007B4794">
        <w:rPr>
          <w:rFonts w:ascii="Arial" w:hAnsi="Arial" w:cs="Arial" w:hint="eastAsia"/>
          <w:color w:val="000000" w:themeColor="text1"/>
          <w:sz w:val="21"/>
          <w:szCs w:val="21"/>
        </w:rPr>
        <w:t>江山天境</w:t>
      </w:r>
      <w:proofErr w:type="gramEnd"/>
      <w:r w:rsidR="00CC2F79" w:rsidRPr="007B4794">
        <w:rPr>
          <w:rFonts w:ascii="Arial" w:hAnsi="Arial" w:cs="Arial" w:hint="eastAsia"/>
          <w:color w:val="000000" w:themeColor="text1"/>
          <w:sz w:val="21"/>
          <w:szCs w:val="21"/>
        </w:rPr>
        <w:t>于</w:t>
      </w:r>
      <w:r w:rsidR="00CC2F79" w:rsidRPr="007B4794">
        <w:rPr>
          <w:rFonts w:ascii="Arial" w:hAnsi="Arial" w:cs="Arial" w:hint="eastAsia"/>
          <w:color w:val="000000" w:themeColor="text1"/>
          <w:sz w:val="21"/>
          <w:szCs w:val="21"/>
        </w:rPr>
        <w:t>201</w:t>
      </w:r>
      <w:r w:rsidR="00FA48ED" w:rsidRPr="007B4794">
        <w:rPr>
          <w:rFonts w:ascii="Arial" w:hAnsi="Arial" w:cs="Arial" w:hint="eastAsia"/>
          <w:color w:val="000000" w:themeColor="text1"/>
          <w:sz w:val="21"/>
          <w:szCs w:val="21"/>
        </w:rPr>
        <w:t>9</w:t>
      </w:r>
      <w:r w:rsidR="00CC2F79" w:rsidRPr="007B4794">
        <w:rPr>
          <w:rFonts w:ascii="Arial" w:hAnsi="Arial" w:cs="Arial" w:hint="eastAsia"/>
          <w:color w:val="000000" w:themeColor="text1"/>
          <w:sz w:val="21"/>
          <w:szCs w:val="21"/>
        </w:rPr>
        <w:t>年</w:t>
      </w:r>
      <w:r w:rsidR="00FA48ED" w:rsidRPr="007B4794">
        <w:rPr>
          <w:rFonts w:ascii="Arial" w:hAnsi="Arial" w:cs="Arial" w:hint="eastAsia"/>
          <w:color w:val="000000" w:themeColor="text1"/>
          <w:sz w:val="21"/>
          <w:szCs w:val="21"/>
        </w:rPr>
        <w:t>11</w:t>
      </w:r>
      <w:r w:rsidR="00CC2F79" w:rsidRPr="007B4794">
        <w:rPr>
          <w:rFonts w:ascii="Arial" w:hAnsi="Arial" w:cs="Arial" w:hint="eastAsia"/>
          <w:color w:val="000000" w:themeColor="text1"/>
          <w:sz w:val="21"/>
          <w:szCs w:val="21"/>
        </w:rPr>
        <w:t>月份首期开盘销售，</w:t>
      </w:r>
      <w:r w:rsidR="00FA48ED" w:rsidRPr="007B4794">
        <w:rPr>
          <w:rFonts w:ascii="Arial" w:hAnsi="Arial" w:cs="Arial" w:hint="eastAsia"/>
          <w:color w:val="000000" w:themeColor="text1"/>
          <w:sz w:val="21"/>
          <w:szCs w:val="21"/>
        </w:rPr>
        <w:t>月均成交在</w:t>
      </w:r>
      <w:r w:rsidR="00FA48ED" w:rsidRPr="007B4794">
        <w:rPr>
          <w:rFonts w:ascii="Arial" w:hAnsi="Arial" w:cs="Arial" w:hint="eastAsia"/>
          <w:color w:val="000000" w:themeColor="text1"/>
          <w:sz w:val="21"/>
          <w:szCs w:val="21"/>
        </w:rPr>
        <w:t>60-70</w:t>
      </w:r>
      <w:r w:rsidR="00CC2F79" w:rsidRPr="007B4794">
        <w:rPr>
          <w:rFonts w:ascii="Arial" w:hAnsi="Arial" w:cs="Arial" w:hint="eastAsia"/>
          <w:color w:val="000000" w:themeColor="text1"/>
          <w:sz w:val="21"/>
          <w:szCs w:val="21"/>
        </w:rPr>
        <w:t>套</w:t>
      </w:r>
      <w:r w:rsidR="00FA48ED" w:rsidRPr="007B4794">
        <w:rPr>
          <w:rFonts w:ascii="Arial" w:hAnsi="Arial" w:cs="Arial" w:hint="eastAsia"/>
          <w:color w:val="000000" w:themeColor="text1"/>
          <w:sz w:val="21"/>
          <w:szCs w:val="21"/>
        </w:rPr>
        <w:t>；金地宝嘉·厦</w:t>
      </w:r>
      <w:proofErr w:type="gramStart"/>
      <w:r w:rsidR="00FA48ED" w:rsidRPr="007B4794">
        <w:rPr>
          <w:rFonts w:ascii="Arial" w:hAnsi="Arial" w:cs="Arial" w:hint="eastAsia"/>
          <w:color w:val="000000" w:themeColor="text1"/>
          <w:sz w:val="21"/>
          <w:szCs w:val="21"/>
        </w:rPr>
        <w:t>一</w:t>
      </w:r>
      <w:proofErr w:type="gramEnd"/>
      <w:r w:rsidR="00FA48ED" w:rsidRPr="007B4794">
        <w:rPr>
          <w:rFonts w:ascii="Arial" w:hAnsi="Arial" w:cs="Arial" w:hint="eastAsia"/>
          <w:color w:val="000000" w:themeColor="text1"/>
          <w:sz w:val="21"/>
          <w:szCs w:val="21"/>
        </w:rPr>
        <w:t>城于</w:t>
      </w:r>
      <w:r w:rsidR="00FA48ED" w:rsidRPr="007B4794">
        <w:rPr>
          <w:rFonts w:ascii="Arial" w:hAnsi="Arial" w:cs="Arial" w:hint="eastAsia"/>
          <w:color w:val="000000" w:themeColor="text1"/>
          <w:sz w:val="21"/>
          <w:szCs w:val="21"/>
        </w:rPr>
        <w:t>2020</w:t>
      </w:r>
      <w:r w:rsidR="00FA48ED" w:rsidRPr="007B4794">
        <w:rPr>
          <w:rFonts w:ascii="Arial" w:hAnsi="Arial" w:cs="Arial" w:hint="eastAsia"/>
          <w:color w:val="000000" w:themeColor="text1"/>
          <w:sz w:val="21"/>
          <w:szCs w:val="21"/>
        </w:rPr>
        <w:t>年</w:t>
      </w:r>
      <w:r w:rsidR="00FA48ED" w:rsidRPr="007B4794">
        <w:rPr>
          <w:rFonts w:ascii="Arial" w:hAnsi="Arial" w:cs="Arial" w:hint="eastAsia"/>
          <w:color w:val="000000" w:themeColor="text1"/>
          <w:sz w:val="21"/>
          <w:szCs w:val="21"/>
        </w:rPr>
        <w:t>7</w:t>
      </w:r>
      <w:r w:rsidR="00FA48ED" w:rsidRPr="007B4794">
        <w:rPr>
          <w:rFonts w:ascii="Arial" w:hAnsi="Arial" w:cs="Arial" w:hint="eastAsia"/>
          <w:color w:val="000000" w:themeColor="text1"/>
          <w:sz w:val="21"/>
          <w:szCs w:val="21"/>
        </w:rPr>
        <w:t>月开盘，已成交约</w:t>
      </w:r>
      <w:r w:rsidR="00FA48ED" w:rsidRPr="007B4794">
        <w:rPr>
          <w:rFonts w:ascii="Arial" w:hAnsi="Arial" w:cs="Arial" w:hint="eastAsia"/>
          <w:color w:val="000000" w:themeColor="text1"/>
          <w:sz w:val="21"/>
          <w:szCs w:val="21"/>
        </w:rPr>
        <w:t>400-500</w:t>
      </w:r>
      <w:r w:rsidR="00FA48ED" w:rsidRPr="007B4794">
        <w:rPr>
          <w:rFonts w:ascii="Arial" w:hAnsi="Arial" w:cs="Arial" w:hint="eastAsia"/>
          <w:color w:val="000000" w:themeColor="text1"/>
          <w:sz w:val="21"/>
          <w:szCs w:val="21"/>
        </w:rPr>
        <w:t>套，月均成交约</w:t>
      </w:r>
      <w:r w:rsidR="00FA48ED" w:rsidRPr="007B4794">
        <w:rPr>
          <w:rFonts w:ascii="Arial" w:hAnsi="Arial" w:cs="Arial" w:hint="eastAsia"/>
          <w:color w:val="000000" w:themeColor="text1"/>
          <w:sz w:val="21"/>
          <w:szCs w:val="21"/>
        </w:rPr>
        <w:t>80</w:t>
      </w:r>
      <w:r w:rsidR="00FA48ED" w:rsidRPr="007B4794">
        <w:rPr>
          <w:rFonts w:ascii="Arial" w:hAnsi="Arial" w:cs="Arial" w:hint="eastAsia"/>
          <w:color w:val="000000" w:themeColor="text1"/>
          <w:sz w:val="21"/>
          <w:szCs w:val="21"/>
        </w:rPr>
        <w:t>套</w:t>
      </w:r>
      <w:r w:rsidR="00340348" w:rsidRPr="007B4794">
        <w:rPr>
          <w:rFonts w:ascii="Arial" w:hAnsi="Arial" w:cs="Arial" w:hint="eastAsia"/>
          <w:color w:val="000000" w:themeColor="text1"/>
          <w:sz w:val="21"/>
          <w:szCs w:val="21"/>
        </w:rPr>
        <w:t>。</w:t>
      </w:r>
    </w:p>
    <w:p w14:paraId="576B4FAF" w14:textId="77777777" w:rsidR="00074032" w:rsidRPr="00074032" w:rsidRDefault="00074032" w:rsidP="00074032">
      <w:pPr>
        <w:widowControl w:val="0"/>
        <w:adjustRightInd w:val="0"/>
        <w:snapToGrid w:val="0"/>
        <w:spacing w:line="480" w:lineRule="auto"/>
        <w:ind w:firstLineChars="200" w:firstLine="420"/>
        <w:jc w:val="both"/>
        <w:rPr>
          <w:rFonts w:ascii="华文楷体" w:eastAsia="华文楷体" w:hAnsi="华文楷体" w:cs="Arial"/>
          <w:color w:val="000000" w:themeColor="text1"/>
          <w:sz w:val="21"/>
          <w:szCs w:val="21"/>
        </w:rPr>
      </w:pPr>
      <w:r w:rsidRPr="00074032">
        <w:rPr>
          <w:rFonts w:ascii="华文楷体" w:eastAsia="华文楷体" w:hAnsi="华文楷体" w:cs="Arial" w:hint="eastAsia"/>
          <w:color w:val="000000" w:themeColor="text1"/>
          <w:sz w:val="21"/>
          <w:szCs w:val="21"/>
        </w:rPr>
        <w:t>（转下页）</w:t>
      </w:r>
    </w:p>
    <w:p w14:paraId="5E82B51F" w14:textId="77777777" w:rsidR="00074032" w:rsidRDefault="00074032" w:rsidP="00E0520F">
      <w:pPr>
        <w:widowControl w:val="0"/>
        <w:tabs>
          <w:tab w:val="left" w:pos="567"/>
        </w:tabs>
        <w:adjustRightInd w:val="0"/>
        <w:snapToGrid w:val="0"/>
        <w:spacing w:line="480" w:lineRule="auto"/>
        <w:ind w:firstLineChars="200" w:firstLine="420"/>
        <w:jc w:val="both"/>
        <w:rPr>
          <w:rFonts w:ascii="Arial" w:hAnsi="Arial" w:cs="Arial" w:hint="eastAsia"/>
          <w:color w:val="000000" w:themeColor="text1"/>
          <w:sz w:val="21"/>
          <w:szCs w:val="21"/>
        </w:rPr>
      </w:pPr>
    </w:p>
    <w:p w14:paraId="4ADCDC38" w14:textId="77777777" w:rsidR="00074032" w:rsidRPr="007B4794" w:rsidRDefault="00074032" w:rsidP="00E0520F">
      <w:pPr>
        <w:widowControl w:val="0"/>
        <w:tabs>
          <w:tab w:val="left" w:pos="567"/>
        </w:tabs>
        <w:adjustRightInd w:val="0"/>
        <w:snapToGrid w:val="0"/>
        <w:spacing w:line="480" w:lineRule="auto"/>
        <w:ind w:firstLineChars="200" w:firstLine="420"/>
        <w:jc w:val="both"/>
        <w:rPr>
          <w:rFonts w:ascii="Arial" w:hAnsi="Arial" w:cs="Arial"/>
          <w:color w:val="000000" w:themeColor="text1"/>
          <w:sz w:val="21"/>
          <w:szCs w:val="21"/>
        </w:rPr>
      </w:pPr>
    </w:p>
    <w:p w14:paraId="1716CD36" w14:textId="5C7B1DDA" w:rsidR="00F11E48" w:rsidRPr="007B4794" w:rsidRDefault="00340348" w:rsidP="00E0520F">
      <w:pPr>
        <w:widowControl w:val="0"/>
        <w:tabs>
          <w:tab w:val="left" w:pos="567"/>
        </w:tabs>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lastRenderedPageBreak/>
        <w:t>调研对象</w:t>
      </w:r>
      <w:r w:rsidR="00FF22F9" w:rsidRPr="007B4794">
        <w:rPr>
          <w:rFonts w:ascii="Arial" w:hAnsi="Arial" w:cs="Arial"/>
          <w:color w:val="000000" w:themeColor="text1"/>
          <w:sz w:val="21"/>
          <w:szCs w:val="21"/>
        </w:rPr>
        <w:t>周边</w:t>
      </w:r>
      <w:r w:rsidR="00FF22F9" w:rsidRPr="007B4794">
        <w:rPr>
          <w:rFonts w:ascii="Arial" w:hAnsi="Arial" w:cs="Arial" w:hint="eastAsia"/>
          <w:color w:val="000000" w:themeColor="text1"/>
          <w:sz w:val="21"/>
          <w:szCs w:val="21"/>
        </w:rPr>
        <w:t>在售居住项目</w:t>
      </w:r>
      <w:r w:rsidR="00735017" w:rsidRPr="007B4794">
        <w:rPr>
          <w:rFonts w:ascii="Arial" w:hAnsi="Arial" w:cs="Arial" w:hint="eastAsia"/>
          <w:color w:val="000000" w:themeColor="text1"/>
          <w:sz w:val="21"/>
          <w:szCs w:val="21"/>
        </w:rPr>
        <w:t>位置及</w:t>
      </w:r>
      <w:r w:rsidR="00FF22F9" w:rsidRPr="007B4794">
        <w:rPr>
          <w:rFonts w:ascii="Arial" w:hAnsi="Arial" w:cs="Arial" w:hint="eastAsia"/>
          <w:color w:val="000000" w:themeColor="text1"/>
          <w:sz w:val="21"/>
          <w:szCs w:val="21"/>
        </w:rPr>
        <w:t>详情</w:t>
      </w:r>
      <w:r w:rsidR="00F11E48" w:rsidRPr="007B4794">
        <w:rPr>
          <w:rFonts w:ascii="Arial" w:hAnsi="Arial" w:cs="Arial" w:hint="eastAsia"/>
          <w:color w:val="000000" w:themeColor="text1"/>
          <w:sz w:val="21"/>
          <w:szCs w:val="21"/>
        </w:rPr>
        <w:t>见下</w:t>
      </w:r>
      <w:r w:rsidR="00735017" w:rsidRPr="007B4794">
        <w:rPr>
          <w:rFonts w:ascii="Arial" w:hAnsi="Arial" w:cs="Arial" w:hint="eastAsia"/>
          <w:color w:val="000000" w:themeColor="text1"/>
          <w:sz w:val="21"/>
          <w:szCs w:val="21"/>
        </w:rPr>
        <w:t>图及附</w:t>
      </w:r>
      <w:r w:rsidR="00F11E48" w:rsidRPr="007B4794">
        <w:rPr>
          <w:rFonts w:ascii="Arial" w:hAnsi="Arial" w:cs="Arial" w:hint="eastAsia"/>
          <w:color w:val="000000" w:themeColor="text1"/>
          <w:sz w:val="21"/>
          <w:szCs w:val="21"/>
        </w:rPr>
        <w:t>表</w:t>
      </w:r>
      <w:r w:rsidR="00BF6021" w:rsidRPr="007B4794">
        <w:rPr>
          <w:rFonts w:ascii="Arial" w:hAnsi="Arial" w:cs="Arial" w:hint="eastAsia"/>
          <w:color w:val="000000" w:themeColor="text1"/>
          <w:sz w:val="21"/>
          <w:szCs w:val="21"/>
        </w:rPr>
        <w:t>：</w:t>
      </w:r>
    </w:p>
    <w:p w14:paraId="6D453A82" w14:textId="7EA64F8D" w:rsidR="008C3FB0" w:rsidRPr="007B4794" w:rsidRDefault="008C3FB0" w:rsidP="008C3FB0">
      <w:pPr>
        <w:rPr>
          <w:color w:val="000000" w:themeColor="text1"/>
        </w:rPr>
      </w:pPr>
      <w:r w:rsidRPr="007B4794">
        <w:rPr>
          <w:noProof/>
          <w:color w:val="000000" w:themeColor="text1"/>
        </w:rPr>
        <w:drawing>
          <wp:inline distT="0" distB="0" distL="0" distR="0" wp14:anchorId="3CBB01EA" wp14:editId="79CC6D8D">
            <wp:extent cx="5926960" cy="3752850"/>
            <wp:effectExtent l="0" t="0" r="0" b="0"/>
            <wp:docPr id="5181" name="图片 5181" descr="C:\Documents and Settings\Administrator\Application Data\Tencent\Users\273361491\QQ\WinTemp\RichOle\7I47@Q2_K{NXR1M0_GPQM_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Application Data\Tencent\Users\273361491\QQ\WinTemp\RichOle\7I47@Q2_K{NXR1M0_GPQM_G.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27474" cy="3753176"/>
                    </a:xfrm>
                    <a:prstGeom prst="rect">
                      <a:avLst/>
                    </a:prstGeom>
                    <a:noFill/>
                    <a:ln>
                      <a:noFill/>
                    </a:ln>
                  </pic:spPr>
                </pic:pic>
              </a:graphicData>
            </a:graphic>
          </wp:inline>
        </w:drawing>
      </w:r>
    </w:p>
    <w:p w14:paraId="4F9BCD49" w14:textId="4D46C0F1" w:rsidR="00790F69" w:rsidRPr="007B4794" w:rsidRDefault="00790F69" w:rsidP="00E0520F">
      <w:pPr>
        <w:widowControl w:val="0"/>
        <w:adjustRightInd w:val="0"/>
        <w:snapToGrid w:val="0"/>
        <w:spacing w:line="360" w:lineRule="auto"/>
        <w:jc w:val="center"/>
        <w:rPr>
          <w:rFonts w:ascii="Arial" w:hAnsi="Arial" w:cs="Arial"/>
          <w:color w:val="000000" w:themeColor="text1"/>
          <w:sz w:val="21"/>
          <w:szCs w:val="21"/>
        </w:rPr>
      </w:pPr>
    </w:p>
    <w:p w14:paraId="07EE8EE0" w14:textId="77777777" w:rsidR="005731BA" w:rsidRPr="007B4794" w:rsidRDefault="005731BA" w:rsidP="0023359B">
      <w:pPr>
        <w:widowControl w:val="0"/>
        <w:adjustRightInd w:val="0"/>
        <w:snapToGrid w:val="0"/>
        <w:spacing w:line="480" w:lineRule="auto"/>
        <w:ind w:firstLineChars="200" w:firstLine="420"/>
        <w:jc w:val="both"/>
        <w:rPr>
          <w:rFonts w:ascii="Arial" w:hAnsi="Arial" w:cs="Arial"/>
          <w:color w:val="000000" w:themeColor="text1"/>
          <w:sz w:val="21"/>
          <w:szCs w:val="21"/>
        </w:rPr>
      </w:pPr>
    </w:p>
    <w:p w14:paraId="15F91C8C" w14:textId="77777777" w:rsidR="00074032" w:rsidRPr="00074032" w:rsidRDefault="00074032" w:rsidP="00074032">
      <w:pPr>
        <w:widowControl w:val="0"/>
        <w:adjustRightInd w:val="0"/>
        <w:snapToGrid w:val="0"/>
        <w:spacing w:line="480" w:lineRule="auto"/>
        <w:ind w:firstLineChars="200" w:firstLine="420"/>
        <w:jc w:val="both"/>
        <w:rPr>
          <w:rFonts w:ascii="华文楷体" w:eastAsia="华文楷体" w:hAnsi="华文楷体" w:cs="Arial"/>
          <w:color w:val="000000" w:themeColor="text1"/>
          <w:sz w:val="21"/>
          <w:szCs w:val="21"/>
        </w:rPr>
      </w:pPr>
      <w:r w:rsidRPr="00074032">
        <w:rPr>
          <w:rFonts w:ascii="华文楷体" w:eastAsia="华文楷体" w:hAnsi="华文楷体" w:cs="Arial" w:hint="eastAsia"/>
          <w:color w:val="000000" w:themeColor="text1"/>
          <w:sz w:val="21"/>
          <w:szCs w:val="21"/>
        </w:rPr>
        <w:t>（转下页）</w:t>
      </w:r>
    </w:p>
    <w:p w14:paraId="3E0A6988" w14:textId="77777777" w:rsidR="00AE01CB" w:rsidRPr="007B4794" w:rsidRDefault="00AE01CB" w:rsidP="0023359B">
      <w:pPr>
        <w:widowControl w:val="0"/>
        <w:adjustRightInd w:val="0"/>
        <w:snapToGrid w:val="0"/>
        <w:spacing w:line="480" w:lineRule="auto"/>
        <w:ind w:firstLineChars="200" w:firstLine="420"/>
        <w:jc w:val="both"/>
        <w:rPr>
          <w:rFonts w:ascii="Arial" w:hAnsi="Arial" w:cs="Arial"/>
          <w:color w:val="000000" w:themeColor="text1"/>
          <w:sz w:val="21"/>
          <w:szCs w:val="21"/>
        </w:rPr>
      </w:pPr>
    </w:p>
    <w:p w14:paraId="307F57A1" w14:textId="77777777" w:rsidR="00AE01CB" w:rsidRPr="007B4794" w:rsidRDefault="00AE01CB" w:rsidP="0023359B">
      <w:pPr>
        <w:widowControl w:val="0"/>
        <w:adjustRightInd w:val="0"/>
        <w:snapToGrid w:val="0"/>
        <w:spacing w:line="480" w:lineRule="auto"/>
        <w:ind w:firstLineChars="200" w:firstLine="420"/>
        <w:jc w:val="both"/>
        <w:rPr>
          <w:rFonts w:ascii="Arial" w:hAnsi="Arial" w:cs="Arial"/>
          <w:color w:val="000000" w:themeColor="text1"/>
          <w:sz w:val="21"/>
          <w:szCs w:val="21"/>
        </w:rPr>
      </w:pPr>
    </w:p>
    <w:p w14:paraId="66E7E051" w14:textId="77777777" w:rsidR="00256CD0" w:rsidRPr="007B4794" w:rsidRDefault="00256CD0" w:rsidP="00256CD0">
      <w:pPr>
        <w:widowControl w:val="0"/>
        <w:adjustRightInd w:val="0"/>
        <w:snapToGrid w:val="0"/>
        <w:spacing w:line="480" w:lineRule="auto"/>
        <w:ind w:firstLineChars="200" w:firstLine="420"/>
        <w:jc w:val="both"/>
        <w:rPr>
          <w:rFonts w:ascii="Arial" w:hAnsi="Arial" w:cs="Arial"/>
          <w:color w:val="000000" w:themeColor="text1"/>
          <w:sz w:val="21"/>
          <w:szCs w:val="21"/>
        </w:rPr>
      </w:pPr>
    </w:p>
    <w:p w14:paraId="68957B9C" w14:textId="77777777" w:rsidR="00256CD0" w:rsidRPr="007B4794" w:rsidRDefault="00256CD0" w:rsidP="00256CD0">
      <w:pPr>
        <w:widowControl w:val="0"/>
        <w:adjustRightInd w:val="0"/>
        <w:snapToGrid w:val="0"/>
        <w:spacing w:line="480" w:lineRule="auto"/>
        <w:ind w:firstLineChars="200" w:firstLine="420"/>
        <w:jc w:val="both"/>
        <w:rPr>
          <w:rFonts w:ascii="Arial" w:hAnsi="Arial" w:cs="Arial"/>
          <w:color w:val="000000" w:themeColor="text1"/>
          <w:sz w:val="21"/>
          <w:szCs w:val="21"/>
        </w:rPr>
      </w:pPr>
    </w:p>
    <w:p w14:paraId="49B3F6FF" w14:textId="77777777" w:rsidR="00256CD0" w:rsidRPr="007B4794" w:rsidRDefault="00256CD0" w:rsidP="00256CD0">
      <w:pPr>
        <w:widowControl w:val="0"/>
        <w:adjustRightInd w:val="0"/>
        <w:snapToGrid w:val="0"/>
        <w:spacing w:line="480" w:lineRule="auto"/>
        <w:ind w:firstLineChars="200" w:firstLine="420"/>
        <w:jc w:val="both"/>
        <w:rPr>
          <w:rFonts w:ascii="Arial" w:hAnsi="Arial" w:cs="Arial"/>
          <w:color w:val="000000" w:themeColor="text1"/>
          <w:sz w:val="21"/>
          <w:szCs w:val="21"/>
        </w:rPr>
        <w:sectPr w:rsidR="00256CD0" w:rsidRPr="007B4794" w:rsidSect="00225405">
          <w:pgSz w:w="11906" w:h="16838" w:code="9"/>
          <w:pgMar w:top="1843" w:right="1304" w:bottom="1134" w:left="1304" w:header="1134" w:footer="907" w:gutter="0"/>
          <w:cols w:space="425"/>
          <w:titlePg/>
          <w:docGrid w:linePitch="312"/>
        </w:sectPr>
      </w:pPr>
    </w:p>
    <w:tbl>
      <w:tblPr>
        <w:tblW w:w="10067" w:type="dxa"/>
        <w:jc w:val="center"/>
        <w:tblCellMar>
          <w:top w:w="57" w:type="dxa"/>
          <w:left w:w="57" w:type="dxa"/>
          <w:bottom w:w="57" w:type="dxa"/>
          <w:right w:w="57" w:type="dxa"/>
        </w:tblCellMar>
        <w:tblLook w:val="04A0" w:firstRow="1" w:lastRow="0" w:firstColumn="1" w:lastColumn="0" w:noHBand="0" w:noVBand="1"/>
      </w:tblPr>
      <w:tblGrid>
        <w:gridCol w:w="739"/>
        <w:gridCol w:w="2340"/>
        <w:gridCol w:w="2373"/>
        <w:gridCol w:w="2334"/>
        <w:gridCol w:w="2281"/>
      </w:tblGrid>
      <w:tr w:rsidR="00256CD0" w:rsidRPr="007B4794" w14:paraId="4BC561D7" w14:textId="77777777" w:rsidTr="00432972">
        <w:trPr>
          <w:cantSplit/>
          <w:trHeight w:val="283"/>
          <w:tblHeader/>
          <w:jc w:val="center"/>
        </w:trPr>
        <w:tc>
          <w:tcPr>
            <w:tcW w:w="739" w:type="dxa"/>
            <w:tcBorders>
              <w:top w:val="single" w:sz="12" w:space="0" w:color="auto"/>
              <w:bottom w:val="single" w:sz="12" w:space="0" w:color="auto"/>
            </w:tcBorders>
            <w:shd w:val="clear" w:color="000000" w:fill="963634"/>
            <w:vAlign w:val="center"/>
            <w:hideMark/>
          </w:tcPr>
          <w:p w14:paraId="181780FC" w14:textId="77777777" w:rsidR="00256CD0" w:rsidRPr="007B4794" w:rsidRDefault="00256CD0" w:rsidP="00432972">
            <w:pPr>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lastRenderedPageBreak/>
              <w:t>项目名称</w:t>
            </w:r>
          </w:p>
        </w:tc>
        <w:tc>
          <w:tcPr>
            <w:tcW w:w="2340" w:type="dxa"/>
            <w:tcBorders>
              <w:top w:val="single" w:sz="12" w:space="0" w:color="auto"/>
              <w:bottom w:val="single" w:sz="12" w:space="0" w:color="auto"/>
            </w:tcBorders>
            <w:shd w:val="clear" w:color="000000" w:fill="963634"/>
            <w:vAlign w:val="center"/>
          </w:tcPr>
          <w:p w14:paraId="58BC100C"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hint="eastAsia"/>
                <w:b/>
                <w:bCs/>
                <w:color w:val="000000" w:themeColor="text1"/>
                <w:sz w:val="15"/>
                <w:szCs w:val="15"/>
              </w:rPr>
              <w:t>奥园悦鹭云境</w:t>
            </w:r>
          </w:p>
        </w:tc>
        <w:tc>
          <w:tcPr>
            <w:tcW w:w="2373" w:type="dxa"/>
            <w:tcBorders>
              <w:top w:val="single" w:sz="12" w:space="0" w:color="auto"/>
              <w:bottom w:val="single" w:sz="12" w:space="0" w:color="auto"/>
            </w:tcBorders>
            <w:shd w:val="clear" w:color="000000" w:fill="963634"/>
            <w:vAlign w:val="center"/>
          </w:tcPr>
          <w:p w14:paraId="41C087A8"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hint="eastAsia"/>
                <w:b/>
                <w:bCs/>
                <w:color w:val="000000" w:themeColor="text1"/>
                <w:sz w:val="15"/>
                <w:szCs w:val="15"/>
              </w:rPr>
              <w:t>角美大唐世家</w:t>
            </w:r>
          </w:p>
        </w:tc>
        <w:tc>
          <w:tcPr>
            <w:tcW w:w="2334" w:type="dxa"/>
            <w:tcBorders>
              <w:top w:val="single" w:sz="12" w:space="0" w:color="auto"/>
              <w:bottom w:val="single" w:sz="12" w:space="0" w:color="auto"/>
            </w:tcBorders>
            <w:shd w:val="clear" w:color="000000" w:fill="963634"/>
            <w:vAlign w:val="center"/>
          </w:tcPr>
          <w:p w14:paraId="12211612"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hint="eastAsia"/>
                <w:b/>
                <w:bCs/>
                <w:color w:val="000000" w:themeColor="text1"/>
                <w:sz w:val="15"/>
                <w:szCs w:val="15"/>
              </w:rPr>
              <w:t>宝嘉誉峰</w:t>
            </w:r>
          </w:p>
        </w:tc>
        <w:tc>
          <w:tcPr>
            <w:tcW w:w="2281" w:type="dxa"/>
            <w:tcBorders>
              <w:top w:val="single" w:sz="12" w:space="0" w:color="auto"/>
              <w:bottom w:val="single" w:sz="12" w:space="0" w:color="auto"/>
            </w:tcBorders>
            <w:shd w:val="clear" w:color="000000" w:fill="963634"/>
            <w:vAlign w:val="center"/>
          </w:tcPr>
          <w:p w14:paraId="1A586272"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hint="eastAsia"/>
                <w:b/>
                <w:bCs/>
                <w:color w:val="000000" w:themeColor="text1"/>
                <w:sz w:val="15"/>
                <w:szCs w:val="15"/>
              </w:rPr>
              <w:t>水晶湖畔</w:t>
            </w:r>
          </w:p>
        </w:tc>
      </w:tr>
      <w:tr w:rsidR="00256CD0" w:rsidRPr="007B4794" w14:paraId="4B10BE8D" w14:textId="77777777" w:rsidTr="00432972">
        <w:trPr>
          <w:cantSplit/>
          <w:trHeight w:val="283"/>
          <w:jc w:val="center"/>
        </w:trPr>
        <w:tc>
          <w:tcPr>
            <w:tcW w:w="739" w:type="dxa"/>
            <w:shd w:val="clear" w:color="000000" w:fill="963634"/>
            <w:vAlign w:val="center"/>
            <w:hideMark/>
          </w:tcPr>
          <w:p w14:paraId="6E47584F" w14:textId="77777777" w:rsidR="00256CD0" w:rsidRPr="007B4794" w:rsidRDefault="00256CD0" w:rsidP="00432972">
            <w:pPr>
              <w:jc w:val="center"/>
              <w:rPr>
                <w:rFonts w:ascii="Arial" w:eastAsia="华文细黑" w:hAnsi="Arial" w:cs="Arial"/>
                <w:b/>
                <w:bCs/>
                <w:color w:val="000000" w:themeColor="text1"/>
                <w:sz w:val="15"/>
                <w:szCs w:val="15"/>
              </w:rPr>
            </w:pPr>
          </w:p>
        </w:tc>
        <w:tc>
          <w:tcPr>
            <w:tcW w:w="2340" w:type="dxa"/>
            <w:shd w:val="clear" w:color="auto" w:fill="auto"/>
            <w:vAlign w:val="center"/>
          </w:tcPr>
          <w:p w14:paraId="4213BB6C" w14:textId="77777777" w:rsidR="00256CD0" w:rsidRPr="007B4794" w:rsidRDefault="00256CD0" w:rsidP="00432972">
            <w:pPr>
              <w:jc w:val="center"/>
              <w:rPr>
                <w:rFonts w:ascii="Arial" w:eastAsia="华文细黑" w:hAnsi="Arial" w:cs="Arial"/>
                <w:color w:val="000000" w:themeColor="text1"/>
                <w:sz w:val="15"/>
                <w:szCs w:val="15"/>
              </w:rPr>
            </w:pPr>
            <w:r w:rsidRPr="007B4794">
              <w:rPr>
                <w:rFonts w:ascii="Arial" w:eastAsia="华文细黑" w:hAnsi="Arial" w:cs="Arial"/>
                <w:noProof/>
                <w:color w:val="000000" w:themeColor="text1"/>
                <w:sz w:val="15"/>
                <w:szCs w:val="15"/>
              </w:rPr>
              <w:drawing>
                <wp:inline distT="0" distB="0" distL="0" distR="0" wp14:anchorId="4487699F" wp14:editId="1461988D">
                  <wp:extent cx="1354257" cy="101569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珠光御景壹号2.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54257" cy="1015692"/>
                          </a:xfrm>
                          <a:prstGeom prst="rect">
                            <a:avLst/>
                          </a:prstGeom>
                        </pic:spPr>
                      </pic:pic>
                    </a:graphicData>
                  </a:graphic>
                </wp:inline>
              </w:drawing>
            </w:r>
          </w:p>
        </w:tc>
        <w:tc>
          <w:tcPr>
            <w:tcW w:w="2373" w:type="dxa"/>
            <w:shd w:val="clear" w:color="auto" w:fill="auto"/>
            <w:vAlign w:val="center"/>
          </w:tcPr>
          <w:p w14:paraId="0A09E74B" w14:textId="77777777" w:rsidR="00256CD0" w:rsidRPr="007B4794" w:rsidRDefault="00256CD0" w:rsidP="00432972">
            <w:pPr>
              <w:jc w:val="center"/>
              <w:rPr>
                <w:rFonts w:ascii="Arial" w:eastAsia="华文细黑" w:hAnsi="Arial" w:cs="Arial"/>
                <w:color w:val="000000" w:themeColor="text1"/>
                <w:sz w:val="15"/>
                <w:szCs w:val="15"/>
              </w:rPr>
            </w:pPr>
            <w:r w:rsidRPr="007B4794">
              <w:rPr>
                <w:rFonts w:ascii="Arial" w:eastAsia="华文细黑" w:hAnsi="Arial" w:cs="Arial"/>
                <w:noProof/>
                <w:color w:val="000000" w:themeColor="text1"/>
                <w:sz w:val="15"/>
                <w:szCs w:val="15"/>
              </w:rPr>
              <w:drawing>
                <wp:inline distT="0" distB="0" distL="0" distR="0" wp14:anchorId="096253F2" wp14:editId="7129A78D">
                  <wp:extent cx="1348081" cy="1011061"/>
                  <wp:effectExtent l="0" t="0" r="508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天誉半岛花园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48081" cy="1011061"/>
                          </a:xfrm>
                          <a:prstGeom prst="rect">
                            <a:avLst/>
                          </a:prstGeom>
                        </pic:spPr>
                      </pic:pic>
                    </a:graphicData>
                  </a:graphic>
                </wp:inline>
              </w:drawing>
            </w:r>
          </w:p>
        </w:tc>
        <w:tc>
          <w:tcPr>
            <w:tcW w:w="2334" w:type="dxa"/>
            <w:vAlign w:val="center"/>
          </w:tcPr>
          <w:p w14:paraId="38FADF8B" w14:textId="77777777" w:rsidR="00256CD0" w:rsidRPr="007B4794" w:rsidRDefault="00256CD0" w:rsidP="00432972">
            <w:pPr>
              <w:jc w:val="center"/>
              <w:rPr>
                <w:rFonts w:ascii="Arial" w:eastAsia="华文细黑" w:hAnsi="Arial" w:cs="Arial"/>
                <w:noProof/>
                <w:color w:val="000000" w:themeColor="text1"/>
                <w:sz w:val="15"/>
                <w:szCs w:val="15"/>
              </w:rPr>
            </w:pPr>
            <w:r w:rsidRPr="007B4794">
              <w:rPr>
                <w:rFonts w:ascii="Arial" w:eastAsia="华文细黑" w:hAnsi="Arial" w:cs="Arial"/>
                <w:noProof/>
                <w:color w:val="000000" w:themeColor="text1"/>
                <w:sz w:val="15"/>
                <w:szCs w:val="15"/>
              </w:rPr>
              <w:drawing>
                <wp:inline distT="0" distB="0" distL="0" distR="0" wp14:anchorId="2309B401" wp14:editId="3896984C">
                  <wp:extent cx="1348082" cy="1011061"/>
                  <wp:effectExtent l="0" t="0" r="5080" b="0"/>
                  <wp:docPr id="5166" name="图片 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天誉半岛花园2.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348082" cy="1011061"/>
                          </a:xfrm>
                          <a:prstGeom prst="rect">
                            <a:avLst/>
                          </a:prstGeom>
                        </pic:spPr>
                      </pic:pic>
                    </a:graphicData>
                  </a:graphic>
                </wp:inline>
              </w:drawing>
            </w:r>
          </w:p>
        </w:tc>
        <w:tc>
          <w:tcPr>
            <w:tcW w:w="2281" w:type="dxa"/>
            <w:vAlign w:val="center"/>
          </w:tcPr>
          <w:p w14:paraId="0B5EB349" w14:textId="77777777" w:rsidR="00256CD0" w:rsidRPr="007B4794" w:rsidRDefault="00256CD0" w:rsidP="00432972">
            <w:pPr>
              <w:jc w:val="center"/>
              <w:rPr>
                <w:rFonts w:ascii="Arial" w:eastAsia="华文细黑" w:hAnsi="Arial" w:cs="Arial"/>
                <w:color w:val="000000" w:themeColor="text1"/>
                <w:sz w:val="15"/>
                <w:szCs w:val="15"/>
              </w:rPr>
            </w:pPr>
            <w:r w:rsidRPr="007B4794">
              <w:rPr>
                <w:rFonts w:ascii="Arial" w:eastAsia="华文细黑" w:hAnsi="Arial" w:cs="Arial"/>
                <w:noProof/>
                <w:color w:val="000000" w:themeColor="text1"/>
                <w:sz w:val="15"/>
                <w:szCs w:val="15"/>
              </w:rPr>
              <w:drawing>
                <wp:inline distT="0" distB="0" distL="0" distR="0" wp14:anchorId="4F7EF38D" wp14:editId="4C7C151C">
                  <wp:extent cx="1239121" cy="929341"/>
                  <wp:effectExtent l="0" t="0" r="0" b="4445"/>
                  <wp:docPr id="5156" name="图片 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金众西关海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239121" cy="929341"/>
                          </a:xfrm>
                          <a:prstGeom prst="rect">
                            <a:avLst/>
                          </a:prstGeom>
                        </pic:spPr>
                      </pic:pic>
                    </a:graphicData>
                  </a:graphic>
                </wp:inline>
              </w:drawing>
            </w:r>
          </w:p>
        </w:tc>
      </w:tr>
      <w:tr w:rsidR="00256CD0" w:rsidRPr="007B4794" w14:paraId="1205D377" w14:textId="77777777" w:rsidTr="00432972">
        <w:trPr>
          <w:cantSplit/>
          <w:trHeight w:val="283"/>
          <w:jc w:val="center"/>
        </w:trPr>
        <w:tc>
          <w:tcPr>
            <w:tcW w:w="739" w:type="dxa"/>
            <w:tcBorders>
              <w:top w:val="single" w:sz="4" w:space="0" w:color="auto"/>
            </w:tcBorders>
            <w:shd w:val="clear" w:color="000000" w:fill="C0C0C0"/>
            <w:vAlign w:val="center"/>
            <w:hideMark/>
          </w:tcPr>
          <w:p w14:paraId="5C6B088E"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与本项目直线距离</w:t>
            </w:r>
          </w:p>
        </w:tc>
        <w:tc>
          <w:tcPr>
            <w:tcW w:w="2340" w:type="dxa"/>
            <w:tcBorders>
              <w:top w:val="single" w:sz="4" w:space="0" w:color="auto"/>
            </w:tcBorders>
            <w:shd w:val="clear" w:color="auto" w:fill="auto"/>
            <w:vAlign w:val="center"/>
          </w:tcPr>
          <w:p w14:paraId="1134078E"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color w:val="000000" w:themeColor="text1"/>
                <w:sz w:val="15"/>
                <w:szCs w:val="15"/>
              </w:rPr>
              <w:t>100</w:t>
            </w:r>
            <w:r w:rsidRPr="007B4794">
              <w:rPr>
                <w:rFonts w:ascii="Arial" w:eastAsia="华文细黑" w:hAnsi="Arial" w:cs="Arial" w:hint="eastAsia"/>
                <w:color w:val="000000" w:themeColor="text1"/>
                <w:sz w:val="15"/>
                <w:szCs w:val="15"/>
              </w:rPr>
              <w:t>米</w:t>
            </w:r>
          </w:p>
        </w:tc>
        <w:tc>
          <w:tcPr>
            <w:tcW w:w="2373" w:type="dxa"/>
            <w:tcBorders>
              <w:top w:val="single" w:sz="4" w:space="0" w:color="auto"/>
            </w:tcBorders>
            <w:shd w:val="clear" w:color="auto" w:fill="auto"/>
            <w:vAlign w:val="center"/>
          </w:tcPr>
          <w:p w14:paraId="14128F81"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color w:val="000000" w:themeColor="text1"/>
                <w:sz w:val="15"/>
                <w:szCs w:val="15"/>
              </w:rPr>
              <w:t>2</w:t>
            </w:r>
            <w:r w:rsidRPr="007B4794">
              <w:rPr>
                <w:rFonts w:ascii="Arial" w:eastAsia="华文细黑" w:hAnsi="Arial" w:cs="Arial" w:hint="eastAsia"/>
                <w:color w:val="000000" w:themeColor="text1"/>
                <w:sz w:val="15"/>
                <w:szCs w:val="15"/>
              </w:rPr>
              <w:t>公里</w:t>
            </w:r>
          </w:p>
        </w:tc>
        <w:tc>
          <w:tcPr>
            <w:tcW w:w="2334" w:type="dxa"/>
            <w:tcBorders>
              <w:top w:val="single" w:sz="4" w:space="0" w:color="auto"/>
            </w:tcBorders>
            <w:vAlign w:val="center"/>
          </w:tcPr>
          <w:p w14:paraId="27181531"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color w:val="000000" w:themeColor="text1"/>
                <w:sz w:val="15"/>
                <w:szCs w:val="15"/>
              </w:rPr>
              <w:t>1</w:t>
            </w:r>
            <w:r w:rsidRPr="007B4794">
              <w:rPr>
                <w:rFonts w:ascii="Arial" w:eastAsia="华文细黑" w:hAnsi="Arial" w:cs="Arial" w:hint="eastAsia"/>
                <w:color w:val="000000" w:themeColor="text1"/>
                <w:sz w:val="15"/>
                <w:szCs w:val="15"/>
              </w:rPr>
              <w:t>公里</w:t>
            </w:r>
          </w:p>
        </w:tc>
        <w:tc>
          <w:tcPr>
            <w:tcW w:w="2281" w:type="dxa"/>
            <w:tcBorders>
              <w:top w:val="single" w:sz="4" w:space="0" w:color="auto"/>
            </w:tcBorders>
            <w:vAlign w:val="center"/>
          </w:tcPr>
          <w:p w14:paraId="61F1BDA8"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color w:val="000000" w:themeColor="text1"/>
                <w:sz w:val="15"/>
                <w:szCs w:val="15"/>
              </w:rPr>
              <w:t>800</w:t>
            </w:r>
            <w:r w:rsidRPr="007B4794">
              <w:rPr>
                <w:rFonts w:ascii="Arial" w:eastAsia="华文细黑" w:hAnsi="Arial" w:cs="Arial" w:hint="eastAsia"/>
                <w:color w:val="000000" w:themeColor="text1"/>
                <w:sz w:val="15"/>
                <w:szCs w:val="15"/>
              </w:rPr>
              <w:t>米</w:t>
            </w:r>
          </w:p>
        </w:tc>
      </w:tr>
      <w:tr w:rsidR="00256CD0" w:rsidRPr="007B4794" w14:paraId="7FA1EE63" w14:textId="77777777" w:rsidTr="00432972">
        <w:trPr>
          <w:cantSplit/>
          <w:trHeight w:val="452"/>
          <w:jc w:val="center"/>
        </w:trPr>
        <w:tc>
          <w:tcPr>
            <w:tcW w:w="739" w:type="dxa"/>
            <w:shd w:val="clear" w:color="000000" w:fill="C0C0C0"/>
            <w:vAlign w:val="center"/>
            <w:hideMark/>
          </w:tcPr>
          <w:p w14:paraId="048E3242"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开发商</w:t>
            </w:r>
          </w:p>
        </w:tc>
        <w:tc>
          <w:tcPr>
            <w:tcW w:w="2340" w:type="dxa"/>
            <w:shd w:val="clear" w:color="auto" w:fill="auto"/>
            <w:vAlign w:val="center"/>
          </w:tcPr>
          <w:p w14:paraId="5E2AC007"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漳州奥昕房地产有限公司</w:t>
            </w:r>
          </w:p>
        </w:tc>
        <w:tc>
          <w:tcPr>
            <w:tcW w:w="2373" w:type="dxa"/>
            <w:shd w:val="clear" w:color="auto" w:fill="auto"/>
            <w:vAlign w:val="center"/>
          </w:tcPr>
          <w:p w14:paraId="2915B345"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color w:val="000000" w:themeColor="text1"/>
                <w:sz w:val="15"/>
                <w:szCs w:val="15"/>
              </w:rPr>
              <w:t>漳州唐成房地产有限公司</w:t>
            </w:r>
          </w:p>
        </w:tc>
        <w:tc>
          <w:tcPr>
            <w:tcW w:w="2334" w:type="dxa"/>
            <w:vAlign w:val="center"/>
          </w:tcPr>
          <w:p w14:paraId="408B3908"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color w:val="000000" w:themeColor="text1"/>
                <w:sz w:val="15"/>
                <w:szCs w:val="15"/>
              </w:rPr>
              <w:t>漳州台商投资区宝嘉房地产有限公司</w:t>
            </w:r>
          </w:p>
        </w:tc>
        <w:tc>
          <w:tcPr>
            <w:tcW w:w="2281" w:type="dxa"/>
            <w:vAlign w:val="center"/>
          </w:tcPr>
          <w:p w14:paraId="3817AF04"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color w:val="000000" w:themeColor="text1"/>
                <w:sz w:val="15"/>
                <w:szCs w:val="15"/>
              </w:rPr>
              <w:t>漳州万景园房地产开发有限公司</w:t>
            </w:r>
          </w:p>
        </w:tc>
      </w:tr>
      <w:tr w:rsidR="00256CD0" w:rsidRPr="007B4794" w14:paraId="36F0039A" w14:textId="77777777" w:rsidTr="00432972">
        <w:trPr>
          <w:cantSplit/>
          <w:trHeight w:val="283"/>
          <w:jc w:val="center"/>
        </w:trPr>
        <w:tc>
          <w:tcPr>
            <w:tcW w:w="739" w:type="dxa"/>
            <w:shd w:val="clear" w:color="000000" w:fill="C0C0C0"/>
            <w:vAlign w:val="center"/>
            <w:hideMark/>
          </w:tcPr>
          <w:p w14:paraId="0243462D"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项目位置</w:t>
            </w:r>
          </w:p>
        </w:tc>
        <w:tc>
          <w:tcPr>
            <w:tcW w:w="2340" w:type="dxa"/>
            <w:shd w:val="clear" w:color="auto" w:fill="auto"/>
            <w:vAlign w:val="center"/>
          </w:tcPr>
          <w:p w14:paraId="69E7E9B6"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翁角路与锦江大道交汇处</w:t>
            </w:r>
          </w:p>
        </w:tc>
        <w:tc>
          <w:tcPr>
            <w:tcW w:w="2373" w:type="dxa"/>
            <w:shd w:val="clear" w:color="auto" w:fill="auto"/>
            <w:vAlign w:val="center"/>
          </w:tcPr>
          <w:p w14:paraId="00FDE242"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324</w:t>
            </w:r>
            <w:r w:rsidRPr="007B4794">
              <w:rPr>
                <w:rFonts w:ascii="Arial" w:eastAsia="华文细黑" w:hAnsi="Arial" w:cs="Arial" w:hint="eastAsia"/>
                <w:color w:val="000000" w:themeColor="text1"/>
                <w:sz w:val="15"/>
                <w:szCs w:val="15"/>
              </w:rPr>
              <w:t>国道与同发路交汇处</w:t>
            </w:r>
          </w:p>
        </w:tc>
        <w:tc>
          <w:tcPr>
            <w:tcW w:w="2334" w:type="dxa"/>
            <w:vAlign w:val="center"/>
          </w:tcPr>
          <w:p w14:paraId="26DDC11D"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角江路万达广场旁</w:t>
            </w:r>
          </w:p>
        </w:tc>
        <w:tc>
          <w:tcPr>
            <w:tcW w:w="2281" w:type="dxa"/>
            <w:vAlign w:val="center"/>
          </w:tcPr>
          <w:p w14:paraId="244645C9"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石厝村湖中路</w:t>
            </w:r>
          </w:p>
        </w:tc>
      </w:tr>
      <w:tr w:rsidR="00256CD0" w:rsidRPr="007B4794" w14:paraId="2002206C" w14:textId="77777777" w:rsidTr="00432972">
        <w:trPr>
          <w:cantSplit/>
          <w:trHeight w:val="680"/>
          <w:jc w:val="center"/>
        </w:trPr>
        <w:tc>
          <w:tcPr>
            <w:tcW w:w="739" w:type="dxa"/>
            <w:shd w:val="clear" w:color="000000" w:fill="C0C0C0"/>
            <w:vAlign w:val="center"/>
            <w:hideMark/>
          </w:tcPr>
          <w:p w14:paraId="30C70965"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项目规模</w:t>
            </w:r>
          </w:p>
        </w:tc>
        <w:tc>
          <w:tcPr>
            <w:tcW w:w="2340" w:type="dxa"/>
            <w:shd w:val="clear" w:color="auto" w:fill="auto"/>
            <w:vAlign w:val="center"/>
          </w:tcPr>
          <w:p w14:paraId="5EC02CC6"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占地面积：</w:t>
            </w:r>
            <w:r w:rsidRPr="007B4794">
              <w:rPr>
                <w:rFonts w:ascii="Arial" w:eastAsia="华文细黑" w:hAnsi="Arial" w:cs="Arial" w:hint="eastAsia"/>
                <w:color w:val="000000" w:themeColor="text1"/>
                <w:sz w:val="15"/>
                <w:szCs w:val="15"/>
              </w:rPr>
              <w:t>33858</w:t>
            </w:r>
            <w:r w:rsidRPr="007B4794">
              <w:rPr>
                <w:rFonts w:ascii="Arial" w:eastAsia="华文细黑" w:hAnsi="Arial" w:cs="Arial" w:hint="eastAsia"/>
                <w:color w:val="000000" w:themeColor="text1"/>
                <w:sz w:val="15"/>
                <w:szCs w:val="15"/>
              </w:rPr>
              <w:t>平方米</w:t>
            </w:r>
          </w:p>
          <w:p w14:paraId="0D8293E8"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建筑面积：</w:t>
            </w:r>
            <w:r w:rsidRPr="007B4794">
              <w:rPr>
                <w:rFonts w:ascii="Arial" w:eastAsia="华文细黑" w:hAnsi="Arial" w:cs="Arial" w:hint="eastAsia"/>
                <w:color w:val="000000" w:themeColor="text1"/>
                <w:sz w:val="15"/>
                <w:szCs w:val="15"/>
              </w:rPr>
              <w:t>140000</w:t>
            </w:r>
            <w:r w:rsidRPr="007B4794">
              <w:rPr>
                <w:rFonts w:ascii="Arial" w:eastAsia="华文细黑" w:hAnsi="Arial" w:cs="Arial" w:hint="eastAsia"/>
                <w:color w:val="000000" w:themeColor="text1"/>
                <w:sz w:val="15"/>
                <w:szCs w:val="15"/>
              </w:rPr>
              <w:t>平方米</w:t>
            </w:r>
          </w:p>
        </w:tc>
        <w:tc>
          <w:tcPr>
            <w:tcW w:w="2373" w:type="dxa"/>
            <w:shd w:val="clear" w:color="auto" w:fill="auto"/>
            <w:vAlign w:val="center"/>
          </w:tcPr>
          <w:p w14:paraId="6570D4F0"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占地面积：</w:t>
            </w:r>
            <w:r w:rsidRPr="007B4794">
              <w:rPr>
                <w:rFonts w:ascii="Arial" w:eastAsia="华文细黑" w:hAnsi="Arial" w:cs="Arial" w:hint="eastAsia"/>
                <w:color w:val="000000" w:themeColor="text1"/>
                <w:sz w:val="15"/>
                <w:szCs w:val="15"/>
              </w:rPr>
              <w:t>42000</w:t>
            </w:r>
            <w:r w:rsidRPr="007B4794">
              <w:rPr>
                <w:rFonts w:ascii="Arial" w:eastAsia="华文细黑" w:hAnsi="Arial" w:cs="Arial" w:hint="eastAsia"/>
                <w:color w:val="000000" w:themeColor="text1"/>
                <w:sz w:val="15"/>
                <w:szCs w:val="15"/>
              </w:rPr>
              <w:t>平方米</w:t>
            </w:r>
          </w:p>
          <w:p w14:paraId="34A5FB17"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建筑面积：</w:t>
            </w:r>
            <w:r w:rsidRPr="007B4794">
              <w:rPr>
                <w:rFonts w:ascii="Arial" w:eastAsia="华文细黑" w:hAnsi="Arial" w:cs="Arial" w:hint="eastAsia"/>
                <w:color w:val="000000" w:themeColor="text1"/>
                <w:sz w:val="15"/>
                <w:szCs w:val="15"/>
              </w:rPr>
              <w:t>180000</w:t>
            </w:r>
            <w:r w:rsidRPr="007B4794">
              <w:rPr>
                <w:rFonts w:ascii="Arial" w:eastAsia="华文细黑" w:hAnsi="Arial" w:cs="Arial" w:hint="eastAsia"/>
                <w:color w:val="000000" w:themeColor="text1"/>
                <w:sz w:val="15"/>
                <w:szCs w:val="15"/>
              </w:rPr>
              <w:t>平方米</w:t>
            </w:r>
          </w:p>
        </w:tc>
        <w:tc>
          <w:tcPr>
            <w:tcW w:w="2334" w:type="dxa"/>
            <w:vAlign w:val="center"/>
          </w:tcPr>
          <w:p w14:paraId="5E9E7D84"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占地面积：</w:t>
            </w:r>
            <w:r w:rsidRPr="007B4794">
              <w:rPr>
                <w:rFonts w:ascii="Arial" w:eastAsia="华文细黑" w:hAnsi="Arial" w:cs="Arial" w:hint="eastAsia"/>
                <w:color w:val="000000" w:themeColor="text1"/>
                <w:sz w:val="15"/>
                <w:szCs w:val="15"/>
              </w:rPr>
              <w:t>40000</w:t>
            </w:r>
            <w:r w:rsidRPr="007B4794">
              <w:rPr>
                <w:rFonts w:ascii="Arial" w:eastAsia="华文细黑" w:hAnsi="Arial" w:cs="Arial" w:hint="eastAsia"/>
                <w:color w:val="000000" w:themeColor="text1"/>
                <w:sz w:val="15"/>
                <w:szCs w:val="15"/>
              </w:rPr>
              <w:t>平方米</w:t>
            </w:r>
          </w:p>
          <w:p w14:paraId="01421AD5"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建筑面积：</w:t>
            </w:r>
            <w:r w:rsidRPr="007B4794">
              <w:rPr>
                <w:rFonts w:ascii="Arial" w:eastAsia="华文细黑" w:hAnsi="Arial" w:cs="Arial" w:hint="eastAsia"/>
                <w:color w:val="000000" w:themeColor="text1"/>
                <w:sz w:val="15"/>
                <w:szCs w:val="15"/>
              </w:rPr>
              <w:t>80000</w:t>
            </w:r>
            <w:r w:rsidRPr="007B4794">
              <w:rPr>
                <w:rFonts w:ascii="Arial" w:eastAsia="华文细黑" w:hAnsi="Arial" w:cs="Arial" w:hint="eastAsia"/>
                <w:color w:val="000000" w:themeColor="text1"/>
                <w:sz w:val="15"/>
                <w:szCs w:val="15"/>
              </w:rPr>
              <w:t>平方米</w:t>
            </w:r>
          </w:p>
        </w:tc>
        <w:tc>
          <w:tcPr>
            <w:tcW w:w="2281" w:type="dxa"/>
            <w:vAlign w:val="center"/>
          </w:tcPr>
          <w:p w14:paraId="600C03BE"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占地面积：</w:t>
            </w:r>
            <w:r w:rsidRPr="007B4794">
              <w:rPr>
                <w:rFonts w:ascii="Arial" w:eastAsia="华文细黑" w:hAnsi="Arial" w:cs="Arial" w:hint="eastAsia"/>
                <w:color w:val="000000" w:themeColor="text1"/>
                <w:sz w:val="15"/>
                <w:szCs w:val="15"/>
              </w:rPr>
              <w:t>36900</w:t>
            </w:r>
            <w:r w:rsidRPr="007B4794">
              <w:rPr>
                <w:rFonts w:ascii="Arial" w:eastAsia="华文细黑" w:hAnsi="Arial" w:cs="Arial" w:hint="eastAsia"/>
                <w:color w:val="000000" w:themeColor="text1"/>
                <w:sz w:val="15"/>
                <w:szCs w:val="15"/>
              </w:rPr>
              <w:t>平方米</w:t>
            </w:r>
          </w:p>
          <w:p w14:paraId="47F869DD"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建筑面积：</w:t>
            </w:r>
            <w:r w:rsidRPr="007B4794">
              <w:rPr>
                <w:rFonts w:ascii="Arial" w:eastAsia="华文细黑" w:hAnsi="Arial" w:cs="Arial" w:hint="eastAsia"/>
                <w:color w:val="000000" w:themeColor="text1"/>
                <w:sz w:val="15"/>
                <w:szCs w:val="15"/>
              </w:rPr>
              <w:t>128000</w:t>
            </w:r>
            <w:r w:rsidRPr="007B4794">
              <w:rPr>
                <w:rFonts w:ascii="Arial" w:eastAsia="华文细黑" w:hAnsi="Arial" w:cs="Arial" w:hint="eastAsia"/>
                <w:color w:val="000000" w:themeColor="text1"/>
                <w:sz w:val="15"/>
                <w:szCs w:val="15"/>
              </w:rPr>
              <w:t>平方米</w:t>
            </w:r>
          </w:p>
        </w:tc>
      </w:tr>
      <w:tr w:rsidR="00256CD0" w:rsidRPr="007B4794" w14:paraId="4CE2E72B" w14:textId="77777777" w:rsidTr="00432972">
        <w:trPr>
          <w:cantSplit/>
          <w:trHeight w:val="283"/>
          <w:jc w:val="center"/>
        </w:trPr>
        <w:tc>
          <w:tcPr>
            <w:tcW w:w="739" w:type="dxa"/>
            <w:shd w:val="clear" w:color="000000" w:fill="C0C0C0"/>
            <w:vAlign w:val="center"/>
            <w:hideMark/>
          </w:tcPr>
          <w:p w14:paraId="0CA2A09C"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项目容积率</w:t>
            </w:r>
          </w:p>
        </w:tc>
        <w:tc>
          <w:tcPr>
            <w:tcW w:w="2340" w:type="dxa"/>
            <w:shd w:val="clear" w:color="auto" w:fill="auto"/>
            <w:vAlign w:val="center"/>
          </w:tcPr>
          <w:p w14:paraId="55F83E30"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2.5</w:t>
            </w:r>
          </w:p>
        </w:tc>
        <w:tc>
          <w:tcPr>
            <w:tcW w:w="2373" w:type="dxa"/>
            <w:shd w:val="clear" w:color="auto" w:fill="auto"/>
            <w:vAlign w:val="center"/>
          </w:tcPr>
          <w:p w14:paraId="2F769626"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3</w:t>
            </w:r>
          </w:p>
        </w:tc>
        <w:tc>
          <w:tcPr>
            <w:tcW w:w="2334" w:type="dxa"/>
            <w:vAlign w:val="center"/>
          </w:tcPr>
          <w:p w14:paraId="736AFA0E"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1.99</w:t>
            </w:r>
          </w:p>
        </w:tc>
        <w:tc>
          <w:tcPr>
            <w:tcW w:w="2281" w:type="dxa"/>
            <w:vAlign w:val="center"/>
          </w:tcPr>
          <w:p w14:paraId="6A07EB83"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2.7</w:t>
            </w:r>
          </w:p>
        </w:tc>
      </w:tr>
      <w:tr w:rsidR="00256CD0" w:rsidRPr="007B4794" w14:paraId="5E64371D" w14:textId="77777777" w:rsidTr="00432972">
        <w:trPr>
          <w:cantSplit/>
          <w:trHeight w:val="430"/>
          <w:jc w:val="center"/>
        </w:trPr>
        <w:tc>
          <w:tcPr>
            <w:tcW w:w="739" w:type="dxa"/>
            <w:shd w:val="clear" w:color="000000" w:fill="C0C0C0"/>
            <w:vAlign w:val="center"/>
          </w:tcPr>
          <w:p w14:paraId="37CB29A6"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楼栋总数</w:t>
            </w:r>
          </w:p>
        </w:tc>
        <w:tc>
          <w:tcPr>
            <w:tcW w:w="2340" w:type="dxa"/>
            <w:shd w:val="clear" w:color="auto" w:fill="auto"/>
            <w:vAlign w:val="center"/>
          </w:tcPr>
          <w:p w14:paraId="080994A8"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color w:val="000000" w:themeColor="text1"/>
                <w:sz w:val="15"/>
                <w:szCs w:val="15"/>
              </w:rPr>
              <w:t>8</w:t>
            </w:r>
            <w:r w:rsidRPr="007B4794">
              <w:rPr>
                <w:rFonts w:ascii="Arial" w:eastAsia="华文细黑" w:hAnsi="Arial" w:cs="Arial"/>
                <w:color w:val="000000" w:themeColor="text1"/>
                <w:sz w:val="15"/>
                <w:szCs w:val="15"/>
              </w:rPr>
              <w:t>栋</w:t>
            </w:r>
          </w:p>
        </w:tc>
        <w:tc>
          <w:tcPr>
            <w:tcW w:w="2373" w:type="dxa"/>
            <w:shd w:val="clear" w:color="auto" w:fill="auto"/>
            <w:vAlign w:val="center"/>
          </w:tcPr>
          <w:p w14:paraId="7298B237"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color w:val="000000" w:themeColor="text1"/>
                <w:sz w:val="15"/>
                <w:szCs w:val="15"/>
              </w:rPr>
              <w:t>11</w:t>
            </w:r>
            <w:r w:rsidRPr="007B4794">
              <w:rPr>
                <w:rFonts w:ascii="Arial" w:eastAsia="华文细黑" w:hAnsi="Arial" w:cs="Arial"/>
                <w:color w:val="000000" w:themeColor="text1"/>
                <w:sz w:val="15"/>
                <w:szCs w:val="15"/>
              </w:rPr>
              <w:t>栋</w:t>
            </w:r>
          </w:p>
        </w:tc>
        <w:tc>
          <w:tcPr>
            <w:tcW w:w="2334" w:type="dxa"/>
            <w:vAlign w:val="center"/>
          </w:tcPr>
          <w:p w14:paraId="66F9E93B"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color w:val="000000" w:themeColor="text1"/>
                <w:sz w:val="15"/>
                <w:szCs w:val="15"/>
              </w:rPr>
              <w:t>13</w:t>
            </w:r>
            <w:r w:rsidRPr="007B4794">
              <w:rPr>
                <w:rFonts w:ascii="Arial" w:eastAsia="华文细黑" w:hAnsi="Arial" w:cs="Arial"/>
                <w:color w:val="000000" w:themeColor="text1"/>
                <w:sz w:val="15"/>
                <w:szCs w:val="15"/>
              </w:rPr>
              <w:t>栋</w:t>
            </w:r>
          </w:p>
        </w:tc>
        <w:tc>
          <w:tcPr>
            <w:tcW w:w="2281" w:type="dxa"/>
            <w:vAlign w:val="center"/>
          </w:tcPr>
          <w:p w14:paraId="1C756303"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color w:val="000000" w:themeColor="text1"/>
                <w:sz w:val="15"/>
                <w:szCs w:val="15"/>
              </w:rPr>
              <w:t>13</w:t>
            </w:r>
            <w:r w:rsidRPr="007B4794">
              <w:rPr>
                <w:rFonts w:ascii="Arial" w:eastAsia="华文细黑" w:hAnsi="Arial" w:cs="Arial" w:hint="eastAsia"/>
                <w:color w:val="000000" w:themeColor="text1"/>
                <w:sz w:val="15"/>
                <w:szCs w:val="15"/>
              </w:rPr>
              <w:t>栋</w:t>
            </w:r>
          </w:p>
        </w:tc>
      </w:tr>
      <w:tr w:rsidR="00256CD0" w:rsidRPr="007B4794" w14:paraId="1698B014" w14:textId="77777777" w:rsidTr="00432972">
        <w:trPr>
          <w:cantSplit/>
          <w:trHeight w:val="283"/>
          <w:jc w:val="center"/>
        </w:trPr>
        <w:tc>
          <w:tcPr>
            <w:tcW w:w="739" w:type="dxa"/>
            <w:shd w:val="clear" w:color="000000" w:fill="C0C0C0"/>
            <w:vAlign w:val="center"/>
            <w:hideMark/>
          </w:tcPr>
          <w:p w14:paraId="45A3493F"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楼层状况</w:t>
            </w:r>
          </w:p>
        </w:tc>
        <w:tc>
          <w:tcPr>
            <w:tcW w:w="2340" w:type="dxa"/>
            <w:shd w:val="clear" w:color="auto" w:fill="auto"/>
            <w:vAlign w:val="center"/>
          </w:tcPr>
          <w:p w14:paraId="243DDD71"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高层</w:t>
            </w:r>
            <w:r w:rsidRPr="007B4794">
              <w:rPr>
                <w:rFonts w:ascii="Arial" w:eastAsia="华文细黑" w:hAnsi="Arial" w:cs="Arial" w:hint="eastAsia"/>
                <w:color w:val="000000" w:themeColor="text1"/>
                <w:sz w:val="15"/>
                <w:szCs w:val="15"/>
              </w:rPr>
              <w:t>25</w:t>
            </w:r>
            <w:r w:rsidRPr="007B4794">
              <w:rPr>
                <w:rFonts w:ascii="Arial" w:eastAsia="华文细黑" w:hAnsi="Arial" w:cs="Arial"/>
                <w:color w:val="000000" w:themeColor="text1"/>
                <w:sz w:val="15"/>
                <w:szCs w:val="15"/>
              </w:rPr>
              <w:t>-27</w:t>
            </w:r>
            <w:r w:rsidRPr="007B4794">
              <w:rPr>
                <w:rFonts w:ascii="Arial" w:eastAsia="华文细黑" w:hAnsi="Arial" w:cs="Arial" w:hint="eastAsia"/>
                <w:color w:val="000000" w:themeColor="text1"/>
                <w:sz w:val="15"/>
                <w:szCs w:val="15"/>
              </w:rPr>
              <w:t>层</w:t>
            </w:r>
          </w:p>
        </w:tc>
        <w:tc>
          <w:tcPr>
            <w:tcW w:w="2373" w:type="dxa"/>
            <w:shd w:val="clear" w:color="auto" w:fill="auto"/>
            <w:vAlign w:val="center"/>
          </w:tcPr>
          <w:p w14:paraId="7464EC93"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高层</w:t>
            </w:r>
            <w:r w:rsidRPr="007B4794">
              <w:rPr>
                <w:rFonts w:ascii="Arial" w:eastAsia="华文细黑" w:hAnsi="Arial" w:cs="Arial" w:hint="eastAsia"/>
                <w:color w:val="000000" w:themeColor="text1"/>
                <w:sz w:val="15"/>
                <w:szCs w:val="15"/>
              </w:rPr>
              <w:t>23</w:t>
            </w:r>
            <w:r w:rsidRPr="007B4794">
              <w:rPr>
                <w:rFonts w:ascii="Arial" w:eastAsia="华文细黑" w:hAnsi="Arial" w:cs="Arial"/>
                <w:color w:val="000000" w:themeColor="text1"/>
                <w:sz w:val="15"/>
                <w:szCs w:val="15"/>
              </w:rPr>
              <w:t>-33</w:t>
            </w:r>
            <w:r w:rsidRPr="007B4794">
              <w:rPr>
                <w:rFonts w:ascii="Arial" w:eastAsia="华文细黑" w:hAnsi="Arial" w:cs="Arial" w:hint="eastAsia"/>
                <w:color w:val="000000" w:themeColor="text1"/>
                <w:sz w:val="15"/>
                <w:szCs w:val="15"/>
              </w:rPr>
              <w:t>层</w:t>
            </w:r>
          </w:p>
        </w:tc>
        <w:tc>
          <w:tcPr>
            <w:tcW w:w="2334" w:type="dxa"/>
            <w:vAlign w:val="center"/>
          </w:tcPr>
          <w:p w14:paraId="5ED4A9E7"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8</w:t>
            </w:r>
            <w:r w:rsidRPr="007B4794">
              <w:rPr>
                <w:rFonts w:ascii="Arial" w:eastAsia="华文细黑" w:hAnsi="Arial" w:cs="Arial" w:hint="eastAsia"/>
                <w:color w:val="000000" w:themeColor="text1"/>
                <w:sz w:val="15"/>
                <w:szCs w:val="15"/>
              </w:rPr>
              <w:t>层</w:t>
            </w:r>
            <w:r w:rsidRPr="007B4794">
              <w:rPr>
                <w:rFonts w:ascii="Arial" w:eastAsia="华文细黑" w:hAnsi="Arial" w:cs="Arial" w:hint="eastAsia"/>
                <w:color w:val="000000" w:themeColor="text1"/>
                <w:sz w:val="15"/>
                <w:szCs w:val="15"/>
              </w:rPr>
              <w:t>-14</w:t>
            </w:r>
            <w:r w:rsidRPr="007B4794">
              <w:rPr>
                <w:rFonts w:ascii="Arial" w:eastAsia="华文细黑" w:hAnsi="Arial" w:cs="Arial" w:hint="eastAsia"/>
                <w:color w:val="000000" w:themeColor="text1"/>
                <w:sz w:val="15"/>
                <w:szCs w:val="15"/>
              </w:rPr>
              <w:t>层（小洋房、复式、平层）</w:t>
            </w:r>
          </w:p>
        </w:tc>
        <w:tc>
          <w:tcPr>
            <w:tcW w:w="2281" w:type="dxa"/>
            <w:vAlign w:val="center"/>
          </w:tcPr>
          <w:p w14:paraId="1F86EF57"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高层</w:t>
            </w:r>
            <w:r w:rsidRPr="007B4794">
              <w:rPr>
                <w:rFonts w:ascii="Arial" w:eastAsia="华文细黑" w:hAnsi="Arial" w:cs="Arial" w:hint="eastAsia"/>
                <w:color w:val="000000" w:themeColor="text1"/>
                <w:sz w:val="15"/>
                <w:szCs w:val="15"/>
              </w:rPr>
              <w:t>33</w:t>
            </w:r>
            <w:r w:rsidRPr="007B4794">
              <w:rPr>
                <w:rFonts w:ascii="Arial" w:eastAsia="华文细黑" w:hAnsi="Arial" w:cs="Arial" w:hint="eastAsia"/>
                <w:color w:val="000000" w:themeColor="text1"/>
                <w:sz w:val="15"/>
                <w:szCs w:val="15"/>
              </w:rPr>
              <w:t>层</w:t>
            </w:r>
          </w:p>
        </w:tc>
      </w:tr>
      <w:tr w:rsidR="00256CD0" w:rsidRPr="007B4794" w14:paraId="384FAC40" w14:textId="77777777" w:rsidTr="00432972">
        <w:trPr>
          <w:cantSplit/>
          <w:trHeight w:val="562"/>
          <w:jc w:val="center"/>
        </w:trPr>
        <w:tc>
          <w:tcPr>
            <w:tcW w:w="739" w:type="dxa"/>
            <w:shd w:val="clear" w:color="000000" w:fill="C0C0C0"/>
            <w:vAlign w:val="center"/>
          </w:tcPr>
          <w:p w14:paraId="7AA7B013"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hint="eastAsia"/>
                <w:b/>
                <w:bCs/>
                <w:color w:val="000000" w:themeColor="text1"/>
                <w:sz w:val="15"/>
                <w:szCs w:val="15"/>
              </w:rPr>
              <w:t>首次开盘时间</w:t>
            </w:r>
          </w:p>
        </w:tc>
        <w:tc>
          <w:tcPr>
            <w:tcW w:w="2340" w:type="dxa"/>
            <w:shd w:val="clear" w:color="auto" w:fill="auto"/>
            <w:vAlign w:val="center"/>
          </w:tcPr>
          <w:p w14:paraId="0E1ACDAE"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2020</w:t>
            </w:r>
            <w:r w:rsidRPr="007B4794">
              <w:rPr>
                <w:rFonts w:ascii="Arial" w:eastAsia="华文细黑" w:hAnsi="Arial" w:cs="Arial" w:hint="eastAsia"/>
                <w:color w:val="000000" w:themeColor="text1"/>
                <w:sz w:val="15"/>
                <w:szCs w:val="15"/>
              </w:rPr>
              <w:t>年</w:t>
            </w:r>
            <w:r w:rsidRPr="007B4794">
              <w:rPr>
                <w:rFonts w:ascii="Arial" w:eastAsia="华文细黑" w:hAnsi="Arial" w:cs="Arial" w:hint="eastAsia"/>
                <w:color w:val="000000" w:themeColor="text1"/>
                <w:sz w:val="15"/>
                <w:szCs w:val="15"/>
              </w:rPr>
              <w:t>11</w:t>
            </w:r>
            <w:r w:rsidRPr="007B4794">
              <w:rPr>
                <w:rFonts w:ascii="Arial" w:eastAsia="华文细黑" w:hAnsi="Arial" w:cs="Arial" w:hint="eastAsia"/>
                <w:color w:val="000000" w:themeColor="text1"/>
                <w:sz w:val="15"/>
                <w:szCs w:val="15"/>
              </w:rPr>
              <w:t>月</w:t>
            </w:r>
            <w:r w:rsidRPr="007B4794">
              <w:rPr>
                <w:rFonts w:ascii="Arial" w:eastAsia="华文细黑" w:hAnsi="Arial" w:cs="Arial" w:hint="eastAsia"/>
                <w:color w:val="000000" w:themeColor="text1"/>
                <w:sz w:val="15"/>
                <w:szCs w:val="15"/>
              </w:rPr>
              <w:t>28</w:t>
            </w:r>
            <w:r w:rsidRPr="007B4794">
              <w:rPr>
                <w:rFonts w:ascii="Arial" w:eastAsia="华文细黑" w:hAnsi="Arial" w:cs="Arial" w:hint="eastAsia"/>
                <w:color w:val="000000" w:themeColor="text1"/>
                <w:sz w:val="15"/>
                <w:szCs w:val="15"/>
              </w:rPr>
              <w:t>日</w:t>
            </w:r>
          </w:p>
        </w:tc>
        <w:tc>
          <w:tcPr>
            <w:tcW w:w="2373" w:type="dxa"/>
            <w:shd w:val="clear" w:color="auto" w:fill="auto"/>
            <w:vAlign w:val="center"/>
          </w:tcPr>
          <w:p w14:paraId="35513A98"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2018</w:t>
            </w:r>
            <w:r w:rsidRPr="007B4794">
              <w:rPr>
                <w:rFonts w:ascii="Arial" w:eastAsia="华文细黑" w:hAnsi="Arial" w:cs="Arial" w:hint="eastAsia"/>
                <w:color w:val="000000" w:themeColor="text1"/>
                <w:sz w:val="15"/>
                <w:szCs w:val="15"/>
              </w:rPr>
              <w:t>年</w:t>
            </w:r>
            <w:r w:rsidRPr="007B4794">
              <w:rPr>
                <w:rFonts w:ascii="Arial" w:eastAsia="华文细黑" w:hAnsi="Arial" w:cs="Arial" w:hint="eastAsia"/>
                <w:color w:val="000000" w:themeColor="text1"/>
                <w:sz w:val="15"/>
                <w:szCs w:val="15"/>
              </w:rPr>
              <w:t>8</w:t>
            </w:r>
            <w:r w:rsidRPr="007B4794">
              <w:rPr>
                <w:rFonts w:ascii="Arial" w:eastAsia="华文细黑" w:hAnsi="Arial" w:cs="Arial" w:hint="eastAsia"/>
                <w:color w:val="000000" w:themeColor="text1"/>
                <w:sz w:val="15"/>
                <w:szCs w:val="15"/>
              </w:rPr>
              <w:t>月</w:t>
            </w:r>
            <w:r w:rsidRPr="007B4794">
              <w:rPr>
                <w:rFonts w:ascii="Arial" w:eastAsia="华文细黑" w:hAnsi="Arial" w:cs="Arial" w:hint="eastAsia"/>
                <w:color w:val="000000" w:themeColor="text1"/>
                <w:sz w:val="15"/>
                <w:szCs w:val="15"/>
              </w:rPr>
              <w:t>18</w:t>
            </w:r>
            <w:r w:rsidRPr="007B4794">
              <w:rPr>
                <w:rFonts w:ascii="Arial" w:eastAsia="华文细黑" w:hAnsi="Arial" w:cs="Arial" w:hint="eastAsia"/>
                <w:color w:val="000000" w:themeColor="text1"/>
                <w:sz w:val="15"/>
                <w:szCs w:val="15"/>
              </w:rPr>
              <w:t>日</w:t>
            </w:r>
          </w:p>
        </w:tc>
        <w:tc>
          <w:tcPr>
            <w:tcW w:w="2334" w:type="dxa"/>
            <w:vAlign w:val="center"/>
          </w:tcPr>
          <w:p w14:paraId="08419D68"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2019</w:t>
            </w:r>
            <w:r w:rsidRPr="007B4794">
              <w:rPr>
                <w:rFonts w:ascii="Arial" w:eastAsia="华文细黑" w:hAnsi="Arial" w:cs="Arial" w:hint="eastAsia"/>
                <w:color w:val="000000" w:themeColor="text1"/>
                <w:sz w:val="15"/>
                <w:szCs w:val="15"/>
              </w:rPr>
              <w:t>年</w:t>
            </w:r>
            <w:r w:rsidRPr="007B4794">
              <w:rPr>
                <w:rFonts w:ascii="Arial" w:eastAsia="华文细黑" w:hAnsi="Arial" w:cs="Arial" w:hint="eastAsia"/>
                <w:color w:val="000000" w:themeColor="text1"/>
                <w:sz w:val="15"/>
                <w:szCs w:val="15"/>
              </w:rPr>
              <w:t>5</w:t>
            </w:r>
            <w:r w:rsidRPr="007B4794">
              <w:rPr>
                <w:rFonts w:ascii="Arial" w:eastAsia="华文细黑" w:hAnsi="Arial" w:cs="Arial" w:hint="eastAsia"/>
                <w:color w:val="000000" w:themeColor="text1"/>
                <w:sz w:val="15"/>
                <w:szCs w:val="15"/>
              </w:rPr>
              <w:t>月</w:t>
            </w:r>
            <w:r w:rsidRPr="007B4794">
              <w:rPr>
                <w:rFonts w:ascii="Arial" w:eastAsia="华文细黑" w:hAnsi="Arial" w:cs="Arial" w:hint="eastAsia"/>
                <w:color w:val="000000" w:themeColor="text1"/>
                <w:sz w:val="15"/>
                <w:szCs w:val="15"/>
              </w:rPr>
              <w:t>1</w:t>
            </w:r>
            <w:r w:rsidRPr="007B4794">
              <w:rPr>
                <w:rFonts w:ascii="Arial" w:eastAsia="华文细黑" w:hAnsi="Arial" w:cs="Arial" w:hint="eastAsia"/>
                <w:color w:val="000000" w:themeColor="text1"/>
                <w:sz w:val="15"/>
                <w:szCs w:val="15"/>
              </w:rPr>
              <w:t>号</w:t>
            </w:r>
          </w:p>
        </w:tc>
        <w:tc>
          <w:tcPr>
            <w:tcW w:w="2281" w:type="dxa"/>
            <w:vAlign w:val="center"/>
          </w:tcPr>
          <w:p w14:paraId="58405D7F"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2017</w:t>
            </w:r>
            <w:r w:rsidRPr="007B4794">
              <w:rPr>
                <w:rFonts w:ascii="Arial" w:eastAsia="华文细黑" w:hAnsi="Arial" w:cs="Arial" w:hint="eastAsia"/>
                <w:color w:val="000000" w:themeColor="text1"/>
                <w:sz w:val="15"/>
                <w:szCs w:val="15"/>
              </w:rPr>
              <w:t>年</w:t>
            </w:r>
          </w:p>
        </w:tc>
      </w:tr>
      <w:tr w:rsidR="00256CD0" w:rsidRPr="007B4794" w14:paraId="1EC89D4A" w14:textId="77777777" w:rsidTr="00432972">
        <w:trPr>
          <w:cantSplit/>
          <w:trHeight w:val="600"/>
          <w:jc w:val="center"/>
        </w:trPr>
        <w:tc>
          <w:tcPr>
            <w:tcW w:w="739" w:type="dxa"/>
            <w:shd w:val="clear" w:color="000000" w:fill="C0C0C0"/>
            <w:vAlign w:val="center"/>
            <w:hideMark/>
          </w:tcPr>
          <w:p w14:paraId="638FE84B"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主力产品</w:t>
            </w:r>
          </w:p>
        </w:tc>
        <w:tc>
          <w:tcPr>
            <w:tcW w:w="2340" w:type="dxa"/>
            <w:shd w:val="clear" w:color="auto" w:fill="auto"/>
            <w:vAlign w:val="center"/>
          </w:tcPr>
          <w:p w14:paraId="22CF654E"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88</w:t>
            </w:r>
            <w:r w:rsidRPr="007B4794">
              <w:rPr>
                <w:rFonts w:ascii="Arial" w:eastAsia="华文细黑" w:hAnsi="Arial" w:cs="Arial" w:hint="eastAsia"/>
                <w:color w:val="000000" w:themeColor="text1"/>
                <w:sz w:val="15"/>
                <w:szCs w:val="15"/>
              </w:rPr>
              <w:t>㎡复式；</w:t>
            </w:r>
            <w:r w:rsidRPr="007B4794">
              <w:rPr>
                <w:rFonts w:ascii="Arial" w:eastAsia="华文细黑" w:hAnsi="Arial" w:cs="Arial" w:hint="eastAsia"/>
                <w:color w:val="000000" w:themeColor="text1"/>
                <w:sz w:val="15"/>
                <w:szCs w:val="15"/>
              </w:rPr>
              <w:t>79</w:t>
            </w:r>
            <w:r w:rsidRPr="007B4794">
              <w:rPr>
                <w:rFonts w:ascii="Arial" w:eastAsia="华文细黑" w:hAnsi="Arial" w:cs="Arial" w:hint="eastAsia"/>
                <w:color w:val="000000" w:themeColor="text1"/>
                <w:sz w:val="15"/>
                <w:szCs w:val="15"/>
              </w:rPr>
              <w:t>㎡三房；</w:t>
            </w:r>
            <w:r w:rsidRPr="007B4794">
              <w:rPr>
                <w:rFonts w:ascii="Arial" w:eastAsia="华文细黑" w:hAnsi="Arial" w:cs="Arial" w:hint="eastAsia"/>
                <w:color w:val="000000" w:themeColor="text1"/>
                <w:sz w:val="15"/>
                <w:szCs w:val="15"/>
              </w:rPr>
              <w:t>109</w:t>
            </w:r>
            <w:r w:rsidRPr="007B4794">
              <w:rPr>
                <w:rFonts w:ascii="Arial" w:eastAsia="华文细黑" w:hAnsi="Arial" w:cs="Arial" w:hint="eastAsia"/>
                <w:color w:val="000000" w:themeColor="text1"/>
                <w:sz w:val="15"/>
                <w:szCs w:val="15"/>
              </w:rPr>
              <w:t>㎡四房</w:t>
            </w:r>
          </w:p>
        </w:tc>
        <w:tc>
          <w:tcPr>
            <w:tcW w:w="2373" w:type="dxa"/>
            <w:shd w:val="clear" w:color="auto" w:fill="auto"/>
            <w:vAlign w:val="center"/>
          </w:tcPr>
          <w:p w14:paraId="096E35EF"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75</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89</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109</w:t>
            </w:r>
            <w:r w:rsidRPr="007B4794">
              <w:rPr>
                <w:rFonts w:ascii="Arial" w:eastAsia="华文细黑" w:hAnsi="Arial" w:cs="Arial" w:hint="eastAsia"/>
                <w:color w:val="000000" w:themeColor="text1"/>
                <w:sz w:val="15"/>
                <w:szCs w:val="15"/>
              </w:rPr>
              <w:t>㎡平层</w:t>
            </w:r>
          </w:p>
        </w:tc>
        <w:tc>
          <w:tcPr>
            <w:tcW w:w="2334" w:type="dxa"/>
            <w:vAlign w:val="center"/>
          </w:tcPr>
          <w:p w14:paraId="6417C812"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85</w:t>
            </w:r>
            <w:r w:rsidRPr="007B4794">
              <w:rPr>
                <w:rFonts w:ascii="Arial" w:eastAsia="华文细黑" w:hAnsi="Arial" w:cs="Arial" w:hint="eastAsia"/>
                <w:color w:val="000000" w:themeColor="text1"/>
                <w:sz w:val="15"/>
                <w:szCs w:val="15"/>
              </w:rPr>
              <w:t>㎡平层</w:t>
            </w:r>
          </w:p>
        </w:tc>
        <w:tc>
          <w:tcPr>
            <w:tcW w:w="2281" w:type="dxa"/>
            <w:vAlign w:val="center"/>
          </w:tcPr>
          <w:p w14:paraId="7F6347DB"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86</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77</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125</w:t>
            </w:r>
            <w:r w:rsidRPr="007B4794">
              <w:rPr>
                <w:rFonts w:ascii="Arial" w:eastAsia="华文细黑" w:hAnsi="Arial" w:cs="Arial" w:hint="eastAsia"/>
                <w:color w:val="000000" w:themeColor="text1"/>
                <w:sz w:val="15"/>
                <w:szCs w:val="15"/>
              </w:rPr>
              <w:t>㎡平层</w:t>
            </w:r>
          </w:p>
        </w:tc>
      </w:tr>
      <w:tr w:rsidR="00256CD0" w:rsidRPr="007B4794" w14:paraId="5FA9085E" w14:textId="77777777" w:rsidTr="00432972">
        <w:trPr>
          <w:cantSplit/>
          <w:trHeight w:val="440"/>
          <w:jc w:val="center"/>
        </w:trPr>
        <w:tc>
          <w:tcPr>
            <w:tcW w:w="739" w:type="dxa"/>
            <w:shd w:val="clear" w:color="000000" w:fill="C0C0C0"/>
            <w:vAlign w:val="center"/>
          </w:tcPr>
          <w:p w14:paraId="1146D59C"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总户数</w:t>
            </w:r>
          </w:p>
        </w:tc>
        <w:tc>
          <w:tcPr>
            <w:tcW w:w="2340" w:type="dxa"/>
            <w:shd w:val="clear" w:color="auto" w:fill="auto"/>
            <w:vAlign w:val="center"/>
          </w:tcPr>
          <w:p w14:paraId="657D7E36"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1111</w:t>
            </w:r>
            <w:r w:rsidRPr="007B4794">
              <w:rPr>
                <w:rFonts w:ascii="Arial" w:eastAsia="华文细黑" w:hAnsi="Arial" w:cs="Arial" w:hint="eastAsia"/>
                <w:color w:val="000000" w:themeColor="text1"/>
                <w:sz w:val="15"/>
                <w:szCs w:val="15"/>
              </w:rPr>
              <w:t>户</w:t>
            </w:r>
          </w:p>
        </w:tc>
        <w:tc>
          <w:tcPr>
            <w:tcW w:w="2373" w:type="dxa"/>
            <w:shd w:val="clear" w:color="auto" w:fill="auto"/>
            <w:vAlign w:val="center"/>
          </w:tcPr>
          <w:p w14:paraId="1A5FD4D5"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1350</w:t>
            </w:r>
            <w:r w:rsidRPr="007B4794">
              <w:rPr>
                <w:rFonts w:ascii="Arial" w:eastAsia="华文细黑" w:hAnsi="Arial" w:cs="Arial" w:hint="eastAsia"/>
                <w:color w:val="000000" w:themeColor="text1"/>
                <w:sz w:val="15"/>
                <w:szCs w:val="15"/>
              </w:rPr>
              <w:t>户</w:t>
            </w:r>
          </w:p>
        </w:tc>
        <w:tc>
          <w:tcPr>
            <w:tcW w:w="2334" w:type="dxa"/>
            <w:vAlign w:val="center"/>
          </w:tcPr>
          <w:p w14:paraId="6974A27A"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912</w:t>
            </w:r>
            <w:r w:rsidRPr="007B4794">
              <w:rPr>
                <w:rFonts w:ascii="Arial" w:eastAsia="华文细黑" w:hAnsi="Arial" w:cs="Arial" w:hint="eastAsia"/>
                <w:color w:val="000000" w:themeColor="text1"/>
                <w:sz w:val="15"/>
                <w:szCs w:val="15"/>
              </w:rPr>
              <w:t>户</w:t>
            </w:r>
          </w:p>
        </w:tc>
        <w:tc>
          <w:tcPr>
            <w:tcW w:w="2281" w:type="dxa"/>
            <w:vAlign w:val="center"/>
          </w:tcPr>
          <w:p w14:paraId="3A8A1DE1"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1090</w:t>
            </w:r>
            <w:r w:rsidRPr="007B4794">
              <w:rPr>
                <w:rFonts w:ascii="Arial" w:eastAsia="华文细黑" w:hAnsi="Arial" w:cs="Arial" w:hint="eastAsia"/>
                <w:color w:val="000000" w:themeColor="text1"/>
                <w:sz w:val="15"/>
                <w:szCs w:val="15"/>
              </w:rPr>
              <w:t>户</w:t>
            </w:r>
          </w:p>
        </w:tc>
      </w:tr>
      <w:tr w:rsidR="00256CD0" w:rsidRPr="007B4794" w14:paraId="53207B3D" w14:textId="77777777" w:rsidTr="00432972">
        <w:trPr>
          <w:cantSplit/>
          <w:trHeight w:val="462"/>
          <w:jc w:val="center"/>
        </w:trPr>
        <w:tc>
          <w:tcPr>
            <w:tcW w:w="739" w:type="dxa"/>
            <w:shd w:val="clear" w:color="000000" w:fill="C0C0C0"/>
            <w:vAlign w:val="center"/>
            <w:hideMark/>
          </w:tcPr>
          <w:p w14:paraId="72B2F0DC"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交房时间</w:t>
            </w:r>
          </w:p>
        </w:tc>
        <w:tc>
          <w:tcPr>
            <w:tcW w:w="2340" w:type="dxa"/>
            <w:shd w:val="clear" w:color="auto" w:fill="auto"/>
            <w:vAlign w:val="center"/>
          </w:tcPr>
          <w:p w14:paraId="55CF2BA5"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2022</w:t>
            </w:r>
            <w:r w:rsidRPr="007B4794">
              <w:rPr>
                <w:rFonts w:ascii="Arial" w:eastAsia="华文细黑" w:hAnsi="Arial" w:cs="Arial" w:hint="eastAsia"/>
                <w:color w:val="000000" w:themeColor="text1"/>
                <w:sz w:val="15"/>
                <w:szCs w:val="15"/>
              </w:rPr>
              <w:t>年</w:t>
            </w:r>
            <w:r w:rsidRPr="007B4794">
              <w:rPr>
                <w:rFonts w:ascii="Arial" w:eastAsia="华文细黑" w:hAnsi="Arial" w:cs="Arial" w:hint="eastAsia"/>
                <w:color w:val="000000" w:themeColor="text1"/>
                <w:sz w:val="15"/>
                <w:szCs w:val="15"/>
              </w:rPr>
              <w:t>6</w:t>
            </w:r>
            <w:r w:rsidRPr="007B4794">
              <w:rPr>
                <w:rFonts w:ascii="Arial" w:eastAsia="华文细黑" w:hAnsi="Arial" w:cs="Arial" w:hint="eastAsia"/>
                <w:color w:val="000000" w:themeColor="text1"/>
                <w:sz w:val="15"/>
                <w:szCs w:val="15"/>
              </w:rPr>
              <w:t>月</w:t>
            </w:r>
          </w:p>
        </w:tc>
        <w:tc>
          <w:tcPr>
            <w:tcW w:w="2373" w:type="dxa"/>
            <w:shd w:val="clear" w:color="auto" w:fill="auto"/>
            <w:vAlign w:val="center"/>
          </w:tcPr>
          <w:p w14:paraId="07CA3F39"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2021</w:t>
            </w:r>
            <w:r w:rsidRPr="007B4794">
              <w:rPr>
                <w:rFonts w:ascii="Arial" w:eastAsia="华文细黑" w:hAnsi="Arial" w:cs="Arial" w:hint="eastAsia"/>
                <w:color w:val="000000" w:themeColor="text1"/>
                <w:sz w:val="15"/>
                <w:szCs w:val="15"/>
              </w:rPr>
              <w:t>年</w:t>
            </w:r>
            <w:r w:rsidRPr="007B4794">
              <w:rPr>
                <w:rFonts w:ascii="Arial" w:eastAsia="华文细黑" w:hAnsi="Arial" w:cs="Arial" w:hint="eastAsia"/>
                <w:color w:val="000000" w:themeColor="text1"/>
                <w:sz w:val="15"/>
                <w:szCs w:val="15"/>
              </w:rPr>
              <w:t>12</w:t>
            </w:r>
            <w:r w:rsidRPr="007B4794">
              <w:rPr>
                <w:rFonts w:ascii="Arial" w:eastAsia="华文细黑" w:hAnsi="Arial" w:cs="Arial" w:hint="eastAsia"/>
                <w:color w:val="000000" w:themeColor="text1"/>
                <w:sz w:val="15"/>
                <w:szCs w:val="15"/>
              </w:rPr>
              <w:t>月</w:t>
            </w:r>
          </w:p>
        </w:tc>
        <w:tc>
          <w:tcPr>
            <w:tcW w:w="2334" w:type="dxa"/>
            <w:vAlign w:val="center"/>
          </w:tcPr>
          <w:p w14:paraId="74E81EDB"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2021</w:t>
            </w:r>
            <w:r w:rsidRPr="007B4794">
              <w:rPr>
                <w:rFonts w:ascii="Arial" w:eastAsia="华文细黑" w:hAnsi="Arial" w:cs="Arial" w:hint="eastAsia"/>
                <w:color w:val="000000" w:themeColor="text1"/>
                <w:sz w:val="15"/>
                <w:szCs w:val="15"/>
              </w:rPr>
              <w:t>年</w:t>
            </w:r>
            <w:r w:rsidRPr="007B4794">
              <w:rPr>
                <w:rFonts w:ascii="Arial" w:eastAsia="华文细黑" w:hAnsi="Arial" w:cs="Arial"/>
                <w:color w:val="000000" w:themeColor="text1"/>
                <w:sz w:val="15"/>
                <w:szCs w:val="15"/>
              </w:rPr>
              <w:t>3</w:t>
            </w:r>
            <w:r w:rsidRPr="007B4794">
              <w:rPr>
                <w:rFonts w:ascii="Arial" w:eastAsia="华文细黑" w:hAnsi="Arial" w:cs="Arial" w:hint="eastAsia"/>
                <w:color w:val="000000" w:themeColor="text1"/>
                <w:sz w:val="15"/>
                <w:szCs w:val="15"/>
              </w:rPr>
              <w:t>季度</w:t>
            </w:r>
          </w:p>
        </w:tc>
        <w:tc>
          <w:tcPr>
            <w:tcW w:w="2281" w:type="dxa"/>
            <w:vAlign w:val="center"/>
          </w:tcPr>
          <w:p w14:paraId="07F4BDC2"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已交付</w:t>
            </w:r>
          </w:p>
        </w:tc>
      </w:tr>
      <w:tr w:rsidR="00256CD0" w:rsidRPr="007B4794" w14:paraId="12333769" w14:textId="77777777" w:rsidTr="00432972">
        <w:trPr>
          <w:cantSplit/>
          <w:trHeight w:val="364"/>
          <w:jc w:val="center"/>
        </w:trPr>
        <w:tc>
          <w:tcPr>
            <w:tcW w:w="739" w:type="dxa"/>
            <w:shd w:val="clear" w:color="000000" w:fill="C0C0C0"/>
            <w:vAlign w:val="center"/>
            <w:hideMark/>
          </w:tcPr>
          <w:p w14:paraId="2024C31B"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装修情况</w:t>
            </w:r>
          </w:p>
        </w:tc>
        <w:tc>
          <w:tcPr>
            <w:tcW w:w="2340" w:type="dxa"/>
            <w:shd w:val="clear" w:color="auto" w:fill="auto"/>
            <w:vAlign w:val="center"/>
          </w:tcPr>
          <w:p w14:paraId="3D5DA485"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毛坯，公共部分带装修</w:t>
            </w:r>
          </w:p>
        </w:tc>
        <w:tc>
          <w:tcPr>
            <w:tcW w:w="2373" w:type="dxa"/>
            <w:shd w:val="clear" w:color="auto" w:fill="auto"/>
            <w:vAlign w:val="center"/>
          </w:tcPr>
          <w:p w14:paraId="4C7D679E"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毛坯，公共部分带装修</w:t>
            </w:r>
          </w:p>
        </w:tc>
        <w:tc>
          <w:tcPr>
            <w:tcW w:w="2334" w:type="dxa"/>
            <w:vAlign w:val="center"/>
          </w:tcPr>
          <w:p w14:paraId="01FD086C"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毛坯，公共部分带装修</w:t>
            </w:r>
          </w:p>
        </w:tc>
        <w:tc>
          <w:tcPr>
            <w:tcW w:w="2281" w:type="dxa"/>
            <w:vAlign w:val="center"/>
          </w:tcPr>
          <w:p w14:paraId="6338B98D"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毛坯，公共部分带装修</w:t>
            </w:r>
          </w:p>
        </w:tc>
      </w:tr>
      <w:tr w:rsidR="00256CD0" w:rsidRPr="007B4794" w14:paraId="32C38539" w14:textId="77777777" w:rsidTr="00432972">
        <w:trPr>
          <w:cantSplit/>
          <w:trHeight w:val="458"/>
          <w:jc w:val="center"/>
        </w:trPr>
        <w:tc>
          <w:tcPr>
            <w:tcW w:w="739" w:type="dxa"/>
            <w:shd w:val="clear" w:color="000000" w:fill="C0C0C0"/>
            <w:vAlign w:val="center"/>
          </w:tcPr>
          <w:p w14:paraId="51E171D0"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销售状态</w:t>
            </w:r>
          </w:p>
        </w:tc>
        <w:tc>
          <w:tcPr>
            <w:tcW w:w="2340" w:type="dxa"/>
            <w:shd w:val="clear" w:color="auto" w:fill="auto"/>
            <w:vAlign w:val="center"/>
          </w:tcPr>
          <w:p w14:paraId="50D81B04"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期房</w:t>
            </w:r>
            <w:r w:rsidRPr="007B4794">
              <w:rPr>
                <w:rFonts w:ascii="Arial" w:eastAsia="华文细黑" w:hAnsi="Arial" w:cs="Arial"/>
                <w:color w:val="000000" w:themeColor="text1"/>
                <w:sz w:val="15"/>
                <w:szCs w:val="15"/>
              </w:rPr>
              <w:t>在售</w:t>
            </w:r>
          </w:p>
        </w:tc>
        <w:tc>
          <w:tcPr>
            <w:tcW w:w="2373" w:type="dxa"/>
            <w:shd w:val="clear" w:color="auto" w:fill="auto"/>
            <w:vAlign w:val="center"/>
          </w:tcPr>
          <w:p w14:paraId="0D915C39"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期房</w:t>
            </w:r>
            <w:r w:rsidRPr="007B4794">
              <w:rPr>
                <w:rFonts w:ascii="Arial" w:eastAsia="华文细黑" w:hAnsi="Arial" w:cs="Arial"/>
                <w:color w:val="000000" w:themeColor="text1"/>
                <w:sz w:val="15"/>
                <w:szCs w:val="15"/>
              </w:rPr>
              <w:t>在售</w:t>
            </w:r>
          </w:p>
        </w:tc>
        <w:tc>
          <w:tcPr>
            <w:tcW w:w="2334" w:type="dxa"/>
            <w:vAlign w:val="center"/>
          </w:tcPr>
          <w:p w14:paraId="1C8B9C2C"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期房</w:t>
            </w:r>
            <w:r w:rsidRPr="007B4794">
              <w:rPr>
                <w:rFonts w:ascii="Arial" w:eastAsia="华文细黑" w:hAnsi="Arial" w:cs="Arial"/>
                <w:color w:val="000000" w:themeColor="text1"/>
                <w:sz w:val="15"/>
                <w:szCs w:val="15"/>
              </w:rPr>
              <w:t>在售</w:t>
            </w:r>
          </w:p>
        </w:tc>
        <w:tc>
          <w:tcPr>
            <w:tcW w:w="2281" w:type="dxa"/>
            <w:vAlign w:val="center"/>
          </w:tcPr>
          <w:p w14:paraId="32F316EE"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现房</w:t>
            </w:r>
            <w:r w:rsidRPr="007B4794">
              <w:rPr>
                <w:rFonts w:ascii="Arial" w:eastAsia="华文细黑" w:hAnsi="Arial" w:cs="Arial"/>
                <w:color w:val="000000" w:themeColor="text1"/>
                <w:sz w:val="15"/>
                <w:szCs w:val="15"/>
              </w:rPr>
              <w:t>在售</w:t>
            </w:r>
          </w:p>
        </w:tc>
      </w:tr>
      <w:tr w:rsidR="00256CD0" w:rsidRPr="007B4794" w14:paraId="48F397CA" w14:textId="77777777" w:rsidTr="00432972">
        <w:trPr>
          <w:cantSplit/>
          <w:trHeight w:val="543"/>
          <w:jc w:val="center"/>
        </w:trPr>
        <w:tc>
          <w:tcPr>
            <w:tcW w:w="739" w:type="dxa"/>
            <w:shd w:val="clear" w:color="000000" w:fill="C0C0C0"/>
            <w:vAlign w:val="center"/>
            <w:hideMark/>
          </w:tcPr>
          <w:p w14:paraId="11DAB09B"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hint="eastAsia"/>
                <w:b/>
                <w:bCs/>
                <w:color w:val="000000" w:themeColor="text1"/>
                <w:sz w:val="15"/>
                <w:szCs w:val="15"/>
              </w:rPr>
              <w:t>住宅</w:t>
            </w:r>
            <w:r w:rsidRPr="007B4794">
              <w:rPr>
                <w:rFonts w:ascii="Arial" w:eastAsia="华文细黑" w:hAnsi="Arial" w:cs="Arial"/>
                <w:b/>
                <w:bCs/>
                <w:color w:val="000000" w:themeColor="text1"/>
                <w:sz w:val="15"/>
                <w:szCs w:val="15"/>
              </w:rPr>
              <w:t>销售情况</w:t>
            </w:r>
          </w:p>
        </w:tc>
        <w:tc>
          <w:tcPr>
            <w:tcW w:w="2340" w:type="dxa"/>
            <w:shd w:val="clear" w:color="auto" w:fill="auto"/>
            <w:vAlign w:val="center"/>
          </w:tcPr>
          <w:p w14:paraId="0DB5D612"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平层均价</w:t>
            </w:r>
            <w:r w:rsidRPr="007B4794">
              <w:rPr>
                <w:rFonts w:ascii="Arial" w:eastAsia="华文细黑" w:hAnsi="Arial" w:cs="Arial"/>
                <w:color w:val="000000" w:themeColor="text1"/>
                <w:sz w:val="15"/>
                <w:szCs w:val="15"/>
              </w:rPr>
              <w:t>1.65</w:t>
            </w:r>
            <w:r w:rsidRPr="007B4794">
              <w:rPr>
                <w:rFonts w:ascii="Arial" w:eastAsia="华文细黑" w:hAnsi="Arial" w:cs="Arial"/>
                <w:color w:val="000000" w:themeColor="text1"/>
                <w:sz w:val="15"/>
                <w:szCs w:val="15"/>
              </w:rPr>
              <w:t>万</w:t>
            </w:r>
            <w:r w:rsidRPr="007B4794">
              <w:rPr>
                <w:rFonts w:ascii="Arial" w:eastAsia="华文细黑" w:hAnsi="Arial" w:cs="Arial"/>
                <w:color w:val="000000" w:themeColor="text1"/>
                <w:sz w:val="15"/>
                <w:szCs w:val="15"/>
              </w:rPr>
              <w:t>/</w:t>
            </w:r>
            <w:r w:rsidRPr="007B4794">
              <w:rPr>
                <w:rFonts w:ascii="Arial" w:eastAsia="华文细黑" w:hAnsi="Arial" w:cs="Arial"/>
                <w:color w:val="000000" w:themeColor="text1"/>
                <w:sz w:val="15"/>
                <w:szCs w:val="15"/>
              </w:rPr>
              <w:t>㎡；复式均价：</w:t>
            </w:r>
            <w:r w:rsidRPr="007B4794">
              <w:rPr>
                <w:rFonts w:ascii="Arial" w:eastAsia="华文细黑" w:hAnsi="Arial" w:cs="Arial"/>
                <w:color w:val="000000" w:themeColor="text1"/>
                <w:sz w:val="15"/>
                <w:szCs w:val="15"/>
              </w:rPr>
              <w:t>1.69</w:t>
            </w:r>
            <w:r w:rsidRPr="007B4794">
              <w:rPr>
                <w:rFonts w:ascii="Arial" w:eastAsia="华文细黑" w:hAnsi="Arial" w:cs="Arial"/>
                <w:color w:val="000000" w:themeColor="text1"/>
                <w:sz w:val="15"/>
                <w:szCs w:val="15"/>
              </w:rPr>
              <w:t>万</w:t>
            </w:r>
            <w:r w:rsidRPr="007B4794">
              <w:rPr>
                <w:rFonts w:ascii="Arial" w:eastAsia="华文细黑" w:hAnsi="Arial" w:cs="Arial"/>
                <w:color w:val="000000" w:themeColor="text1"/>
                <w:sz w:val="15"/>
                <w:szCs w:val="15"/>
              </w:rPr>
              <w:t>/</w:t>
            </w:r>
            <w:r w:rsidRPr="007B4794">
              <w:rPr>
                <w:rFonts w:ascii="Arial" w:eastAsia="华文细黑" w:hAnsi="Arial" w:cs="Arial"/>
                <w:color w:val="000000" w:themeColor="text1"/>
                <w:sz w:val="15"/>
                <w:szCs w:val="15"/>
              </w:rPr>
              <w:t>㎡</w:t>
            </w:r>
          </w:p>
        </w:tc>
        <w:tc>
          <w:tcPr>
            <w:tcW w:w="2373" w:type="dxa"/>
            <w:shd w:val="clear" w:color="auto" w:fill="auto"/>
            <w:vAlign w:val="center"/>
          </w:tcPr>
          <w:p w14:paraId="13E22704"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color w:val="000000" w:themeColor="text1"/>
                <w:sz w:val="15"/>
                <w:szCs w:val="15"/>
              </w:rPr>
              <w:t>成交均价：</w:t>
            </w:r>
            <w:r w:rsidRPr="007B4794">
              <w:rPr>
                <w:rFonts w:ascii="Arial" w:eastAsia="华文细黑" w:hAnsi="Arial" w:cs="Arial"/>
                <w:color w:val="000000" w:themeColor="text1"/>
                <w:sz w:val="15"/>
                <w:szCs w:val="15"/>
              </w:rPr>
              <w:t>1.65</w:t>
            </w:r>
            <w:r w:rsidRPr="007B4794">
              <w:rPr>
                <w:rFonts w:ascii="Arial" w:eastAsia="华文细黑" w:hAnsi="Arial" w:cs="Arial"/>
                <w:color w:val="000000" w:themeColor="text1"/>
                <w:sz w:val="15"/>
                <w:szCs w:val="15"/>
              </w:rPr>
              <w:t>万</w:t>
            </w:r>
            <w:r w:rsidRPr="007B4794">
              <w:rPr>
                <w:rFonts w:ascii="Arial" w:eastAsia="华文细黑" w:hAnsi="Arial" w:cs="Arial"/>
                <w:color w:val="000000" w:themeColor="text1"/>
                <w:sz w:val="15"/>
                <w:szCs w:val="15"/>
              </w:rPr>
              <w:t>/</w:t>
            </w:r>
            <w:r w:rsidRPr="007B4794">
              <w:rPr>
                <w:rFonts w:ascii="Arial" w:eastAsia="华文细黑" w:hAnsi="Arial" w:cs="Arial"/>
                <w:color w:val="000000" w:themeColor="text1"/>
                <w:sz w:val="15"/>
                <w:szCs w:val="15"/>
              </w:rPr>
              <w:t>㎡；对外报价：</w:t>
            </w:r>
            <w:r w:rsidRPr="007B4794">
              <w:rPr>
                <w:rFonts w:ascii="Arial" w:eastAsia="华文细黑" w:hAnsi="Arial" w:cs="Arial"/>
                <w:color w:val="000000" w:themeColor="text1"/>
                <w:sz w:val="15"/>
                <w:szCs w:val="15"/>
              </w:rPr>
              <w:t>1.82-1.85</w:t>
            </w:r>
            <w:r w:rsidRPr="007B4794">
              <w:rPr>
                <w:rFonts w:ascii="Arial" w:eastAsia="华文细黑" w:hAnsi="Arial" w:cs="Arial"/>
                <w:color w:val="000000" w:themeColor="text1"/>
                <w:sz w:val="15"/>
                <w:szCs w:val="15"/>
              </w:rPr>
              <w:t>万</w:t>
            </w:r>
            <w:r w:rsidRPr="007B4794">
              <w:rPr>
                <w:rFonts w:ascii="Arial" w:eastAsia="华文细黑" w:hAnsi="Arial" w:cs="Arial"/>
                <w:color w:val="000000" w:themeColor="text1"/>
                <w:sz w:val="15"/>
                <w:szCs w:val="15"/>
              </w:rPr>
              <w:t>/</w:t>
            </w:r>
            <w:r w:rsidRPr="007B4794">
              <w:rPr>
                <w:rFonts w:ascii="Arial" w:eastAsia="华文细黑" w:hAnsi="Arial" w:cs="Arial"/>
                <w:color w:val="000000" w:themeColor="text1"/>
                <w:sz w:val="15"/>
                <w:szCs w:val="15"/>
              </w:rPr>
              <w:t>㎡</w:t>
            </w:r>
          </w:p>
        </w:tc>
        <w:tc>
          <w:tcPr>
            <w:tcW w:w="2334" w:type="dxa"/>
            <w:vAlign w:val="center"/>
          </w:tcPr>
          <w:p w14:paraId="65FF79F3"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color w:val="000000" w:themeColor="text1"/>
                <w:sz w:val="15"/>
                <w:szCs w:val="15"/>
              </w:rPr>
              <w:t>销售均价</w:t>
            </w:r>
            <w:r w:rsidRPr="007B4794">
              <w:rPr>
                <w:rFonts w:ascii="Arial" w:eastAsia="华文细黑" w:hAnsi="Arial" w:cs="Arial"/>
                <w:color w:val="000000" w:themeColor="text1"/>
                <w:sz w:val="15"/>
                <w:szCs w:val="15"/>
              </w:rPr>
              <w:t>1.8</w:t>
            </w:r>
            <w:r w:rsidRPr="007B4794">
              <w:rPr>
                <w:rFonts w:ascii="Arial" w:eastAsia="华文细黑" w:hAnsi="Arial" w:cs="Arial"/>
                <w:color w:val="000000" w:themeColor="text1"/>
                <w:sz w:val="15"/>
                <w:szCs w:val="15"/>
              </w:rPr>
              <w:t>万</w:t>
            </w:r>
            <w:r w:rsidRPr="007B4794">
              <w:rPr>
                <w:rFonts w:ascii="Arial" w:eastAsia="华文细黑" w:hAnsi="Arial" w:cs="Arial"/>
                <w:color w:val="000000" w:themeColor="text1"/>
                <w:sz w:val="15"/>
                <w:szCs w:val="15"/>
              </w:rPr>
              <w:t>/</w:t>
            </w:r>
            <w:r w:rsidRPr="007B4794">
              <w:rPr>
                <w:rFonts w:ascii="Arial" w:eastAsia="华文细黑" w:hAnsi="Arial" w:cs="Arial"/>
                <w:color w:val="000000" w:themeColor="text1"/>
                <w:sz w:val="15"/>
                <w:szCs w:val="15"/>
              </w:rPr>
              <w:t>㎡</w:t>
            </w:r>
          </w:p>
        </w:tc>
        <w:tc>
          <w:tcPr>
            <w:tcW w:w="2281" w:type="dxa"/>
            <w:vAlign w:val="center"/>
          </w:tcPr>
          <w:p w14:paraId="14F653A5"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color w:val="000000" w:themeColor="text1"/>
                <w:sz w:val="15"/>
                <w:szCs w:val="15"/>
              </w:rPr>
              <w:t>高层毛坯成交价</w:t>
            </w:r>
            <w:r w:rsidRPr="007B4794">
              <w:rPr>
                <w:rFonts w:ascii="Arial" w:eastAsia="华文细黑" w:hAnsi="Arial" w:cs="Arial"/>
                <w:color w:val="000000" w:themeColor="text1"/>
                <w:sz w:val="15"/>
                <w:szCs w:val="15"/>
              </w:rPr>
              <w:t>1.9</w:t>
            </w:r>
            <w:r w:rsidRPr="007B4794">
              <w:rPr>
                <w:rFonts w:ascii="Arial" w:eastAsia="华文细黑" w:hAnsi="Arial" w:cs="Arial"/>
                <w:color w:val="000000" w:themeColor="text1"/>
                <w:sz w:val="15"/>
                <w:szCs w:val="15"/>
              </w:rPr>
              <w:t>万</w:t>
            </w:r>
            <w:r w:rsidRPr="007B4794">
              <w:rPr>
                <w:rFonts w:ascii="Arial" w:eastAsia="华文细黑" w:hAnsi="Arial" w:cs="Arial"/>
                <w:color w:val="000000" w:themeColor="text1"/>
                <w:sz w:val="15"/>
                <w:szCs w:val="15"/>
              </w:rPr>
              <w:t>/</w:t>
            </w:r>
            <w:r w:rsidRPr="007B4794">
              <w:rPr>
                <w:rFonts w:ascii="Arial" w:eastAsia="华文细黑" w:hAnsi="Arial" w:cs="Arial"/>
                <w:color w:val="000000" w:themeColor="text1"/>
                <w:sz w:val="15"/>
                <w:szCs w:val="15"/>
              </w:rPr>
              <w:t>㎡；</w:t>
            </w:r>
            <w:r w:rsidRPr="007B4794">
              <w:rPr>
                <w:rFonts w:ascii="Arial" w:eastAsia="华文细黑" w:hAnsi="Arial" w:cs="Arial"/>
                <w:color w:val="000000" w:themeColor="text1"/>
                <w:sz w:val="15"/>
                <w:szCs w:val="15"/>
              </w:rPr>
              <w:t>3F</w:t>
            </w:r>
            <w:r w:rsidRPr="007B4794">
              <w:rPr>
                <w:rFonts w:ascii="Arial" w:eastAsia="华文细黑" w:hAnsi="Arial" w:cs="Arial"/>
                <w:color w:val="000000" w:themeColor="text1"/>
                <w:sz w:val="15"/>
                <w:szCs w:val="15"/>
              </w:rPr>
              <w:t>别墅</w:t>
            </w:r>
            <w:r w:rsidRPr="007B4794">
              <w:rPr>
                <w:rFonts w:ascii="Arial" w:eastAsia="华文细黑" w:hAnsi="Arial" w:cs="Arial"/>
                <w:color w:val="000000" w:themeColor="text1"/>
                <w:sz w:val="15"/>
                <w:szCs w:val="15"/>
              </w:rPr>
              <w:t>170</w:t>
            </w:r>
            <w:r w:rsidRPr="007B4794">
              <w:rPr>
                <w:rFonts w:ascii="Arial" w:eastAsia="华文细黑" w:hAnsi="Arial" w:cs="Arial"/>
                <w:color w:val="000000" w:themeColor="text1"/>
                <w:sz w:val="15"/>
                <w:szCs w:val="15"/>
              </w:rPr>
              <w:t>㎡价格在</w:t>
            </w:r>
            <w:r w:rsidRPr="007B4794">
              <w:rPr>
                <w:rFonts w:ascii="Arial" w:eastAsia="华文细黑" w:hAnsi="Arial" w:cs="Arial"/>
                <w:color w:val="000000" w:themeColor="text1"/>
                <w:sz w:val="15"/>
                <w:szCs w:val="15"/>
              </w:rPr>
              <w:t>460-470</w:t>
            </w:r>
            <w:r w:rsidRPr="007B4794">
              <w:rPr>
                <w:rFonts w:ascii="Arial" w:eastAsia="华文细黑" w:hAnsi="Arial" w:cs="Arial"/>
                <w:color w:val="000000" w:themeColor="text1"/>
                <w:sz w:val="15"/>
                <w:szCs w:val="15"/>
              </w:rPr>
              <w:t>万</w:t>
            </w:r>
            <w:r w:rsidRPr="007B4794">
              <w:rPr>
                <w:rFonts w:ascii="Arial" w:eastAsia="华文细黑" w:hAnsi="Arial" w:cs="Arial"/>
                <w:color w:val="000000" w:themeColor="text1"/>
                <w:sz w:val="15"/>
                <w:szCs w:val="15"/>
              </w:rPr>
              <w:t>/</w:t>
            </w:r>
            <w:r w:rsidRPr="007B4794">
              <w:rPr>
                <w:rFonts w:ascii="Arial" w:eastAsia="华文细黑" w:hAnsi="Arial" w:cs="Arial"/>
                <w:color w:val="000000" w:themeColor="text1"/>
                <w:sz w:val="15"/>
                <w:szCs w:val="15"/>
              </w:rPr>
              <w:t>套</w:t>
            </w:r>
          </w:p>
        </w:tc>
      </w:tr>
      <w:tr w:rsidR="00256CD0" w:rsidRPr="007B4794" w14:paraId="36703DA5" w14:textId="77777777" w:rsidTr="00432972">
        <w:trPr>
          <w:cantSplit/>
          <w:trHeight w:val="593"/>
          <w:jc w:val="center"/>
        </w:trPr>
        <w:tc>
          <w:tcPr>
            <w:tcW w:w="739" w:type="dxa"/>
            <w:shd w:val="clear" w:color="000000" w:fill="C0C0C0"/>
            <w:vAlign w:val="center"/>
          </w:tcPr>
          <w:p w14:paraId="4412F8B9"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hint="eastAsia"/>
                <w:b/>
                <w:bCs/>
                <w:color w:val="000000" w:themeColor="text1"/>
                <w:sz w:val="15"/>
                <w:szCs w:val="15"/>
              </w:rPr>
              <w:t>商业销售情况（报价）</w:t>
            </w:r>
          </w:p>
        </w:tc>
        <w:tc>
          <w:tcPr>
            <w:tcW w:w="2340" w:type="dxa"/>
            <w:shd w:val="clear" w:color="auto" w:fill="auto"/>
            <w:vAlign w:val="center"/>
          </w:tcPr>
          <w:p w14:paraId="26DCB0F8"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尚未开始</w:t>
            </w:r>
            <w:r w:rsidRPr="007B4794">
              <w:rPr>
                <w:rFonts w:ascii="Arial" w:eastAsia="华文细黑" w:hAnsi="Arial" w:cs="Arial"/>
                <w:color w:val="000000" w:themeColor="text1"/>
                <w:sz w:val="15"/>
                <w:szCs w:val="15"/>
              </w:rPr>
              <w:t>销售</w:t>
            </w:r>
          </w:p>
        </w:tc>
        <w:tc>
          <w:tcPr>
            <w:tcW w:w="2373" w:type="dxa"/>
            <w:shd w:val="clear" w:color="auto" w:fill="auto"/>
            <w:vAlign w:val="center"/>
          </w:tcPr>
          <w:p w14:paraId="7B7DD2D0"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无在售</w:t>
            </w:r>
          </w:p>
        </w:tc>
        <w:tc>
          <w:tcPr>
            <w:tcW w:w="2334" w:type="dxa"/>
            <w:vAlign w:val="center"/>
          </w:tcPr>
          <w:p w14:paraId="250D62A9"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无在售</w:t>
            </w:r>
          </w:p>
        </w:tc>
        <w:tc>
          <w:tcPr>
            <w:tcW w:w="2281" w:type="dxa"/>
            <w:vAlign w:val="center"/>
          </w:tcPr>
          <w:p w14:paraId="0D8EB2DB"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1F</w:t>
            </w:r>
            <w:r w:rsidRPr="007B4794">
              <w:rPr>
                <w:rFonts w:ascii="Arial" w:eastAsia="华文细黑" w:hAnsi="Arial" w:cs="Arial" w:hint="eastAsia"/>
                <w:color w:val="000000" w:themeColor="text1"/>
                <w:sz w:val="15"/>
                <w:szCs w:val="15"/>
              </w:rPr>
              <w:t>底商，</w:t>
            </w:r>
            <w:r w:rsidRPr="007B4794">
              <w:rPr>
                <w:rFonts w:ascii="Arial" w:eastAsia="华文细黑" w:hAnsi="Arial" w:cs="Arial" w:hint="eastAsia"/>
                <w:color w:val="000000" w:themeColor="text1"/>
                <w:sz w:val="15"/>
                <w:szCs w:val="15"/>
              </w:rPr>
              <w:t>1.8</w:t>
            </w:r>
            <w:r w:rsidRPr="007B4794">
              <w:rPr>
                <w:rFonts w:ascii="Arial" w:eastAsia="华文细黑" w:hAnsi="Arial" w:cs="Arial" w:hint="eastAsia"/>
                <w:color w:val="000000" w:themeColor="text1"/>
                <w:sz w:val="15"/>
                <w:szCs w:val="15"/>
              </w:rPr>
              <w:t>万</w:t>
            </w:r>
            <w:r w:rsidRPr="007B4794">
              <w:rPr>
                <w:rFonts w:ascii="Arial" w:eastAsia="华文细黑" w:hAnsi="Arial" w:cs="Arial" w:hint="eastAsia"/>
                <w:color w:val="000000" w:themeColor="text1"/>
                <w:sz w:val="15"/>
                <w:szCs w:val="15"/>
              </w:rPr>
              <w:t>-2</w:t>
            </w:r>
            <w:r w:rsidRPr="007B4794">
              <w:rPr>
                <w:rFonts w:ascii="Arial" w:eastAsia="华文细黑" w:hAnsi="Arial" w:cs="Arial" w:hint="eastAsia"/>
                <w:color w:val="000000" w:themeColor="text1"/>
                <w:sz w:val="15"/>
                <w:szCs w:val="15"/>
              </w:rPr>
              <w:t>万</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㎡；拐角位置</w:t>
            </w:r>
            <w:r w:rsidRPr="007B4794">
              <w:rPr>
                <w:rFonts w:ascii="Arial" w:eastAsia="华文细黑" w:hAnsi="Arial" w:cs="Arial" w:hint="eastAsia"/>
                <w:color w:val="000000" w:themeColor="text1"/>
                <w:sz w:val="15"/>
                <w:szCs w:val="15"/>
              </w:rPr>
              <w:t>3</w:t>
            </w:r>
            <w:r w:rsidRPr="007B4794">
              <w:rPr>
                <w:rFonts w:ascii="Arial" w:eastAsia="华文细黑" w:hAnsi="Arial" w:cs="Arial" w:hint="eastAsia"/>
                <w:color w:val="000000" w:themeColor="text1"/>
                <w:sz w:val="15"/>
                <w:szCs w:val="15"/>
              </w:rPr>
              <w:t>万左右</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w:t>
            </w:r>
          </w:p>
        </w:tc>
      </w:tr>
      <w:tr w:rsidR="00256CD0" w:rsidRPr="007B4794" w14:paraId="7F7A4E51" w14:textId="77777777" w:rsidTr="00432972">
        <w:trPr>
          <w:cantSplit/>
          <w:trHeight w:val="630"/>
          <w:jc w:val="center"/>
        </w:trPr>
        <w:tc>
          <w:tcPr>
            <w:tcW w:w="739" w:type="dxa"/>
            <w:shd w:val="clear" w:color="000000" w:fill="C0C0C0"/>
            <w:vAlign w:val="center"/>
          </w:tcPr>
          <w:p w14:paraId="0AF9C4BA"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hint="eastAsia"/>
                <w:b/>
                <w:bCs/>
                <w:color w:val="000000" w:themeColor="text1"/>
                <w:sz w:val="15"/>
                <w:szCs w:val="15"/>
              </w:rPr>
              <w:t>车库销售情况（报价）</w:t>
            </w:r>
          </w:p>
        </w:tc>
        <w:tc>
          <w:tcPr>
            <w:tcW w:w="2340" w:type="dxa"/>
            <w:shd w:val="clear" w:color="auto" w:fill="auto"/>
            <w:vAlign w:val="center"/>
          </w:tcPr>
          <w:p w14:paraId="2AFCC89F"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尚未开始</w:t>
            </w:r>
            <w:r w:rsidRPr="007B4794">
              <w:rPr>
                <w:rFonts w:ascii="Arial" w:eastAsia="华文细黑" w:hAnsi="Arial" w:cs="Arial"/>
                <w:color w:val="000000" w:themeColor="text1"/>
                <w:sz w:val="15"/>
                <w:szCs w:val="15"/>
              </w:rPr>
              <w:t>销售</w:t>
            </w:r>
          </w:p>
        </w:tc>
        <w:tc>
          <w:tcPr>
            <w:tcW w:w="2373" w:type="dxa"/>
            <w:shd w:val="clear" w:color="auto" w:fill="auto"/>
            <w:vAlign w:val="center"/>
          </w:tcPr>
          <w:p w14:paraId="3EA94651"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无在售</w:t>
            </w:r>
          </w:p>
        </w:tc>
        <w:tc>
          <w:tcPr>
            <w:tcW w:w="2334" w:type="dxa"/>
            <w:vAlign w:val="center"/>
          </w:tcPr>
          <w:p w14:paraId="7EFB60FF"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12-13</w:t>
            </w:r>
            <w:r w:rsidRPr="007B4794">
              <w:rPr>
                <w:rFonts w:ascii="Arial" w:eastAsia="华文细黑" w:hAnsi="Arial" w:cs="Arial" w:hint="eastAsia"/>
                <w:color w:val="000000" w:themeColor="text1"/>
                <w:sz w:val="15"/>
                <w:szCs w:val="15"/>
              </w:rPr>
              <w:t>万</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个（有产证）</w:t>
            </w:r>
          </w:p>
        </w:tc>
        <w:tc>
          <w:tcPr>
            <w:tcW w:w="2281" w:type="dxa"/>
            <w:vAlign w:val="center"/>
          </w:tcPr>
          <w:p w14:paraId="0CC51319"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无在售</w:t>
            </w:r>
          </w:p>
        </w:tc>
      </w:tr>
      <w:tr w:rsidR="00256CD0" w:rsidRPr="007B4794" w14:paraId="64AF3FFC" w14:textId="77777777" w:rsidTr="00432972">
        <w:trPr>
          <w:cantSplit/>
          <w:trHeight w:val="283"/>
          <w:jc w:val="center"/>
        </w:trPr>
        <w:tc>
          <w:tcPr>
            <w:tcW w:w="739" w:type="dxa"/>
            <w:tcBorders>
              <w:bottom w:val="single" w:sz="12" w:space="0" w:color="auto"/>
            </w:tcBorders>
            <w:shd w:val="clear" w:color="000000" w:fill="C0C0C0"/>
            <w:vAlign w:val="center"/>
            <w:hideMark/>
          </w:tcPr>
          <w:p w14:paraId="121B6806"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去化情况</w:t>
            </w:r>
          </w:p>
        </w:tc>
        <w:tc>
          <w:tcPr>
            <w:tcW w:w="2340" w:type="dxa"/>
            <w:tcBorders>
              <w:bottom w:val="single" w:sz="12" w:space="0" w:color="auto"/>
            </w:tcBorders>
            <w:shd w:val="clear" w:color="auto" w:fill="auto"/>
            <w:vAlign w:val="center"/>
          </w:tcPr>
          <w:p w14:paraId="4072658D"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分批次开盘，预计开盘去化率达</w:t>
            </w:r>
            <w:r w:rsidRPr="007B4794">
              <w:rPr>
                <w:rFonts w:ascii="Arial" w:eastAsia="华文细黑" w:hAnsi="Arial" w:cs="Arial"/>
                <w:color w:val="000000" w:themeColor="text1"/>
                <w:sz w:val="15"/>
                <w:szCs w:val="15"/>
              </w:rPr>
              <w:t>35%-40%</w:t>
            </w:r>
            <w:r w:rsidRPr="007B4794">
              <w:rPr>
                <w:rFonts w:ascii="Arial" w:eastAsia="华文细黑" w:hAnsi="Arial" w:cs="Arial" w:hint="eastAsia"/>
                <w:color w:val="000000" w:themeColor="text1"/>
                <w:sz w:val="15"/>
                <w:szCs w:val="15"/>
              </w:rPr>
              <w:t>，</w:t>
            </w:r>
            <w:r w:rsidRPr="007B4794">
              <w:rPr>
                <w:rFonts w:ascii="Arial" w:eastAsia="华文细黑" w:hAnsi="Arial" w:cs="Arial"/>
                <w:color w:val="000000" w:themeColor="text1"/>
                <w:sz w:val="15"/>
                <w:szCs w:val="15"/>
              </w:rPr>
              <w:t>开盘预计去化</w:t>
            </w:r>
            <w:r w:rsidRPr="007B4794">
              <w:rPr>
                <w:rFonts w:ascii="Arial" w:eastAsia="华文细黑" w:hAnsi="Arial" w:cs="Arial" w:hint="eastAsia"/>
                <w:color w:val="000000" w:themeColor="text1"/>
                <w:sz w:val="15"/>
                <w:szCs w:val="15"/>
              </w:rPr>
              <w:t>70</w:t>
            </w:r>
            <w:r w:rsidRPr="007B4794">
              <w:rPr>
                <w:rFonts w:ascii="Arial" w:eastAsia="华文细黑" w:hAnsi="Arial" w:cs="Arial" w:hint="eastAsia"/>
                <w:color w:val="000000" w:themeColor="text1"/>
                <w:sz w:val="15"/>
                <w:szCs w:val="15"/>
              </w:rPr>
              <w:t>套</w:t>
            </w:r>
            <w:r w:rsidRPr="007B4794">
              <w:rPr>
                <w:rFonts w:ascii="Arial" w:eastAsia="华文细黑" w:hAnsi="Arial" w:cs="Arial"/>
                <w:color w:val="000000" w:themeColor="text1"/>
                <w:sz w:val="15"/>
                <w:szCs w:val="15"/>
              </w:rPr>
              <w:t>左右</w:t>
            </w:r>
          </w:p>
        </w:tc>
        <w:tc>
          <w:tcPr>
            <w:tcW w:w="2373" w:type="dxa"/>
            <w:tcBorders>
              <w:bottom w:val="single" w:sz="12" w:space="0" w:color="auto"/>
            </w:tcBorders>
            <w:shd w:val="clear" w:color="auto" w:fill="auto"/>
            <w:vAlign w:val="center"/>
          </w:tcPr>
          <w:p w14:paraId="7FAEB4F9"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分批次开盘，总去化约</w:t>
            </w:r>
            <w:r w:rsidRPr="007B4794">
              <w:rPr>
                <w:rFonts w:ascii="Arial" w:eastAsia="华文细黑" w:hAnsi="Arial" w:cs="Arial"/>
                <w:color w:val="000000" w:themeColor="text1"/>
                <w:sz w:val="15"/>
                <w:szCs w:val="15"/>
              </w:rPr>
              <w:t>53</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；平均</w:t>
            </w:r>
            <w:r w:rsidRPr="007B4794">
              <w:rPr>
                <w:rFonts w:ascii="Arial" w:eastAsia="华文细黑" w:hAnsi="Arial" w:cs="Arial"/>
                <w:color w:val="000000" w:themeColor="text1"/>
                <w:sz w:val="15"/>
                <w:szCs w:val="15"/>
              </w:rPr>
              <w:t>月去化</w:t>
            </w:r>
            <w:r w:rsidRPr="007B4794">
              <w:rPr>
                <w:rFonts w:ascii="Arial" w:eastAsia="华文细黑" w:hAnsi="Arial" w:cs="Arial"/>
                <w:color w:val="000000" w:themeColor="text1"/>
                <w:sz w:val="15"/>
                <w:szCs w:val="15"/>
              </w:rPr>
              <w:t>50</w:t>
            </w:r>
            <w:r w:rsidRPr="007B4794">
              <w:rPr>
                <w:rFonts w:ascii="Arial" w:eastAsia="华文细黑" w:hAnsi="Arial" w:cs="Arial"/>
                <w:color w:val="000000" w:themeColor="text1"/>
                <w:sz w:val="15"/>
                <w:szCs w:val="15"/>
              </w:rPr>
              <w:t>套左右</w:t>
            </w:r>
          </w:p>
        </w:tc>
        <w:tc>
          <w:tcPr>
            <w:tcW w:w="2334" w:type="dxa"/>
            <w:tcBorders>
              <w:bottom w:val="single" w:sz="12" w:space="0" w:color="auto"/>
            </w:tcBorders>
            <w:vAlign w:val="center"/>
          </w:tcPr>
          <w:p w14:paraId="6C61C418"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分批次开盘，整个楼盘还剩</w:t>
            </w:r>
            <w:r w:rsidRPr="007B4794">
              <w:rPr>
                <w:rFonts w:ascii="Arial" w:eastAsia="华文细黑" w:hAnsi="Arial" w:cs="Arial" w:hint="eastAsia"/>
                <w:color w:val="000000" w:themeColor="text1"/>
                <w:sz w:val="15"/>
                <w:szCs w:val="15"/>
              </w:rPr>
              <w:t>400-500</w:t>
            </w:r>
            <w:r w:rsidRPr="007B4794">
              <w:rPr>
                <w:rFonts w:ascii="Arial" w:eastAsia="华文细黑" w:hAnsi="Arial" w:cs="Arial" w:hint="eastAsia"/>
                <w:color w:val="000000" w:themeColor="text1"/>
                <w:sz w:val="15"/>
                <w:szCs w:val="15"/>
              </w:rPr>
              <w:t>套</w:t>
            </w:r>
          </w:p>
        </w:tc>
        <w:tc>
          <w:tcPr>
            <w:tcW w:w="2281" w:type="dxa"/>
            <w:tcBorders>
              <w:bottom w:val="single" w:sz="12" w:space="0" w:color="auto"/>
            </w:tcBorders>
            <w:vAlign w:val="center"/>
          </w:tcPr>
          <w:p w14:paraId="7DACAE7F"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分批次开盘，已开盘</w:t>
            </w:r>
            <w:r w:rsidRPr="007B4794">
              <w:rPr>
                <w:rFonts w:ascii="Arial" w:eastAsia="华文细黑" w:hAnsi="Arial" w:cs="Arial" w:hint="eastAsia"/>
                <w:color w:val="000000" w:themeColor="text1"/>
                <w:sz w:val="15"/>
                <w:szCs w:val="15"/>
              </w:rPr>
              <w:t>3</w:t>
            </w:r>
            <w:r w:rsidRPr="007B4794">
              <w:rPr>
                <w:rFonts w:ascii="Arial" w:eastAsia="华文细黑" w:hAnsi="Arial" w:cs="Arial" w:hint="eastAsia"/>
                <w:color w:val="000000" w:themeColor="text1"/>
                <w:sz w:val="15"/>
                <w:szCs w:val="15"/>
              </w:rPr>
              <w:t>栋已全部售出，开盘当天</w:t>
            </w:r>
            <w:r w:rsidRPr="007B4794">
              <w:rPr>
                <w:rFonts w:ascii="Arial" w:eastAsia="华文细黑" w:hAnsi="Arial" w:cs="Arial"/>
                <w:color w:val="000000" w:themeColor="text1"/>
                <w:sz w:val="15"/>
                <w:szCs w:val="15"/>
              </w:rPr>
              <w:t>全部销售</w:t>
            </w:r>
          </w:p>
        </w:tc>
      </w:tr>
    </w:tbl>
    <w:p w14:paraId="32369E82" w14:textId="77777777" w:rsidR="00256CD0" w:rsidRPr="007B4794" w:rsidRDefault="00256CD0" w:rsidP="00256CD0">
      <w:pPr>
        <w:spacing w:line="360" w:lineRule="auto"/>
        <w:rPr>
          <w:rFonts w:ascii="华文细黑" w:eastAsia="华文细黑" w:hAnsi="华文细黑" w:cs="Arial"/>
          <w:color w:val="000000" w:themeColor="text1"/>
          <w:sz w:val="15"/>
          <w:szCs w:val="15"/>
        </w:rPr>
      </w:pPr>
      <w:r w:rsidRPr="007B4794">
        <w:rPr>
          <w:rFonts w:ascii="华文细黑" w:eastAsia="华文细黑" w:hAnsi="华文细黑" w:cs="Arial" w:hint="eastAsia"/>
          <w:color w:val="000000" w:themeColor="text1"/>
          <w:sz w:val="15"/>
          <w:szCs w:val="15"/>
        </w:rPr>
        <w:t>资料来源：市场调研资料</w:t>
      </w:r>
    </w:p>
    <w:p w14:paraId="746BB3A5" w14:textId="77777777" w:rsidR="00256CD0" w:rsidRPr="007B4794" w:rsidRDefault="00256CD0" w:rsidP="00256CD0">
      <w:pPr>
        <w:rPr>
          <w:rFonts w:ascii="华文细黑" w:eastAsia="华文细黑" w:hAnsi="华文细黑" w:cs="Arial"/>
          <w:color w:val="000000" w:themeColor="text1"/>
          <w:sz w:val="15"/>
          <w:szCs w:val="15"/>
        </w:rPr>
      </w:pPr>
    </w:p>
    <w:p w14:paraId="62D7B9A6" w14:textId="77777777" w:rsidR="00256CD0" w:rsidRPr="007B4794" w:rsidRDefault="00256CD0" w:rsidP="00256CD0">
      <w:pPr>
        <w:rPr>
          <w:rFonts w:ascii="华文细黑" w:eastAsia="华文细黑" w:hAnsi="华文细黑" w:cs="Arial"/>
          <w:color w:val="000000" w:themeColor="text1"/>
          <w:sz w:val="15"/>
          <w:szCs w:val="15"/>
        </w:rPr>
      </w:pPr>
    </w:p>
    <w:p w14:paraId="08FA0720" w14:textId="77777777" w:rsidR="00256CD0" w:rsidRPr="007B4794" w:rsidRDefault="00256CD0" w:rsidP="00256CD0">
      <w:pPr>
        <w:rPr>
          <w:rFonts w:ascii="华文细黑" w:eastAsia="华文细黑" w:hAnsi="华文细黑" w:cs="Arial"/>
          <w:color w:val="000000" w:themeColor="text1"/>
          <w:sz w:val="15"/>
          <w:szCs w:val="15"/>
        </w:rPr>
      </w:pPr>
    </w:p>
    <w:p w14:paraId="7AF006BA" w14:textId="77777777" w:rsidR="00256CD0" w:rsidRPr="007B4794" w:rsidRDefault="00256CD0" w:rsidP="00256CD0">
      <w:pPr>
        <w:widowControl w:val="0"/>
        <w:adjustRightInd w:val="0"/>
        <w:snapToGrid w:val="0"/>
        <w:spacing w:line="480" w:lineRule="auto"/>
        <w:ind w:firstLineChars="200" w:firstLine="420"/>
        <w:jc w:val="both"/>
        <w:rPr>
          <w:rFonts w:ascii="Arial" w:hAnsi="Arial" w:cs="Arial"/>
          <w:color w:val="000000" w:themeColor="text1"/>
          <w:sz w:val="21"/>
          <w:szCs w:val="21"/>
        </w:rPr>
        <w:sectPr w:rsidR="00256CD0" w:rsidRPr="007B4794" w:rsidSect="00225405">
          <w:pgSz w:w="11906" w:h="16838" w:code="9"/>
          <w:pgMar w:top="1843" w:right="1304" w:bottom="1134" w:left="1304" w:header="1134" w:footer="907" w:gutter="0"/>
          <w:cols w:space="425"/>
          <w:titlePg/>
          <w:docGrid w:linePitch="312"/>
        </w:sectPr>
      </w:pPr>
    </w:p>
    <w:tbl>
      <w:tblPr>
        <w:tblW w:w="5140" w:type="pct"/>
        <w:jc w:val="center"/>
        <w:tblInd w:w="-270" w:type="dxa"/>
        <w:tblCellMar>
          <w:top w:w="57" w:type="dxa"/>
          <w:left w:w="57" w:type="dxa"/>
          <w:bottom w:w="57" w:type="dxa"/>
          <w:right w:w="57" w:type="dxa"/>
        </w:tblCellMar>
        <w:tblLook w:val="04A0" w:firstRow="1" w:lastRow="0" w:firstColumn="1" w:lastColumn="0" w:noHBand="0" w:noVBand="1"/>
      </w:tblPr>
      <w:tblGrid>
        <w:gridCol w:w="732"/>
        <w:gridCol w:w="2334"/>
        <w:gridCol w:w="2334"/>
        <w:gridCol w:w="2225"/>
        <w:gridCol w:w="2225"/>
      </w:tblGrid>
      <w:tr w:rsidR="00256CD0" w:rsidRPr="007B4794" w14:paraId="10F63535" w14:textId="77777777" w:rsidTr="00256CD0">
        <w:trPr>
          <w:cantSplit/>
          <w:trHeight w:val="283"/>
          <w:tblHeader/>
          <w:jc w:val="center"/>
        </w:trPr>
        <w:tc>
          <w:tcPr>
            <w:tcW w:w="372" w:type="pct"/>
            <w:tcBorders>
              <w:top w:val="single" w:sz="12" w:space="0" w:color="auto"/>
              <w:bottom w:val="single" w:sz="12" w:space="0" w:color="auto"/>
            </w:tcBorders>
            <w:shd w:val="clear" w:color="000000" w:fill="963634"/>
            <w:vAlign w:val="center"/>
            <w:hideMark/>
          </w:tcPr>
          <w:p w14:paraId="653EFEEF" w14:textId="77777777" w:rsidR="00256CD0" w:rsidRPr="007B4794" w:rsidRDefault="00256CD0" w:rsidP="00432972">
            <w:pPr>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lastRenderedPageBreak/>
              <w:t>项目名称</w:t>
            </w:r>
          </w:p>
        </w:tc>
        <w:tc>
          <w:tcPr>
            <w:tcW w:w="1185" w:type="pct"/>
            <w:tcBorders>
              <w:top w:val="single" w:sz="12" w:space="0" w:color="auto"/>
              <w:bottom w:val="single" w:sz="12" w:space="0" w:color="auto"/>
            </w:tcBorders>
            <w:shd w:val="clear" w:color="000000" w:fill="963634"/>
            <w:vAlign w:val="center"/>
          </w:tcPr>
          <w:p w14:paraId="3CC71049"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hint="eastAsia"/>
                <w:b/>
                <w:bCs/>
                <w:color w:val="000000" w:themeColor="text1"/>
                <w:sz w:val="15"/>
                <w:szCs w:val="15"/>
              </w:rPr>
              <w:t>旭辉、大唐江山天境</w:t>
            </w:r>
          </w:p>
        </w:tc>
        <w:tc>
          <w:tcPr>
            <w:tcW w:w="1185" w:type="pct"/>
            <w:tcBorders>
              <w:top w:val="single" w:sz="12" w:space="0" w:color="auto"/>
              <w:bottom w:val="single" w:sz="12" w:space="0" w:color="auto"/>
            </w:tcBorders>
            <w:shd w:val="clear" w:color="000000" w:fill="963634"/>
            <w:vAlign w:val="center"/>
          </w:tcPr>
          <w:p w14:paraId="3BC884DB"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hint="eastAsia"/>
                <w:b/>
                <w:bCs/>
                <w:color w:val="000000" w:themeColor="text1"/>
                <w:sz w:val="15"/>
                <w:szCs w:val="15"/>
              </w:rPr>
              <w:t>龙泉丽景</w:t>
            </w:r>
          </w:p>
        </w:tc>
        <w:tc>
          <w:tcPr>
            <w:tcW w:w="1129" w:type="pct"/>
            <w:tcBorders>
              <w:top w:val="single" w:sz="12" w:space="0" w:color="auto"/>
              <w:bottom w:val="single" w:sz="12" w:space="0" w:color="auto"/>
            </w:tcBorders>
            <w:shd w:val="clear" w:color="000000" w:fill="963634"/>
            <w:vAlign w:val="center"/>
          </w:tcPr>
          <w:p w14:paraId="169D9237"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hint="eastAsia"/>
                <w:b/>
                <w:bCs/>
                <w:color w:val="000000" w:themeColor="text1"/>
                <w:sz w:val="15"/>
                <w:szCs w:val="15"/>
              </w:rPr>
              <w:t>万益广场（望春风）</w:t>
            </w:r>
          </w:p>
        </w:tc>
        <w:tc>
          <w:tcPr>
            <w:tcW w:w="1129" w:type="pct"/>
            <w:tcBorders>
              <w:top w:val="single" w:sz="12" w:space="0" w:color="auto"/>
              <w:bottom w:val="single" w:sz="12" w:space="0" w:color="auto"/>
            </w:tcBorders>
            <w:shd w:val="clear" w:color="000000" w:fill="963634"/>
            <w:vAlign w:val="center"/>
          </w:tcPr>
          <w:p w14:paraId="35FEF47D"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hint="eastAsia"/>
                <w:b/>
                <w:bCs/>
                <w:color w:val="000000" w:themeColor="text1"/>
                <w:sz w:val="15"/>
                <w:szCs w:val="15"/>
              </w:rPr>
              <w:t>海投·东湖城</w:t>
            </w:r>
          </w:p>
        </w:tc>
      </w:tr>
      <w:tr w:rsidR="00256CD0" w:rsidRPr="007B4794" w14:paraId="2A421728" w14:textId="77777777" w:rsidTr="00256CD0">
        <w:trPr>
          <w:cantSplit/>
          <w:trHeight w:val="283"/>
          <w:jc w:val="center"/>
        </w:trPr>
        <w:tc>
          <w:tcPr>
            <w:tcW w:w="372" w:type="pct"/>
            <w:shd w:val="clear" w:color="000000" w:fill="963634"/>
            <w:vAlign w:val="center"/>
            <w:hideMark/>
          </w:tcPr>
          <w:p w14:paraId="5063E4E8" w14:textId="77777777" w:rsidR="00256CD0" w:rsidRPr="007B4794" w:rsidRDefault="00256CD0" w:rsidP="00432972">
            <w:pPr>
              <w:jc w:val="center"/>
              <w:rPr>
                <w:rFonts w:ascii="Arial" w:eastAsia="华文细黑" w:hAnsi="Arial" w:cs="Arial"/>
                <w:b/>
                <w:bCs/>
                <w:color w:val="000000" w:themeColor="text1"/>
                <w:sz w:val="15"/>
                <w:szCs w:val="15"/>
              </w:rPr>
            </w:pPr>
          </w:p>
        </w:tc>
        <w:tc>
          <w:tcPr>
            <w:tcW w:w="1185" w:type="pct"/>
            <w:shd w:val="clear" w:color="auto" w:fill="auto"/>
            <w:vAlign w:val="center"/>
          </w:tcPr>
          <w:p w14:paraId="23516A08" w14:textId="77777777" w:rsidR="00256CD0" w:rsidRPr="007B4794" w:rsidRDefault="00256CD0" w:rsidP="00432972">
            <w:pPr>
              <w:jc w:val="center"/>
              <w:rPr>
                <w:rFonts w:ascii="Arial" w:eastAsia="华文细黑" w:hAnsi="Arial" w:cs="Arial"/>
                <w:color w:val="000000" w:themeColor="text1"/>
                <w:sz w:val="15"/>
                <w:szCs w:val="15"/>
              </w:rPr>
            </w:pPr>
            <w:r w:rsidRPr="007B4794">
              <w:rPr>
                <w:rFonts w:ascii="Arial" w:eastAsia="华文细黑" w:hAnsi="Arial" w:cs="Arial"/>
                <w:noProof/>
                <w:color w:val="000000" w:themeColor="text1"/>
                <w:sz w:val="15"/>
                <w:szCs w:val="15"/>
              </w:rPr>
              <w:drawing>
                <wp:inline distT="0" distB="0" distL="0" distR="0" wp14:anchorId="76608794" wp14:editId="665F8EA6">
                  <wp:extent cx="1407009" cy="1055257"/>
                  <wp:effectExtent l="0" t="0" r="317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珠光御景壹号2.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407009" cy="1055257"/>
                          </a:xfrm>
                          <a:prstGeom prst="rect">
                            <a:avLst/>
                          </a:prstGeom>
                        </pic:spPr>
                      </pic:pic>
                    </a:graphicData>
                  </a:graphic>
                </wp:inline>
              </w:drawing>
            </w:r>
          </w:p>
        </w:tc>
        <w:tc>
          <w:tcPr>
            <w:tcW w:w="1185" w:type="pct"/>
            <w:shd w:val="clear" w:color="auto" w:fill="auto"/>
            <w:vAlign w:val="center"/>
          </w:tcPr>
          <w:p w14:paraId="055D6EE8" w14:textId="77777777" w:rsidR="00256CD0" w:rsidRPr="007B4794" w:rsidRDefault="00256CD0" w:rsidP="00432972">
            <w:pPr>
              <w:jc w:val="center"/>
              <w:rPr>
                <w:rFonts w:ascii="Arial" w:eastAsia="华文细黑" w:hAnsi="Arial" w:cs="Arial"/>
                <w:color w:val="000000" w:themeColor="text1"/>
                <w:sz w:val="15"/>
                <w:szCs w:val="15"/>
              </w:rPr>
            </w:pPr>
            <w:r w:rsidRPr="007B4794">
              <w:rPr>
                <w:rFonts w:ascii="Arial" w:eastAsia="华文细黑" w:hAnsi="Arial" w:cs="Arial"/>
                <w:noProof/>
                <w:color w:val="000000" w:themeColor="text1"/>
                <w:sz w:val="15"/>
                <w:szCs w:val="15"/>
              </w:rPr>
              <w:drawing>
                <wp:inline distT="0" distB="0" distL="0" distR="0" wp14:anchorId="1F2A87B0" wp14:editId="726D1405">
                  <wp:extent cx="1400768" cy="1050576"/>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世茂珠江天鹅湾2.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00768" cy="1050576"/>
                          </a:xfrm>
                          <a:prstGeom prst="rect">
                            <a:avLst/>
                          </a:prstGeom>
                        </pic:spPr>
                      </pic:pic>
                    </a:graphicData>
                  </a:graphic>
                </wp:inline>
              </w:drawing>
            </w:r>
          </w:p>
        </w:tc>
        <w:tc>
          <w:tcPr>
            <w:tcW w:w="1129" w:type="pct"/>
            <w:vAlign w:val="center"/>
          </w:tcPr>
          <w:p w14:paraId="6C745E05" w14:textId="77777777" w:rsidR="00256CD0" w:rsidRPr="007B4794" w:rsidRDefault="00256CD0" w:rsidP="00432972">
            <w:pPr>
              <w:jc w:val="center"/>
              <w:rPr>
                <w:rFonts w:ascii="Arial" w:eastAsia="华文细黑" w:hAnsi="Arial" w:cs="Arial"/>
                <w:color w:val="000000" w:themeColor="text1"/>
                <w:sz w:val="15"/>
                <w:szCs w:val="15"/>
              </w:rPr>
            </w:pPr>
            <w:r w:rsidRPr="007B4794">
              <w:rPr>
                <w:rFonts w:ascii="Arial" w:eastAsia="华文细黑" w:hAnsi="Arial" w:cs="Arial"/>
                <w:noProof/>
                <w:color w:val="000000" w:themeColor="text1"/>
                <w:sz w:val="15"/>
                <w:szCs w:val="15"/>
              </w:rPr>
              <w:drawing>
                <wp:inline distT="0" distB="0" distL="0" distR="0" wp14:anchorId="5C9CD544" wp14:editId="45CF7BBC">
                  <wp:extent cx="1341029" cy="1005771"/>
                  <wp:effectExtent l="0" t="0" r="0" b="444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金众西关海1.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341029" cy="1005771"/>
                          </a:xfrm>
                          <a:prstGeom prst="rect">
                            <a:avLst/>
                          </a:prstGeom>
                        </pic:spPr>
                      </pic:pic>
                    </a:graphicData>
                  </a:graphic>
                </wp:inline>
              </w:drawing>
            </w:r>
          </w:p>
        </w:tc>
        <w:tc>
          <w:tcPr>
            <w:tcW w:w="1129" w:type="pct"/>
          </w:tcPr>
          <w:p w14:paraId="4747D84F" w14:textId="00640DE5" w:rsidR="00256CD0" w:rsidRPr="007B4794" w:rsidRDefault="00256CD0" w:rsidP="00432972">
            <w:pPr>
              <w:jc w:val="center"/>
              <w:rPr>
                <w:rFonts w:ascii="Arial" w:eastAsia="华文细黑" w:hAnsi="Arial" w:cs="Arial"/>
                <w:noProof/>
                <w:color w:val="000000" w:themeColor="text1"/>
                <w:sz w:val="15"/>
                <w:szCs w:val="15"/>
              </w:rPr>
            </w:pPr>
            <w:r w:rsidRPr="007B4794">
              <w:rPr>
                <w:rFonts w:ascii="Arial" w:eastAsia="华文细黑" w:hAnsi="Arial" w:cs="Arial"/>
                <w:noProof/>
                <w:color w:val="000000" w:themeColor="text1"/>
                <w:sz w:val="15"/>
                <w:szCs w:val="15"/>
              </w:rPr>
              <w:drawing>
                <wp:inline distT="0" distB="0" distL="0" distR="0" wp14:anchorId="1975CB62" wp14:editId="074D0C45">
                  <wp:extent cx="1341028" cy="1005771"/>
                  <wp:effectExtent l="0" t="0" r="0" b="4445"/>
                  <wp:docPr id="5182" name="图片 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金众西关海1.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341028" cy="1005771"/>
                          </a:xfrm>
                          <a:prstGeom prst="rect">
                            <a:avLst/>
                          </a:prstGeom>
                        </pic:spPr>
                      </pic:pic>
                    </a:graphicData>
                  </a:graphic>
                </wp:inline>
              </w:drawing>
            </w:r>
          </w:p>
        </w:tc>
      </w:tr>
      <w:tr w:rsidR="00256CD0" w:rsidRPr="007B4794" w14:paraId="0A1CF9E5" w14:textId="77777777" w:rsidTr="00256CD0">
        <w:trPr>
          <w:cantSplit/>
          <w:trHeight w:val="283"/>
          <w:jc w:val="center"/>
        </w:trPr>
        <w:tc>
          <w:tcPr>
            <w:tcW w:w="372" w:type="pct"/>
            <w:tcBorders>
              <w:top w:val="single" w:sz="4" w:space="0" w:color="auto"/>
            </w:tcBorders>
            <w:shd w:val="clear" w:color="000000" w:fill="C0C0C0"/>
            <w:vAlign w:val="center"/>
            <w:hideMark/>
          </w:tcPr>
          <w:p w14:paraId="447F25CF"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与本项目直线距离</w:t>
            </w:r>
          </w:p>
        </w:tc>
        <w:tc>
          <w:tcPr>
            <w:tcW w:w="1185" w:type="pct"/>
            <w:tcBorders>
              <w:top w:val="single" w:sz="4" w:space="0" w:color="auto"/>
            </w:tcBorders>
            <w:shd w:val="clear" w:color="auto" w:fill="auto"/>
            <w:vAlign w:val="center"/>
          </w:tcPr>
          <w:p w14:paraId="5CDA4C97"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1</w:t>
            </w:r>
            <w:r w:rsidRPr="007B4794">
              <w:rPr>
                <w:rFonts w:ascii="Arial" w:eastAsia="华文细黑" w:hAnsi="Arial" w:cs="Arial"/>
                <w:color w:val="000000" w:themeColor="text1"/>
                <w:sz w:val="15"/>
                <w:szCs w:val="15"/>
              </w:rPr>
              <w:t>.6</w:t>
            </w:r>
            <w:r w:rsidRPr="007B4794">
              <w:rPr>
                <w:rFonts w:ascii="Arial" w:eastAsia="华文细黑" w:hAnsi="Arial" w:cs="Arial" w:hint="eastAsia"/>
                <w:color w:val="000000" w:themeColor="text1"/>
                <w:sz w:val="15"/>
                <w:szCs w:val="15"/>
              </w:rPr>
              <w:t>公里</w:t>
            </w:r>
          </w:p>
        </w:tc>
        <w:tc>
          <w:tcPr>
            <w:tcW w:w="1185" w:type="pct"/>
            <w:tcBorders>
              <w:top w:val="single" w:sz="4" w:space="0" w:color="auto"/>
            </w:tcBorders>
            <w:shd w:val="clear" w:color="auto" w:fill="auto"/>
            <w:vAlign w:val="center"/>
          </w:tcPr>
          <w:p w14:paraId="3DB92741"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1.</w:t>
            </w:r>
            <w:r w:rsidRPr="007B4794">
              <w:rPr>
                <w:rFonts w:ascii="Arial" w:eastAsia="华文细黑" w:hAnsi="Arial" w:cs="Arial"/>
                <w:color w:val="000000" w:themeColor="text1"/>
                <w:sz w:val="15"/>
                <w:szCs w:val="15"/>
              </w:rPr>
              <w:t>1</w:t>
            </w:r>
            <w:r w:rsidRPr="007B4794">
              <w:rPr>
                <w:rFonts w:ascii="Arial" w:eastAsia="华文细黑" w:hAnsi="Arial" w:cs="Arial" w:hint="eastAsia"/>
                <w:color w:val="000000" w:themeColor="text1"/>
                <w:sz w:val="15"/>
                <w:szCs w:val="15"/>
              </w:rPr>
              <w:t>公里</w:t>
            </w:r>
          </w:p>
        </w:tc>
        <w:tc>
          <w:tcPr>
            <w:tcW w:w="1129" w:type="pct"/>
            <w:tcBorders>
              <w:top w:val="single" w:sz="4" w:space="0" w:color="auto"/>
            </w:tcBorders>
            <w:vAlign w:val="center"/>
          </w:tcPr>
          <w:p w14:paraId="0323BFC2"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color w:val="000000" w:themeColor="text1"/>
                <w:sz w:val="15"/>
                <w:szCs w:val="15"/>
              </w:rPr>
              <w:t>800</w:t>
            </w:r>
            <w:r w:rsidRPr="007B4794">
              <w:rPr>
                <w:rFonts w:ascii="Arial" w:eastAsia="华文细黑" w:hAnsi="Arial" w:cs="Arial" w:hint="eastAsia"/>
                <w:color w:val="000000" w:themeColor="text1"/>
                <w:sz w:val="15"/>
                <w:szCs w:val="15"/>
              </w:rPr>
              <w:t>米</w:t>
            </w:r>
          </w:p>
        </w:tc>
        <w:tc>
          <w:tcPr>
            <w:tcW w:w="1129" w:type="pct"/>
            <w:tcBorders>
              <w:top w:val="single" w:sz="4" w:space="0" w:color="auto"/>
            </w:tcBorders>
            <w:vAlign w:val="center"/>
          </w:tcPr>
          <w:p w14:paraId="0D803279"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1.8</w:t>
            </w:r>
            <w:r w:rsidRPr="007B4794">
              <w:rPr>
                <w:rFonts w:ascii="Arial" w:eastAsia="华文细黑" w:hAnsi="Arial" w:cs="Arial" w:hint="eastAsia"/>
                <w:color w:val="000000" w:themeColor="text1"/>
                <w:sz w:val="15"/>
                <w:szCs w:val="15"/>
              </w:rPr>
              <w:t>公里</w:t>
            </w:r>
          </w:p>
        </w:tc>
      </w:tr>
      <w:tr w:rsidR="00256CD0" w:rsidRPr="007B4794" w14:paraId="1F7FDAEF" w14:textId="77777777" w:rsidTr="00256CD0">
        <w:trPr>
          <w:cantSplit/>
          <w:trHeight w:val="452"/>
          <w:jc w:val="center"/>
        </w:trPr>
        <w:tc>
          <w:tcPr>
            <w:tcW w:w="372" w:type="pct"/>
            <w:shd w:val="clear" w:color="000000" w:fill="C0C0C0"/>
            <w:vAlign w:val="center"/>
            <w:hideMark/>
          </w:tcPr>
          <w:p w14:paraId="14AB7792"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开发商</w:t>
            </w:r>
          </w:p>
        </w:tc>
        <w:tc>
          <w:tcPr>
            <w:tcW w:w="1185" w:type="pct"/>
            <w:shd w:val="clear" w:color="auto" w:fill="auto"/>
            <w:vAlign w:val="center"/>
          </w:tcPr>
          <w:p w14:paraId="1116EA6B"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漳州和艾房地产开发有限公司</w:t>
            </w:r>
          </w:p>
        </w:tc>
        <w:tc>
          <w:tcPr>
            <w:tcW w:w="1185" w:type="pct"/>
            <w:shd w:val="clear" w:color="auto" w:fill="auto"/>
            <w:vAlign w:val="center"/>
          </w:tcPr>
          <w:p w14:paraId="372BBE33"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福建龙晟房地产开发有限公司</w:t>
            </w:r>
          </w:p>
        </w:tc>
        <w:tc>
          <w:tcPr>
            <w:tcW w:w="1129" w:type="pct"/>
            <w:vAlign w:val="center"/>
          </w:tcPr>
          <w:p w14:paraId="242C6E44"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漳州万益投资有限公司</w:t>
            </w:r>
          </w:p>
        </w:tc>
        <w:tc>
          <w:tcPr>
            <w:tcW w:w="1129" w:type="pct"/>
            <w:vAlign w:val="center"/>
          </w:tcPr>
          <w:p w14:paraId="578EE1F8"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海投房产</w:t>
            </w:r>
          </w:p>
        </w:tc>
      </w:tr>
      <w:tr w:rsidR="00256CD0" w:rsidRPr="007B4794" w14:paraId="7FA3CEF1" w14:textId="77777777" w:rsidTr="00256CD0">
        <w:trPr>
          <w:cantSplit/>
          <w:trHeight w:val="283"/>
          <w:jc w:val="center"/>
        </w:trPr>
        <w:tc>
          <w:tcPr>
            <w:tcW w:w="372" w:type="pct"/>
            <w:shd w:val="clear" w:color="000000" w:fill="C0C0C0"/>
            <w:vAlign w:val="center"/>
            <w:hideMark/>
          </w:tcPr>
          <w:p w14:paraId="06FED5A0"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项目位置</w:t>
            </w:r>
          </w:p>
        </w:tc>
        <w:tc>
          <w:tcPr>
            <w:tcW w:w="1185" w:type="pct"/>
            <w:shd w:val="clear" w:color="auto" w:fill="auto"/>
            <w:vAlign w:val="center"/>
          </w:tcPr>
          <w:p w14:paraId="79560395"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厦门西·角美洪岱路万益广场对面</w:t>
            </w:r>
          </w:p>
        </w:tc>
        <w:tc>
          <w:tcPr>
            <w:tcW w:w="1185" w:type="pct"/>
            <w:shd w:val="clear" w:color="auto" w:fill="auto"/>
            <w:vAlign w:val="center"/>
          </w:tcPr>
          <w:p w14:paraId="73D46EA0"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厦门双十中学漳州分校旁</w:t>
            </w:r>
          </w:p>
        </w:tc>
        <w:tc>
          <w:tcPr>
            <w:tcW w:w="1129" w:type="pct"/>
            <w:vAlign w:val="center"/>
          </w:tcPr>
          <w:p w14:paraId="37A4E7F0"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洪岱路，厦门双十中学漳州分校旁</w:t>
            </w:r>
          </w:p>
        </w:tc>
        <w:tc>
          <w:tcPr>
            <w:tcW w:w="1129" w:type="pct"/>
            <w:vAlign w:val="center"/>
          </w:tcPr>
          <w:p w14:paraId="4C62A6BF"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洪岱路与阳光北路交汇处</w:t>
            </w:r>
          </w:p>
        </w:tc>
      </w:tr>
      <w:tr w:rsidR="00256CD0" w:rsidRPr="007B4794" w14:paraId="4B61C50E" w14:textId="77777777" w:rsidTr="00256CD0">
        <w:trPr>
          <w:cantSplit/>
          <w:trHeight w:val="478"/>
          <w:jc w:val="center"/>
        </w:trPr>
        <w:tc>
          <w:tcPr>
            <w:tcW w:w="372" w:type="pct"/>
            <w:shd w:val="clear" w:color="000000" w:fill="C0C0C0"/>
            <w:vAlign w:val="center"/>
            <w:hideMark/>
          </w:tcPr>
          <w:p w14:paraId="4A46E06C"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项目规模</w:t>
            </w:r>
          </w:p>
        </w:tc>
        <w:tc>
          <w:tcPr>
            <w:tcW w:w="1185" w:type="pct"/>
            <w:shd w:val="clear" w:color="auto" w:fill="auto"/>
            <w:vAlign w:val="center"/>
          </w:tcPr>
          <w:p w14:paraId="1C1C663B"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占地面积：</w:t>
            </w:r>
            <w:r w:rsidRPr="007B4794">
              <w:rPr>
                <w:rFonts w:ascii="Arial" w:eastAsia="华文细黑" w:hAnsi="Arial" w:cs="Arial" w:hint="eastAsia"/>
                <w:color w:val="000000" w:themeColor="text1"/>
                <w:sz w:val="15"/>
                <w:szCs w:val="15"/>
              </w:rPr>
              <w:t>23861</w:t>
            </w:r>
            <w:r w:rsidRPr="007B4794">
              <w:rPr>
                <w:rFonts w:ascii="Arial" w:eastAsia="华文细黑" w:hAnsi="Arial" w:cs="Arial" w:hint="eastAsia"/>
                <w:color w:val="000000" w:themeColor="text1"/>
                <w:sz w:val="15"/>
                <w:szCs w:val="15"/>
              </w:rPr>
              <w:t>平方米</w:t>
            </w:r>
          </w:p>
          <w:p w14:paraId="088A947E"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建筑面积：</w:t>
            </w:r>
            <w:r w:rsidRPr="007B4794">
              <w:rPr>
                <w:rFonts w:ascii="Arial" w:eastAsia="华文细黑" w:hAnsi="Arial" w:cs="Arial" w:hint="eastAsia"/>
                <w:color w:val="000000" w:themeColor="text1"/>
                <w:sz w:val="15"/>
                <w:szCs w:val="15"/>
              </w:rPr>
              <w:t>99954.01</w:t>
            </w:r>
            <w:r w:rsidRPr="007B4794">
              <w:rPr>
                <w:rFonts w:ascii="Arial" w:eastAsia="华文细黑" w:hAnsi="Arial" w:cs="Arial" w:hint="eastAsia"/>
                <w:color w:val="000000" w:themeColor="text1"/>
                <w:sz w:val="15"/>
                <w:szCs w:val="15"/>
              </w:rPr>
              <w:t>平方米</w:t>
            </w:r>
          </w:p>
        </w:tc>
        <w:tc>
          <w:tcPr>
            <w:tcW w:w="1185" w:type="pct"/>
            <w:shd w:val="clear" w:color="auto" w:fill="auto"/>
            <w:vAlign w:val="center"/>
          </w:tcPr>
          <w:p w14:paraId="476F5BF2"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占地面积：</w:t>
            </w:r>
            <w:r w:rsidRPr="007B4794">
              <w:rPr>
                <w:rFonts w:ascii="Arial" w:eastAsia="华文细黑" w:hAnsi="Arial" w:cs="Arial" w:hint="eastAsia"/>
                <w:color w:val="000000" w:themeColor="text1"/>
                <w:sz w:val="15"/>
                <w:szCs w:val="15"/>
              </w:rPr>
              <w:t>103000</w:t>
            </w:r>
            <w:r w:rsidRPr="007B4794">
              <w:rPr>
                <w:rFonts w:ascii="Arial" w:eastAsia="华文细黑" w:hAnsi="Arial" w:cs="Arial" w:hint="eastAsia"/>
                <w:color w:val="000000" w:themeColor="text1"/>
                <w:sz w:val="15"/>
                <w:szCs w:val="15"/>
              </w:rPr>
              <w:t>平方米</w:t>
            </w:r>
          </w:p>
          <w:p w14:paraId="16273945"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建筑面积：</w:t>
            </w:r>
            <w:r w:rsidRPr="007B4794">
              <w:rPr>
                <w:rFonts w:ascii="Arial" w:eastAsia="华文细黑" w:hAnsi="Arial" w:cs="Arial" w:hint="eastAsia"/>
                <w:color w:val="000000" w:themeColor="text1"/>
                <w:sz w:val="15"/>
                <w:szCs w:val="15"/>
              </w:rPr>
              <w:t>320000</w:t>
            </w:r>
            <w:r w:rsidRPr="007B4794">
              <w:rPr>
                <w:rFonts w:ascii="Arial" w:eastAsia="华文细黑" w:hAnsi="Arial" w:cs="Arial" w:hint="eastAsia"/>
                <w:color w:val="000000" w:themeColor="text1"/>
                <w:sz w:val="15"/>
                <w:szCs w:val="15"/>
              </w:rPr>
              <w:t>平方米</w:t>
            </w:r>
          </w:p>
        </w:tc>
        <w:tc>
          <w:tcPr>
            <w:tcW w:w="1129" w:type="pct"/>
            <w:vAlign w:val="center"/>
          </w:tcPr>
          <w:p w14:paraId="79CCC42F"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占地面积：</w:t>
            </w:r>
            <w:r w:rsidRPr="007B4794">
              <w:rPr>
                <w:rFonts w:ascii="Arial" w:eastAsia="华文细黑" w:hAnsi="Arial" w:cs="Arial" w:hint="eastAsia"/>
                <w:color w:val="000000" w:themeColor="text1"/>
                <w:sz w:val="15"/>
                <w:szCs w:val="15"/>
              </w:rPr>
              <w:t>30000</w:t>
            </w:r>
            <w:r w:rsidRPr="007B4794">
              <w:rPr>
                <w:rFonts w:ascii="Arial" w:eastAsia="华文细黑" w:hAnsi="Arial" w:cs="Arial" w:hint="eastAsia"/>
                <w:color w:val="000000" w:themeColor="text1"/>
                <w:sz w:val="15"/>
                <w:szCs w:val="15"/>
              </w:rPr>
              <w:t>平方米</w:t>
            </w:r>
          </w:p>
          <w:p w14:paraId="3F8F4126"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建筑面积：</w:t>
            </w:r>
            <w:r w:rsidRPr="007B4794">
              <w:rPr>
                <w:rFonts w:ascii="Arial" w:eastAsia="华文细黑" w:hAnsi="Arial" w:cs="Arial" w:hint="eastAsia"/>
                <w:color w:val="000000" w:themeColor="text1"/>
                <w:sz w:val="15"/>
                <w:szCs w:val="15"/>
              </w:rPr>
              <w:t>800000</w:t>
            </w:r>
            <w:r w:rsidRPr="007B4794">
              <w:rPr>
                <w:rFonts w:ascii="Arial" w:eastAsia="华文细黑" w:hAnsi="Arial" w:cs="Arial" w:hint="eastAsia"/>
                <w:color w:val="000000" w:themeColor="text1"/>
                <w:sz w:val="15"/>
                <w:szCs w:val="15"/>
              </w:rPr>
              <w:t>平方米</w:t>
            </w:r>
          </w:p>
        </w:tc>
        <w:tc>
          <w:tcPr>
            <w:tcW w:w="1129" w:type="pct"/>
            <w:vAlign w:val="center"/>
          </w:tcPr>
          <w:p w14:paraId="75C3353B"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占地面积：</w:t>
            </w:r>
            <w:r w:rsidRPr="007B4794">
              <w:rPr>
                <w:rFonts w:ascii="Arial" w:eastAsia="华文细黑" w:hAnsi="Arial" w:cs="Arial" w:hint="eastAsia"/>
                <w:color w:val="000000" w:themeColor="text1"/>
                <w:sz w:val="15"/>
                <w:szCs w:val="15"/>
              </w:rPr>
              <w:t>66710</w:t>
            </w:r>
            <w:r w:rsidRPr="007B4794">
              <w:rPr>
                <w:rFonts w:ascii="Arial" w:eastAsia="华文细黑" w:hAnsi="Arial" w:cs="Arial" w:hint="eastAsia"/>
                <w:color w:val="000000" w:themeColor="text1"/>
                <w:sz w:val="15"/>
                <w:szCs w:val="15"/>
              </w:rPr>
              <w:t>平方米</w:t>
            </w:r>
          </w:p>
          <w:p w14:paraId="5CDDFDE3"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建筑面积：</w:t>
            </w:r>
            <w:r w:rsidRPr="007B4794">
              <w:rPr>
                <w:rFonts w:ascii="Arial" w:eastAsia="华文细黑" w:hAnsi="Arial" w:cs="Arial" w:hint="eastAsia"/>
                <w:color w:val="000000" w:themeColor="text1"/>
                <w:sz w:val="15"/>
                <w:szCs w:val="15"/>
              </w:rPr>
              <w:t>284620</w:t>
            </w:r>
            <w:r w:rsidRPr="007B4794">
              <w:rPr>
                <w:rFonts w:ascii="Arial" w:eastAsia="华文细黑" w:hAnsi="Arial" w:cs="Arial" w:hint="eastAsia"/>
                <w:color w:val="000000" w:themeColor="text1"/>
                <w:sz w:val="15"/>
                <w:szCs w:val="15"/>
              </w:rPr>
              <w:t>平方米</w:t>
            </w:r>
          </w:p>
        </w:tc>
      </w:tr>
      <w:tr w:rsidR="00256CD0" w:rsidRPr="007B4794" w14:paraId="5D2DD015" w14:textId="77777777" w:rsidTr="00256CD0">
        <w:trPr>
          <w:cantSplit/>
          <w:trHeight w:val="283"/>
          <w:jc w:val="center"/>
        </w:trPr>
        <w:tc>
          <w:tcPr>
            <w:tcW w:w="372" w:type="pct"/>
            <w:shd w:val="clear" w:color="000000" w:fill="C0C0C0"/>
            <w:vAlign w:val="center"/>
            <w:hideMark/>
          </w:tcPr>
          <w:p w14:paraId="00D190E4"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项目容积率</w:t>
            </w:r>
          </w:p>
        </w:tc>
        <w:tc>
          <w:tcPr>
            <w:tcW w:w="1185" w:type="pct"/>
            <w:shd w:val="clear" w:color="auto" w:fill="auto"/>
            <w:vAlign w:val="center"/>
          </w:tcPr>
          <w:p w14:paraId="02B03666"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2.99</w:t>
            </w:r>
          </w:p>
        </w:tc>
        <w:tc>
          <w:tcPr>
            <w:tcW w:w="1185" w:type="pct"/>
            <w:shd w:val="clear" w:color="auto" w:fill="auto"/>
            <w:vAlign w:val="center"/>
          </w:tcPr>
          <w:p w14:paraId="3D23AA0B"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3.2</w:t>
            </w:r>
          </w:p>
        </w:tc>
        <w:tc>
          <w:tcPr>
            <w:tcW w:w="1129" w:type="pct"/>
            <w:vAlign w:val="center"/>
          </w:tcPr>
          <w:p w14:paraId="1C3F35CF"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3.01</w:t>
            </w:r>
          </w:p>
        </w:tc>
        <w:tc>
          <w:tcPr>
            <w:tcW w:w="1129" w:type="pct"/>
            <w:vAlign w:val="center"/>
          </w:tcPr>
          <w:p w14:paraId="40000E35"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2.99</w:t>
            </w:r>
          </w:p>
        </w:tc>
      </w:tr>
      <w:tr w:rsidR="00256CD0" w:rsidRPr="007B4794" w14:paraId="68898A6B" w14:textId="77777777" w:rsidTr="00256CD0">
        <w:trPr>
          <w:cantSplit/>
          <w:trHeight w:val="430"/>
          <w:jc w:val="center"/>
        </w:trPr>
        <w:tc>
          <w:tcPr>
            <w:tcW w:w="372" w:type="pct"/>
            <w:shd w:val="clear" w:color="000000" w:fill="C0C0C0"/>
            <w:vAlign w:val="center"/>
          </w:tcPr>
          <w:p w14:paraId="4194A4BF"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楼栋总数</w:t>
            </w:r>
          </w:p>
        </w:tc>
        <w:tc>
          <w:tcPr>
            <w:tcW w:w="1185" w:type="pct"/>
            <w:shd w:val="clear" w:color="auto" w:fill="auto"/>
            <w:vAlign w:val="center"/>
          </w:tcPr>
          <w:p w14:paraId="7E811B89"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6</w:t>
            </w:r>
            <w:r w:rsidRPr="007B4794">
              <w:rPr>
                <w:rFonts w:ascii="Arial" w:eastAsia="华文细黑" w:hAnsi="Arial" w:cs="Arial" w:hint="eastAsia"/>
                <w:color w:val="000000" w:themeColor="text1"/>
                <w:sz w:val="15"/>
                <w:szCs w:val="15"/>
              </w:rPr>
              <w:t>栋高层，</w:t>
            </w:r>
            <w:r w:rsidRPr="007B4794">
              <w:rPr>
                <w:rFonts w:ascii="Arial" w:eastAsia="华文细黑" w:hAnsi="Arial" w:cs="Arial" w:hint="eastAsia"/>
                <w:color w:val="000000" w:themeColor="text1"/>
                <w:sz w:val="15"/>
                <w:szCs w:val="15"/>
              </w:rPr>
              <w:t>4</w:t>
            </w:r>
            <w:r w:rsidRPr="007B4794">
              <w:rPr>
                <w:rFonts w:ascii="Arial" w:eastAsia="华文细黑" w:hAnsi="Arial" w:cs="Arial" w:hint="eastAsia"/>
                <w:color w:val="000000" w:themeColor="text1"/>
                <w:sz w:val="15"/>
                <w:szCs w:val="15"/>
              </w:rPr>
              <w:t>栋洋房</w:t>
            </w:r>
          </w:p>
        </w:tc>
        <w:tc>
          <w:tcPr>
            <w:tcW w:w="1185" w:type="pct"/>
            <w:shd w:val="clear" w:color="auto" w:fill="auto"/>
            <w:vAlign w:val="center"/>
          </w:tcPr>
          <w:p w14:paraId="3A0A430B"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15</w:t>
            </w:r>
            <w:r w:rsidRPr="007B4794">
              <w:rPr>
                <w:rFonts w:ascii="Arial" w:eastAsia="华文细黑" w:hAnsi="Arial" w:cs="Arial" w:hint="eastAsia"/>
                <w:color w:val="000000" w:themeColor="text1"/>
                <w:sz w:val="15"/>
                <w:szCs w:val="15"/>
              </w:rPr>
              <w:t>栋</w:t>
            </w:r>
          </w:p>
        </w:tc>
        <w:tc>
          <w:tcPr>
            <w:tcW w:w="1129" w:type="pct"/>
            <w:vAlign w:val="center"/>
          </w:tcPr>
          <w:p w14:paraId="36BAC29B"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4</w:t>
            </w:r>
            <w:r w:rsidRPr="007B4794">
              <w:rPr>
                <w:rFonts w:ascii="Arial" w:eastAsia="华文细黑" w:hAnsi="Arial" w:cs="Arial" w:hint="eastAsia"/>
                <w:color w:val="000000" w:themeColor="text1"/>
                <w:sz w:val="15"/>
                <w:szCs w:val="15"/>
              </w:rPr>
              <w:t>栋</w:t>
            </w:r>
          </w:p>
        </w:tc>
        <w:tc>
          <w:tcPr>
            <w:tcW w:w="1129" w:type="pct"/>
            <w:vAlign w:val="center"/>
          </w:tcPr>
          <w:p w14:paraId="35C88455"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11</w:t>
            </w:r>
            <w:r w:rsidRPr="007B4794">
              <w:rPr>
                <w:rFonts w:ascii="Arial" w:eastAsia="华文细黑" w:hAnsi="Arial" w:cs="Arial" w:hint="eastAsia"/>
                <w:color w:val="000000" w:themeColor="text1"/>
                <w:sz w:val="15"/>
                <w:szCs w:val="15"/>
              </w:rPr>
              <w:t>栋高层，</w:t>
            </w:r>
            <w:r w:rsidRPr="007B4794">
              <w:rPr>
                <w:rFonts w:ascii="Arial" w:eastAsia="华文细黑" w:hAnsi="Arial" w:cs="Arial" w:hint="eastAsia"/>
                <w:color w:val="000000" w:themeColor="text1"/>
                <w:sz w:val="15"/>
                <w:szCs w:val="15"/>
              </w:rPr>
              <w:t>2</w:t>
            </w:r>
            <w:r w:rsidRPr="007B4794">
              <w:rPr>
                <w:rFonts w:ascii="Arial" w:eastAsia="华文细黑" w:hAnsi="Arial" w:cs="Arial" w:hint="eastAsia"/>
                <w:color w:val="000000" w:themeColor="text1"/>
                <w:sz w:val="15"/>
                <w:szCs w:val="15"/>
              </w:rPr>
              <w:t>栋超高层以</w:t>
            </w:r>
          </w:p>
        </w:tc>
      </w:tr>
      <w:tr w:rsidR="00256CD0" w:rsidRPr="007B4794" w14:paraId="6A8863CC" w14:textId="77777777" w:rsidTr="00256CD0">
        <w:trPr>
          <w:cantSplit/>
          <w:trHeight w:val="283"/>
          <w:jc w:val="center"/>
        </w:trPr>
        <w:tc>
          <w:tcPr>
            <w:tcW w:w="372" w:type="pct"/>
            <w:shd w:val="clear" w:color="000000" w:fill="C0C0C0"/>
            <w:vAlign w:val="center"/>
            <w:hideMark/>
          </w:tcPr>
          <w:p w14:paraId="7F900708"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楼层状况</w:t>
            </w:r>
          </w:p>
        </w:tc>
        <w:tc>
          <w:tcPr>
            <w:tcW w:w="1185" w:type="pct"/>
            <w:shd w:val="clear" w:color="auto" w:fill="auto"/>
            <w:vAlign w:val="center"/>
          </w:tcPr>
          <w:p w14:paraId="536AA7C7"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高层</w:t>
            </w:r>
            <w:r w:rsidRPr="007B4794">
              <w:rPr>
                <w:rFonts w:ascii="Arial" w:eastAsia="华文细黑" w:hAnsi="Arial" w:cs="Arial" w:hint="eastAsia"/>
                <w:color w:val="000000" w:themeColor="text1"/>
                <w:sz w:val="15"/>
                <w:szCs w:val="15"/>
              </w:rPr>
              <w:t>3</w:t>
            </w:r>
            <w:r w:rsidRPr="007B4794">
              <w:rPr>
                <w:rFonts w:ascii="Arial" w:eastAsia="华文细黑" w:hAnsi="Arial" w:cs="Arial"/>
                <w:color w:val="000000" w:themeColor="text1"/>
                <w:sz w:val="15"/>
                <w:szCs w:val="15"/>
              </w:rPr>
              <w:t>2</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33</w:t>
            </w:r>
            <w:r w:rsidRPr="007B4794">
              <w:rPr>
                <w:rFonts w:ascii="Arial" w:eastAsia="华文细黑" w:hAnsi="Arial" w:cs="Arial" w:hint="eastAsia"/>
                <w:color w:val="000000" w:themeColor="text1"/>
                <w:sz w:val="15"/>
                <w:szCs w:val="15"/>
              </w:rPr>
              <w:t>层，</w:t>
            </w:r>
            <w:r w:rsidRPr="007B4794">
              <w:rPr>
                <w:rFonts w:ascii="Arial" w:eastAsia="华文细黑" w:hAnsi="Arial" w:cs="Arial" w:hint="eastAsia"/>
                <w:color w:val="000000" w:themeColor="text1"/>
                <w:sz w:val="15"/>
                <w:szCs w:val="15"/>
              </w:rPr>
              <w:t>4</w:t>
            </w:r>
            <w:r w:rsidRPr="007B4794">
              <w:rPr>
                <w:rFonts w:ascii="Arial" w:eastAsia="华文细黑" w:hAnsi="Arial" w:cs="Arial" w:hint="eastAsia"/>
                <w:color w:val="000000" w:themeColor="text1"/>
                <w:sz w:val="15"/>
                <w:szCs w:val="15"/>
              </w:rPr>
              <w:t>栋</w:t>
            </w:r>
            <w:r w:rsidRPr="007B4794">
              <w:rPr>
                <w:rFonts w:ascii="Arial" w:eastAsia="华文细黑" w:hAnsi="Arial" w:cs="Arial" w:hint="eastAsia"/>
                <w:color w:val="000000" w:themeColor="text1"/>
                <w:sz w:val="15"/>
                <w:szCs w:val="15"/>
              </w:rPr>
              <w:t>6</w:t>
            </w:r>
            <w:r w:rsidRPr="007B4794">
              <w:rPr>
                <w:rFonts w:ascii="Arial" w:eastAsia="华文细黑" w:hAnsi="Arial" w:cs="Arial" w:hint="eastAsia"/>
                <w:color w:val="000000" w:themeColor="text1"/>
                <w:sz w:val="15"/>
                <w:szCs w:val="15"/>
              </w:rPr>
              <w:t>层</w:t>
            </w:r>
          </w:p>
        </w:tc>
        <w:tc>
          <w:tcPr>
            <w:tcW w:w="1185" w:type="pct"/>
            <w:shd w:val="clear" w:color="auto" w:fill="auto"/>
            <w:vAlign w:val="center"/>
          </w:tcPr>
          <w:p w14:paraId="3DB37075"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18-32</w:t>
            </w:r>
            <w:r w:rsidRPr="007B4794">
              <w:rPr>
                <w:rFonts w:ascii="Arial" w:eastAsia="华文细黑" w:hAnsi="Arial" w:cs="Arial" w:hint="eastAsia"/>
                <w:color w:val="000000" w:themeColor="text1"/>
                <w:sz w:val="15"/>
                <w:szCs w:val="15"/>
              </w:rPr>
              <w:t>层</w:t>
            </w:r>
          </w:p>
        </w:tc>
        <w:tc>
          <w:tcPr>
            <w:tcW w:w="1129" w:type="pct"/>
            <w:vAlign w:val="center"/>
          </w:tcPr>
          <w:p w14:paraId="27EE1950"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4</w:t>
            </w:r>
            <w:r w:rsidRPr="007B4794">
              <w:rPr>
                <w:rFonts w:ascii="Arial" w:eastAsia="华文细黑" w:hAnsi="Arial" w:cs="Arial" w:hint="eastAsia"/>
                <w:color w:val="000000" w:themeColor="text1"/>
                <w:sz w:val="15"/>
                <w:szCs w:val="15"/>
              </w:rPr>
              <w:t>栋</w:t>
            </w:r>
            <w:r w:rsidRPr="007B4794">
              <w:rPr>
                <w:rFonts w:ascii="Arial" w:eastAsia="华文细黑" w:hAnsi="Arial" w:cs="Arial" w:hint="eastAsia"/>
                <w:color w:val="000000" w:themeColor="text1"/>
                <w:sz w:val="15"/>
                <w:szCs w:val="15"/>
              </w:rPr>
              <w:t>5</w:t>
            </w:r>
            <w:r w:rsidRPr="007B4794">
              <w:rPr>
                <w:rFonts w:ascii="Arial" w:eastAsia="华文细黑" w:hAnsi="Arial" w:cs="Arial"/>
                <w:color w:val="000000" w:themeColor="text1"/>
                <w:sz w:val="15"/>
                <w:szCs w:val="15"/>
              </w:rPr>
              <w:t>1</w:t>
            </w:r>
            <w:r w:rsidRPr="007B4794">
              <w:rPr>
                <w:rFonts w:ascii="Arial" w:eastAsia="华文细黑" w:hAnsi="Arial" w:cs="Arial" w:hint="eastAsia"/>
                <w:color w:val="000000" w:themeColor="text1"/>
                <w:sz w:val="15"/>
                <w:szCs w:val="15"/>
              </w:rPr>
              <w:t>层</w:t>
            </w:r>
            <w:r w:rsidRPr="007B4794">
              <w:rPr>
                <w:rFonts w:ascii="Arial" w:eastAsia="华文细黑" w:hAnsi="Arial" w:cs="Arial"/>
                <w:color w:val="000000" w:themeColor="text1"/>
                <w:sz w:val="15"/>
                <w:szCs w:val="15"/>
              </w:rPr>
              <w:t>、</w:t>
            </w:r>
            <w:r w:rsidRPr="007B4794">
              <w:rPr>
                <w:rFonts w:ascii="Arial" w:eastAsia="华文细黑" w:hAnsi="Arial" w:cs="Arial" w:hint="eastAsia"/>
                <w:color w:val="000000" w:themeColor="text1"/>
                <w:sz w:val="15"/>
                <w:szCs w:val="15"/>
              </w:rPr>
              <w:t>2</w:t>
            </w:r>
            <w:r w:rsidRPr="007B4794">
              <w:rPr>
                <w:rFonts w:ascii="Arial" w:eastAsia="华文细黑" w:hAnsi="Arial" w:cs="Arial" w:hint="eastAsia"/>
                <w:color w:val="000000" w:themeColor="text1"/>
                <w:sz w:val="15"/>
                <w:szCs w:val="15"/>
              </w:rPr>
              <w:t>栋</w:t>
            </w:r>
            <w:r w:rsidRPr="007B4794">
              <w:rPr>
                <w:rFonts w:ascii="Arial" w:eastAsia="华文细黑" w:hAnsi="Arial" w:cs="Arial" w:hint="eastAsia"/>
                <w:color w:val="000000" w:themeColor="text1"/>
                <w:sz w:val="15"/>
                <w:szCs w:val="15"/>
              </w:rPr>
              <w:t>33</w:t>
            </w:r>
            <w:r w:rsidRPr="007B4794">
              <w:rPr>
                <w:rFonts w:ascii="Arial" w:eastAsia="华文细黑" w:hAnsi="Arial" w:cs="Arial" w:hint="eastAsia"/>
                <w:color w:val="000000" w:themeColor="text1"/>
                <w:sz w:val="15"/>
                <w:szCs w:val="15"/>
              </w:rPr>
              <w:t>层</w:t>
            </w:r>
          </w:p>
        </w:tc>
        <w:tc>
          <w:tcPr>
            <w:tcW w:w="1129" w:type="pct"/>
            <w:vAlign w:val="center"/>
          </w:tcPr>
          <w:p w14:paraId="744DDF9C"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11</w:t>
            </w:r>
            <w:r w:rsidRPr="007B4794">
              <w:rPr>
                <w:rFonts w:ascii="Arial" w:eastAsia="华文细黑" w:hAnsi="Arial" w:cs="Arial" w:hint="eastAsia"/>
                <w:color w:val="000000" w:themeColor="text1"/>
                <w:sz w:val="15"/>
                <w:szCs w:val="15"/>
              </w:rPr>
              <w:t>栋</w:t>
            </w:r>
            <w:r w:rsidRPr="007B4794">
              <w:rPr>
                <w:rFonts w:ascii="Arial" w:eastAsia="华文细黑" w:hAnsi="Arial" w:cs="Arial" w:hint="eastAsia"/>
                <w:color w:val="000000" w:themeColor="text1"/>
                <w:sz w:val="15"/>
                <w:szCs w:val="15"/>
              </w:rPr>
              <w:t>28-32</w:t>
            </w:r>
            <w:r w:rsidRPr="007B4794">
              <w:rPr>
                <w:rFonts w:ascii="Arial" w:eastAsia="华文细黑" w:hAnsi="Arial" w:cs="Arial" w:hint="eastAsia"/>
                <w:color w:val="000000" w:themeColor="text1"/>
                <w:sz w:val="15"/>
                <w:szCs w:val="15"/>
              </w:rPr>
              <w:t>层，</w:t>
            </w:r>
            <w:r w:rsidRPr="007B4794">
              <w:rPr>
                <w:rFonts w:ascii="Arial" w:eastAsia="华文细黑" w:hAnsi="Arial" w:cs="Arial" w:hint="eastAsia"/>
                <w:color w:val="000000" w:themeColor="text1"/>
                <w:sz w:val="15"/>
                <w:szCs w:val="15"/>
              </w:rPr>
              <w:t>2</w:t>
            </w:r>
            <w:r w:rsidRPr="007B4794">
              <w:rPr>
                <w:rFonts w:ascii="Arial" w:eastAsia="华文细黑" w:hAnsi="Arial" w:cs="Arial" w:hint="eastAsia"/>
                <w:color w:val="000000" w:themeColor="text1"/>
                <w:sz w:val="15"/>
                <w:szCs w:val="15"/>
              </w:rPr>
              <w:t>栋</w:t>
            </w:r>
            <w:r w:rsidRPr="007B4794">
              <w:rPr>
                <w:rFonts w:ascii="Arial" w:eastAsia="华文细黑" w:hAnsi="Arial" w:cs="Arial" w:hint="eastAsia"/>
                <w:color w:val="000000" w:themeColor="text1"/>
                <w:sz w:val="15"/>
                <w:szCs w:val="15"/>
              </w:rPr>
              <w:t>49</w:t>
            </w:r>
            <w:r w:rsidRPr="007B4794">
              <w:rPr>
                <w:rFonts w:ascii="Arial" w:eastAsia="华文细黑" w:hAnsi="Arial" w:cs="Arial" w:hint="eastAsia"/>
                <w:color w:val="000000" w:themeColor="text1"/>
                <w:sz w:val="15"/>
                <w:szCs w:val="15"/>
              </w:rPr>
              <w:t>层</w:t>
            </w:r>
          </w:p>
        </w:tc>
      </w:tr>
      <w:tr w:rsidR="00256CD0" w:rsidRPr="007B4794" w14:paraId="4C9608F7" w14:textId="77777777" w:rsidTr="00256CD0">
        <w:trPr>
          <w:cantSplit/>
          <w:trHeight w:val="562"/>
          <w:jc w:val="center"/>
        </w:trPr>
        <w:tc>
          <w:tcPr>
            <w:tcW w:w="372" w:type="pct"/>
            <w:shd w:val="clear" w:color="000000" w:fill="C0C0C0"/>
            <w:vAlign w:val="center"/>
          </w:tcPr>
          <w:p w14:paraId="0D697A2E"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hint="eastAsia"/>
                <w:b/>
                <w:bCs/>
                <w:color w:val="000000" w:themeColor="text1"/>
                <w:sz w:val="15"/>
                <w:szCs w:val="15"/>
              </w:rPr>
              <w:t>首次开盘时间</w:t>
            </w:r>
          </w:p>
        </w:tc>
        <w:tc>
          <w:tcPr>
            <w:tcW w:w="1185" w:type="pct"/>
            <w:shd w:val="clear" w:color="auto" w:fill="auto"/>
            <w:vAlign w:val="center"/>
          </w:tcPr>
          <w:p w14:paraId="2280EDDC"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2019</w:t>
            </w:r>
            <w:r w:rsidRPr="007B4794">
              <w:rPr>
                <w:rFonts w:ascii="Arial" w:eastAsia="华文细黑" w:hAnsi="Arial" w:cs="Arial" w:hint="eastAsia"/>
                <w:color w:val="000000" w:themeColor="text1"/>
                <w:sz w:val="15"/>
                <w:szCs w:val="15"/>
              </w:rPr>
              <w:t>年</w:t>
            </w:r>
            <w:r w:rsidRPr="007B4794">
              <w:rPr>
                <w:rFonts w:ascii="Arial" w:eastAsia="华文细黑" w:hAnsi="Arial" w:cs="Arial" w:hint="eastAsia"/>
                <w:color w:val="000000" w:themeColor="text1"/>
                <w:sz w:val="15"/>
                <w:szCs w:val="15"/>
              </w:rPr>
              <w:t>11</w:t>
            </w:r>
            <w:r w:rsidRPr="007B4794">
              <w:rPr>
                <w:rFonts w:ascii="Arial" w:eastAsia="华文细黑" w:hAnsi="Arial" w:cs="Arial" w:hint="eastAsia"/>
                <w:color w:val="000000" w:themeColor="text1"/>
                <w:sz w:val="15"/>
                <w:szCs w:val="15"/>
              </w:rPr>
              <w:t>月</w:t>
            </w:r>
            <w:r w:rsidRPr="007B4794">
              <w:rPr>
                <w:rFonts w:ascii="Arial" w:eastAsia="华文细黑" w:hAnsi="Arial" w:cs="Arial" w:hint="eastAsia"/>
                <w:color w:val="000000" w:themeColor="text1"/>
                <w:sz w:val="15"/>
                <w:szCs w:val="15"/>
              </w:rPr>
              <w:t>23</w:t>
            </w:r>
            <w:r w:rsidRPr="007B4794">
              <w:rPr>
                <w:rFonts w:ascii="Arial" w:eastAsia="华文细黑" w:hAnsi="Arial" w:cs="Arial" w:hint="eastAsia"/>
                <w:color w:val="000000" w:themeColor="text1"/>
                <w:sz w:val="15"/>
                <w:szCs w:val="15"/>
              </w:rPr>
              <w:t>日</w:t>
            </w:r>
          </w:p>
        </w:tc>
        <w:tc>
          <w:tcPr>
            <w:tcW w:w="1185" w:type="pct"/>
            <w:shd w:val="clear" w:color="auto" w:fill="auto"/>
            <w:vAlign w:val="center"/>
          </w:tcPr>
          <w:p w14:paraId="4731DEC6"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2017</w:t>
            </w:r>
            <w:r w:rsidRPr="007B4794">
              <w:rPr>
                <w:rFonts w:ascii="Arial" w:eastAsia="华文细黑" w:hAnsi="Arial" w:cs="Arial" w:hint="eastAsia"/>
                <w:color w:val="000000" w:themeColor="text1"/>
                <w:sz w:val="15"/>
                <w:szCs w:val="15"/>
              </w:rPr>
              <w:t>年</w:t>
            </w:r>
            <w:r w:rsidRPr="007B4794">
              <w:rPr>
                <w:rFonts w:ascii="Arial" w:eastAsia="华文细黑" w:hAnsi="Arial" w:cs="Arial" w:hint="eastAsia"/>
                <w:color w:val="000000" w:themeColor="text1"/>
                <w:sz w:val="15"/>
                <w:szCs w:val="15"/>
              </w:rPr>
              <w:t>4</w:t>
            </w:r>
            <w:r w:rsidRPr="007B4794">
              <w:rPr>
                <w:rFonts w:ascii="Arial" w:eastAsia="华文细黑" w:hAnsi="Arial" w:cs="Arial" w:hint="eastAsia"/>
                <w:color w:val="000000" w:themeColor="text1"/>
                <w:sz w:val="15"/>
                <w:szCs w:val="15"/>
              </w:rPr>
              <w:t>月</w:t>
            </w:r>
            <w:r w:rsidRPr="007B4794">
              <w:rPr>
                <w:rFonts w:ascii="Arial" w:eastAsia="华文细黑" w:hAnsi="Arial" w:cs="Arial" w:hint="eastAsia"/>
                <w:color w:val="000000" w:themeColor="text1"/>
                <w:sz w:val="15"/>
                <w:szCs w:val="15"/>
              </w:rPr>
              <w:t>21</w:t>
            </w:r>
            <w:r w:rsidRPr="007B4794">
              <w:rPr>
                <w:rFonts w:ascii="Arial" w:eastAsia="华文细黑" w:hAnsi="Arial" w:cs="Arial" w:hint="eastAsia"/>
                <w:color w:val="000000" w:themeColor="text1"/>
                <w:sz w:val="15"/>
                <w:szCs w:val="15"/>
              </w:rPr>
              <w:t>日</w:t>
            </w:r>
          </w:p>
        </w:tc>
        <w:tc>
          <w:tcPr>
            <w:tcW w:w="1129" w:type="pct"/>
            <w:vAlign w:val="center"/>
          </w:tcPr>
          <w:p w14:paraId="5F3C2134"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2015</w:t>
            </w:r>
            <w:r w:rsidRPr="007B4794">
              <w:rPr>
                <w:rFonts w:ascii="Arial" w:eastAsia="华文细黑" w:hAnsi="Arial" w:cs="Arial" w:hint="eastAsia"/>
                <w:color w:val="000000" w:themeColor="text1"/>
                <w:sz w:val="15"/>
                <w:szCs w:val="15"/>
              </w:rPr>
              <w:t>年</w:t>
            </w:r>
            <w:r w:rsidRPr="007B4794">
              <w:rPr>
                <w:rFonts w:ascii="Arial" w:eastAsia="华文细黑" w:hAnsi="Arial" w:cs="Arial" w:hint="eastAsia"/>
                <w:color w:val="000000" w:themeColor="text1"/>
                <w:sz w:val="15"/>
                <w:szCs w:val="15"/>
              </w:rPr>
              <w:t>6</w:t>
            </w:r>
            <w:r w:rsidRPr="007B4794">
              <w:rPr>
                <w:rFonts w:ascii="Arial" w:eastAsia="华文细黑" w:hAnsi="Arial" w:cs="Arial" w:hint="eastAsia"/>
                <w:color w:val="000000" w:themeColor="text1"/>
                <w:sz w:val="15"/>
                <w:szCs w:val="15"/>
              </w:rPr>
              <w:t>月</w:t>
            </w:r>
            <w:r w:rsidRPr="007B4794">
              <w:rPr>
                <w:rFonts w:ascii="Arial" w:eastAsia="华文细黑" w:hAnsi="Arial" w:cs="Arial" w:hint="eastAsia"/>
                <w:color w:val="000000" w:themeColor="text1"/>
                <w:sz w:val="15"/>
                <w:szCs w:val="15"/>
              </w:rPr>
              <w:t>19</w:t>
            </w:r>
            <w:r w:rsidRPr="007B4794">
              <w:rPr>
                <w:rFonts w:ascii="Arial" w:eastAsia="华文细黑" w:hAnsi="Arial" w:cs="Arial" w:hint="eastAsia"/>
                <w:color w:val="000000" w:themeColor="text1"/>
                <w:sz w:val="15"/>
                <w:szCs w:val="15"/>
              </w:rPr>
              <w:t>日</w:t>
            </w:r>
          </w:p>
        </w:tc>
        <w:tc>
          <w:tcPr>
            <w:tcW w:w="1129" w:type="pct"/>
            <w:vAlign w:val="center"/>
          </w:tcPr>
          <w:p w14:paraId="20D2A87A"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2019</w:t>
            </w:r>
            <w:r w:rsidRPr="007B4794">
              <w:rPr>
                <w:rFonts w:ascii="Arial" w:eastAsia="华文细黑" w:hAnsi="Arial" w:cs="Arial" w:hint="eastAsia"/>
                <w:color w:val="000000" w:themeColor="text1"/>
                <w:sz w:val="15"/>
                <w:szCs w:val="15"/>
              </w:rPr>
              <w:t>年</w:t>
            </w:r>
            <w:r w:rsidRPr="007B4794">
              <w:rPr>
                <w:rFonts w:ascii="Arial" w:eastAsia="华文细黑" w:hAnsi="Arial" w:cs="Arial" w:hint="eastAsia"/>
                <w:color w:val="000000" w:themeColor="text1"/>
                <w:sz w:val="15"/>
                <w:szCs w:val="15"/>
              </w:rPr>
              <w:t>5</w:t>
            </w:r>
            <w:r w:rsidRPr="007B4794">
              <w:rPr>
                <w:rFonts w:ascii="Arial" w:eastAsia="华文细黑" w:hAnsi="Arial" w:cs="Arial" w:hint="eastAsia"/>
                <w:color w:val="000000" w:themeColor="text1"/>
                <w:sz w:val="15"/>
                <w:szCs w:val="15"/>
              </w:rPr>
              <w:t>月</w:t>
            </w:r>
            <w:r w:rsidRPr="007B4794">
              <w:rPr>
                <w:rFonts w:ascii="Arial" w:eastAsia="华文细黑" w:hAnsi="Arial" w:cs="Arial" w:hint="eastAsia"/>
                <w:color w:val="000000" w:themeColor="text1"/>
                <w:sz w:val="15"/>
                <w:szCs w:val="15"/>
              </w:rPr>
              <w:t>18</w:t>
            </w:r>
            <w:r w:rsidRPr="007B4794">
              <w:rPr>
                <w:rFonts w:ascii="Arial" w:eastAsia="华文细黑" w:hAnsi="Arial" w:cs="Arial" w:hint="eastAsia"/>
                <w:color w:val="000000" w:themeColor="text1"/>
                <w:sz w:val="15"/>
                <w:szCs w:val="15"/>
              </w:rPr>
              <w:t>日</w:t>
            </w:r>
          </w:p>
        </w:tc>
      </w:tr>
      <w:tr w:rsidR="00256CD0" w:rsidRPr="007B4794" w14:paraId="3F22F1D3" w14:textId="77777777" w:rsidTr="00256CD0">
        <w:trPr>
          <w:cantSplit/>
          <w:trHeight w:val="600"/>
          <w:jc w:val="center"/>
        </w:trPr>
        <w:tc>
          <w:tcPr>
            <w:tcW w:w="372" w:type="pct"/>
            <w:shd w:val="clear" w:color="000000" w:fill="C0C0C0"/>
            <w:vAlign w:val="center"/>
            <w:hideMark/>
          </w:tcPr>
          <w:p w14:paraId="32E2D1DC"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主力产品</w:t>
            </w:r>
          </w:p>
        </w:tc>
        <w:tc>
          <w:tcPr>
            <w:tcW w:w="1185" w:type="pct"/>
            <w:shd w:val="clear" w:color="auto" w:fill="auto"/>
            <w:vAlign w:val="center"/>
          </w:tcPr>
          <w:p w14:paraId="4299AE80"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高层平层：</w:t>
            </w:r>
            <w:r w:rsidRPr="007B4794">
              <w:rPr>
                <w:rFonts w:ascii="Arial" w:eastAsia="华文细黑" w:hAnsi="Arial" w:cs="Arial" w:hint="eastAsia"/>
                <w:color w:val="000000" w:themeColor="text1"/>
                <w:sz w:val="15"/>
                <w:szCs w:val="15"/>
              </w:rPr>
              <w:t>70</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78</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88</w:t>
            </w:r>
            <w:r w:rsidRPr="007B4794">
              <w:rPr>
                <w:rFonts w:ascii="Arial" w:eastAsia="华文细黑" w:hAnsi="Arial" w:cs="Arial" w:hint="eastAsia"/>
                <w:color w:val="000000" w:themeColor="text1"/>
                <w:sz w:val="15"/>
                <w:szCs w:val="15"/>
              </w:rPr>
              <w:t>㎡；洋房：</w:t>
            </w:r>
            <w:r w:rsidRPr="007B4794">
              <w:rPr>
                <w:rFonts w:ascii="Arial" w:eastAsia="华文细黑" w:hAnsi="Arial" w:cs="Arial" w:hint="eastAsia"/>
                <w:color w:val="000000" w:themeColor="text1"/>
                <w:sz w:val="15"/>
                <w:szCs w:val="15"/>
              </w:rPr>
              <w:t>104-116</w:t>
            </w:r>
            <w:r w:rsidRPr="007B4794">
              <w:rPr>
                <w:rFonts w:ascii="Arial" w:eastAsia="华文细黑" w:hAnsi="Arial" w:cs="Arial" w:hint="eastAsia"/>
                <w:color w:val="000000" w:themeColor="text1"/>
                <w:sz w:val="15"/>
                <w:szCs w:val="15"/>
              </w:rPr>
              <w:t>㎡复式</w:t>
            </w:r>
          </w:p>
        </w:tc>
        <w:tc>
          <w:tcPr>
            <w:tcW w:w="1185" w:type="pct"/>
            <w:shd w:val="clear" w:color="auto" w:fill="auto"/>
            <w:vAlign w:val="center"/>
          </w:tcPr>
          <w:p w14:paraId="1CC84C94"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87-162</w:t>
            </w:r>
            <w:r w:rsidRPr="007B4794">
              <w:rPr>
                <w:rFonts w:ascii="Arial" w:eastAsia="华文细黑" w:hAnsi="Arial" w:cs="Arial" w:hint="eastAsia"/>
                <w:color w:val="000000" w:themeColor="text1"/>
                <w:sz w:val="15"/>
                <w:szCs w:val="15"/>
              </w:rPr>
              <w:t>㎡</w:t>
            </w:r>
          </w:p>
        </w:tc>
        <w:tc>
          <w:tcPr>
            <w:tcW w:w="1129" w:type="pct"/>
            <w:vAlign w:val="center"/>
          </w:tcPr>
          <w:p w14:paraId="4B2E88B4"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60-125</w:t>
            </w:r>
            <w:r w:rsidRPr="007B4794">
              <w:rPr>
                <w:rFonts w:ascii="Arial" w:eastAsia="华文细黑" w:hAnsi="Arial" w:cs="Arial" w:hint="eastAsia"/>
                <w:color w:val="000000" w:themeColor="text1"/>
                <w:sz w:val="15"/>
                <w:szCs w:val="15"/>
              </w:rPr>
              <w:t>㎡</w:t>
            </w:r>
          </w:p>
        </w:tc>
        <w:tc>
          <w:tcPr>
            <w:tcW w:w="1129" w:type="pct"/>
            <w:vAlign w:val="center"/>
          </w:tcPr>
          <w:p w14:paraId="533F5168"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85</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110</w:t>
            </w:r>
            <w:r w:rsidRPr="007B4794">
              <w:rPr>
                <w:rFonts w:ascii="Arial" w:eastAsia="华文细黑" w:hAnsi="Arial" w:cs="Arial" w:hint="eastAsia"/>
                <w:color w:val="000000" w:themeColor="text1"/>
                <w:sz w:val="15"/>
                <w:szCs w:val="15"/>
              </w:rPr>
              <w:t>㎡</w:t>
            </w:r>
          </w:p>
        </w:tc>
      </w:tr>
      <w:tr w:rsidR="00256CD0" w:rsidRPr="007B4794" w14:paraId="0C072F7D" w14:textId="77777777" w:rsidTr="00256CD0">
        <w:trPr>
          <w:cantSplit/>
          <w:trHeight w:val="440"/>
          <w:jc w:val="center"/>
        </w:trPr>
        <w:tc>
          <w:tcPr>
            <w:tcW w:w="372" w:type="pct"/>
            <w:shd w:val="clear" w:color="000000" w:fill="C0C0C0"/>
            <w:vAlign w:val="center"/>
          </w:tcPr>
          <w:p w14:paraId="3AA40CD6"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总户数</w:t>
            </w:r>
          </w:p>
        </w:tc>
        <w:tc>
          <w:tcPr>
            <w:tcW w:w="1185" w:type="pct"/>
            <w:shd w:val="clear" w:color="auto" w:fill="auto"/>
            <w:vAlign w:val="center"/>
          </w:tcPr>
          <w:p w14:paraId="428D37C6"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1118</w:t>
            </w:r>
            <w:r w:rsidRPr="007B4794">
              <w:rPr>
                <w:rFonts w:ascii="Arial" w:eastAsia="华文细黑" w:hAnsi="Arial" w:cs="Arial" w:hint="eastAsia"/>
                <w:color w:val="000000" w:themeColor="text1"/>
                <w:sz w:val="15"/>
                <w:szCs w:val="15"/>
              </w:rPr>
              <w:t>户</w:t>
            </w:r>
          </w:p>
        </w:tc>
        <w:tc>
          <w:tcPr>
            <w:tcW w:w="1185" w:type="pct"/>
            <w:shd w:val="clear" w:color="auto" w:fill="auto"/>
            <w:vAlign w:val="center"/>
          </w:tcPr>
          <w:p w14:paraId="3EA16C17"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2000</w:t>
            </w:r>
            <w:r w:rsidRPr="007B4794">
              <w:rPr>
                <w:rFonts w:ascii="Arial" w:eastAsia="华文细黑" w:hAnsi="Arial" w:cs="Arial" w:hint="eastAsia"/>
                <w:color w:val="000000" w:themeColor="text1"/>
                <w:sz w:val="15"/>
                <w:szCs w:val="15"/>
              </w:rPr>
              <w:t>户</w:t>
            </w:r>
          </w:p>
        </w:tc>
        <w:tc>
          <w:tcPr>
            <w:tcW w:w="1129" w:type="pct"/>
            <w:vAlign w:val="center"/>
          </w:tcPr>
          <w:p w14:paraId="51BC7AEE"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702</w:t>
            </w:r>
            <w:r w:rsidRPr="007B4794">
              <w:rPr>
                <w:rFonts w:ascii="Arial" w:eastAsia="华文细黑" w:hAnsi="Arial" w:cs="Arial" w:hint="eastAsia"/>
                <w:color w:val="000000" w:themeColor="text1"/>
                <w:sz w:val="15"/>
                <w:szCs w:val="15"/>
              </w:rPr>
              <w:t>户</w:t>
            </w:r>
          </w:p>
        </w:tc>
        <w:tc>
          <w:tcPr>
            <w:tcW w:w="1129" w:type="pct"/>
            <w:vAlign w:val="center"/>
          </w:tcPr>
          <w:p w14:paraId="46C4EEBA"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w:t>
            </w:r>
          </w:p>
        </w:tc>
      </w:tr>
      <w:tr w:rsidR="00256CD0" w:rsidRPr="007B4794" w14:paraId="65F4238B" w14:textId="77777777" w:rsidTr="00256CD0">
        <w:trPr>
          <w:cantSplit/>
          <w:trHeight w:val="462"/>
          <w:jc w:val="center"/>
        </w:trPr>
        <w:tc>
          <w:tcPr>
            <w:tcW w:w="372" w:type="pct"/>
            <w:shd w:val="clear" w:color="000000" w:fill="C0C0C0"/>
            <w:vAlign w:val="center"/>
            <w:hideMark/>
          </w:tcPr>
          <w:p w14:paraId="0AB580B1"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交房时间</w:t>
            </w:r>
          </w:p>
        </w:tc>
        <w:tc>
          <w:tcPr>
            <w:tcW w:w="1185" w:type="pct"/>
            <w:shd w:val="clear" w:color="auto" w:fill="auto"/>
            <w:vAlign w:val="center"/>
          </w:tcPr>
          <w:p w14:paraId="7016B534"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2022</w:t>
            </w:r>
            <w:r w:rsidRPr="007B4794">
              <w:rPr>
                <w:rFonts w:ascii="Arial" w:eastAsia="华文细黑" w:hAnsi="Arial" w:cs="Arial" w:hint="eastAsia"/>
                <w:color w:val="000000" w:themeColor="text1"/>
                <w:sz w:val="15"/>
                <w:szCs w:val="15"/>
              </w:rPr>
              <w:t>年</w:t>
            </w:r>
            <w:r w:rsidRPr="007B4794">
              <w:rPr>
                <w:rFonts w:ascii="Arial" w:eastAsia="华文细黑" w:hAnsi="Arial" w:cs="Arial" w:hint="eastAsia"/>
                <w:color w:val="000000" w:themeColor="text1"/>
                <w:sz w:val="15"/>
                <w:szCs w:val="15"/>
              </w:rPr>
              <w:t>11</w:t>
            </w:r>
            <w:r w:rsidRPr="007B4794">
              <w:rPr>
                <w:rFonts w:ascii="Arial" w:eastAsia="华文细黑" w:hAnsi="Arial" w:cs="Arial" w:hint="eastAsia"/>
                <w:color w:val="000000" w:themeColor="text1"/>
                <w:sz w:val="15"/>
                <w:szCs w:val="15"/>
              </w:rPr>
              <w:t>月</w:t>
            </w:r>
          </w:p>
        </w:tc>
        <w:tc>
          <w:tcPr>
            <w:tcW w:w="1185" w:type="pct"/>
            <w:shd w:val="clear" w:color="auto" w:fill="auto"/>
            <w:vAlign w:val="center"/>
          </w:tcPr>
          <w:p w14:paraId="323280DB"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2019</w:t>
            </w:r>
            <w:r w:rsidRPr="007B4794">
              <w:rPr>
                <w:rFonts w:ascii="Arial" w:eastAsia="华文细黑" w:hAnsi="Arial" w:cs="Arial" w:hint="eastAsia"/>
                <w:color w:val="000000" w:themeColor="text1"/>
                <w:sz w:val="15"/>
                <w:szCs w:val="15"/>
              </w:rPr>
              <w:t>年</w:t>
            </w:r>
            <w:r w:rsidRPr="007B4794">
              <w:rPr>
                <w:rFonts w:ascii="Arial" w:eastAsia="华文细黑" w:hAnsi="Arial" w:cs="Arial" w:hint="eastAsia"/>
                <w:color w:val="000000" w:themeColor="text1"/>
                <w:sz w:val="15"/>
                <w:szCs w:val="15"/>
              </w:rPr>
              <w:t>12</w:t>
            </w:r>
            <w:r w:rsidRPr="007B4794">
              <w:rPr>
                <w:rFonts w:ascii="Arial" w:eastAsia="华文细黑" w:hAnsi="Arial" w:cs="Arial" w:hint="eastAsia"/>
                <w:color w:val="000000" w:themeColor="text1"/>
                <w:sz w:val="15"/>
                <w:szCs w:val="15"/>
              </w:rPr>
              <w:t>月</w:t>
            </w:r>
            <w:r w:rsidRPr="007B4794">
              <w:rPr>
                <w:rFonts w:ascii="Arial" w:eastAsia="华文细黑" w:hAnsi="Arial" w:cs="Arial"/>
                <w:color w:val="000000" w:themeColor="text1"/>
                <w:sz w:val="15"/>
                <w:szCs w:val="15"/>
              </w:rPr>
              <w:t>已交付</w:t>
            </w:r>
          </w:p>
        </w:tc>
        <w:tc>
          <w:tcPr>
            <w:tcW w:w="1129" w:type="pct"/>
            <w:vAlign w:val="center"/>
          </w:tcPr>
          <w:p w14:paraId="568619DD"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2020</w:t>
            </w:r>
            <w:r w:rsidRPr="007B4794">
              <w:rPr>
                <w:rFonts w:ascii="Arial" w:eastAsia="华文细黑" w:hAnsi="Arial" w:cs="Arial" w:hint="eastAsia"/>
                <w:color w:val="000000" w:themeColor="text1"/>
                <w:sz w:val="15"/>
                <w:szCs w:val="15"/>
              </w:rPr>
              <w:t>年底交</w:t>
            </w:r>
          </w:p>
        </w:tc>
        <w:tc>
          <w:tcPr>
            <w:tcW w:w="1129" w:type="pct"/>
            <w:vAlign w:val="center"/>
          </w:tcPr>
          <w:p w14:paraId="719B17FC"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2022</w:t>
            </w:r>
            <w:r w:rsidRPr="007B4794">
              <w:rPr>
                <w:rFonts w:ascii="Arial" w:eastAsia="华文细黑" w:hAnsi="Arial" w:cs="Arial" w:hint="eastAsia"/>
                <w:color w:val="000000" w:themeColor="text1"/>
                <w:sz w:val="15"/>
                <w:szCs w:val="15"/>
              </w:rPr>
              <w:t>年</w:t>
            </w:r>
            <w:r w:rsidRPr="007B4794">
              <w:rPr>
                <w:rFonts w:ascii="Arial" w:eastAsia="华文细黑" w:hAnsi="Arial" w:cs="Arial" w:hint="eastAsia"/>
                <w:color w:val="000000" w:themeColor="text1"/>
                <w:sz w:val="15"/>
                <w:szCs w:val="15"/>
              </w:rPr>
              <w:t>12</w:t>
            </w:r>
            <w:r w:rsidRPr="007B4794">
              <w:rPr>
                <w:rFonts w:ascii="Arial" w:eastAsia="华文细黑" w:hAnsi="Arial" w:cs="Arial" w:hint="eastAsia"/>
                <w:color w:val="000000" w:themeColor="text1"/>
                <w:sz w:val="15"/>
                <w:szCs w:val="15"/>
              </w:rPr>
              <w:t>月</w:t>
            </w:r>
          </w:p>
        </w:tc>
      </w:tr>
      <w:tr w:rsidR="00256CD0" w:rsidRPr="007B4794" w14:paraId="00FC55DE" w14:textId="77777777" w:rsidTr="00256CD0">
        <w:trPr>
          <w:cantSplit/>
          <w:trHeight w:val="364"/>
          <w:jc w:val="center"/>
        </w:trPr>
        <w:tc>
          <w:tcPr>
            <w:tcW w:w="372" w:type="pct"/>
            <w:shd w:val="clear" w:color="000000" w:fill="C0C0C0"/>
            <w:vAlign w:val="center"/>
            <w:hideMark/>
          </w:tcPr>
          <w:p w14:paraId="62047538"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装修情况</w:t>
            </w:r>
          </w:p>
        </w:tc>
        <w:tc>
          <w:tcPr>
            <w:tcW w:w="1185" w:type="pct"/>
            <w:shd w:val="clear" w:color="auto" w:fill="auto"/>
            <w:vAlign w:val="center"/>
          </w:tcPr>
          <w:p w14:paraId="6011CA7F"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6</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7</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8#</w:t>
            </w:r>
            <w:r w:rsidRPr="007B4794">
              <w:rPr>
                <w:rFonts w:ascii="Arial" w:eastAsia="华文细黑" w:hAnsi="Arial" w:cs="Arial" w:hint="eastAsia"/>
                <w:color w:val="000000" w:themeColor="text1"/>
                <w:sz w:val="15"/>
                <w:szCs w:val="15"/>
              </w:rPr>
              <w:t>精装，</w:t>
            </w:r>
            <w:r w:rsidRPr="007B4794">
              <w:rPr>
                <w:rFonts w:ascii="Arial" w:eastAsia="华文细黑" w:hAnsi="Arial" w:cs="Arial" w:hint="eastAsia"/>
                <w:color w:val="000000" w:themeColor="text1"/>
                <w:sz w:val="15"/>
                <w:szCs w:val="15"/>
              </w:rPr>
              <w:t>9#</w:t>
            </w:r>
            <w:r w:rsidRPr="007B4794">
              <w:rPr>
                <w:rFonts w:ascii="Arial" w:eastAsia="华文细黑" w:hAnsi="Arial" w:cs="Arial" w:hint="eastAsia"/>
                <w:color w:val="000000" w:themeColor="text1"/>
                <w:sz w:val="15"/>
                <w:szCs w:val="15"/>
              </w:rPr>
              <w:t>毛坯，公共部分带装修</w:t>
            </w:r>
          </w:p>
        </w:tc>
        <w:tc>
          <w:tcPr>
            <w:tcW w:w="1185" w:type="pct"/>
            <w:shd w:val="clear" w:color="auto" w:fill="auto"/>
            <w:vAlign w:val="center"/>
          </w:tcPr>
          <w:p w14:paraId="25924C38"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毛坯，公共部分带装修</w:t>
            </w:r>
          </w:p>
        </w:tc>
        <w:tc>
          <w:tcPr>
            <w:tcW w:w="1129" w:type="pct"/>
            <w:vAlign w:val="center"/>
          </w:tcPr>
          <w:p w14:paraId="7882D143"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毛坯交，公共部分带装修</w:t>
            </w:r>
          </w:p>
        </w:tc>
        <w:tc>
          <w:tcPr>
            <w:tcW w:w="1129" w:type="pct"/>
            <w:vAlign w:val="center"/>
          </w:tcPr>
          <w:p w14:paraId="4DA2FE23"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全部精装交付</w:t>
            </w:r>
          </w:p>
        </w:tc>
      </w:tr>
      <w:tr w:rsidR="00256CD0" w:rsidRPr="007B4794" w14:paraId="4C468138" w14:textId="77777777" w:rsidTr="00256CD0">
        <w:trPr>
          <w:cantSplit/>
          <w:trHeight w:val="458"/>
          <w:jc w:val="center"/>
        </w:trPr>
        <w:tc>
          <w:tcPr>
            <w:tcW w:w="372" w:type="pct"/>
            <w:shd w:val="clear" w:color="000000" w:fill="C0C0C0"/>
            <w:vAlign w:val="center"/>
          </w:tcPr>
          <w:p w14:paraId="6B76CE42"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销售状态</w:t>
            </w:r>
          </w:p>
        </w:tc>
        <w:tc>
          <w:tcPr>
            <w:tcW w:w="1185" w:type="pct"/>
            <w:shd w:val="clear" w:color="auto" w:fill="auto"/>
            <w:vAlign w:val="center"/>
          </w:tcPr>
          <w:p w14:paraId="47D3A50D"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期房</w:t>
            </w:r>
            <w:r w:rsidRPr="007B4794">
              <w:rPr>
                <w:rFonts w:ascii="Arial" w:eastAsia="华文细黑" w:hAnsi="Arial" w:cs="Arial"/>
                <w:color w:val="000000" w:themeColor="text1"/>
                <w:sz w:val="15"/>
                <w:szCs w:val="15"/>
              </w:rPr>
              <w:t>在售</w:t>
            </w:r>
          </w:p>
        </w:tc>
        <w:tc>
          <w:tcPr>
            <w:tcW w:w="1185" w:type="pct"/>
            <w:shd w:val="clear" w:color="auto" w:fill="auto"/>
            <w:vAlign w:val="center"/>
          </w:tcPr>
          <w:p w14:paraId="1D6FB852"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现房</w:t>
            </w:r>
            <w:r w:rsidRPr="007B4794">
              <w:rPr>
                <w:rFonts w:ascii="Arial" w:eastAsia="华文细黑" w:hAnsi="Arial" w:cs="Arial"/>
                <w:color w:val="000000" w:themeColor="text1"/>
                <w:sz w:val="15"/>
                <w:szCs w:val="15"/>
              </w:rPr>
              <w:t>在售</w:t>
            </w:r>
          </w:p>
        </w:tc>
        <w:tc>
          <w:tcPr>
            <w:tcW w:w="1129" w:type="pct"/>
            <w:vAlign w:val="center"/>
          </w:tcPr>
          <w:p w14:paraId="61FED809"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现房</w:t>
            </w:r>
            <w:r w:rsidRPr="007B4794">
              <w:rPr>
                <w:rFonts w:ascii="Arial" w:eastAsia="华文细黑" w:hAnsi="Arial" w:cs="Arial"/>
                <w:color w:val="000000" w:themeColor="text1"/>
                <w:sz w:val="15"/>
                <w:szCs w:val="15"/>
              </w:rPr>
              <w:t>在售</w:t>
            </w:r>
          </w:p>
        </w:tc>
        <w:tc>
          <w:tcPr>
            <w:tcW w:w="1129" w:type="pct"/>
            <w:vAlign w:val="center"/>
          </w:tcPr>
          <w:p w14:paraId="08B2BE98"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期房</w:t>
            </w:r>
            <w:r w:rsidRPr="007B4794">
              <w:rPr>
                <w:rFonts w:ascii="Arial" w:eastAsia="华文细黑" w:hAnsi="Arial" w:cs="Arial"/>
                <w:color w:val="000000" w:themeColor="text1"/>
                <w:sz w:val="15"/>
                <w:szCs w:val="15"/>
              </w:rPr>
              <w:t>在售</w:t>
            </w:r>
          </w:p>
        </w:tc>
      </w:tr>
      <w:tr w:rsidR="00256CD0" w:rsidRPr="007B4794" w14:paraId="79517AB5" w14:textId="77777777" w:rsidTr="00256CD0">
        <w:trPr>
          <w:cantSplit/>
          <w:trHeight w:val="543"/>
          <w:jc w:val="center"/>
        </w:trPr>
        <w:tc>
          <w:tcPr>
            <w:tcW w:w="372" w:type="pct"/>
            <w:shd w:val="clear" w:color="000000" w:fill="C0C0C0"/>
            <w:vAlign w:val="center"/>
            <w:hideMark/>
          </w:tcPr>
          <w:p w14:paraId="47D81D6E"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hint="eastAsia"/>
                <w:b/>
                <w:bCs/>
                <w:color w:val="000000" w:themeColor="text1"/>
                <w:sz w:val="15"/>
                <w:szCs w:val="15"/>
              </w:rPr>
              <w:t>住宅</w:t>
            </w:r>
            <w:r w:rsidRPr="007B4794">
              <w:rPr>
                <w:rFonts w:ascii="Arial" w:eastAsia="华文细黑" w:hAnsi="Arial" w:cs="Arial"/>
                <w:b/>
                <w:bCs/>
                <w:color w:val="000000" w:themeColor="text1"/>
                <w:sz w:val="15"/>
                <w:szCs w:val="15"/>
              </w:rPr>
              <w:t>销售情况</w:t>
            </w:r>
          </w:p>
        </w:tc>
        <w:tc>
          <w:tcPr>
            <w:tcW w:w="1185" w:type="pct"/>
            <w:shd w:val="clear" w:color="auto" w:fill="auto"/>
            <w:vAlign w:val="center"/>
          </w:tcPr>
          <w:p w14:paraId="48EDE7DE"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高层毛坯：</w:t>
            </w:r>
            <w:r w:rsidRPr="007B4794">
              <w:rPr>
                <w:rFonts w:ascii="Arial" w:eastAsia="华文细黑" w:hAnsi="Arial" w:cs="Arial" w:hint="eastAsia"/>
                <w:color w:val="000000" w:themeColor="text1"/>
                <w:sz w:val="15"/>
                <w:szCs w:val="15"/>
              </w:rPr>
              <w:t>1.5</w:t>
            </w:r>
            <w:r w:rsidRPr="007B4794">
              <w:rPr>
                <w:rFonts w:ascii="Arial" w:eastAsia="华文细黑" w:hAnsi="Arial" w:cs="Arial" w:hint="eastAsia"/>
                <w:color w:val="000000" w:themeColor="text1"/>
                <w:sz w:val="15"/>
                <w:szCs w:val="15"/>
              </w:rPr>
              <w:t>万</w:t>
            </w:r>
            <w:r w:rsidRPr="007B4794">
              <w:rPr>
                <w:rFonts w:ascii="Arial" w:eastAsia="华文细黑" w:hAnsi="Arial" w:cs="Arial" w:hint="eastAsia"/>
                <w:color w:val="000000" w:themeColor="text1"/>
                <w:sz w:val="15"/>
                <w:szCs w:val="15"/>
              </w:rPr>
              <w:t>-1.6</w:t>
            </w:r>
            <w:r w:rsidRPr="007B4794">
              <w:rPr>
                <w:rFonts w:ascii="Arial" w:eastAsia="华文细黑" w:hAnsi="Arial" w:cs="Arial" w:hint="eastAsia"/>
                <w:color w:val="000000" w:themeColor="text1"/>
                <w:sz w:val="15"/>
                <w:szCs w:val="15"/>
              </w:rPr>
              <w:t>万</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㎡；高层精装：</w:t>
            </w:r>
            <w:r w:rsidRPr="007B4794">
              <w:rPr>
                <w:rFonts w:ascii="Arial" w:eastAsia="华文细黑" w:hAnsi="Arial" w:cs="Arial" w:hint="eastAsia"/>
                <w:color w:val="000000" w:themeColor="text1"/>
                <w:sz w:val="15"/>
                <w:szCs w:val="15"/>
              </w:rPr>
              <w:t>1.7</w:t>
            </w:r>
            <w:r w:rsidRPr="007B4794">
              <w:rPr>
                <w:rFonts w:ascii="Arial" w:eastAsia="华文细黑" w:hAnsi="Arial" w:cs="Arial" w:hint="eastAsia"/>
                <w:color w:val="000000" w:themeColor="text1"/>
                <w:sz w:val="15"/>
                <w:szCs w:val="15"/>
              </w:rPr>
              <w:t>万</w:t>
            </w:r>
            <w:r w:rsidRPr="007B4794">
              <w:rPr>
                <w:rFonts w:ascii="Arial" w:eastAsia="华文细黑" w:hAnsi="Arial" w:cs="Arial" w:hint="eastAsia"/>
                <w:color w:val="000000" w:themeColor="text1"/>
                <w:sz w:val="15"/>
                <w:szCs w:val="15"/>
              </w:rPr>
              <w:t>-1.8</w:t>
            </w:r>
            <w:r w:rsidRPr="007B4794">
              <w:rPr>
                <w:rFonts w:ascii="Arial" w:eastAsia="华文细黑" w:hAnsi="Arial" w:cs="Arial" w:hint="eastAsia"/>
                <w:color w:val="000000" w:themeColor="text1"/>
                <w:sz w:val="15"/>
                <w:szCs w:val="15"/>
              </w:rPr>
              <w:t>万</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㎡，洋房毛坯在</w:t>
            </w:r>
            <w:r w:rsidRPr="007B4794">
              <w:rPr>
                <w:rFonts w:ascii="Arial" w:eastAsia="华文细黑" w:hAnsi="Arial" w:cs="Arial" w:hint="eastAsia"/>
                <w:color w:val="000000" w:themeColor="text1"/>
                <w:sz w:val="15"/>
                <w:szCs w:val="15"/>
              </w:rPr>
              <w:t>200-300</w:t>
            </w:r>
            <w:r w:rsidRPr="007B4794">
              <w:rPr>
                <w:rFonts w:ascii="Arial" w:eastAsia="华文细黑" w:hAnsi="Arial" w:cs="Arial" w:hint="eastAsia"/>
                <w:color w:val="000000" w:themeColor="text1"/>
                <w:sz w:val="15"/>
                <w:szCs w:val="15"/>
              </w:rPr>
              <w:t>万</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套</w:t>
            </w:r>
          </w:p>
        </w:tc>
        <w:tc>
          <w:tcPr>
            <w:tcW w:w="1185" w:type="pct"/>
            <w:shd w:val="clear" w:color="auto" w:fill="auto"/>
            <w:vAlign w:val="center"/>
          </w:tcPr>
          <w:p w14:paraId="69E5007E"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成交均价：</w:t>
            </w:r>
            <w:r w:rsidRPr="007B4794">
              <w:rPr>
                <w:rFonts w:ascii="Arial" w:eastAsia="华文细黑" w:hAnsi="Arial" w:cs="Arial" w:hint="eastAsia"/>
                <w:color w:val="000000" w:themeColor="text1"/>
                <w:sz w:val="15"/>
                <w:szCs w:val="15"/>
              </w:rPr>
              <w:t>1.7</w:t>
            </w:r>
            <w:r w:rsidRPr="007B4794">
              <w:rPr>
                <w:rFonts w:ascii="Arial" w:eastAsia="华文细黑" w:hAnsi="Arial" w:cs="Arial" w:hint="eastAsia"/>
                <w:color w:val="000000" w:themeColor="text1"/>
                <w:sz w:val="15"/>
                <w:szCs w:val="15"/>
              </w:rPr>
              <w:t>万</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w:t>
            </w:r>
          </w:p>
        </w:tc>
        <w:tc>
          <w:tcPr>
            <w:tcW w:w="1129" w:type="pct"/>
            <w:vAlign w:val="center"/>
          </w:tcPr>
          <w:p w14:paraId="1150E19B"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销售均价</w:t>
            </w:r>
            <w:r w:rsidRPr="007B4794">
              <w:rPr>
                <w:rFonts w:ascii="Arial" w:eastAsia="华文细黑" w:hAnsi="Arial" w:cs="Arial" w:hint="eastAsia"/>
                <w:color w:val="000000" w:themeColor="text1"/>
                <w:sz w:val="15"/>
                <w:szCs w:val="15"/>
              </w:rPr>
              <w:t>60</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88</w:t>
            </w:r>
            <w:r w:rsidRPr="007B4794">
              <w:rPr>
                <w:rFonts w:ascii="Arial" w:eastAsia="华文细黑" w:hAnsi="Arial" w:cs="Arial" w:hint="eastAsia"/>
                <w:color w:val="000000" w:themeColor="text1"/>
                <w:sz w:val="15"/>
                <w:szCs w:val="15"/>
              </w:rPr>
              <w:t>㎡平层：</w:t>
            </w:r>
            <w:r w:rsidRPr="007B4794">
              <w:rPr>
                <w:rFonts w:ascii="Arial" w:eastAsia="华文细黑" w:hAnsi="Arial" w:cs="Arial" w:hint="eastAsia"/>
                <w:color w:val="000000" w:themeColor="text1"/>
                <w:sz w:val="15"/>
                <w:szCs w:val="15"/>
              </w:rPr>
              <w:t>1.85-1.9</w:t>
            </w:r>
            <w:r w:rsidRPr="007B4794">
              <w:rPr>
                <w:rFonts w:ascii="Arial" w:eastAsia="华文细黑" w:hAnsi="Arial" w:cs="Arial" w:hint="eastAsia"/>
                <w:color w:val="000000" w:themeColor="text1"/>
                <w:sz w:val="15"/>
                <w:szCs w:val="15"/>
              </w:rPr>
              <w:t>万</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125</w:t>
            </w:r>
            <w:r w:rsidRPr="007B4794">
              <w:rPr>
                <w:rFonts w:ascii="Arial" w:eastAsia="华文细黑" w:hAnsi="Arial" w:cs="Arial" w:hint="eastAsia"/>
                <w:color w:val="000000" w:themeColor="text1"/>
                <w:sz w:val="15"/>
                <w:szCs w:val="15"/>
              </w:rPr>
              <w:t>㎡平层：</w:t>
            </w:r>
            <w:r w:rsidRPr="007B4794">
              <w:rPr>
                <w:rFonts w:ascii="Arial" w:eastAsia="华文细黑" w:hAnsi="Arial" w:cs="Arial" w:hint="eastAsia"/>
                <w:color w:val="000000" w:themeColor="text1"/>
                <w:sz w:val="15"/>
                <w:szCs w:val="15"/>
              </w:rPr>
              <w:t>1.65</w:t>
            </w:r>
            <w:r w:rsidRPr="007B4794">
              <w:rPr>
                <w:rFonts w:ascii="Arial" w:eastAsia="华文细黑" w:hAnsi="Arial" w:cs="Arial" w:hint="eastAsia"/>
                <w:color w:val="000000" w:themeColor="text1"/>
                <w:sz w:val="15"/>
                <w:szCs w:val="15"/>
              </w:rPr>
              <w:t>万</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w:t>
            </w:r>
          </w:p>
        </w:tc>
        <w:tc>
          <w:tcPr>
            <w:tcW w:w="1129" w:type="pct"/>
            <w:vAlign w:val="center"/>
          </w:tcPr>
          <w:p w14:paraId="66EBA623"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销售均价：</w:t>
            </w:r>
            <w:r w:rsidRPr="007B4794">
              <w:rPr>
                <w:rFonts w:ascii="Arial" w:eastAsia="华文细黑" w:hAnsi="Arial" w:cs="Arial" w:hint="eastAsia"/>
                <w:color w:val="000000" w:themeColor="text1"/>
                <w:sz w:val="15"/>
                <w:szCs w:val="15"/>
              </w:rPr>
              <w:t>1.65-1.75</w:t>
            </w:r>
            <w:r w:rsidRPr="007B4794">
              <w:rPr>
                <w:rFonts w:ascii="Arial" w:eastAsia="华文细黑" w:hAnsi="Arial" w:cs="Arial" w:hint="eastAsia"/>
                <w:color w:val="000000" w:themeColor="text1"/>
                <w:sz w:val="15"/>
                <w:szCs w:val="15"/>
              </w:rPr>
              <w:t>万</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w:t>
            </w:r>
          </w:p>
        </w:tc>
      </w:tr>
      <w:tr w:rsidR="00256CD0" w:rsidRPr="007B4794" w14:paraId="73510CE6" w14:textId="77777777" w:rsidTr="00256CD0">
        <w:trPr>
          <w:cantSplit/>
          <w:trHeight w:val="593"/>
          <w:jc w:val="center"/>
        </w:trPr>
        <w:tc>
          <w:tcPr>
            <w:tcW w:w="372" w:type="pct"/>
            <w:shd w:val="clear" w:color="000000" w:fill="C0C0C0"/>
            <w:vAlign w:val="center"/>
          </w:tcPr>
          <w:p w14:paraId="45DD6478"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hint="eastAsia"/>
                <w:b/>
                <w:bCs/>
                <w:color w:val="000000" w:themeColor="text1"/>
                <w:sz w:val="15"/>
                <w:szCs w:val="15"/>
              </w:rPr>
              <w:t>商业销售情况（报价）</w:t>
            </w:r>
          </w:p>
        </w:tc>
        <w:tc>
          <w:tcPr>
            <w:tcW w:w="1185" w:type="pct"/>
            <w:shd w:val="clear" w:color="auto" w:fill="auto"/>
            <w:vAlign w:val="center"/>
          </w:tcPr>
          <w:p w14:paraId="59642D07"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无在售</w:t>
            </w:r>
          </w:p>
        </w:tc>
        <w:tc>
          <w:tcPr>
            <w:tcW w:w="1185" w:type="pct"/>
            <w:shd w:val="clear" w:color="auto" w:fill="auto"/>
            <w:vAlign w:val="center"/>
          </w:tcPr>
          <w:p w14:paraId="732052C9"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1-2F</w:t>
            </w:r>
            <w:r w:rsidRPr="007B4794">
              <w:rPr>
                <w:rFonts w:ascii="Arial" w:eastAsia="华文细黑" w:hAnsi="Arial" w:cs="Arial" w:hint="eastAsia"/>
                <w:color w:val="000000" w:themeColor="text1"/>
                <w:sz w:val="15"/>
                <w:szCs w:val="15"/>
              </w:rPr>
              <w:t>，均价</w:t>
            </w:r>
            <w:r w:rsidRPr="007B4794">
              <w:rPr>
                <w:rFonts w:ascii="Arial" w:eastAsia="华文细黑" w:hAnsi="Arial" w:cs="Arial" w:hint="eastAsia"/>
                <w:color w:val="000000" w:themeColor="text1"/>
                <w:sz w:val="15"/>
                <w:szCs w:val="15"/>
              </w:rPr>
              <w:t>2</w:t>
            </w:r>
            <w:r w:rsidRPr="007B4794">
              <w:rPr>
                <w:rFonts w:ascii="Arial" w:eastAsia="华文细黑" w:hAnsi="Arial" w:cs="Arial" w:hint="eastAsia"/>
                <w:color w:val="000000" w:themeColor="text1"/>
                <w:sz w:val="15"/>
                <w:szCs w:val="15"/>
              </w:rPr>
              <w:t>万</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㎡起</w:t>
            </w:r>
          </w:p>
        </w:tc>
        <w:tc>
          <w:tcPr>
            <w:tcW w:w="1129" w:type="pct"/>
            <w:vAlign w:val="center"/>
          </w:tcPr>
          <w:p w14:paraId="3A14E2C7"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无在售，</w:t>
            </w:r>
            <w:r w:rsidRPr="007B4794">
              <w:rPr>
                <w:rFonts w:ascii="Arial" w:eastAsia="华文细黑" w:hAnsi="Arial" w:cs="Arial" w:hint="eastAsia"/>
                <w:color w:val="000000" w:themeColor="text1"/>
                <w:sz w:val="15"/>
                <w:szCs w:val="15"/>
              </w:rPr>
              <w:t>2016</w:t>
            </w:r>
            <w:r w:rsidRPr="007B4794">
              <w:rPr>
                <w:rFonts w:ascii="Arial" w:eastAsia="华文细黑" w:hAnsi="Arial" w:cs="Arial" w:hint="eastAsia"/>
                <w:color w:val="000000" w:themeColor="text1"/>
                <w:sz w:val="15"/>
                <w:szCs w:val="15"/>
              </w:rPr>
              <w:t>年之前已售完，</w:t>
            </w:r>
            <w:r w:rsidRPr="007B4794">
              <w:rPr>
                <w:rFonts w:ascii="Arial" w:eastAsia="华文细黑" w:hAnsi="Arial" w:cs="Arial" w:hint="eastAsia"/>
                <w:color w:val="000000" w:themeColor="text1"/>
                <w:sz w:val="15"/>
                <w:szCs w:val="15"/>
              </w:rPr>
              <w:t>1F</w:t>
            </w:r>
            <w:r w:rsidRPr="007B4794">
              <w:rPr>
                <w:rFonts w:ascii="Arial" w:eastAsia="华文细黑" w:hAnsi="Arial" w:cs="Arial" w:hint="eastAsia"/>
                <w:color w:val="000000" w:themeColor="text1"/>
                <w:sz w:val="15"/>
                <w:szCs w:val="15"/>
              </w:rPr>
              <w:t>均价</w:t>
            </w:r>
            <w:r w:rsidRPr="007B4794">
              <w:rPr>
                <w:rFonts w:ascii="Arial" w:eastAsia="华文细黑" w:hAnsi="Arial" w:cs="Arial" w:hint="eastAsia"/>
                <w:color w:val="000000" w:themeColor="text1"/>
                <w:sz w:val="15"/>
                <w:szCs w:val="15"/>
              </w:rPr>
              <w:t>2.5</w:t>
            </w:r>
            <w:r w:rsidRPr="007B4794">
              <w:rPr>
                <w:rFonts w:ascii="Arial" w:eastAsia="华文细黑" w:hAnsi="Arial" w:cs="Arial" w:hint="eastAsia"/>
                <w:color w:val="000000" w:themeColor="text1"/>
                <w:sz w:val="15"/>
                <w:szCs w:val="15"/>
              </w:rPr>
              <w:t>万</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w:t>
            </w:r>
          </w:p>
        </w:tc>
        <w:tc>
          <w:tcPr>
            <w:tcW w:w="1129" w:type="pct"/>
            <w:vAlign w:val="center"/>
          </w:tcPr>
          <w:p w14:paraId="4E4CCC93"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无在售</w:t>
            </w:r>
          </w:p>
        </w:tc>
      </w:tr>
      <w:tr w:rsidR="00256CD0" w:rsidRPr="007B4794" w14:paraId="3845DAF4" w14:textId="77777777" w:rsidTr="00256CD0">
        <w:trPr>
          <w:cantSplit/>
          <w:trHeight w:val="630"/>
          <w:jc w:val="center"/>
        </w:trPr>
        <w:tc>
          <w:tcPr>
            <w:tcW w:w="372" w:type="pct"/>
            <w:shd w:val="clear" w:color="000000" w:fill="C0C0C0"/>
            <w:vAlign w:val="center"/>
          </w:tcPr>
          <w:p w14:paraId="0768CA2C"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hint="eastAsia"/>
                <w:b/>
                <w:bCs/>
                <w:color w:val="000000" w:themeColor="text1"/>
                <w:sz w:val="15"/>
                <w:szCs w:val="15"/>
              </w:rPr>
              <w:t>车库销售情况（报价）</w:t>
            </w:r>
          </w:p>
        </w:tc>
        <w:tc>
          <w:tcPr>
            <w:tcW w:w="1185" w:type="pct"/>
            <w:shd w:val="clear" w:color="auto" w:fill="auto"/>
            <w:vAlign w:val="center"/>
          </w:tcPr>
          <w:p w14:paraId="5A209BC7"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未开售，有产权</w:t>
            </w:r>
          </w:p>
        </w:tc>
        <w:tc>
          <w:tcPr>
            <w:tcW w:w="1185" w:type="pct"/>
            <w:shd w:val="clear" w:color="auto" w:fill="auto"/>
            <w:vAlign w:val="center"/>
          </w:tcPr>
          <w:p w14:paraId="3004F810"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14</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20</w:t>
            </w:r>
            <w:r w:rsidRPr="007B4794">
              <w:rPr>
                <w:rFonts w:ascii="Arial" w:eastAsia="华文细黑" w:hAnsi="Arial" w:cs="Arial" w:hint="eastAsia"/>
                <w:color w:val="000000" w:themeColor="text1"/>
                <w:sz w:val="15"/>
                <w:szCs w:val="15"/>
              </w:rPr>
              <w:t>万</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个</w:t>
            </w:r>
          </w:p>
        </w:tc>
        <w:tc>
          <w:tcPr>
            <w:tcW w:w="1129" w:type="pct"/>
            <w:vAlign w:val="center"/>
          </w:tcPr>
          <w:p w14:paraId="49AD3E53"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地下</w:t>
            </w:r>
            <w:r w:rsidRPr="007B4794">
              <w:rPr>
                <w:rFonts w:ascii="Arial" w:eastAsia="华文细黑" w:hAnsi="Arial" w:cs="Arial" w:hint="eastAsia"/>
                <w:color w:val="000000" w:themeColor="text1"/>
                <w:sz w:val="15"/>
                <w:szCs w:val="15"/>
              </w:rPr>
              <w:t>3</w:t>
            </w:r>
            <w:r w:rsidRPr="007B4794">
              <w:rPr>
                <w:rFonts w:ascii="Arial" w:eastAsia="华文细黑" w:hAnsi="Arial" w:cs="Arial" w:hint="eastAsia"/>
                <w:color w:val="000000" w:themeColor="text1"/>
                <w:sz w:val="15"/>
                <w:szCs w:val="15"/>
              </w:rPr>
              <w:t>层，</w:t>
            </w:r>
            <w:r w:rsidRPr="007B4794">
              <w:rPr>
                <w:rFonts w:ascii="Arial" w:eastAsia="华文细黑" w:hAnsi="Arial" w:cs="Arial" w:hint="eastAsia"/>
                <w:color w:val="000000" w:themeColor="text1"/>
                <w:sz w:val="15"/>
                <w:szCs w:val="15"/>
              </w:rPr>
              <w:t>11</w:t>
            </w:r>
            <w:r w:rsidRPr="007B4794">
              <w:rPr>
                <w:rFonts w:ascii="Arial" w:eastAsia="华文细黑" w:hAnsi="Arial" w:cs="Arial" w:hint="eastAsia"/>
                <w:color w:val="000000" w:themeColor="text1"/>
                <w:sz w:val="15"/>
                <w:szCs w:val="15"/>
              </w:rPr>
              <w:t>万</w:t>
            </w:r>
            <w:r w:rsidRPr="007B4794">
              <w:rPr>
                <w:rFonts w:ascii="Arial" w:eastAsia="华文细黑" w:hAnsi="Arial" w:cs="Arial" w:hint="eastAsia"/>
                <w:color w:val="000000" w:themeColor="text1"/>
                <w:sz w:val="15"/>
                <w:szCs w:val="15"/>
              </w:rPr>
              <w:t>-18</w:t>
            </w:r>
            <w:r w:rsidRPr="007B4794">
              <w:rPr>
                <w:rFonts w:ascii="Arial" w:eastAsia="华文细黑" w:hAnsi="Arial" w:cs="Arial" w:hint="eastAsia"/>
                <w:color w:val="000000" w:themeColor="text1"/>
                <w:sz w:val="15"/>
                <w:szCs w:val="15"/>
              </w:rPr>
              <w:t>万</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个，有产权</w:t>
            </w:r>
          </w:p>
        </w:tc>
        <w:tc>
          <w:tcPr>
            <w:tcW w:w="1129" w:type="pct"/>
            <w:vAlign w:val="center"/>
          </w:tcPr>
          <w:p w14:paraId="163CDF0E"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未开售，有产权</w:t>
            </w:r>
          </w:p>
        </w:tc>
      </w:tr>
      <w:tr w:rsidR="00256CD0" w:rsidRPr="007B4794" w14:paraId="10B7B4FE" w14:textId="77777777" w:rsidTr="00256CD0">
        <w:trPr>
          <w:cantSplit/>
          <w:trHeight w:val="283"/>
          <w:jc w:val="center"/>
        </w:trPr>
        <w:tc>
          <w:tcPr>
            <w:tcW w:w="372" w:type="pct"/>
            <w:tcBorders>
              <w:bottom w:val="single" w:sz="12" w:space="0" w:color="auto"/>
            </w:tcBorders>
            <w:shd w:val="clear" w:color="000000" w:fill="C0C0C0"/>
            <w:vAlign w:val="center"/>
            <w:hideMark/>
          </w:tcPr>
          <w:p w14:paraId="6AED8553"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去化情况</w:t>
            </w:r>
          </w:p>
        </w:tc>
        <w:tc>
          <w:tcPr>
            <w:tcW w:w="1185" w:type="pct"/>
            <w:tcBorders>
              <w:bottom w:val="single" w:sz="12" w:space="0" w:color="auto"/>
            </w:tcBorders>
            <w:shd w:val="clear" w:color="auto" w:fill="auto"/>
            <w:vAlign w:val="center"/>
          </w:tcPr>
          <w:p w14:paraId="3520B451"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分批次开盘，疫情过后月均去化</w:t>
            </w:r>
            <w:r w:rsidRPr="007B4794">
              <w:rPr>
                <w:rFonts w:ascii="Arial" w:eastAsia="华文细黑" w:hAnsi="Arial" w:cs="Arial"/>
                <w:color w:val="000000" w:themeColor="text1"/>
                <w:sz w:val="15"/>
                <w:szCs w:val="15"/>
              </w:rPr>
              <w:t>50</w:t>
            </w:r>
            <w:r w:rsidRPr="007B4794">
              <w:rPr>
                <w:rFonts w:ascii="Arial" w:eastAsia="华文细黑" w:hAnsi="Arial" w:cs="Arial"/>
                <w:color w:val="000000" w:themeColor="text1"/>
                <w:sz w:val="15"/>
                <w:szCs w:val="15"/>
              </w:rPr>
              <w:t>套</w:t>
            </w:r>
            <w:r w:rsidRPr="007B4794">
              <w:rPr>
                <w:rFonts w:ascii="Arial" w:eastAsia="华文细黑" w:hAnsi="Arial" w:cs="Arial" w:hint="eastAsia"/>
                <w:color w:val="000000" w:themeColor="text1"/>
                <w:sz w:val="15"/>
                <w:szCs w:val="15"/>
              </w:rPr>
              <w:t>左右。</w:t>
            </w:r>
          </w:p>
        </w:tc>
        <w:tc>
          <w:tcPr>
            <w:tcW w:w="1185" w:type="pct"/>
            <w:tcBorders>
              <w:bottom w:val="single" w:sz="12" w:space="0" w:color="auto"/>
            </w:tcBorders>
            <w:shd w:val="clear" w:color="auto" w:fill="auto"/>
            <w:vAlign w:val="center"/>
          </w:tcPr>
          <w:p w14:paraId="42B2684F"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分批次开盘，</w:t>
            </w:r>
            <w:r w:rsidRPr="007B4794">
              <w:rPr>
                <w:rFonts w:ascii="Arial" w:eastAsia="华文细黑" w:hAnsi="Arial" w:cs="Arial"/>
                <w:color w:val="000000" w:themeColor="text1"/>
                <w:sz w:val="15"/>
                <w:szCs w:val="15"/>
              </w:rPr>
              <w:t>2019</w:t>
            </w:r>
            <w:r w:rsidRPr="007B4794">
              <w:rPr>
                <w:rFonts w:ascii="Arial" w:eastAsia="华文细黑" w:hAnsi="Arial" w:cs="Arial"/>
                <w:color w:val="000000" w:themeColor="text1"/>
                <w:sz w:val="15"/>
                <w:szCs w:val="15"/>
              </w:rPr>
              <w:t>年</w:t>
            </w:r>
            <w:r w:rsidRPr="007B4794">
              <w:rPr>
                <w:rFonts w:ascii="Arial" w:eastAsia="华文细黑" w:hAnsi="Arial" w:cs="Arial"/>
                <w:color w:val="000000" w:themeColor="text1"/>
                <w:sz w:val="15"/>
                <w:szCs w:val="15"/>
              </w:rPr>
              <w:t>3</w:t>
            </w:r>
            <w:r w:rsidRPr="007B4794">
              <w:rPr>
                <w:rFonts w:ascii="Arial" w:eastAsia="华文细黑" w:hAnsi="Arial" w:cs="Arial"/>
                <w:color w:val="000000" w:themeColor="text1"/>
                <w:sz w:val="15"/>
                <w:szCs w:val="15"/>
              </w:rPr>
              <w:t>月至今，去化率在</w:t>
            </w:r>
            <w:r w:rsidRPr="007B4794">
              <w:rPr>
                <w:rFonts w:ascii="Arial" w:eastAsia="华文细黑" w:hAnsi="Arial" w:cs="Arial"/>
                <w:color w:val="000000" w:themeColor="text1"/>
                <w:sz w:val="15"/>
                <w:szCs w:val="15"/>
              </w:rPr>
              <w:t>90%</w:t>
            </w:r>
            <w:r w:rsidRPr="007B4794">
              <w:rPr>
                <w:rFonts w:ascii="Arial" w:eastAsia="华文细黑" w:hAnsi="Arial" w:cs="Arial"/>
                <w:color w:val="000000" w:themeColor="text1"/>
                <w:sz w:val="15"/>
                <w:szCs w:val="15"/>
              </w:rPr>
              <w:t>以上</w:t>
            </w:r>
            <w:r w:rsidRPr="007B4794">
              <w:rPr>
                <w:rFonts w:ascii="Arial" w:eastAsia="华文细黑" w:hAnsi="Arial" w:cs="Arial" w:hint="eastAsia"/>
                <w:color w:val="000000" w:themeColor="text1"/>
                <w:sz w:val="15"/>
                <w:szCs w:val="15"/>
              </w:rPr>
              <w:t>，</w:t>
            </w:r>
            <w:r w:rsidRPr="007B4794">
              <w:rPr>
                <w:rFonts w:ascii="Arial" w:eastAsia="华文细黑" w:hAnsi="Arial" w:cs="Arial"/>
                <w:color w:val="000000" w:themeColor="text1"/>
                <w:sz w:val="15"/>
                <w:szCs w:val="15"/>
              </w:rPr>
              <w:t>月均去化</w:t>
            </w:r>
            <w:r w:rsidRPr="007B4794">
              <w:rPr>
                <w:rFonts w:ascii="Arial" w:eastAsia="华文细黑" w:hAnsi="Arial" w:cs="Arial" w:hint="eastAsia"/>
                <w:color w:val="000000" w:themeColor="text1"/>
                <w:sz w:val="15"/>
                <w:szCs w:val="15"/>
              </w:rPr>
              <w:t>80</w:t>
            </w:r>
            <w:r w:rsidRPr="007B4794">
              <w:rPr>
                <w:rFonts w:ascii="Arial" w:eastAsia="华文细黑" w:hAnsi="Arial" w:cs="Arial" w:hint="eastAsia"/>
                <w:color w:val="000000" w:themeColor="text1"/>
                <w:sz w:val="15"/>
                <w:szCs w:val="15"/>
              </w:rPr>
              <w:t>套</w:t>
            </w:r>
            <w:r w:rsidRPr="007B4794">
              <w:rPr>
                <w:rFonts w:ascii="Arial" w:eastAsia="华文细黑" w:hAnsi="Arial" w:cs="Arial"/>
                <w:color w:val="000000" w:themeColor="text1"/>
                <w:sz w:val="15"/>
                <w:szCs w:val="15"/>
              </w:rPr>
              <w:t>左右</w:t>
            </w:r>
          </w:p>
        </w:tc>
        <w:tc>
          <w:tcPr>
            <w:tcW w:w="1129" w:type="pct"/>
            <w:tcBorders>
              <w:bottom w:val="single" w:sz="12" w:space="0" w:color="auto"/>
            </w:tcBorders>
            <w:vAlign w:val="center"/>
          </w:tcPr>
          <w:p w14:paraId="51587338"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分批次开盘，总去化约</w:t>
            </w:r>
            <w:r w:rsidRPr="007B4794">
              <w:rPr>
                <w:rFonts w:ascii="Arial" w:eastAsia="华文细黑" w:hAnsi="Arial" w:cs="Arial"/>
                <w:color w:val="000000" w:themeColor="text1"/>
                <w:sz w:val="15"/>
                <w:szCs w:val="15"/>
              </w:rPr>
              <w:t>95</w:t>
            </w:r>
            <w:r w:rsidRPr="007B4794">
              <w:rPr>
                <w:rFonts w:ascii="Arial" w:eastAsia="华文细黑" w:hAnsi="Arial" w:cs="Arial" w:hint="eastAsia"/>
                <w:color w:val="000000" w:themeColor="text1"/>
                <w:sz w:val="15"/>
                <w:szCs w:val="15"/>
              </w:rPr>
              <w:t>%</w:t>
            </w:r>
            <w:r w:rsidRPr="007B4794">
              <w:rPr>
                <w:rFonts w:ascii="Arial" w:eastAsia="华文细黑" w:hAnsi="Arial" w:cs="Arial"/>
                <w:color w:val="000000" w:themeColor="text1"/>
                <w:sz w:val="15"/>
                <w:szCs w:val="15"/>
              </w:rPr>
              <w:t>。</w:t>
            </w:r>
          </w:p>
        </w:tc>
        <w:tc>
          <w:tcPr>
            <w:tcW w:w="1129" w:type="pct"/>
            <w:tcBorders>
              <w:bottom w:val="single" w:sz="12" w:space="0" w:color="auto"/>
            </w:tcBorders>
            <w:vAlign w:val="center"/>
          </w:tcPr>
          <w:p w14:paraId="494900FD"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分批次开盘，总</w:t>
            </w:r>
            <w:r w:rsidRPr="007B4794">
              <w:rPr>
                <w:rFonts w:ascii="Arial" w:eastAsia="华文细黑" w:hAnsi="Arial" w:cs="Arial"/>
                <w:color w:val="000000" w:themeColor="text1"/>
                <w:sz w:val="15"/>
                <w:szCs w:val="15"/>
              </w:rPr>
              <w:t>去化率在</w:t>
            </w:r>
            <w:r w:rsidRPr="007B4794">
              <w:rPr>
                <w:rFonts w:ascii="Arial" w:eastAsia="华文细黑" w:hAnsi="Arial" w:cs="Arial"/>
                <w:color w:val="000000" w:themeColor="text1"/>
                <w:sz w:val="15"/>
                <w:szCs w:val="15"/>
              </w:rPr>
              <w:t>80%</w:t>
            </w:r>
            <w:r w:rsidRPr="007B4794">
              <w:rPr>
                <w:rFonts w:ascii="Arial" w:eastAsia="华文细黑" w:hAnsi="Arial" w:cs="Arial"/>
                <w:color w:val="000000" w:themeColor="text1"/>
                <w:sz w:val="15"/>
                <w:szCs w:val="15"/>
              </w:rPr>
              <w:t>以上</w:t>
            </w:r>
            <w:r w:rsidRPr="007B4794">
              <w:rPr>
                <w:rFonts w:ascii="Arial" w:eastAsia="华文细黑" w:hAnsi="Arial" w:cs="Arial" w:hint="eastAsia"/>
                <w:color w:val="000000" w:themeColor="text1"/>
                <w:sz w:val="15"/>
                <w:szCs w:val="15"/>
              </w:rPr>
              <w:t>，</w:t>
            </w:r>
            <w:r w:rsidRPr="007B4794">
              <w:rPr>
                <w:rFonts w:ascii="Arial" w:eastAsia="华文细黑" w:hAnsi="Arial" w:cs="Arial"/>
                <w:color w:val="000000" w:themeColor="text1"/>
                <w:sz w:val="15"/>
                <w:szCs w:val="15"/>
              </w:rPr>
              <w:t>月均去化</w:t>
            </w:r>
            <w:r w:rsidRPr="007B4794">
              <w:rPr>
                <w:rFonts w:ascii="Arial" w:eastAsia="华文细黑" w:hAnsi="Arial" w:cs="Arial"/>
                <w:color w:val="000000" w:themeColor="text1"/>
                <w:sz w:val="15"/>
                <w:szCs w:val="15"/>
              </w:rPr>
              <w:t>120</w:t>
            </w:r>
            <w:r w:rsidRPr="007B4794">
              <w:rPr>
                <w:rFonts w:ascii="Arial" w:eastAsia="华文细黑" w:hAnsi="Arial" w:cs="Arial" w:hint="eastAsia"/>
                <w:color w:val="000000" w:themeColor="text1"/>
                <w:sz w:val="15"/>
                <w:szCs w:val="15"/>
              </w:rPr>
              <w:t>套</w:t>
            </w:r>
            <w:r w:rsidRPr="007B4794">
              <w:rPr>
                <w:rFonts w:ascii="Arial" w:eastAsia="华文细黑" w:hAnsi="Arial" w:cs="Arial"/>
                <w:color w:val="000000" w:themeColor="text1"/>
                <w:sz w:val="15"/>
                <w:szCs w:val="15"/>
              </w:rPr>
              <w:t>左右</w:t>
            </w:r>
          </w:p>
        </w:tc>
      </w:tr>
    </w:tbl>
    <w:p w14:paraId="72A727E5" w14:textId="77777777" w:rsidR="00256CD0" w:rsidRPr="007B4794" w:rsidRDefault="00256CD0" w:rsidP="00256CD0">
      <w:pPr>
        <w:spacing w:line="360" w:lineRule="auto"/>
        <w:rPr>
          <w:rFonts w:ascii="华文细黑" w:eastAsia="华文细黑" w:hAnsi="华文细黑" w:cs="Arial"/>
          <w:color w:val="000000" w:themeColor="text1"/>
          <w:sz w:val="15"/>
          <w:szCs w:val="15"/>
        </w:rPr>
      </w:pPr>
      <w:r w:rsidRPr="007B4794">
        <w:rPr>
          <w:rFonts w:ascii="华文细黑" w:eastAsia="华文细黑" w:hAnsi="华文细黑" w:cs="Arial" w:hint="eastAsia"/>
          <w:color w:val="000000" w:themeColor="text1"/>
          <w:sz w:val="15"/>
          <w:szCs w:val="15"/>
        </w:rPr>
        <w:t>资料来源：市场调研资料</w:t>
      </w:r>
    </w:p>
    <w:p w14:paraId="11B2822B" w14:textId="77777777" w:rsidR="00256CD0" w:rsidRPr="007B4794" w:rsidRDefault="00256CD0" w:rsidP="00256CD0">
      <w:pPr>
        <w:rPr>
          <w:rFonts w:ascii="华文细黑" w:eastAsia="华文细黑" w:hAnsi="华文细黑" w:cs="Arial"/>
          <w:color w:val="000000" w:themeColor="text1"/>
          <w:sz w:val="15"/>
          <w:szCs w:val="15"/>
        </w:rPr>
      </w:pPr>
    </w:p>
    <w:p w14:paraId="08385669" w14:textId="77777777" w:rsidR="00256CD0" w:rsidRPr="007B4794" w:rsidRDefault="00256CD0" w:rsidP="00256CD0">
      <w:pPr>
        <w:rPr>
          <w:rFonts w:ascii="华文细黑" w:eastAsia="华文细黑" w:hAnsi="华文细黑" w:cs="Arial"/>
          <w:color w:val="000000" w:themeColor="text1"/>
          <w:sz w:val="15"/>
          <w:szCs w:val="15"/>
        </w:rPr>
      </w:pPr>
    </w:p>
    <w:p w14:paraId="7457A2C1" w14:textId="77777777" w:rsidR="00256CD0" w:rsidRPr="007B4794" w:rsidRDefault="00256CD0" w:rsidP="00256CD0">
      <w:pPr>
        <w:rPr>
          <w:rFonts w:ascii="华文细黑" w:eastAsia="华文细黑" w:hAnsi="华文细黑" w:cs="Arial"/>
          <w:color w:val="000000" w:themeColor="text1"/>
          <w:sz w:val="15"/>
          <w:szCs w:val="15"/>
        </w:rPr>
      </w:pPr>
    </w:p>
    <w:p w14:paraId="610BB12F" w14:textId="77777777" w:rsidR="00256CD0" w:rsidRPr="007B4794" w:rsidRDefault="00256CD0" w:rsidP="00256CD0">
      <w:pPr>
        <w:rPr>
          <w:rFonts w:ascii="华文细黑" w:eastAsia="华文细黑" w:hAnsi="华文细黑" w:cs="Arial"/>
          <w:color w:val="000000" w:themeColor="text1"/>
          <w:sz w:val="15"/>
          <w:szCs w:val="15"/>
        </w:rPr>
      </w:pPr>
    </w:p>
    <w:p w14:paraId="189947A5" w14:textId="77777777" w:rsidR="00256CD0" w:rsidRPr="007B4794" w:rsidRDefault="00256CD0" w:rsidP="00256CD0">
      <w:pPr>
        <w:rPr>
          <w:rFonts w:ascii="华文细黑" w:eastAsia="华文细黑" w:hAnsi="华文细黑" w:cs="Arial"/>
          <w:color w:val="000000" w:themeColor="text1"/>
          <w:sz w:val="15"/>
          <w:szCs w:val="15"/>
        </w:rPr>
      </w:pPr>
    </w:p>
    <w:tbl>
      <w:tblPr>
        <w:tblW w:w="5000" w:type="pct"/>
        <w:jc w:val="center"/>
        <w:tblCellMar>
          <w:top w:w="57" w:type="dxa"/>
          <w:left w:w="57" w:type="dxa"/>
          <w:bottom w:w="57" w:type="dxa"/>
          <w:right w:w="57" w:type="dxa"/>
        </w:tblCellMar>
        <w:tblLook w:val="04A0" w:firstRow="1" w:lastRow="0" w:firstColumn="1" w:lastColumn="0" w:noHBand="0" w:noVBand="1"/>
      </w:tblPr>
      <w:tblGrid>
        <w:gridCol w:w="824"/>
        <w:gridCol w:w="2905"/>
        <w:gridCol w:w="2921"/>
        <w:gridCol w:w="2932"/>
      </w:tblGrid>
      <w:tr w:rsidR="00256CD0" w:rsidRPr="007B4794" w14:paraId="7EBACD80" w14:textId="77777777" w:rsidTr="00432972">
        <w:trPr>
          <w:cantSplit/>
          <w:trHeight w:val="283"/>
          <w:tblHeader/>
          <w:jc w:val="center"/>
        </w:trPr>
        <w:tc>
          <w:tcPr>
            <w:tcW w:w="430" w:type="pct"/>
            <w:tcBorders>
              <w:top w:val="single" w:sz="12" w:space="0" w:color="auto"/>
              <w:bottom w:val="single" w:sz="12" w:space="0" w:color="auto"/>
            </w:tcBorders>
            <w:shd w:val="clear" w:color="000000" w:fill="963634"/>
            <w:vAlign w:val="center"/>
            <w:hideMark/>
          </w:tcPr>
          <w:p w14:paraId="4B5E4A2D" w14:textId="77777777" w:rsidR="00256CD0" w:rsidRPr="007B4794" w:rsidRDefault="00256CD0" w:rsidP="00432972">
            <w:pPr>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lastRenderedPageBreak/>
              <w:t>项目名称</w:t>
            </w:r>
          </w:p>
        </w:tc>
        <w:tc>
          <w:tcPr>
            <w:tcW w:w="1516" w:type="pct"/>
            <w:tcBorders>
              <w:top w:val="single" w:sz="12" w:space="0" w:color="auto"/>
              <w:bottom w:val="single" w:sz="12" w:space="0" w:color="auto"/>
            </w:tcBorders>
            <w:shd w:val="clear" w:color="000000" w:fill="963634"/>
            <w:vAlign w:val="center"/>
          </w:tcPr>
          <w:p w14:paraId="7B5073E4"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hint="eastAsia"/>
                <w:b/>
                <w:bCs/>
                <w:color w:val="000000" w:themeColor="text1"/>
                <w:sz w:val="15"/>
                <w:szCs w:val="15"/>
              </w:rPr>
              <w:t>金地宝嘉·厦一城</w:t>
            </w:r>
          </w:p>
        </w:tc>
        <w:tc>
          <w:tcPr>
            <w:tcW w:w="1524" w:type="pct"/>
            <w:tcBorders>
              <w:top w:val="single" w:sz="12" w:space="0" w:color="auto"/>
              <w:bottom w:val="single" w:sz="12" w:space="0" w:color="auto"/>
            </w:tcBorders>
            <w:shd w:val="clear" w:color="000000" w:fill="963634"/>
            <w:vAlign w:val="center"/>
          </w:tcPr>
          <w:p w14:paraId="587ADFF9"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hint="eastAsia"/>
                <w:b/>
                <w:bCs/>
                <w:color w:val="000000" w:themeColor="text1"/>
                <w:sz w:val="15"/>
                <w:szCs w:val="15"/>
              </w:rPr>
              <w:t>泰禾世茂·红树湾院子</w:t>
            </w:r>
          </w:p>
        </w:tc>
        <w:tc>
          <w:tcPr>
            <w:tcW w:w="1530" w:type="pct"/>
            <w:tcBorders>
              <w:top w:val="single" w:sz="12" w:space="0" w:color="auto"/>
              <w:bottom w:val="single" w:sz="12" w:space="0" w:color="auto"/>
            </w:tcBorders>
            <w:shd w:val="clear" w:color="000000" w:fill="963634"/>
            <w:vAlign w:val="center"/>
          </w:tcPr>
          <w:p w14:paraId="7CEF2DBE"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hint="eastAsia"/>
                <w:b/>
                <w:bCs/>
                <w:color w:val="000000" w:themeColor="text1"/>
                <w:sz w:val="15"/>
                <w:szCs w:val="15"/>
              </w:rPr>
              <w:t>汇金置地广场</w:t>
            </w:r>
          </w:p>
        </w:tc>
      </w:tr>
      <w:tr w:rsidR="00256CD0" w:rsidRPr="007B4794" w14:paraId="324105DF" w14:textId="77777777" w:rsidTr="00432972">
        <w:trPr>
          <w:cantSplit/>
          <w:trHeight w:val="283"/>
          <w:jc w:val="center"/>
        </w:trPr>
        <w:tc>
          <w:tcPr>
            <w:tcW w:w="430" w:type="pct"/>
            <w:shd w:val="clear" w:color="000000" w:fill="963634"/>
            <w:vAlign w:val="center"/>
            <w:hideMark/>
          </w:tcPr>
          <w:p w14:paraId="5F6AB4E3" w14:textId="77777777" w:rsidR="00256CD0" w:rsidRPr="007B4794" w:rsidRDefault="00256CD0" w:rsidP="00432972">
            <w:pPr>
              <w:jc w:val="center"/>
              <w:rPr>
                <w:rFonts w:ascii="Arial" w:eastAsia="华文细黑" w:hAnsi="Arial" w:cs="Arial"/>
                <w:b/>
                <w:bCs/>
                <w:color w:val="000000" w:themeColor="text1"/>
                <w:sz w:val="15"/>
                <w:szCs w:val="15"/>
              </w:rPr>
            </w:pPr>
          </w:p>
        </w:tc>
        <w:tc>
          <w:tcPr>
            <w:tcW w:w="1516" w:type="pct"/>
            <w:shd w:val="clear" w:color="auto" w:fill="auto"/>
            <w:vAlign w:val="center"/>
          </w:tcPr>
          <w:p w14:paraId="1BAA5F61" w14:textId="77777777" w:rsidR="00256CD0" w:rsidRPr="007B4794" w:rsidRDefault="00256CD0" w:rsidP="00432972">
            <w:pPr>
              <w:jc w:val="center"/>
              <w:rPr>
                <w:rFonts w:ascii="Arial" w:eastAsia="华文细黑" w:hAnsi="Arial" w:cs="Arial"/>
                <w:color w:val="000000" w:themeColor="text1"/>
                <w:sz w:val="15"/>
                <w:szCs w:val="15"/>
              </w:rPr>
            </w:pPr>
            <w:r w:rsidRPr="007B4794">
              <w:rPr>
                <w:rFonts w:ascii="Arial" w:eastAsia="华文细黑" w:hAnsi="Arial" w:cs="Arial"/>
                <w:noProof/>
                <w:color w:val="000000" w:themeColor="text1"/>
                <w:sz w:val="15"/>
                <w:szCs w:val="15"/>
              </w:rPr>
              <w:drawing>
                <wp:inline distT="0" distB="0" distL="0" distR="0" wp14:anchorId="48D68B60" wp14:editId="70F4A18B">
                  <wp:extent cx="1400796" cy="1050597"/>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天誉半岛花园2.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400796" cy="1050597"/>
                          </a:xfrm>
                          <a:prstGeom prst="rect">
                            <a:avLst/>
                          </a:prstGeom>
                        </pic:spPr>
                      </pic:pic>
                    </a:graphicData>
                  </a:graphic>
                </wp:inline>
              </w:drawing>
            </w:r>
          </w:p>
        </w:tc>
        <w:tc>
          <w:tcPr>
            <w:tcW w:w="1524" w:type="pct"/>
            <w:shd w:val="clear" w:color="auto" w:fill="auto"/>
            <w:vAlign w:val="center"/>
          </w:tcPr>
          <w:p w14:paraId="7219C9D4" w14:textId="77777777" w:rsidR="00256CD0" w:rsidRPr="007B4794" w:rsidRDefault="00256CD0" w:rsidP="00432972">
            <w:pPr>
              <w:jc w:val="center"/>
              <w:rPr>
                <w:rFonts w:ascii="Arial" w:eastAsia="华文细黑" w:hAnsi="Arial" w:cs="Arial"/>
                <w:color w:val="000000" w:themeColor="text1"/>
                <w:sz w:val="15"/>
                <w:szCs w:val="15"/>
              </w:rPr>
            </w:pPr>
            <w:r w:rsidRPr="007B4794">
              <w:rPr>
                <w:rFonts w:ascii="Arial" w:eastAsia="华文细黑" w:hAnsi="Arial" w:cs="Arial"/>
                <w:noProof/>
                <w:color w:val="000000" w:themeColor="text1"/>
                <w:sz w:val="15"/>
                <w:szCs w:val="15"/>
              </w:rPr>
              <w:drawing>
                <wp:inline distT="0" distB="0" distL="0" distR="0" wp14:anchorId="49DBE395" wp14:editId="6315F196">
                  <wp:extent cx="1400768" cy="1050576"/>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世茂珠江天鹅湾2.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00768" cy="1050576"/>
                          </a:xfrm>
                          <a:prstGeom prst="rect">
                            <a:avLst/>
                          </a:prstGeom>
                        </pic:spPr>
                      </pic:pic>
                    </a:graphicData>
                  </a:graphic>
                </wp:inline>
              </w:drawing>
            </w:r>
          </w:p>
        </w:tc>
        <w:tc>
          <w:tcPr>
            <w:tcW w:w="1530" w:type="pct"/>
            <w:vAlign w:val="center"/>
          </w:tcPr>
          <w:p w14:paraId="6260AFB1" w14:textId="77777777" w:rsidR="00256CD0" w:rsidRPr="007B4794" w:rsidRDefault="00256CD0" w:rsidP="00432972">
            <w:pPr>
              <w:jc w:val="center"/>
              <w:rPr>
                <w:rFonts w:ascii="Arial" w:eastAsia="华文细黑" w:hAnsi="Arial" w:cs="Arial"/>
                <w:color w:val="000000" w:themeColor="text1"/>
                <w:sz w:val="15"/>
                <w:szCs w:val="15"/>
              </w:rPr>
            </w:pPr>
            <w:r w:rsidRPr="007B4794">
              <w:rPr>
                <w:rFonts w:ascii="Arial" w:eastAsia="华文细黑" w:hAnsi="Arial" w:cs="Arial"/>
                <w:noProof/>
                <w:color w:val="000000" w:themeColor="text1"/>
                <w:sz w:val="15"/>
                <w:szCs w:val="15"/>
              </w:rPr>
              <w:drawing>
                <wp:inline distT="0" distB="0" distL="0" distR="0" wp14:anchorId="611D0D2D" wp14:editId="06FDE3FB">
                  <wp:extent cx="1341028" cy="1005771"/>
                  <wp:effectExtent l="0" t="0" r="0" b="4445"/>
                  <wp:docPr id="5157" name="图片 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金众西关海1.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341028" cy="1005771"/>
                          </a:xfrm>
                          <a:prstGeom prst="rect">
                            <a:avLst/>
                          </a:prstGeom>
                        </pic:spPr>
                      </pic:pic>
                    </a:graphicData>
                  </a:graphic>
                </wp:inline>
              </w:drawing>
            </w:r>
          </w:p>
        </w:tc>
      </w:tr>
      <w:tr w:rsidR="00256CD0" w:rsidRPr="007B4794" w14:paraId="3060D3F2" w14:textId="77777777" w:rsidTr="00432972">
        <w:trPr>
          <w:cantSplit/>
          <w:trHeight w:val="283"/>
          <w:jc w:val="center"/>
        </w:trPr>
        <w:tc>
          <w:tcPr>
            <w:tcW w:w="430" w:type="pct"/>
            <w:tcBorders>
              <w:top w:val="single" w:sz="4" w:space="0" w:color="auto"/>
            </w:tcBorders>
            <w:shd w:val="clear" w:color="000000" w:fill="C0C0C0"/>
            <w:vAlign w:val="center"/>
            <w:hideMark/>
          </w:tcPr>
          <w:p w14:paraId="038B1D6C"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与本项目直线距离</w:t>
            </w:r>
          </w:p>
        </w:tc>
        <w:tc>
          <w:tcPr>
            <w:tcW w:w="1516" w:type="pct"/>
            <w:tcBorders>
              <w:top w:val="single" w:sz="4" w:space="0" w:color="auto"/>
            </w:tcBorders>
            <w:shd w:val="clear" w:color="auto" w:fill="auto"/>
            <w:vAlign w:val="center"/>
          </w:tcPr>
          <w:p w14:paraId="0AF470CF"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color w:val="000000" w:themeColor="text1"/>
                <w:sz w:val="15"/>
                <w:szCs w:val="15"/>
              </w:rPr>
              <w:t>2.4</w:t>
            </w:r>
            <w:r w:rsidRPr="007B4794">
              <w:rPr>
                <w:rFonts w:ascii="Arial" w:eastAsia="华文细黑" w:hAnsi="Arial" w:cs="Arial" w:hint="eastAsia"/>
                <w:color w:val="000000" w:themeColor="text1"/>
                <w:sz w:val="15"/>
                <w:szCs w:val="15"/>
              </w:rPr>
              <w:t>公里</w:t>
            </w:r>
          </w:p>
        </w:tc>
        <w:tc>
          <w:tcPr>
            <w:tcW w:w="1524" w:type="pct"/>
            <w:tcBorders>
              <w:top w:val="single" w:sz="4" w:space="0" w:color="auto"/>
            </w:tcBorders>
            <w:shd w:val="clear" w:color="auto" w:fill="auto"/>
            <w:vAlign w:val="center"/>
          </w:tcPr>
          <w:p w14:paraId="5E986DFE"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color w:val="000000" w:themeColor="text1"/>
                <w:sz w:val="15"/>
                <w:szCs w:val="15"/>
              </w:rPr>
              <w:t>4.5</w:t>
            </w:r>
            <w:r w:rsidRPr="007B4794">
              <w:rPr>
                <w:rFonts w:ascii="Arial" w:eastAsia="华文细黑" w:hAnsi="Arial" w:cs="Arial" w:hint="eastAsia"/>
                <w:color w:val="000000" w:themeColor="text1"/>
                <w:sz w:val="15"/>
                <w:szCs w:val="15"/>
              </w:rPr>
              <w:t>公里</w:t>
            </w:r>
          </w:p>
        </w:tc>
        <w:tc>
          <w:tcPr>
            <w:tcW w:w="1530" w:type="pct"/>
            <w:tcBorders>
              <w:top w:val="single" w:sz="4" w:space="0" w:color="auto"/>
            </w:tcBorders>
            <w:vAlign w:val="center"/>
          </w:tcPr>
          <w:p w14:paraId="18C09D57"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color w:val="000000" w:themeColor="text1"/>
                <w:sz w:val="15"/>
                <w:szCs w:val="15"/>
              </w:rPr>
              <w:t>3</w:t>
            </w:r>
            <w:r w:rsidRPr="007B4794">
              <w:rPr>
                <w:rFonts w:ascii="Arial" w:eastAsia="华文细黑" w:hAnsi="Arial" w:cs="Arial" w:hint="eastAsia"/>
                <w:color w:val="000000" w:themeColor="text1"/>
                <w:sz w:val="15"/>
                <w:szCs w:val="15"/>
              </w:rPr>
              <w:t>公里</w:t>
            </w:r>
          </w:p>
        </w:tc>
      </w:tr>
      <w:tr w:rsidR="00256CD0" w:rsidRPr="007B4794" w14:paraId="01971C24" w14:textId="77777777" w:rsidTr="00432972">
        <w:trPr>
          <w:cantSplit/>
          <w:trHeight w:val="452"/>
          <w:jc w:val="center"/>
        </w:trPr>
        <w:tc>
          <w:tcPr>
            <w:tcW w:w="430" w:type="pct"/>
            <w:shd w:val="clear" w:color="000000" w:fill="C0C0C0"/>
            <w:vAlign w:val="center"/>
            <w:hideMark/>
          </w:tcPr>
          <w:p w14:paraId="0DAFAD61"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开发商</w:t>
            </w:r>
          </w:p>
        </w:tc>
        <w:tc>
          <w:tcPr>
            <w:tcW w:w="1516" w:type="pct"/>
            <w:shd w:val="clear" w:color="auto" w:fill="auto"/>
            <w:vAlign w:val="center"/>
          </w:tcPr>
          <w:p w14:paraId="279B1A23"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漳州嘉地房地产开发有限公司</w:t>
            </w:r>
          </w:p>
        </w:tc>
        <w:tc>
          <w:tcPr>
            <w:tcW w:w="1524" w:type="pct"/>
            <w:shd w:val="clear" w:color="auto" w:fill="auto"/>
            <w:vAlign w:val="center"/>
          </w:tcPr>
          <w:p w14:paraId="04467787"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漳州泰禾房地产开发有限公司</w:t>
            </w:r>
          </w:p>
        </w:tc>
        <w:tc>
          <w:tcPr>
            <w:tcW w:w="1530" w:type="pct"/>
            <w:vAlign w:val="center"/>
          </w:tcPr>
          <w:p w14:paraId="1E641C1C"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漳州东森信源置业有限公司</w:t>
            </w:r>
          </w:p>
        </w:tc>
      </w:tr>
      <w:tr w:rsidR="00256CD0" w:rsidRPr="007B4794" w14:paraId="2327B8BE" w14:textId="77777777" w:rsidTr="00432972">
        <w:trPr>
          <w:cantSplit/>
          <w:trHeight w:val="283"/>
          <w:jc w:val="center"/>
        </w:trPr>
        <w:tc>
          <w:tcPr>
            <w:tcW w:w="430" w:type="pct"/>
            <w:shd w:val="clear" w:color="000000" w:fill="C0C0C0"/>
            <w:vAlign w:val="center"/>
            <w:hideMark/>
          </w:tcPr>
          <w:p w14:paraId="1D1F4CE0"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项目位置</w:t>
            </w:r>
          </w:p>
        </w:tc>
        <w:tc>
          <w:tcPr>
            <w:tcW w:w="1516" w:type="pct"/>
            <w:shd w:val="clear" w:color="auto" w:fill="auto"/>
            <w:vAlign w:val="center"/>
          </w:tcPr>
          <w:p w14:paraId="54D4DEE7"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翁角路与角海路交叉口</w:t>
            </w:r>
          </w:p>
        </w:tc>
        <w:tc>
          <w:tcPr>
            <w:tcW w:w="1524" w:type="pct"/>
            <w:shd w:val="clear" w:color="auto" w:fill="auto"/>
            <w:vAlign w:val="center"/>
          </w:tcPr>
          <w:p w14:paraId="05782BBC"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龙池大道与鸿渐路交汇处</w:t>
            </w:r>
          </w:p>
        </w:tc>
        <w:tc>
          <w:tcPr>
            <w:tcW w:w="1530" w:type="pct"/>
            <w:vAlign w:val="center"/>
          </w:tcPr>
          <w:p w14:paraId="6E328510"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角海路</w:t>
            </w:r>
          </w:p>
        </w:tc>
      </w:tr>
      <w:tr w:rsidR="00256CD0" w:rsidRPr="007B4794" w14:paraId="592CE34A" w14:textId="77777777" w:rsidTr="00432972">
        <w:trPr>
          <w:cantSplit/>
          <w:trHeight w:val="680"/>
          <w:jc w:val="center"/>
        </w:trPr>
        <w:tc>
          <w:tcPr>
            <w:tcW w:w="430" w:type="pct"/>
            <w:shd w:val="clear" w:color="000000" w:fill="C0C0C0"/>
            <w:vAlign w:val="center"/>
            <w:hideMark/>
          </w:tcPr>
          <w:p w14:paraId="45E70327"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项目规模</w:t>
            </w:r>
          </w:p>
        </w:tc>
        <w:tc>
          <w:tcPr>
            <w:tcW w:w="1516" w:type="pct"/>
            <w:shd w:val="clear" w:color="auto" w:fill="auto"/>
            <w:vAlign w:val="center"/>
          </w:tcPr>
          <w:p w14:paraId="4A70B680"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占地面积：</w:t>
            </w:r>
            <w:r w:rsidRPr="007B4794">
              <w:rPr>
                <w:rFonts w:ascii="Arial" w:eastAsia="华文细黑" w:hAnsi="Arial" w:cs="Arial" w:hint="eastAsia"/>
                <w:color w:val="000000" w:themeColor="text1"/>
                <w:sz w:val="15"/>
                <w:szCs w:val="15"/>
              </w:rPr>
              <w:t>81000</w:t>
            </w:r>
            <w:r w:rsidRPr="007B4794">
              <w:rPr>
                <w:rFonts w:ascii="Arial" w:eastAsia="华文细黑" w:hAnsi="Arial" w:cs="Arial" w:hint="eastAsia"/>
                <w:color w:val="000000" w:themeColor="text1"/>
                <w:sz w:val="15"/>
                <w:szCs w:val="15"/>
              </w:rPr>
              <w:t>平方米</w:t>
            </w:r>
          </w:p>
          <w:p w14:paraId="61162357"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建筑面积：</w:t>
            </w:r>
            <w:r w:rsidRPr="007B4794">
              <w:rPr>
                <w:rFonts w:ascii="Arial" w:eastAsia="华文细黑" w:hAnsi="Arial" w:cs="Arial" w:hint="eastAsia"/>
                <w:color w:val="000000" w:themeColor="text1"/>
                <w:sz w:val="15"/>
                <w:szCs w:val="15"/>
              </w:rPr>
              <w:t>313000</w:t>
            </w:r>
            <w:r w:rsidRPr="007B4794">
              <w:rPr>
                <w:rFonts w:ascii="Arial" w:eastAsia="华文细黑" w:hAnsi="Arial" w:cs="Arial" w:hint="eastAsia"/>
                <w:color w:val="000000" w:themeColor="text1"/>
                <w:sz w:val="15"/>
                <w:szCs w:val="15"/>
              </w:rPr>
              <w:t>平方米</w:t>
            </w:r>
          </w:p>
        </w:tc>
        <w:tc>
          <w:tcPr>
            <w:tcW w:w="1524" w:type="pct"/>
            <w:shd w:val="clear" w:color="auto" w:fill="auto"/>
            <w:vAlign w:val="center"/>
          </w:tcPr>
          <w:p w14:paraId="2956AE74"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占地面积：</w:t>
            </w:r>
            <w:r w:rsidRPr="007B4794">
              <w:rPr>
                <w:rFonts w:ascii="Arial" w:eastAsia="华文细黑" w:hAnsi="Arial" w:cs="Arial" w:hint="eastAsia"/>
                <w:color w:val="000000" w:themeColor="text1"/>
                <w:sz w:val="15"/>
                <w:szCs w:val="15"/>
              </w:rPr>
              <w:t>157000</w:t>
            </w:r>
            <w:r w:rsidRPr="007B4794">
              <w:rPr>
                <w:rFonts w:ascii="Arial" w:eastAsia="华文细黑" w:hAnsi="Arial" w:cs="Arial" w:hint="eastAsia"/>
                <w:color w:val="000000" w:themeColor="text1"/>
                <w:sz w:val="15"/>
                <w:szCs w:val="15"/>
              </w:rPr>
              <w:t>平方米</w:t>
            </w:r>
          </w:p>
          <w:p w14:paraId="7D6F568D"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建筑面积：</w:t>
            </w:r>
            <w:r w:rsidRPr="007B4794">
              <w:rPr>
                <w:rFonts w:ascii="Arial" w:eastAsia="华文细黑" w:hAnsi="Arial" w:cs="Arial" w:hint="eastAsia"/>
                <w:color w:val="000000" w:themeColor="text1"/>
                <w:sz w:val="15"/>
                <w:szCs w:val="15"/>
              </w:rPr>
              <w:t>507000</w:t>
            </w:r>
            <w:r w:rsidRPr="007B4794">
              <w:rPr>
                <w:rFonts w:ascii="Arial" w:eastAsia="华文细黑" w:hAnsi="Arial" w:cs="Arial" w:hint="eastAsia"/>
                <w:color w:val="000000" w:themeColor="text1"/>
                <w:sz w:val="15"/>
                <w:szCs w:val="15"/>
              </w:rPr>
              <w:t>平方米</w:t>
            </w:r>
          </w:p>
        </w:tc>
        <w:tc>
          <w:tcPr>
            <w:tcW w:w="1530" w:type="pct"/>
            <w:vAlign w:val="center"/>
          </w:tcPr>
          <w:p w14:paraId="33586B31"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占地面积：</w:t>
            </w:r>
            <w:r w:rsidRPr="007B4794">
              <w:rPr>
                <w:rFonts w:ascii="Arial" w:eastAsia="华文细黑" w:hAnsi="Arial" w:cs="Arial" w:hint="eastAsia"/>
                <w:color w:val="000000" w:themeColor="text1"/>
                <w:sz w:val="15"/>
                <w:szCs w:val="15"/>
              </w:rPr>
              <w:t>45000</w:t>
            </w:r>
            <w:r w:rsidRPr="007B4794">
              <w:rPr>
                <w:rFonts w:ascii="Arial" w:eastAsia="华文细黑" w:hAnsi="Arial" w:cs="Arial" w:hint="eastAsia"/>
                <w:color w:val="000000" w:themeColor="text1"/>
                <w:sz w:val="15"/>
                <w:szCs w:val="15"/>
              </w:rPr>
              <w:t>平方米</w:t>
            </w:r>
          </w:p>
          <w:p w14:paraId="6214F5F7"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建筑面积：</w:t>
            </w:r>
            <w:r w:rsidRPr="007B4794">
              <w:rPr>
                <w:rFonts w:ascii="Arial" w:eastAsia="华文细黑" w:hAnsi="Arial" w:cs="Arial" w:hint="eastAsia"/>
                <w:color w:val="000000" w:themeColor="text1"/>
                <w:sz w:val="15"/>
                <w:szCs w:val="15"/>
              </w:rPr>
              <w:t>120000</w:t>
            </w:r>
            <w:r w:rsidRPr="007B4794">
              <w:rPr>
                <w:rFonts w:ascii="Arial" w:eastAsia="华文细黑" w:hAnsi="Arial" w:cs="Arial" w:hint="eastAsia"/>
                <w:color w:val="000000" w:themeColor="text1"/>
                <w:sz w:val="15"/>
                <w:szCs w:val="15"/>
              </w:rPr>
              <w:t>平方米</w:t>
            </w:r>
          </w:p>
        </w:tc>
      </w:tr>
      <w:tr w:rsidR="00256CD0" w:rsidRPr="007B4794" w14:paraId="09BFB147" w14:textId="77777777" w:rsidTr="00432972">
        <w:trPr>
          <w:cantSplit/>
          <w:trHeight w:val="283"/>
          <w:jc w:val="center"/>
        </w:trPr>
        <w:tc>
          <w:tcPr>
            <w:tcW w:w="430" w:type="pct"/>
            <w:shd w:val="clear" w:color="000000" w:fill="C0C0C0"/>
            <w:vAlign w:val="center"/>
            <w:hideMark/>
          </w:tcPr>
          <w:p w14:paraId="2A187091"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项目容积率</w:t>
            </w:r>
          </w:p>
        </w:tc>
        <w:tc>
          <w:tcPr>
            <w:tcW w:w="1516" w:type="pct"/>
            <w:shd w:val="clear" w:color="auto" w:fill="auto"/>
            <w:vAlign w:val="center"/>
          </w:tcPr>
          <w:p w14:paraId="06A3269F"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3</w:t>
            </w:r>
          </w:p>
        </w:tc>
        <w:tc>
          <w:tcPr>
            <w:tcW w:w="1524" w:type="pct"/>
            <w:shd w:val="clear" w:color="auto" w:fill="auto"/>
            <w:vAlign w:val="center"/>
          </w:tcPr>
          <w:p w14:paraId="3C0D613A"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2.29</w:t>
            </w:r>
          </w:p>
        </w:tc>
        <w:tc>
          <w:tcPr>
            <w:tcW w:w="1530" w:type="pct"/>
            <w:vAlign w:val="center"/>
          </w:tcPr>
          <w:p w14:paraId="6857C223"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2.5</w:t>
            </w:r>
          </w:p>
        </w:tc>
      </w:tr>
      <w:tr w:rsidR="00256CD0" w:rsidRPr="007B4794" w14:paraId="31A2122F" w14:textId="77777777" w:rsidTr="00432972">
        <w:trPr>
          <w:cantSplit/>
          <w:trHeight w:val="430"/>
          <w:jc w:val="center"/>
        </w:trPr>
        <w:tc>
          <w:tcPr>
            <w:tcW w:w="430" w:type="pct"/>
            <w:shd w:val="clear" w:color="000000" w:fill="C0C0C0"/>
            <w:vAlign w:val="center"/>
          </w:tcPr>
          <w:p w14:paraId="1A00AE3D"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楼栋总数</w:t>
            </w:r>
          </w:p>
        </w:tc>
        <w:tc>
          <w:tcPr>
            <w:tcW w:w="1516" w:type="pct"/>
            <w:shd w:val="clear" w:color="auto" w:fill="auto"/>
            <w:vAlign w:val="center"/>
          </w:tcPr>
          <w:p w14:paraId="27290B8A"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18</w:t>
            </w:r>
            <w:r w:rsidRPr="007B4794">
              <w:rPr>
                <w:rFonts w:ascii="Arial" w:eastAsia="华文细黑" w:hAnsi="Arial" w:cs="Arial" w:hint="eastAsia"/>
                <w:color w:val="000000" w:themeColor="text1"/>
                <w:sz w:val="15"/>
                <w:szCs w:val="15"/>
              </w:rPr>
              <w:t>栋</w:t>
            </w:r>
          </w:p>
        </w:tc>
        <w:tc>
          <w:tcPr>
            <w:tcW w:w="1524" w:type="pct"/>
            <w:shd w:val="clear" w:color="auto" w:fill="auto"/>
            <w:vAlign w:val="center"/>
          </w:tcPr>
          <w:p w14:paraId="6CAC7B81"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19</w:t>
            </w:r>
            <w:r w:rsidRPr="007B4794">
              <w:rPr>
                <w:rFonts w:ascii="Arial" w:eastAsia="华文细黑" w:hAnsi="Arial" w:cs="Arial" w:hint="eastAsia"/>
                <w:color w:val="000000" w:themeColor="text1"/>
                <w:sz w:val="15"/>
                <w:szCs w:val="15"/>
              </w:rPr>
              <w:t>栋</w:t>
            </w:r>
          </w:p>
        </w:tc>
        <w:tc>
          <w:tcPr>
            <w:tcW w:w="1530" w:type="pct"/>
            <w:vAlign w:val="center"/>
          </w:tcPr>
          <w:p w14:paraId="300B03EB"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8</w:t>
            </w:r>
            <w:r w:rsidRPr="007B4794">
              <w:rPr>
                <w:rFonts w:ascii="Arial" w:eastAsia="华文细黑" w:hAnsi="Arial" w:cs="Arial" w:hint="eastAsia"/>
                <w:color w:val="000000" w:themeColor="text1"/>
                <w:sz w:val="15"/>
                <w:szCs w:val="15"/>
              </w:rPr>
              <w:t>栋</w:t>
            </w:r>
          </w:p>
        </w:tc>
      </w:tr>
      <w:tr w:rsidR="00256CD0" w:rsidRPr="007B4794" w14:paraId="4B460081" w14:textId="77777777" w:rsidTr="00432972">
        <w:trPr>
          <w:cantSplit/>
          <w:trHeight w:val="283"/>
          <w:jc w:val="center"/>
        </w:trPr>
        <w:tc>
          <w:tcPr>
            <w:tcW w:w="430" w:type="pct"/>
            <w:shd w:val="clear" w:color="000000" w:fill="C0C0C0"/>
            <w:vAlign w:val="center"/>
            <w:hideMark/>
          </w:tcPr>
          <w:p w14:paraId="31A05750"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楼层状况</w:t>
            </w:r>
          </w:p>
        </w:tc>
        <w:tc>
          <w:tcPr>
            <w:tcW w:w="1516" w:type="pct"/>
            <w:shd w:val="clear" w:color="auto" w:fill="auto"/>
            <w:vAlign w:val="center"/>
          </w:tcPr>
          <w:p w14:paraId="6F42616A"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高层</w:t>
            </w:r>
            <w:r w:rsidRPr="007B4794">
              <w:rPr>
                <w:rFonts w:ascii="Arial" w:eastAsia="华文细黑" w:hAnsi="Arial" w:cs="Arial" w:hint="eastAsia"/>
                <w:color w:val="000000" w:themeColor="text1"/>
                <w:sz w:val="15"/>
                <w:szCs w:val="15"/>
              </w:rPr>
              <w:t>23-27</w:t>
            </w:r>
            <w:r w:rsidRPr="007B4794">
              <w:rPr>
                <w:rFonts w:ascii="Arial" w:eastAsia="华文细黑" w:hAnsi="Arial" w:cs="Arial" w:hint="eastAsia"/>
                <w:color w:val="000000" w:themeColor="text1"/>
                <w:sz w:val="15"/>
                <w:szCs w:val="15"/>
              </w:rPr>
              <w:t>层</w:t>
            </w:r>
          </w:p>
        </w:tc>
        <w:tc>
          <w:tcPr>
            <w:tcW w:w="1524" w:type="pct"/>
            <w:shd w:val="clear" w:color="auto" w:fill="auto"/>
            <w:vAlign w:val="center"/>
          </w:tcPr>
          <w:p w14:paraId="60A0190A"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35</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40</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50F</w:t>
            </w:r>
          </w:p>
        </w:tc>
        <w:tc>
          <w:tcPr>
            <w:tcW w:w="1530" w:type="pct"/>
            <w:vAlign w:val="center"/>
          </w:tcPr>
          <w:p w14:paraId="78ED864C"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color w:val="000000" w:themeColor="text1"/>
                <w:sz w:val="15"/>
                <w:szCs w:val="15"/>
              </w:rPr>
              <w:t>15</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20</w:t>
            </w:r>
            <w:r w:rsidRPr="007B4794">
              <w:rPr>
                <w:rFonts w:ascii="Arial" w:eastAsia="华文细黑" w:hAnsi="Arial" w:cs="Arial" w:hint="eastAsia"/>
                <w:color w:val="000000" w:themeColor="text1"/>
                <w:sz w:val="15"/>
                <w:szCs w:val="15"/>
              </w:rPr>
              <w:t>层</w:t>
            </w:r>
          </w:p>
        </w:tc>
      </w:tr>
      <w:tr w:rsidR="00256CD0" w:rsidRPr="007B4794" w14:paraId="1968D32F" w14:textId="77777777" w:rsidTr="00432972">
        <w:trPr>
          <w:cantSplit/>
          <w:trHeight w:val="562"/>
          <w:jc w:val="center"/>
        </w:trPr>
        <w:tc>
          <w:tcPr>
            <w:tcW w:w="430" w:type="pct"/>
            <w:shd w:val="clear" w:color="000000" w:fill="C0C0C0"/>
            <w:vAlign w:val="center"/>
          </w:tcPr>
          <w:p w14:paraId="578E281C"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hint="eastAsia"/>
                <w:b/>
                <w:bCs/>
                <w:color w:val="000000" w:themeColor="text1"/>
                <w:sz w:val="15"/>
                <w:szCs w:val="15"/>
              </w:rPr>
              <w:t>首次开盘时间</w:t>
            </w:r>
          </w:p>
        </w:tc>
        <w:tc>
          <w:tcPr>
            <w:tcW w:w="1516" w:type="pct"/>
            <w:shd w:val="clear" w:color="auto" w:fill="auto"/>
            <w:vAlign w:val="center"/>
          </w:tcPr>
          <w:p w14:paraId="03A58C72"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2020</w:t>
            </w:r>
            <w:r w:rsidRPr="007B4794">
              <w:rPr>
                <w:rFonts w:ascii="Arial" w:eastAsia="华文细黑" w:hAnsi="Arial" w:cs="Arial" w:hint="eastAsia"/>
                <w:color w:val="000000" w:themeColor="text1"/>
                <w:sz w:val="15"/>
                <w:szCs w:val="15"/>
              </w:rPr>
              <w:t>年</w:t>
            </w:r>
            <w:r w:rsidRPr="007B4794">
              <w:rPr>
                <w:rFonts w:ascii="Arial" w:eastAsia="华文细黑" w:hAnsi="Arial" w:cs="Arial" w:hint="eastAsia"/>
                <w:color w:val="000000" w:themeColor="text1"/>
                <w:sz w:val="15"/>
                <w:szCs w:val="15"/>
              </w:rPr>
              <w:t>7</w:t>
            </w:r>
            <w:r w:rsidRPr="007B4794">
              <w:rPr>
                <w:rFonts w:ascii="Arial" w:eastAsia="华文细黑" w:hAnsi="Arial" w:cs="Arial" w:hint="eastAsia"/>
                <w:color w:val="000000" w:themeColor="text1"/>
                <w:sz w:val="15"/>
                <w:szCs w:val="15"/>
              </w:rPr>
              <w:t>月</w:t>
            </w:r>
            <w:r w:rsidRPr="007B4794">
              <w:rPr>
                <w:rFonts w:ascii="Arial" w:eastAsia="华文细黑" w:hAnsi="Arial" w:cs="Arial" w:hint="eastAsia"/>
                <w:color w:val="000000" w:themeColor="text1"/>
                <w:sz w:val="15"/>
                <w:szCs w:val="15"/>
              </w:rPr>
              <w:t>27</w:t>
            </w:r>
            <w:r w:rsidRPr="007B4794">
              <w:rPr>
                <w:rFonts w:ascii="Arial" w:eastAsia="华文细黑" w:hAnsi="Arial" w:cs="Arial" w:hint="eastAsia"/>
                <w:color w:val="000000" w:themeColor="text1"/>
                <w:sz w:val="15"/>
                <w:szCs w:val="15"/>
              </w:rPr>
              <w:t>日</w:t>
            </w:r>
          </w:p>
        </w:tc>
        <w:tc>
          <w:tcPr>
            <w:tcW w:w="1524" w:type="pct"/>
            <w:shd w:val="clear" w:color="auto" w:fill="auto"/>
            <w:vAlign w:val="center"/>
          </w:tcPr>
          <w:p w14:paraId="0109B5D4"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2018</w:t>
            </w:r>
            <w:r w:rsidRPr="007B4794">
              <w:rPr>
                <w:rFonts w:ascii="Arial" w:eastAsia="华文细黑" w:hAnsi="Arial" w:cs="Arial" w:hint="eastAsia"/>
                <w:color w:val="000000" w:themeColor="text1"/>
                <w:sz w:val="15"/>
                <w:szCs w:val="15"/>
              </w:rPr>
              <w:t>年</w:t>
            </w:r>
            <w:r w:rsidRPr="007B4794">
              <w:rPr>
                <w:rFonts w:ascii="Arial" w:eastAsia="华文细黑" w:hAnsi="Arial" w:cs="Arial" w:hint="eastAsia"/>
                <w:color w:val="000000" w:themeColor="text1"/>
                <w:sz w:val="15"/>
                <w:szCs w:val="15"/>
              </w:rPr>
              <w:t>6</w:t>
            </w:r>
            <w:r w:rsidRPr="007B4794">
              <w:rPr>
                <w:rFonts w:ascii="Arial" w:eastAsia="华文细黑" w:hAnsi="Arial" w:cs="Arial" w:hint="eastAsia"/>
                <w:color w:val="000000" w:themeColor="text1"/>
                <w:sz w:val="15"/>
                <w:szCs w:val="15"/>
              </w:rPr>
              <w:t>月</w:t>
            </w:r>
            <w:r w:rsidRPr="007B4794">
              <w:rPr>
                <w:rFonts w:ascii="Arial" w:eastAsia="华文细黑" w:hAnsi="Arial" w:cs="Arial" w:hint="eastAsia"/>
                <w:color w:val="000000" w:themeColor="text1"/>
                <w:sz w:val="15"/>
                <w:szCs w:val="15"/>
              </w:rPr>
              <w:t>30</w:t>
            </w:r>
            <w:r w:rsidRPr="007B4794">
              <w:rPr>
                <w:rFonts w:ascii="Arial" w:eastAsia="华文细黑" w:hAnsi="Arial" w:cs="Arial" w:hint="eastAsia"/>
                <w:color w:val="000000" w:themeColor="text1"/>
                <w:sz w:val="15"/>
                <w:szCs w:val="15"/>
              </w:rPr>
              <w:t>日开盘</w:t>
            </w:r>
          </w:p>
        </w:tc>
        <w:tc>
          <w:tcPr>
            <w:tcW w:w="1530" w:type="pct"/>
            <w:vAlign w:val="center"/>
          </w:tcPr>
          <w:p w14:paraId="6C913345"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2016</w:t>
            </w:r>
            <w:r w:rsidRPr="007B4794">
              <w:rPr>
                <w:rFonts w:ascii="Arial" w:eastAsia="华文细黑" w:hAnsi="Arial" w:cs="Arial" w:hint="eastAsia"/>
                <w:color w:val="000000" w:themeColor="text1"/>
                <w:sz w:val="15"/>
                <w:szCs w:val="15"/>
              </w:rPr>
              <w:t>年</w:t>
            </w:r>
            <w:r w:rsidRPr="007B4794">
              <w:rPr>
                <w:rFonts w:ascii="Arial" w:eastAsia="华文细黑" w:hAnsi="Arial" w:cs="Arial" w:hint="eastAsia"/>
                <w:color w:val="000000" w:themeColor="text1"/>
                <w:sz w:val="15"/>
                <w:szCs w:val="15"/>
              </w:rPr>
              <w:t>6</w:t>
            </w:r>
            <w:r w:rsidRPr="007B4794">
              <w:rPr>
                <w:rFonts w:ascii="Arial" w:eastAsia="华文细黑" w:hAnsi="Arial" w:cs="Arial" w:hint="eastAsia"/>
                <w:color w:val="000000" w:themeColor="text1"/>
                <w:sz w:val="15"/>
                <w:szCs w:val="15"/>
              </w:rPr>
              <w:t>月</w:t>
            </w:r>
            <w:r w:rsidRPr="007B4794">
              <w:rPr>
                <w:rFonts w:ascii="Arial" w:eastAsia="华文细黑" w:hAnsi="Arial" w:cs="Arial" w:hint="eastAsia"/>
                <w:color w:val="000000" w:themeColor="text1"/>
                <w:sz w:val="15"/>
                <w:szCs w:val="15"/>
              </w:rPr>
              <w:t>26</w:t>
            </w:r>
            <w:r w:rsidRPr="007B4794">
              <w:rPr>
                <w:rFonts w:ascii="Arial" w:eastAsia="华文细黑" w:hAnsi="Arial" w:cs="Arial" w:hint="eastAsia"/>
                <w:color w:val="000000" w:themeColor="text1"/>
                <w:sz w:val="15"/>
                <w:szCs w:val="15"/>
              </w:rPr>
              <w:t>日</w:t>
            </w:r>
          </w:p>
        </w:tc>
      </w:tr>
      <w:tr w:rsidR="00256CD0" w:rsidRPr="007B4794" w14:paraId="19947030" w14:textId="77777777" w:rsidTr="00432972">
        <w:trPr>
          <w:cantSplit/>
          <w:trHeight w:val="600"/>
          <w:jc w:val="center"/>
        </w:trPr>
        <w:tc>
          <w:tcPr>
            <w:tcW w:w="430" w:type="pct"/>
            <w:shd w:val="clear" w:color="000000" w:fill="C0C0C0"/>
            <w:vAlign w:val="center"/>
            <w:hideMark/>
          </w:tcPr>
          <w:p w14:paraId="657A6D57"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主力产品</w:t>
            </w:r>
          </w:p>
        </w:tc>
        <w:tc>
          <w:tcPr>
            <w:tcW w:w="1516" w:type="pct"/>
            <w:shd w:val="clear" w:color="auto" w:fill="auto"/>
            <w:vAlign w:val="center"/>
          </w:tcPr>
          <w:p w14:paraId="24C19672"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77</w:t>
            </w:r>
            <w:r w:rsidRPr="007B4794">
              <w:rPr>
                <w:rFonts w:ascii="Arial" w:eastAsia="华文细黑" w:hAnsi="Arial" w:cs="Arial" w:hint="eastAsia"/>
                <w:color w:val="000000" w:themeColor="text1"/>
                <w:sz w:val="15"/>
                <w:szCs w:val="15"/>
              </w:rPr>
              <w:t>㎡</w:t>
            </w:r>
          </w:p>
        </w:tc>
        <w:tc>
          <w:tcPr>
            <w:tcW w:w="1524" w:type="pct"/>
            <w:shd w:val="clear" w:color="auto" w:fill="auto"/>
            <w:vAlign w:val="center"/>
          </w:tcPr>
          <w:p w14:paraId="31B56636"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82</w:t>
            </w:r>
            <w:r w:rsidRPr="007B4794">
              <w:rPr>
                <w:rFonts w:ascii="Arial" w:eastAsia="华文细黑" w:hAnsi="Arial" w:cs="Arial" w:hint="eastAsia"/>
                <w:color w:val="000000" w:themeColor="text1"/>
                <w:sz w:val="15"/>
                <w:szCs w:val="15"/>
              </w:rPr>
              <w:t>㎡</w:t>
            </w:r>
          </w:p>
        </w:tc>
        <w:tc>
          <w:tcPr>
            <w:tcW w:w="1530" w:type="pct"/>
            <w:vAlign w:val="center"/>
          </w:tcPr>
          <w:p w14:paraId="171EF472"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39-45</w:t>
            </w:r>
            <w:r w:rsidRPr="007B4794">
              <w:rPr>
                <w:rFonts w:ascii="Arial" w:eastAsia="华文细黑" w:hAnsi="Arial" w:cs="Arial" w:hint="eastAsia"/>
                <w:color w:val="000000" w:themeColor="text1"/>
                <w:sz w:val="15"/>
                <w:szCs w:val="15"/>
              </w:rPr>
              <w:t>㎡</w:t>
            </w:r>
          </w:p>
        </w:tc>
      </w:tr>
      <w:tr w:rsidR="00256CD0" w:rsidRPr="007B4794" w14:paraId="528E1DDB" w14:textId="77777777" w:rsidTr="00432972">
        <w:trPr>
          <w:cantSplit/>
          <w:trHeight w:val="440"/>
          <w:jc w:val="center"/>
        </w:trPr>
        <w:tc>
          <w:tcPr>
            <w:tcW w:w="430" w:type="pct"/>
            <w:shd w:val="clear" w:color="000000" w:fill="C0C0C0"/>
            <w:vAlign w:val="center"/>
          </w:tcPr>
          <w:p w14:paraId="6EA0B2CF"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总户数</w:t>
            </w:r>
          </w:p>
        </w:tc>
        <w:tc>
          <w:tcPr>
            <w:tcW w:w="1516" w:type="pct"/>
            <w:shd w:val="clear" w:color="auto" w:fill="auto"/>
            <w:vAlign w:val="center"/>
          </w:tcPr>
          <w:p w14:paraId="25F89315"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2489</w:t>
            </w:r>
            <w:r w:rsidRPr="007B4794">
              <w:rPr>
                <w:rFonts w:ascii="Arial" w:eastAsia="华文细黑" w:hAnsi="Arial" w:cs="Arial" w:hint="eastAsia"/>
                <w:color w:val="000000" w:themeColor="text1"/>
                <w:sz w:val="15"/>
                <w:szCs w:val="15"/>
              </w:rPr>
              <w:t>户</w:t>
            </w:r>
          </w:p>
        </w:tc>
        <w:tc>
          <w:tcPr>
            <w:tcW w:w="1524" w:type="pct"/>
            <w:shd w:val="clear" w:color="auto" w:fill="auto"/>
            <w:vAlign w:val="center"/>
          </w:tcPr>
          <w:p w14:paraId="4C2F450D"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3600</w:t>
            </w:r>
            <w:r w:rsidRPr="007B4794">
              <w:rPr>
                <w:rFonts w:ascii="Arial" w:eastAsia="华文细黑" w:hAnsi="Arial" w:cs="Arial" w:hint="eastAsia"/>
                <w:color w:val="000000" w:themeColor="text1"/>
                <w:sz w:val="15"/>
                <w:szCs w:val="15"/>
              </w:rPr>
              <w:t>户</w:t>
            </w:r>
          </w:p>
        </w:tc>
        <w:tc>
          <w:tcPr>
            <w:tcW w:w="1530" w:type="pct"/>
            <w:vAlign w:val="center"/>
          </w:tcPr>
          <w:p w14:paraId="4C78D4F2"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1860</w:t>
            </w:r>
            <w:r w:rsidRPr="007B4794">
              <w:rPr>
                <w:rFonts w:ascii="Arial" w:eastAsia="华文细黑" w:hAnsi="Arial" w:cs="Arial" w:hint="eastAsia"/>
                <w:color w:val="000000" w:themeColor="text1"/>
                <w:sz w:val="15"/>
                <w:szCs w:val="15"/>
              </w:rPr>
              <w:t>户</w:t>
            </w:r>
          </w:p>
        </w:tc>
      </w:tr>
      <w:tr w:rsidR="00256CD0" w:rsidRPr="007B4794" w14:paraId="6923598B" w14:textId="77777777" w:rsidTr="00432972">
        <w:trPr>
          <w:cantSplit/>
          <w:trHeight w:val="462"/>
          <w:jc w:val="center"/>
        </w:trPr>
        <w:tc>
          <w:tcPr>
            <w:tcW w:w="430" w:type="pct"/>
            <w:shd w:val="clear" w:color="000000" w:fill="C0C0C0"/>
            <w:vAlign w:val="center"/>
            <w:hideMark/>
          </w:tcPr>
          <w:p w14:paraId="311C4183"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交房时间</w:t>
            </w:r>
          </w:p>
        </w:tc>
        <w:tc>
          <w:tcPr>
            <w:tcW w:w="1516" w:type="pct"/>
            <w:shd w:val="clear" w:color="auto" w:fill="auto"/>
            <w:vAlign w:val="center"/>
          </w:tcPr>
          <w:p w14:paraId="240A0819"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2022</w:t>
            </w:r>
            <w:r w:rsidRPr="007B4794">
              <w:rPr>
                <w:rFonts w:ascii="Arial" w:eastAsia="华文细黑" w:hAnsi="Arial" w:cs="Arial" w:hint="eastAsia"/>
                <w:color w:val="000000" w:themeColor="text1"/>
                <w:sz w:val="15"/>
                <w:szCs w:val="15"/>
              </w:rPr>
              <w:t>年</w:t>
            </w:r>
            <w:r w:rsidRPr="007B4794">
              <w:rPr>
                <w:rFonts w:ascii="Arial" w:eastAsia="华文细黑" w:hAnsi="Arial" w:cs="Arial" w:hint="eastAsia"/>
                <w:color w:val="000000" w:themeColor="text1"/>
                <w:sz w:val="15"/>
                <w:szCs w:val="15"/>
              </w:rPr>
              <w:t>9</w:t>
            </w:r>
            <w:r w:rsidRPr="007B4794">
              <w:rPr>
                <w:rFonts w:ascii="Arial" w:eastAsia="华文细黑" w:hAnsi="Arial" w:cs="Arial" w:hint="eastAsia"/>
                <w:color w:val="000000" w:themeColor="text1"/>
                <w:sz w:val="15"/>
                <w:szCs w:val="15"/>
              </w:rPr>
              <w:t>月</w:t>
            </w:r>
          </w:p>
        </w:tc>
        <w:tc>
          <w:tcPr>
            <w:tcW w:w="1524" w:type="pct"/>
            <w:shd w:val="clear" w:color="auto" w:fill="auto"/>
            <w:vAlign w:val="center"/>
          </w:tcPr>
          <w:p w14:paraId="2FE561D4"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2021</w:t>
            </w:r>
            <w:r w:rsidRPr="007B4794">
              <w:rPr>
                <w:rFonts w:ascii="Arial" w:eastAsia="华文细黑" w:hAnsi="Arial" w:cs="Arial" w:hint="eastAsia"/>
                <w:color w:val="000000" w:themeColor="text1"/>
                <w:sz w:val="15"/>
                <w:szCs w:val="15"/>
              </w:rPr>
              <w:t>年</w:t>
            </w:r>
            <w:r w:rsidRPr="007B4794">
              <w:rPr>
                <w:rFonts w:ascii="Arial" w:eastAsia="华文细黑" w:hAnsi="Arial" w:cs="Arial" w:hint="eastAsia"/>
                <w:color w:val="000000" w:themeColor="text1"/>
                <w:sz w:val="15"/>
                <w:szCs w:val="15"/>
              </w:rPr>
              <w:t>9</w:t>
            </w:r>
            <w:r w:rsidRPr="007B4794">
              <w:rPr>
                <w:rFonts w:ascii="Arial" w:eastAsia="华文细黑" w:hAnsi="Arial" w:cs="Arial" w:hint="eastAsia"/>
                <w:color w:val="000000" w:themeColor="text1"/>
                <w:sz w:val="15"/>
                <w:szCs w:val="15"/>
              </w:rPr>
              <w:t>月第一批交房</w:t>
            </w:r>
          </w:p>
        </w:tc>
        <w:tc>
          <w:tcPr>
            <w:tcW w:w="1530" w:type="pct"/>
            <w:vAlign w:val="center"/>
          </w:tcPr>
          <w:p w14:paraId="0DE6C514"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已交付</w:t>
            </w:r>
          </w:p>
        </w:tc>
      </w:tr>
      <w:tr w:rsidR="00256CD0" w:rsidRPr="007B4794" w14:paraId="2E2341AE" w14:textId="77777777" w:rsidTr="00432972">
        <w:trPr>
          <w:cantSplit/>
          <w:trHeight w:val="364"/>
          <w:jc w:val="center"/>
        </w:trPr>
        <w:tc>
          <w:tcPr>
            <w:tcW w:w="430" w:type="pct"/>
            <w:shd w:val="clear" w:color="000000" w:fill="C0C0C0"/>
            <w:vAlign w:val="center"/>
            <w:hideMark/>
          </w:tcPr>
          <w:p w14:paraId="0C2F1C11"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装修情况</w:t>
            </w:r>
          </w:p>
        </w:tc>
        <w:tc>
          <w:tcPr>
            <w:tcW w:w="1516" w:type="pct"/>
            <w:shd w:val="clear" w:color="auto" w:fill="auto"/>
            <w:vAlign w:val="center"/>
          </w:tcPr>
          <w:p w14:paraId="0654613E"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毛坯交付，公共带装修</w:t>
            </w:r>
          </w:p>
        </w:tc>
        <w:tc>
          <w:tcPr>
            <w:tcW w:w="1524" w:type="pct"/>
            <w:shd w:val="clear" w:color="auto" w:fill="auto"/>
            <w:vAlign w:val="center"/>
          </w:tcPr>
          <w:p w14:paraId="6E232950"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部分精装、部分毛坯，公共带装修</w:t>
            </w:r>
          </w:p>
        </w:tc>
        <w:tc>
          <w:tcPr>
            <w:tcW w:w="1530" w:type="pct"/>
            <w:vAlign w:val="center"/>
          </w:tcPr>
          <w:p w14:paraId="55F4DF31"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精装，公共带装修</w:t>
            </w:r>
          </w:p>
        </w:tc>
      </w:tr>
      <w:tr w:rsidR="00256CD0" w:rsidRPr="007B4794" w14:paraId="0F959A8F" w14:textId="77777777" w:rsidTr="00432972">
        <w:trPr>
          <w:cantSplit/>
          <w:trHeight w:val="458"/>
          <w:jc w:val="center"/>
        </w:trPr>
        <w:tc>
          <w:tcPr>
            <w:tcW w:w="430" w:type="pct"/>
            <w:shd w:val="clear" w:color="000000" w:fill="C0C0C0"/>
            <w:vAlign w:val="center"/>
          </w:tcPr>
          <w:p w14:paraId="199B72C0"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销售状态</w:t>
            </w:r>
          </w:p>
        </w:tc>
        <w:tc>
          <w:tcPr>
            <w:tcW w:w="1516" w:type="pct"/>
            <w:shd w:val="clear" w:color="auto" w:fill="auto"/>
            <w:vAlign w:val="center"/>
          </w:tcPr>
          <w:p w14:paraId="7B8DEE9D"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期房</w:t>
            </w:r>
            <w:r w:rsidRPr="007B4794">
              <w:rPr>
                <w:rFonts w:ascii="Arial" w:eastAsia="华文细黑" w:hAnsi="Arial" w:cs="Arial"/>
                <w:color w:val="000000" w:themeColor="text1"/>
                <w:sz w:val="15"/>
                <w:szCs w:val="15"/>
              </w:rPr>
              <w:t>在售</w:t>
            </w:r>
          </w:p>
        </w:tc>
        <w:tc>
          <w:tcPr>
            <w:tcW w:w="1524" w:type="pct"/>
            <w:shd w:val="clear" w:color="auto" w:fill="auto"/>
            <w:vAlign w:val="center"/>
          </w:tcPr>
          <w:p w14:paraId="0F07E617"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期房</w:t>
            </w:r>
            <w:r w:rsidRPr="007B4794">
              <w:rPr>
                <w:rFonts w:ascii="Arial" w:eastAsia="华文细黑" w:hAnsi="Arial" w:cs="Arial"/>
                <w:color w:val="000000" w:themeColor="text1"/>
                <w:sz w:val="15"/>
                <w:szCs w:val="15"/>
              </w:rPr>
              <w:t>在售</w:t>
            </w:r>
          </w:p>
        </w:tc>
        <w:tc>
          <w:tcPr>
            <w:tcW w:w="1530" w:type="pct"/>
            <w:vAlign w:val="center"/>
          </w:tcPr>
          <w:p w14:paraId="3D12A6CB"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现房</w:t>
            </w:r>
            <w:r w:rsidRPr="007B4794">
              <w:rPr>
                <w:rFonts w:ascii="Arial" w:eastAsia="华文细黑" w:hAnsi="Arial" w:cs="Arial"/>
                <w:color w:val="000000" w:themeColor="text1"/>
                <w:sz w:val="15"/>
                <w:szCs w:val="15"/>
              </w:rPr>
              <w:t>在售</w:t>
            </w:r>
          </w:p>
        </w:tc>
      </w:tr>
      <w:tr w:rsidR="00256CD0" w:rsidRPr="007B4794" w14:paraId="56520D2B" w14:textId="77777777" w:rsidTr="00432972">
        <w:trPr>
          <w:cantSplit/>
          <w:trHeight w:val="543"/>
          <w:jc w:val="center"/>
        </w:trPr>
        <w:tc>
          <w:tcPr>
            <w:tcW w:w="430" w:type="pct"/>
            <w:shd w:val="clear" w:color="000000" w:fill="C0C0C0"/>
            <w:vAlign w:val="center"/>
            <w:hideMark/>
          </w:tcPr>
          <w:p w14:paraId="79570722"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hint="eastAsia"/>
                <w:b/>
                <w:bCs/>
                <w:color w:val="000000" w:themeColor="text1"/>
                <w:sz w:val="15"/>
                <w:szCs w:val="15"/>
              </w:rPr>
              <w:t>住宅</w:t>
            </w:r>
            <w:r w:rsidRPr="007B4794">
              <w:rPr>
                <w:rFonts w:ascii="Arial" w:eastAsia="华文细黑" w:hAnsi="Arial" w:cs="Arial"/>
                <w:b/>
                <w:bCs/>
                <w:color w:val="000000" w:themeColor="text1"/>
                <w:sz w:val="15"/>
                <w:szCs w:val="15"/>
              </w:rPr>
              <w:t>销售情况</w:t>
            </w:r>
          </w:p>
        </w:tc>
        <w:tc>
          <w:tcPr>
            <w:tcW w:w="1516" w:type="pct"/>
            <w:shd w:val="clear" w:color="auto" w:fill="auto"/>
            <w:vAlign w:val="center"/>
          </w:tcPr>
          <w:p w14:paraId="1AB9A37B"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销售均价</w:t>
            </w:r>
            <w:r w:rsidRPr="007B4794">
              <w:rPr>
                <w:rFonts w:ascii="Arial" w:eastAsia="华文细黑" w:hAnsi="Arial" w:cs="Arial" w:hint="eastAsia"/>
                <w:color w:val="000000" w:themeColor="text1"/>
                <w:sz w:val="15"/>
                <w:szCs w:val="15"/>
              </w:rPr>
              <w:t>1.55</w:t>
            </w:r>
            <w:r w:rsidRPr="007B4794">
              <w:rPr>
                <w:rFonts w:ascii="Arial" w:eastAsia="华文细黑" w:hAnsi="Arial" w:cs="Arial" w:hint="eastAsia"/>
                <w:color w:val="000000" w:themeColor="text1"/>
                <w:sz w:val="15"/>
                <w:szCs w:val="15"/>
              </w:rPr>
              <w:t>万</w:t>
            </w:r>
            <w:r w:rsidRPr="007B4794">
              <w:rPr>
                <w:rFonts w:ascii="Arial" w:eastAsia="华文细黑" w:hAnsi="Arial" w:cs="Arial" w:hint="eastAsia"/>
                <w:color w:val="000000" w:themeColor="text1"/>
                <w:sz w:val="15"/>
                <w:szCs w:val="15"/>
              </w:rPr>
              <w:t>-1.65</w:t>
            </w:r>
            <w:r w:rsidRPr="007B4794">
              <w:rPr>
                <w:rFonts w:ascii="Arial" w:eastAsia="华文细黑" w:hAnsi="Arial" w:cs="Arial" w:hint="eastAsia"/>
                <w:color w:val="000000" w:themeColor="text1"/>
                <w:sz w:val="15"/>
                <w:szCs w:val="15"/>
              </w:rPr>
              <w:t>万</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w:t>
            </w:r>
          </w:p>
        </w:tc>
        <w:tc>
          <w:tcPr>
            <w:tcW w:w="1524" w:type="pct"/>
            <w:shd w:val="clear" w:color="auto" w:fill="auto"/>
            <w:vAlign w:val="center"/>
          </w:tcPr>
          <w:p w14:paraId="5EC17063"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销售均价含装修</w:t>
            </w:r>
            <w:r w:rsidRPr="007B4794">
              <w:rPr>
                <w:rFonts w:ascii="Arial" w:eastAsia="华文细黑" w:hAnsi="Arial" w:cs="Arial" w:hint="eastAsia"/>
                <w:color w:val="000000" w:themeColor="text1"/>
                <w:sz w:val="15"/>
                <w:szCs w:val="15"/>
              </w:rPr>
              <w:t>2.3</w:t>
            </w:r>
            <w:r w:rsidRPr="007B4794">
              <w:rPr>
                <w:rFonts w:ascii="Arial" w:eastAsia="华文细黑" w:hAnsi="Arial" w:cs="Arial" w:hint="eastAsia"/>
                <w:color w:val="000000" w:themeColor="text1"/>
                <w:sz w:val="15"/>
                <w:szCs w:val="15"/>
              </w:rPr>
              <w:t>万</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㎡，不含</w:t>
            </w:r>
            <w:r w:rsidRPr="007B4794">
              <w:rPr>
                <w:rFonts w:ascii="Arial" w:eastAsia="华文细黑" w:hAnsi="Arial" w:cs="Arial" w:hint="eastAsia"/>
                <w:color w:val="000000" w:themeColor="text1"/>
                <w:sz w:val="15"/>
                <w:szCs w:val="15"/>
              </w:rPr>
              <w:t>2.2</w:t>
            </w:r>
            <w:r w:rsidRPr="007B4794">
              <w:rPr>
                <w:rFonts w:ascii="Arial" w:eastAsia="华文细黑" w:hAnsi="Arial" w:cs="Arial" w:hint="eastAsia"/>
                <w:color w:val="000000" w:themeColor="text1"/>
                <w:sz w:val="15"/>
                <w:szCs w:val="15"/>
              </w:rPr>
              <w:t>万</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㎡；别墅</w:t>
            </w:r>
            <w:r w:rsidRPr="007B4794">
              <w:rPr>
                <w:rFonts w:ascii="Arial" w:eastAsia="华文细黑" w:hAnsi="Arial" w:cs="Arial" w:hint="eastAsia"/>
                <w:color w:val="000000" w:themeColor="text1"/>
                <w:sz w:val="15"/>
                <w:szCs w:val="15"/>
              </w:rPr>
              <w:t>5F</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350-550</w:t>
            </w:r>
            <w:r w:rsidRPr="007B4794">
              <w:rPr>
                <w:rFonts w:ascii="Arial" w:eastAsia="华文细黑" w:hAnsi="Arial" w:cs="Arial" w:hint="eastAsia"/>
                <w:color w:val="000000" w:themeColor="text1"/>
                <w:sz w:val="15"/>
                <w:szCs w:val="15"/>
              </w:rPr>
              <w:t>㎡，售价</w:t>
            </w:r>
            <w:r w:rsidRPr="007B4794">
              <w:rPr>
                <w:rFonts w:ascii="Arial" w:eastAsia="华文细黑" w:hAnsi="Arial" w:cs="Arial" w:hint="eastAsia"/>
                <w:color w:val="000000" w:themeColor="text1"/>
                <w:sz w:val="15"/>
                <w:szCs w:val="15"/>
              </w:rPr>
              <w:t>500-700</w:t>
            </w:r>
            <w:r w:rsidRPr="007B4794">
              <w:rPr>
                <w:rFonts w:ascii="Arial" w:eastAsia="华文细黑" w:hAnsi="Arial" w:cs="Arial" w:hint="eastAsia"/>
                <w:color w:val="000000" w:themeColor="text1"/>
                <w:sz w:val="15"/>
                <w:szCs w:val="15"/>
              </w:rPr>
              <w:t>万</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套</w:t>
            </w:r>
          </w:p>
        </w:tc>
        <w:tc>
          <w:tcPr>
            <w:tcW w:w="1530" w:type="pct"/>
            <w:vAlign w:val="center"/>
          </w:tcPr>
          <w:p w14:paraId="3E01637A"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对外报价</w:t>
            </w:r>
            <w:r w:rsidRPr="007B4794">
              <w:rPr>
                <w:rFonts w:ascii="Arial" w:eastAsia="华文细黑" w:hAnsi="Arial" w:cs="Arial" w:hint="eastAsia"/>
                <w:color w:val="000000" w:themeColor="text1"/>
                <w:sz w:val="15"/>
                <w:szCs w:val="15"/>
              </w:rPr>
              <w:t>1.2-1.3</w:t>
            </w:r>
            <w:r w:rsidRPr="007B4794">
              <w:rPr>
                <w:rFonts w:ascii="Arial" w:eastAsia="华文细黑" w:hAnsi="Arial" w:cs="Arial" w:hint="eastAsia"/>
                <w:color w:val="000000" w:themeColor="text1"/>
                <w:sz w:val="15"/>
                <w:szCs w:val="15"/>
              </w:rPr>
              <w:t>万</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w:t>
            </w:r>
          </w:p>
        </w:tc>
      </w:tr>
      <w:tr w:rsidR="00256CD0" w:rsidRPr="007B4794" w14:paraId="54CB8AEE" w14:textId="77777777" w:rsidTr="00432972">
        <w:trPr>
          <w:cantSplit/>
          <w:trHeight w:val="593"/>
          <w:jc w:val="center"/>
        </w:trPr>
        <w:tc>
          <w:tcPr>
            <w:tcW w:w="430" w:type="pct"/>
            <w:shd w:val="clear" w:color="000000" w:fill="C0C0C0"/>
            <w:vAlign w:val="center"/>
          </w:tcPr>
          <w:p w14:paraId="24D02043"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hint="eastAsia"/>
                <w:b/>
                <w:bCs/>
                <w:color w:val="000000" w:themeColor="text1"/>
                <w:sz w:val="15"/>
                <w:szCs w:val="15"/>
              </w:rPr>
              <w:t>商业销售情况（报价）</w:t>
            </w:r>
          </w:p>
        </w:tc>
        <w:tc>
          <w:tcPr>
            <w:tcW w:w="1516" w:type="pct"/>
            <w:shd w:val="clear" w:color="auto" w:fill="auto"/>
            <w:vAlign w:val="center"/>
          </w:tcPr>
          <w:p w14:paraId="5F72648F"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无在售</w:t>
            </w:r>
          </w:p>
        </w:tc>
        <w:tc>
          <w:tcPr>
            <w:tcW w:w="1524" w:type="pct"/>
            <w:shd w:val="clear" w:color="auto" w:fill="auto"/>
            <w:vAlign w:val="center"/>
          </w:tcPr>
          <w:p w14:paraId="4288A0F5"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无在售</w:t>
            </w:r>
          </w:p>
        </w:tc>
        <w:tc>
          <w:tcPr>
            <w:tcW w:w="1530" w:type="pct"/>
            <w:vAlign w:val="center"/>
          </w:tcPr>
          <w:p w14:paraId="0E93BD22"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无在售</w:t>
            </w:r>
          </w:p>
        </w:tc>
      </w:tr>
      <w:tr w:rsidR="00256CD0" w:rsidRPr="007B4794" w14:paraId="7171F50E" w14:textId="77777777" w:rsidTr="00432972">
        <w:trPr>
          <w:cantSplit/>
          <w:trHeight w:val="630"/>
          <w:jc w:val="center"/>
        </w:trPr>
        <w:tc>
          <w:tcPr>
            <w:tcW w:w="430" w:type="pct"/>
            <w:shd w:val="clear" w:color="000000" w:fill="C0C0C0"/>
            <w:vAlign w:val="center"/>
          </w:tcPr>
          <w:p w14:paraId="1F9DB48A"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hint="eastAsia"/>
                <w:b/>
                <w:bCs/>
                <w:color w:val="000000" w:themeColor="text1"/>
                <w:sz w:val="15"/>
                <w:szCs w:val="15"/>
              </w:rPr>
              <w:t>车库销售情况（报价）</w:t>
            </w:r>
          </w:p>
        </w:tc>
        <w:tc>
          <w:tcPr>
            <w:tcW w:w="1516" w:type="pct"/>
            <w:shd w:val="clear" w:color="auto" w:fill="auto"/>
            <w:vAlign w:val="center"/>
          </w:tcPr>
          <w:p w14:paraId="0023D114"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无在售</w:t>
            </w:r>
          </w:p>
        </w:tc>
        <w:tc>
          <w:tcPr>
            <w:tcW w:w="1524" w:type="pct"/>
            <w:shd w:val="clear" w:color="auto" w:fill="auto"/>
            <w:vAlign w:val="center"/>
          </w:tcPr>
          <w:p w14:paraId="79188F8E"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15</w:t>
            </w:r>
            <w:r w:rsidRPr="007B4794">
              <w:rPr>
                <w:rFonts w:ascii="Arial" w:eastAsia="华文细黑" w:hAnsi="Arial" w:cs="Arial" w:hint="eastAsia"/>
                <w:color w:val="000000" w:themeColor="text1"/>
                <w:sz w:val="15"/>
                <w:szCs w:val="15"/>
              </w:rPr>
              <w:t>万</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个，有产权</w:t>
            </w:r>
          </w:p>
        </w:tc>
        <w:tc>
          <w:tcPr>
            <w:tcW w:w="1530" w:type="pct"/>
            <w:vAlign w:val="center"/>
          </w:tcPr>
          <w:p w14:paraId="3E4829A2"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无在售</w:t>
            </w:r>
          </w:p>
        </w:tc>
      </w:tr>
      <w:tr w:rsidR="00256CD0" w:rsidRPr="007B4794" w14:paraId="26B930A4" w14:textId="77777777" w:rsidTr="00432972">
        <w:trPr>
          <w:cantSplit/>
          <w:trHeight w:val="283"/>
          <w:jc w:val="center"/>
        </w:trPr>
        <w:tc>
          <w:tcPr>
            <w:tcW w:w="430" w:type="pct"/>
            <w:tcBorders>
              <w:bottom w:val="single" w:sz="12" w:space="0" w:color="auto"/>
            </w:tcBorders>
            <w:shd w:val="clear" w:color="000000" w:fill="C0C0C0"/>
            <w:vAlign w:val="center"/>
            <w:hideMark/>
          </w:tcPr>
          <w:p w14:paraId="3BD305AF" w14:textId="77777777" w:rsidR="00256CD0" w:rsidRPr="007B4794" w:rsidRDefault="00256CD0" w:rsidP="00432972">
            <w:pPr>
              <w:jc w:val="both"/>
              <w:rPr>
                <w:rFonts w:ascii="Arial" w:eastAsia="华文细黑" w:hAnsi="Arial" w:cs="Arial"/>
                <w:b/>
                <w:bCs/>
                <w:color w:val="000000" w:themeColor="text1"/>
                <w:sz w:val="15"/>
                <w:szCs w:val="15"/>
              </w:rPr>
            </w:pPr>
            <w:r w:rsidRPr="007B4794">
              <w:rPr>
                <w:rFonts w:ascii="Arial" w:eastAsia="华文细黑" w:hAnsi="Arial" w:cs="Arial"/>
                <w:b/>
                <w:bCs/>
                <w:color w:val="000000" w:themeColor="text1"/>
                <w:sz w:val="15"/>
                <w:szCs w:val="15"/>
              </w:rPr>
              <w:t>去化情况</w:t>
            </w:r>
          </w:p>
        </w:tc>
        <w:tc>
          <w:tcPr>
            <w:tcW w:w="1516" w:type="pct"/>
            <w:tcBorders>
              <w:bottom w:val="single" w:sz="12" w:space="0" w:color="auto"/>
            </w:tcBorders>
            <w:shd w:val="clear" w:color="auto" w:fill="auto"/>
            <w:vAlign w:val="center"/>
          </w:tcPr>
          <w:p w14:paraId="298DDE1F"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分批次开盘，平均</w:t>
            </w:r>
            <w:r w:rsidRPr="007B4794">
              <w:rPr>
                <w:rFonts w:ascii="Arial" w:eastAsia="华文细黑" w:hAnsi="Arial" w:cs="Arial"/>
                <w:color w:val="000000" w:themeColor="text1"/>
                <w:sz w:val="15"/>
                <w:szCs w:val="15"/>
              </w:rPr>
              <w:t>月去化</w:t>
            </w:r>
            <w:r w:rsidRPr="007B4794">
              <w:rPr>
                <w:rFonts w:ascii="Arial" w:eastAsia="华文细黑" w:hAnsi="Arial" w:cs="Arial"/>
                <w:color w:val="000000" w:themeColor="text1"/>
                <w:sz w:val="15"/>
                <w:szCs w:val="15"/>
              </w:rPr>
              <w:t>80</w:t>
            </w:r>
            <w:r w:rsidRPr="007B4794">
              <w:rPr>
                <w:rFonts w:ascii="Arial" w:eastAsia="华文细黑" w:hAnsi="Arial" w:cs="Arial"/>
                <w:color w:val="000000" w:themeColor="text1"/>
                <w:sz w:val="15"/>
                <w:szCs w:val="15"/>
              </w:rPr>
              <w:t>套左右</w:t>
            </w:r>
            <w:r w:rsidRPr="007B4794">
              <w:rPr>
                <w:rFonts w:ascii="Arial" w:eastAsia="华文细黑" w:hAnsi="Arial" w:cs="Arial" w:hint="eastAsia"/>
                <w:color w:val="000000" w:themeColor="text1"/>
                <w:sz w:val="15"/>
                <w:szCs w:val="15"/>
              </w:rPr>
              <w:t>。</w:t>
            </w:r>
          </w:p>
        </w:tc>
        <w:tc>
          <w:tcPr>
            <w:tcW w:w="1524" w:type="pct"/>
            <w:tcBorders>
              <w:bottom w:val="single" w:sz="12" w:space="0" w:color="auto"/>
            </w:tcBorders>
            <w:shd w:val="clear" w:color="auto" w:fill="auto"/>
            <w:vAlign w:val="center"/>
          </w:tcPr>
          <w:p w14:paraId="428F130B"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分批次开盘，平均</w:t>
            </w:r>
            <w:r w:rsidRPr="007B4794">
              <w:rPr>
                <w:rFonts w:ascii="Arial" w:eastAsia="华文细黑" w:hAnsi="Arial" w:cs="Arial"/>
                <w:color w:val="000000" w:themeColor="text1"/>
                <w:sz w:val="15"/>
                <w:szCs w:val="15"/>
              </w:rPr>
              <w:t>月去化</w:t>
            </w:r>
            <w:r w:rsidRPr="007B4794">
              <w:rPr>
                <w:rFonts w:ascii="Arial" w:eastAsia="华文细黑" w:hAnsi="Arial" w:cs="Arial"/>
                <w:color w:val="000000" w:themeColor="text1"/>
                <w:sz w:val="15"/>
                <w:szCs w:val="15"/>
              </w:rPr>
              <w:t>40</w:t>
            </w:r>
            <w:r w:rsidRPr="007B4794">
              <w:rPr>
                <w:rFonts w:ascii="Arial" w:eastAsia="华文细黑" w:hAnsi="Arial" w:cs="Arial"/>
                <w:color w:val="000000" w:themeColor="text1"/>
                <w:sz w:val="15"/>
                <w:szCs w:val="15"/>
              </w:rPr>
              <w:t>套左右</w:t>
            </w:r>
            <w:r w:rsidRPr="007B4794">
              <w:rPr>
                <w:rFonts w:ascii="Arial" w:eastAsia="华文细黑" w:hAnsi="Arial" w:cs="Arial" w:hint="eastAsia"/>
                <w:color w:val="000000" w:themeColor="text1"/>
                <w:sz w:val="15"/>
                <w:szCs w:val="15"/>
              </w:rPr>
              <w:t>.</w:t>
            </w:r>
          </w:p>
        </w:tc>
        <w:tc>
          <w:tcPr>
            <w:tcW w:w="1530" w:type="pct"/>
            <w:tcBorders>
              <w:bottom w:val="single" w:sz="12" w:space="0" w:color="auto"/>
            </w:tcBorders>
            <w:vAlign w:val="center"/>
          </w:tcPr>
          <w:p w14:paraId="05DA674A" w14:textId="77777777" w:rsidR="00256CD0" w:rsidRPr="007B4794" w:rsidRDefault="00256CD0" w:rsidP="00432972">
            <w:pPr>
              <w:jc w:val="both"/>
              <w:rPr>
                <w:rFonts w:ascii="Arial" w:eastAsia="华文细黑" w:hAnsi="Arial" w:cs="Arial"/>
                <w:color w:val="000000" w:themeColor="text1"/>
                <w:sz w:val="15"/>
                <w:szCs w:val="15"/>
              </w:rPr>
            </w:pPr>
            <w:r w:rsidRPr="007B4794">
              <w:rPr>
                <w:rFonts w:ascii="Arial" w:eastAsia="华文细黑" w:hAnsi="Arial" w:cs="Arial" w:hint="eastAsia"/>
                <w:color w:val="000000" w:themeColor="text1"/>
                <w:sz w:val="15"/>
                <w:szCs w:val="15"/>
              </w:rPr>
              <w:t>分批次开盘，已上市去化约</w:t>
            </w:r>
            <w:r w:rsidRPr="007B4794">
              <w:rPr>
                <w:rFonts w:ascii="Arial" w:eastAsia="华文细黑" w:hAnsi="Arial" w:cs="Arial"/>
                <w:color w:val="000000" w:themeColor="text1"/>
                <w:sz w:val="15"/>
                <w:szCs w:val="15"/>
              </w:rPr>
              <w:t>94</w:t>
            </w:r>
            <w:r w:rsidRPr="007B4794">
              <w:rPr>
                <w:rFonts w:ascii="Arial" w:eastAsia="华文细黑" w:hAnsi="Arial" w:cs="Arial" w:hint="eastAsia"/>
                <w:color w:val="000000" w:themeColor="text1"/>
                <w:sz w:val="15"/>
                <w:szCs w:val="15"/>
              </w:rPr>
              <w:t>%</w:t>
            </w:r>
            <w:r w:rsidRPr="007B4794">
              <w:rPr>
                <w:rFonts w:ascii="Arial" w:eastAsia="华文细黑" w:hAnsi="Arial" w:cs="Arial" w:hint="eastAsia"/>
                <w:color w:val="000000" w:themeColor="text1"/>
                <w:sz w:val="15"/>
                <w:szCs w:val="15"/>
              </w:rPr>
              <w:t>。</w:t>
            </w:r>
          </w:p>
        </w:tc>
      </w:tr>
    </w:tbl>
    <w:p w14:paraId="298BC43E" w14:textId="77777777" w:rsidR="00256CD0" w:rsidRPr="007B4794" w:rsidRDefault="00256CD0" w:rsidP="00256CD0">
      <w:pPr>
        <w:spacing w:line="360" w:lineRule="auto"/>
        <w:rPr>
          <w:rFonts w:ascii="华文细黑" w:eastAsia="华文细黑" w:hAnsi="华文细黑" w:cs="Arial"/>
          <w:color w:val="000000" w:themeColor="text1"/>
          <w:sz w:val="15"/>
          <w:szCs w:val="15"/>
        </w:rPr>
      </w:pPr>
      <w:r w:rsidRPr="007B4794">
        <w:rPr>
          <w:rFonts w:ascii="华文细黑" w:eastAsia="华文细黑" w:hAnsi="华文细黑" w:cs="Arial" w:hint="eastAsia"/>
          <w:color w:val="000000" w:themeColor="text1"/>
          <w:sz w:val="15"/>
          <w:szCs w:val="15"/>
        </w:rPr>
        <w:t>资料来源：市场调研资料</w:t>
      </w:r>
    </w:p>
    <w:p w14:paraId="71F44EFE" w14:textId="77777777" w:rsidR="00256CD0" w:rsidRPr="007B4794" w:rsidRDefault="00256CD0" w:rsidP="00256CD0">
      <w:pPr>
        <w:rPr>
          <w:rFonts w:ascii="华文细黑" w:eastAsia="华文细黑" w:hAnsi="华文细黑" w:cs="Arial"/>
          <w:color w:val="000000" w:themeColor="text1"/>
          <w:sz w:val="15"/>
          <w:szCs w:val="15"/>
        </w:rPr>
      </w:pPr>
    </w:p>
    <w:p w14:paraId="33D75DCA" w14:textId="77777777" w:rsidR="00A818A7" w:rsidRPr="007B4794" w:rsidRDefault="00A818A7" w:rsidP="001D4EE3">
      <w:pPr>
        <w:rPr>
          <w:rFonts w:ascii="华文细黑" w:eastAsia="华文细黑" w:hAnsi="华文细黑" w:cs="Arial"/>
          <w:color w:val="000000" w:themeColor="text1"/>
          <w:sz w:val="15"/>
          <w:szCs w:val="15"/>
        </w:rPr>
      </w:pPr>
    </w:p>
    <w:p w14:paraId="6835E659" w14:textId="77777777" w:rsidR="00A818A7" w:rsidRPr="007B4794" w:rsidRDefault="00A818A7" w:rsidP="001D4EE3">
      <w:pPr>
        <w:rPr>
          <w:rFonts w:ascii="华文细黑" w:eastAsia="华文细黑" w:hAnsi="华文细黑" w:cs="Arial"/>
          <w:color w:val="000000" w:themeColor="text1"/>
          <w:sz w:val="15"/>
          <w:szCs w:val="15"/>
        </w:rPr>
        <w:sectPr w:rsidR="00A818A7" w:rsidRPr="007B4794" w:rsidSect="00AE01CB">
          <w:pgSz w:w="11906" w:h="16838" w:code="9"/>
          <w:pgMar w:top="1134" w:right="1134" w:bottom="1134" w:left="1304" w:header="1134" w:footer="907" w:gutter="0"/>
          <w:cols w:space="425"/>
          <w:titlePg/>
          <w:docGrid w:linePitch="326"/>
        </w:sectPr>
      </w:pPr>
    </w:p>
    <w:p w14:paraId="76D2C79C" w14:textId="2B8100AB" w:rsidR="007D16C4" w:rsidRPr="007B4794" w:rsidRDefault="00F4397F" w:rsidP="00F4397F">
      <w:pPr>
        <w:pStyle w:val="1"/>
        <w:spacing w:before="240"/>
        <w:rPr>
          <w:rFonts w:ascii="Arial" w:eastAsia="方正黑体简体" w:hAnsi="Arial" w:cs="Arial"/>
          <w:b w:val="0"/>
          <w:bCs/>
          <w:color w:val="000000" w:themeColor="text1"/>
          <w:sz w:val="32"/>
          <w:szCs w:val="32"/>
        </w:rPr>
      </w:pPr>
      <w:bookmarkStart w:id="77" w:name="_Toc54016599"/>
      <w:bookmarkEnd w:id="12"/>
      <w:r w:rsidRPr="007B4794">
        <w:rPr>
          <w:rFonts w:ascii="Arial" w:eastAsia="方正黑体简体" w:hAnsi="Arial" w:cs="Arial"/>
          <w:b w:val="0"/>
          <w:bCs/>
          <w:color w:val="000000" w:themeColor="text1"/>
          <w:sz w:val="32"/>
          <w:szCs w:val="32"/>
        </w:rPr>
        <w:lastRenderedPageBreak/>
        <w:t>第</w:t>
      </w:r>
      <w:r w:rsidRPr="007B4794">
        <w:rPr>
          <w:rFonts w:ascii="Arial" w:eastAsia="方正黑体简体" w:hAnsi="Arial" w:cs="Arial" w:hint="eastAsia"/>
          <w:b w:val="0"/>
          <w:bCs/>
          <w:color w:val="000000" w:themeColor="text1"/>
          <w:sz w:val="32"/>
          <w:szCs w:val="32"/>
        </w:rPr>
        <w:t>五</w:t>
      </w:r>
      <w:r w:rsidRPr="007B4794">
        <w:rPr>
          <w:rFonts w:ascii="Arial" w:eastAsia="方正黑体简体" w:hAnsi="Arial" w:cs="Arial"/>
          <w:b w:val="0"/>
          <w:bCs/>
          <w:color w:val="000000" w:themeColor="text1"/>
          <w:sz w:val="32"/>
          <w:szCs w:val="32"/>
        </w:rPr>
        <w:t>章</w:t>
      </w:r>
      <w:r w:rsidRPr="007B4794">
        <w:rPr>
          <w:rFonts w:ascii="Arial" w:eastAsia="方正黑体简体" w:hAnsi="Arial" w:cs="Arial"/>
          <w:b w:val="0"/>
          <w:bCs/>
          <w:color w:val="000000" w:themeColor="text1"/>
          <w:sz w:val="32"/>
          <w:szCs w:val="32"/>
        </w:rPr>
        <w:t xml:space="preserve">  </w:t>
      </w:r>
      <w:r w:rsidRPr="007B4794">
        <w:rPr>
          <w:rFonts w:ascii="Arial" w:eastAsia="方正黑体简体" w:hAnsi="Arial" w:cs="Arial"/>
          <w:b w:val="0"/>
          <w:bCs/>
          <w:color w:val="000000" w:themeColor="text1"/>
          <w:sz w:val="32"/>
          <w:szCs w:val="32"/>
        </w:rPr>
        <w:t>项目市场竞争能力分析</w:t>
      </w:r>
      <w:bookmarkEnd w:id="77"/>
    </w:p>
    <w:p w14:paraId="0232C801" w14:textId="589A59A3" w:rsidR="006C78DE" w:rsidRPr="007B4794" w:rsidRDefault="006C78DE" w:rsidP="006C78DE">
      <w:pPr>
        <w:pStyle w:val="2"/>
        <w:snapToGrid w:val="0"/>
        <w:spacing w:before="0" w:after="0" w:line="480" w:lineRule="auto"/>
        <w:ind w:firstLineChars="98" w:firstLine="207"/>
        <w:jc w:val="both"/>
        <w:rPr>
          <w:rFonts w:eastAsia="宋体" w:cs="Arial"/>
          <w:color w:val="000000" w:themeColor="text1"/>
          <w:sz w:val="21"/>
          <w:szCs w:val="21"/>
        </w:rPr>
      </w:pPr>
      <w:bookmarkStart w:id="78" w:name="_Toc54016600"/>
      <w:r w:rsidRPr="007B4794">
        <w:rPr>
          <w:rFonts w:eastAsia="宋体" w:cs="Arial" w:hint="eastAsia"/>
          <w:color w:val="000000" w:themeColor="text1"/>
          <w:sz w:val="21"/>
          <w:szCs w:val="21"/>
        </w:rPr>
        <w:t>一</w:t>
      </w:r>
      <w:r w:rsidR="00D610E4" w:rsidRPr="007B4794">
        <w:rPr>
          <w:rFonts w:eastAsia="宋体" w:cs="Arial" w:hint="eastAsia"/>
          <w:color w:val="000000" w:themeColor="text1"/>
          <w:sz w:val="21"/>
          <w:szCs w:val="21"/>
        </w:rPr>
        <w:t>、</w:t>
      </w:r>
      <w:r w:rsidRPr="007B4794">
        <w:rPr>
          <w:rFonts w:eastAsia="宋体" w:cs="Arial" w:hint="eastAsia"/>
          <w:color w:val="000000" w:themeColor="text1"/>
          <w:sz w:val="21"/>
          <w:szCs w:val="21"/>
        </w:rPr>
        <w:t>项目区位分析</w:t>
      </w:r>
      <w:bookmarkEnd w:id="78"/>
    </w:p>
    <w:p w14:paraId="0F037578" w14:textId="2DE0EF69" w:rsidR="006C78DE" w:rsidRPr="007B4794" w:rsidRDefault="00581C42" w:rsidP="00024B5D">
      <w:pPr>
        <w:widowControl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（一）</w:t>
      </w:r>
      <w:r w:rsidR="00024B5D" w:rsidRPr="007B4794">
        <w:rPr>
          <w:rFonts w:ascii="Arial" w:hAnsi="Arial" w:cs="Arial" w:hint="eastAsia"/>
          <w:color w:val="000000" w:themeColor="text1"/>
          <w:sz w:val="21"/>
          <w:szCs w:val="21"/>
        </w:rPr>
        <w:t>项目区位</w:t>
      </w:r>
    </w:p>
    <w:p w14:paraId="6ED18527" w14:textId="4AAB0A4C" w:rsidR="00AE01CB" w:rsidRPr="007B4794" w:rsidRDefault="00445247"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调研对象位于</w:t>
      </w:r>
      <w:r w:rsidRPr="007B4794">
        <w:rPr>
          <w:rFonts w:ascii="Arial" w:hAnsi="Arial" w:cs="Arial" w:hint="eastAsia"/>
          <w:color w:val="000000" w:themeColor="text1"/>
          <w:sz w:val="21"/>
          <w:szCs w:val="21"/>
        </w:rPr>
        <w:t>福建省漳州市台商投资区湖中路以北</w:t>
      </w:r>
      <w:r w:rsidR="005B7AC2"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锦江大道以东</w:t>
      </w:r>
      <w:r w:rsidRPr="007B4794">
        <w:rPr>
          <w:rFonts w:ascii="Arial" w:hAnsi="Arial" w:cs="Arial"/>
          <w:color w:val="000000" w:themeColor="text1"/>
          <w:sz w:val="21"/>
          <w:szCs w:val="21"/>
        </w:rPr>
        <w:t>，项目</w:t>
      </w:r>
      <w:r w:rsidRPr="007B4794">
        <w:rPr>
          <w:rFonts w:ascii="Arial" w:hAnsi="Arial" w:cs="Arial" w:hint="eastAsia"/>
          <w:color w:val="000000" w:themeColor="text1"/>
          <w:sz w:val="21"/>
          <w:szCs w:val="21"/>
        </w:rPr>
        <w:t>北至</w:t>
      </w:r>
      <w:r w:rsidRPr="007B4794">
        <w:rPr>
          <w:rFonts w:ascii="Arial" w:hAnsi="Arial" w:cs="Arial"/>
          <w:color w:val="000000" w:themeColor="text1"/>
          <w:sz w:val="21"/>
          <w:szCs w:val="21"/>
        </w:rPr>
        <w:t>悦鹭云镜地块</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南</w:t>
      </w:r>
      <w:r w:rsidRPr="007B4794">
        <w:rPr>
          <w:rFonts w:ascii="Arial" w:hAnsi="Arial" w:cs="Arial" w:hint="eastAsia"/>
          <w:color w:val="000000" w:themeColor="text1"/>
          <w:sz w:val="21"/>
          <w:szCs w:val="21"/>
        </w:rPr>
        <w:t>至</w:t>
      </w:r>
      <w:r w:rsidRPr="007B4794">
        <w:rPr>
          <w:rFonts w:ascii="Arial" w:hAnsi="Arial" w:cs="Arial"/>
          <w:color w:val="000000" w:themeColor="text1"/>
          <w:sz w:val="21"/>
          <w:szCs w:val="21"/>
        </w:rPr>
        <w:t>第三实验小学</w:t>
      </w:r>
      <w:r w:rsidRPr="007B4794">
        <w:rPr>
          <w:rFonts w:ascii="Arial" w:hAnsi="Arial" w:cs="Arial" w:hint="eastAsia"/>
          <w:color w:val="000000" w:themeColor="text1"/>
          <w:sz w:val="21"/>
          <w:szCs w:val="21"/>
        </w:rPr>
        <w:t>、西至</w:t>
      </w:r>
      <w:r w:rsidRPr="007B4794">
        <w:rPr>
          <w:rFonts w:ascii="Arial" w:hAnsi="Arial" w:cs="Arial"/>
          <w:color w:val="000000" w:themeColor="text1"/>
          <w:sz w:val="21"/>
          <w:szCs w:val="21"/>
        </w:rPr>
        <w:t>临锦江大道</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东</w:t>
      </w:r>
      <w:r w:rsidRPr="007B4794">
        <w:rPr>
          <w:rFonts w:ascii="Arial" w:hAnsi="Arial" w:cs="Arial" w:hint="eastAsia"/>
          <w:color w:val="000000" w:themeColor="text1"/>
          <w:sz w:val="21"/>
          <w:szCs w:val="21"/>
        </w:rPr>
        <w:t>至</w:t>
      </w:r>
      <w:r w:rsidRPr="007B4794">
        <w:rPr>
          <w:rFonts w:ascii="Arial" w:hAnsi="Arial" w:cs="Arial"/>
          <w:color w:val="000000" w:themeColor="text1"/>
          <w:sz w:val="21"/>
          <w:szCs w:val="21"/>
        </w:rPr>
        <w:t>紧邻山水大道及龟山站</w:t>
      </w:r>
      <w:r w:rsidR="00AE01CB" w:rsidRPr="007B4794">
        <w:rPr>
          <w:rFonts w:ascii="Arial" w:hAnsi="Arial" w:cs="Arial" w:hint="eastAsia"/>
          <w:color w:val="000000" w:themeColor="text1"/>
          <w:sz w:val="21"/>
          <w:szCs w:val="21"/>
        </w:rPr>
        <w:t>。</w:t>
      </w:r>
      <w:r w:rsidRPr="007B4794">
        <w:rPr>
          <w:rFonts w:cs="Arial" w:hint="eastAsia"/>
          <w:color w:val="000000" w:themeColor="text1"/>
          <w:sz w:val="21"/>
          <w:szCs w:val="21"/>
        </w:rPr>
        <w:t>项目位于</w:t>
      </w:r>
      <w:r w:rsidR="00432972" w:rsidRPr="007B4794">
        <w:rPr>
          <w:rFonts w:ascii="Arial" w:hAnsi="Arial" w:cs="Arial" w:hint="eastAsia"/>
          <w:color w:val="000000" w:themeColor="text1"/>
          <w:sz w:val="21"/>
          <w:szCs w:val="21"/>
        </w:rPr>
        <w:t>台商投资区</w:t>
      </w:r>
      <w:r w:rsidRPr="007B4794">
        <w:rPr>
          <w:rFonts w:cs="Arial" w:hint="eastAsia"/>
          <w:color w:val="000000" w:themeColor="text1"/>
          <w:sz w:val="21"/>
          <w:szCs w:val="21"/>
        </w:rPr>
        <w:t>角美镇核心镇区，东北</w:t>
      </w:r>
      <w:r w:rsidRPr="007B4794">
        <w:rPr>
          <w:rFonts w:ascii="Arial" w:hAnsi="Arial" w:cs="Arial"/>
          <w:color w:val="000000" w:themeColor="text1"/>
          <w:sz w:val="21"/>
          <w:szCs w:val="21"/>
        </w:rPr>
        <w:t>距</w:t>
      </w:r>
      <w:r w:rsidRPr="007B4794">
        <w:rPr>
          <w:rFonts w:ascii="Arial" w:hAnsi="Arial" w:cs="Arial" w:hint="eastAsia"/>
          <w:color w:val="000000" w:themeColor="text1"/>
          <w:sz w:val="21"/>
          <w:szCs w:val="21"/>
        </w:rPr>
        <w:t>角美镇政府约</w:t>
      </w:r>
      <w:r w:rsidRPr="007B4794">
        <w:rPr>
          <w:rFonts w:ascii="Arial" w:hAnsi="Arial" w:cs="Arial" w:hint="eastAsia"/>
          <w:color w:val="000000" w:themeColor="text1"/>
          <w:sz w:val="21"/>
          <w:szCs w:val="21"/>
        </w:rPr>
        <w:t>2</w:t>
      </w:r>
      <w:r w:rsidRPr="007B4794">
        <w:rPr>
          <w:rFonts w:ascii="Arial" w:hAnsi="Arial" w:cs="Arial" w:hint="eastAsia"/>
          <w:color w:val="000000" w:themeColor="text1"/>
          <w:sz w:val="21"/>
          <w:szCs w:val="21"/>
        </w:rPr>
        <w:t>公里，北距角美</w:t>
      </w:r>
      <w:r w:rsidRPr="007B4794">
        <w:rPr>
          <w:rFonts w:ascii="Arial" w:hAnsi="Arial" w:cs="Arial"/>
          <w:color w:val="000000" w:themeColor="text1"/>
          <w:sz w:val="21"/>
          <w:szCs w:val="21"/>
        </w:rPr>
        <w:t>站</w:t>
      </w:r>
      <w:r w:rsidRPr="007B4794">
        <w:rPr>
          <w:rFonts w:ascii="Arial" w:hAnsi="Arial" w:cs="Arial" w:hint="eastAsia"/>
          <w:color w:val="000000" w:themeColor="text1"/>
          <w:sz w:val="21"/>
          <w:szCs w:val="21"/>
        </w:rPr>
        <w:t>约</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公里，</w:t>
      </w:r>
      <w:r w:rsidRPr="007B4794">
        <w:rPr>
          <w:rFonts w:ascii="Arial" w:hAnsi="Arial" w:cs="Arial" w:hint="eastAsia"/>
          <w:color w:val="000000" w:themeColor="text1"/>
          <w:sz w:val="21"/>
          <w:szCs w:val="21"/>
        </w:rPr>
        <w:t>距离厦门高崎</w:t>
      </w:r>
      <w:r w:rsidRPr="007B4794">
        <w:rPr>
          <w:rFonts w:ascii="Arial" w:hAnsi="Arial" w:cs="Arial"/>
          <w:color w:val="000000" w:themeColor="text1"/>
          <w:sz w:val="21"/>
          <w:szCs w:val="21"/>
        </w:rPr>
        <w:t>机场</w:t>
      </w:r>
      <w:r w:rsidRPr="007B4794">
        <w:rPr>
          <w:rFonts w:ascii="Arial" w:hAnsi="Arial" w:cs="Arial" w:hint="eastAsia"/>
          <w:color w:val="000000" w:themeColor="text1"/>
          <w:sz w:val="21"/>
          <w:szCs w:val="21"/>
        </w:rPr>
        <w:t>24.5</w:t>
      </w:r>
      <w:r w:rsidRPr="007B4794">
        <w:rPr>
          <w:rFonts w:ascii="Arial" w:hAnsi="Arial" w:cs="Arial"/>
          <w:color w:val="000000" w:themeColor="text1"/>
          <w:sz w:val="21"/>
          <w:szCs w:val="21"/>
        </w:rPr>
        <w:t>公里</w:t>
      </w:r>
      <w:r w:rsidR="00AE01CB" w:rsidRPr="007B4794">
        <w:rPr>
          <w:rFonts w:ascii="Arial" w:hAnsi="Arial" w:cs="Arial" w:hint="eastAsia"/>
          <w:color w:val="000000" w:themeColor="text1"/>
          <w:sz w:val="21"/>
          <w:szCs w:val="21"/>
        </w:rPr>
        <w:t>。</w:t>
      </w:r>
    </w:p>
    <w:p w14:paraId="697D5CC1" w14:textId="6828770F" w:rsidR="00024B5D" w:rsidRPr="007B4794" w:rsidRDefault="00581C42" w:rsidP="00024B5D">
      <w:pPr>
        <w:widowControl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（二）</w:t>
      </w:r>
      <w:r w:rsidR="00024B5D" w:rsidRPr="007B4794">
        <w:rPr>
          <w:rFonts w:ascii="Arial" w:hAnsi="Arial" w:cs="Arial" w:hint="eastAsia"/>
          <w:color w:val="000000" w:themeColor="text1"/>
          <w:sz w:val="21"/>
          <w:szCs w:val="21"/>
        </w:rPr>
        <w:t>交通条件</w:t>
      </w:r>
    </w:p>
    <w:p w14:paraId="19718927" w14:textId="59DD2227" w:rsidR="00AE01CB" w:rsidRPr="007B4794" w:rsidRDefault="003303BE" w:rsidP="00AE01CB">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cs="Arial" w:hint="eastAsia"/>
          <w:color w:val="000000" w:themeColor="text1"/>
          <w:sz w:val="21"/>
          <w:szCs w:val="21"/>
        </w:rPr>
        <w:t>调研对象周边道路系统完备，整体道路环境较好，</w:t>
      </w:r>
      <w:r w:rsidR="00AE01CB" w:rsidRPr="007B4794">
        <w:rPr>
          <w:rFonts w:ascii="Arial" w:hAnsi="Arial" w:cs="Arial" w:hint="eastAsia"/>
          <w:color w:val="000000" w:themeColor="text1"/>
          <w:sz w:val="21"/>
          <w:szCs w:val="21"/>
        </w:rPr>
        <w:t>项目周边</w:t>
      </w:r>
      <w:r w:rsidR="00AE01CB" w:rsidRPr="007B4794">
        <w:rPr>
          <w:rFonts w:ascii="Arial" w:hAnsi="Arial" w:cs="Arial"/>
          <w:color w:val="000000" w:themeColor="text1"/>
          <w:sz w:val="21"/>
          <w:szCs w:val="21"/>
        </w:rPr>
        <w:t>有</w:t>
      </w:r>
      <w:r w:rsidR="00445247" w:rsidRPr="007B4794">
        <w:rPr>
          <w:rFonts w:ascii="Arial" w:hAnsi="Arial" w:cs="Arial" w:hint="eastAsia"/>
          <w:color w:val="000000" w:themeColor="text1"/>
          <w:sz w:val="21"/>
          <w:szCs w:val="21"/>
        </w:rPr>
        <w:t>厦蓉高速、角海路、沈海高速、角江路</w:t>
      </w:r>
      <w:r w:rsidR="00AE01CB" w:rsidRPr="007B4794">
        <w:rPr>
          <w:rFonts w:ascii="Arial" w:hAnsi="Arial" w:cs="Arial" w:hint="eastAsia"/>
          <w:color w:val="000000" w:themeColor="text1"/>
          <w:sz w:val="21"/>
          <w:szCs w:val="21"/>
        </w:rPr>
        <w:t>等主干道及快速路，路网密集，行车出入便捷，周边有多条公共交通线路，</w:t>
      </w:r>
      <w:r w:rsidR="00445247" w:rsidRPr="007B4794">
        <w:rPr>
          <w:rFonts w:ascii="Arial" w:hAnsi="Arial" w:cs="Arial"/>
          <w:color w:val="000000" w:themeColor="text1"/>
          <w:sz w:val="21"/>
          <w:szCs w:val="21"/>
        </w:rPr>
        <w:t>距在建地铁</w:t>
      </w:r>
      <w:r w:rsidR="00445247" w:rsidRPr="007B4794">
        <w:rPr>
          <w:rFonts w:ascii="Arial" w:hAnsi="Arial" w:cs="Arial" w:hint="eastAsia"/>
          <w:color w:val="000000" w:themeColor="text1"/>
          <w:sz w:val="21"/>
          <w:szCs w:val="21"/>
        </w:rPr>
        <w:t>6</w:t>
      </w:r>
      <w:r w:rsidR="00445247" w:rsidRPr="007B4794">
        <w:rPr>
          <w:rFonts w:ascii="Arial" w:hAnsi="Arial" w:cs="Arial"/>
          <w:color w:val="000000" w:themeColor="text1"/>
          <w:sz w:val="21"/>
          <w:szCs w:val="21"/>
        </w:rPr>
        <w:t>号线</w:t>
      </w:r>
      <w:r w:rsidR="00445247" w:rsidRPr="007B4794">
        <w:rPr>
          <w:rFonts w:ascii="Arial" w:hAnsi="Arial" w:cs="Arial" w:hint="eastAsia"/>
          <w:color w:val="000000" w:themeColor="text1"/>
          <w:sz w:val="21"/>
          <w:szCs w:val="21"/>
        </w:rPr>
        <w:t>延伸线龟山站</w:t>
      </w:r>
      <w:r w:rsidR="00445247" w:rsidRPr="007B4794">
        <w:rPr>
          <w:rFonts w:ascii="Arial" w:hAnsi="Arial" w:cs="Arial"/>
          <w:color w:val="000000" w:themeColor="text1"/>
          <w:sz w:val="21"/>
          <w:szCs w:val="21"/>
        </w:rPr>
        <w:t>约</w:t>
      </w:r>
      <w:r w:rsidR="00445247" w:rsidRPr="007B4794">
        <w:rPr>
          <w:rFonts w:ascii="Arial" w:hAnsi="Arial" w:cs="Arial" w:hint="eastAsia"/>
          <w:color w:val="000000" w:themeColor="text1"/>
          <w:sz w:val="21"/>
          <w:szCs w:val="21"/>
        </w:rPr>
        <w:t>300</w:t>
      </w:r>
      <w:r w:rsidR="00445247" w:rsidRPr="007B4794">
        <w:rPr>
          <w:rFonts w:ascii="Arial" w:hAnsi="Arial" w:cs="Arial" w:hint="eastAsia"/>
          <w:color w:val="000000" w:themeColor="text1"/>
          <w:sz w:val="21"/>
          <w:szCs w:val="21"/>
        </w:rPr>
        <w:t>米</w:t>
      </w:r>
      <w:r w:rsidR="00AE01CB" w:rsidRPr="007B4794">
        <w:rPr>
          <w:rFonts w:ascii="Arial" w:hAnsi="Arial" w:cs="Arial" w:hint="eastAsia"/>
          <w:color w:val="000000" w:themeColor="text1"/>
          <w:sz w:val="21"/>
          <w:szCs w:val="21"/>
        </w:rPr>
        <w:t>。</w:t>
      </w:r>
    </w:p>
    <w:p w14:paraId="6E46DAC5" w14:textId="26A81670" w:rsidR="00024B5D" w:rsidRPr="007B4794" w:rsidRDefault="00581C42" w:rsidP="00024B5D">
      <w:pPr>
        <w:widowControl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（三）</w:t>
      </w:r>
      <w:r w:rsidR="00024B5D" w:rsidRPr="007B4794">
        <w:rPr>
          <w:rFonts w:ascii="Arial" w:hAnsi="Arial" w:cs="Arial" w:hint="eastAsia"/>
          <w:color w:val="000000" w:themeColor="text1"/>
          <w:sz w:val="21"/>
          <w:szCs w:val="21"/>
        </w:rPr>
        <w:t>配套资源</w:t>
      </w:r>
    </w:p>
    <w:p w14:paraId="03912B2E" w14:textId="34E3783F" w:rsidR="00AE01CB" w:rsidRPr="007B4794" w:rsidRDefault="00AE01CB" w:rsidP="00AE01CB">
      <w:pPr>
        <w:spacing w:line="480" w:lineRule="auto"/>
        <w:ind w:firstLineChars="200" w:firstLine="420"/>
        <w:rPr>
          <w:rFonts w:ascii="Arial" w:hAnsi="Arial" w:cs="Arial"/>
          <w:color w:val="000000" w:themeColor="text1"/>
          <w:sz w:val="21"/>
          <w:szCs w:val="21"/>
        </w:rPr>
      </w:pPr>
      <w:r w:rsidRPr="007B4794">
        <w:rPr>
          <w:rFonts w:ascii="Arial" w:hAnsi="Arial" w:cs="Arial"/>
          <w:color w:val="000000" w:themeColor="text1"/>
          <w:sz w:val="21"/>
          <w:szCs w:val="21"/>
        </w:rPr>
        <w:t>商业：</w:t>
      </w:r>
      <w:r w:rsidR="00445247" w:rsidRPr="007B4794">
        <w:rPr>
          <w:rFonts w:ascii="Arial" w:hAnsi="Arial" w:cs="Arial" w:hint="eastAsia"/>
          <w:color w:val="000000" w:themeColor="text1"/>
          <w:sz w:val="21"/>
          <w:szCs w:val="21"/>
        </w:rPr>
        <w:t>项目南距离万达广场（角美店）约</w:t>
      </w:r>
      <w:r w:rsidR="00445247" w:rsidRPr="007B4794">
        <w:rPr>
          <w:rFonts w:ascii="Arial" w:hAnsi="Arial" w:cs="Arial" w:hint="eastAsia"/>
          <w:color w:val="000000" w:themeColor="text1"/>
          <w:sz w:val="21"/>
          <w:szCs w:val="21"/>
        </w:rPr>
        <w:t>600</w:t>
      </w:r>
      <w:r w:rsidR="00445247" w:rsidRPr="007B4794">
        <w:rPr>
          <w:rFonts w:ascii="Arial" w:hAnsi="Arial" w:cs="Arial" w:hint="eastAsia"/>
          <w:color w:val="000000" w:themeColor="text1"/>
          <w:sz w:val="21"/>
          <w:szCs w:val="21"/>
        </w:rPr>
        <w:t>米，周边已建成居住项目社区配套商业等</w:t>
      </w:r>
      <w:r w:rsidRPr="007B4794">
        <w:rPr>
          <w:rFonts w:ascii="Arial" w:hAnsi="Arial" w:cs="Arial"/>
          <w:color w:val="000000" w:themeColor="text1"/>
          <w:sz w:val="21"/>
          <w:szCs w:val="21"/>
        </w:rPr>
        <w:t>。</w:t>
      </w:r>
    </w:p>
    <w:p w14:paraId="7332353C" w14:textId="2D3A5F51" w:rsidR="00AE01CB" w:rsidRPr="007B4794" w:rsidRDefault="00AE01CB" w:rsidP="00AE01CB">
      <w:pPr>
        <w:spacing w:line="480" w:lineRule="auto"/>
        <w:ind w:firstLineChars="200" w:firstLine="420"/>
        <w:rPr>
          <w:rFonts w:ascii="Arial" w:hAnsi="Arial" w:cs="Arial"/>
          <w:color w:val="000000" w:themeColor="text1"/>
          <w:sz w:val="21"/>
          <w:szCs w:val="21"/>
        </w:rPr>
      </w:pPr>
      <w:r w:rsidRPr="007B4794">
        <w:rPr>
          <w:rFonts w:ascii="Arial" w:hAnsi="Arial" w:cs="Arial"/>
          <w:color w:val="000000" w:themeColor="text1"/>
          <w:sz w:val="21"/>
          <w:szCs w:val="21"/>
        </w:rPr>
        <w:t>学校：</w:t>
      </w:r>
      <w:r w:rsidR="00445247" w:rsidRPr="007B4794">
        <w:rPr>
          <w:rFonts w:ascii="Arial" w:hAnsi="Arial" w:cs="Arial" w:hint="eastAsia"/>
          <w:color w:val="000000" w:themeColor="text1"/>
          <w:sz w:val="21"/>
          <w:szCs w:val="21"/>
        </w:rPr>
        <w:t>周边有双十中学（漳州校区）、东山实验小学、第三实验小学（闽南师范大学附属小学）、周边教育资源较丰富</w:t>
      </w:r>
      <w:r w:rsidRPr="007B4794">
        <w:rPr>
          <w:rFonts w:ascii="Arial" w:hAnsi="Arial" w:cs="Arial"/>
          <w:color w:val="000000" w:themeColor="text1"/>
          <w:sz w:val="21"/>
          <w:szCs w:val="21"/>
        </w:rPr>
        <w:t>；</w:t>
      </w:r>
    </w:p>
    <w:p w14:paraId="68314178" w14:textId="487246C1" w:rsidR="00AE01CB" w:rsidRPr="007B4794" w:rsidRDefault="00AE01CB" w:rsidP="00AE01CB">
      <w:pPr>
        <w:spacing w:line="480" w:lineRule="auto"/>
        <w:ind w:firstLineChars="200" w:firstLine="420"/>
        <w:rPr>
          <w:rFonts w:ascii="Arial" w:hAnsi="Arial" w:cs="Arial"/>
          <w:color w:val="000000" w:themeColor="text1"/>
          <w:sz w:val="21"/>
          <w:szCs w:val="21"/>
        </w:rPr>
      </w:pPr>
      <w:r w:rsidRPr="007B4794">
        <w:rPr>
          <w:rFonts w:ascii="Arial" w:hAnsi="Arial" w:cs="Arial"/>
          <w:color w:val="000000" w:themeColor="text1"/>
          <w:sz w:val="21"/>
          <w:szCs w:val="21"/>
        </w:rPr>
        <w:t>银行：</w:t>
      </w:r>
      <w:r w:rsidR="00445247" w:rsidRPr="007B4794">
        <w:rPr>
          <w:rFonts w:ascii="Arial" w:hAnsi="Arial" w:cs="Arial" w:hint="eastAsia"/>
          <w:color w:val="000000" w:themeColor="text1"/>
          <w:sz w:val="21"/>
          <w:szCs w:val="21"/>
        </w:rPr>
        <w:t>龙海农商银行、中国银行、附件龙海泰隆村镇银行</w:t>
      </w:r>
      <w:r w:rsidRPr="007B4794">
        <w:rPr>
          <w:rFonts w:ascii="Arial" w:hAnsi="Arial" w:cs="Arial"/>
          <w:color w:val="000000" w:themeColor="text1"/>
          <w:sz w:val="21"/>
          <w:szCs w:val="21"/>
        </w:rPr>
        <w:t>等；</w:t>
      </w:r>
      <w:r w:rsidRPr="007B4794">
        <w:rPr>
          <w:rFonts w:ascii="Arial" w:hAnsi="Arial" w:cs="Arial"/>
          <w:color w:val="000000" w:themeColor="text1"/>
          <w:sz w:val="21"/>
          <w:szCs w:val="21"/>
        </w:rPr>
        <w:t xml:space="preserve"> </w:t>
      </w:r>
    </w:p>
    <w:p w14:paraId="44A99067" w14:textId="2641E8A5" w:rsidR="00AE01CB" w:rsidRPr="007B4794" w:rsidRDefault="00AE01CB" w:rsidP="00AE01CB">
      <w:pPr>
        <w:spacing w:line="480" w:lineRule="auto"/>
        <w:ind w:firstLineChars="200" w:firstLine="420"/>
        <w:rPr>
          <w:rFonts w:ascii="Arial" w:hAnsi="Arial" w:cs="Arial"/>
          <w:color w:val="000000" w:themeColor="text1"/>
          <w:sz w:val="21"/>
          <w:szCs w:val="21"/>
        </w:rPr>
      </w:pPr>
      <w:r w:rsidRPr="007B4794">
        <w:rPr>
          <w:rFonts w:ascii="Arial" w:hAnsi="Arial" w:cs="Arial"/>
          <w:color w:val="000000" w:themeColor="text1"/>
          <w:sz w:val="21"/>
          <w:szCs w:val="21"/>
        </w:rPr>
        <w:t>医院：周边</w:t>
      </w:r>
      <w:r w:rsidRPr="007B4794">
        <w:rPr>
          <w:rFonts w:ascii="Arial" w:hAnsi="Arial" w:cs="Arial"/>
          <w:color w:val="000000" w:themeColor="text1"/>
          <w:sz w:val="21"/>
          <w:szCs w:val="21"/>
        </w:rPr>
        <w:t>2</w:t>
      </w:r>
      <w:r w:rsidRPr="007B4794">
        <w:rPr>
          <w:rFonts w:ascii="Arial" w:hAnsi="Arial" w:cs="Arial"/>
          <w:color w:val="000000" w:themeColor="text1"/>
          <w:sz w:val="21"/>
          <w:szCs w:val="21"/>
        </w:rPr>
        <w:t>公里范围内医疗资源</w:t>
      </w:r>
      <w:r w:rsidR="00445247" w:rsidRPr="007B4794">
        <w:rPr>
          <w:rFonts w:ascii="Arial" w:hAnsi="Arial" w:cs="Arial" w:hint="eastAsia"/>
          <w:color w:val="000000" w:themeColor="text1"/>
          <w:sz w:val="21"/>
          <w:szCs w:val="21"/>
        </w:rPr>
        <w:t>较</w:t>
      </w:r>
      <w:r w:rsidRPr="007B4794">
        <w:rPr>
          <w:rFonts w:ascii="Arial" w:hAnsi="Arial" w:cs="Arial"/>
          <w:color w:val="000000" w:themeColor="text1"/>
          <w:sz w:val="21"/>
          <w:szCs w:val="21"/>
        </w:rPr>
        <w:t>丰富，有</w:t>
      </w:r>
      <w:r w:rsidR="00445247" w:rsidRPr="007B4794">
        <w:rPr>
          <w:rFonts w:ascii="Arial" w:hAnsi="Arial" w:cs="Arial" w:hint="eastAsia"/>
          <w:color w:val="000000" w:themeColor="text1"/>
          <w:sz w:val="21"/>
          <w:szCs w:val="21"/>
        </w:rPr>
        <w:t>漳州市第五医院</w:t>
      </w:r>
      <w:r w:rsidRPr="007B4794">
        <w:rPr>
          <w:rFonts w:ascii="Arial" w:hAnsi="Arial" w:cs="Arial"/>
          <w:color w:val="000000" w:themeColor="text1"/>
          <w:sz w:val="21"/>
          <w:szCs w:val="21"/>
        </w:rPr>
        <w:t>等。</w:t>
      </w:r>
    </w:p>
    <w:p w14:paraId="01BD1828" w14:textId="0DC4B575" w:rsidR="003303BE" w:rsidRPr="007B4794" w:rsidRDefault="003303BE" w:rsidP="003303BE">
      <w:pPr>
        <w:widowControl w:val="0"/>
        <w:adjustRightInd w:val="0"/>
        <w:snapToGrid w:val="0"/>
        <w:spacing w:line="480" w:lineRule="auto"/>
        <w:ind w:firstLineChars="200" w:firstLine="420"/>
        <w:jc w:val="both"/>
        <w:rPr>
          <w:rFonts w:cs="Arial"/>
          <w:color w:val="000000" w:themeColor="text1"/>
          <w:sz w:val="21"/>
          <w:szCs w:val="21"/>
        </w:rPr>
      </w:pPr>
      <w:r w:rsidRPr="007B4794">
        <w:rPr>
          <w:rFonts w:cs="Arial" w:hint="eastAsia"/>
          <w:color w:val="000000" w:themeColor="text1"/>
          <w:sz w:val="21"/>
          <w:szCs w:val="21"/>
        </w:rPr>
        <w:t>景观及人文资源：</w:t>
      </w:r>
      <w:r w:rsidR="00445247" w:rsidRPr="007B4794">
        <w:rPr>
          <w:rFonts w:ascii="Arial" w:hAnsi="Arial" w:cs="Arial" w:hint="eastAsia"/>
          <w:color w:val="000000" w:themeColor="text1"/>
          <w:sz w:val="21"/>
          <w:szCs w:val="21"/>
        </w:rPr>
        <w:t>角美湿地公园</w:t>
      </w:r>
      <w:r w:rsidRPr="007B4794">
        <w:rPr>
          <w:rFonts w:cs="Arial" w:hint="eastAsia"/>
          <w:color w:val="000000" w:themeColor="text1"/>
          <w:sz w:val="21"/>
          <w:szCs w:val="21"/>
        </w:rPr>
        <w:t>；</w:t>
      </w:r>
    </w:p>
    <w:p w14:paraId="2D85D500" w14:textId="73203313" w:rsidR="00A36A5B" w:rsidRPr="007B4794" w:rsidRDefault="003303BE" w:rsidP="003303BE">
      <w:pPr>
        <w:widowControl w:val="0"/>
        <w:spacing w:line="480" w:lineRule="auto"/>
        <w:ind w:firstLineChars="200" w:firstLine="420"/>
        <w:jc w:val="both"/>
        <w:rPr>
          <w:rFonts w:ascii="Arial" w:hAnsi="Arial" w:cs="Arial"/>
          <w:color w:val="000000" w:themeColor="text1"/>
          <w:sz w:val="21"/>
          <w:szCs w:val="21"/>
        </w:rPr>
      </w:pPr>
      <w:r w:rsidRPr="007B4794">
        <w:rPr>
          <w:rFonts w:cs="Arial" w:hint="eastAsia"/>
          <w:color w:val="000000" w:themeColor="text1"/>
          <w:sz w:val="21"/>
          <w:szCs w:val="21"/>
        </w:rPr>
        <w:t>其他：</w:t>
      </w:r>
      <w:r w:rsidR="00AE01CB" w:rsidRPr="007B4794">
        <w:rPr>
          <w:rFonts w:cs="Arial" w:hint="eastAsia"/>
          <w:color w:val="000000" w:themeColor="text1"/>
          <w:sz w:val="21"/>
          <w:szCs w:val="21"/>
        </w:rPr>
        <w:t>距</w:t>
      </w:r>
      <w:r w:rsidR="00432972" w:rsidRPr="007B4794">
        <w:rPr>
          <w:rFonts w:cs="Arial" w:hint="eastAsia"/>
          <w:color w:val="000000" w:themeColor="text1"/>
          <w:sz w:val="21"/>
          <w:szCs w:val="21"/>
        </w:rPr>
        <w:t>角美镇</w:t>
      </w:r>
      <w:r w:rsidR="00AE01CB" w:rsidRPr="007B4794">
        <w:rPr>
          <w:rFonts w:cs="Arial" w:hint="eastAsia"/>
          <w:color w:val="000000" w:themeColor="text1"/>
          <w:sz w:val="21"/>
          <w:szCs w:val="21"/>
        </w:rPr>
        <w:t>人民法院直线</w:t>
      </w:r>
      <w:r w:rsidR="00AE01CB" w:rsidRPr="007B4794">
        <w:rPr>
          <w:rFonts w:ascii="Arial" w:hAnsi="Arial" w:cs="Arial" w:hint="eastAsia"/>
          <w:color w:val="000000" w:themeColor="text1"/>
          <w:sz w:val="21"/>
          <w:szCs w:val="21"/>
        </w:rPr>
        <w:t>距离约</w:t>
      </w:r>
      <w:r w:rsidR="00432972" w:rsidRPr="007B4794">
        <w:rPr>
          <w:rFonts w:ascii="Arial" w:hAnsi="Arial" w:cs="Arial" w:hint="eastAsia"/>
          <w:color w:val="000000" w:themeColor="text1"/>
          <w:sz w:val="21"/>
          <w:szCs w:val="21"/>
        </w:rPr>
        <w:t>1.7</w:t>
      </w:r>
      <w:r w:rsidR="00432972" w:rsidRPr="007B4794">
        <w:rPr>
          <w:rFonts w:ascii="Arial" w:hAnsi="Arial" w:cs="Arial" w:hint="eastAsia"/>
          <w:color w:val="000000" w:themeColor="text1"/>
          <w:sz w:val="21"/>
          <w:szCs w:val="21"/>
        </w:rPr>
        <w:t>公里</w:t>
      </w:r>
      <w:r w:rsidR="00AE01CB" w:rsidRPr="007B4794">
        <w:rPr>
          <w:rFonts w:ascii="Arial" w:hAnsi="Arial" w:cs="Arial" w:hint="eastAsia"/>
          <w:color w:val="000000" w:themeColor="text1"/>
          <w:sz w:val="21"/>
          <w:szCs w:val="21"/>
        </w:rPr>
        <w:t>、</w:t>
      </w:r>
      <w:r w:rsidRPr="007B4794">
        <w:rPr>
          <w:rFonts w:cs="Arial" w:hint="eastAsia"/>
          <w:color w:val="000000" w:themeColor="text1"/>
          <w:sz w:val="21"/>
          <w:szCs w:val="21"/>
        </w:rPr>
        <w:t>距</w:t>
      </w:r>
      <w:r w:rsidR="00432972" w:rsidRPr="007B4794">
        <w:rPr>
          <w:rFonts w:cs="Arial" w:hint="eastAsia"/>
          <w:color w:val="000000" w:themeColor="text1"/>
          <w:sz w:val="21"/>
          <w:szCs w:val="21"/>
        </w:rPr>
        <w:t>角美镇</w:t>
      </w:r>
      <w:r w:rsidRPr="007B4794">
        <w:rPr>
          <w:rFonts w:cs="Arial" w:hint="eastAsia"/>
          <w:color w:val="000000" w:themeColor="text1"/>
          <w:sz w:val="21"/>
          <w:szCs w:val="21"/>
        </w:rPr>
        <w:t>政府直线</w:t>
      </w:r>
      <w:r w:rsidRPr="007B4794">
        <w:rPr>
          <w:rFonts w:ascii="Arial" w:hAnsi="Arial" w:cs="Arial" w:hint="eastAsia"/>
          <w:color w:val="000000" w:themeColor="text1"/>
          <w:sz w:val="21"/>
          <w:szCs w:val="21"/>
        </w:rPr>
        <w:t>距离约</w:t>
      </w:r>
      <w:r w:rsidR="00AE01CB" w:rsidRPr="007B4794">
        <w:rPr>
          <w:rFonts w:ascii="Arial" w:hAnsi="Arial" w:cs="Arial"/>
          <w:color w:val="000000" w:themeColor="text1"/>
          <w:sz w:val="21"/>
          <w:szCs w:val="21"/>
        </w:rPr>
        <w:t>2</w:t>
      </w:r>
      <w:r w:rsidRPr="007B4794">
        <w:rPr>
          <w:rFonts w:ascii="Arial" w:hAnsi="Arial" w:cs="Arial" w:hint="eastAsia"/>
          <w:color w:val="000000" w:themeColor="text1"/>
          <w:sz w:val="21"/>
          <w:szCs w:val="21"/>
        </w:rPr>
        <w:t>公里。</w:t>
      </w:r>
    </w:p>
    <w:p w14:paraId="5BB53062" w14:textId="15B194DE" w:rsidR="00024B5D" w:rsidRPr="007B4794" w:rsidRDefault="00581C42" w:rsidP="00024B5D">
      <w:pPr>
        <w:widowControl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（四）</w:t>
      </w:r>
      <w:r w:rsidR="00024B5D" w:rsidRPr="007B4794">
        <w:rPr>
          <w:rFonts w:ascii="Arial" w:hAnsi="Arial" w:cs="Arial" w:hint="eastAsia"/>
          <w:color w:val="000000" w:themeColor="text1"/>
          <w:sz w:val="21"/>
          <w:szCs w:val="21"/>
        </w:rPr>
        <w:t>区域规划</w:t>
      </w:r>
    </w:p>
    <w:p w14:paraId="146788F2" w14:textId="7962DAB1" w:rsidR="00CD7F6D" w:rsidRPr="007B4794" w:rsidRDefault="00604DB4" w:rsidP="00604DB4">
      <w:pPr>
        <w:widowControl w:val="0"/>
        <w:adjustRightInd w:val="0"/>
        <w:snapToGrid w:val="0"/>
        <w:spacing w:line="480" w:lineRule="auto"/>
        <w:ind w:firstLineChars="200" w:firstLine="420"/>
        <w:jc w:val="both"/>
        <w:rPr>
          <w:rFonts w:cs="Arial"/>
          <w:color w:val="000000" w:themeColor="text1"/>
          <w:sz w:val="21"/>
          <w:szCs w:val="21"/>
        </w:rPr>
      </w:pPr>
      <w:r w:rsidRPr="007B4794">
        <w:rPr>
          <w:rFonts w:cs="Arial" w:hint="eastAsia"/>
          <w:color w:val="000000" w:themeColor="text1"/>
          <w:sz w:val="21"/>
          <w:szCs w:val="21"/>
        </w:rPr>
        <w:t>调研对象位于</w:t>
      </w:r>
      <w:r w:rsidR="00432972" w:rsidRPr="007B4794">
        <w:rPr>
          <w:rFonts w:cs="Arial" w:hint="eastAsia"/>
          <w:color w:val="000000" w:themeColor="text1"/>
          <w:sz w:val="21"/>
          <w:szCs w:val="21"/>
        </w:rPr>
        <w:t>台商投资区</w:t>
      </w:r>
      <w:r w:rsidRPr="007B4794">
        <w:rPr>
          <w:rFonts w:cs="Arial" w:hint="eastAsia"/>
          <w:color w:val="000000" w:themeColor="text1"/>
          <w:sz w:val="21"/>
          <w:szCs w:val="21"/>
        </w:rPr>
        <w:t>，</w:t>
      </w:r>
      <w:r w:rsidR="00432972" w:rsidRPr="007B4794">
        <w:rPr>
          <w:rFonts w:ascii="Arial" w:hAnsi="Arial" w:cs="Arial"/>
          <w:color w:val="000000" w:themeColor="text1"/>
          <w:sz w:val="21"/>
          <w:szCs w:val="21"/>
        </w:rPr>
        <w:t>已确定了</w:t>
      </w:r>
      <w:r w:rsidR="00432972" w:rsidRPr="007B4794">
        <w:rPr>
          <w:rFonts w:ascii="Arial" w:hAnsi="Arial" w:cs="Arial"/>
          <w:color w:val="000000" w:themeColor="text1"/>
          <w:sz w:val="21"/>
          <w:szCs w:val="21"/>
        </w:rPr>
        <w:t>“</w:t>
      </w:r>
      <w:r w:rsidR="00432972" w:rsidRPr="007B4794">
        <w:rPr>
          <w:rFonts w:ascii="Arial" w:hAnsi="Arial" w:cs="Arial"/>
          <w:color w:val="000000" w:themeColor="text1"/>
          <w:sz w:val="21"/>
          <w:szCs w:val="21"/>
        </w:rPr>
        <w:t>一城两区三园，一心一轴一带</w:t>
      </w:r>
      <w:r w:rsidR="00432972" w:rsidRPr="007B4794">
        <w:rPr>
          <w:rFonts w:ascii="Arial" w:hAnsi="Arial" w:cs="Arial"/>
          <w:color w:val="000000" w:themeColor="text1"/>
          <w:sz w:val="21"/>
          <w:szCs w:val="21"/>
        </w:rPr>
        <w:t>”</w:t>
      </w:r>
      <w:r w:rsidR="00432972" w:rsidRPr="007B4794">
        <w:rPr>
          <w:rFonts w:ascii="Arial" w:hAnsi="Arial" w:cs="Arial"/>
          <w:color w:val="000000" w:themeColor="text1"/>
          <w:sz w:val="21"/>
          <w:szCs w:val="21"/>
        </w:rPr>
        <w:t>的城市空间结构，致力打造产业、城市、港口、生态、文化</w:t>
      </w:r>
      <w:r w:rsidR="00432972" w:rsidRPr="007B4794">
        <w:rPr>
          <w:rFonts w:ascii="Arial" w:hAnsi="Arial" w:cs="Arial"/>
          <w:color w:val="000000" w:themeColor="text1"/>
          <w:sz w:val="21"/>
          <w:szCs w:val="21"/>
        </w:rPr>
        <w:t>“</w:t>
      </w:r>
      <w:r w:rsidR="00432972" w:rsidRPr="007B4794">
        <w:rPr>
          <w:rFonts w:ascii="Arial" w:hAnsi="Arial" w:cs="Arial"/>
          <w:color w:val="000000" w:themeColor="text1"/>
          <w:sz w:val="21"/>
          <w:szCs w:val="21"/>
        </w:rPr>
        <w:t>五位一体</w:t>
      </w:r>
      <w:r w:rsidR="00432972" w:rsidRPr="007B4794">
        <w:rPr>
          <w:rFonts w:ascii="Arial" w:hAnsi="Arial" w:cs="Arial"/>
          <w:color w:val="000000" w:themeColor="text1"/>
          <w:sz w:val="21"/>
          <w:szCs w:val="21"/>
        </w:rPr>
        <w:t>”</w:t>
      </w:r>
      <w:r w:rsidR="00432972" w:rsidRPr="007B4794">
        <w:rPr>
          <w:rFonts w:ascii="Arial" w:hAnsi="Arial" w:cs="Arial"/>
          <w:color w:val="000000" w:themeColor="text1"/>
          <w:sz w:val="21"/>
          <w:szCs w:val="21"/>
        </w:rPr>
        <w:t>的</w:t>
      </w:r>
      <w:r w:rsidR="00432972" w:rsidRPr="007B4794">
        <w:rPr>
          <w:rFonts w:ascii="Arial" w:hAnsi="Arial" w:cs="Arial"/>
          <w:color w:val="000000" w:themeColor="text1"/>
          <w:sz w:val="21"/>
          <w:szCs w:val="21"/>
        </w:rPr>
        <w:t>“</w:t>
      </w:r>
      <w:r w:rsidR="00432972" w:rsidRPr="007B4794">
        <w:rPr>
          <w:rFonts w:ascii="Arial" w:hAnsi="Arial" w:cs="Arial"/>
          <w:color w:val="000000" w:themeColor="text1"/>
          <w:sz w:val="21"/>
          <w:szCs w:val="21"/>
        </w:rPr>
        <w:t>活力经济之城</w:t>
      </w:r>
      <w:r w:rsidR="00432972" w:rsidRPr="007B4794">
        <w:rPr>
          <w:rFonts w:ascii="Arial" w:hAnsi="Arial" w:cs="Arial"/>
          <w:color w:val="000000" w:themeColor="text1"/>
          <w:sz w:val="21"/>
          <w:szCs w:val="21"/>
        </w:rPr>
        <w:t>”</w:t>
      </w:r>
      <w:r w:rsidR="00432972" w:rsidRPr="007B4794">
        <w:rPr>
          <w:rFonts w:ascii="Arial" w:hAnsi="Arial" w:cs="Arial"/>
          <w:color w:val="000000" w:themeColor="text1"/>
          <w:sz w:val="21"/>
          <w:szCs w:val="21"/>
        </w:rPr>
        <w:t>、</w:t>
      </w:r>
      <w:r w:rsidR="00432972" w:rsidRPr="007B4794">
        <w:rPr>
          <w:rFonts w:ascii="Arial" w:hAnsi="Arial" w:cs="Arial"/>
          <w:color w:val="000000" w:themeColor="text1"/>
          <w:sz w:val="21"/>
          <w:szCs w:val="21"/>
        </w:rPr>
        <w:t>“</w:t>
      </w:r>
      <w:r w:rsidR="00432972" w:rsidRPr="007B4794">
        <w:rPr>
          <w:rFonts w:ascii="Arial" w:hAnsi="Arial" w:cs="Arial"/>
          <w:color w:val="000000" w:themeColor="text1"/>
          <w:sz w:val="21"/>
          <w:szCs w:val="21"/>
        </w:rPr>
        <w:t>宜居宜业之城</w:t>
      </w:r>
      <w:r w:rsidR="00432972" w:rsidRPr="007B4794">
        <w:rPr>
          <w:rFonts w:ascii="Arial" w:hAnsi="Arial" w:cs="Arial"/>
          <w:color w:val="000000" w:themeColor="text1"/>
          <w:sz w:val="21"/>
          <w:szCs w:val="21"/>
        </w:rPr>
        <w:t>”</w:t>
      </w:r>
      <w:r w:rsidR="00432972" w:rsidRPr="007B4794">
        <w:rPr>
          <w:rFonts w:ascii="Arial" w:hAnsi="Arial" w:cs="Arial"/>
          <w:color w:val="000000" w:themeColor="text1"/>
          <w:sz w:val="21"/>
          <w:szCs w:val="21"/>
        </w:rPr>
        <w:t>和</w:t>
      </w:r>
      <w:r w:rsidR="00432972" w:rsidRPr="007B4794">
        <w:rPr>
          <w:rFonts w:ascii="Arial" w:hAnsi="Arial" w:cs="Arial"/>
          <w:color w:val="000000" w:themeColor="text1"/>
          <w:sz w:val="21"/>
          <w:szCs w:val="21"/>
        </w:rPr>
        <w:t>“</w:t>
      </w:r>
      <w:r w:rsidR="00432972" w:rsidRPr="007B4794">
        <w:rPr>
          <w:rFonts w:ascii="Arial" w:hAnsi="Arial" w:cs="Arial"/>
          <w:color w:val="000000" w:themeColor="text1"/>
          <w:sz w:val="21"/>
          <w:szCs w:val="21"/>
        </w:rPr>
        <w:t>两岸交融之城</w:t>
      </w:r>
      <w:r w:rsidR="00432972" w:rsidRPr="007B4794">
        <w:rPr>
          <w:rFonts w:ascii="Arial" w:hAnsi="Arial" w:cs="Arial"/>
          <w:color w:val="000000" w:themeColor="text1"/>
          <w:sz w:val="21"/>
          <w:szCs w:val="21"/>
        </w:rPr>
        <w:t>”</w:t>
      </w:r>
      <w:r w:rsidR="00432972" w:rsidRPr="007B4794">
        <w:rPr>
          <w:rFonts w:ascii="Arial" w:hAnsi="Arial" w:cs="Arial"/>
          <w:color w:val="000000" w:themeColor="text1"/>
          <w:sz w:val="21"/>
          <w:szCs w:val="21"/>
        </w:rPr>
        <w:t>。至</w:t>
      </w:r>
      <w:r w:rsidR="00432972" w:rsidRPr="007B4794">
        <w:rPr>
          <w:rFonts w:ascii="Arial" w:hAnsi="Arial" w:cs="Arial"/>
          <w:color w:val="000000" w:themeColor="text1"/>
          <w:sz w:val="21"/>
          <w:szCs w:val="21"/>
        </w:rPr>
        <w:t>2020</w:t>
      </w:r>
      <w:r w:rsidR="00432972" w:rsidRPr="007B4794">
        <w:rPr>
          <w:rFonts w:ascii="Arial" w:hAnsi="Arial" w:cs="Arial"/>
          <w:color w:val="000000" w:themeColor="text1"/>
          <w:sz w:val="21"/>
          <w:szCs w:val="21"/>
        </w:rPr>
        <w:t>年，全区</w:t>
      </w:r>
      <w:r w:rsidR="00432972" w:rsidRPr="007B4794">
        <w:rPr>
          <w:rFonts w:ascii="Arial" w:hAnsi="Arial" w:cs="Arial" w:hint="eastAsia"/>
          <w:color w:val="000000" w:themeColor="text1"/>
          <w:sz w:val="21"/>
          <w:szCs w:val="21"/>
        </w:rPr>
        <w:t>城市建成区面积将达到</w:t>
      </w:r>
      <w:r w:rsidR="00432972" w:rsidRPr="007B4794">
        <w:rPr>
          <w:rFonts w:ascii="Arial" w:hAnsi="Arial" w:cs="Arial"/>
          <w:color w:val="000000" w:themeColor="text1"/>
          <w:sz w:val="21"/>
          <w:szCs w:val="21"/>
        </w:rPr>
        <w:t>56</w:t>
      </w:r>
      <w:r w:rsidR="00432972" w:rsidRPr="007B4794">
        <w:rPr>
          <w:rFonts w:ascii="Arial" w:hAnsi="Arial" w:cs="Arial"/>
          <w:color w:val="000000" w:themeColor="text1"/>
          <w:sz w:val="21"/>
          <w:szCs w:val="21"/>
        </w:rPr>
        <w:t>平方公里，人口将达到</w:t>
      </w:r>
      <w:r w:rsidR="00432972" w:rsidRPr="007B4794">
        <w:rPr>
          <w:rFonts w:ascii="Arial" w:hAnsi="Arial" w:cs="Arial"/>
          <w:color w:val="000000" w:themeColor="text1"/>
          <w:sz w:val="21"/>
          <w:szCs w:val="21"/>
        </w:rPr>
        <w:t>40</w:t>
      </w:r>
      <w:r w:rsidR="00432972" w:rsidRPr="007B4794">
        <w:rPr>
          <w:rFonts w:ascii="Arial" w:hAnsi="Arial" w:cs="Arial"/>
          <w:color w:val="000000" w:themeColor="text1"/>
          <w:sz w:val="21"/>
          <w:szCs w:val="21"/>
        </w:rPr>
        <w:t>万</w:t>
      </w:r>
      <w:r w:rsidR="003D0902" w:rsidRPr="007B4794">
        <w:rPr>
          <w:rFonts w:cs="Arial" w:hint="eastAsia"/>
          <w:color w:val="000000" w:themeColor="text1"/>
          <w:sz w:val="21"/>
          <w:szCs w:val="21"/>
        </w:rPr>
        <w:t>。</w:t>
      </w:r>
    </w:p>
    <w:p w14:paraId="10C8F649" w14:textId="77777777" w:rsidR="00074032" w:rsidRPr="00074032" w:rsidRDefault="00074032" w:rsidP="00074032">
      <w:pPr>
        <w:widowControl w:val="0"/>
        <w:adjustRightInd w:val="0"/>
        <w:snapToGrid w:val="0"/>
        <w:spacing w:line="480" w:lineRule="auto"/>
        <w:ind w:firstLineChars="200" w:firstLine="420"/>
        <w:jc w:val="both"/>
        <w:rPr>
          <w:rFonts w:ascii="华文楷体" w:eastAsia="华文楷体" w:hAnsi="华文楷体" w:cs="Arial"/>
          <w:color w:val="000000" w:themeColor="text1"/>
          <w:sz w:val="21"/>
          <w:szCs w:val="21"/>
        </w:rPr>
      </w:pPr>
      <w:r w:rsidRPr="00074032">
        <w:rPr>
          <w:rFonts w:ascii="华文楷体" w:eastAsia="华文楷体" w:hAnsi="华文楷体" w:cs="Arial" w:hint="eastAsia"/>
          <w:color w:val="000000" w:themeColor="text1"/>
          <w:sz w:val="21"/>
          <w:szCs w:val="21"/>
        </w:rPr>
        <w:t>（转下页）</w:t>
      </w:r>
    </w:p>
    <w:p w14:paraId="5FBAE2DA" w14:textId="77777777" w:rsidR="00604DB4" w:rsidRPr="007B4794" w:rsidRDefault="00604DB4" w:rsidP="00604DB4">
      <w:pPr>
        <w:widowControl w:val="0"/>
        <w:adjustRightInd w:val="0"/>
        <w:snapToGrid w:val="0"/>
        <w:spacing w:line="480" w:lineRule="auto"/>
        <w:ind w:firstLineChars="200" w:firstLine="420"/>
        <w:jc w:val="both"/>
        <w:rPr>
          <w:rFonts w:cs="Arial"/>
          <w:color w:val="000000" w:themeColor="text1"/>
          <w:sz w:val="21"/>
          <w:szCs w:val="21"/>
        </w:rPr>
      </w:pPr>
    </w:p>
    <w:p w14:paraId="46DCAB79" w14:textId="3F580236" w:rsidR="00024B5D" w:rsidRPr="007B4794" w:rsidRDefault="00024B5D" w:rsidP="00024B5D">
      <w:pPr>
        <w:pStyle w:val="2"/>
        <w:snapToGrid w:val="0"/>
        <w:spacing w:before="0" w:after="0" w:line="480" w:lineRule="auto"/>
        <w:ind w:firstLineChars="98" w:firstLine="207"/>
        <w:jc w:val="both"/>
        <w:rPr>
          <w:rFonts w:eastAsia="宋体" w:cs="Arial"/>
          <w:color w:val="000000" w:themeColor="text1"/>
          <w:sz w:val="21"/>
          <w:szCs w:val="21"/>
        </w:rPr>
      </w:pPr>
      <w:bookmarkStart w:id="79" w:name="_Toc54016601"/>
      <w:r w:rsidRPr="007B4794">
        <w:rPr>
          <w:rFonts w:eastAsia="宋体" w:cs="Arial" w:hint="eastAsia"/>
          <w:color w:val="000000" w:themeColor="text1"/>
          <w:sz w:val="21"/>
          <w:szCs w:val="21"/>
        </w:rPr>
        <w:lastRenderedPageBreak/>
        <w:t>二</w:t>
      </w:r>
      <w:r w:rsidR="00D610E4" w:rsidRPr="007B4794">
        <w:rPr>
          <w:rFonts w:eastAsia="宋体" w:cs="Arial" w:hint="eastAsia"/>
          <w:color w:val="000000" w:themeColor="text1"/>
          <w:sz w:val="21"/>
          <w:szCs w:val="21"/>
        </w:rPr>
        <w:t>、</w:t>
      </w:r>
      <w:r w:rsidRPr="007B4794">
        <w:rPr>
          <w:rFonts w:eastAsia="宋体" w:cs="Arial" w:hint="eastAsia"/>
          <w:color w:val="000000" w:themeColor="text1"/>
          <w:sz w:val="21"/>
          <w:szCs w:val="21"/>
        </w:rPr>
        <w:t>项目产品定位</w:t>
      </w:r>
      <w:bookmarkEnd w:id="79"/>
    </w:p>
    <w:p w14:paraId="2E1A9804" w14:textId="1C142EDF" w:rsidR="00AE01CB" w:rsidRPr="007B4794" w:rsidRDefault="00AE01CB" w:rsidP="00AE01CB">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项目定位：</w:t>
      </w:r>
      <w:r w:rsidRPr="007B4794">
        <w:rPr>
          <w:rFonts w:ascii="Arial" w:hAnsi="Arial" w:cs="Arial" w:hint="eastAsia"/>
          <w:color w:val="000000" w:themeColor="text1"/>
          <w:sz w:val="21"/>
          <w:szCs w:val="21"/>
        </w:rPr>
        <w:t>本</w:t>
      </w:r>
      <w:r w:rsidRPr="007B4794">
        <w:rPr>
          <w:rFonts w:ascii="Arial" w:hAnsi="Arial" w:cs="Arial"/>
          <w:color w:val="000000" w:themeColor="text1"/>
          <w:sz w:val="21"/>
          <w:szCs w:val="21"/>
        </w:rPr>
        <w:t>项目</w:t>
      </w:r>
      <w:r w:rsidRPr="007B4794">
        <w:rPr>
          <w:rFonts w:ascii="Arial" w:hAnsi="Arial" w:cs="Arial" w:hint="eastAsia"/>
          <w:color w:val="000000" w:themeColor="text1"/>
          <w:sz w:val="21"/>
          <w:szCs w:val="21"/>
        </w:rPr>
        <w:t>定位为中端品质社区</w:t>
      </w:r>
      <w:r w:rsidRPr="007B4794">
        <w:rPr>
          <w:rFonts w:ascii="Arial" w:hAnsi="Arial" w:cs="Arial"/>
          <w:color w:val="000000" w:themeColor="text1"/>
          <w:sz w:val="21"/>
          <w:szCs w:val="21"/>
        </w:rPr>
        <w:t>。</w:t>
      </w:r>
    </w:p>
    <w:p w14:paraId="4D469EC7" w14:textId="128F3C97" w:rsidR="00AE01CB" w:rsidRPr="007B4794" w:rsidRDefault="00AE01CB" w:rsidP="00AE01CB">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客群定位：项目客群定位以</w:t>
      </w:r>
      <w:r w:rsidRPr="007B4794">
        <w:rPr>
          <w:rFonts w:ascii="Arial" w:hAnsi="Arial" w:cs="Arial" w:hint="eastAsia"/>
          <w:color w:val="000000" w:themeColor="text1"/>
          <w:sz w:val="21"/>
          <w:szCs w:val="21"/>
        </w:rPr>
        <w:t>本地刚需以及</w:t>
      </w:r>
      <w:r w:rsidR="00432972" w:rsidRPr="007B4794">
        <w:rPr>
          <w:rFonts w:ascii="Arial" w:hAnsi="Arial" w:cs="Arial" w:hint="eastAsia"/>
          <w:color w:val="000000" w:themeColor="text1"/>
          <w:sz w:val="21"/>
          <w:szCs w:val="21"/>
        </w:rPr>
        <w:t>厦门投资</w:t>
      </w:r>
      <w:r w:rsidRPr="007B4794">
        <w:rPr>
          <w:rFonts w:ascii="Arial" w:hAnsi="Arial" w:cs="Arial" w:hint="eastAsia"/>
          <w:color w:val="000000" w:themeColor="text1"/>
          <w:sz w:val="21"/>
          <w:szCs w:val="21"/>
        </w:rPr>
        <w:t>客户为主。</w:t>
      </w:r>
    </w:p>
    <w:p w14:paraId="1A69DA35" w14:textId="1CEC436A" w:rsidR="00AE01CB" w:rsidRPr="007B4794" w:rsidRDefault="00024B5D" w:rsidP="00AE01CB">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产品定位：</w:t>
      </w:r>
      <w:r w:rsidR="00913896" w:rsidRPr="007B4794">
        <w:rPr>
          <w:rFonts w:ascii="Arial" w:hAnsi="Arial" w:cs="Arial" w:hint="eastAsia"/>
          <w:color w:val="000000" w:themeColor="text1"/>
          <w:sz w:val="21"/>
          <w:szCs w:val="21"/>
        </w:rPr>
        <w:t>调研对象</w:t>
      </w:r>
      <w:r w:rsidR="00AE01CB" w:rsidRPr="007B4794">
        <w:rPr>
          <w:rFonts w:ascii="Arial" w:hAnsi="Arial" w:cs="Arial" w:hint="eastAsia"/>
          <w:color w:val="000000" w:themeColor="text1"/>
          <w:sz w:val="21"/>
          <w:szCs w:val="21"/>
        </w:rPr>
        <w:t>规划为</w:t>
      </w:r>
      <w:r w:rsidR="00AE01CB" w:rsidRPr="007B4794">
        <w:rPr>
          <w:rFonts w:ascii="Arial" w:hAnsi="Arial" w:cs="Arial"/>
          <w:color w:val="000000" w:themeColor="text1"/>
          <w:sz w:val="21"/>
          <w:szCs w:val="21"/>
        </w:rPr>
        <w:t>居住项目</w:t>
      </w:r>
      <w:r w:rsidR="00AE01CB" w:rsidRPr="007B4794">
        <w:rPr>
          <w:rFonts w:ascii="Arial" w:hAnsi="Arial" w:cs="Arial" w:hint="eastAsia"/>
          <w:color w:val="000000" w:themeColor="text1"/>
          <w:sz w:val="21"/>
          <w:szCs w:val="21"/>
        </w:rPr>
        <w:t>，</w:t>
      </w:r>
      <w:r w:rsidR="00AE01CB" w:rsidRPr="007B4794">
        <w:rPr>
          <w:rFonts w:ascii="Arial" w:hAnsi="Arial" w:cs="Arial"/>
          <w:color w:val="000000" w:themeColor="text1"/>
          <w:sz w:val="21"/>
          <w:szCs w:val="21"/>
        </w:rPr>
        <w:t>住宅</w:t>
      </w:r>
      <w:r w:rsidR="00AE01CB" w:rsidRPr="007B4794">
        <w:rPr>
          <w:rFonts w:ascii="Arial" w:hAnsi="Arial" w:cs="Arial" w:hint="eastAsia"/>
          <w:color w:val="000000" w:themeColor="text1"/>
          <w:sz w:val="21"/>
          <w:szCs w:val="21"/>
        </w:rPr>
        <w:t>产品类型为</w:t>
      </w:r>
      <w:r w:rsidR="00E87416" w:rsidRPr="007B4794">
        <w:rPr>
          <w:rFonts w:ascii="Arial" w:hAnsi="Arial" w:cs="Arial" w:hint="eastAsia"/>
          <w:color w:val="000000" w:themeColor="text1"/>
          <w:sz w:val="21"/>
          <w:szCs w:val="21"/>
        </w:rPr>
        <w:t>毛坯平</w:t>
      </w:r>
      <w:r w:rsidR="00AE01CB" w:rsidRPr="007B4794">
        <w:rPr>
          <w:rFonts w:ascii="Arial" w:hAnsi="Arial" w:cs="Arial" w:hint="eastAsia"/>
          <w:color w:val="000000" w:themeColor="text1"/>
          <w:sz w:val="21"/>
          <w:szCs w:val="21"/>
        </w:rPr>
        <w:t>层、</w:t>
      </w:r>
      <w:r w:rsidR="00E87416" w:rsidRPr="007B4794">
        <w:rPr>
          <w:rFonts w:ascii="Arial" w:hAnsi="Arial" w:cs="Arial" w:hint="eastAsia"/>
          <w:color w:val="000000" w:themeColor="text1"/>
          <w:sz w:val="21"/>
          <w:szCs w:val="21"/>
        </w:rPr>
        <w:t>毛坯复式</w:t>
      </w:r>
      <w:r w:rsidR="00AE01CB" w:rsidRPr="007B4794">
        <w:rPr>
          <w:rFonts w:ascii="Arial" w:hAnsi="Arial" w:cs="Arial" w:hint="eastAsia"/>
          <w:color w:val="000000" w:themeColor="text1"/>
          <w:sz w:val="21"/>
          <w:szCs w:val="21"/>
        </w:rPr>
        <w:t>。</w:t>
      </w:r>
    </w:p>
    <w:p w14:paraId="1B7E1887" w14:textId="45254952" w:rsidR="007E78B3" w:rsidRPr="007B4794" w:rsidRDefault="007E78B3" w:rsidP="007E78B3">
      <w:pPr>
        <w:pStyle w:val="2"/>
        <w:snapToGrid w:val="0"/>
        <w:spacing w:before="0" w:after="0" w:line="480" w:lineRule="auto"/>
        <w:ind w:firstLineChars="98" w:firstLine="207"/>
        <w:jc w:val="both"/>
        <w:rPr>
          <w:rFonts w:eastAsia="宋体" w:cs="Arial"/>
          <w:color w:val="000000" w:themeColor="text1"/>
          <w:sz w:val="21"/>
          <w:szCs w:val="21"/>
        </w:rPr>
      </w:pPr>
      <w:bookmarkStart w:id="80" w:name="_Toc54016602"/>
      <w:r w:rsidRPr="007B4794">
        <w:rPr>
          <w:rFonts w:eastAsia="宋体" w:cs="Arial" w:hint="eastAsia"/>
          <w:color w:val="000000" w:themeColor="text1"/>
          <w:sz w:val="21"/>
          <w:szCs w:val="21"/>
        </w:rPr>
        <w:t>三</w:t>
      </w:r>
      <w:r w:rsidR="00D610E4" w:rsidRPr="007B4794">
        <w:rPr>
          <w:rFonts w:eastAsia="宋体" w:cs="Arial" w:hint="eastAsia"/>
          <w:color w:val="000000" w:themeColor="text1"/>
          <w:sz w:val="21"/>
          <w:szCs w:val="21"/>
        </w:rPr>
        <w:t>、</w:t>
      </w:r>
      <w:r w:rsidRPr="007B4794">
        <w:rPr>
          <w:rFonts w:eastAsia="宋体" w:cs="Arial" w:hint="eastAsia"/>
          <w:color w:val="000000" w:themeColor="text1"/>
          <w:sz w:val="21"/>
          <w:szCs w:val="21"/>
        </w:rPr>
        <w:t>项目</w:t>
      </w:r>
      <w:r w:rsidRPr="007B4794">
        <w:rPr>
          <w:rFonts w:eastAsia="宋体" w:cs="Arial" w:hint="eastAsia"/>
          <w:color w:val="000000" w:themeColor="text1"/>
          <w:sz w:val="21"/>
          <w:szCs w:val="21"/>
        </w:rPr>
        <w:t>SWOT</w:t>
      </w:r>
      <w:r w:rsidRPr="007B4794">
        <w:rPr>
          <w:rFonts w:eastAsia="宋体" w:cs="Arial" w:hint="eastAsia"/>
          <w:color w:val="000000" w:themeColor="text1"/>
          <w:sz w:val="21"/>
          <w:szCs w:val="21"/>
        </w:rPr>
        <w:t>分析</w:t>
      </w:r>
      <w:bookmarkEnd w:id="80"/>
    </w:p>
    <w:p w14:paraId="11B674FE" w14:textId="2A80C116" w:rsidR="007E78B3" w:rsidRPr="007B4794" w:rsidRDefault="00581C42" w:rsidP="007C540C">
      <w:pPr>
        <w:widowControl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（一）</w:t>
      </w:r>
      <w:r w:rsidR="007E78B3" w:rsidRPr="007B4794">
        <w:rPr>
          <w:rFonts w:ascii="Arial" w:hAnsi="Arial" w:cs="Arial"/>
          <w:color w:val="000000" w:themeColor="text1"/>
          <w:sz w:val="21"/>
          <w:szCs w:val="21"/>
        </w:rPr>
        <w:t>优势</w:t>
      </w:r>
    </w:p>
    <w:p w14:paraId="3019FEAA" w14:textId="77777777" w:rsidR="00AE4A6B" w:rsidRPr="007B4794" w:rsidRDefault="00AE4A6B" w:rsidP="00AE4A6B">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1</w:t>
      </w:r>
      <w:r w:rsidRPr="007B4794">
        <w:rPr>
          <w:rFonts w:ascii="Arial" w:hAnsi="Arial" w:cs="Arial"/>
          <w:color w:val="000000" w:themeColor="text1"/>
          <w:sz w:val="21"/>
          <w:szCs w:val="21"/>
        </w:rPr>
        <w:t>、</w:t>
      </w:r>
      <w:r w:rsidRPr="007B4794">
        <w:rPr>
          <w:rFonts w:ascii="Arial" w:hAnsi="Arial" w:cs="Arial" w:hint="eastAsia"/>
          <w:color w:val="000000" w:themeColor="text1"/>
          <w:sz w:val="21"/>
          <w:szCs w:val="21"/>
        </w:rPr>
        <w:t>区位优势</w:t>
      </w:r>
    </w:p>
    <w:p w14:paraId="704B9313" w14:textId="1EB6EC30" w:rsidR="00AE4A6B" w:rsidRPr="007B4794" w:rsidRDefault="00913896" w:rsidP="00AE4A6B">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调研对象</w:t>
      </w:r>
      <w:r w:rsidR="00AE4A6B" w:rsidRPr="007B4794">
        <w:rPr>
          <w:rFonts w:ascii="Arial" w:hAnsi="Arial" w:cs="Arial" w:hint="eastAsia"/>
          <w:color w:val="000000" w:themeColor="text1"/>
          <w:sz w:val="21"/>
          <w:szCs w:val="21"/>
        </w:rPr>
        <w:t>位于</w:t>
      </w:r>
      <w:r w:rsidR="00432972" w:rsidRPr="007B4794">
        <w:rPr>
          <w:rFonts w:ascii="Arial" w:hAnsi="Arial" w:cs="Arial" w:hint="eastAsia"/>
          <w:color w:val="000000" w:themeColor="text1"/>
          <w:sz w:val="21"/>
          <w:szCs w:val="21"/>
        </w:rPr>
        <w:t>福建省漳州市台商投资区湖中路以北</w:t>
      </w:r>
      <w:r w:rsidR="005B7AC2" w:rsidRPr="007B4794">
        <w:rPr>
          <w:rFonts w:ascii="Arial" w:hAnsi="Arial" w:cs="Arial" w:hint="eastAsia"/>
          <w:color w:val="000000" w:themeColor="text1"/>
          <w:sz w:val="21"/>
          <w:szCs w:val="21"/>
        </w:rPr>
        <w:t>、</w:t>
      </w:r>
      <w:r w:rsidR="00432972" w:rsidRPr="007B4794">
        <w:rPr>
          <w:rFonts w:ascii="Arial" w:hAnsi="Arial" w:cs="Arial" w:hint="eastAsia"/>
          <w:color w:val="000000" w:themeColor="text1"/>
          <w:sz w:val="21"/>
          <w:szCs w:val="21"/>
        </w:rPr>
        <w:t>锦江大道以东。漳州市总体规划</w:t>
      </w:r>
      <w:r w:rsidR="00432972" w:rsidRPr="007B4794">
        <w:rPr>
          <w:rFonts w:ascii="Arial" w:hAnsi="Arial" w:cs="Arial"/>
          <w:color w:val="000000" w:themeColor="text1"/>
          <w:sz w:val="21"/>
          <w:szCs w:val="21"/>
        </w:rPr>
        <w:t>已确定了</w:t>
      </w:r>
      <w:r w:rsidR="00432972" w:rsidRPr="007B4794">
        <w:rPr>
          <w:rFonts w:ascii="Arial" w:hAnsi="Arial" w:cs="Arial"/>
          <w:color w:val="000000" w:themeColor="text1"/>
          <w:sz w:val="21"/>
          <w:szCs w:val="21"/>
        </w:rPr>
        <w:t>“</w:t>
      </w:r>
      <w:r w:rsidR="00432972" w:rsidRPr="007B4794">
        <w:rPr>
          <w:rFonts w:ascii="Arial" w:hAnsi="Arial" w:cs="Arial"/>
          <w:color w:val="000000" w:themeColor="text1"/>
          <w:sz w:val="21"/>
          <w:szCs w:val="21"/>
        </w:rPr>
        <w:t>一城两区三园，一心一轴一带</w:t>
      </w:r>
      <w:r w:rsidR="00432972" w:rsidRPr="007B4794">
        <w:rPr>
          <w:rFonts w:ascii="Arial" w:hAnsi="Arial" w:cs="Arial"/>
          <w:color w:val="000000" w:themeColor="text1"/>
          <w:sz w:val="21"/>
          <w:szCs w:val="21"/>
        </w:rPr>
        <w:t>”</w:t>
      </w:r>
      <w:r w:rsidR="00432972" w:rsidRPr="007B4794">
        <w:rPr>
          <w:rFonts w:ascii="Arial" w:hAnsi="Arial" w:cs="Arial"/>
          <w:color w:val="000000" w:themeColor="text1"/>
          <w:sz w:val="21"/>
          <w:szCs w:val="21"/>
        </w:rPr>
        <w:t>的城市空间结构</w:t>
      </w:r>
      <w:r w:rsidR="00432972" w:rsidRPr="007B4794">
        <w:rPr>
          <w:rFonts w:ascii="Arial" w:hAnsi="Arial" w:cs="Arial" w:hint="eastAsia"/>
          <w:color w:val="000000" w:themeColor="text1"/>
          <w:sz w:val="21"/>
          <w:szCs w:val="21"/>
        </w:rPr>
        <w:t>。台商投资区位于漳州、厦门城市节点，是规划中的漳州市中心城区组团之一。</w:t>
      </w:r>
      <w:r w:rsidR="00432972" w:rsidRPr="007B4794">
        <w:rPr>
          <w:rFonts w:cs="Arial" w:hint="eastAsia"/>
          <w:color w:val="000000" w:themeColor="text1"/>
          <w:sz w:val="21"/>
          <w:szCs w:val="21"/>
        </w:rPr>
        <w:t>项目位于</w:t>
      </w:r>
      <w:r w:rsidR="00432972" w:rsidRPr="007B4794">
        <w:rPr>
          <w:rFonts w:ascii="Arial" w:hAnsi="Arial" w:cs="Arial" w:hint="eastAsia"/>
          <w:color w:val="000000" w:themeColor="text1"/>
          <w:sz w:val="21"/>
          <w:szCs w:val="21"/>
        </w:rPr>
        <w:t>台商投资区</w:t>
      </w:r>
      <w:r w:rsidR="00432972" w:rsidRPr="007B4794">
        <w:rPr>
          <w:rFonts w:cs="Arial" w:hint="eastAsia"/>
          <w:color w:val="000000" w:themeColor="text1"/>
          <w:sz w:val="21"/>
          <w:szCs w:val="21"/>
        </w:rPr>
        <w:t>角美镇核心镇区，东北</w:t>
      </w:r>
      <w:r w:rsidR="00432972" w:rsidRPr="007B4794">
        <w:rPr>
          <w:rFonts w:ascii="Arial" w:hAnsi="Arial" w:cs="Arial"/>
          <w:color w:val="000000" w:themeColor="text1"/>
          <w:sz w:val="21"/>
          <w:szCs w:val="21"/>
        </w:rPr>
        <w:t>距</w:t>
      </w:r>
      <w:r w:rsidR="00432972" w:rsidRPr="007B4794">
        <w:rPr>
          <w:rFonts w:ascii="Arial" w:hAnsi="Arial" w:cs="Arial" w:hint="eastAsia"/>
          <w:color w:val="000000" w:themeColor="text1"/>
          <w:sz w:val="21"/>
          <w:szCs w:val="21"/>
        </w:rPr>
        <w:t>角美镇政府约</w:t>
      </w:r>
      <w:r w:rsidR="00432972" w:rsidRPr="007B4794">
        <w:rPr>
          <w:rFonts w:ascii="Arial" w:hAnsi="Arial" w:cs="Arial" w:hint="eastAsia"/>
          <w:color w:val="000000" w:themeColor="text1"/>
          <w:sz w:val="21"/>
          <w:szCs w:val="21"/>
        </w:rPr>
        <w:t>2</w:t>
      </w:r>
      <w:r w:rsidR="00432972" w:rsidRPr="007B4794">
        <w:rPr>
          <w:rFonts w:ascii="Arial" w:hAnsi="Arial" w:cs="Arial" w:hint="eastAsia"/>
          <w:color w:val="000000" w:themeColor="text1"/>
          <w:sz w:val="21"/>
          <w:szCs w:val="21"/>
        </w:rPr>
        <w:t>公里，北距角美</w:t>
      </w:r>
      <w:r w:rsidR="00432972" w:rsidRPr="007B4794">
        <w:rPr>
          <w:rFonts w:ascii="Arial" w:hAnsi="Arial" w:cs="Arial"/>
          <w:color w:val="000000" w:themeColor="text1"/>
          <w:sz w:val="21"/>
          <w:szCs w:val="21"/>
        </w:rPr>
        <w:t>站</w:t>
      </w:r>
      <w:r w:rsidR="00432972" w:rsidRPr="007B4794">
        <w:rPr>
          <w:rFonts w:ascii="Arial" w:hAnsi="Arial" w:cs="Arial" w:hint="eastAsia"/>
          <w:color w:val="000000" w:themeColor="text1"/>
          <w:sz w:val="21"/>
          <w:szCs w:val="21"/>
        </w:rPr>
        <w:t>约</w:t>
      </w:r>
      <w:r w:rsidR="00432972" w:rsidRPr="007B4794">
        <w:rPr>
          <w:rFonts w:ascii="Arial" w:hAnsi="Arial" w:cs="Arial" w:hint="eastAsia"/>
          <w:color w:val="000000" w:themeColor="text1"/>
          <w:sz w:val="21"/>
          <w:szCs w:val="21"/>
        </w:rPr>
        <w:t>2</w:t>
      </w:r>
      <w:r w:rsidR="00432972" w:rsidRPr="007B4794">
        <w:rPr>
          <w:rFonts w:ascii="Arial" w:hAnsi="Arial" w:cs="Arial"/>
          <w:color w:val="000000" w:themeColor="text1"/>
          <w:sz w:val="21"/>
          <w:szCs w:val="21"/>
        </w:rPr>
        <w:t>公里，</w:t>
      </w:r>
      <w:r w:rsidR="00432972" w:rsidRPr="007B4794">
        <w:rPr>
          <w:rFonts w:ascii="Arial" w:hAnsi="Arial" w:cs="Arial" w:hint="eastAsia"/>
          <w:color w:val="000000" w:themeColor="text1"/>
          <w:sz w:val="21"/>
          <w:szCs w:val="21"/>
        </w:rPr>
        <w:t>距离厦门高崎</w:t>
      </w:r>
      <w:r w:rsidR="00432972" w:rsidRPr="007B4794">
        <w:rPr>
          <w:rFonts w:ascii="Arial" w:hAnsi="Arial" w:cs="Arial"/>
          <w:color w:val="000000" w:themeColor="text1"/>
          <w:sz w:val="21"/>
          <w:szCs w:val="21"/>
        </w:rPr>
        <w:t>机场</w:t>
      </w:r>
      <w:r w:rsidR="00432972" w:rsidRPr="007B4794">
        <w:rPr>
          <w:rFonts w:ascii="Arial" w:hAnsi="Arial" w:cs="Arial" w:hint="eastAsia"/>
          <w:color w:val="000000" w:themeColor="text1"/>
          <w:sz w:val="21"/>
          <w:szCs w:val="21"/>
        </w:rPr>
        <w:t>24.5</w:t>
      </w:r>
      <w:r w:rsidR="00432972" w:rsidRPr="007B4794">
        <w:rPr>
          <w:rFonts w:ascii="Arial" w:hAnsi="Arial" w:cs="Arial"/>
          <w:color w:val="000000" w:themeColor="text1"/>
          <w:sz w:val="21"/>
          <w:szCs w:val="21"/>
        </w:rPr>
        <w:t>公里</w:t>
      </w:r>
      <w:r w:rsidR="00AE4A6B" w:rsidRPr="007B4794">
        <w:rPr>
          <w:rFonts w:ascii="Arial" w:hAnsi="Arial" w:cs="Arial" w:hint="eastAsia"/>
          <w:color w:val="000000" w:themeColor="text1"/>
          <w:sz w:val="21"/>
          <w:szCs w:val="21"/>
        </w:rPr>
        <w:t>。</w:t>
      </w:r>
    </w:p>
    <w:p w14:paraId="6DCF1E96" w14:textId="776F6888" w:rsidR="00AE4A6B" w:rsidRPr="007B4794" w:rsidRDefault="00AE4A6B" w:rsidP="00AE4A6B">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2</w:t>
      </w:r>
      <w:r w:rsidRPr="007B4794">
        <w:rPr>
          <w:rFonts w:ascii="Arial" w:hAnsi="Arial" w:cs="Arial" w:hint="eastAsia"/>
          <w:color w:val="000000" w:themeColor="text1"/>
          <w:sz w:val="21"/>
          <w:szCs w:val="21"/>
        </w:rPr>
        <w:t>、交通、配套优势：</w:t>
      </w:r>
      <w:r w:rsidR="00913896" w:rsidRPr="007B4794">
        <w:rPr>
          <w:rFonts w:ascii="Arial" w:hAnsi="Arial" w:cs="Arial" w:hint="eastAsia"/>
          <w:color w:val="000000" w:themeColor="text1"/>
          <w:sz w:val="21"/>
          <w:szCs w:val="21"/>
        </w:rPr>
        <w:t>调研对象</w:t>
      </w:r>
      <w:r w:rsidR="00432972" w:rsidRPr="007B4794">
        <w:rPr>
          <w:rFonts w:ascii="Arial" w:hAnsi="Arial" w:cs="Arial" w:hint="eastAsia"/>
          <w:color w:val="000000" w:themeColor="text1"/>
          <w:sz w:val="21"/>
          <w:szCs w:val="21"/>
        </w:rPr>
        <w:t>周边</w:t>
      </w:r>
      <w:r w:rsidR="00432972" w:rsidRPr="007B4794">
        <w:rPr>
          <w:rFonts w:ascii="Arial" w:hAnsi="Arial" w:cs="Arial"/>
          <w:color w:val="000000" w:themeColor="text1"/>
          <w:sz w:val="21"/>
          <w:szCs w:val="21"/>
        </w:rPr>
        <w:t>有</w:t>
      </w:r>
      <w:r w:rsidR="00432972" w:rsidRPr="007B4794">
        <w:rPr>
          <w:rFonts w:ascii="Arial" w:hAnsi="Arial" w:cs="Arial" w:hint="eastAsia"/>
          <w:color w:val="000000" w:themeColor="text1"/>
          <w:sz w:val="21"/>
          <w:szCs w:val="21"/>
        </w:rPr>
        <w:t>厦蓉高速、角海路、沈海高速、角江路等主干道及快速路，路网密集，行车出入便捷，周边有多条公共交通线路，</w:t>
      </w:r>
      <w:r w:rsidR="00432972" w:rsidRPr="007B4794">
        <w:rPr>
          <w:rFonts w:ascii="Arial" w:hAnsi="Arial" w:cs="Arial"/>
          <w:color w:val="000000" w:themeColor="text1"/>
          <w:sz w:val="21"/>
          <w:szCs w:val="21"/>
        </w:rPr>
        <w:t>距在建地铁</w:t>
      </w:r>
      <w:r w:rsidR="00432972" w:rsidRPr="007B4794">
        <w:rPr>
          <w:rFonts w:ascii="Arial" w:hAnsi="Arial" w:cs="Arial" w:hint="eastAsia"/>
          <w:color w:val="000000" w:themeColor="text1"/>
          <w:sz w:val="21"/>
          <w:szCs w:val="21"/>
        </w:rPr>
        <w:t>6</w:t>
      </w:r>
      <w:r w:rsidR="00432972" w:rsidRPr="007B4794">
        <w:rPr>
          <w:rFonts w:ascii="Arial" w:hAnsi="Arial" w:cs="Arial"/>
          <w:color w:val="000000" w:themeColor="text1"/>
          <w:sz w:val="21"/>
          <w:szCs w:val="21"/>
        </w:rPr>
        <w:t>号线</w:t>
      </w:r>
      <w:r w:rsidR="00432972" w:rsidRPr="007B4794">
        <w:rPr>
          <w:rFonts w:ascii="Arial" w:hAnsi="Arial" w:cs="Arial" w:hint="eastAsia"/>
          <w:color w:val="000000" w:themeColor="text1"/>
          <w:sz w:val="21"/>
          <w:szCs w:val="21"/>
        </w:rPr>
        <w:t>延伸线龟山站</w:t>
      </w:r>
      <w:r w:rsidR="00432972" w:rsidRPr="007B4794">
        <w:rPr>
          <w:rFonts w:ascii="Arial" w:hAnsi="Arial" w:cs="Arial"/>
          <w:color w:val="000000" w:themeColor="text1"/>
          <w:sz w:val="21"/>
          <w:szCs w:val="21"/>
        </w:rPr>
        <w:t>约</w:t>
      </w:r>
      <w:r w:rsidR="00432972" w:rsidRPr="007B4794">
        <w:rPr>
          <w:rFonts w:ascii="Arial" w:hAnsi="Arial" w:cs="Arial" w:hint="eastAsia"/>
          <w:color w:val="000000" w:themeColor="text1"/>
          <w:sz w:val="21"/>
          <w:szCs w:val="21"/>
        </w:rPr>
        <w:t>300</w:t>
      </w:r>
      <w:r w:rsidR="00432972" w:rsidRPr="007B4794">
        <w:rPr>
          <w:rFonts w:ascii="Arial" w:hAnsi="Arial" w:cs="Arial" w:hint="eastAsia"/>
          <w:color w:val="000000" w:themeColor="text1"/>
          <w:sz w:val="21"/>
          <w:szCs w:val="21"/>
        </w:rPr>
        <w:t>米</w:t>
      </w:r>
      <w:r w:rsidRPr="007B4794">
        <w:rPr>
          <w:rFonts w:ascii="Arial" w:hAnsi="Arial" w:cs="Arial" w:hint="eastAsia"/>
          <w:color w:val="000000" w:themeColor="text1"/>
          <w:sz w:val="21"/>
          <w:szCs w:val="21"/>
        </w:rPr>
        <w:t>。</w:t>
      </w:r>
    </w:p>
    <w:p w14:paraId="3DD561D2" w14:textId="3C643685" w:rsidR="00AE4A6B" w:rsidRPr="007B4794" w:rsidRDefault="00AE4A6B" w:rsidP="00AE4A6B">
      <w:pPr>
        <w:spacing w:line="480" w:lineRule="auto"/>
        <w:ind w:firstLineChars="200" w:firstLine="420"/>
        <w:rPr>
          <w:rFonts w:ascii="Arial" w:hAnsi="Arial" w:cs="Arial"/>
          <w:color w:val="000000" w:themeColor="text1"/>
          <w:sz w:val="21"/>
          <w:szCs w:val="21"/>
        </w:rPr>
      </w:pPr>
      <w:r w:rsidRPr="007B4794">
        <w:rPr>
          <w:rFonts w:ascii="Arial" w:hAnsi="Arial" w:cs="Arial"/>
          <w:color w:val="000000" w:themeColor="text1"/>
          <w:sz w:val="21"/>
          <w:szCs w:val="21"/>
        </w:rPr>
        <w:t>3</w:t>
      </w:r>
      <w:r w:rsidRPr="007B4794">
        <w:rPr>
          <w:rFonts w:ascii="Arial" w:hAnsi="Arial" w:cs="Arial"/>
          <w:color w:val="000000" w:themeColor="text1"/>
          <w:sz w:val="21"/>
          <w:szCs w:val="21"/>
        </w:rPr>
        <w:t>、项目周边公共配套设施</w:t>
      </w:r>
      <w:r w:rsidR="00432972" w:rsidRPr="007B4794">
        <w:rPr>
          <w:rFonts w:ascii="Arial" w:hAnsi="Arial" w:cs="Arial" w:hint="eastAsia"/>
          <w:color w:val="000000" w:themeColor="text1"/>
          <w:sz w:val="21"/>
          <w:szCs w:val="21"/>
        </w:rPr>
        <w:t>较</w:t>
      </w:r>
      <w:r w:rsidRPr="007B4794">
        <w:rPr>
          <w:rFonts w:ascii="Arial" w:hAnsi="Arial" w:cs="Arial"/>
          <w:color w:val="000000" w:themeColor="text1"/>
          <w:sz w:val="21"/>
          <w:szCs w:val="21"/>
        </w:rPr>
        <w:t>齐全</w:t>
      </w:r>
      <w:r w:rsidRPr="007B4794">
        <w:rPr>
          <w:rFonts w:ascii="Arial" w:hAnsi="Arial" w:cs="Arial"/>
          <w:color w:val="000000" w:themeColor="text1"/>
          <w:sz w:val="21"/>
          <w:szCs w:val="21"/>
        </w:rPr>
        <w:t xml:space="preserve">  </w:t>
      </w:r>
    </w:p>
    <w:p w14:paraId="7FAF16FD" w14:textId="3998F7B9" w:rsidR="00AE4A6B" w:rsidRPr="007B4794" w:rsidRDefault="00AE4A6B" w:rsidP="00AE4A6B">
      <w:pPr>
        <w:spacing w:line="480" w:lineRule="auto"/>
        <w:ind w:firstLineChars="200" w:firstLine="420"/>
        <w:rPr>
          <w:rFonts w:ascii="Arial" w:hAnsi="Arial" w:cs="Arial"/>
          <w:color w:val="000000" w:themeColor="text1"/>
          <w:sz w:val="21"/>
          <w:szCs w:val="21"/>
        </w:rPr>
      </w:pPr>
      <w:r w:rsidRPr="007B4794">
        <w:rPr>
          <w:rFonts w:ascii="Arial" w:hAnsi="Arial" w:cs="Arial"/>
          <w:color w:val="000000" w:themeColor="text1"/>
          <w:sz w:val="21"/>
          <w:szCs w:val="21"/>
        </w:rPr>
        <w:t>商业：</w:t>
      </w:r>
      <w:r w:rsidR="00432972" w:rsidRPr="007B4794">
        <w:rPr>
          <w:rFonts w:ascii="Arial" w:hAnsi="Arial" w:cs="Arial" w:hint="eastAsia"/>
          <w:color w:val="000000" w:themeColor="text1"/>
          <w:sz w:val="21"/>
          <w:szCs w:val="21"/>
        </w:rPr>
        <w:t>项目南距离万达广场（角美店）约</w:t>
      </w:r>
      <w:r w:rsidR="00432972" w:rsidRPr="007B4794">
        <w:rPr>
          <w:rFonts w:ascii="Arial" w:hAnsi="Arial" w:cs="Arial" w:hint="eastAsia"/>
          <w:color w:val="000000" w:themeColor="text1"/>
          <w:sz w:val="21"/>
          <w:szCs w:val="21"/>
        </w:rPr>
        <w:t>600</w:t>
      </w:r>
      <w:r w:rsidR="00432972" w:rsidRPr="007B4794">
        <w:rPr>
          <w:rFonts w:ascii="Arial" w:hAnsi="Arial" w:cs="Arial" w:hint="eastAsia"/>
          <w:color w:val="000000" w:themeColor="text1"/>
          <w:sz w:val="21"/>
          <w:szCs w:val="21"/>
        </w:rPr>
        <w:t>米，周边已建成居住项目社区配套商业等</w:t>
      </w:r>
      <w:r w:rsidRPr="007B4794">
        <w:rPr>
          <w:rFonts w:ascii="Arial" w:hAnsi="Arial" w:cs="Arial"/>
          <w:color w:val="000000" w:themeColor="text1"/>
          <w:sz w:val="21"/>
          <w:szCs w:val="21"/>
        </w:rPr>
        <w:t>。</w:t>
      </w:r>
    </w:p>
    <w:p w14:paraId="7B11E21D" w14:textId="0D60B9B6" w:rsidR="00AE4A6B" w:rsidRPr="007B4794" w:rsidRDefault="00AE4A6B" w:rsidP="00AE4A6B">
      <w:pPr>
        <w:spacing w:line="480" w:lineRule="auto"/>
        <w:ind w:firstLineChars="200" w:firstLine="420"/>
        <w:rPr>
          <w:rFonts w:ascii="Arial" w:hAnsi="Arial" w:cs="Arial"/>
          <w:color w:val="000000" w:themeColor="text1"/>
          <w:sz w:val="21"/>
          <w:szCs w:val="21"/>
        </w:rPr>
      </w:pPr>
      <w:r w:rsidRPr="007B4794">
        <w:rPr>
          <w:rFonts w:ascii="Arial" w:hAnsi="Arial" w:cs="Arial"/>
          <w:color w:val="000000" w:themeColor="text1"/>
          <w:sz w:val="21"/>
          <w:szCs w:val="21"/>
        </w:rPr>
        <w:t>学校：</w:t>
      </w:r>
      <w:r w:rsidRPr="007B4794">
        <w:rPr>
          <w:rFonts w:ascii="Arial" w:hAnsi="Arial" w:cs="Arial" w:hint="eastAsia"/>
          <w:color w:val="000000" w:themeColor="text1"/>
          <w:sz w:val="21"/>
          <w:szCs w:val="21"/>
        </w:rPr>
        <w:t>周边有</w:t>
      </w:r>
      <w:r w:rsidR="00432972" w:rsidRPr="007B4794">
        <w:rPr>
          <w:rFonts w:ascii="Arial" w:hAnsi="Arial" w:cs="Arial" w:hint="eastAsia"/>
          <w:color w:val="000000" w:themeColor="text1"/>
          <w:sz w:val="21"/>
          <w:szCs w:val="21"/>
        </w:rPr>
        <w:t>双十中学（漳州校区）、东山实验小学、第三实验小学（闽南师范大学附属小学）、周边教育资源较丰富</w:t>
      </w:r>
      <w:r w:rsidRPr="007B4794">
        <w:rPr>
          <w:rFonts w:ascii="Arial" w:hAnsi="Arial" w:cs="Arial"/>
          <w:color w:val="000000" w:themeColor="text1"/>
          <w:sz w:val="21"/>
          <w:szCs w:val="21"/>
        </w:rPr>
        <w:t>；</w:t>
      </w:r>
    </w:p>
    <w:p w14:paraId="781C7CA0" w14:textId="5DA58615" w:rsidR="00AE4A6B" w:rsidRPr="007B4794" w:rsidRDefault="00AE4A6B" w:rsidP="00AE4A6B">
      <w:pPr>
        <w:spacing w:line="480" w:lineRule="auto"/>
        <w:ind w:firstLineChars="200" w:firstLine="420"/>
        <w:rPr>
          <w:rFonts w:ascii="Arial" w:hAnsi="Arial" w:cs="Arial"/>
          <w:color w:val="000000" w:themeColor="text1"/>
          <w:sz w:val="21"/>
          <w:szCs w:val="21"/>
        </w:rPr>
      </w:pPr>
      <w:r w:rsidRPr="007B4794">
        <w:rPr>
          <w:rFonts w:ascii="Arial" w:hAnsi="Arial" w:cs="Arial"/>
          <w:color w:val="000000" w:themeColor="text1"/>
          <w:sz w:val="21"/>
          <w:szCs w:val="21"/>
        </w:rPr>
        <w:t>银行：</w:t>
      </w:r>
      <w:r w:rsidR="00432972" w:rsidRPr="007B4794">
        <w:rPr>
          <w:rFonts w:ascii="Arial" w:hAnsi="Arial" w:cs="Arial" w:hint="eastAsia"/>
          <w:color w:val="000000" w:themeColor="text1"/>
          <w:sz w:val="21"/>
          <w:szCs w:val="21"/>
        </w:rPr>
        <w:t>龙海农商银行、中国银行、附件龙海泰隆村镇银行</w:t>
      </w:r>
      <w:r w:rsidRPr="007B4794">
        <w:rPr>
          <w:rFonts w:ascii="Arial" w:hAnsi="Arial" w:cs="Arial"/>
          <w:color w:val="000000" w:themeColor="text1"/>
          <w:sz w:val="21"/>
          <w:szCs w:val="21"/>
        </w:rPr>
        <w:t>等；</w:t>
      </w:r>
      <w:r w:rsidRPr="007B4794">
        <w:rPr>
          <w:rFonts w:ascii="Arial" w:hAnsi="Arial" w:cs="Arial"/>
          <w:color w:val="000000" w:themeColor="text1"/>
          <w:sz w:val="21"/>
          <w:szCs w:val="21"/>
        </w:rPr>
        <w:t xml:space="preserve"> </w:t>
      </w:r>
    </w:p>
    <w:p w14:paraId="77E5FD55" w14:textId="7665E212" w:rsidR="00AE4A6B" w:rsidRPr="007B4794" w:rsidRDefault="00AE4A6B" w:rsidP="00AE4A6B">
      <w:pPr>
        <w:spacing w:line="480" w:lineRule="auto"/>
        <w:ind w:firstLineChars="200" w:firstLine="420"/>
        <w:rPr>
          <w:rFonts w:ascii="Arial" w:hAnsi="Arial" w:cs="Arial"/>
          <w:color w:val="000000" w:themeColor="text1"/>
          <w:sz w:val="21"/>
          <w:szCs w:val="21"/>
        </w:rPr>
      </w:pPr>
      <w:r w:rsidRPr="007B4794">
        <w:rPr>
          <w:rFonts w:ascii="Arial" w:hAnsi="Arial" w:cs="Arial"/>
          <w:color w:val="000000" w:themeColor="text1"/>
          <w:sz w:val="21"/>
          <w:szCs w:val="21"/>
        </w:rPr>
        <w:t>医院：</w:t>
      </w:r>
      <w:r w:rsidR="00432972" w:rsidRPr="007B4794">
        <w:rPr>
          <w:rFonts w:ascii="Arial" w:hAnsi="Arial" w:cs="Arial"/>
          <w:color w:val="000000" w:themeColor="text1"/>
          <w:sz w:val="21"/>
          <w:szCs w:val="21"/>
        </w:rPr>
        <w:t>周边</w:t>
      </w:r>
      <w:r w:rsidR="00432972" w:rsidRPr="007B4794">
        <w:rPr>
          <w:rFonts w:ascii="Arial" w:hAnsi="Arial" w:cs="Arial"/>
          <w:color w:val="000000" w:themeColor="text1"/>
          <w:sz w:val="21"/>
          <w:szCs w:val="21"/>
        </w:rPr>
        <w:t>2</w:t>
      </w:r>
      <w:r w:rsidR="00432972" w:rsidRPr="007B4794">
        <w:rPr>
          <w:rFonts w:ascii="Arial" w:hAnsi="Arial" w:cs="Arial"/>
          <w:color w:val="000000" w:themeColor="text1"/>
          <w:sz w:val="21"/>
          <w:szCs w:val="21"/>
        </w:rPr>
        <w:t>公里范围内医疗资源</w:t>
      </w:r>
      <w:r w:rsidR="00432972" w:rsidRPr="007B4794">
        <w:rPr>
          <w:rFonts w:ascii="Arial" w:hAnsi="Arial" w:cs="Arial" w:hint="eastAsia"/>
          <w:color w:val="000000" w:themeColor="text1"/>
          <w:sz w:val="21"/>
          <w:szCs w:val="21"/>
        </w:rPr>
        <w:t>较</w:t>
      </w:r>
      <w:r w:rsidR="00432972" w:rsidRPr="007B4794">
        <w:rPr>
          <w:rFonts w:ascii="Arial" w:hAnsi="Arial" w:cs="Arial"/>
          <w:color w:val="000000" w:themeColor="text1"/>
          <w:sz w:val="21"/>
          <w:szCs w:val="21"/>
        </w:rPr>
        <w:t>丰富，有</w:t>
      </w:r>
      <w:r w:rsidR="00432972" w:rsidRPr="007B4794">
        <w:rPr>
          <w:rFonts w:ascii="Arial" w:hAnsi="Arial" w:cs="Arial" w:hint="eastAsia"/>
          <w:color w:val="000000" w:themeColor="text1"/>
          <w:sz w:val="21"/>
          <w:szCs w:val="21"/>
        </w:rPr>
        <w:t>漳州市第五医院</w:t>
      </w:r>
      <w:r w:rsidR="00432972" w:rsidRPr="007B4794">
        <w:rPr>
          <w:rFonts w:ascii="Arial" w:hAnsi="Arial" w:cs="Arial"/>
          <w:color w:val="000000" w:themeColor="text1"/>
          <w:sz w:val="21"/>
          <w:szCs w:val="21"/>
        </w:rPr>
        <w:t>等</w:t>
      </w:r>
      <w:r w:rsidRPr="007B4794">
        <w:rPr>
          <w:rFonts w:ascii="Arial" w:hAnsi="Arial" w:cs="Arial"/>
          <w:color w:val="000000" w:themeColor="text1"/>
          <w:sz w:val="21"/>
          <w:szCs w:val="21"/>
        </w:rPr>
        <w:t>。</w:t>
      </w:r>
    </w:p>
    <w:p w14:paraId="44AA1105" w14:textId="5EB24764" w:rsidR="00257642" w:rsidRPr="007B4794" w:rsidRDefault="007B57B7" w:rsidP="00257642">
      <w:pPr>
        <w:widowControl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4</w:t>
      </w:r>
      <w:r w:rsidR="00BB27F9" w:rsidRPr="007B4794">
        <w:rPr>
          <w:rFonts w:ascii="Arial" w:hAnsi="Arial" w:cs="Arial" w:hint="eastAsia"/>
          <w:color w:val="000000" w:themeColor="text1"/>
          <w:sz w:val="21"/>
          <w:szCs w:val="21"/>
        </w:rPr>
        <w:t>、</w:t>
      </w:r>
      <w:r w:rsidR="0012466B" w:rsidRPr="007B4794">
        <w:rPr>
          <w:rFonts w:ascii="Arial" w:hAnsi="Arial" w:cs="Arial" w:hint="eastAsia"/>
          <w:color w:val="000000" w:themeColor="text1"/>
          <w:sz w:val="21"/>
          <w:szCs w:val="21"/>
        </w:rPr>
        <w:t>品牌</w:t>
      </w:r>
      <w:r w:rsidR="00BB27F9" w:rsidRPr="007B4794">
        <w:rPr>
          <w:rFonts w:ascii="Arial" w:hAnsi="Arial" w:cs="Arial" w:hint="eastAsia"/>
          <w:color w:val="000000" w:themeColor="text1"/>
          <w:sz w:val="21"/>
          <w:szCs w:val="21"/>
        </w:rPr>
        <w:t>优势：</w:t>
      </w:r>
      <w:r w:rsidR="00432972" w:rsidRPr="007B4794">
        <w:rPr>
          <w:rFonts w:ascii="Arial" w:hAnsi="Arial" w:cs="Arial" w:hint="eastAsia"/>
          <w:color w:val="000000" w:themeColor="text1"/>
          <w:sz w:val="21"/>
          <w:szCs w:val="21"/>
        </w:rPr>
        <w:t>台商投资区</w:t>
      </w:r>
      <w:r w:rsidR="003B09BE" w:rsidRPr="007B4794">
        <w:rPr>
          <w:rFonts w:ascii="Arial" w:hAnsi="Arial" w:cs="Arial" w:hint="eastAsia"/>
          <w:color w:val="000000" w:themeColor="text1"/>
          <w:sz w:val="21"/>
          <w:szCs w:val="21"/>
        </w:rPr>
        <w:t>近年来品牌房企认可度逐年提升，</w:t>
      </w:r>
      <w:r w:rsidR="00432972" w:rsidRPr="007B4794">
        <w:rPr>
          <w:rFonts w:ascii="Arial" w:hAnsi="Arial" w:cs="Arial" w:hint="eastAsia"/>
          <w:color w:val="000000" w:themeColor="text1"/>
          <w:sz w:val="21"/>
          <w:szCs w:val="21"/>
        </w:rPr>
        <w:t>泰禾、金地、海投</w:t>
      </w:r>
      <w:r w:rsidR="003B09BE" w:rsidRPr="007B4794">
        <w:rPr>
          <w:rFonts w:ascii="Arial" w:hAnsi="Arial" w:cs="Arial" w:hint="eastAsia"/>
          <w:color w:val="000000" w:themeColor="text1"/>
          <w:sz w:val="21"/>
          <w:szCs w:val="21"/>
        </w:rPr>
        <w:t>等品牌房企不断进驻</w:t>
      </w:r>
      <w:r w:rsidR="00D30D68" w:rsidRPr="007B4794">
        <w:rPr>
          <w:rFonts w:ascii="Arial" w:hAnsi="Arial" w:cs="Arial" w:hint="eastAsia"/>
          <w:color w:val="000000" w:themeColor="text1"/>
          <w:sz w:val="21"/>
          <w:szCs w:val="21"/>
        </w:rPr>
        <w:t>漳州</w:t>
      </w:r>
      <w:r w:rsidR="003B09BE" w:rsidRPr="007B4794">
        <w:rPr>
          <w:rFonts w:ascii="Arial" w:hAnsi="Arial" w:cs="Arial" w:hint="eastAsia"/>
          <w:color w:val="000000" w:themeColor="text1"/>
          <w:sz w:val="21"/>
          <w:szCs w:val="21"/>
        </w:rPr>
        <w:t>，对城市的发展看好，预期较高；项目整体客户产品认可度、品牌认可度较好，有一定的客户和口碑基础</w:t>
      </w:r>
      <w:r w:rsidR="00F16208" w:rsidRPr="007B4794">
        <w:rPr>
          <w:rFonts w:ascii="Arial" w:hAnsi="Arial" w:cs="Arial" w:hint="eastAsia"/>
          <w:color w:val="000000" w:themeColor="text1"/>
          <w:sz w:val="21"/>
          <w:szCs w:val="21"/>
        </w:rPr>
        <w:t>。</w:t>
      </w:r>
    </w:p>
    <w:p w14:paraId="1307B3CE" w14:textId="7CEF7ACA" w:rsidR="007D16C4" w:rsidRPr="007B4794" w:rsidRDefault="00581C42" w:rsidP="007C540C">
      <w:pPr>
        <w:widowControl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（二）</w:t>
      </w:r>
      <w:r w:rsidR="007D16C4" w:rsidRPr="007B4794">
        <w:rPr>
          <w:rFonts w:ascii="Arial" w:hAnsi="Arial" w:cs="Arial"/>
          <w:color w:val="000000" w:themeColor="text1"/>
          <w:sz w:val="21"/>
          <w:szCs w:val="21"/>
        </w:rPr>
        <w:t>劣势</w:t>
      </w:r>
    </w:p>
    <w:p w14:paraId="2118AC72" w14:textId="4DD27638" w:rsidR="00AE4A6B" w:rsidRPr="007B4794" w:rsidRDefault="00AE4A6B" w:rsidP="00AE4A6B">
      <w:pPr>
        <w:spacing w:line="480" w:lineRule="auto"/>
        <w:ind w:firstLineChars="200" w:firstLine="420"/>
        <w:rPr>
          <w:rFonts w:ascii="Arial" w:hAnsi="Arial" w:cs="Arial"/>
          <w:color w:val="000000" w:themeColor="text1"/>
          <w:sz w:val="21"/>
          <w:szCs w:val="21"/>
        </w:rPr>
      </w:pPr>
      <w:r w:rsidRPr="007B4794">
        <w:rPr>
          <w:rFonts w:ascii="Arial" w:hAnsi="Arial" w:cs="Arial" w:hint="eastAsia"/>
          <w:color w:val="000000" w:themeColor="text1"/>
          <w:sz w:val="21"/>
          <w:szCs w:val="21"/>
        </w:rPr>
        <w:t>周边已建成项目及在建项目对本项目的销售有一定冲击力，且项目定价略高于区域同类物业，会对产品的销售产生一定影响。</w:t>
      </w:r>
    </w:p>
    <w:p w14:paraId="2268FA18" w14:textId="13F224E2" w:rsidR="00D243CD" w:rsidRPr="007B4794" w:rsidRDefault="00581C42" w:rsidP="007C540C">
      <w:pPr>
        <w:widowControl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lastRenderedPageBreak/>
        <w:t>（三）</w:t>
      </w:r>
      <w:r w:rsidR="00D243CD" w:rsidRPr="007B4794">
        <w:rPr>
          <w:rFonts w:ascii="Arial" w:hAnsi="Arial" w:cs="Arial" w:hint="eastAsia"/>
          <w:color w:val="000000" w:themeColor="text1"/>
          <w:sz w:val="21"/>
          <w:szCs w:val="21"/>
        </w:rPr>
        <w:t>机会</w:t>
      </w:r>
    </w:p>
    <w:p w14:paraId="05C077DE" w14:textId="3365AD31" w:rsidR="00AE4A6B" w:rsidRPr="007B4794" w:rsidRDefault="00432972" w:rsidP="00C31915">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漳州市总体规划</w:t>
      </w:r>
      <w:r w:rsidRPr="007B4794">
        <w:rPr>
          <w:rFonts w:ascii="Arial" w:hAnsi="Arial" w:cs="Arial"/>
          <w:color w:val="000000" w:themeColor="text1"/>
          <w:sz w:val="21"/>
          <w:szCs w:val="21"/>
        </w:rPr>
        <w:t>已确定了</w:t>
      </w:r>
      <w:r w:rsidRPr="007B4794">
        <w:rPr>
          <w:rFonts w:ascii="Arial" w:hAnsi="Arial" w:cs="Arial"/>
          <w:color w:val="000000" w:themeColor="text1"/>
          <w:sz w:val="21"/>
          <w:szCs w:val="21"/>
        </w:rPr>
        <w:t>“</w:t>
      </w:r>
      <w:r w:rsidRPr="007B4794">
        <w:rPr>
          <w:rFonts w:ascii="Arial" w:hAnsi="Arial" w:cs="Arial"/>
          <w:color w:val="000000" w:themeColor="text1"/>
          <w:sz w:val="21"/>
          <w:szCs w:val="21"/>
        </w:rPr>
        <w:t>一城两区三园，一心一轴一带</w:t>
      </w:r>
      <w:r w:rsidRPr="007B4794">
        <w:rPr>
          <w:rFonts w:ascii="Arial" w:hAnsi="Arial" w:cs="Arial"/>
          <w:color w:val="000000" w:themeColor="text1"/>
          <w:sz w:val="21"/>
          <w:szCs w:val="21"/>
        </w:rPr>
        <w:t>”</w:t>
      </w:r>
      <w:r w:rsidRPr="007B4794">
        <w:rPr>
          <w:rFonts w:ascii="Arial" w:hAnsi="Arial" w:cs="Arial"/>
          <w:color w:val="000000" w:themeColor="text1"/>
          <w:sz w:val="21"/>
          <w:szCs w:val="21"/>
        </w:rPr>
        <w:t>的城市空间结构</w:t>
      </w:r>
      <w:r w:rsidRPr="007B4794">
        <w:rPr>
          <w:rFonts w:ascii="Arial" w:hAnsi="Arial" w:cs="Arial" w:hint="eastAsia"/>
          <w:color w:val="000000" w:themeColor="text1"/>
          <w:sz w:val="21"/>
          <w:szCs w:val="21"/>
        </w:rPr>
        <w:t>。台商投资区位于漳州、厦门城市节点，是规划中的漳州市中心城区组团之一。</w:t>
      </w:r>
      <w:r w:rsidRPr="007B4794">
        <w:rPr>
          <w:rFonts w:ascii="Arial" w:hAnsi="Arial" w:cs="Arial"/>
          <w:color w:val="000000" w:themeColor="text1"/>
          <w:sz w:val="21"/>
          <w:szCs w:val="21"/>
        </w:rPr>
        <w:t>调研对象</w:t>
      </w:r>
      <w:r w:rsidRPr="007B4794">
        <w:rPr>
          <w:rFonts w:cs="Arial" w:hint="eastAsia"/>
          <w:color w:val="000000" w:themeColor="text1"/>
          <w:sz w:val="21"/>
          <w:szCs w:val="21"/>
        </w:rPr>
        <w:t>位于</w:t>
      </w:r>
      <w:r w:rsidRPr="007B4794">
        <w:rPr>
          <w:rFonts w:ascii="Arial" w:hAnsi="Arial" w:cs="Arial" w:hint="eastAsia"/>
          <w:color w:val="000000" w:themeColor="text1"/>
          <w:sz w:val="21"/>
          <w:szCs w:val="21"/>
        </w:rPr>
        <w:t>台商投资区</w:t>
      </w:r>
      <w:r w:rsidRPr="007B4794">
        <w:rPr>
          <w:rFonts w:cs="Arial" w:hint="eastAsia"/>
          <w:color w:val="000000" w:themeColor="text1"/>
          <w:sz w:val="21"/>
          <w:szCs w:val="21"/>
        </w:rPr>
        <w:t>角美镇核心镇区</w:t>
      </w:r>
      <w:r w:rsidR="00AE4A6B" w:rsidRPr="007B4794">
        <w:rPr>
          <w:rFonts w:ascii="Arial" w:hAnsi="Arial" w:cs="Arial" w:hint="eastAsia"/>
          <w:color w:val="000000" w:themeColor="text1"/>
          <w:sz w:val="21"/>
          <w:szCs w:val="21"/>
        </w:rPr>
        <w:t>，周边</w:t>
      </w:r>
      <w:r w:rsidR="00AE4A6B" w:rsidRPr="007B4794">
        <w:rPr>
          <w:rFonts w:ascii="Arial" w:hAnsi="Arial" w:cs="Arial"/>
          <w:color w:val="000000" w:themeColor="text1"/>
          <w:sz w:val="21"/>
          <w:szCs w:val="21"/>
        </w:rPr>
        <w:t>商业</w:t>
      </w:r>
      <w:r w:rsidR="00AE4A6B" w:rsidRPr="007B4794">
        <w:rPr>
          <w:rFonts w:ascii="Arial" w:hAnsi="Arial" w:cs="Arial" w:hint="eastAsia"/>
          <w:color w:val="000000" w:themeColor="text1"/>
          <w:sz w:val="21"/>
          <w:szCs w:val="21"/>
        </w:rPr>
        <w:t>、</w:t>
      </w:r>
      <w:r w:rsidR="00AE4A6B" w:rsidRPr="007B4794">
        <w:rPr>
          <w:rFonts w:ascii="Arial" w:hAnsi="Arial" w:cs="Arial"/>
          <w:color w:val="000000" w:themeColor="text1"/>
          <w:sz w:val="21"/>
          <w:szCs w:val="21"/>
        </w:rPr>
        <w:t>教育</w:t>
      </w:r>
      <w:r w:rsidR="00AE4A6B" w:rsidRPr="007B4794">
        <w:rPr>
          <w:rFonts w:ascii="Arial" w:hAnsi="Arial" w:cs="Arial" w:hint="eastAsia"/>
          <w:color w:val="000000" w:themeColor="text1"/>
          <w:sz w:val="21"/>
          <w:szCs w:val="21"/>
        </w:rPr>
        <w:t>、</w:t>
      </w:r>
      <w:r w:rsidR="00AE4A6B" w:rsidRPr="007B4794">
        <w:rPr>
          <w:rFonts w:ascii="Arial" w:hAnsi="Arial" w:cs="Arial"/>
          <w:color w:val="000000" w:themeColor="text1"/>
          <w:sz w:val="21"/>
          <w:szCs w:val="21"/>
        </w:rPr>
        <w:t>医疗等</w:t>
      </w:r>
      <w:r w:rsidR="00AE4A6B" w:rsidRPr="007B4794">
        <w:rPr>
          <w:rFonts w:ascii="Arial" w:hAnsi="Arial" w:cs="Arial" w:hint="eastAsia"/>
          <w:color w:val="000000" w:themeColor="text1"/>
          <w:sz w:val="21"/>
          <w:szCs w:val="21"/>
        </w:rPr>
        <w:t>配套设施较</w:t>
      </w:r>
      <w:r w:rsidR="00C31915" w:rsidRPr="007B4794">
        <w:rPr>
          <w:rFonts w:ascii="Arial" w:hAnsi="Arial" w:cs="Arial" w:hint="eastAsia"/>
          <w:color w:val="000000" w:themeColor="text1"/>
          <w:sz w:val="21"/>
          <w:szCs w:val="21"/>
        </w:rPr>
        <w:t>为</w:t>
      </w:r>
      <w:r w:rsidR="00AE4A6B" w:rsidRPr="007B4794">
        <w:rPr>
          <w:rFonts w:ascii="Arial" w:hAnsi="Arial" w:cs="Arial" w:hint="eastAsia"/>
          <w:color w:val="000000" w:themeColor="text1"/>
          <w:sz w:val="21"/>
          <w:szCs w:val="21"/>
        </w:rPr>
        <w:t>成熟，</w:t>
      </w:r>
      <w:r w:rsidR="00C31915" w:rsidRPr="007B4794">
        <w:rPr>
          <w:rFonts w:ascii="Arial" w:hAnsi="Arial" w:cs="Arial" w:hint="eastAsia"/>
          <w:color w:val="000000" w:themeColor="text1"/>
          <w:sz w:val="21"/>
          <w:szCs w:val="21"/>
        </w:rPr>
        <w:t xml:space="preserve"> </w:t>
      </w:r>
      <w:r w:rsidR="00C31915" w:rsidRPr="007B4794">
        <w:rPr>
          <w:rFonts w:ascii="Arial" w:hAnsi="Arial" w:cs="Arial" w:hint="eastAsia"/>
          <w:color w:val="000000" w:themeColor="text1"/>
          <w:sz w:val="21"/>
          <w:szCs w:val="21"/>
        </w:rPr>
        <w:t>且随着台商投资区</w:t>
      </w:r>
      <w:r w:rsidR="00C31915" w:rsidRPr="007B4794">
        <w:rPr>
          <w:rFonts w:ascii="Arial" w:hAnsi="Arial" w:cs="Arial"/>
          <w:color w:val="000000" w:themeColor="text1"/>
          <w:sz w:val="21"/>
          <w:szCs w:val="21"/>
        </w:rPr>
        <w:t>发展</w:t>
      </w:r>
      <w:r w:rsidR="00C31915" w:rsidRPr="007B4794">
        <w:rPr>
          <w:rFonts w:ascii="Arial" w:hAnsi="Arial" w:cs="Arial" w:hint="eastAsia"/>
          <w:color w:val="000000" w:themeColor="text1"/>
          <w:sz w:val="21"/>
          <w:szCs w:val="21"/>
        </w:rPr>
        <w:t>，</w:t>
      </w:r>
      <w:r w:rsidR="00C31915" w:rsidRPr="007B4794">
        <w:rPr>
          <w:rFonts w:ascii="Arial" w:hAnsi="Arial" w:cs="Arial"/>
          <w:color w:val="000000" w:themeColor="text1"/>
          <w:sz w:val="21"/>
          <w:szCs w:val="21"/>
        </w:rPr>
        <w:t>未来</w:t>
      </w:r>
      <w:r w:rsidR="00C31915" w:rsidRPr="007B4794">
        <w:rPr>
          <w:rFonts w:ascii="Arial" w:hAnsi="Arial" w:cs="Arial" w:hint="eastAsia"/>
          <w:color w:val="000000" w:themeColor="text1"/>
          <w:sz w:val="21"/>
          <w:szCs w:val="21"/>
        </w:rPr>
        <w:t>周边规划将更趋于成熟，</w:t>
      </w:r>
      <w:r w:rsidR="00C31915" w:rsidRPr="007B4794">
        <w:rPr>
          <w:rFonts w:ascii="Arial" w:hAnsi="Arial" w:cs="Arial"/>
          <w:color w:val="000000" w:themeColor="text1"/>
          <w:sz w:val="21"/>
          <w:szCs w:val="21"/>
        </w:rPr>
        <w:t>商业</w:t>
      </w:r>
      <w:r w:rsidR="00C31915" w:rsidRPr="007B4794">
        <w:rPr>
          <w:rFonts w:ascii="Arial" w:hAnsi="Arial" w:cs="Arial" w:hint="eastAsia"/>
          <w:color w:val="000000" w:themeColor="text1"/>
          <w:sz w:val="21"/>
          <w:szCs w:val="21"/>
        </w:rPr>
        <w:t>、</w:t>
      </w:r>
      <w:r w:rsidR="00C31915" w:rsidRPr="007B4794">
        <w:rPr>
          <w:rFonts w:ascii="Arial" w:hAnsi="Arial" w:cs="Arial"/>
          <w:color w:val="000000" w:themeColor="text1"/>
          <w:sz w:val="21"/>
          <w:szCs w:val="21"/>
        </w:rPr>
        <w:t>教育</w:t>
      </w:r>
      <w:r w:rsidR="00C31915" w:rsidRPr="007B4794">
        <w:rPr>
          <w:rFonts w:ascii="Arial" w:hAnsi="Arial" w:cs="Arial" w:hint="eastAsia"/>
          <w:color w:val="000000" w:themeColor="text1"/>
          <w:sz w:val="21"/>
          <w:szCs w:val="21"/>
        </w:rPr>
        <w:t>、</w:t>
      </w:r>
      <w:r w:rsidR="00C31915" w:rsidRPr="007B4794">
        <w:rPr>
          <w:rFonts w:ascii="Arial" w:hAnsi="Arial" w:cs="Arial"/>
          <w:color w:val="000000" w:themeColor="text1"/>
          <w:sz w:val="21"/>
          <w:szCs w:val="21"/>
        </w:rPr>
        <w:t>医疗等</w:t>
      </w:r>
      <w:r w:rsidR="00C31915" w:rsidRPr="007B4794">
        <w:rPr>
          <w:rFonts w:ascii="Arial" w:hAnsi="Arial" w:cs="Arial" w:hint="eastAsia"/>
          <w:color w:val="000000" w:themeColor="text1"/>
          <w:sz w:val="21"/>
          <w:szCs w:val="21"/>
        </w:rPr>
        <w:t>配套将进一步得到完善。</w:t>
      </w:r>
    </w:p>
    <w:p w14:paraId="0EA88DD5" w14:textId="7EB14014" w:rsidR="00D243CD" w:rsidRPr="007B4794" w:rsidRDefault="00581C42" w:rsidP="007C540C">
      <w:pPr>
        <w:widowControl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（四）</w:t>
      </w:r>
      <w:r w:rsidR="00D243CD" w:rsidRPr="007B4794">
        <w:rPr>
          <w:rFonts w:ascii="Arial" w:hAnsi="Arial" w:cs="Arial" w:hint="eastAsia"/>
          <w:color w:val="000000" w:themeColor="text1"/>
          <w:sz w:val="21"/>
          <w:szCs w:val="21"/>
        </w:rPr>
        <w:t>威胁</w:t>
      </w:r>
    </w:p>
    <w:p w14:paraId="0587EBCC" w14:textId="6ADF2CBE" w:rsidR="00AE4A6B" w:rsidRPr="007B4794" w:rsidRDefault="00913896" w:rsidP="00AE4A6B">
      <w:pPr>
        <w:widowControl w:val="0"/>
        <w:adjustRightInd w:val="0"/>
        <w:snapToGrid w:val="0"/>
        <w:spacing w:line="480" w:lineRule="auto"/>
        <w:ind w:firstLineChars="200" w:firstLine="420"/>
        <w:jc w:val="both"/>
        <w:rPr>
          <w:rFonts w:ascii="Arial" w:hAnsi="Arial" w:cs="Arial"/>
          <w:color w:val="000000" w:themeColor="text1"/>
          <w:sz w:val="21"/>
          <w:szCs w:val="21"/>
        </w:rPr>
      </w:pPr>
      <w:bookmarkStart w:id="81" w:name="_Toc187666149"/>
      <w:r w:rsidRPr="007B4794">
        <w:rPr>
          <w:rFonts w:ascii="Arial" w:hAnsi="Arial" w:cs="Arial" w:hint="eastAsia"/>
          <w:color w:val="000000" w:themeColor="text1"/>
          <w:sz w:val="21"/>
          <w:szCs w:val="21"/>
        </w:rPr>
        <w:t>调研对象</w:t>
      </w:r>
      <w:r w:rsidR="00AE4A6B" w:rsidRPr="007B4794">
        <w:rPr>
          <w:rFonts w:ascii="Arial" w:hAnsi="Arial" w:cs="Arial"/>
          <w:color w:val="000000" w:themeColor="text1"/>
          <w:sz w:val="21"/>
          <w:szCs w:val="21"/>
        </w:rPr>
        <w:t>3</w:t>
      </w:r>
      <w:r w:rsidR="00AE4A6B" w:rsidRPr="007B4794">
        <w:rPr>
          <w:rFonts w:ascii="Arial" w:hAnsi="Arial" w:cs="Arial" w:hint="eastAsia"/>
          <w:color w:val="000000" w:themeColor="text1"/>
          <w:sz w:val="21"/>
          <w:szCs w:val="21"/>
        </w:rPr>
        <w:t>公里范围内有</w:t>
      </w:r>
      <w:r w:rsidR="00C31915" w:rsidRPr="007B4794">
        <w:rPr>
          <w:rFonts w:ascii="Arial" w:hAnsi="Arial" w:cs="Arial" w:hint="eastAsia"/>
          <w:color w:val="000000" w:themeColor="text1"/>
          <w:sz w:val="21"/>
          <w:szCs w:val="21"/>
        </w:rPr>
        <w:t>水晶湖畔</w:t>
      </w:r>
      <w:r w:rsidR="00AE4A6B" w:rsidRPr="007B4794">
        <w:rPr>
          <w:rFonts w:ascii="Arial" w:hAnsi="Arial" w:cs="Arial" w:hint="eastAsia"/>
          <w:color w:val="000000" w:themeColor="text1"/>
          <w:sz w:val="21"/>
          <w:szCs w:val="21"/>
        </w:rPr>
        <w:t>、</w:t>
      </w:r>
      <w:r w:rsidR="00C31915" w:rsidRPr="007B4794">
        <w:rPr>
          <w:rFonts w:ascii="Arial" w:hAnsi="Arial" w:cs="Arial" w:hint="eastAsia"/>
          <w:color w:val="000000" w:themeColor="text1"/>
          <w:sz w:val="21"/>
          <w:szCs w:val="21"/>
        </w:rPr>
        <w:t>龙泉丽景</w:t>
      </w:r>
      <w:r w:rsidR="00AE4A6B" w:rsidRPr="007B4794">
        <w:rPr>
          <w:rFonts w:ascii="Arial" w:hAnsi="Arial" w:cs="Arial" w:hint="eastAsia"/>
          <w:color w:val="000000" w:themeColor="text1"/>
          <w:sz w:val="21"/>
          <w:szCs w:val="21"/>
        </w:rPr>
        <w:t>、</w:t>
      </w:r>
      <w:r w:rsidR="00C31915" w:rsidRPr="007B4794">
        <w:rPr>
          <w:rFonts w:ascii="Arial" w:hAnsi="Arial" w:cs="Arial" w:hint="eastAsia"/>
          <w:color w:val="000000" w:themeColor="text1"/>
          <w:sz w:val="21"/>
          <w:szCs w:val="21"/>
        </w:rPr>
        <w:t>万益广场（望春风）</w:t>
      </w:r>
      <w:r w:rsidR="00AE4A6B" w:rsidRPr="007B4794">
        <w:rPr>
          <w:rFonts w:ascii="Arial" w:hAnsi="Arial" w:cs="Arial" w:hint="eastAsia"/>
          <w:color w:val="000000" w:themeColor="text1"/>
          <w:sz w:val="21"/>
          <w:szCs w:val="21"/>
        </w:rPr>
        <w:t>等多个居住项目，且为知名房地产开</w:t>
      </w:r>
      <w:r w:rsidR="00AE4A6B" w:rsidRPr="007B4794">
        <w:rPr>
          <w:rFonts w:ascii="Arial" w:hAnsi="Arial" w:cs="Arial"/>
          <w:color w:val="000000" w:themeColor="text1"/>
          <w:sz w:val="21"/>
          <w:szCs w:val="21"/>
        </w:rPr>
        <w:t>发商，竞争力较大，</w:t>
      </w:r>
      <w:r w:rsidR="00AE4A6B" w:rsidRPr="007B4794">
        <w:rPr>
          <w:rFonts w:ascii="Arial" w:hAnsi="Arial" w:cs="Arial" w:hint="eastAsia"/>
          <w:color w:val="000000" w:themeColor="text1"/>
          <w:sz w:val="21"/>
          <w:szCs w:val="21"/>
        </w:rPr>
        <w:t>上述在售项目未来会对本</w:t>
      </w:r>
      <w:r w:rsidRPr="007B4794">
        <w:rPr>
          <w:rFonts w:ascii="Arial" w:hAnsi="Arial" w:cs="Arial" w:hint="eastAsia"/>
          <w:color w:val="000000" w:themeColor="text1"/>
          <w:sz w:val="21"/>
          <w:szCs w:val="21"/>
        </w:rPr>
        <w:t>调研对象</w:t>
      </w:r>
      <w:r w:rsidR="00AE4A6B" w:rsidRPr="007B4794">
        <w:rPr>
          <w:rFonts w:ascii="Arial" w:hAnsi="Arial" w:cs="Arial" w:hint="eastAsia"/>
          <w:color w:val="000000" w:themeColor="text1"/>
          <w:sz w:val="21"/>
          <w:szCs w:val="21"/>
        </w:rPr>
        <w:t>的经营销售构成一定威胁。</w:t>
      </w:r>
    </w:p>
    <w:p w14:paraId="3B1DD23E" w14:textId="17C5BA34" w:rsidR="00024B5D" w:rsidRPr="007B4794" w:rsidRDefault="00024B5D" w:rsidP="00024B5D">
      <w:pPr>
        <w:pStyle w:val="2"/>
        <w:snapToGrid w:val="0"/>
        <w:spacing w:before="0" w:after="0" w:line="480" w:lineRule="auto"/>
        <w:ind w:firstLineChars="98" w:firstLine="207"/>
        <w:jc w:val="both"/>
        <w:rPr>
          <w:rFonts w:eastAsia="宋体" w:cs="Arial"/>
          <w:color w:val="000000" w:themeColor="text1"/>
          <w:sz w:val="21"/>
          <w:szCs w:val="21"/>
        </w:rPr>
      </w:pPr>
      <w:bookmarkStart w:id="82" w:name="_Toc54016603"/>
      <w:r w:rsidRPr="007B4794">
        <w:rPr>
          <w:rFonts w:eastAsia="宋体" w:cs="Arial" w:hint="eastAsia"/>
          <w:color w:val="000000" w:themeColor="text1"/>
          <w:sz w:val="21"/>
          <w:szCs w:val="21"/>
        </w:rPr>
        <w:t>四</w:t>
      </w:r>
      <w:r w:rsidR="00D610E4" w:rsidRPr="007B4794">
        <w:rPr>
          <w:rFonts w:eastAsia="宋体" w:cs="Arial" w:hint="eastAsia"/>
          <w:color w:val="000000" w:themeColor="text1"/>
          <w:sz w:val="21"/>
          <w:szCs w:val="21"/>
        </w:rPr>
        <w:t>、</w:t>
      </w:r>
      <w:r w:rsidRPr="007B4794">
        <w:rPr>
          <w:rFonts w:eastAsia="宋体" w:cs="Arial" w:hint="eastAsia"/>
          <w:color w:val="000000" w:themeColor="text1"/>
          <w:sz w:val="21"/>
          <w:szCs w:val="21"/>
        </w:rPr>
        <w:t>项目价格定位</w:t>
      </w:r>
      <w:bookmarkEnd w:id="82"/>
    </w:p>
    <w:p w14:paraId="15B8A1A6" w14:textId="1D48BBCD" w:rsidR="00C918D1" w:rsidRPr="007B4794" w:rsidRDefault="00722271" w:rsidP="00FD24F6">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通过对项目周边住宅市场调研分析，高层产品</w:t>
      </w:r>
      <w:r w:rsidR="0012466B" w:rsidRPr="007B4794">
        <w:rPr>
          <w:rFonts w:ascii="Arial" w:hAnsi="Arial" w:cs="Arial" w:hint="eastAsia"/>
          <w:color w:val="000000" w:themeColor="text1"/>
          <w:sz w:val="21"/>
          <w:szCs w:val="21"/>
        </w:rPr>
        <w:t>售价水平在</w:t>
      </w:r>
      <w:r w:rsidR="00AE4A6B" w:rsidRPr="007B4794">
        <w:rPr>
          <w:rFonts w:ascii="Arial" w:hAnsi="Arial" w:cs="Arial" w:hint="eastAsia"/>
          <w:color w:val="000000" w:themeColor="text1"/>
          <w:sz w:val="21"/>
          <w:szCs w:val="21"/>
        </w:rPr>
        <w:t>1</w:t>
      </w:r>
      <w:r w:rsidR="0041327D" w:rsidRPr="007B4794">
        <w:rPr>
          <w:rFonts w:ascii="Arial" w:hAnsi="Arial" w:cs="Arial" w:hint="eastAsia"/>
          <w:color w:val="000000" w:themeColor="text1"/>
          <w:sz w:val="21"/>
          <w:szCs w:val="21"/>
        </w:rPr>
        <w:t>6</w:t>
      </w:r>
      <w:r w:rsidR="00482409" w:rsidRPr="007B4794">
        <w:rPr>
          <w:rFonts w:ascii="Arial" w:hAnsi="Arial" w:cs="Arial" w:hint="eastAsia"/>
          <w:color w:val="000000" w:themeColor="text1"/>
          <w:sz w:val="21"/>
          <w:szCs w:val="21"/>
        </w:rPr>
        <w:t>000</w:t>
      </w:r>
      <w:r w:rsidR="0012466B" w:rsidRPr="007B4794">
        <w:rPr>
          <w:rFonts w:ascii="Arial" w:hAnsi="Arial" w:cs="Arial" w:hint="eastAsia"/>
          <w:color w:val="000000" w:themeColor="text1"/>
          <w:sz w:val="21"/>
          <w:szCs w:val="21"/>
        </w:rPr>
        <w:t>-</w:t>
      </w:r>
      <w:r w:rsidR="0041327D" w:rsidRPr="007B4794">
        <w:rPr>
          <w:rFonts w:ascii="Arial" w:hAnsi="Arial" w:cs="Arial" w:hint="eastAsia"/>
          <w:color w:val="000000" w:themeColor="text1"/>
          <w:sz w:val="21"/>
          <w:szCs w:val="21"/>
        </w:rPr>
        <w:t>19</w:t>
      </w:r>
      <w:r w:rsidR="00AE4A6B" w:rsidRPr="007B4794">
        <w:rPr>
          <w:rFonts w:ascii="Arial" w:hAnsi="Arial" w:cs="Arial" w:hint="eastAsia"/>
          <w:color w:val="000000" w:themeColor="text1"/>
          <w:sz w:val="21"/>
          <w:szCs w:val="21"/>
        </w:rPr>
        <w:t>0</w:t>
      </w:r>
      <w:r w:rsidR="00482409" w:rsidRPr="007B4794">
        <w:rPr>
          <w:rFonts w:ascii="Arial" w:hAnsi="Arial" w:cs="Arial" w:hint="eastAsia"/>
          <w:color w:val="000000" w:themeColor="text1"/>
          <w:sz w:val="21"/>
          <w:szCs w:val="21"/>
        </w:rPr>
        <w:t>00</w:t>
      </w:r>
      <w:r w:rsidR="0012466B" w:rsidRPr="007B4794">
        <w:rPr>
          <w:rFonts w:ascii="Arial" w:hAnsi="Arial" w:cs="Arial" w:hint="eastAsia"/>
          <w:color w:val="000000" w:themeColor="text1"/>
          <w:sz w:val="21"/>
          <w:szCs w:val="21"/>
        </w:rPr>
        <w:t>元</w:t>
      </w:r>
      <w:r w:rsidR="0012466B" w:rsidRPr="007B4794">
        <w:rPr>
          <w:rFonts w:ascii="Arial" w:hAnsi="Arial" w:cs="Arial" w:hint="eastAsia"/>
          <w:color w:val="000000" w:themeColor="text1"/>
          <w:sz w:val="21"/>
          <w:szCs w:val="21"/>
        </w:rPr>
        <w:t>/</w:t>
      </w:r>
      <w:r w:rsidR="0041327D" w:rsidRPr="007B4794">
        <w:rPr>
          <w:rFonts w:ascii="Arial" w:hAnsi="Arial" w:cs="Arial" w:hint="eastAsia"/>
          <w:color w:val="000000" w:themeColor="text1"/>
          <w:sz w:val="21"/>
          <w:szCs w:val="21"/>
        </w:rPr>
        <w:t>平方米</w:t>
      </w:r>
      <w:r w:rsidR="0012466B" w:rsidRPr="007B4794">
        <w:rPr>
          <w:rFonts w:ascii="Arial" w:hAnsi="Arial" w:cs="Arial" w:hint="eastAsia"/>
          <w:color w:val="000000" w:themeColor="text1"/>
          <w:sz w:val="21"/>
          <w:szCs w:val="21"/>
        </w:rPr>
        <w:t>。同时，考虑到调研对象自身具有</w:t>
      </w:r>
      <w:r w:rsidRPr="007B4794">
        <w:rPr>
          <w:rFonts w:ascii="Arial" w:hAnsi="Arial" w:cs="Arial" w:hint="eastAsia"/>
          <w:color w:val="000000" w:themeColor="text1"/>
          <w:sz w:val="21"/>
          <w:szCs w:val="21"/>
        </w:rPr>
        <w:t>的优劣势</w:t>
      </w:r>
      <w:r w:rsidR="0012466B" w:rsidRPr="007B4794">
        <w:rPr>
          <w:rFonts w:ascii="Arial" w:hAnsi="Arial" w:cs="Arial" w:hint="eastAsia"/>
          <w:color w:val="000000" w:themeColor="text1"/>
          <w:sz w:val="21"/>
          <w:szCs w:val="21"/>
        </w:rPr>
        <w:t>，结合前述分析，综合确定调研对象在本报告出具日期销售均价为</w:t>
      </w:r>
      <w:r w:rsidR="0041327D" w:rsidRPr="007B4794">
        <w:rPr>
          <w:rFonts w:ascii="Arial" w:hAnsi="Arial" w:cs="Arial" w:hint="eastAsia"/>
          <w:color w:val="000000" w:themeColor="text1"/>
          <w:sz w:val="21"/>
          <w:szCs w:val="21"/>
        </w:rPr>
        <w:t>平层</w:t>
      </w:r>
      <w:r w:rsidR="00A84DF0" w:rsidRPr="007B4794">
        <w:rPr>
          <w:rFonts w:ascii="Arial" w:hAnsi="Arial" w:cs="Arial" w:hint="eastAsia"/>
          <w:color w:val="000000" w:themeColor="text1"/>
          <w:sz w:val="21"/>
          <w:szCs w:val="21"/>
        </w:rPr>
        <w:t>高层</w:t>
      </w:r>
      <w:r w:rsidRPr="007B4794">
        <w:rPr>
          <w:rFonts w:ascii="Arial" w:hAnsi="Arial" w:cs="Arial" w:hint="eastAsia"/>
          <w:color w:val="000000" w:themeColor="text1"/>
          <w:sz w:val="21"/>
          <w:szCs w:val="21"/>
        </w:rPr>
        <w:t>产品</w:t>
      </w:r>
      <w:r w:rsidR="0041327D" w:rsidRPr="007B4794">
        <w:rPr>
          <w:rFonts w:ascii="Arial" w:hAnsi="Arial" w:cs="Arial" w:hint="eastAsia"/>
          <w:color w:val="000000" w:themeColor="text1"/>
          <w:sz w:val="21"/>
          <w:szCs w:val="21"/>
        </w:rPr>
        <w:t>165</w:t>
      </w:r>
      <w:r w:rsidRPr="007B4794">
        <w:rPr>
          <w:rFonts w:ascii="Arial" w:hAnsi="Arial" w:cs="Arial" w:hint="eastAsia"/>
          <w:color w:val="000000" w:themeColor="text1"/>
          <w:sz w:val="21"/>
          <w:szCs w:val="21"/>
        </w:rPr>
        <w:t>00</w:t>
      </w:r>
      <w:r w:rsidR="00A84DF0" w:rsidRPr="007B4794">
        <w:rPr>
          <w:rFonts w:ascii="Arial" w:hAnsi="Arial" w:cs="Arial" w:hint="eastAsia"/>
          <w:color w:val="000000" w:themeColor="text1"/>
          <w:sz w:val="21"/>
          <w:szCs w:val="21"/>
        </w:rPr>
        <w:t>元</w:t>
      </w:r>
      <w:r w:rsidR="00A84DF0" w:rsidRPr="007B4794">
        <w:rPr>
          <w:rFonts w:ascii="Arial" w:hAnsi="Arial" w:cs="Arial" w:hint="eastAsia"/>
          <w:color w:val="000000" w:themeColor="text1"/>
          <w:sz w:val="21"/>
          <w:szCs w:val="21"/>
        </w:rPr>
        <w:t>/</w:t>
      </w:r>
      <w:r w:rsidR="00A84DF0" w:rsidRPr="007B4794">
        <w:rPr>
          <w:rFonts w:ascii="Arial" w:hAnsi="Arial" w:cs="Arial" w:hint="eastAsia"/>
          <w:color w:val="000000" w:themeColor="text1"/>
          <w:sz w:val="21"/>
          <w:szCs w:val="21"/>
        </w:rPr>
        <w:t>平方米，</w:t>
      </w:r>
      <w:r w:rsidR="0041327D" w:rsidRPr="007B4794">
        <w:rPr>
          <w:rFonts w:ascii="Arial" w:hAnsi="Arial" w:cs="Arial" w:hint="eastAsia"/>
          <w:color w:val="000000" w:themeColor="text1"/>
          <w:sz w:val="21"/>
          <w:szCs w:val="21"/>
        </w:rPr>
        <w:t>复式高层</w:t>
      </w:r>
      <w:r w:rsidRPr="007B4794">
        <w:rPr>
          <w:rFonts w:ascii="Arial" w:hAnsi="Arial" w:cs="Arial" w:hint="eastAsia"/>
          <w:color w:val="000000" w:themeColor="text1"/>
          <w:sz w:val="21"/>
          <w:szCs w:val="21"/>
        </w:rPr>
        <w:t>产品</w:t>
      </w:r>
      <w:r w:rsidR="0041327D" w:rsidRPr="007B4794">
        <w:rPr>
          <w:rFonts w:ascii="Arial" w:hAnsi="Arial" w:cs="Arial" w:hint="eastAsia"/>
          <w:color w:val="000000" w:themeColor="text1"/>
          <w:sz w:val="21"/>
          <w:szCs w:val="21"/>
        </w:rPr>
        <w:t>170</w:t>
      </w:r>
      <w:r w:rsidR="00A84DF0" w:rsidRPr="007B4794">
        <w:rPr>
          <w:rFonts w:ascii="Arial" w:hAnsi="Arial" w:cs="Arial" w:hint="eastAsia"/>
          <w:color w:val="000000" w:themeColor="text1"/>
          <w:sz w:val="21"/>
          <w:szCs w:val="21"/>
        </w:rPr>
        <w:t>00</w:t>
      </w:r>
      <w:r w:rsidR="00A84DF0" w:rsidRPr="007B4794">
        <w:rPr>
          <w:rFonts w:ascii="Arial" w:hAnsi="Arial" w:cs="Arial" w:hint="eastAsia"/>
          <w:color w:val="000000" w:themeColor="text1"/>
          <w:sz w:val="21"/>
          <w:szCs w:val="21"/>
        </w:rPr>
        <w:t>元</w:t>
      </w:r>
      <w:r w:rsidR="00A84DF0" w:rsidRPr="007B4794">
        <w:rPr>
          <w:rFonts w:ascii="Arial" w:hAnsi="Arial" w:cs="Arial" w:hint="eastAsia"/>
          <w:color w:val="000000" w:themeColor="text1"/>
          <w:sz w:val="21"/>
          <w:szCs w:val="21"/>
        </w:rPr>
        <w:t>/</w:t>
      </w:r>
      <w:r w:rsidR="00A84DF0" w:rsidRPr="007B4794">
        <w:rPr>
          <w:rFonts w:ascii="Arial" w:hAnsi="Arial" w:cs="Arial" w:hint="eastAsia"/>
          <w:color w:val="000000" w:themeColor="text1"/>
          <w:sz w:val="21"/>
          <w:szCs w:val="21"/>
        </w:rPr>
        <w:t>平方米</w:t>
      </w:r>
      <w:r w:rsidR="005070E9" w:rsidRPr="007B4794">
        <w:rPr>
          <w:rFonts w:ascii="Arial" w:hAnsi="Arial" w:cs="Arial" w:hint="eastAsia"/>
          <w:color w:val="000000" w:themeColor="text1"/>
          <w:sz w:val="21"/>
          <w:szCs w:val="21"/>
        </w:rPr>
        <w:t>。</w:t>
      </w:r>
    </w:p>
    <w:p w14:paraId="174BD6D5" w14:textId="20D2137C" w:rsidR="009755AF" w:rsidRPr="007B4794" w:rsidRDefault="009755AF" w:rsidP="009755AF">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调研对象商业售价参考周边在售项目房水晶湖畔</w:t>
      </w:r>
      <w:r w:rsidRPr="007B4794">
        <w:rPr>
          <w:rFonts w:ascii="Arial" w:hAnsi="Arial" w:cs="Arial" w:hint="eastAsia"/>
          <w:color w:val="000000" w:themeColor="text1"/>
          <w:sz w:val="21"/>
          <w:szCs w:val="21"/>
        </w:rPr>
        <w:t>1</w:t>
      </w:r>
      <w:r w:rsidRPr="007B4794">
        <w:rPr>
          <w:rFonts w:ascii="Arial" w:hAnsi="Arial" w:cs="Arial" w:hint="eastAsia"/>
          <w:color w:val="000000" w:themeColor="text1"/>
          <w:sz w:val="21"/>
          <w:szCs w:val="21"/>
        </w:rPr>
        <w:t>层商业用</w:t>
      </w:r>
      <w:r w:rsidRPr="007B4794">
        <w:rPr>
          <w:rFonts w:ascii="Arial" w:hAnsi="Arial" w:cs="Arial" w:hint="eastAsia"/>
          <w:color w:val="000000" w:themeColor="text1"/>
          <w:sz w:val="21"/>
          <w:szCs w:val="21"/>
        </w:rPr>
        <w:t>18000-30000</w:t>
      </w:r>
      <w:r w:rsidRPr="007B4794">
        <w:rPr>
          <w:rFonts w:ascii="Arial" w:hAnsi="Arial" w:cs="Arial" w:hint="eastAsia"/>
          <w:color w:val="000000" w:themeColor="text1"/>
          <w:sz w:val="21"/>
          <w:szCs w:val="21"/>
        </w:rPr>
        <w:t>元</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平方米</w:t>
      </w:r>
      <w:r w:rsidRPr="007B4794">
        <w:rPr>
          <w:rFonts w:ascii="Arial" w:hAnsi="Arial" w:cs="Arial"/>
          <w:color w:val="000000" w:themeColor="text1"/>
          <w:sz w:val="21"/>
          <w:szCs w:val="21"/>
        </w:rPr>
        <w:t>、</w:t>
      </w:r>
      <w:r w:rsidRPr="007B4794">
        <w:rPr>
          <w:rFonts w:ascii="Arial" w:hAnsi="Arial" w:cs="Arial" w:hint="eastAsia"/>
          <w:color w:val="000000" w:themeColor="text1"/>
          <w:sz w:val="21"/>
          <w:szCs w:val="21"/>
        </w:rPr>
        <w:t>万益广场（望春风）</w:t>
      </w:r>
      <w:r w:rsidRPr="007B4794">
        <w:rPr>
          <w:rFonts w:ascii="Arial" w:hAnsi="Arial" w:cs="Arial" w:hint="eastAsia"/>
          <w:color w:val="000000" w:themeColor="text1"/>
          <w:sz w:val="21"/>
          <w:szCs w:val="21"/>
        </w:rPr>
        <w:t>1</w:t>
      </w:r>
      <w:r w:rsidRPr="007B4794">
        <w:rPr>
          <w:rFonts w:ascii="Arial" w:hAnsi="Arial" w:cs="Arial" w:hint="eastAsia"/>
          <w:color w:val="000000" w:themeColor="text1"/>
          <w:sz w:val="21"/>
          <w:szCs w:val="21"/>
        </w:rPr>
        <w:t>层商业用</w:t>
      </w:r>
      <w:r w:rsidRPr="007B4794">
        <w:rPr>
          <w:rFonts w:ascii="Arial" w:hAnsi="Arial" w:cs="Arial" w:hint="eastAsia"/>
          <w:color w:val="000000" w:themeColor="text1"/>
          <w:sz w:val="21"/>
          <w:szCs w:val="21"/>
        </w:rPr>
        <w:t>25000</w:t>
      </w:r>
      <w:r w:rsidRPr="007B4794">
        <w:rPr>
          <w:rFonts w:ascii="Arial" w:hAnsi="Arial" w:cs="Arial" w:hint="eastAsia"/>
          <w:color w:val="000000" w:themeColor="text1"/>
          <w:sz w:val="21"/>
          <w:szCs w:val="21"/>
        </w:rPr>
        <w:t>元</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平方米、龙泉丽景</w:t>
      </w:r>
      <w:r w:rsidRPr="007B4794">
        <w:rPr>
          <w:rFonts w:ascii="Arial" w:hAnsi="Arial" w:cs="Arial" w:hint="eastAsia"/>
          <w:color w:val="000000" w:themeColor="text1"/>
          <w:sz w:val="21"/>
          <w:szCs w:val="21"/>
        </w:rPr>
        <w:t>1</w:t>
      </w:r>
      <w:r w:rsidRPr="007B4794">
        <w:rPr>
          <w:rFonts w:ascii="Arial" w:hAnsi="Arial" w:cs="Arial" w:hint="eastAsia"/>
          <w:color w:val="000000" w:themeColor="text1"/>
          <w:sz w:val="21"/>
          <w:szCs w:val="21"/>
        </w:rPr>
        <w:t>至</w:t>
      </w:r>
      <w:r w:rsidRPr="007B4794">
        <w:rPr>
          <w:rFonts w:ascii="Arial" w:hAnsi="Arial" w:cs="Arial" w:hint="eastAsia"/>
          <w:color w:val="000000" w:themeColor="text1"/>
          <w:sz w:val="21"/>
          <w:szCs w:val="21"/>
        </w:rPr>
        <w:t>2</w:t>
      </w:r>
      <w:r w:rsidRPr="007B4794">
        <w:rPr>
          <w:rFonts w:ascii="Arial" w:hAnsi="Arial" w:cs="Arial" w:hint="eastAsia"/>
          <w:color w:val="000000" w:themeColor="text1"/>
          <w:sz w:val="21"/>
          <w:szCs w:val="21"/>
        </w:rPr>
        <w:t>层商业用房</w:t>
      </w:r>
      <w:r w:rsidRPr="007B4794">
        <w:rPr>
          <w:rFonts w:ascii="Arial" w:hAnsi="Arial" w:cs="Arial" w:hint="eastAsia"/>
          <w:color w:val="000000" w:themeColor="text1"/>
          <w:sz w:val="21"/>
          <w:szCs w:val="21"/>
        </w:rPr>
        <w:t>25000</w:t>
      </w:r>
      <w:r w:rsidRPr="007B4794">
        <w:rPr>
          <w:rFonts w:ascii="Arial" w:hAnsi="Arial" w:cs="Arial" w:hint="eastAsia"/>
          <w:color w:val="000000" w:themeColor="text1"/>
          <w:sz w:val="21"/>
          <w:szCs w:val="21"/>
        </w:rPr>
        <w:t>元</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平方米</w:t>
      </w:r>
      <w:r w:rsidRPr="007B4794">
        <w:rPr>
          <w:rFonts w:ascii="Arial" w:hAnsi="Arial" w:cs="Arial"/>
          <w:color w:val="000000" w:themeColor="text1"/>
          <w:sz w:val="21"/>
          <w:szCs w:val="21"/>
        </w:rPr>
        <w:t>，</w:t>
      </w:r>
      <w:r w:rsidRPr="007B4794">
        <w:rPr>
          <w:rFonts w:ascii="Arial" w:hAnsi="Arial" w:cs="Arial" w:hint="eastAsia"/>
          <w:color w:val="000000" w:themeColor="text1"/>
          <w:sz w:val="21"/>
          <w:szCs w:val="21"/>
        </w:rPr>
        <w:t>结合项目自身情况，确定本项目商业用房均价为</w:t>
      </w:r>
      <w:r w:rsidRPr="007B4794">
        <w:rPr>
          <w:rFonts w:ascii="Arial" w:hAnsi="Arial" w:cs="Arial" w:hint="eastAsia"/>
          <w:color w:val="000000" w:themeColor="text1"/>
          <w:sz w:val="21"/>
          <w:szCs w:val="21"/>
        </w:rPr>
        <w:t>25000</w:t>
      </w:r>
      <w:r w:rsidRPr="007B4794">
        <w:rPr>
          <w:rFonts w:ascii="Arial" w:hAnsi="Arial" w:cs="Arial" w:hint="eastAsia"/>
          <w:color w:val="000000" w:themeColor="text1"/>
          <w:sz w:val="21"/>
          <w:szCs w:val="21"/>
        </w:rPr>
        <w:t>元</w:t>
      </w:r>
      <w:r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平方米。</w:t>
      </w:r>
    </w:p>
    <w:p w14:paraId="359CA24A" w14:textId="2E83711C" w:rsidR="0012466B" w:rsidRPr="007B4794" w:rsidRDefault="006C3AD7" w:rsidP="00024B5D">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调研对象</w:t>
      </w:r>
      <w:r w:rsidR="007F634F" w:rsidRPr="007B4794">
        <w:rPr>
          <w:rFonts w:ascii="Arial" w:hAnsi="Arial" w:cs="Arial" w:hint="eastAsia"/>
          <w:color w:val="000000" w:themeColor="text1"/>
          <w:sz w:val="21"/>
          <w:szCs w:val="21"/>
        </w:rPr>
        <w:t>车位售价参考周边在售项目</w:t>
      </w:r>
      <w:r w:rsidR="0041327D" w:rsidRPr="007B4794">
        <w:rPr>
          <w:rFonts w:ascii="Arial" w:hAnsi="Arial" w:cs="Arial" w:hint="eastAsia"/>
          <w:color w:val="000000" w:themeColor="text1"/>
          <w:sz w:val="21"/>
          <w:szCs w:val="21"/>
        </w:rPr>
        <w:t>角美大唐世家</w:t>
      </w:r>
      <w:r w:rsidR="0041327D" w:rsidRPr="007B4794">
        <w:rPr>
          <w:rFonts w:ascii="Arial" w:hAnsi="Arial" w:cs="Arial" w:hint="eastAsia"/>
          <w:color w:val="000000" w:themeColor="text1"/>
          <w:sz w:val="21"/>
          <w:szCs w:val="21"/>
        </w:rPr>
        <w:t>12</w:t>
      </w:r>
      <w:r w:rsidR="007F634F" w:rsidRPr="007B4794">
        <w:rPr>
          <w:rFonts w:ascii="Arial" w:hAnsi="Arial" w:cs="Arial"/>
          <w:color w:val="000000" w:themeColor="text1"/>
          <w:sz w:val="21"/>
          <w:szCs w:val="21"/>
        </w:rPr>
        <w:t>万</w:t>
      </w:r>
      <w:r w:rsidR="007F634F" w:rsidRPr="007B4794">
        <w:rPr>
          <w:rFonts w:ascii="Arial" w:hAnsi="Arial" w:cs="Arial"/>
          <w:color w:val="000000" w:themeColor="text1"/>
          <w:sz w:val="21"/>
          <w:szCs w:val="21"/>
        </w:rPr>
        <w:t>/</w:t>
      </w:r>
      <w:r w:rsidR="007F634F" w:rsidRPr="007B4794">
        <w:rPr>
          <w:rFonts w:ascii="Arial" w:hAnsi="Arial" w:cs="Arial"/>
          <w:color w:val="000000" w:themeColor="text1"/>
          <w:sz w:val="21"/>
          <w:szCs w:val="21"/>
        </w:rPr>
        <w:t>个、</w:t>
      </w:r>
      <w:r w:rsidR="0041327D" w:rsidRPr="007B4794">
        <w:rPr>
          <w:rFonts w:ascii="Arial" w:hAnsi="Arial" w:cs="Arial" w:hint="eastAsia"/>
          <w:color w:val="000000" w:themeColor="text1"/>
          <w:sz w:val="21"/>
          <w:szCs w:val="21"/>
        </w:rPr>
        <w:t>龙泉丽景</w:t>
      </w:r>
      <w:r w:rsidR="0041327D" w:rsidRPr="007B4794">
        <w:rPr>
          <w:rFonts w:ascii="Arial" w:hAnsi="Arial" w:cs="Arial" w:hint="eastAsia"/>
          <w:color w:val="000000" w:themeColor="text1"/>
          <w:sz w:val="21"/>
          <w:szCs w:val="21"/>
        </w:rPr>
        <w:t>14</w:t>
      </w:r>
      <w:r w:rsidR="00213F80" w:rsidRPr="007B4794">
        <w:rPr>
          <w:rFonts w:ascii="Arial" w:hAnsi="Arial" w:cs="Arial" w:hint="eastAsia"/>
          <w:color w:val="000000" w:themeColor="text1"/>
          <w:sz w:val="21"/>
          <w:szCs w:val="21"/>
        </w:rPr>
        <w:t>-20</w:t>
      </w:r>
      <w:r w:rsidR="007F634F" w:rsidRPr="007B4794">
        <w:rPr>
          <w:rFonts w:ascii="Arial" w:hAnsi="Arial" w:cs="Arial"/>
          <w:color w:val="000000" w:themeColor="text1"/>
          <w:sz w:val="21"/>
          <w:szCs w:val="21"/>
        </w:rPr>
        <w:t>万</w:t>
      </w:r>
      <w:r w:rsidR="007F634F" w:rsidRPr="007B4794">
        <w:rPr>
          <w:rFonts w:ascii="Arial" w:hAnsi="Arial" w:cs="Arial"/>
          <w:color w:val="000000" w:themeColor="text1"/>
          <w:sz w:val="21"/>
          <w:szCs w:val="21"/>
        </w:rPr>
        <w:t>/</w:t>
      </w:r>
      <w:r w:rsidR="007F634F" w:rsidRPr="007B4794">
        <w:rPr>
          <w:rFonts w:ascii="Arial" w:hAnsi="Arial" w:cs="Arial"/>
          <w:color w:val="000000" w:themeColor="text1"/>
          <w:sz w:val="21"/>
          <w:szCs w:val="21"/>
        </w:rPr>
        <w:t>个</w:t>
      </w:r>
      <w:r w:rsidR="0041327D" w:rsidRPr="007B4794">
        <w:rPr>
          <w:rFonts w:ascii="Arial" w:hAnsi="Arial" w:cs="Arial" w:hint="eastAsia"/>
          <w:color w:val="000000" w:themeColor="text1"/>
          <w:sz w:val="21"/>
          <w:szCs w:val="21"/>
        </w:rPr>
        <w:t>、万益广场（望春风）</w:t>
      </w:r>
      <w:r w:rsidR="0041327D" w:rsidRPr="007B4794">
        <w:rPr>
          <w:rFonts w:ascii="Arial" w:hAnsi="Arial" w:cs="Arial" w:hint="eastAsia"/>
          <w:color w:val="000000" w:themeColor="text1"/>
          <w:sz w:val="21"/>
          <w:szCs w:val="21"/>
        </w:rPr>
        <w:t>11-18</w:t>
      </w:r>
      <w:r w:rsidR="0041327D" w:rsidRPr="007B4794">
        <w:rPr>
          <w:rFonts w:ascii="Arial" w:hAnsi="Arial" w:cs="Arial"/>
          <w:color w:val="000000" w:themeColor="text1"/>
          <w:sz w:val="21"/>
          <w:szCs w:val="21"/>
        </w:rPr>
        <w:t>万</w:t>
      </w:r>
      <w:r w:rsidR="0041327D" w:rsidRPr="007B4794">
        <w:rPr>
          <w:rFonts w:ascii="Arial" w:hAnsi="Arial" w:cs="Arial"/>
          <w:color w:val="000000" w:themeColor="text1"/>
          <w:sz w:val="21"/>
          <w:szCs w:val="21"/>
        </w:rPr>
        <w:t>/</w:t>
      </w:r>
      <w:r w:rsidR="0041327D" w:rsidRPr="007B4794">
        <w:rPr>
          <w:rFonts w:ascii="Arial" w:hAnsi="Arial" w:cs="Arial"/>
          <w:color w:val="000000" w:themeColor="text1"/>
          <w:sz w:val="21"/>
          <w:szCs w:val="21"/>
        </w:rPr>
        <w:t>个</w:t>
      </w:r>
      <w:r w:rsidR="007F634F" w:rsidRPr="007B4794">
        <w:rPr>
          <w:rFonts w:ascii="Arial" w:hAnsi="Arial" w:cs="Arial"/>
          <w:color w:val="000000" w:themeColor="text1"/>
          <w:sz w:val="21"/>
          <w:szCs w:val="21"/>
        </w:rPr>
        <w:t>，</w:t>
      </w:r>
      <w:r w:rsidR="001C3C78" w:rsidRPr="007B4794">
        <w:rPr>
          <w:rFonts w:ascii="Arial" w:hAnsi="Arial" w:cs="Arial" w:hint="eastAsia"/>
          <w:color w:val="000000" w:themeColor="text1"/>
          <w:sz w:val="21"/>
          <w:szCs w:val="21"/>
        </w:rPr>
        <w:t>结合项目自身情况，确定本项目</w:t>
      </w:r>
      <w:r w:rsidR="005F41BB" w:rsidRPr="007B4794">
        <w:rPr>
          <w:rFonts w:ascii="Arial" w:hAnsi="Arial" w:cs="Arial" w:hint="eastAsia"/>
          <w:color w:val="000000" w:themeColor="text1"/>
          <w:sz w:val="21"/>
          <w:szCs w:val="21"/>
        </w:rPr>
        <w:t>非人防</w:t>
      </w:r>
      <w:r w:rsidR="001C3C78" w:rsidRPr="007B4794">
        <w:rPr>
          <w:rFonts w:ascii="Arial" w:hAnsi="Arial" w:cs="Arial" w:hint="eastAsia"/>
          <w:color w:val="000000" w:themeColor="text1"/>
          <w:sz w:val="21"/>
          <w:szCs w:val="21"/>
        </w:rPr>
        <w:t>车位均价为</w:t>
      </w:r>
      <w:r w:rsidR="00213F80" w:rsidRPr="007B4794">
        <w:rPr>
          <w:rFonts w:ascii="Arial" w:hAnsi="Arial" w:cs="Arial" w:hint="eastAsia"/>
          <w:color w:val="000000" w:themeColor="text1"/>
          <w:sz w:val="21"/>
          <w:szCs w:val="21"/>
        </w:rPr>
        <w:t>1</w:t>
      </w:r>
      <w:r w:rsidR="0041327D" w:rsidRPr="007B4794">
        <w:rPr>
          <w:rFonts w:ascii="Arial" w:hAnsi="Arial" w:cs="Arial" w:hint="eastAsia"/>
          <w:color w:val="000000" w:themeColor="text1"/>
          <w:sz w:val="21"/>
          <w:szCs w:val="21"/>
        </w:rPr>
        <w:t>4</w:t>
      </w:r>
      <w:r w:rsidR="001C3C78" w:rsidRPr="007B4794">
        <w:rPr>
          <w:rFonts w:ascii="Arial" w:hAnsi="Arial" w:cs="Arial" w:hint="eastAsia"/>
          <w:color w:val="000000" w:themeColor="text1"/>
          <w:sz w:val="21"/>
          <w:szCs w:val="21"/>
        </w:rPr>
        <w:t>万元</w:t>
      </w:r>
      <w:r w:rsidR="001C3C78" w:rsidRPr="007B4794">
        <w:rPr>
          <w:rFonts w:ascii="Arial" w:hAnsi="Arial" w:cs="Arial" w:hint="eastAsia"/>
          <w:color w:val="000000" w:themeColor="text1"/>
          <w:sz w:val="21"/>
          <w:szCs w:val="21"/>
        </w:rPr>
        <w:t>/</w:t>
      </w:r>
      <w:r w:rsidR="001C3C78" w:rsidRPr="007B4794">
        <w:rPr>
          <w:rFonts w:ascii="Arial" w:hAnsi="Arial" w:cs="Arial" w:hint="eastAsia"/>
          <w:color w:val="000000" w:themeColor="text1"/>
          <w:sz w:val="21"/>
          <w:szCs w:val="21"/>
        </w:rPr>
        <w:t>个</w:t>
      </w:r>
      <w:r w:rsidR="005F41BB" w:rsidRPr="007B4794">
        <w:rPr>
          <w:rFonts w:ascii="Arial" w:hAnsi="Arial" w:cs="Arial" w:hint="eastAsia"/>
          <w:color w:val="000000" w:themeColor="text1"/>
          <w:sz w:val="21"/>
          <w:szCs w:val="21"/>
        </w:rPr>
        <w:t>，人防车位均价为</w:t>
      </w:r>
      <w:r w:rsidR="0041327D" w:rsidRPr="007B4794">
        <w:rPr>
          <w:rFonts w:ascii="Arial" w:hAnsi="Arial" w:cs="Arial" w:hint="eastAsia"/>
          <w:color w:val="000000" w:themeColor="text1"/>
          <w:sz w:val="21"/>
          <w:szCs w:val="21"/>
        </w:rPr>
        <w:t>7</w:t>
      </w:r>
      <w:r w:rsidR="005F41BB" w:rsidRPr="007B4794">
        <w:rPr>
          <w:rFonts w:ascii="Arial" w:hAnsi="Arial" w:cs="Arial" w:hint="eastAsia"/>
          <w:color w:val="000000" w:themeColor="text1"/>
          <w:sz w:val="21"/>
          <w:szCs w:val="21"/>
        </w:rPr>
        <w:t>万元</w:t>
      </w:r>
      <w:r w:rsidR="005F41BB" w:rsidRPr="007B4794">
        <w:rPr>
          <w:rFonts w:ascii="Arial" w:hAnsi="Arial" w:cs="Arial" w:hint="eastAsia"/>
          <w:color w:val="000000" w:themeColor="text1"/>
          <w:sz w:val="21"/>
          <w:szCs w:val="21"/>
        </w:rPr>
        <w:t>/</w:t>
      </w:r>
      <w:r w:rsidR="005F41BB" w:rsidRPr="007B4794">
        <w:rPr>
          <w:rFonts w:ascii="Arial" w:hAnsi="Arial" w:cs="Arial" w:hint="eastAsia"/>
          <w:color w:val="000000" w:themeColor="text1"/>
          <w:sz w:val="21"/>
          <w:szCs w:val="21"/>
        </w:rPr>
        <w:t>个</w:t>
      </w:r>
      <w:r w:rsidR="001C3C78" w:rsidRPr="007B4794">
        <w:rPr>
          <w:rFonts w:ascii="Arial" w:hAnsi="Arial" w:cs="Arial" w:hint="eastAsia"/>
          <w:color w:val="000000" w:themeColor="text1"/>
          <w:sz w:val="21"/>
          <w:szCs w:val="21"/>
        </w:rPr>
        <w:t>。</w:t>
      </w:r>
    </w:p>
    <w:p w14:paraId="4961D04B" w14:textId="2486610E" w:rsidR="006C3AD7" w:rsidRPr="007B4794" w:rsidRDefault="005070E9" w:rsidP="002A171B">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考虑到全国房地产市场仍处于严格管控阶段，</w:t>
      </w:r>
      <w:r w:rsidR="002A171B" w:rsidRPr="007B4794">
        <w:rPr>
          <w:rFonts w:ascii="Arial" w:hAnsi="Arial" w:cs="Arial" w:hint="eastAsia"/>
          <w:color w:val="000000" w:themeColor="text1"/>
          <w:sz w:val="21"/>
          <w:szCs w:val="21"/>
        </w:rPr>
        <w:t>且当地政府对备案价有一定限制，涨幅原则上季度不超过</w:t>
      </w:r>
      <w:r w:rsidR="002A171B" w:rsidRPr="007B4794">
        <w:rPr>
          <w:rFonts w:ascii="Arial" w:hAnsi="Arial" w:cs="Arial"/>
          <w:color w:val="000000" w:themeColor="text1"/>
          <w:sz w:val="21"/>
          <w:szCs w:val="21"/>
        </w:rPr>
        <w:t>5%</w:t>
      </w:r>
      <w:r w:rsidR="002A171B" w:rsidRPr="007B4794">
        <w:rPr>
          <w:rFonts w:ascii="Arial" w:hAnsi="Arial" w:cs="Arial"/>
          <w:color w:val="000000" w:themeColor="text1"/>
          <w:sz w:val="21"/>
          <w:szCs w:val="21"/>
        </w:rPr>
        <w:t>，年化涨幅不超过</w:t>
      </w:r>
      <w:r w:rsidR="002A171B" w:rsidRPr="007B4794">
        <w:rPr>
          <w:rFonts w:ascii="Arial" w:hAnsi="Arial" w:cs="Arial"/>
          <w:color w:val="000000" w:themeColor="text1"/>
          <w:sz w:val="21"/>
          <w:szCs w:val="21"/>
        </w:rPr>
        <w:t>20%</w:t>
      </w:r>
      <w:r w:rsidR="002A171B" w:rsidRPr="007B4794">
        <w:rPr>
          <w:rFonts w:ascii="Arial" w:hAnsi="Arial" w:cs="Arial"/>
          <w:color w:val="000000" w:themeColor="text1"/>
          <w:sz w:val="21"/>
          <w:szCs w:val="21"/>
        </w:rPr>
        <w:t>。</w:t>
      </w:r>
      <w:r w:rsidR="002A171B" w:rsidRPr="007B4794">
        <w:rPr>
          <w:rFonts w:ascii="Arial" w:hAnsi="Arial" w:cs="Arial" w:hint="eastAsia"/>
          <w:color w:val="000000" w:themeColor="text1"/>
          <w:sz w:val="21"/>
          <w:szCs w:val="21"/>
        </w:rPr>
        <w:t>结合本调研对象自身情况以及未来市场竞争压力，</w:t>
      </w:r>
      <w:r w:rsidRPr="007B4794">
        <w:rPr>
          <w:rFonts w:ascii="Arial" w:hAnsi="Arial" w:cs="Arial" w:hint="eastAsia"/>
          <w:color w:val="000000" w:themeColor="text1"/>
          <w:sz w:val="21"/>
          <w:szCs w:val="21"/>
        </w:rPr>
        <w:t>遵循谨慎性原则，确定调研对象销售期内售价水平无增长。</w:t>
      </w:r>
    </w:p>
    <w:p w14:paraId="388BC753" w14:textId="74446A83" w:rsidR="00024B5D" w:rsidRPr="007B4794" w:rsidRDefault="00024B5D" w:rsidP="00024B5D">
      <w:pPr>
        <w:pStyle w:val="2"/>
        <w:snapToGrid w:val="0"/>
        <w:spacing w:before="0" w:after="0" w:line="480" w:lineRule="auto"/>
        <w:ind w:firstLineChars="98" w:firstLine="207"/>
        <w:jc w:val="both"/>
        <w:rPr>
          <w:rFonts w:eastAsia="宋体" w:cs="Arial"/>
          <w:color w:val="000000" w:themeColor="text1"/>
          <w:sz w:val="21"/>
          <w:szCs w:val="21"/>
        </w:rPr>
      </w:pPr>
      <w:bookmarkStart w:id="83" w:name="_Toc54016604"/>
      <w:r w:rsidRPr="007B4794">
        <w:rPr>
          <w:rFonts w:eastAsia="宋体" w:cs="Arial" w:hint="eastAsia"/>
          <w:color w:val="000000" w:themeColor="text1"/>
          <w:sz w:val="21"/>
          <w:szCs w:val="21"/>
        </w:rPr>
        <w:t>五</w:t>
      </w:r>
      <w:r w:rsidR="00D610E4" w:rsidRPr="007B4794">
        <w:rPr>
          <w:rFonts w:eastAsia="宋体" w:cs="Arial" w:hint="eastAsia"/>
          <w:color w:val="000000" w:themeColor="text1"/>
          <w:sz w:val="21"/>
          <w:szCs w:val="21"/>
        </w:rPr>
        <w:t>、</w:t>
      </w:r>
      <w:r w:rsidRPr="007B4794">
        <w:rPr>
          <w:rFonts w:eastAsia="宋体" w:cs="Arial" w:hint="eastAsia"/>
          <w:color w:val="000000" w:themeColor="text1"/>
          <w:sz w:val="21"/>
          <w:szCs w:val="21"/>
        </w:rPr>
        <w:t>项目销售计划</w:t>
      </w:r>
      <w:r w:rsidR="006C3AD7" w:rsidRPr="007B4794">
        <w:rPr>
          <w:rFonts w:eastAsia="宋体" w:cs="Arial" w:hint="eastAsia"/>
          <w:color w:val="000000" w:themeColor="text1"/>
          <w:sz w:val="21"/>
          <w:szCs w:val="21"/>
        </w:rPr>
        <w:t>。</w:t>
      </w:r>
      <w:bookmarkEnd w:id="83"/>
    </w:p>
    <w:p w14:paraId="73B6E33A" w14:textId="0A59F985" w:rsidR="008A63DD" w:rsidRPr="007B4794" w:rsidRDefault="006C3AD7" w:rsidP="00255E61">
      <w:pPr>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调研项目住宅产品全部可售、</w:t>
      </w:r>
      <w:r w:rsidR="00C31915" w:rsidRPr="007B4794">
        <w:rPr>
          <w:rFonts w:ascii="Arial" w:hAnsi="Arial" w:cs="Arial" w:hint="eastAsia"/>
          <w:color w:val="000000" w:themeColor="text1"/>
          <w:sz w:val="21"/>
          <w:szCs w:val="21"/>
        </w:rPr>
        <w:t>公寓</w:t>
      </w:r>
      <w:r w:rsidR="00841A86" w:rsidRPr="007B4794">
        <w:rPr>
          <w:rFonts w:ascii="Arial" w:hAnsi="Arial" w:cs="Arial" w:hint="eastAsia"/>
          <w:color w:val="000000" w:themeColor="text1"/>
          <w:sz w:val="21"/>
          <w:szCs w:val="21"/>
        </w:rPr>
        <w:t>产品全部可售、</w:t>
      </w:r>
      <w:r w:rsidR="00C31915" w:rsidRPr="007B4794">
        <w:rPr>
          <w:rFonts w:ascii="Arial" w:hAnsi="Arial" w:cs="Arial" w:hint="eastAsia"/>
          <w:color w:val="000000" w:themeColor="text1"/>
          <w:sz w:val="21"/>
          <w:szCs w:val="21"/>
        </w:rPr>
        <w:t>商业产品全部可售、</w:t>
      </w:r>
      <w:r w:rsidRPr="007B4794">
        <w:rPr>
          <w:rFonts w:ascii="Arial" w:hAnsi="Arial" w:cs="Arial" w:hint="eastAsia"/>
          <w:color w:val="000000" w:themeColor="text1"/>
          <w:sz w:val="21"/>
          <w:szCs w:val="21"/>
        </w:rPr>
        <w:t>车位产品可售。</w:t>
      </w:r>
    </w:p>
    <w:p w14:paraId="2D5BF3E5" w14:textId="77777777" w:rsidR="004E620B" w:rsidRPr="007B4794" w:rsidRDefault="006C3AD7" w:rsidP="00255E61">
      <w:pPr>
        <w:adjustRightInd w:val="0"/>
        <w:snapToGrid w:val="0"/>
        <w:spacing w:line="480" w:lineRule="auto"/>
        <w:ind w:firstLineChars="200" w:firstLine="420"/>
        <w:jc w:val="both"/>
        <w:rPr>
          <w:rFonts w:ascii="Arial" w:hAnsi="Arial" w:cs="Arial"/>
          <w:color w:val="000000" w:themeColor="text1"/>
          <w:sz w:val="21"/>
          <w:szCs w:val="21"/>
        </w:rPr>
        <w:sectPr w:rsidR="004E620B" w:rsidRPr="007B4794" w:rsidSect="009B0B0F">
          <w:pgSz w:w="11906" w:h="16838" w:code="9"/>
          <w:pgMar w:top="1843" w:right="1304" w:bottom="1134" w:left="1304" w:header="1134" w:footer="907" w:gutter="0"/>
          <w:cols w:space="425"/>
          <w:titlePg/>
          <w:docGrid w:linePitch="312"/>
        </w:sectPr>
      </w:pPr>
      <w:r w:rsidRPr="007B4794">
        <w:rPr>
          <w:rFonts w:ascii="Arial" w:hAnsi="Arial" w:cs="Arial" w:hint="eastAsia"/>
          <w:color w:val="000000" w:themeColor="text1"/>
          <w:sz w:val="21"/>
          <w:szCs w:val="21"/>
        </w:rPr>
        <w:t>根据</w:t>
      </w:r>
      <w:r w:rsidR="008A63DD" w:rsidRPr="007B4794">
        <w:rPr>
          <w:rFonts w:ascii="Arial" w:hAnsi="Arial" w:cs="Arial" w:hint="eastAsia"/>
          <w:color w:val="000000" w:themeColor="text1"/>
          <w:sz w:val="21"/>
          <w:szCs w:val="21"/>
        </w:rPr>
        <w:t>拟定的</w:t>
      </w:r>
      <w:r w:rsidR="00255E61" w:rsidRPr="007B4794">
        <w:rPr>
          <w:rFonts w:ascii="Arial" w:hAnsi="Arial" w:cs="Arial" w:hint="eastAsia"/>
          <w:color w:val="000000" w:themeColor="text1"/>
          <w:sz w:val="21"/>
          <w:szCs w:val="21"/>
        </w:rPr>
        <w:t>项目开发</w:t>
      </w:r>
      <w:r w:rsidR="008A63DD" w:rsidRPr="007B4794">
        <w:rPr>
          <w:rFonts w:ascii="Arial" w:hAnsi="Arial" w:cs="Arial" w:hint="eastAsia"/>
          <w:color w:val="000000" w:themeColor="text1"/>
          <w:sz w:val="21"/>
          <w:szCs w:val="21"/>
        </w:rPr>
        <w:t>计划</w:t>
      </w:r>
      <w:r w:rsidR="00255E61" w:rsidRPr="007B4794">
        <w:rPr>
          <w:rFonts w:ascii="Arial" w:hAnsi="Arial" w:cs="Arial" w:hint="eastAsia"/>
          <w:color w:val="000000" w:themeColor="text1"/>
          <w:sz w:val="21"/>
          <w:szCs w:val="21"/>
        </w:rPr>
        <w:t>情况，分期入市</w:t>
      </w:r>
      <w:r w:rsidR="00F009B1" w:rsidRPr="007B4794">
        <w:rPr>
          <w:rFonts w:ascii="Arial" w:hAnsi="Arial" w:cs="Arial" w:hint="eastAsia"/>
          <w:color w:val="000000" w:themeColor="text1"/>
          <w:sz w:val="21"/>
          <w:szCs w:val="21"/>
        </w:rPr>
        <w:t>情况</w:t>
      </w:r>
      <w:r w:rsidR="00255E61"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调研项目销售计划见下表：</w:t>
      </w:r>
    </w:p>
    <w:p w14:paraId="64816C98" w14:textId="77777777" w:rsidR="00627685" w:rsidRPr="007B4794" w:rsidRDefault="00627685" w:rsidP="001701A2">
      <w:pPr>
        <w:widowControl w:val="0"/>
        <w:adjustRightInd w:val="0"/>
        <w:snapToGrid w:val="0"/>
        <w:jc w:val="both"/>
        <w:rPr>
          <w:rFonts w:ascii="华文细黑" w:eastAsia="华文细黑" w:hAnsi="华文细黑" w:cs="Arial"/>
          <w:color w:val="000000" w:themeColor="text1"/>
          <w:sz w:val="15"/>
          <w:szCs w:val="15"/>
        </w:rPr>
      </w:pPr>
    </w:p>
    <w:tbl>
      <w:tblPr>
        <w:tblW w:w="5000" w:type="pct"/>
        <w:tblCellMar>
          <w:left w:w="57" w:type="dxa"/>
          <w:right w:w="57" w:type="dxa"/>
        </w:tblCellMar>
        <w:tblLook w:val="04A0" w:firstRow="1" w:lastRow="0" w:firstColumn="1" w:lastColumn="0" w:noHBand="0" w:noVBand="1"/>
      </w:tblPr>
      <w:tblGrid>
        <w:gridCol w:w="542"/>
        <w:gridCol w:w="1219"/>
        <w:gridCol w:w="715"/>
        <w:gridCol w:w="715"/>
        <w:gridCol w:w="715"/>
        <w:gridCol w:w="715"/>
        <w:gridCol w:w="715"/>
        <w:gridCol w:w="715"/>
        <w:gridCol w:w="715"/>
        <w:gridCol w:w="715"/>
        <w:gridCol w:w="715"/>
        <w:gridCol w:w="715"/>
        <w:gridCol w:w="715"/>
        <w:gridCol w:w="715"/>
        <w:gridCol w:w="715"/>
        <w:gridCol w:w="715"/>
        <w:gridCol w:w="715"/>
        <w:gridCol w:w="715"/>
        <w:gridCol w:w="774"/>
      </w:tblGrid>
      <w:tr w:rsidR="007B4794" w:rsidRPr="007B4794" w14:paraId="4657B8FA" w14:textId="77777777" w:rsidTr="00627685">
        <w:trPr>
          <w:trHeight w:val="345"/>
          <w:tblHeader/>
        </w:trPr>
        <w:tc>
          <w:tcPr>
            <w:tcW w:w="209"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28F50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序号</w:t>
            </w:r>
          </w:p>
        </w:tc>
        <w:tc>
          <w:tcPr>
            <w:tcW w:w="451"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4CBCA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项        目</w:t>
            </w:r>
          </w:p>
        </w:tc>
        <w:tc>
          <w:tcPr>
            <w:tcW w:w="1044" w:type="pct"/>
            <w:gridSpan w:val="4"/>
            <w:tcBorders>
              <w:top w:val="single" w:sz="4" w:space="0" w:color="auto"/>
              <w:left w:val="nil"/>
              <w:bottom w:val="single" w:sz="4" w:space="0" w:color="auto"/>
              <w:right w:val="single" w:sz="4" w:space="0" w:color="auto"/>
            </w:tcBorders>
            <w:shd w:val="clear" w:color="000000" w:fill="FFFFFF"/>
            <w:noWrap/>
            <w:vAlign w:val="bottom"/>
            <w:hideMark/>
          </w:tcPr>
          <w:p w14:paraId="74EEF5F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2021年</w:t>
            </w:r>
          </w:p>
        </w:tc>
        <w:tc>
          <w:tcPr>
            <w:tcW w:w="987" w:type="pct"/>
            <w:gridSpan w:val="4"/>
            <w:tcBorders>
              <w:top w:val="single" w:sz="4" w:space="0" w:color="auto"/>
              <w:left w:val="nil"/>
              <w:bottom w:val="single" w:sz="4" w:space="0" w:color="auto"/>
              <w:right w:val="single" w:sz="4" w:space="0" w:color="auto"/>
            </w:tcBorders>
            <w:shd w:val="clear" w:color="000000" w:fill="FFFFFF"/>
            <w:noWrap/>
            <w:vAlign w:val="bottom"/>
            <w:hideMark/>
          </w:tcPr>
          <w:p w14:paraId="0E5FCD2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2022年</w:t>
            </w:r>
          </w:p>
        </w:tc>
        <w:tc>
          <w:tcPr>
            <w:tcW w:w="987" w:type="pct"/>
            <w:gridSpan w:val="4"/>
            <w:tcBorders>
              <w:top w:val="single" w:sz="4" w:space="0" w:color="auto"/>
              <w:left w:val="nil"/>
              <w:bottom w:val="single" w:sz="4" w:space="0" w:color="auto"/>
              <w:right w:val="single" w:sz="4" w:space="0" w:color="auto"/>
            </w:tcBorders>
            <w:shd w:val="clear" w:color="000000" w:fill="FFFFFF"/>
            <w:noWrap/>
            <w:vAlign w:val="bottom"/>
            <w:hideMark/>
          </w:tcPr>
          <w:p w14:paraId="0C4DBD0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2023年</w:t>
            </w:r>
          </w:p>
        </w:tc>
        <w:tc>
          <w:tcPr>
            <w:tcW w:w="987" w:type="pct"/>
            <w:gridSpan w:val="4"/>
            <w:tcBorders>
              <w:top w:val="single" w:sz="4" w:space="0" w:color="auto"/>
              <w:left w:val="nil"/>
              <w:bottom w:val="single" w:sz="4" w:space="0" w:color="auto"/>
              <w:right w:val="single" w:sz="4" w:space="0" w:color="auto"/>
            </w:tcBorders>
            <w:shd w:val="clear" w:color="000000" w:fill="FFFFFF"/>
            <w:noWrap/>
            <w:vAlign w:val="bottom"/>
            <w:hideMark/>
          </w:tcPr>
          <w:p w14:paraId="1D58FB4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2024年</w:t>
            </w:r>
          </w:p>
        </w:tc>
        <w:tc>
          <w:tcPr>
            <w:tcW w:w="337"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AB93F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合   计</w:t>
            </w:r>
          </w:p>
        </w:tc>
      </w:tr>
      <w:tr w:rsidR="007B4794" w:rsidRPr="007B4794" w14:paraId="7BBA2FA1" w14:textId="77777777" w:rsidTr="00627685">
        <w:trPr>
          <w:trHeight w:val="345"/>
          <w:tblHeader/>
        </w:trPr>
        <w:tc>
          <w:tcPr>
            <w:tcW w:w="209" w:type="pct"/>
            <w:vMerge/>
            <w:tcBorders>
              <w:top w:val="single" w:sz="4" w:space="0" w:color="auto"/>
              <w:left w:val="single" w:sz="4" w:space="0" w:color="auto"/>
              <w:bottom w:val="single" w:sz="4" w:space="0" w:color="auto"/>
              <w:right w:val="single" w:sz="4" w:space="0" w:color="auto"/>
            </w:tcBorders>
            <w:vAlign w:val="center"/>
            <w:hideMark/>
          </w:tcPr>
          <w:p w14:paraId="2E6037A5" w14:textId="77777777" w:rsidR="00627685" w:rsidRPr="007B4794" w:rsidRDefault="00627685">
            <w:pPr>
              <w:rPr>
                <w:rFonts w:ascii="Arial Unicode MS" w:eastAsia="Arial Unicode MS" w:hAnsi="Arial Unicode MS" w:cs="Arial Unicode MS"/>
                <w:color w:val="000000" w:themeColor="text1"/>
                <w:sz w:val="18"/>
                <w:szCs w:val="18"/>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3C439334" w14:textId="77777777" w:rsidR="00627685" w:rsidRPr="007B4794" w:rsidRDefault="00627685">
            <w:pPr>
              <w:rPr>
                <w:rFonts w:ascii="Arial Unicode MS" w:eastAsia="Arial Unicode MS" w:hAnsi="Arial Unicode MS" w:cs="Arial Unicode MS"/>
                <w:color w:val="000000" w:themeColor="text1"/>
                <w:sz w:val="18"/>
                <w:szCs w:val="18"/>
              </w:rPr>
            </w:pPr>
          </w:p>
        </w:tc>
        <w:tc>
          <w:tcPr>
            <w:tcW w:w="261" w:type="pct"/>
            <w:tcBorders>
              <w:top w:val="nil"/>
              <w:left w:val="single" w:sz="4" w:space="0" w:color="auto"/>
              <w:bottom w:val="single" w:sz="4" w:space="0" w:color="auto"/>
              <w:right w:val="nil"/>
            </w:tcBorders>
            <w:shd w:val="clear" w:color="000000" w:fill="FFFFFF"/>
            <w:noWrap/>
            <w:vAlign w:val="center"/>
            <w:hideMark/>
          </w:tcPr>
          <w:p w14:paraId="0772F8B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1季度</w:t>
            </w:r>
          </w:p>
        </w:tc>
        <w:tc>
          <w:tcPr>
            <w:tcW w:w="261" w:type="pct"/>
            <w:tcBorders>
              <w:top w:val="nil"/>
              <w:left w:val="single" w:sz="4" w:space="0" w:color="auto"/>
              <w:bottom w:val="single" w:sz="4" w:space="0" w:color="auto"/>
              <w:right w:val="nil"/>
            </w:tcBorders>
            <w:shd w:val="clear" w:color="000000" w:fill="FFFFFF"/>
            <w:noWrap/>
            <w:vAlign w:val="center"/>
            <w:hideMark/>
          </w:tcPr>
          <w:p w14:paraId="60BBB77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2季度</w:t>
            </w:r>
          </w:p>
        </w:tc>
        <w:tc>
          <w:tcPr>
            <w:tcW w:w="261" w:type="pct"/>
            <w:tcBorders>
              <w:top w:val="nil"/>
              <w:left w:val="single" w:sz="4" w:space="0" w:color="auto"/>
              <w:bottom w:val="single" w:sz="4" w:space="0" w:color="auto"/>
              <w:right w:val="nil"/>
            </w:tcBorders>
            <w:shd w:val="clear" w:color="000000" w:fill="FFFFFF"/>
            <w:noWrap/>
            <w:vAlign w:val="center"/>
            <w:hideMark/>
          </w:tcPr>
          <w:p w14:paraId="1C79C17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3季度</w:t>
            </w:r>
          </w:p>
        </w:tc>
        <w:tc>
          <w:tcPr>
            <w:tcW w:w="261" w:type="pct"/>
            <w:tcBorders>
              <w:top w:val="nil"/>
              <w:left w:val="single" w:sz="4" w:space="0" w:color="auto"/>
              <w:bottom w:val="single" w:sz="4" w:space="0" w:color="auto"/>
              <w:right w:val="nil"/>
            </w:tcBorders>
            <w:shd w:val="clear" w:color="000000" w:fill="FFFFFF"/>
            <w:noWrap/>
            <w:vAlign w:val="center"/>
            <w:hideMark/>
          </w:tcPr>
          <w:p w14:paraId="05FFFAC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4季度</w:t>
            </w:r>
          </w:p>
        </w:tc>
        <w:tc>
          <w:tcPr>
            <w:tcW w:w="247" w:type="pct"/>
            <w:tcBorders>
              <w:top w:val="nil"/>
              <w:left w:val="single" w:sz="4" w:space="0" w:color="auto"/>
              <w:bottom w:val="single" w:sz="4" w:space="0" w:color="auto"/>
              <w:right w:val="nil"/>
            </w:tcBorders>
            <w:shd w:val="clear" w:color="000000" w:fill="FFFFFF"/>
            <w:noWrap/>
            <w:vAlign w:val="center"/>
            <w:hideMark/>
          </w:tcPr>
          <w:p w14:paraId="48436FA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1季度</w:t>
            </w:r>
          </w:p>
        </w:tc>
        <w:tc>
          <w:tcPr>
            <w:tcW w:w="247" w:type="pct"/>
            <w:tcBorders>
              <w:top w:val="nil"/>
              <w:left w:val="single" w:sz="4" w:space="0" w:color="auto"/>
              <w:bottom w:val="single" w:sz="4" w:space="0" w:color="auto"/>
              <w:right w:val="nil"/>
            </w:tcBorders>
            <w:shd w:val="clear" w:color="000000" w:fill="FFFFFF"/>
            <w:noWrap/>
            <w:vAlign w:val="center"/>
            <w:hideMark/>
          </w:tcPr>
          <w:p w14:paraId="5E1EC2E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2季度</w:t>
            </w:r>
          </w:p>
        </w:tc>
        <w:tc>
          <w:tcPr>
            <w:tcW w:w="247" w:type="pct"/>
            <w:tcBorders>
              <w:top w:val="nil"/>
              <w:left w:val="single" w:sz="4" w:space="0" w:color="auto"/>
              <w:bottom w:val="single" w:sz="4" w:space="0" w:color="auto"/>
              <w:right w:val="nil"/>
            </w:tcBorders>
            <w:shd w:val="clear" w:color="000000" w:fill="FFFFFF"/>
            <w:noWrap/>
            <w:vAlign w:val="center"/>
            <w:hideMark/>
          </w:tcPr>
          <w:p w14:paraId="5D27764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3季度</w:t>
            </w:r>
          </w:p>
        </w:tc>
        <w:tc>
          <w:tcPr>
            <w:tcW w:w="247" w:type="pct"/>
            <w:tcBorders>
              <w:top w:val="nil"/>
              <w:left w:val="single" w:sz="4" w:space="0" w:color="auto"/>
              <w:bottom w:val="single" w:sz="4" w:space="0" w:color="auto"/>
              <w:right w:val="nil"/>
            </w:tcBorders>
            <w:shd w:val="clear" w:color="000000" w:fill="FFFFFF"/>
            <w:noWrap/>
            <w:vAlign w:val="center"/>
            <w:hideMark/>
          </w:tcPr>
          <w:p w14:paraId="4DF1464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4季度</w:t>
            </w:r>
          </w:p>
        </w:tc>
        <w:tc>
          <w:tcPr>
            <w:tcW w:w="247" w:type="pct"/>
            <w:tcBorders>
              <w:top w:val="nil"/>
              <w:left w:val="single" w:sz="4" w:space="0" w:color="auto"/>
              <w:bottom w:val="single" w:sz="4" w:space="0" w:color="auto"/>
              <w:right w:val="nil"/>
            </w:tcBorders>
            <w:shd w:val="clear" w:color="000000" w:fill="FFFFFF"/>
            <w:noWrap/>
            <w:vAlign w:val="center"/>
            <w:hideMark/>
          </w:tcPr>
          <w:p w14:paraId="3C21EC6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1季度</w:t>
            </w:r>
          </w:p>
        </w:tc>
        <w:tc>
          <w:tcPr>
            <w:tcW w:w="247" w:type="pct"/>
            <w:tcBorders>
              <w:top w:val="nil"/>
              <w:left w:val="single" w:sz="4" w:space="0" w:color="auto"/>
              <w:bottom w:val="single" w:sz="4" w:space="0" w:color="auto"/>
              <w:right w:val="nil"/>
            </w:tcBorders>
            <w:shd w:val="clear" w:color="000000" w:fill="FFFFFF"/>
            <w:noWrap/>
            <w:vAlign w:val="center"/>
            <w:hideMark/>
          </w:tcPr>
          <w:p w14:paraId="7C76363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2季度</w:t>
            </w:r>
          </w:p>
        </w:tc>
        <w:tc>
          <w:tcPr>
            <w:tcW w:w="247" w:type="pct"/>
            <w:tcBorders>
              <w:top w:val="nil"/>
              <w:left w:val="single" w:sz="4" w:space="0" w:color="auto"/>
              <w:bottom w:val="single" w:sz="4" w:space="0" w:color="auto"/>
              <w:right w:val="nil"/>
            </w:tcBorders>
            <w:shd w:val="clear" w:color="000000" w:fill="FFFFFF"/>
            <w:noWrap/>
            <w:vAlign w:val="center"/>
            <w:hideMark/>
          </w:tcPr>
          <w:p w14:paraId="5E0B4BF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3季度</w:t>
            </w:r>
          </w:p>
        </w:tc>
        <w:tc>
          <w:tcPr>
            <w:tcW w:w="247" w:type="pct"/>
            <w:tcBorders>
              <w:top w:val="nil"/>
              <w:left w:val="single" w:sz="4" w:space="0" w:color="auto"/>
              <w:bottom w:val="single" w:sz="4" w:space="0" w:color="auto"/>
              <w:right w:val="nil"/>
            </w:tcBorders>
            <w:shd w:val="clear" w:color="000000" w:fill="FFFFFF"/>
            <w:noWrap/>
            <w:vAlign w:val="center"/>
            <w:hideMark/>
          </w:tcPr>
          <w:p w14:paraId="726E87D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4季度</w:t>
            </w:r>
          </w:p>
        </w:tc>
        <w:tc>
          <w:tcPr>
            <w:tcW w:w="247" w:type="pct"/>
            <w:tcBorders>
              <w:top w:val="nil"/>
              <w:left w:val="single" w:sz="4" w:space="0" w:color="auto"/>
              <w:bottom w:val="single" w:sz="4" w:space="0" w:color="auto"/>
              <w:right w:val="nil"/>
            </w:tcBorders>
            <w:shd w:val="clear" w:color="000000" w:fill="FFFFFF"/>
            <w:noWrap/>
            <w:vAlign w:val="center"/>
            <w:hideMark/>
          </w:tcPr>
          <w:p w14:paraId="155F258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1季度</w:t>
            </w:r>
          </w:p>
        </w:tc>
        <w:tc>
          <w:tcPr>
            <w:tcW w:w="247" w:type="pct"/>
            <w:tcBorders>
              <w:top w:val="nil"/>
              <w:left w:val="single" w:sz="4" w:space="0" w:color="auto"/>
              <w:bottom w:val="single" w:sz="4" w:space="0" w:color="auto"/>
              <w:right w:val="nil"/>
            </w:tcBorders>
            <w:shd w:val="clear" w:color="000000" w:fill="FFFFFF"/>
            <w:noWrap/>
            <w:vAlign w:val="center"/>
            <w:hideMark/>
          </w:tcPr>
          <w:p w14:paraId="7E2F18E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2季度</w:t>
            </w:r>
          </w:p>
        </w:tc>
        <w:tc>
          <w:tcPr>
            <w:tcW w:w="247" w:type="pct"/>
            <w:tcBorders>
              <w:top w:val="nil"/>
              <w:left w:val="single" w:sz="4" w:space="0" w:color="auto"/>
              <w:bottom w:val="single" w:sz="4" w:space="0" w:color="auto"/>
              <w:right w:val="nil"/>
            </w:tcBorders>
            <w:shd w:val="clear" w:color="000000" w:fill="FFFFFF"/>
            <w:noWrap/>
            <w:vAlign w:val="center"/>
            <w:hideMark/>
          </w:tcPr>
          <w:p w14:paraId="6FDC7CD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3季度</w:t>
            </w:r>
          </w:p>
        </w:tc>
        <w:tc>
          <w:tcPr>
            <w:tcW w:w="247" w:type="pct"/>
            <w:tcBorders>
              <w:top w:val="nil"/>
              <w:left w:val="single" w:sz="4" w:space="0" w:color="auto"/>
              <w:bottom w:val="single" w:sz="4" w:space="0" w:color="auto"/>
              <w:right w:val="nil"/>
            </w:tcBorders>
            <w:shd w:val="clear" w:color="000000" w:fill="FFFFFF"/>
            <w:noWrap/>
            <w:vAlign w:val="center"/>
            <w:hideMark/>
          </w:tcPr>
          <w:p w14:paraId="78AD184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4季度</w:t>
            </w:r>
          </w:p>
        </w:tc>
        <w:tc>
          <w:tcPr>
            <w:tcW w:w="337" w:type="pct"/>
            <w:vMerge/>
            <w:tcBorders>
              <w:top w:val="single" w:sz="4" w:space="0" w:color="auto"/>
              <w:left w:val="single" w:sz="4" w:space="0" w:color="auto"/>
              <w:bottom w:val="single" w:sz="4" w:space="0" w:color="auto"/>
              <w:right w:val="single" w:sz="4" w:space="0" w:color="auto"/>
            </w:tcBorders>
            <w:vAlign w:val="center"/>
            <w:hideMark/>
          </w:tcPr>
          <w:p w14:paraId="2389E245" w14:textId="77777777" w:rsidR="00627685" w:rsidRPr="007B4794" w:rsidRDefault="00627685">
            <w:pPr>
              <w:rPr>
                <w:rFonts w:ascii="Arial Unicode MS" w:eastAsia="Arial Unicode MS" w:hAnsi="Arial Unicode MS" w:cs="Arial Unicode MS"/>
                <w:color w:val="000000" w:themeColor="text1"/>
                <w:sz w:val="18"/>
                <w:szCs w:val="18"/>
              </w:rPr>
            </w:pPr>
          </w:p>
        </w:tc>
      </w:tr>
      <w:tr w:rsidR="007B4794" w:rsidRPr="007B4794" w14:paraId="71E98B9D"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30C22707"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1</w:t>
            </w:r>
          </w:p>
        </w:tc>
        <w:tc>
          <w:tcPr>
            <w:tcW w:w="451" w:type="pct"/>
            <w:tcBorders>
              <w:top w:val="nil"/>
              <w:left w:val="nil"/>
              <w:bottom w:val="single" w:sz="4" w:space="0" w:color="auto"/>
              <w:right w:val="single" w:sz="4" w:space="0" w:color="auto"/>
            </w:tcBorders>
            <w:shd w:val="clear" w:color="000000" w:fill="FFFFFF"/>
            <w:noWrap/>
            <w:vAlign w:val="center"/>
            <w:hideMark/>
          </w:tcPr>
          <w:p w14:paraId="236014D5"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销售收入</w:t>
            </w:r>
          </w:p>
        </w:tc>
        <w:tc>
          <w:tcPr>
            <w:tcW w:w="261" w:type="pct"/>
            <w:tcBorders>
              <w:top w:val="nil"/>
              <w:left w:val="nil"/>
              <w:bottom w:val="single" w:sz="4" w:space="0" w:color="auto"/>
              <w:right w:val="single" w:sz="4" w:space="0" w:color="auto"/>
            </w:tcBorders>
            <w:shd w:val="clear" w:color="000000" w:fill="FFFFFF"/>
            <w:noWrap/>
            <w:vAlign w:val="center"/>
            <w:hideMark/>
          </w:tcPr>
          <w:p w14:paraId="380BE853"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0 </w:t>
            </w:r>
          </w:p>
        </w:tc>
        <w:tc>
          <w:tcPr>
            <w:tcW w:w="261" w:type="pct"/>
            <w:tcBorders>
              <w:top w:val="nil"/>
              <w:left w:val="nil"/>
              <w:bottom w:val="single" w:sz="4" w:space="0" w:color="auto"/>
              <w:right w:val="single" w:sz="4" w:space="0" w:color="auto"/>
            </w:tcBorders>
            <w:shd w:val="clear" w:color="000000" w:fill="FFFFFF"/>
            <w:noWrap/>
            <w:vAlign w:val="center"/>
            <w:hideMark/>
          </w:tcPr>
          <w:p w14:paraId="3BDC93CA"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24157 </w:t>
            </w:r>
          </w:p>
        </w:tc>
        <w:tc>
          <w:tcPr>
            <w:tcW w:w="261" w:type="pct"/>
            <w:tcBorders>
              <w:top w:val="nil"/>
              <w:left w:val="nil"/>
              <w:bottom w:val="single" w:sz="4" w:space="0" w:color="auto"/>
              <w:right w:val="single" w:sz="4" w:space="0" w:color="auto"/>
            </w:tcBorders>
            <w:shd w:val="clear" w:color="000000" w:fill="FFFFFF"/>
            <w:noWrap/>
            <w:vAlign w:val="center"/>
            <w:hideMark/>
          </w:tcPr>
          <w:p w14:paraId="181E8BD8"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18764 </w:t>
            </w:r>
          </w:p>
        </w:tc>
        <w:tc>
          <w:tcPr>
            <w:tcW w:w="261" w:type="pct"/>
            <w:tcBorders>
              <w:top w:val="nil"/>
              <w:left w:val="nil"/>
              <w:bottom w:val="single" w:sz="4" w:space="0" w:color="auto"/>
              <w:right w:val="single" w:sz="4" w:space="0" w:color="auto"/>
            </w:tcBorders>
            <w:shd w:val="clear" w:color="000000" w:fill="FFFFFF"/>
            <w:noWrap/>
            <w:vAlign w:val="center"/>
            <w:hideMark/>
          </w:tcPr>
          <w:p w14:paraId="66E7A0AD"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17169 </w:t>
            </w:r>
          </w:p>
        </w:tc>
        <w:tc>
          <w:tcPr>
            <w:tcW w:w="247" w:type="pct"/>
            <w:tcBorders>
              <w:top w:val="nil"/>
              <w:left w:val="nil"/>
              <w:bottom w:val="single" w:sz="4" w:space="0" w:color="auto"/>
              <w:right w:val="single" w:sz="4" w:space="0" w:color="auto"/>
            </w:tcBorders>
            <w:shd w:val="clear" w:color="000000" w:fill="FFFFFF"/>
            <w:noWrap/>
            <w:vAlign w:val="center"/>
            <w:hideMark/>
          </w:tcPr>
          <w:p w14:paraId="5F0C0A6D"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24163 </w:t>
            </w:r>
          </w:p>
        </w:tc>
        <w:tc>
          <w:tcPr>
            <w:tcW w:w="247" w:type="pct"/>
            <w:tcBorders>
              <w:top w:val="nil"/>
              <w:left w:val="nil"/>
              <w:bottom w:val="single" w:sz="4" w:space="0" w:color="auto"/>
              <w:right w:val="single" w:sz="4" w:space="0" w:color="auto"/>
            </w:tcBorders>
            <w:shd w:val="clear" w:color="000000" w:fill="FFFFFF"/>
            <w:noWrap/>
            <w:vAlign w:val="center"/>
            <w:hideMark/>
          </w:tcPr>
          <w:p w14:paraId="6BF8E1EB"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22173 </w:t>
            </w:r>
          </w:p>
        </w:tc>
        <w:tc>
          <w:tcPr>
            <w:tcW w:w="247" w:type="pct"/>
            <w:tcBorders>
              <w:top w:val="nil"/>
              <w:left w:val="nil"/>
              <w:bottom w:val="single" w:sz="4" w:space="0" w:color="auto"/>
              <w:right w:val="single" w:sz="4" w:space="0" w:color="auto"/>
            </w:tcBorders>
            <w:shd w:val="clear" w:color="000000" w:fill="FFFFFF"/>
            <w:noWrap/>
            <w:vAlign w:val="center"/>
            <w:hideMark/>
          </w:tcPr>
          <w:p w14:paraId="45FFEAE8"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22173 </w:t>
            </w:r>
          </w:p>
        </w:tc>
        <w:tc>
          <w:tcPr>
            <w:tcW w:w="247" w:type="pct"/>
            <w:tcBorders>
              <w:top w:val="nil"/>
              <w:left w:val="nil"/>
              <w:bottom w:val="single" w:sz="4" w:space="0" w:color="auto"/>
              <w:right w:val="single" w:sz="4" w:space="0" w:color="auto"/>
            </w:tcBorders>
            <w:shd w:val="clear" w:color="000000" w:fill="FFFFFF"/>
            <w:noWrap/>
            <w:vAlign w:val="center"/>
            <w:hideMark/>
          </w:tcPr>
          <w:p w14:paraId="05E3ADC3"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22173 </w:t>
            </w:r>
          </w:p>
        </w:tc>
        <w:tc>
          <w:tcPr>
            <w:tcW w:w="247" w:type="pct"/>
            <w:tcBorders>
              <w:top w:val="nil"/>
              <w:left w:val="nil"/>
              <w:bottom w:val="single" w:sz="4" w:space="0" w:color="auto"/>
              <w:right w:val="single" w:sz="4" w:space="0" w:color="auto"/>
            </w:tcBorders>
            <w:shd w:val="clear" w:color="000000" w:fill="FFFFFF"/>
            <w:noWrap/>
            <w:vAlign w:val="center"/>
            <w:hideMark/>
          </w:tcPr>
          <w:p w14:paraId="0A8DBF66"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20954 </w:t>
            </w:r>
          </w:p>
        </w:tc>
        <w:tc>
          <w:tcPr>
            <w:tcW w:w="247" w:type="pct"/>
            <w:tcBorders>
              <w:top w:val="nil"/>
              <w:left w:val="nil"/>
              <w:bottom w:val="single" w:sz="4" w:space="0" w:color="auto"/>
              <w:right w:val="single" w:sz="4" w:space="0" w:color="auto"/>
            </w:tcBorders>
            <w:shd w:val="clear" w:color="000000" w:fill="FFFFFF"/>
            <w:noWrap/>
            <w:vAlign w:val="center"/>
            <w:hideMark/>
          </w:tcPr>
          <w:p w14:paraId="7AF47050"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20884 </w:t>
            </w:r>
          </w:p>
        </w:tc>
        <w:tc>
          <w:tcPr>
            <w:tcW w:w="247" w:type="pct"/>
            <w:tcBorders>
              <w:top w:val="nil"/>
              <w:left w:val="nil"/>
              <w:bottom w:val="single" w:sz="4" w:space="0" w:color="auto"/>
              <w:right w:val="single" w:sz="4" w:space="0" w:color="auto"/>
            </w:tcBorders>
            <w:shd w:val="clear" w:color="000000" w:fill="FFFFFF"/>
            <w:noWrap/>
            <w:vAlign w:val="center"/>
            <w:hideMark/>
          </w:tcPr>
          <w:p w14:paraId="0E85991D"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11300 </w:t>
            </w:r>
          </w:p>
        </w:tc>
        <w:tc>
          <w:tcPr>
            <w:tcW w:w="247" w:type="pct"/>
            <w:tcBorders>
              <w:top w:val="nil"/>
              <w:left w:val="nil"/>
              <w:bottom w:val="single" w:sz="4" w:space="0" w:color="auto"/>
              <w:right w:val="single" w:sz="4" w:space="0" w:color="auto"/>
            </w:tcBorders>
            <w:shd w:val="clear" w:color="000000" w:fill="FFFFFF"/>
            <w:noWrap/>
            <w:vAlign w:val="center"/>
            <w:hideMark/>
          </w:tcPr>
          <w:p w14:paraId="364F9E2A"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2640 </w:t>
            </w:r>
          </w:p>
        </w:tc>
        <w:tc>
          <w:tcPr>
            <w:tcW w:w="247" w:type="pct"/>
            <w:tcBorders>
              <w:top w:val="nil"/>
              <w:left w:val="nil"/>
              <w:bottom w:val="single" w:sz="4" w:space="0" w:color="auto"/>
              <w:right w:val="single" w:sz="4" w:space="0" w:color="auto"/>
            </w:tcBorders>
            <w:shd w:val="clear" w:color="000000" w:fill="FFFFFF"/>
            <w:noWrap/>
            <w:vAlign w:val="center"/>
            <w:hideMark/>
          </w:tcPr>
          <w:p w14:paraId="277386AE"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16027763"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77AAD0F3"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6F1EFF1F"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0 </w:t>
            </w:r>
          </w:p>
        </w:tc>
        <w:tc>
          <w:tcPr>
            <w:tcW w:w="337" w:type="pct"/>
            <w:tcBorders>
              <w:top w:val="nil"/>
              <w:left w:val="nil"/>
              <w:bottom w:val="single" w:sz="4" w:space="0" w:color="auto"/>
              <w:right w:val="single" w:sz="4" w:space="0" w:color="auto"/>
            </w:tcBorders>
            <w:shd w:val="clear" w:color="000000" w:fill="FFFFFF"/>
            <w:noWrap/>
            <w:vAlign w:val="center"/>
            <w:hideMark/>
          </w:tcPr>
          <w:p w14:paraId="132E4A6A"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206550 </w:t>
            </w:r>
          </w:p>
        </w:tc>
      </w:tr>
      <w:tr w:rsidR="007B4794" w:rsidRPr="007B4794" w14:paraId="7A963D96" w14:textId="77777777" w:rsidTr="00627685">
        <w:trPr>
          <w:trHeight w:val="390"/>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279DEE5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1.1</w:t>
            </w:r>
          </w:p>
        </w:tc>
        <w:tc>
          <w:tcPr>
            <w:tcW w:w="451" w:type="pct"/>
            <w:tcBorders>
              <w:top w:val="nil"/>
              <w:left w:val="nil"/>
              <w:bottom w:val="single" w:sz="4" w:space="0" w:color="auto"/>
              <w:right w:val="single" w:sz="4" w:space="0" w:color="auto"/>
            </w:tcBorders>
            <w:shd w:val="clear" w:color="000000" w:fill="FFFFFF"/>
            <w:vAlign w:val="center"/>
            <w:hideMark/>
          </w:tcPr>
          <w:p w14:paraId="70CD2D1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高层平层住宅</w:t>
            </w:r>
          </w:p>
        </w:tc>
        <w:tc>
          <w:tcPr>
            <w:tcW w:w="261" w:type="pct"/>
            <w:tcBorders>
              <w:top w:val="nil"/>
              <w:left w:val="nil"/>
              <w:bottom w:val="single" w:sz="4" w:space="0" w:color="auto"/>
              <w:right w:val="single" w:sz="4" w:space="0" w:color="auto"/>
            </w:tcBorders>
            <w:shd w:val="clear" w:color="000000" w:fill="FFFFFF"/>
            <w:noWrap/>
            <w:vAlign w:val="center"/>
            <w:hideMark/>
          </w:tcPr>
          <w:p w14:paraId="0A4788A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61" w:type="pct"/>
            <w:tcBorders>
              <w:top w:val="nil"/>
              <w:left w:val="nil"/>
              <w:bottom w:val="single" w:sz="4" w:space="0" w:color="auto"/>
              <w:right w:val="single" w:sz="4" w:space="0" w:color="auto"/>
            </w:tcBorders>
            <w:shd w:val="clear" w:color="000000" w:fill="FFFFFF"/>
            <w:noWrap/>
            <w:vAlign w:val="center"/>
            <w:hideMark/>
          </w:tcPr>
          <w:p w14:paraId="7552121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10494 </w:t>
            </w:r>
          </w:p>
        </w:tc>
        <w:tc>
          <w:tcPr>
            <w:tcW w:w="261" w:type="pct"/>
            <w:tcBorders>
              <w:top w:val="nil"/>
              <w:left w:val="nil"/>
              <w:bottom w:val="single" w:sz="4" w:space="0" w:color="auto"/>
              <w:right w:val="single" w:sz="4" w:space="0" w:color="auto"/>
            </w:tcBorders>
            <w:shd w:val="clear" w:color="000000" w:fill="FFFFFF"/>
            <w:noWrap/>
            <w:vAlign w:val="center"/>
            <w:hideMark/>
          </w:tcPr>
          <w:p w14:paraId="688D92C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8245 </w:t>
            </w:r>
          </w:p>
        </w:tc>
        <w:tc>
          <w:tcPr>
            <w:tcW w:w="261" w:type="pct"/>
            <w:tcBorders>
              <w:top w:val="nil"/>
              <w:left w:val="nil"/>
              <w:bottom w:val="single" w:sz="4" w:space="0" w:color="auto"/>
              <w:right w:val="single" w:sz="4" w:space="0" w:color="auto"/>
            </w:tcBorders>
            <w:shd w:val="clear" w:color="000000" w:fill="FFFFFF"/>
            <w:noWrap/>
            <w:vAlign w:val="center"/>
            <w:hideMark/>
          </w:tcPr>
          <w:p w14:paraId="1A45285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7496 </w:t>
            </w:r>
          </w:p>
        </w:tc>
        <w:tc>
          <w:tcPr>
            <w:tcW w:w="247" w:type="pct"/>
            <w:tcBorders>
              <w:top w:val="nil"/>
              <w:left w:val="nil"/>
              <w:bottom w:val="single" w:sz="4" w:space="0" w:color="auto"/>
              <w:right w:val="single" w:sz="4" w:space="0" w:color="auto"/>
            </w:tcBorders>
            <w:shd w:val="clear" w:color="000000" w:fill="FFFFFF"/>
            <w:noWrap/>
            <w:vAlign w:val="center"/>
            <w:hideMark/>
          </w:tcPr>
          <w:p w14:paraId="6A28C2E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7496 </w:t>
            </w:r>
          </w:p>
        </w:tc>
        <w:tc>
          <w:tcPr>
            <w:tcW w:w="247" w:type="pct"/>
            <w:tcBorders>
              <w:top w:val="nil"/>
              <w:left w:val="nil"/>
              <w:bottom w:val="single" w:sz="4" w:space="0" w:color="auto"/>
              <w:right w:val="single" w:sz="4" w:space="0" w:color="auto"/>
            </w:tcBorders>
            <w:shd w:val="clear" w:color="000000" w:fill="FFFFFF"/>
            <w:noWrap/>
            <w:vAlign w:val="center"/>
            <w:hideMark/>
          </w:tcPr>
          <w:p w14:paraId="38CB08F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7496 </w:t>
            </w:r>
          </w:p>
        </w:tc>
        <w:tc>
          <w:tcPr>
            <w:tcW w:w="247" w:type="pct"/>
            <w:tcBorders>
              <w:top w:val="nil"/>
              <w:left w:val="nil"/>
              <w:bottom w:val="single" w:sz="4" w:space="0" w:color="auto"/>
              <w:right w:val="single" w:sz="4" w:space="0" w:color="auto"/>
            </w:tcBorders>
            <w:shd w:val="clear" w:color="000000" w:fill="FFFFFF"/>
            <w:noWrap/>
            <w:vAlign w:val="center"/>
            <w:hideMark/>
          </w:tcPr>
          <w:p w14:paraId="6022CF4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7496 </w:t>
            </w:r>
          </w:p>
        </w:tc>
        <w:tc>
          <w:tcPr>
            <w:tcW w:w="247" w:type="pct"/>
            <w:tcBorders>
              <w:top w:val="nil"/>
              <w:left w:val="nil"/>
              <w:bottom w:val="single" w:sz="4" w:space="0" w:color="auto"/>
              <w:right w:val="single" w:sz="4" w:space="0" w:color="auto"/>
            </w:tcBorders>
            <w:shd w:val="clear" w:color="000000" w:fill="FFFFFF"/>
            <w:noWrap/>
            <w:vAlign w:val="center"/>
            <w:hideMark/>
          </w:tcPr>
          <w:p w14:paraId="3276CCC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7496 </w:t>
            </w:r>
          </w:p>
        </w:tc>
        <w:tc>
          <w:tcPr>
            <w:tcW w:w="247" w:type="pct"/>
            <w:tcBorders>
              <w:top w:val="nil"/>
              <w:left w:val="nil"/>
              <w:bottom w:val="single" w:sz="4" w:space="0" w:color="auto"/>
              <w:right w:val="single" w:sz="4" w:space="0" w:color="auto"/>
            </w:tcBorders>
            <w:shd w:val="clear" w:color="000000" w:fill="FFFFFF"/>
            <w:noWrap/>
            <w:vAlign w:val="center"/>
            <w:hideMark/>
          </w:tcPr>
          <w:p w14:paraId="129BD7E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7496 </w:t>
            </w:r>
          </w:p>
        </w:tc>
        <w:tc>
          <w:tcPr>
            <w:tcW w:w="247" w:type="pct"/>
            <w:tcBorders>
              <w:top w:val="nil"/>
              <w:left w:val="nil"/>
              <w:bottom w:val="single" w:sz="4" w:space="0" w:color="auto"/>
              <w:right w:val="single" w:sz="4" w:space="0" w:color="auto"/>
            </w:tcBorders>
            <w:shd w:val="clear" w:color="000000" w:fill="FFFFFF"/>
            <w:noWrap/>
            <w:vAlign w:val="center"/>
            <w:hideMark/>
          </w:tcPr>
          <w:p w14:paraId="7FB65CF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7496 </w:t>
            </w:r>
          </w:p>
        </w:tc>
        <w:tc>
          <w:tcPr>
            <w:tcW w:w="247" w:type="pct"/>
            <w:tcBorders>
              <w:top w:val="nil"/>
              <w:left w:val="nil"/>
              <w:bottom w:val="single" w:sz="4" w:space="0" w:color="auto"/>
              <w:right w:val="single" w:sz="4" w:space="0" w:color="auto"/>
            </w:tcBorders>
            <w:shd w:val="clear" w:color="000000" w:fill="FFFFFF"/>
            <w:noWrap/>
            <w:vAlign w:val="center"/>
            <w:hideMark/>
          </w:tcPr>
          <w:p w14:paraId="12190B0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3747 </w:t>
            </w:r>
          </w:p>
        </w:tc>
        <w:tc>
          <w:tcPr>
            <w:tcW w:w="247" w:type="pct"/>
            <w:tcBorders>
              <w:top w:val="nil"/>
              <w:left w:val="nil"/>
              <w:bottom w:val="single" w:sz="4" w:space="0" w:color="auto"/>
              <w:right w:val="single" w:sz="4" w:space="0" w:color="auto"/>
            </w:tcBorders>
            <w:shd w:val="clear" w:color="000000" w:fill="FFFFFF"/>
            <w:noWrap/>
            <w:vAlign w:val="center"/>
            <w:hideMark/>
          </w:tcPr>
          <w:p w14:paraId="65C803B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4542B7C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2B92222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2034A3C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1E7C0E4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337" w:type="pct"/>
            <w:tcBorders>
              <w:top w:val="nil"/>
              <w:left w:val="nil"/>
              <w:bottom w:val="single" w:sz="4" w:space="0" w:color="auto"/>
              <w:right w:val="single" w:sz="4" w:space="0" w:color="auto"/>
            </w:tcBorders>
            <w:shd w:val="clear" w:color="000000" w:fill="FFFFFF"/>
            <w:noWrap/>
            <w:vAlign w:val="center"/>
            <w:hideMark/>
          </w:tcPr>
          <w:p w14:paraId="183D168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74958 </w:t>
            </w:r>
          </w:p>
        </w:tc>
      </w:tr>
      <w:tr w:rsidR="007B4794" w:rsidRPr="007B4794" w14:paraId="71AF554C" w14:textId="77777777" w:rsidTr="00627685">
        <w:trPr>
          <w:trHeight w:val="390"/>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70C5B00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1.1.1</w:t>
            </w:r>
          </w:p>
        </w:tc>
        <w:tc>
          <w:tcPr>
            <w:tcW w:w="451" w:type="pct"/>
            <w:tcBorders>
              <w:top w:val="nil"/>
              <w:left w:val="nil"/>
              <w:bottom w:val="single" w:sz="4" w:space="0" w:color="auto"/>
              <w:right w:val="single" w:sz="4" w:space="0" w:color="auto"/>
            </w:tcBorders>
            <w:shd w:val="clear" w:color="000000" w:fill="FFFFFF"/>
            <w:vAlign w:val="center"/>
            <w:hideMark/>
          </w:tcPr>
          <w:p w14:paraId="6AFFFFF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销售面积</w:t>
            </w:r>
          </w:p>
        </w:tc>
        <w:tc>
          <w:tcPr>
            <w:tcW w:w="261" w:type="pct"/>
            <w:tcBorders>
              <w:top w:val="nil"/>
              <w:left w:val="nil"/>
              <w:bottom w:val="single" w:sz="4" w:space="0" w:color="auto"/>
              <w:right w:val="single" w:sz="4" w:space="0" w:color="auto"/>
            </w:tcBorders>
            <w:shd w:val="clear" w:color="000000" w:fill="FFFFFF"/>
            <w:noWrap/>
            <w:vAlign w:val="center"/>
            <w:hideMark/>
          </w:tcPr>
          <w:p w14:paraId="7A0CBDA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61" w:type="pct"/>
            <w:tcBorders>
              <w:top w:val="nil"/>
              <w:left w:val="nil"/>
              <w:bottom w:val="single" w:sz="4" w:space="0" w:color="auto"/>
              <w:right w:val="single" w:sz="4" w:space="0" w:color="auto"/>
            </w:tcBorders>
            <w:shd w:val="clear" w:color="000000" w:fill="FFFFFF"/>
            <w:noWrap/>
            <w:vAlign w:val="center"/>
            <w:hideMark/>
          </w:tcPr>
          <w:p w14:paraId="55D50F7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6360 </w:t>
            </w:r>
          </w:p>
        </w:tc>
        <w:tc>
          <w:tcPr>
            <w:tcW w:w="261" w:type="pct"/>
            <w:tcBorders>
              <w:top w:val="nil"/>
              <w:left w:val="nil"/>
              <w:bottom w:val="single" w:sz="4" w:space="0" w:color="auto"/>
              <w:right w:val="single" w:sz="4" w:space="0" w:color="auto"/>
            </w:tcBorders>
            <w:shd w:val="clear" w:color="000000" w:fill="FFFFFF"/>
            <w:noWrap/>
            <w:vAlign w:val="center"/>
            <w:hideMark/>
          </w:tcPr>
          <w:p w14:paraId="69BFAAB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4997 </w:t>
            </w:r>
          </w:p>
        </w:tc>
        <w:tc>
          <w:tcPr>
            <w:tcW w:w="261" w:type="pct"/>
            <w:tcBorders>
              <w:top w:val="nil"/>
              <w:left w:val="nil"/>
              <w:bottom w:val="single" w:sz="4" w:space="0" w:color="auto"/>
              <w:right w:val="single" w:sz="4" w:space="0" w:color="auto"/>
            </w:tcBorders>
            <w:shd w:val="clear" w:color="000000" w:fill="FFFFFF"/>
            <w:noWrap/>
            <w:vAlign w:val="center"/>
            <w:hideMark/>
          </w:tcPr>
          <w:p w14:paraId="7905F25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4543 </w:t>
            </w:r>
          </w:p>
        </w:tc>
        <w:tc>
          <w:tcPr>
            <w:tcW w:w="247" w:type="pct"/>
            <w:tcBorders>
              <w:top w:val="nil"/>
              <w:left w:val="nil"/>
              <w:bottom w:val="single" w:sz="4" w:space="0" w:color="auto"/>
              <w:right w:val="single" w:sz="4" w:space="0" w:color="auto"/>
            </w:tcBorders>
            <w:shd w:val="clear" w:color="000000" w:fill="FFFFFF"/>
            <w:noWrap/>
            <w:vAlign w:val="center"/>
            <w:hideMark/>
          </w:tcPr>
          <w:p w14:paraId="742E0F9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4543 </w:t>
            </w:r>
          </w:p>
        </w:tc>
        <w:tc>
          <w:tcPr>
            <w:tcW w:w="247" w:type="pct"/>
            <w:tcBorders>
              <w:top w:val="nil"/>
              <w:left w:val="nil"/>
              <w:bottom w:val="single" w:sz="4" w:space="0" w:color="auto"/>
              <w:right w:val="single" w:sz="4" w:space="0" w:color="auto"/>
            </w:tcBorders>
            <w:shd w:val="clear" w:color="000000" w:fill="FFFFFF"/>
            <w:noWrap/>
            <w:vAlign w:val="center"/>
            <w:hideMark/>
          </w:tcPr>
          <w:p w14:paraId="261867E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4543 </w:t>
            </w:r>
          </w:p>
        </w:tc>
        <w:tc>
          <w:tcPr>
            <w:tcW w:w="247" w:type="pct"/>
            <w:tcBorders>
              <w:top w:val="nil"/>
              <w:left w:val="nil"/>
              <w:bottom w:val="single" w:sz="4" w:space="0" w:color="auto"/>
              <w:right w:val="single" w:sz="4" w:space="0" w:color="auto"/>
            </w:tcBorders>
            <w:shd w:val="clear" w:color="000000" w:fill="FFFFFF"/>
            <w:noWrap/>
            <w:vAlign w:val="center"/>
            <w:hideMark/>
          </w:tcPr>
          <w:p w14:paraId="1155BE6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4543 </w:t>
            </w:r>
          </w:p>
        </w:tc>
        <w:tc>
          <w:tcPr>
            <w:tcW w:w="247" w:type="pct"/>
            <w:tcBorders>
              <w:top w:val="nil"/>
              <w:left w:val="nil"/>
              <w:bottom w:val="single" w:sz="4" w:space="0" w:color="auto"/>
              <w:right w:val="single" w:sz="4" w:space="0" w:color="auto"/>
            </w:tcBorders>
            <w:shd w:val="clear" w:color="000000" w:fill="FFFFFF"/>
            <w:noWrap/>
            <w:vAlign w:val="center"/>
            <w:hideMark/>
          </w:tcPr>
          <w:p w14:paraId="2175B6C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4543 </w:t>
            </w:r>
          </w:p>
        </w:tc>
        <w:tc>
          <w:tcPr>
            <w:tcW w:w="247" w:type="pct"/>
            <w:tcBorders>
              <w:top w:val="nil"/>
              <w:left w:val="nil"/>
              <w:bottom w:val="single" w:sz="4" w:space="0" w:color="auto"/>
              <w:right w:val="single" w:sz="4" w:space="0" w:color="auto"/>
            </w:tcBorders>
            <w:shd w:val="clear" w:color="000000" w:fill="FFFFFF"/>
            <w:noWrap/>
            <w:vAlign w:val="center"/>
            <w:hideMark/>
          </w:tcPr>
          <w:p w14:paraId="3BF1CFD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4543 </w:t>
            </w:r>
          </w:p>
        </w:tc>
        <w:tc>
          <w:tcPr>
            <w:tcW w:w="247" w:type="pct"/>
            <w:tcBorders>
              <w:top w:val="nil"/>
              <w:left w:val="nil"/>
              <w:bottom w:val="single" w:sz="4" w:space="0" w:color="auto"/>
              <w:right w:val="single" w:sz="4" w:space="0" w:color="auto"/>
            </w:tcBorders>
            <w:shd w:val="clear" w:color="000000" w:fill="FFFFFF"/>
            <w:noWrap/>
            <w:vAlign w:val="center"/>
            <w:hideMark/>
          </w:tcPr>
          <w:p w14:paraId="46BEC23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4543 </w:t>
            </w:r>
          </w:p>
        </w:tc>
        <w:tc>
          <w:tcPr>
            <w:tcW w:w="247" w:type="pct"/>
            <w:tcBorders>
              <w:top w:val="nil"/>
              <w:left w:val="nil"/>
              <w:bottom w:val="single" w:sz="4" w:space="0" w:color="auto"/>
              <w:right w:val="single" w:sz="4" w:space="0" w:color="auto"/>
            </w:tcBorders>
            <w:shd w:val="clear" w:color="000000" w:fill="FFFFFF"/>
            <w:noWrap/>
            <w:vAlign w:val="center"/>
            <w:hideMark/>
          </w:tcPr>
          <w:p w14:paraId="1F2CCB4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2271 </w:t>
            </w:r>
          </w:p>
        </w:tc>
        <w:tc>
          <w:tcPr>
            <w:tcW w:w="247" w:type="pct"/>
            <w:tcBorders>
              <w:top w:val="nil"/>
              <w:left w:val="nil"/>
              <w:bottom w:val="single" w:sz="4" w:space="0" w:color="auto"/>
              <w:right w:val="single" w:sz="4" w:space="0" w:color="auto"/>
            </w:tcBorders>
            <w:shd w:val="clear" w:color="000000" w:fill="FFFFFF"/>
            <w:noWrap/>
            <w:vAlign w:val="center"/>
            <w:hideMark/>
          </w:tcPr>
          <w:p w14:paraId="147E8DA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560DF28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701CEB5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207E714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2DCD966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337" w:type="pct"/>
            <w:tcBorders>
              <w:top w:val="nil"/>
              <w:left w:val="nil"/>
              <w:bottom w:val="single" w:sz="4" w:space="0" w:color="auto"/>
              <w:right w:val="single" w:sz="4" w:space="0" w:color="auto"/>
            </w:tcBorders>
            <w:shd w:val="clear" w:color="000000" w:fill="FFFFFF"/>
            <w:noWrap/>
            <w:vAlign w:val="center"/>
            <w:hideMark/>
          </w:tcPr>
          <w:p w14:paraId="4310AC5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45429 </w:t>
            </w:r>
          </w:p>
        </w:tc>
      </w:tr>
      <w:tr w:rsidR="007B4794" w:rsidRPr="007B4794" w14:paraId="47E909C5" w14:textId="77777777" w:rsidTr="00627685">
        <w:trPr>
          <w:trHeight w:val="390"/>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6E68357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1.1.2</w:t>
            </w:r>
          </w:p>
        </w:tc>
        <w:tc>
          <w:tcPr>
            <w:tcW w:w="451" w:type="pct"/>
            <w:tcBorders>
              <w:top w:val="nil"/>
              <w:left w:val="nil"/>
              <w:bottom w:val="single" w:sz="4" w:space="0" w:color="auto"/>
              <w:right w:val="single" w:sz="4" w:space="0" w:color="auto"/>
            </w:tcBorders>
            <w:shd w:val="clear" w:color="000000" w:fill="FFFFFF"/>
            <w:vAlign w:val="center"/>
            <w:hideMark/>
          </w:tcPr>
          <w:p w14:paraId="2ED76BB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销售均价</w:t>
            </w:r>
          </w:p>
        </w:tc>
        <w:tc>
          <w:tcPr>
            <w:tcW w:w="261" w:type="pct"/>
            <w:tcBorders>
              <w:top w:val="nil"/>
              <w:left w:val="nil"/>
              <w:bottom w:val="single" w:sz="4" w:space="0" w:color="auto"/>
              <w:right w:val="single" w:sz="4" w:space="0" w:color="auto"/>
            </w:tcBorders>
            <w:shd w:val="clear" w:color="000000" w:fill="FFFFFF"/>
            <w:noWrap/>
            <w:vAlign w:val="center"/>
            <w:hideMark/>
          </w:tcPr>
          <w:p w14:paraId="194D58A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16500 </w:t>
            </w:r>
          </w:p>
        </w:tc>
        <w:tc>
          <w:tcPr>
            <w:tcW w:w="261" w:type="pct"/>
            <w:tcBorders>
              <w:top w:val="nil"/>
              <w:left w:val="nil"/>
              <w:bottom w:val="single" w:sz="4" w:space="0" w:color="auto"/>
              <w:right w:val="single" w:sz="4" w:space="0" w:color="auto"/>
            </w:tcBorders>
            <w:shd w:val="clear" w:color="000000" w:fill="FFFFFF"/>
            <w:noWrap/>
            <w:vAlign w:val="center"/>
            <w:hideMark/>
          </w:tcPr>
          <w:p w14:paraId="474FB9F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16500 </w:t>
            </w:r>
          </w:p>
        </w:tc>
        <w:tc>
          <w:tcPr>
            <w:tcW w:w="261" w:type="pct"/>
            <w:tcBorders>
              <w:top w:val="nil"/>
              <w:left w:val="nil"/>
              <w:bottom w:val="single" w:sz="4" w:space="0" w:color="auto"/>
              <w:right w:val="single" w:sz="4" w:space="0" w:color="auto"/>
            </w:tcBorders>
            <w:shd w:val="clear" w:color="000000" w:fill="FFFFFF"/>
            <w:noWrap/>
            <w:vAlign w:val="center"/>
            <w:hideMark/>
          </w:tcPr>
          <w:p w14:paraId="589E1FC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16500 </w:t>
            </w:r>
          </w:p>
        </w:tc>
        <w:tc>
          <w:tcPr>
            <w:tcW w:w="261" w:type="pct"/>
            <w:tcBorders>
              <w:top w:val="nil"/>
              <w:left w:val="nil"/>
              <w:bottom w:val="single" w:sz="4" w:space="0" w:color="auto"/>
              <w:right w:val="single" w:sz="4" w:space="0" w:color="auto"/>
            </w:tcBorders>
            <w:shd w:val="clear" w:color="000000" w:fill="FFFFFF"/>
            <w:noWrap/>
            <w:vAlign w:val="center"/>
            <w:hideMark/>
          </w:tcPr>
          <w:p w14:paraId="453525F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16500 </w:t>
            </w:r>
          </w:p>
        </w:tc>
        <w:tc>
          <w:tcPr>
            <w:tcW w:w="247" w:type="pct"/>
            <w:tcBorders>
              <w:top w:val="nil"/>
              <w:left w:val="nil"/>
              <w:bottom w:val="single" w:sz="4" w:space="0" w:color="auto"/>
              <w:right w:val="single" w:sz="4" w:space="0" w:color="auto"/>
            </w:tcBorders>
            <w:shd w:val="clear" w:color="000000" w:fill="FFFFFF"/>
            <w:noWrap/>
            <w:vAlign w:val="center"/>
            <w:hideMark/>
          </w:tcPr>
          <w:p w14:paraId="22FDB84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16500 </w:t>
            </w:r>
          </w:p>
        </w:tc>
        <w:tc>
          <w:tcPr>
            <w:tcW w:w="247" w:type="pct"/>
            <w:tcBorders>
              <w:top w:val="nil"/>
              <w:left w:val="nil"/>
              <w:bottom w:val="single" w:sz="4" w:space="0" w:color="auto"/>
              <w:right w:val="single" w:sz="4" w:space="0" w:color="auto"/>
            </w:tcBorders>
            <w:shd w:val="clear" w:color="000000" w:fill="FFFFFF"/>
            <w:noWrap/>
            <w:vAlign w:val="center"/>
            <w:hideMark/>
          </w:tcPr>
          <w:p w14:paraId="7A92CC2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16500 </w:t>
            </w:r>
          </w:p>
        </w:tc>
        <w:tc>
          <w:tcPr>
            <w:tcW w:w="247" w:type="pct"/>
            <w:tcBorders>
              <w:top w:val="nil"/>
              <w:left w:val="nil"/>
              <w:bottom w:val="single" w:sz="4" w:space="0" w:color="auto"/>
              <w:right w:val="single" w:sz="4" w:space="0" w:color="auto"/>
            </w:tcBorders>
            <w:shd w:val="clear" w:color="000000" w:fill="FFFFFF"/>
            <w:noWrap/>
            <w:vAlign w:val="center"/>
            <w:hideMark/>
          </w:tcPr>
          <w:p w14:paraId="6CAE46D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16500 </w:t>
            </w:r>
          </w:p>
        </w:tc>
        <w:tc>
          <w:tcPr>
            <w:tcW w:w="247" w:type="pct"/>
            <w:tcBorders>
              <w:top w:val="nil"/>
              <w:left w:val="nil"/>
              <w:bottom w:val="single" w:sz="4" w:space="0" w:color="auto"/>
              <w:right w:val="single" w:sz="4" w:space="0" w:color="auto"/>
            </w:tcBorders>
            <w:shd w:val="clear" w:color="000000" w:fill="FFFFFF"/>
            <w:noWrap/>
            <w:vAlign w:val="center"/>
            <w:hideMark/>
          </w:tcPr>
          <w:p w14:paraId="74E05DC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16500 </w:t>
            </w:r>
          </w:p>
        </w:tc>
        <w:tc>
          <w:tcPr>
            <w:tcW w:w="247" w:type="pct"/>
            <w:tcBorders>
              <w:top w:val="nil"/>
              <w:left w:val="nil"/>
              <w:bottom w:val="single" w:sz="4" w:space="0" w:color="auto"/>
              <w:right w:val="single" w:sz="4" w:space="0" w:color="auto"/>
            </w:tcBorders>
            <w:shd w:val="clear" w:color="000000" w:fill="FFFFFF"/>
            <w:noWrap/>
            <w:vAlign w:val="center"/>
            <w:hideMark/>
          </w:tcPr>
          <w:p w14:paraId="5E7A73A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16500 </w:t>
            </w:r>
          </w:p>
        </w:tc>
        <w:tc>
          <w:tcPr>
            <w:tcW w:w="247" w:type="pct"/>
            <w:tcBorders>
              <w:top w:val="nil"/>
              <w:left w:val="nil"/>
              <w:bottom w:val="single" w:sz="4" w:space="0" w:color="auto"/>
              <w:right w:val="single" w:sz="4" w:space="0" w:color="auto"/>
            </w:tcBorders>
            <w:shd w:val="clear" w:color="000000" w:fill="FFFFFF"/>
            <w:noWrap/>
            <w:vAlign w:val="center"/>
            <w:hideMark/>
          </w:tcPr>
          <w:p w14:paraId="1AB2EDB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16500 </w:t>
            </w:r>
          </w:p>
        </w:tc>
        <w:tc>
          <w:tcPr>
            <w:tcW w:w="247" w:type="pct"/>
            <w:tcBorders>
              <w:top w:val="nil"/>
              <w:left w:val="nil"/>
              <w:bottom w:val="single" w:sz="4" w:space="0" w:color="auto"/>
              <w:right w:val="single" w:sz="4" w:space="0" w:color="auto"/>
            </w:tcBorders>
            <w:shd w:val="clear" w:color="000000" w:fill="FFFFFF"/>
            <w:noWrap/>
            <w:vAlign w:val="center"/>
            <w:hideMark/>
          </w:tcPr>
          <w:p w14:paraId="5D5538A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16500 </w:t>
            </w:r>
          </w:p>
        </w:tc>
        <w:tc>
          <w:tcPr>
            <w:tcW w:w="247" w:type="pct"/>
            <w:tcBorders>
              <w:top w:val="nil"/>
              <w:left w:val="nil"/>
              <w:bottom w:val="single" w:sz="4" w:space="0" w:color="auto"/>
              <w:right w:val="single" w:sz="4" w:space="0" w:color="auto"/>
            </w:tcBorders>
            <w:shd w:val="clear" w:color="000000" w:fill="FFFFFF"/>
            <w:noWrap/>
            <w:vAlign w:val="center"/>
            <w:hideMark/>
          </w:tcPr>
          <w:p w14:paraId="296A3B1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16500 </w:t>
            </w:r>
          </w:p>
        </w:tc>
        <w:tc>
          <w:tcPr>
            <w:tcW w:w="247" w:type="pct"/>
            <w:tcBorders>
              <w:top w:val="nil"/>
              <w:left w:val="nil"/>
              <w:bottom w:val="single" w:sz="4" w:space="0" w:color="auto"/>
              <w:right w:val="single" w:sz="4" w:space="0" w:color="auto"/>
            </w:tcBorders>
            <w:shd w:val="clear" w:color="000000" w:fill="FFFFFF"/>
            <w:noWrap/>
            <w:vAlign w:val="center"/>
            <w:hideMark/>
          </w:tcPr>
          <w:p w14:paraId="6B6A1A4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16500 </w:t>
            </w:r>
          </w:p>
        </w:tc>
        <w:tc>
          <w:tcPr>
            <w:tcW w:w="247" w:type="pct"/>
            <w:tcBorders>
              <w:top w:val="nil"/>
              <w:left w:val="nil"/>
              <w:bottom w:val="single" w:sz="4" w:space="0" w:color="auto"/>
              <w:right w:val="single" w:sz="4" w:space="0" w:color="auto"/>
            </w:tcBorders>
            <w:shd w:val="clear" w:color="000000" w:fill="FFFFFF"/>
            <w:noWrap/>
            <w:vAlign w:val="center"/>
            <w:hideMark/>
          </w:tcPr>
          <w:p w14:paraId="607EFAB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16500 </w:t>
            </w:r>
          </w:p>
        </w:tc>
        <w:tc>
          <w:tcPr>
            <w:tcW w:w="247" w:type="pct"/>
            <w:tcBorders>
              <w:top w:val="nil"/>
              <w:left w:val="nil"/>
              <w:bottom w:val="single" w:sz="4" w:space="0" w:color="auto"/>
              <w:right w:val="single" w:sz="4" w:space="0" w:color="auto"/>
            </w:tcBorders>
            <w:shd w:val="clear" w:color="000000" w:fill="FFFFFF"/>
            <w:noWrap/>
            <w:vAlign w:val="center"/>
            <w:hideMark/>
          </w:tcPr>
          <w:p w14:paraId="0265587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16500 </w:t>
            </w:r>
          </w:p>
        </w:tc>
        <w:tc>
          <w:tcPr>
            <w:tcW w:w="247" w:type="pct"/>
            <w:tcBorders>
              <w:top w:val="nil"/>
              <w:left w:val="nil"/>
              <w:bottom w:val="single" w:sz="4" w:space="0" w:color="auto"/>
              <w:right w:val="single" w:sz="4" w:space="0" w:color="auto"/>
            </w:tcBorders>
            <w:shd w:val="clear" w:color="000000" w:fill="FFFFFF"/>
            <w:noWrap/>
            <w:vAlign w:val="center"/>
            <w:hideMark/>
          </w:tcPr>
          <w:p w14:paraId="04FF64C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16500 </w:t>
            </w:r>
          </w:p>
        </w:tc>
        <w:tc>
          <w:tcPr>
            <w:tcW w:w="337" w:type="pct"/>
            <w:tcBorders>
              <w:top w:val="nil"/>
              <w:left w:val="nil"/>
              <w:bottom w:val="single" w:sz="4" w:space="0" w:color="auto"/>
              <w:right w:val="single" w:sz="4" w:space="0" w:color="auto"/>
            </w:tcBorders>
            <w:shd w:val="clear" w:color="000000" w:fill="FFFFFF"/>
            <w:noWrap/>
            <w:vAlign w:val="center"/>
            <w:hideMark/>
          </w:tcPr>
          <w:p w14:paraId="54C941A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r>
      <w:tr w:rsidR="007B4794" w:rsidRPr="007B4794" w14:paraId="296449FF" w14:textId="77777777" w:rsidTr="00627685">
        <w:trPr>
          <w:trHeight w:val="390"/>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522895C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1.1.3</w:t>
            </w:r>
          </w:p>
        </w:tc>
        <w:tc>
          <w:tcPr>
            <w:tcW w:w="451" w:type="pct"/>
            <w:tcBorders>
              <w:top w:val="nil"/>
              <w:left w:val="nil"/>
              <w:bottom w:val="single" w:sz="4" w:space="0" w:color="auto"/>
              <w:right w:val="single" w:sz="4" w:space="0" w:color="auto"/>
            </w:tcBorders>
            <w:shd w:val="clear" w:color="000000" w:fill="FFFFFF"/>
            <w:vAlign w:val="center"/>
            <w:hideMark/>
          </w:tcPr>
          <w:p w14:paraId="7A0774A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销售率</w:t>
            </w:r>
          </w:p>
        </w:tc>
        <w:tc>
          <w:tcPr>
            <w:tcW w:w="261" w:type="pct"/>
            <w:tcBorders>
              <w:top w:val="nil"/>
              <w:left w:val="nil"/>
              <w:bottom w:val="single" w:sz="4" w:space="0" w:color="auto"/>
              <w:right w:val="single" w:sz="4" w:space="0" w:color="auto"/>
            </w:tcBorders>
            <w:shd w:val="clear" w:color="000000" w:fill="FFFFFF"/>
            <w:noWrap/>
            <w:vAlign w:val="center"/>
            <w:hideMark/>
          </w:tcPr>
          <w:p w14:paraId="0B13C1D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10009A1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14%</w:t>
            </w:r>
          </w:p>
        </w:tc>
        <w:tc>
          <w:tcPr>
            <w:tcW w:w="261" w:type="pct"/>
            <w:tcBorders>
              <w:top w:val="nil"/>
              <w:left w:val="nil"/>
              <w:bottom w:val="single" w:sz="4" w:space="0" w:color="auto"/>
              <w:right w:val="single" w:sz="4" w:space="0" w:color="auto"/>
            </w:tcBorders>
            <w:shd w:val="clear" w:color="000000" w:fill="FFFFFF"/>
            <w:noWrap/>
            <w:vAlign w:val="center"/>
            <w:hideMark/>
          </w:tcPr>
          <w:p w14:paraId="022452A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11%</w:t>
            </w:r>
          </w:p>
        </w:tc>
        <w:tc>
          <w:tcPr>
            <w:tcW w:w="261" w:type="pct"/>
            <w:tcBorders>
              <w:top w:val="nil"/>
              <w:left w:val="nil"/>
              <w:bottom w:val="single" w:sz="4" w:space="0" w:color="auto"/>
              <w:right w:val="single" w:sz="4" w:space="0" w:color="auto"/>
            </w:tcBorders>
            <w:shd w:val="clear" w:color="000000" w:fill="FFFFFF"/>
            <w:noWrap/>
            <w:vAlign w:val="center"/>
            <w:hideMark/>
          </w:tcPr>
          <w:p w14:paraId="4683928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4099384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511120E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1929578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6210972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3184D38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4FB463C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56655CF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5%</w:t>
            </w:r>
          </w:p>
        </w:tc>
        <w:tc>
          <w:tcPr>
            <w:tcW w:w="247" w:type="pct"/>
            <w:tcBorders>
              <w:top w:val="nil"/>
              <w:left w:val="nil"/>
              <w:bottom w:val="single" w:sz="4" w:space="0" w:color="auto"/>
              <w:right w:val="single" w:sz="4" w:space="0" w:color="auto"/>
            </w:tcBorders>
            <w:shd w:val="clear" w:color="000000" w:fill="FFFFFF"/>
            <w:noWrap/>
            <w:vAlign w:val="center"/>
            <w:hideMark/>
          </w:tcPr>
          <w:p w14:paraId="09ABE04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21C88D6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25E5F22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01868E9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22181B7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337" w:type="pct"/>
            <w:tcBorders>
              <w:top w:val="nil"/>
              <w:left w:val="nil"/>
              <w:bottom w:val="single" w:sz="4" w:space="0" w:color="auto"/>
              <w:right w:val="single" w:sz="4" w:space="0" w:color="auto"/>
            </w:tcBorders>
            <w:shd w:val="clear" w:color="000000" w:fill="FFFFFF"/>
            <w:noWrap/>
            <w:vAlign w:val="center"/>
            <w:hideMark/>
          </w:tcPr>
          <w:p w14:paraId="11E215A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100%</w:t>
            </w:r>
          </w:p>
        </w:tc>
      </w:tr>
      <w:tr w:rsidR="007B4794" w:rsidRPr="007B4794" w14:paraId="3F80B5D0"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0777739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1.2</w:t>
            </w:r>
          </w:p>
        </w:tc>
        <w:tc>
          <w:tcPr>
            <w:tcW w:w="451" w:type="pct"/>
            <w:tcBorders>
              <w:top w:val="nil"/>
              <w:left w:val="nil"/>
              <w:bottom w:val="single" w:sz="4" w:space="0" w:color="auto"/>
              <w:right w:val="single" w:sz="4" w:space="0" w:color="auto"/>
            </w:tcBorders>
            <w:shd w:val="clear" w:color="000000" w:fill="FFFFFF"/>
            <w:noWrap/>
            <w:vAlign w:val="center"/>
            <w:hideMark/>
          </w:tcPr>
          <w:p w14:paraId="0C99858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高层复式住宅</w:t>
            </w:r>
          </w:p>
        </w:tc>
        <w:tc>
          <w:tcPr>
            <w:tcW w:w="261" w:type="pct"/>
            <w:tcBorders>
              <w:top w:val="nil"/>
              <w:left w:val="nil"/>
              <w:bottom w:val="single" w:sz="4" w:space="0" w:color="auto"/>
              <w:right w:val="single" w:sz="4" w:space="0" w:color="auto"/>
            </w:tcBorders>
            <w:shd w:val="clear" w:color="000000" w:fill="FFFFFF"/>
            <w:noWrap/>
            <w:vAlign w:val="center"/>
            <w:hideMark/>
          </w:tcPr>
          <w:p w14:paraId="78A3D02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61" w:type="pct"/>
            <w:tcBorders>
              <w:top w:val="nil"/>
              <w:left w:val="nil"/>
              <w:bottom w:val="single" w:sz="4" w:space="0" w:color="auto"/>
              <w:right w:val="single" w:sz="4" w:space="0" w:color="auto"/>
            </w:tcBorders>
            <w:shd w:val="clear" w:color="000000" w:fill="FFFFFF"/>
            <w:noWrap/>
            <w:vAlign w:val="center"/>
            <w:hideMark/>
          </w:tcPr>
          <w:p w14:paraId="3F74B33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11863 </w:t>
            </w:r>
          </w:p>
        </w:tc>
        <w:tc>
          <w:tcPr>
            <w:tcW w:w="261" w:type="pct"/>
            <w:tcBorders>
              <w:top w:val="nil"/>
              <w:left w:val="nil"/>
              <w:bottom w:val="single" w:sz="4" w:space="0" w:color="auto"/>
              <w:right w:val="single" w:sz="4" w:space="0" w:color="auto"/>
            </w:tcBorders>
            <w:shd w:val="clear" w:color="000000" w:fill="FFFFFF"/>
            <w:noWrap/>
            <w:vAlign w:val="center"/>
            <w:hideMark/>
          </w:tcPr>
          <w:p w14:paraId="7B0CBED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9319 </w:t>
            </w:r>
          </w:p>
        </w:tc>
        <w:tc>
          <w:tcPr>
            <w:tcW w:w="261" w:type="pct"/>
            <w:tcBorders>
              <w:top w:val="nil"/>
              <w:left w:val="nil"/>
              <w:bottom w:val="single" w:sz="4" w:space="0" w:color="auto"/>
              <w:right w:val="single" w:sz="4" w:space="0" w:color="auto"/>
            </w:tcBorders>
            <w:shd w:val="clear" w:color="000000" w:fill="FFFFFF"/>
            <w:noWrap/>
            <w:vAlign w:val="center"/>
            <w:hideMark/>
          </w:tcPr>
          <w:p w14:paraId="33031BB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8473 </w:t>
            </w:r>
          </w:p>
        </w:tc>
        <w:tc>
          <w:tcPr>
            <w:tcW w:w="247" w:type="pct"/>
            <w:tcBorders>
              <w:top w:val="nil"/>
              <w:left w:val="nil"/>
              <w:bottom w:val="single" w:sz="4" w:space="0" w:color="auto"/>
              <w:right w:val="single" w:sz="4" w:space="0" w:color="auto"/>
            </w:tcBorders>
            <w:shd w:val="clear" w:color="000000" w:fill="FFFFFF"/>
            <w:noWrap/>
            <w:vAlign w:val="center"/>
            <w:hideMark/>
          </w:tcPr>
          <w:p w14:paraId="194B503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8473 </w:t>
            </w:r>
          </w:p>
        </w:tc>
        <w:tc>
          <w:tcPr>
            <w:tcW w:w="247" w:type="pct"/>
            <w:tcBorders>
              <w:top w:val="nil"/>
              <w:left w:val="nil"/>
              <w:bottom w:val="single" w:sz="4" w:space="0" w:color="auto"/>
              <w:right w:val="single" w:sz="4" w:space="0" w:color="auto"/>
            </w:tcBorders>
            <w:shd w:val="clear" w:color="000000" w:fill="FFFFFF"/>
            <w:noWrap/>
            <w:vAlign w:val="center"/>
            <w:hideMark/>
          </w:tcPr>
          <w:p w14:paraId="795116C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8473 </w:t>
            </w:r>
          </w:p>
        </w:tc>
        <w:tc>
          <w:tcPr>
            <w:tcW w:w="247" w:type="pct"/>
            <w:tcBorders>
              <w:top w:val="nil"/>
              <w:left w:val="nil"/>
              <w:bottom w:val="single" w:sz="4" w:space="0" w:color="auto"/>
              <w:right w:val="single" w:sz="4" w:space="0" w:color="auto"/>
            </w:tcBorders>
            <w:shd w:val="clear" w:color="000000" w:fill="FFFFFF"/>
            <w:noWrap/>
            <w:vAlign w:val="center"/>
            <w:hideMark/>
          </w:tcPr>
          <w:p w14:paraId="36E4F25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8473 </w:t>
            </w:r>
          </w:p>
        </w:tc>
        <w:tc>
          <w:tcPr>
            <w:tcW w:w="247" w:type="pct"/>
            <w:tcBorders>
              <w:top w:val="nil"/>
              <w:left w:val="nil"/>
              <w:bottom w:val="single" w:sz="4" w:space="0" w:color="auto"/>
              <w:right w:val="single" w:sz="4" w:space="0" w:color="auto"/>
            </w:tcBorders>
            <w:shd w:val="clear" w:color="000000" w:fill="FFFFFF"/>
            <w:noWrap/>
            <w:vAlign w:val="center"/>
            <w:hideMark/>
          </w:tcPr>
          <w:p w14:paraId="0830F5A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8473 </w:t>
            </w:r>
          </w:p>
        </w:tc>
        <w:tc>
          <w:tcPr>
            <w:tcW w:w="247" w:type="pct"/>
            <w:tcBorders>
              <w:top w:val="nil"/>
              <w:left w:val="nil"/>
              <w:bottom w:val="single" w:sz="4" w:space="0" w:color="auto"/>
              <w:right w:val="single" w:sz="4" w:space="0" w:color="auto"/>
            </w:tcBorders>
            <w:shd w:val="clear" w:color="000000" w:fill="FFFFFF"/>
            <w:noWrap/>
            <w:vAlign w:val="center"/>
            <w:hideMark/>
          </w:tcPr>
          <w:p w14:paraId="594CD48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8473 </w:t>
            </w:r>
          </w:p>
        </w:tc>
        <w:tc>
          <w:tcPr>
            <w:tcW w:w="247" w:type="pct"/>
            <w:tcBorders>
              <w:top w:val="nil"/>
              <w:left w:val="nil"/>
              <w:bottom w:val="single" w:sz="4" w:space="0" w:color="auto"/>
              <w:right w:val="single" w:sz="4" w:space="0" w:color="auto"/>
            </w:tcBorders>
            <w:shd w:val="clear" w:color="000000" w:fill="FFFFFF"/>
            <w:noWrap/>
            <w:vAlign w:val="center"/>
            <w:hideMark/>
          </w:tcPr>
          <w:p w14:paraId="7382C04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8473 </w:t>
            </w:r>
          </w:p>
        </w:tc>
        <w:tc>
          <w:tcPr>
            <w:tcW w:w="247" w:type="pct"/>
            <w:tcBorders>
              <w:top w:val="nil"/>
              <w:left w:val="nil"/>
              <w:bottom w:val="single" w:sz="4" w:space="0" w:color="auto"/>
              <w:right w:val="single" w:sz="4" w:space="0" w:color="auto"/>
            </w:tcBorders>
            <w:shd w:val="clear" w:color="000000" w:fill="FFFFFF"/>
            <w:noWrap/>
            <w:vAlign w:val="center"/>
            <w:hideMark/>
          </w:tcPr>
          <w:p w14:paraId="7A1706D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4236 </w:t>
            </w:r>
          </w:p>
        </w:tc>
        <w:tc>
          <w:tcPr>
            <w:tcW w:w="247" w:type="pct"/>
            <w:tcBorders>
              <w:top w:val="nil"/>
              <w:left w:val="nil"/>
              <w:bottom w:val="single" w:sz="4" w:space="0" w:color="auto"/>
              <w:right w:val="single" w:sz="4" w:space="0" w:color="auto"/>
            </w:tcBorders>
            <w:shd w:val="clear" w:color="000000" w:fill="FFFFFF"/>
            <w:noWrap/>
            <w:vAlign w:val="center"/>
            <w:hideMark/>
          </w:tcPr>
          <w:p w14:paraId="606F000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1D622D1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5A67DB6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5D593D1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438A3F9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337" w:type="pct"/>
            <w:tcBorders>
              <w:top w:val="nil"/>
              <w:left w:val="nil"/>
              <w:bottom w:val="single" w:sz="4" w:space="0" w:color="auto"/>
              <w:right w:val="single" w:sz="4" w:space="0" w:color="auto"/>
            </w:tcBorders>
            <w:shd w:val="clear" w:color="000000" w:fill="FFFFFF"/>
            <w:noWrap/>
            <w:vAlign w:val="center"/>
            <w:hideMark/>
          </w:tcPr>
          <w:p w14:paraId="29B5D38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84729 </w:t>
            </w:r>
          </w:p>
        </w:tc>
      </w:tr>
      <w:tr w:rsidR="007B4794" w:rsidRPr="007B4794" w14:paraId="0FC044DD"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47CBC94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1.2.1</w:t>
            </w:r>
          </w:p>
        </w:tc>
        <w:tc>
          <w:tcPr>
            <w:tcW w:w="451" w:type="pct"/>
            <w:tcBorders>
              <w:top w:val="nil"/>
              <w:left w:val="nil"/>
              <w:bottom w:val="single" w:sz="4" w:space="0" w:color="auto"/>
              <w:right w:val="single" w:sz="4" w:space="0" w:color="auto"/>
            </w:tcBorders>
            <w:shd w:val="clear" w:color="000000" w:fill="FFFFFF"/>
            <w:vAlign w:val="center"/>
            <w:hideMark/>
          </w:tcPr>
          <w:p w14:paraId="6FF46A2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销售面积</w:t>
            </w:r>
          </w:p>
        </w:tc>
        <w:tc>
          <w:tcPr>
            <w:tcW w:w="261" w:type="pct"/>
            <w:tcBorders>
              <w:top w:val="nil"/>
              <w:left w:val="nil"/>
              <w:bottom w:val="single" w:sz="4" w:space="0" w:color="auto"/>
              <w:right w:val="single" w:sz="4" w:space="0" w:color="auto"/>
            </w:tcBorders>
            <w:shd w:val="clear" w:color="000000" w:fill="FFFFFF"/>
            <w:noWrap/>
            <w:vAlign w:val="center"/>
            <w:hideMark/>
          </w:tcPr>
          <w:p w14:paraId="0E9A169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61" w:type="pct"/>
            <w:tcBorders>
              <w:top w:val="nil"/>
              <w:left w:val="nil"/>
              <w:bottom w:val="single" w:sz="4" w:space="0" w:color="auto"/>
              <w:right w:val="single" w:sz="4" w:space="0" w:color="auto"/>
            </w:tcBorders>
            <w:shd w:val="clear" w:color="000000" w:fill="FFFFFF"/>
            <w:noWrap/>
            <w:vAlign w:val="center"/>
            <w:hideMark/>
          </w:tcPr>
          <w:p w14:paraId="48617B6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6978 </w:t>
            </w:r>
          </w:p>
        </w:tc>
        <w:tc>
          <w:tcPr>
            <w:tcW w:w="261" w:type="pct"/>
            <w:tcBorders>
              <w:top w:val="nil"/>
              <w:left w:val="nil"/>
              <w:bottom w:val="single" w:sz="4" w:space="0" w:color="auto"/>
              <w:right w:val="single" w:sz="4" w:space="0" w:color="auto"/>
            </w:tcBorders>
            <w:shd w:val="clear" w:color="000000" w:fill="FFFFFF"/>
            <w:noWrap/>
            <w:vAlign w:val="center"/>
            <w:hideMark/>
          </w:tcPr>
          <w:p w14:paraId="5EC791A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5482 </w:t>
            </w:r>
          </w:p>
        </w:tc>
        <w:tc>
          <w:tcPr>
            <w:tcW w:w="261" w:type="pct"/>
            <w:tcBorders>
              <w:top w:val="nil"/>
              <w:left w:val="nil"/>
              <w:bottom w:val="single" w:sz="4" w:space="0" w:color="auto"/>
              <w:right w:val="single" w:sz="4" w:space="0" w:color="auto"/>
            </w:tcBorders>
            <w:shd w:val="clear" w:color="000000" w:fill="FFFFFF"/>
            <w:noWrap/>
            <w:vAlign w:val="center"/>
            <w:hideMark/>
          </w:tcPr>
          <w:p w14:paraId="292C9EB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4984 </w:t>
            </w:r>
          </w:p>
        </w:tc>
        <w:tc>
          <w:tcPr>
            <w:tcW w:w="247" w:type="pct"/>
            <w:tcBorders>
              <w:top w:val="nil"/>
              <w:left w:val="nil"/>
              <w:bottom w:val="single" w:sz="4" w:space="0" w:color="auto"/>
              <w:right w:val="single" w:sz="4" w:space="0" w:color="auto"/>
            </w:tcBorders>
            <w:shd w:val="clear" w:color="000000" w:fill="FFFFFF"/>
            <w:noWrap/>
            <w:vAlign w:val="center"/>
            <w:hideMark/>
          </w:tcPr>
          <w:p w14:paraId="2FD0EE6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4984 </w:t>
            </w:r>
          </w:p>
        </w:tc>
        <w:tc>
          <w:tcPr>
            <w:tcW w:w="247" w:type="pct"/>
            <w:tcBorders>
              <w:top w:val="nil"/>
              <w:left w:val="nil"/>
              <w:bottom w:val="single" w:sz="4" w:space="0" w:color="auto"/>
              <w:right w:val="single" w:sz="4" w:space="0" w:color="auto"/>
            </w:tcBorders>
            <w:shd w:val="clear" w:color="000000" w:fill="FFFFFF"/>
            <w:noWrap/>
            <w:vAlign w:val="center"/>
            <w:hideMark/>
          </w:tcPr>
          <w:p w14:paraId="7D55BF4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4984 </w:t>
            </w:r>
          </w:p>
        </w:tc>
        <w:tc>
          <w:tcPr>
            <w:tcW w:w="247" w:type="pct"/>
            <w:tcBorders>
              <w:top w:val="nil"/>
              <w:left w:val="nil"/>
              <w:bottom w:val="single" w:sz="4" w:space="0" w:color="auto"/>
              <w:right w:val="single" w:sz="4" w:space="0" w:color="auto"/>
            </w:tcBorders>
            <w:shd w:val="clear" w:color="000000" w:fill="FFFFFF"/>
            <w:noWrap/>
            <w:vAlign w:val="center"/>
            <w:hideMark/>
          </w:tcPr>
          <w:p w14:paraId="5D98D26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4984 </w:t>
            </w:r>
          </w:p>
        </w:tc>
        <w:tc>
          <w:tcPr>
            <w:tcW w:w="247" w:type="pct"/>
            <w:tcBorders>
              <w:top w:val="nil"/>
              <w:left w:val="nil"/>
              <w:bottom w:val="single" w:sz="4" w:space="0" w:color="auto"/>
              <w:right w:val="single" w:sz="4" w:space="0" w:color="auto"/>
            </w:tcBorders>
            <w:shd w:val="clear" w:color="000000" w:fill="FFFFFF"/>
            <w:noWrap/>
            <w:vAlign w:val="center"/>
            <w:hideMark/>
          </w:tcPr>
          <w:p w14:paraId="4ACD773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4984 </w:t>
            </w:r>
          </w:p>
        </w:tc>
        <w:tc>
          <w:tcPr>
            <w:tcW w:w="247" w:type="pct"/>
            <w:tcBorders>
              <w:top w:val="nil"/>
              <w:left w:val="nil"/>
              <w:bottom w:val="single" w:sz="4" w:space="0" w:color="auto"/>
              <w:right w:val="single" w:sz="4" w:space="0" w:color="auto"/>
            </w:tcBorders>
            <w:shd w:val="clear" w:color="000000" w:fill="FFFFFF"/>
            <w:noWrap/>
            <w:vAlign w:val="center"/>
            <w:hideMark/>
          </w:tcPr>
          <w:p w14:paraId="4762533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4984 </w:t>
            </w:r>
          </w:p>
        </w:tc>
        <w:tc>
          <w:tcPr>
            <w:tcW w:w="247" w:type="pct"/>
            <w:tcBorders>
              <w:top w:val="nil"/>
              <w:left w:val="nil"/>
              <w:bottom w:val="single" w:sz="4" w:space="0" w:color="auto"/>
              <w:right w:val="single" w:sz="4" w:space="0" w:color="auto"/>
            </w:tcBorders>
            <w:shd w:val="clear" w:color="000000" w:fill="FFFFFF"/>
            <w:noWrap/>
            <w:vAlign w:val="center"/>
            <w:hideMark/>
          </w:tcPr>
          <w:p w14:paraId="22202D1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4984 </w:t>
            </w:r>
          </w:p>
        </w:tc>
        <w:tc>
          <w:tcPr>
            <w:tcW w:w="247" w:type="pct"/>
            <w:tcBorders>
              <w:top w:val="nil"/>
              <w:left w:val="nil"/>
              <w:bottom w:val="single" w:sz="4" w:space="0" w:color="auto"/>
              <w:right w:val="single" w:sz="4" w:space="0" w:color="auto"/>
            </w:tcBorders>
            <w:shd w:val="clear" w:color="000000" w:fill="FFFFFF"/>
            <w:noWrap/>
            <w:vAlign w:val="center"/>
            <w:hideMark/>
          </w:tcPr>
          <w:p w14:paraId="476EB4B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2492 </w:t>
            </w:r>
          </w:p>
        </w:tc>
        <w:tc>
          <w:tcPr>
            <w:tcW w:w="247" w:type="pct"/>
            <w:tcBorders>
              <w:top w:val="nil"/>
              <w:left w:val="nil"/>
              <w:bottom w:val="single" w:sz="4" w:space="0" w:color="auto"/>
              <w:right w:val="single" w:sz="4" w:space="0" w:color="auto"/>
            </w:tcBorders>
            <w:shd w:val="clear" w:color="000000" w:fill="FFFFFF"/>
            <w:noWrap/>
            <w:vAlign w:val="center"/>
            <w:hideMark/>
          </w:tcPr>
          <w:p w14:paraId="7D17461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00E7CA8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57505F8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416E6FE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44C7C16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337" w:type="pct"/>
            <w:tcBorders>
              <w:top w:val="nil"/>
              <w:left w:val="nil"/>
              <w:bottom w:val="single" w:sz="4" w:space="0" w:color="auto"/>
              <w:right w:val="single" w:sz="4" w:space="0" w:color="auto"/>
            </w:tcBorders>
            <w:shd w:val="clear" w:color="000000" w:fill="FFFFFF"/>
            <w:noWrap/>
            <w:vAlign w:val="center"/>
            <w:hideMark/>
          </w:tcPr>
          <w:p w14:paraId="3E52F65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49840 </w:t>
            </w:r>
          </w:p>
        </w:tc>
      </w:tr>
      <w:tr w:rsidR="007B4794" w:rsidRPr="007B4794" w14:paraId="493C6C6E"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5E1E980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1.2.2</w:t>
            </w:r>
          </w:p>
        </w:tc>
        <w:tc>
          <w:tcPr>
            <w:tcW w:w="451" w:type="pct"/>
            <w:tcBorders>
              <w:top w:val="nil"/>
              <w:left w:val="nil"/>
              <w:bottom w:val="single" w:sz="4" w:space="0" w:color="auto"/>
              <w:right w:val="single" w:sz="4" w:space="0" w:color="auto"/>
            </w:tcBorders>
            <w:shd w:val="clear" w:color="000000" w:fill="FFFFFF"/>
            <w:vAlign w:val="center"/>
            <w:hideMark/>
          </w:tcPr>
          <w:p w14:paraId="56BBBBF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销售均价</w:t>
            </w:r>
          </w:p>
        </w:tc>
        <w:tc>
          <w:tcPr>
            <w:tcW w:w="261" w:type="pct"/>
            <w:tcBorders>
              <w:top w:val="nil"/>
              <w:left w:val="nil"/>
              <w:bottom w:val="single" w:sz="4" w:space="0" w:color="auto"/>
              <w:right w:val="single" w:sz="4" w:space="0" w:color="auto"/>
            </w:tcBorders>
            <w:shd w:val="clear" w:color="000000" w:fill="FFFFFF"/>
            <w:noWrap/>
            <w:vAlign w:val="center"/>
            <w:hideMark/>
          </w:tcPr>
          <w:p w14:paraId="7B26774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17000 </w:t>
            </w:r>
          </w:p>
        </w:tc>
        <w:tc>
          <w:tcPr>
            <w:tcW w:w="261" w:type="pct"/>
            <w:tcBorders>
              <w:top w:val="nil"/>
              <w:left w:val="nil"/>
              <w:bottom w:val="single" w:sz="4" w:space="0" w:color="auto"/>
              <w:right w:val="single" w:sz="4" w:space="0" w:color="auto"/>
            </w:tcBorders>
            <w:shd w:val="clear" w:color="000000" w:fill="FFFFFF"/>
            <w:noWrap/>
            <w:vAlign w:val="center"/>
            <w:hideMark/>
          </w:tcPr>
          <w:p w14:paraId="0DBBA1E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17000 </w:t>
            </w:r>
          </w:p>
        </w:tc>
        <w:tc>
          <w:tcPr>
            <w:tcW w:w="261" w:type="pct"/>
            <w:tcBorders>
              <w:top w:val="nil"/>
              <w:left w:val="nil"/>
              <w:bottom w:val="single" w:sz="4" w:space="0" w:color="auto"/>
              <w:right w:val="single" w:sz="4" w:space="0" w:color="auto"/>
            </w:tcBorders>
            <w:shd w:val="clear" w:color="000000" w:fill="FFFFFF"/>
            <w:noWrap/>
            <w:vAlign w:val="center"/>
            <w:hideMark/>
          </w:tcPr>
          <w:p w14:paraId="723E3DE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17000 </w:t>
            </w:r>
          </w:p>
        </w:tc>
        <w:tc>
          <w:tcPr>
            <w:tcW w:w="261" w:type="pct"/>
            <w:tcBorders>
              <w:top w:val="nil"/>
              <w:left w:val="nil"/>
              <w:bottom w:val="single" w:sz="4" w:space="0" w:color="auto"/>
              <w:right w:val="single" w:sz="4" w:space="0" w:color="auto"/>
            </w:tcBorders>
            <w:shd w:val="clear" w:color="000000" w:fill="FFFFFF"/>
            <w:noWrap/>
            <w:vAlign w:val="center"/>
            <w:hideMark/>
          </w:tcPr>
          <w:p w14:paraId="58DAC3B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17000 </w:t>
            </w:r>
          </w:p>
        </w:tc>
        <w:tc>
          <w:tcPr>
            <w:tcW w:w="247" w:type="pct"/>
            <w:tcBorders>
              <w:top w:val="nil"/>
              <w:left w:val="nil"/>
              <w:bottom w:val="single" w:sz="4" w:space="0" w:color="auto"/>
              <w:right w:val="single" w:sz="4" w:space="0" w:color="auto"/>
            </w:tcBorders>
            <w:shd w:val="clear" w:color="000000" w:fill="FFFFFF"/>
            <w:noWrap/>
            <w:vAlign w:val="center"/>
            <w:hideMark/>
          </w:tcPr>
          <w:p w14:paraId="5B92ADF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17000 </w:t>
            </w:r>
          </w:p>
        </w:tc>
        <w:tc>
          <w:tcPr>
            <w:tcW w:w="247" w:type="pct"/>
            <w:tcBorders>
              <w:top w:val="nil"/>
              <w:left w:val="nil"/>
              <w:bottom w:val="single" w:sz="4" w:space="0" w:color="auto"/>
              <w:right w:val="single" w:sz="4" w:space="0" w:color="auto"/>
            </w:tcBorders>
            <w:shd w:val="clear" w:color="000000" w:fill="FFFFFF"/>
            <w:noWrap/>
            <w:vAlign w:val="center"/>
            <w:hideMark/>
          </w:tcPr>
          <w:p w14:paraId="252924A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17000 </w:t>
            </w:r>
          </w:p>
        </w:tc>
        <w:tc>
          <w:tcPr>
            <w:tcW w:w="247" w:type="pct"/>
            <w:tcBorders>
              <w:top w:val="nil"/>
              <w:left w:val="nil"/>
              <w:bottom w:val="single" w:sz="4" w:space="0" w:color="auto"/>
              <w:right w:val="single" w:sz="4" w:space="0" w:color="auto"/>
            </w:tcBorders>
            <w:shd w:val="clear" w:color="000000" w:fill="FFFFFF"/>
            <w:noWrap/>
            <w:vAlign w:val="center"/>
            <w:hideMark/>
          </w:tcPr>
          <w:p w14:paraId="366F72B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17000 </w:t>
            </w:r>
          </w:p>
        </w:tc>
        <w:tc>
          <w:tcPr>
            <w:tcW w:w="247" w:type="pct"/>
            <w:tcBorders>
              <w:top w:val="nil"/>
              <w:left w:val="nil"/>
              <w:bottom w:val="single" w:sz="4" w:space="0" w:color="auto"/>
              <w:right w:val="single" w:sz="4" w:space="0" w:color="auto"/>
            </w:tcBorders>
            <w:shd w:val="clear" w:color="000000" w:fill="FFFFFF"/>
            <w:noWrap/>
            <w:vAlign w:val="center"/>
            <w:hideMark/>
          </w:tcPr>
          <w:p w14:paraId="6C9150E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17000 </w:t>
            </w:r>
          </w:p>
        </w:tc>
        <w:tc>
          <w:tcPr>
            <w:tcW w:w="247" w:type="pct"/>
            <w:tcBorders>
              <w:top w:val="nil"/>
              <w:left w:val="nil"/>
              <w:bottom w:val="single" w:sz="4" w:space="0" w:color="auto"/>
              <w:right w:val="single" w:sz="4" w:space="0" w:color="auto"/>
            </w:tcBorders>
            <w:shd w:val="clear" w:color="000000" w:fill="FFFFFF"/>
            <w:noWrap/>
            <w:vAlign w:val="center"/>
            <w:hideMark/>
          </w:tcPr>
          <w:p w14:paraId="1DD9165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17000 </w:t>
            </w:r>
          </w:p>
        </w:tc>
        <w:tc>
          <w:tcPr>
            <w:tcW w:w="247" w:type="pct"/>
            <w:tcBorders>
              <w:top w:val="nil"/>
              <w:left w:val="nil"/>
              <w:bottom w:val="single" w:sz="4" w:space="0" w:color="auto"/>
              <w:right w:val="single" w:sz="4" w:space="0" w:color="auto"/>
            </w:tcBorders>
            <w:shd w:val="clear" w:color="000000" w:fill="FFFFFF"/>
            <w:noWrap/>
            <w:vAlign w:val="center"/>
            <w:hideMark/>
          </w:tcPr>
          <w:p w14:paraId="2C39F30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17000 </w:t>
            </w:r>
          </w:p>
        </w:tc>
        <w:tc>
          <w:tcPr>
            <w:tcW w:w="247" w:type="pct"/>
            <w:tcBorders>
              <w:top w:val="nil"/>
              <w:left w:val="nil"/>
              <w:bottom w:val="single" w:sz="4" w:space="0" w:color="auto"/>
              <w:right w:val="single" w:sz="4" w:space="0" w:color="auto"/>
            </w:tcBorders>
            <w:shd w:val="clear" w:color="000000" w:fill="FFFFFF"/>
            <w:noWrap/>
            <w:vAlign w:val="center"/>
            <w:hideMark/>
          </w:tcPr>
          <w:p w14:paraId="462CFF9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17000 </w:t>
            </w:r>
          </w:p>
        </w:tc>
        <w:tc>
          <w:tcPr>
            <w:tcW w:w="247" w:type="pct"/>
            <w:tcBorders>
              <w:top w:val="nil"/>
              <w:left w:val="nil"/>
              <w:bottom w:val="single" w:sz="4" w:space="0" w:color="auto"/>
              <w:right w:val="single" w:sz="4" w:space="0" w:color="auto"/>
            </w:tcBorders>
            <w:shd w:val="clear" w:color="000000" w:fill="FFFFFF"/>
            <w:noWrap/>
            <w:vAlign w:val="center"/>
            <w:hideMark/>
          </w:tcPr>
          <w:p w14:paraId="4756894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17000 </w:t>
            </w:r>
          </w:p>
        </w:tc>
        <w:tc>
          <w:tcPr>
            <w:tcW w:w="247" w:type="pct"/>
            <w:tcBorders>
              <w:top w:val="nil"/>
              <w:left w:val="nil"/>
              <w:bottom w:val="single" w:sz="4" w:space="0" w:color="auto"/>
              <w:right w:val="single" w:sz="4" w:space="0" w:color="auto"/>
            </w:tcBorders>
            <w:shd w:val="clear" w:color="000000" w:fill="FFFFFF"/>
            <w:noWrap/>
            <w:vAlign w:val="center"/>
            <w:hideMark/>
          </w:tcPr>
          <w:p w14:paraId="5DDDCD9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17000 </w:t>
            </w:r>
          </w:p>
        </w:tc>
        <w:tc>
          <w:tcPr>
            <w:tcW w:w="247" w:type="pct"/>
            <w:tcBorders>
              <w:top w:val="nil"/>
              <w:left w:val="nil"/>
              <w:bottom w:val="single" w:sz="4" w:space="0" w:color="auto"/>
              <w:right w:val="single" w:sz="4" w:space="0" w:color="auto"/>
            </w:tcBorders>
            <w:shd w:val="clear" w:color="000000" w:fill="FFFFFF"/>
            <w:noWrap/>
            <w:vAlign w:val="center"/>
            <w:hideMark/>
          </w:tcPr>
          <w:p w14:paraId="212642A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17000 </w:t>
            </w:r>
          </w:p>
        </w:tc>
        <w:tc>
          <w:tcPr>
            <w:tcW w:w="247" w:type="pct"/>
            <w:tcBorders>
              <w:top w:val="nil"/>
              <w:left w:val="nil"/>
              <w:bottom w:val="single" w:sz="4" w:space="0" w:color="auto"/>
              <w:right w:val="single" w:sz="4" w:space="0" w:color="auto"/>
            </w:tcBorders>
            <w:shd w:val="clear" w:color="000000" w:fill="FFFFFF"/>
            <w:noWrap/>
            <w:vAlign w:val="center"/>
            <w:hideMark/>
          </w:tcPr>
          <w:p w14:paraId="53D6C34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17000 </w:t>
            </w:r>
          </w:p>
        </w:tc>
        <w:tc>
          <w:tcPr>
            <w:tcW w:w="247" w:type="pct"/>
            <w:tcBorders>
              <w:top w:val="nil"/>
              <w:left w:val="nil"/>
              <w:bottom w:val="single" w:sz="4" w:space="0" w:color="auto"/>
              <w:right w:val="single" w:sz="4" w:space="0" w:color="auto"/>
            </w:tcBorders>
            <w:shd w:val="clear" w:color="000000" w:fill="FFFFFF"/>
            <w:noWrap/>
            <w:vAlign w:val="center"/>
            <w:hideMark/>
          </w:tcPr>
          <w:p w14:paraId="710D40E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17000 </w:t>
            </w:r>
          </w:p>
        </w:tc>
        <w:tc>
          <w:tcPr>
            <w:tcW w:w="337" w:type="pct"/>
            <w:tcBorders>
              <w:top w:val="nil"/>
              <w:left w:val="nil"/>
              <w:bottom w:val="single" w:sz="4" w:space="0" w:color="auto"/>
              <w:right w:val="single" w:sz="4" w:space="0" w:color="auto"/>
            </w:tcBorders>
            <w:shd w:val="clear" w:color="000000" w:fill="FFFFFF"/>
            <w:noWrap/>
            <w:vAlign w:val="center"/>
            <w:hideMark/>
          </w:tcPr>
          <w:p w14:paraId="247F787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r>
      <w:tr w:rsidR="007B4794" w:rsidRPr="007B4794" w14:paraId="2B878A98"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2E18889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1.2.3</w:t>
            </w:r>
          </w:p>
        </w:tc>
        <w:tc>
          <w:tcPr>
            <w:tcW w:w="451" w:type="pct"/>
            <w:tcBorders>
              <w:top w:val="nil"/>
              <w:left w:val="nil"/>
              <w:bottom w:val="single" w:sz="4" w:space="0" w:color="auto"/>
              <w:right w:val="single" w:sz="4" w:space="0" w:color="auto"/>
            </w:tcBorders>
            <w:shd w:val="clear" w:color="000000" w:fill="FFFFFF"/>
            <w:vAlign w:val="center"/>
            <w:hideMark/>
          </w:tcPr>
          <w:p w14:paraId="7E3CA70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销售率</w:t>
            </w:r>
          </w:p>
        </w:tc>
        <w:tc>
          <w:tcPr>
            <w:tcW w:w="261" w:type="pct"/>
            <w:tcBorders>
              <w:top w:val="nil"/>
              <w:left w:val="nil"/>
              <w:bottom w:val="single" w:sz="4" w:space="0" w:color="auto"/>
              <w:right w:val="single" w:sz="4" w:space="0" w:color="auto"/>
            </w:tcBorders>
            <w:shd w:val="clear" w:color="000000" w:fill="FFFFFF"/>
            <w:noWrap/>
            <w:vAlign w:val="center"/>
            <w:hideMark/>
          </w:tcPr>
          <w:p w14:paraId="77E17F4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20DCB3A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14%</w:t>
            </w:r>
          </w:p>
        </w:tc>
        <w:tc>
          <w:tcPr>
            <w:tcW w:w="261" w:type="pct"/>
            <w:tcBorders>
              <w:top w:val="nil"/>
              <w:left w:val="nil"/>
              <w:bottom w:val="single" w:sz="4" w:space="0" w:color="auto"/>
              <w:right w:val="single" w:sz="4" w:space="0" w:color="auto"/>
            </w:tcBorders>
            <w:shd w:val="clear" w:color="000000" w:fill="FFFFFF"/>
            <w:noWrap/>
            <w:vAlign w:val="center"/>
            <w:hideMark/>
          </w:tcPr>
          <w:p w14:paraId="4DE557C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11%</w:t>
            </w:r>
          </w:p>
        </w:tc>
        <w:tc>
          <w:tcPr>
            <w:tcW w:w="261" w:type="pct"/>
            <w:tcBorders>
              <w:top w:val="nil"/>
              <w:left w:val="nil"/>
              <w:bottom w:val="single" w:sz="4" w:space="0" w:color="auto"/>
              <w:right w:val="single" w:sz="4" w:space="0" w:color="auto"/>
            </w:tcBorders>
            <w:shd w:val="clear" w:color="000000" w:fill="FFFFFF"/>
            <w:noWrap/>
            <w:vAlign w:val="center"/>
            <w:hideMark/>
          </w:tcPr>
          <w:p w14:paraId="7264362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097EEC2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6536A0F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7BC9BC7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054FAC1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5C89FB9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3485DF1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0ECD672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5%</w:t>
            </w:r>
          </w:p>
        </w:tc>
        <w:tc>
          <w:tcPr>
            <w:tcW w:w="247" w:type="pct"/>
            <w:tcBorders>
              <w:top w:val="nil"/>
              <w:left w:val="nil"/>
              <w:bottom w:val="single" w:sz="4" w:space="0" w:color="auto"/>
              <w:right w:val="single" w:sz="4" w:space="0" w:color="auto"/>
            </w:tcBorders>
            <w:shd w:val="clear" w:color="000000" w:fill="FFFFFF"/>
            <w:noWrap/>
            <w:vAlign w:val="center"/>
            <w:hideMark/>
          </w:tcPr>
          <w:p w14:paraId="78FA1FA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2E9DFCA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7DF24D2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5387FEF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234CD2A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337" w:type="pct"/>
            <w:tcBorders>
              <w:top w:val="nil"/>
              <w:left w:val="nil"/>
              <w:bottom w:val="single" w:sz="4" w:space="0" w:color="auto"/>
              <w:right w:val="single" w:sz="4" w:space="0" w:color="auto"/>
            </w:tcBorders>
            <w:shd w:val="clear" w:color="000000" w:fill="FFFFFF"/>
            <w:noWrap/>
            <w:vAlign w:val="center"/>
            <w:hideMark/>
          </w:tcPr>
          <w:p w14:paraId="5539F56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100%</w:t>
            </w:r>
          </w:p>
        </w:tc>
      </w:tr>
      <w:tr w:rsidR="007B4794" w:rsidRPr="007B4794" w14:paraId="0942BB87"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09DCA27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1.3</w:t>
            </w:r>
          </w:p>
        </w:tc>
        <w:tc>
          <w:tcPr>
            <w:tcW w:w="451" w:type="pct"/>
            <w:tcBorders>
              <w:top w:val="nil"/>
              <w:left w:val="nil"/>
              <w:bottom w:val="single" w:sz="4" w:space="0" w:color="auto"/>
              <w:right w:val="single" w:sz="4" w:space="0" w:color="auto"/>
            </w:tcBorders>
            <w:shd w:val="clear" w:color="000000" w:fill="FFFFFF"/>
            <w:vAlign w:val="center"/>
            <w:hideMark/>
          </w:tcPr>
          <w:p w14:paraId="7051806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公寓</w:t>
            </w:r>
          </w:p>
        </w:tc>
        <w:tc>
          <w:tcPr>
            <w:tcW w:w="261" w:type="pct"/>
            <w:tcBorders>
              <w:top w:val="nil"/>
              <w:left w:val="nil"/>
              <w:bottom w:val="single" w:sz="4" w:space="0" w:color="auto"/>
              <w:right w:val="single" w:sz="4" w:space="0" w:color="auto"/>
            </w:tcBorders>
            <w:shd w:val="clear" w:color="000000" w:fill="FFFFFF"/>
            <w:noWrap/>
            <w:vAlign w:val="center"/>
            <w:hideMark/>
          </w:tcPr>
          <w:p w14:paraId="01B6D83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5E917AB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1800 </w:t>
            </w:r>
          </w:p>
        </w:tc>
        <w:tc>
          <w:tcPr>
            <w:tcW w:w="261" w:type="pct"/>
            <w:tcBorders>
              <w:top w:val="nil"/>
              <w:left w:val="nil"/>
              <w:bottom w:val="single" w:sz="4" w:space="0" w:color="auto"/>
              <w:right w:val="single" w:sz="4" w:space="0" w:color="auto"/>
            </w:tcBorders>
            <w:shd w:val="clear" w:color="000000" w:fill="FFFFFF"/>
            <w:noWrap/>
            <w:vAlign w:val="center"/>
            <w:hideMark/>
          </w:tcPr>
          <w:p w14:paraId="0E1CA17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1200 </w:t>
            </w:r>
          </w:p>
        </w:tc>
        <w:tc>
          <w:tcPr>
            <w:tcW w:w="261" w:type="pct"/>
            <w:tcBorders>
              <w:top w:val="nil"/>
              <w:left w:val="nil"/>
              <w:bottom w:val="single" w:sz="4" w:space="0" w:color="auto"/>
              <w:right w:val="single" w:sz="4" w:space="0" w:color="auto"/>
            </w:tcBorders>
            <w:shd w:val="clear" w:color="000000" w:fill="FFFFFF"/>
            <w:noWrap/>
            <w:vAlign w:val="center"/>
            <w:hideMark/>
          </w:tcPr>
          <w:p w14:paraId="7B69F49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1200 </w:t>
            </w:r>
          </w:p>
        </w:tc>
        <w:tc>
          <w:tcPr>
            <w:tcW w:w="247" w:type="pct"/>
            <w:tcBorders>
              <w:top w:val="nil"/>
              <w:left w:val="nil"/>
              <w:bottom w:val="single" w:sz="4" w:space="0" w:color="auto"/>
              <w:right w:val="single" w:sz="4" w:space="0" w:color="auto"/>
            </w:tcBorders>
            <w:shd w:val="clear" w:color="000000" w:fill="FFFFFF"/>
            <w:noWrap/>
            <w:vAlign w:val="center"/>
            <w:hideMark/>
          </w:tcPr>
          <w:p w14:paraId="2AD939D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1200 </w:t>
            </w:r>
          </w:p>
        </w:tc>
        <w:tc>
          <w:tcPr>
            <w:tcW w:w="247" w:type="pct"/>
            <w:tcBorders>
              <w:top w:val="nil"/>
              <w:left w:val="nil"/>
              <w:bottom w:val="single" w:sz="4" w:space="0" w:color="auto"/>
              <w:right w:val="single" w:sz="4" w:space="0" w:color="auto"/>
            </w:tcBorders>
            <w:shd w:val="clear" w:color="000000" w:fill="FFFFFF"/>
            <w:noWrap/>
            <w:vAlign w:val="center"/>
            <w:hideMark/>
          </w:tcPr>
          <w:p w14:paraId="6A8BF59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1200 </w:t>
            </w:r>
          </w:p>
        </w:tc>
        <w:tc>
          <w:tcPr>
            <w:tcW w:w="247" w:type="pct"/>
            <w:tcBorders>
              <w:top w:val="nil"/>
              <w:left w:val="nil"/>
              <w:bottom w:val="single" w:sz="4" w:space="0" w:color="auto"/>
              <w:right w:val="single" w:sz="4" w:space="0" w:color="auto"/>
            </w:tcBorders>
            <w:shd w:val="clear" w:color="000000" w:fill="FFFFFF"/>
            <w:noWrap/>
            <w:vAlign w:val="center"/>
            <w:hideMark/>
          </w:tcPr>
          <w:p w14:paraId="1659ACE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1200 </w:t>
            </w:r>
          </w:p>
        </w:tc>
        <w:tc>
          <w:tcPr>
            <w:tcW w:w="247" w:type="pct"/>
            <w:tcBorders>
              <w:top w:val="nil"/>
              <w:left w:val="nil"/>
              <w:bottom w:val="single" w:sz="4" w:space="0" w:color="auto"/>
              <w:right w:val="single" w:sz="4" w:space="0" w:color="auto"/>
            </w:tcBorders>
            <w:shd w:val="clear" w:color="000000" w:fill="FFFFFF"/>
            <w:noWrap/>
            <w:vAlign w:val="center"/>
            <w:hideMark/>
          </w:tcPr>
          <w:p w14:paraId="094BB85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1200 </w:t>
            </w:r>
          </w:p>
        </w:tc>
        <w:tc>
          <w:tcPr>
            <w:tcW w:w="247" w:type="pct"/>
            <w:tcBorders>
              <w:top w:val="nil"/>
              <w:left w:val="nil"/>
              <w:bottom w:val="single" w:sz="4" w:space="0" w:color="auto"/>
              <w:right w:val="single" w:sz="4" w:space="0" w:color="auto"/>
            </w:tcBorders>
            <w:shd w:val="clear" w:color="000000" w:fill="FFFFFF"/>
            <w:noWrap/>
            <w:vAlign w:val="center"/>
            <w:hideMark/>
          </w:tcPr>
          <w:p w14:paraId="38ECD7C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1200 </w:t>
            </w:r>
          </w:p>
        </w:tc>
        <w:tc>
          <w:tcPr>
            <w:tcW w:w="247" w:type="pct"/>
            <w:tcBorders>
              <w:top w:val="nil"/>
              <w:left w:val="nil"/>
              <w:bottom w:val="single" w:sz="4" w:space="0" w:color="auto"/>
              <w:right w:val="single" w:sz="4" w:space="0" w:color="auto"/>
            </w:tcBorders>
            <w:shd w:val="clear" w:color="000000" w:fill="FFFFFF"/>
            <w:noWrap/>
            <w:vAlign w:val="center"/>
            <w:hideMark/>
          </w:tcPr>
          <w:p w14:paraId="711F8B4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1200 </w:t>
            </w:r>
          </w:p>
        </w:tc>
        <w:tc>
          <w:tcPr>
            <w:tcW w:w="247" w:type="pct"/>
            <w:tcBorders>
              <w:top w:val="nil"/>
              <w:left w:val="nil"/>
              <w:bottom w:val="single" w:sz="4" w:space="0" w:color="auto"/>
              <w:right w:val="single" w:sz="4" w:space="0" w:color="auto"/>
            </w:tcBorders>
            <w:shd w:val="clear" w:color="000000" w:fill="FFFFFF"/>
            <w:noWrap/>
            <w:vAlign w:val="center"/>
            <w:hideMark/>
          </w:tcPr>
          <w:p w14:paraId="622FA27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600 </w:t>
            </w:r>
          </w:p>
        </w:tc>
        <w:tc>
          <w:tcPr>
            <w:tcW w:w="247" w:type="pct"/>
            <w:tcBorders>
              <w:top w:val="nil"/>
              <w:left w:val="nil"/>
              <w:bottom w:val="single" w:sz="4" w:space="0" w:color="auto"/>
              <w:right w:val="single" w:sz="4" w:space="0" w:color="auto"/>
            </w:tcBorders>
            <w:shd w:val="clear" w:color="000000" w:fill="FFFFFF"/>
            <w:noWrap/>
            <w:vAlign w:val="center"/>
            <w:hideMark/>
          </w:tcPr>
          <w:p w14:paraId="5877E65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0ACBE21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4AAE0B7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11FB808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787F2EE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337" w:type="pct"/>
            <w:tcBorders>
              <w:top w:val="nil"/>
              <w:left w:val="nil"/>
              <w:bottom w:val="single" w:sz="4" w:space="0" w:color="auto"/>
              <w:right w:val="single" w:sz="4" w:space="0" w:color="auto"/>
            </w:tcBorders>
            <w:shd w:val="clear" w:color="000000" w:fill="FFFFFF"/>
            <w:noWrap/>
            <w:vAlign w:val="center"/>
            <w:hideMark/>
          </w:tcPr>
          <w:p w14:paraId="423869E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12000 </w:t>
            </w:r>
          </w:p>
        </w:tc>
      </w:tr>
      <w:tr w:rsidR="007B4794" w:rsidRPr="007B4794" w14:paraId="57EEF458"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6020D4E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1.3.1</w:t>
            </w:r>
          </w:p>
        </w:tc>
        <w:tc>
          <w:tcPr>
            <w:tcW w:w="451" w:type="pct"/>
            <w:tcBorders>
              <w:top w:val="nil"/>
              <w:left w:val="nil"/>
              <w:bottom w:val="single" w:sz="4" w:space="0" w:color="auto"/>
              <w:right w:val="single" w:sz="4" w:space="0" w:color="auto"/>
            </w:tcBorders>
            <w:shd w:val="clear" w:color="000000" w:fill="FFFFFF"/>
            <w:vAlign w:val="center"/>
            <w:hideMark/>
          </w:tcPr>
          <w:p w14:paraId="669477D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销售面积</w:t>
            </w:r>
          </w:p>
        </w:tc>
        <w:tc>
          <w:tcPr>
            <w:tcW w:w="261" w:type="pct"/>
            <w:tcBorders>
              <w:top w:val="nil"/>
              <w:left w:val="nil"/>
              <w:bottom w:val="single" w:sz="4" w:space="0" w:color="auto"/>
              <w:right w:val="single" w:sz="4" w:space="0" w:color="auto"/>
            </w:tcBorders>
            <w:shd w:val="clear" w:color="000000" w:fill="FFFFFF"/>
            <w:noWrap/>
            <w:vAlign w:val="center"/>
            <w:hideMark/>
          </w:tcPr>
          <w:p w14:paraId="68C719D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39386FE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2250 </w:t>
            </w:r>
          </w:p>
        </w:tc>
        <w:tc>
          <w:tcPr>
            <w:tcW w:w="261" w:type="pct"/>
            <w:tcBorders>
              <w:top w:val="nil"/>
              <w:left w:val="nil"/>
              <w:bottom w:val="single" w:sz="4" w:space="0" w:color="auto"/>
              <w:right w:val="single" w:sz="4" w:space="0" w:color="auto"/>
            </w:tcBorders>
            <w:shd w:val="clear" w:color="000000" w:fill="FFFFFF"/>
            <w:noWrap/>
            <w:vAlign w:val="center"/>
            <w:hideMark/>
          </w:tcPr>
          <w:p w14:paraId="4528EBD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1500 </w:t>
            </w:r>
          </w:p>
        </w:tc>
        <w:tc>
          <w:tcPr>
            <w:tcW w:w="261" w:type="pct"/>
            <w:tcBorders>
              <w:top w:val="nil"/>
              <w:left w:val="nil"/>
              <w:bottom w:val="single" w:sz="4" w:space="0" w:color="auto"/>
              <w:right w:val="single" w:sz="4" w:space="0" w:color="auto"/>
            </w:tcBorders>
            <w:shd w:val="clear" w:color="000000" w:fill="FFFFFF"/>
            <w:noWrap/>
            <w:vAlign w:val="center"/>
            <w:hideMark/>
          </w:tcPr>
          <w:p w14:paraId="4DECA6E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1500 </w:t>
            </w:r>
          </w:p>
        </w:tc>
        <w:tc>
          <w:tcPr>
            <w:tcW w:w="247" w:type="pct"/>
            <w:tcBorders>
              <w:top w:val="nil"/>
              <w:left w:val="nil"/>
              <w:bottom w:val="single" w:sz="4" w:space="0" w:color="auto"/>
              <w:right w:val="single" w:sz="4" w:space="0" w:color="auto"/>
            </w:tcBorders>
            <w:shd w:val="clear" w:color="000000" w:fill="FFFFFF"/>
            <w:noWrap/>
            <w:vAlign w:val="center"/>
            <w:hideMark/>
          </w:tcPr>
          <w:p w14:paraId="0ACB687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1500 </w:t>
            </w:r>
          </w:p>
        </w:tc>
        <w:tc>
          <w:tcPr>
            <w:tcW w:w="247" w:type="pct"/>
            <w:tcBorders>
              <w:top w:val="nil"/>
              <w:left w:val="nil"/>
              <w:bottom w:val="single" w:sz="4" w:space="0" w:color="auto"/>
              <w:right w:val="single" w:sz="4" w:space="0" w:color="auto"/>
            </w:tcBorders>
            <w:shd w:val="clear" w:color="000000" w:fill="FFFFFF"/>
            <w:noWrap/>
            <w:vAlign w:val="center"/>
            <w:hideMark/>
          </w:tcPr>
          <w:p w14:paraId="3873B62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1500 </w:t>
            </w:r>
          </w:p>
        </w:tc>
        <w:tc>
          <w:tcPr>
            <w:tcW w:w="247" w:type="pct"/>
            <w:tcBorders>
              <w:top w:val="nil"/>
              <w:left w:val="nil"/>
              <w:bottom w:val="single" w:sz="4" w:space="0" w:color="auto"/>
              <w:right w:val="single" w:sz="4" w:space="0" w:color="auto"/>
            </w:tcBorders>
            <w:shd w:val="clear" w:color="000000" w:fill="FFFFFF"/>
            <w:noWrap/>
            <w:vAlign w:val="center"/>
            <w:hideMark/>
          </w:tcPr>
          <w:p w14:paraId="4A20125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1500 </w:t>
            </w:r>
          </w:p>
        </w:tc>
        <w:tc>
          <w:tcPr>
            <w:tcW w:w="247" w:type="pct"/>
            <w:tcBorders>
              <w:top w:val="nil"/>
              <w:left w:val="nil"/>
              <w:bottom w:val="single" w:sz="4" w:space="0" w:color="auto"/>
              <w:right w:val="single" w:sz="4" w:space="0" w:color="auto"/>
            </w:tcBorders>
            <w:shd w:val="clear" w:color="000000" w:fill="FFFFFF"/>
            <w:noWrap/>
            <w:vAlign w:val="center"/>
            <w:hideMark/>
          </w:tcPr>
          <w:p w14:paraId="4B6B9BF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1500 </w:t>
            </w:r>
          </w:p>
        </w:tc>
        <w:tc>
          <w:tcPr>
            <w:tcW w:w="247" w:type="pct"/>
            <w:tcBorders>
              <w:top w:val="nil"/>
              <w:left w:val="nil"/>
              <w:bottom w:val="single" w:sz="4" w:space="0" w:color="auto"/>
              <w:right w:val="single" w:sz="4" w:space="0" w:color="auto"/>
            </w:tcBorders>
            <w:shd w:val="clear" w:color="000000" w:fill="FFFFFF"/>
            <w:noWrap/>
            <w:vAlign w:val="center"/>
            <w:hideMark/>
          </w:tcPr>
          <w:p w14:paraId="7A4A69A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1500 </w:t>
            </w:r>
          </w:p>
        </w:tc>
        <w:tc>
          <w:tcPr>
            <w:tcW w:w="247" w:type="pct"/>
            <w:tcBorders>
              <w:top w:val="nil"/>
              <w:left w:val="nil"/>
              <w:bottom w:val="single" w:sz="4" w:space="0" w:color="auto"/>
              <w:right w:val="single" w:sz="4" w:space="0" w:color="auto"/>
            </w:tcBorders>
            <w:shd w:val="clear" w:color="000000" w:fill="FFFFFF"/>
            <w:noWrap/>
            <w:vAlign w:val="center"/>
            <w:hideMark/>
          </w:tcPr>
          <w:p w14:paraId="13C51F1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1500 </w:t>
            </w:r>
          </w:p>
        </w:tc>
        <w:tc>
          <w:tcPr>
            <w:tcW w:w="247" w:type="pct"/>
            <w:tcBorders>
              <w:top w:val="nil"/>
              <w:left w:val="nil"/>
              <w:bottom w:val="single" w:sz="4" w:space="0" w:color="auto"/>
              <w:right w:val="single" w:sz="4" w:space="0" w:color="auto"/>
            </w:tcBorders>
            <w:shd w:val="clear" w:color="000000" w:fill="FFFFFF"/>
            <w:noWrap/>
            <w:vAlign w:val="center"/>
            <w:hideMark/>
          </w:tcPr>
          <w:p w14:paraId="0C4677F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750 </w:t>
            </w:r>
          </w:p>
        </w:tc>
        <w:tc>
          <w:tcPr>
            <w:tcW w:w="247" w:type="pct"/>
            <w:tcBorders>
              <w:top w:val="nil"/>
              <w:left w:val="nil"/>
              <w:bottom w:val="single" w:sz="4" w:space="0" w:color="auto"/>
              <w:right w:val="single" w:sz="4" w:space="0" w:color="auto"/>
            </w:tcBorders>
            <w:shd w:val="clear" w:color="000000" w:fill="FFFFFF"/>
            <w:noWrap/>
            <w:vAlign w:val="center"/>
            <w:hideMark/>
          </w:tcPr>
          <w:p w14:paraId="06752AE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57FCAB0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1339F8B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3207882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65FE394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337" w:type="pct"/>
            <w:tcBorders>
              <w:top w:val="nil"/>
              <w:left w:val="nil"/>
              <w:bottom w:val="single" w:sz="4" w:space="0" w:color="auto"/>
              <w:right w:val="single" w:sz="4" w:space="0" w:color="auto"/>
            </w:tcBorders>
            <w:shd w:val="clear" w:color="000000" w:fill="FFFFFF"/>
            <w:noWrap/>
            <w:vAlign w:val="center"/>
            <w:hideMark/>
          </w:tcPr>
          <w:p w14:paraId="64E8F43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15000 </w:t>
            </w:r>
          </w:p>
        </w:tc>
      </w:tr>
      <w:tr w:rsidR="007B4794" w:rsidRPr="007B4794" w14:paraId="2FE8BA2C"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0520BD8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1.3.2</w:t>
            </w:r>
          </w:p>
        </w:tc>
        <w:tc>
          <w:tcPr>
            <w:tcW w:w="451" w:type="pct"/>
            <w:tcBorders>
              <w:top w:val="nil"/>
              <w:left w:val="nil"/>
              <w:bottom w:val="single" w:sz="4" w:space="0" w:color="auto"/>
              <w:right w:val="single" w:sz="4" w:space="0" w:color="auto"/>
            </w:tcBorders>
            <w:shd w:val="clear" w:color="000000" w:fill="FFFFFF"/>
            <w:vAlign w:val="center"/>
            <w:hideMark/>
          </w:tcPr>
          <w:p w14:paraId="541454B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销售均价</w:t>
            </w:r>
          </w:p>
        </w:tc>
        <w:tc>
          <w:tcPr>
            <w:tcW w:w="261" w:type="pct"/>
            <w:tcBorders>
              <w:top w:val="nil"/>
              <w:left w:val="nil"/>
              <w:bottom w:val="single" w:sz="4" w:space="0" w:color="auto"/>
              <w:right w:val="single" w:sz="4" w:space="0" w:color="auto"/>
            </w:tcBorders>
            <w:shd w:val="clear" w:color="000000" w:fill="FFFFFF"/>
            <w:noWrap/>
            <w:vAlign w:val="center"/>
            <w:hideMark/>
          </w:tcPr>
          <w:p w14:paraId="2B02B47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8000 </w:t>
            </w:r>
          </w:p>
        </w:tc>
        <w:tc>
          <w:tcPr>
            <w:tcW w:w="261" w:type="pct"/>
            <w:tcBorders>
              <w:top w:val="nil"/>
              <w:left w:val="nil"/>
              <w:bottom w:val="single" w:sz="4" w:space="0" w:color="auto"/>
              <w:right w:val="single" w:sz="4" w:space="0" w:color="auto"/>
            </w:tcBorders>
            <w:shd w:val="clear" w:color="000000" w:fill="FFFFFF"/>
            <w:noWrap/>
            <w:vAlign w:val="center"/>
            <w:hideMark/>
          </w:tcPr>
          <w:p w14:paraId="21D1233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8000 </w:t>
            </w:r>
          </w:p>
        </w:tc>
        <w:tc>
          <w:tcPr>
            <w:tcW w:w="261" w:type="pct"/>
            <w:tcBorders>
              <w:top w:val="nil"/>
              <w:left w:val="nil"/>
              <w:bottom w:val="single" w:sz="4" w:space="0" w:color="auto"/>
              <w:right w:val="single" w:sz="4" w:space="0" w:color="auto"/>
            </w:tcBorders>
            <w:shd w:val="clear" w:color="000000" w:fill="FFFFFF"/>
            <w:noWrap/>
            <w:vAlign w:val="center"/>
            <w:hideMark/>
          </w:tcPr>
          <w:p w14:paraId="6F41292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8000 </w:t>
            </w:r>
          </w:p>
        </w:tc>
        <w:tc>
          <w:tcPr>
            <w:tcW w:w="261" w:type="pct"/>
            <w:tcBorders>
              <w:top w:val="nil"/>
              <w:left w:val="nil"/>
              <w:bottom w:val="single" w:sz="4" w:space="0" w:color="auto"/>
              <w:right w:val="single" w:sz="4" w:space="0" w:color="auto"/>
            </w:tcBorders>
            <w:shd w:val="clear" w:color="000000" w:fill="FFFFFF"/>
            <w:noWrap/>
            <w:vAlign w:val="center"/>
            <w:hideMark/>
          </w:tcPr>
          <w:p w14:paraId="31D5C3F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8000 </w:t>
            </w:r>
          </w:p>
        </w:tc>
        <w:tc>
          <w:tcPr>
            <w:tcW w:w="247" w:type="pct"/>
            <w:tcBorders>
              <w:top w:val="nil"/>
              <w:left w:val="nil"/>
              <w:bottom w:val="single" w:sz="4" w:space="0" w:color="auto"/>
              <w:right w:val="single" w:sz="4" w:space="0" w:color="auto"/>
            </w:tcBorders>
            <w:shd w:val="clear" w:color="000000" w:fill="FFFFFF"/>
            <w:noWrap/>
            <w:vAlign w:val="center"/>
            <w:hideMark/>
          </w:tcPr>
          <w:p w14:paraId="70CCD1E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8000 </w:t>
            </w:r>
          </w:p>
        </w:tc>
        <w:tc>
          <w:tcPr>
            <w:tcW w:w="247" w:type="pct"/>
            <w:tcBorders>
              <w:top w:val="nil"/>
              <w:left w:val="nil"/>
              <w:bottom w:val="single" w:sz="4" w:space="0" w:color="auto"/>
              <w:right w:val="single" w:sz="4" w:space="0" w:color="auto"/>
            </w:tcBorders>
            <w:shd w:val="clear" w:color="000000" w:fill="FFFFFF"/>
            <w:noWrap/>
            <w:vAlign w:val="center"/>
            <w:hideMark/>
          </w:tcPr>
          <w:p w14:paraId="7C9D2A3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8000 </w:t>
            </w:r>
          </w:p>
        </w:tc>
        <w:tc>
          <w:tcPr>
            <w:tcW w:w="247" w:type="pct"/>
            <w:tcBorders>
              <w:top w:val="nil"/>
              <w:left w:val="nil"/>
              <w:bottom w:val="single" w:sz="4" w:space="0" w:color="auto"/>
              <w:right w:val="single" w:sz="4" w:space="0" w:color="auto"/>
            </w:tcBorders>
            <w:shd w:val="clear" w:color="000000" w:fill="FFFFFF"/>
            <w:noWrap/>
            <w:vAlign w:val="center"/>
            <w:hideMark/>
          </w:tcPr>
          <w:p w14:paraId="346A3D2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8000 </w:t>
            </w:r>
          </w:p>
        </w:tc>
        <w:tc>
          <w:tcPr>
            <w:tcW w:w="247" w:type="pct"/>
            <w:tcBorders>
              <w:top w:val="nil"/>
              <w:left w:val="nil"/>
              <w:bottom w:val="single" w:sz="4" w:space="0" w:color="auto"/>
              <w:right w:val="single" w:sz="4" w:space="0" w:color="auto"/>
            </w:tcBorders>
            <w:shd w:val="clear" w:color="000000" w:fill="FFFFFF"/>
            <w:noWrap/>
            <w:vAlign w:val="center"/>
            <w:hideMark/>
          </w:tcPr>
          <w:p w14:paraId="6AB8D6A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8000 </w:t>
            </w:r>
          </w:p>
        </w:tc>
        <w:tc>
          <w:tcPr>
            <w:tcW w:w="247" w:type="pct"/>
            <w:tcBorders>
              <w:top w:val="nil"/>
              <w:left w:val="nil"/>
              <w:bottom w:val="single" w:sz="4" w:space="0" w:color="auto"/>
              <w:right w:val="single" w:sz="4" w:space="0" w:color="auto"/>
            </w:tcBorders>
            <w:shd w:val="clear" w:color="000000" w:fill="FFFFFF"/>
            <w:noWrap/>
            <w:vAlign w:val="center"/>
            <w:hideMark/>
          </w:tcPr>
          <w:p w14:paraId="500FF4E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8000 </w:t>
            </w:r>
          </w:p>
        </w:tc>
        <w:tc>
          <w:tcPr>
            <w:tcW w:w="247" w:type="pct"/>
            <w:tcBorders>
              <w:top w:val="nil"/>
              <w:left w:val="nil"/>
              <w:bottom w:val="single" w:sz="4" w:space="0" w:color="auto"/>
              <w:right w:val="single" w:sz="4" w:space="0" w:color="auto"/>
            </w:tcBorders>
            <w:shd w:val="clear" w:color="000000" w:fill="FFFFFF"/>
            <w:noWrap/>
            <w:vAlign w:val="center"/>
            <w:hideMark/>
          </w:tcPr>
          <w:p w14:paraId="0F32FDC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8000 </w:t>
            </w:r>
          </w:p>
        </w:tc>
        <w:tc>
          <w:tcPr>
            <w:tcW w:w="247" w:type="pct"/>
            <w:tcBorders>
              <w:top w:val="nil"/>
              <w:left w:val="nil"/>
              <w:bottom w:val="single" w:sz="4" w:space="0" w:color="auto"/>
              <w:right w:val="single" w:sz="4" w:space="0" w:color="auto"/>
            </w:tcBorders>
            <w:shd w:val="clear" w:color="000000" w:fill="FFFFFF"/>
            <w:noWrap/>
            <w:vAlign w:val="center"/>
            <w:hideMark/>
          </w:tcPr>
          <w:p w14:paraId="323EE6E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8000 </w:t>
            </w:r>
          </w:p>
        </w:tc>
        <w:tc>
          <w:tcPr>
            <w:tcW w:w="247" w:type="pct"/>
            <w:tcBorders>
              <w:top w:val="nil"/>
              <w:left w:val="nil"/>
              <w:bottom w:val="single" w:sz="4" w:space="0" w:color="auto"/>
              <w:right w:val="single" w:sz="4" w:space="0" w:color="auto"/>
            </w:tcBorders>
            <w:shd w:val="clear" w:color="000000" w:fill="FFFFFF"/>
            <w:noWrap/>
            <w:vAlign w:val="center"/>
            <w:hideMark/>
          </w:tcPr>
          <w:p w14:paraId="322C1DE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8000 </w:t>
            </w:r>
          </w:p>
        </w:tc>
        <w:tc>
          <w:tcPr>
            <w:tcW w:w="247" w:type="pct"/>
            <w:tcBorders>
              <w:top w:val="nil"/>
              <w:left w:val="nil"/>
              <w:bottom w:val="single" w:sz="4" w:space="0" w:color="auto"/>
              <w:right w:val="single" w:sz="4" w:space="0" w:color="auto"/>
            </w:tcBorders>
            <w:shd w:val="clear" w:color="000000" w:fill="FFFFFF"/>
            <w:noWrap/>
            <w:vAlign w:val="center"/>
            <w:hideMark/>
          </w:tcPr>
          <w:p w14:paraId="6185054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8000 </w:t>
            </w:r>
          </w:p>
        </w:tc>
        <w:tc>
          <w:tcPr>
            <w:tcW w:w="247" w:type="pct"/>
            <w:tcBorders>
              <w:top w:val="nil"/>
              <w:left w:val="nil"/>
              <w:bottom w:val="single" w:sz="4" w:space="0" w:color="auto"/>
              <w:right w:val="single" w:sz="4" w:space="0" w:color="auto"/>
            </w:tcBorders>
            <w:shd w:val="clear" w:color="000000" w:fill="FFFFFF"/>
            <w:noWrap/>
            <w:vAlign w:val="center"/>
            <w:hideMark/>
          </w:tcPr>
          <w:p w14:paraId="4728827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8000 </w:t>
            </w:r>
          </w:p>
        </w:tc>
        <w:tc>
          <w:tcPr>
            <w:tcW w:w="247" w:type="pct"/>
            <w:tcBorders>
              <w:top w:val="nil"/>
              <w:left w:val="nil"/>
              <w:bottom w:val="single" w:sz="4" w:space="0" w:color="auto"/>
              <w:right w:val="single" w:sz="4" w:space="0" w:color="auto"/>
            </w:tcBorders>
            <w:shd w:val="clear" w:color="000000" w:fill="FFFFFF"/>
            <w:noWrap/>
            <w:vAlign w:val="center"/>
            <w:hideMark/>
          </w:tcPr>
          <w:p w14:paraId="7822950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8000 </w:t>
            </w:r>
          </w:p>
        </w:tc>
        <w:tc>
          <w:tcPr>
            <w:tcW w:w="247" w:type="pct"/>
            <w:tcBorders>
              <w:top w:val="nil"/>
              <w:left w:val="nil"/>
              <w:bottom w:val="single" w:sz="4" w:space="0" w:color="auto"/>
              <w:right w:val="single" w:sz="4" w:space="0" w:color="auto"/>
            </w:tcBorders>
            <w:shd w:val="clear" w:color="000000" w:fill="FFFFFF"/>
            <w:noWrap/>
            <w:vAlign w:val="center"/>
            <w:hideMark/>
          </w:tcPr>
          <w:p w14:paraId="61BC206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8000 </w:t>
            </w:r>
          </w:p>
        </w:tc>
        <w:tc>
          <w:tcPr>
            <w:tcW w:w="337" w:type="pct"/>
            <w:tcBorders>
              <w:top w:val="nil"/>
              <w:left w:val="nil"/>
              <w:bottom w:val="single" w:sz="4" w:space="0" w:color="auto"/>
              <w:right w:val="single" w:sz="4" w:space="0" w:color="auto"/>
            </w:tcBorders>
            <w:shd w:val="clear" w:color="000000" w:fill="FFFFFF"/>
            <w:noWrap/>
            <w:vAlign w:val="center"/>
            <w:hideMark/>
          </w:tcPr>
          <w:p w14:paraId="0934212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r>
      <w:tr w:rsidR="007B4794" w:rsidRPr="007B4794" w14:paraId="75585046"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0E3AFE2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1.3.3</w:t>
            </w:r>
          </w:p>
        </w:tc>
        <w:tc>
          <w:tcPr>
            <w:tcW w:w="451" w:type="pct"/>
            <w:tcBorders>
              <w:top w:val="nil"/>
              <w:left w:val="nil"/>
              <w:bottom w:val="single" w:sz="4" w:space="0" w:color="auto"/>
              <w:right w:val="single" w:sz="4" w:space="0" w:color="auto"/>
            </w:tcBorders>
            <w:shd w:val="clear" w:color="000000" w:fill="FFFFFF"/>
            <w:vAlign w:val="center"/>
            <w:hideMark/>
          </w:tcPr>
          <w:p w14:paraId="0834112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销售率</w:t>
            </w:r>
          </w:p>
        </w:tc>
        <w:tc>
          <w:tcPr>
            <w:tcW w:w="261" w:type="pct"/>
            <w:tcBorders>
              <w:top w:val="nil"/>
              <w:left w:val="nil"/>
              <w:bottom w:val="single" w:sz="4" w:space="0" w:color="auto"/>
              <w:right w:val="single" w:sz="4" w:space="0" w:color="auto"/>
            </w:tcBorders>
            <w:shd w:val="clear" w:color="000000" w:fill="FFFFFF"/>
            <w:noWrap/>
            <w:vAlign w:val="center"/>
            <w:hideMark/>
          </w:tcPr>
          <w:p w14:paraId="5082E4D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4892575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15%</w:t>
            </w:r>
          </w:p>
        </w:tc>
        <w:tc>
          <w:tcPr>
            <w:tcW w:w="261" w:type="pct"/>
            <w:tcBorders>
              <w:top w:val="nil"/>
              <w:left w:val="nil"/>
              <w:bottom w:val="single" w:sz="4" w:space="0" w:color="auto"/>
              <w:right w:val="single" w:sz="4" w:space="0" w:color="auto"/>
            </w:tcBorders>
            <w:shd w:val="clear" w:color="000000" w:fill="FFFFFF"/>
            <w:noWrap/>
            <w:vAlign w:val="center"/>
            <w:hideMark/>
          </w:tcPr>
          <w:p w14:paraId="312C62E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61" w:type="pct"/>
            <w:tcBorders>
              <w:top w:val="nil"/>
              <w:left w:val="nil"/>
              <w:bottom w:val="single" w:sz="4" w:space="0" w:color="auto"/>
              <w:right w:val="single" w:sz="4" w:space="0" w:color="auto"/>
            </w:tcBorders>
            <w:shd w:val="clear" w:color="000000" w:fill="FFFFFF"/>
            <w:noWrap/>
            <w:vAlign w:val="center"/>
            <w:hideMark/>
          </w:tcPr>
          <w:p w14:paraId="0EDB967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1927CC1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26CE448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5228FB7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0944C69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2E82B8E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67FCB5B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64D4C72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5%</w:t>
            </w:r>
          </w:p>
        </w:tc>
        <w:tc>
          <w:tcPr>
            <w:tcW w:w="247" w:type="pct"/>
            <w:tcBorders>
              <w:top w:val="nil"/>
              <w:left w:val="nil"/>
              <w:bottom w:val="single" w:sz="4" w:space="0" w:color="auto"/>
              <w:right w:val="single" w:sz="4" w:space="0" w:color="auto"/>
            </w:tcBorders>
            <w:shd w:val="clear" w:color="000000" w:fill="FFFFFF"/>
            <w:noWrap/>
            <w:vAlign w:val="center"/>
            <w:hideMark/>
          </w:tcPr>
          <w:p w14:paraId="51E85B6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5A06BE5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4FC1774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4C09F74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3560046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337" w:type="pct"/>
            <w:tcBorders>
              <w:top w:val="nil"/>
              <w:left w:val="nil"/>
              <w:bottom w:val="single" w:sz="4" w:space="0" w:color="auto"/>
              <w:right w:val="single" w:sz="4" w:space="0" w:color="auto"/>
            </w:tcBorders>
            <w:shd w:val="clear" w:color="000000" w:fill="FFFFFF"/>
            <w:noWrap/>
            <w:vAlign w:val="center"/>
            <w:hideMark/>
          </w:tcPr>
          <w:p w14:paraId="3F95EAA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100%</w:t>
            </w:r>
          </w:p>
        </w:tc>
      </w:tr>
      <w:tr w:rsidR="007B4794" w:rsidRPr="007B4794" w14:paraId="6E1BCF03"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580C896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1.4</w:t>
            </w:r>
          </w:p>
        </w:tc>
        <w:tc>
          <w:tcPr>
            <w:tcW w:w="451" w:type="pct"/>
            <w:tcBorders>
              <w:top w:val="nil"/>
              <w:left w:val="nil"/>
              <w:bottom w:val="single" w:sz="4" w:space="0" w:color="auto"/>
              <w:right w:val="single" w:sz="4" w:space="0" w:color="auto"/>
            </w:tcBorders>
            <w:shd w:val="clear" w:color="000000" w:fill="FFFFFF"/>
            <w:noWrap/>
            <w:vAlign w:val="center"/>
            <w:hideMark/>
          </w:tcPr>
          <w:p w14:paraId="740158D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产权车位</w:t>
            </w:r>
          </w:p>
        </w:tc>
        <w:tc>
          <w:tcPr>
            <w:tcW w:w="261" w:type="pct"/>
            <w:tcBorders>
              <w:top w:val="nil"/>
              <w:left w:val="nil"/>
              <w:bottom w:val="single" w:sz="4" w:space="0" w:color="auto"/>
              <w:right w:val="single" w:sz="4" w:space="0" w:color="auto"/>
            </w:tcBorders>
            <w:shd w:val="clear" w:color="000000" w:fill="FFFFFF"/>
            <w:noWrap/>
            <w:vAlign w:val="center"/>
            <w:hideMark/>
          </w:tcPr>
          <w:p w14:paraId="72BA110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672D6E4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54ED519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61" w:type="pct"/>
            <w:tcBorders>
              <w:top w:val="nil"/>
              <w:left w:val="nil"/>
              <w:bottom w:val="single" w:sz="4" w:space="0" w:color="auto"/>
              <w:right w:val="single" w:sz="4" w:space="0" w:color="auto"/>
            </w:tcBorders>
            <w:shd w:val="clear" w:color="000000" w:fill="FFFFFF"/>
            <w:noWrap/>
            <w:vAlign w:val="center"/>
            <w:hideMark/>
          </w:tcPr>
          <w:p w14:paraId="2F5F207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6F6D213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2016 </w:t>
            </w:r>
          </w:p>
        </w:tc>
        <w:tc>
          <w:tcPr>
            <w:tcW w:w="247" w:type="pct"/>
            <w:tcBorders>
              <w:top w:val="nil"/>
              <w:left w:val="nil"/>
              <w:bottom w:val="single" w:sz="4" w:space="0" w:color="auto"/>
              <w:right w:val="single" w:sz="4" w:space="0" w:color="auto"/>
            </w:tcBorders>
            <w:shd w:val="clear" w:color="000000" w:fill="FFFFFF"/>
            <w:noWrap/>
            <w:vAlign w:val="center"/>
            <w:hideMark/>
          </w:tcPr>
          <w:p w14:paraId="48A0065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2016 </w:t>
            </w:r>
          </w:p>
        </w:tc>
        <w:tc>
          <w:tcPr>
            <w:tcW w:w="247" w:type="pct"/>
            <w:tcBorders>
              <w:top w:val="nil"/>
              <w:left w:val="nil"/>
              <w:bottom w:val="single" w:sz="4" w:space="0" w:color="auto"/>
              <w:right w:val="single" w:sz="4" w:space="0" w:color="auto"/>
            </w:tcBorders>
            <w:shd w:val="clear" w:color="000000" w:fill="FFFFFF"/>
            <w:noWrap/>
            <w:vAlign w:val="center"/>
            <w:hideMark/>
          </w:tcPr>
          <w:p w14:paraId="3E20C6E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2016 </w:t>
            </w:r>
          </w:p>
        </w:tc>
        <w:tc>
          <w:tcPr>
            <w:tcW w:w="247" w:type="pct"/>
            <w:tcBorders>
              <w:top w:val="nil"/>
              <w:left w:val="nil"/>
              <w:bottom w:val="single" w:sz="4" w:space="0" w:color="auto"/>
              <w:right w:val="single" w:sz="4" w:space="0" w:color="auto"/>
            </w:tcBorders>
            <w:shd w:val="clear" w:color="000000" w:fill="FFFFFF"/>
            <w:noWrap/>
            <w:vAlign w:val="center"/>
            <w:hideMark/>
          </w:tcPr>
          <w:p w14:paraId="0A7C1AD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2016 </w:t>
            </w:r>
          </w:p>
        </w:tc>
        <w:tc>
          <w:tcPr>
            <w:tcW w:w="247" w:type="pct"/>
            <w:tcBorders>
              <w:top w:val="nil"/>
              <w:left w:val="nil"/>
              <w:bottom w:val="single" w:sz="4" w:space="0" w:color="auto"/>
              <w:right w:val="single" w:sz="4" w:space="0" w:color="auto"/>
            </w:tcBorders>
            <w:shd w:val="clear" w:color="000000" w:fill="FFFFFF"/>
            <w:noWrap/>
            <w:vAlign w:val="center"/>
            <w:hideMark/>
          </w:tcPr>
          <w:p w14:paraId="561F3C9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1344 </w:t>
            </w:r>
          </w:p>
        </w:tc>
        <w:tc>
          <w:tcPr>
            <w:tcW w:w="247" w:type="pct"/>
            <w:tcBorders>
              <w:top w:val="nil"/>
              <w:left w:val="nil"/>
              <w:bottom w:val="single" w:sz="4" w:space="0" w:color="auto"/>
              <w:right w:val="single" w:sz="4" w:space="0" w:color="auto"/>
            </w:tcBorders>
            <w:shd w:val="clear" w:color="000000" w:fill="FFFFFF"/>
            <w:noWrap/>
            <w:vAlign w:val="center"/>
            <w:hideMark/>
          </w:tcPr>
          <w:p w14:paraId="07636DE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1344 </w:t>
            </w:r>
          </w:p>
        </w:tc>
        <w:tc>
          <w:tcPr>
            <w:tcW w:w="247" w:type="pct"/>
            <w:tcBorders>
              <w:top w:val="nil"/>
              <w:left w:val="nil"/>
              <w:bottom w:val="single" w:sz="4" w:space="0" w:color="auto"/>
              <w:right w:val="single" w:sz="4" w:space="0" w:color="auto"/>
            </w:tcBorders>
            <w:shd w:val="clear" w:color="000000" w:fill="FFFFFF"/>
            <w:noWrap/>
            <w:vAlign w:val="center"/>
            <w:hideMark/>
          </w:tcPr>
          <w:p w14:paraId="0C7D027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1344 </w:t>
            </w:r>
          </w:p>
        </w:tc>
        <w:tc>
          <w:tcPr>
            <w:tcW w:w="247" w:type="pct"/>
            <w:tcBorders>
              <w:top w:val="nil"/>
              <w:left w:val="nil"/>
              <w:bottom w:val="single" w:sz="4" w:space="0" w:color="auto"/>
              <w:right w:val="single" w:sz="4" w:space="0" w:color="auto"/>
            </w:tcBorders>
            <w:shd w:val="clear" w:color="000000" w:fill="FFFFFF"/>
            <w:noWrap/>
            <w:vAlign w:val="center"/>
            <w:hideMark/>
          </w:tcPr>
          <w:p w14:paraId="32D4D2F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1344 </w:t>
            </w:r>
          </w:p>
        </w:tc>
        <w:tc>
          <w:tcPr>
            <w:tcW w:w="247" w:type="pct"/>
            <w:tcBorders>
              <w:top w:val="nil"/>
              <w:left w:val="nil"/>
              <w:bottom w:val="single" w:sz="4" w:space="0" w:color="auto"/>
              <w:right w:val="single" w:sz="4" w:space="0" w:color="auto"/>
            </w:tcBorders>
            <w:shd w:val="clear" w:color="000000" w:fill="FFFFFF"/>
            <w:noWrap/>
            <w:vAlign w:val="center"/>
            <w:hideMark/>
          </w:tcPr>
          <w:p w14:paraId="29AD527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7941CD8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6C76077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070910D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337" w:type="pct"/>
            <w:tcBorders>
              <w:top w:val="nil"/>
              <w:left w:val="nil"/>
              <w:bottom w:val="single" w:sz="4" w:space="0" w:color="auto"/>
              <w:right w:val="single" w:sz="4" w:space="0" w:color="auto"/>
            </w:tcBorders>
            <w:shd w:val="clear" w:color="000000" w:fill="FFFFFF"/>
            <w:noWrap/>
            <w:vAlign w:val="center"/>
            <w:hideMark/>
          </w:tcPr>
          <w:p w14:paraId="01D89D6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13440 </w:t>
            </w:r>
          </w:p>
        </w:tc>
      </w:tr>
      <w:tr w:rsidR="007B4794" w:rsidRPr="007B4794" w14:paraId="4B8E8785"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3BE1885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1.4.1</w:t>
            </w:r>
          </w:p>
        </w:tc>
        <w:tc>
          <w:tcPr>
            <w:tcW w:w="451" w:type="pct"/>
            <w:tcBorders>
              <w:top w:val="nil"/>
              <w:left w:val="nil"/>
              <w:bottom w:val="single" w:sz="4" w:space="0" w:color="auto"/>
              <w:right w:val="single" w:sz="4" w:space="0" w:color="auto"/>
            </w:tcBorders>
            <w:shd w:val="clear" w:color="000000" w:fill="FFFFFF"/>
            <w:vAlign w:val="center"/>
            <w:hideMark/>
          </w:tcPr>
          <w:p w14:paraId="5637A7A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销售数量</w:t>
            </w:r>
          </w:p>
        </w:tc>
        <w:tc>
          <w:tcPr>
            <w:tcW w:w="261" w:type="pct"/>
            <w:tcBorders>
              <w:top w:val="nil"/>
              <w:left w:val="nil"/>
              <w:bottom w:val="single" w:sz="4" w:space="0" w:color="auto"/>
              <w:right w:val="single" w:sz="4" w:space="0" w:color="auto"/>
            </w:tcBorders>
            <w:shd w:val="clear" w:color="000000" w:fill="FFFFFF"/>
            <w:noWrap/>
            <w:vAlign w:val="center"/>
            <w:hideMark/>
          </w:tcPr>
          <w:p w14:paraId="302780C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7684BE6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5D88E99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61" w:type="pct"/>
            <w:tcBorders>
              <w:top w:val="nil"/>
              <w:left w:val="nil"/>
              <w:bottom w:val="single" w:sz="4" w:space="0" w:color="auto"/>
              <w:right w:val="single" w:sz="4" w:space="0" w:color="auto"/>
            </w:tcBorders>
            <w:shd w:val="clear" w:color="000000" w:fill="FFFFFF"/>
            <w:noWrap/>
            <w:vAlign w:val="center"/>
            <w:hideMark/>
          </w:tcPr>
          <w:p w14:paraId="6875B82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0726341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144 </w:t>
            </w:r>
          </w:p>
        </w:tc>
        <w:tc>
          <w:tcPr>
            <w:tcW w:w="247" w:type="pct"/>
            <w:tcBorders>
              <w:top w:val="nil"/>
              <w:left w:val="nil"/>
              <w:bottom w:val="single" w:sz="4" w:space="0" w:color="auto"/>
              <w:right w:val="single" w:sz="4" w:space="0" w:color="auto"/>
            </w:tcBorders>
            <w:shd w:val="clear" w:color="000000" w:fill="FFFFFF"/>
            <w:noWrap/>
            <w:vAlign w:val="center"/>
            <w:hideMark/>
          </w:tcPr>
          <w:p w14:paraId="5FA834B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144 </w:t>
            </w:r>
          </w:p>
        </w:tc>
        <w:tc>
          <w:tcPr>
            <w:tcW w:w="247" w:type="pct"/>
            <w:tcBorders>
              <w:top w:val="nil"/>
              <w:left w:val="nil"/>
              <w:bottom w:val="single" w:sz="4" w:space="0" w:color="auto"/>
              <w:right w:val="single" w:sz="4" w:space="0" w:color="auto"/>
            </w:tcBorders>
            <w:shd w:val="clear" w:color="000000" w:fill="FFFFFF"/>
            <w:noWrap/>
            <w:vAlign w:val="center"/>
            <w:hideMark/>
          </w:tcPr>
          <w:p w14:paraId="52FBF1D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144 </w:t>
            </w:r>
          </w:p>
        </w:tc>
        <w:tc>
          <w:tcPr>
            <w:tcW w:w="247" w:type="pct"/>
            <w:tcBorders>
              <w:top w:val="nil"/>
              <w:left w:val="nil"/>
              <w:bottom w:val="single" w:sz="4" w:space="0" w:color="auto"/>
              <w:right w:val="single" w:sz="4" w:space="0" w:color="auto"/>
            </w:tcBorders>
            <w:shd w:val="clear" w:color="000000" w:fill="FFFFFF"/>
            <w:noWrap/>
            <w:vAlign w:val="center"/>
            <w:hideMark/>
          </w:tcPr>
          <w:p w14:paraId="267A251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144 </w:t>
            </w:r>
          </w:p>
        </w:tc>
        <w:tc>
          <w:tcPr>
            <w:tcW w:w="247" w:type="pct"/>
            <w:tcBorders>
              <w:top w:val="nil"/>
              <w:left w:val="nil"/>
              <w:bottom w:val="single" w:sz="4" w:space="0" w:color="auto"/>
              <w:right w:val="single" w:sz="4" w:space="0" w:color="auto"/>
            </w:tcBorders>
            <w:shd w:val="clear" w:color="000000" w:fill="FFFFFF"/>
            <w:noWrap/>
            <w:vAlign w:val="center"/>
            <w:hideMark/>
          </w:tcPr>
          <w:p w14:paraId="36ECD41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96 </w:t>
            </w:r>
          </w:p>
        </w:tc>
        <w:tc>
          <w:tcPr>
            <w:tcW w:w="247" w:type="pct"/>
            <w:tcBorders>
              <w:top w:val="nil"/>
              <w:left w:val="nil"/>
              <w:bottom w:val="single" w:sz="4" w:space="0" w:color="auto"/>
              <w:right w:val="single" w:sz="4" w:space="0" w:color="auto"/>
            </w:tcBorders>
            <w:shd w:val="clear" w:color="000000" w:fill="FFFFFF"/>
            <w:noWrap/>
            <w:vAlign w:val="center"/>
            <w:hideMark/>
          </w:tcPr>
          <w:p w14:paraId="36916B2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96 </w:t>
            </w:r>
          </w:p>
        </w:tc>
        <w:tc>
          <w:tcPr>
            <w:tcW w:w="247" w:type="pct"/>
            <w:tcBorders>
              <w:top w:val="nil"/>
              <w:left w:val="nil"/>
              <w:bottom w:val="single" w:sz="4" w:space="0" w:color="auto"/>
              <w:right w:val="single" w:sz="4" w:space="0" w:color="auto"/>
            </w:tcBorders>
            <w:shd w:val="clear" w:color="000000" w:fill="FFFFFF"/>
            <w:noWrap/>
            <w:vAlign w:val="center"/>
            <w:hideMark/>
          </w:tcPr>
          <w:p w14:paraId="03C9314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96 </w:t>
            </w:r>
          </w:p>
        </w:tc>
        <w:tc>
          <w:tcPr>
            <w:tcW w:w="247" w:type="pct"/>
            <w:tcBorders>
              <w:top w:val="nil"/>
              <w:left w:val="nil"/>
              <w:bottom w:val="single" w:sz="4" w:space="0" w:color="auto"/>
              <w:right w:val="single" w:sz="4" w:space="0" w:color="auto"/>
            </w:tcBorders>
            <w:shd w:val="clear" w:color="000000" w:fill="FFFFFF"/>
            <w:noWrap/>
            <w:vAlign w:val="center"/>
            <w:hideMark/>
          </w:tcPr>
          <w:p w14:paraId="587456C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96 </w:t>
            </w:r>
          </w:p>
        </w:tc>
        <w:tc>
          <w:tcPr>
            <w:tcW w:w="247" w:type="pct"/>
            <w:tcBorders>
              <w:top w:val="nil"/>
              <w:left w:val="nil"/>
              <w:bottom w:val="single" w:sz="4" w:space="0" w:color="auto"/>
              <w:right w:val="single" w:sz="4" w:space="0" w:color="auto"/>
            </w:tcBorders>
            <w:shd w:val="clear" w:color="000000" w:fill="FFFFFF"/>
            <w:noWrap/>
            <w:vAlign w:val="center"/>
            <w:hideMark/>
          </w:tcPr>
          <w:p w14:paraId="0231A59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45A9C25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1C92019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2854CBB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337" w:type="pct"/>
            <w:tcBorders>
              <w:top w:val="nil"/>
              <w:left w:val="nil"/>
              <w:bottom w:val="single" w:sz="4" w:space="0" w:color="auto"/>
              <w:right w:val="single" w:sz="4" w:space="0" w:color="auto"/>
            </w:tcBorders>
            <w:shd w:val="clear" w:color="000000" w:fill="FFFFFF"/>
            <w:noWrap/>
            <w:vAlign w:val="center"/>
            <w:hideMark/>
          </w:tcPr>
          <w:p w14:paraId="5818D41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960 </w:t>
            </w:r>
          </w:p>
        </w:tc>
      </w:tr>
      <w:tr w:rsidR="007B4794" w:rsidRPr="007B4794" w14:paraId="4AAA6FCD"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35F1E67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1.4.2</w:t>
            </w:r>
          </w:p>
        </w:tc>
        <w:tc>
          <w:tcPr>
            <w:tcW w:w="451" w:type="pct"/>
            <w:tcBorders>
              <w:top w:val="nil"/>
              <w:left w:val="nil"/>
              <w:bottom w:val="single" w:sz="4" w:space="0" w:color="auto"/>
              <w:right w:val="single" w:sz="4" w:space="0" w:color="auto"/>
            </w:tcBorders>
            <w:shd w:val="clear" w:color="000000" w:fill="FFFFFF"/>
            <w:vAlign w:val="center"/>
            <w:hideMark/>
          </w:tcPr>
          <w:p w14:paraId="1C2415D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销售均价</w:t>
            </w:r>
          </w:p>
        </w:tc>
        <w:tc>
          <w:tcPr>
            <w:tcW w:w="261" w:type="pct"/>
            <w:tcBorders>
              <w:top w:val="nil"/>
              <w:left w:val="nil"/>
              <w:bottom w:val="single" w:sz="4" w:space="0" w:color="auto"/>
              <w:right w:val="single" w:sz="4" w:space="0" w:color="auto"/>
            </w:tcBorders>
            <w:shd w:val="clear" w:color="000000" w:fill="FFFFFF"/>
            <w:noWrap/>
            <w:vAlign w:val="center"/>
            <w:hideMark/>
          </w:tcPr>
          <w:p w14:paraId="2F66971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140000 </w:t>
            </w:r>
          </w:p>
        </w:tc>
        <w:tc>
          <w:tcPr>
            <w:tcW w:w="261" w:type="pct"/>
            <w:tcBorders>
              <w:top w:val="nil"/>
              <w:left w:val="nil"/>
              <w:bottom w:val="single" w:sz="4" w:space="0" w:color="auto"/>
              <w:right w:val="single" w:sz="4" w:space="0" w:color="auto"/>
            </w:tcBorders>
            <w:shd w:val="clear" w:color="000000" w:fill="FFFFFF"/>
            <w:noWrap/>
            <w:vAlign w:val="center"/>
            <w:hideMark/>
          </w:tcPr>
          <w:p w14:paraId="0DBE6FB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140000 </w:t>
            </w:r>
          </w:p>
        </w:tc>
        <w:tc>
          <w:tcPr>
            <w:tcW w:w="261" w:type="pct"/>
            <w:tcBorders>
              <w:top w:val="nil"/>
              <w:left w:val="nil"/>
              <w:bottom w:val="single" w:sz="4" w:space="0" w:color="auto"/>
              <w:right w:val="single" w:sz="4" w:space="0" w:color="auto"/>
            </w:tcBorders>
            <w:shd w:val="clear" w:color="000000" w:fill="FFFFFF"/>
            <w:noWrap/>
            <w:vAlign w:val="center"/>
            <w:hideMark/>
          </w:tcPr>
          <w:p w14:paraId="5DCFD78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140000 </w:t>
            </w:r>
          </w:p>
        </w:tc>
        <w:tc>
          <w:tcPr>
            <w:tcW w:w="261" w:type="pct"/>
            <w:tcBorders>
              <w:top w:val="nil"/>
              <w:left w:val="nil"/>
              <w:bottom w:val="single" w:sz="4" w:space="0" w:color="auto"/>
              <w:right w:val="single" w:sz="4" w:space="0" w:color="auto"/>
            </w:tcBorders>
            <w:shd w:val="clear" w:color="000000" w:fill="FFFFFF"/>
            <w:noWrap/>
            <w:vAlign w:val="center"/>
            <w:hideMark/>
          </w:tcPr>
          <w:p w14:paraId="098D3EE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140000 </w:t>
            </w:r>
          </w:p>
        </w:tc>
        <w:tc>
          <w:tcPr>
            <w:tcW w:w="247" w:type="pct"/>
            <w:tcBorders>
              <w:top w:val="nil"/>
              <w:left w:val="nil"/>
              <w:bottom w:val="single" w:sz="4" w:space="0" w:color="auto"/>
              <w:right w:val="single" w:sz="4" w:space="0" w:color="auto"/>
            </w:tcBorders>
            <w:shd w:val="clear" w:color="000000" w:fill="FFFFFF"/>
            <w:noWrap/>
            <w:vAlign w:val="center"/>
            <w:hideMark/>
          </w:tcPr>
          <w:p w14:paraId="0AB2CF0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140000 </w:t>
            </w:r>
          </w:p>
        </w:tc>
        <w:tc>
          <w:tcPr>
            <w:tcW w:w="247" w:type="pct"/>
            <w:tcBorders>
              <w:top w:val="nil"/>
              <w:left w:val="nil"/>
              <w:bottom w:val="single" w:sz="4" w:space="0" w:color="auto"/>
              <w:right w:val="single" w:sz="4" w:space="0" w:color="auto"/>
            </w:tcBorders>
            <w:shd w:val="clear" w:color="000000" w:fill="FFFFFF"/>
            <w:noWrap/>
            <w:vAlign w:val="center"/>
            <w:hideMark/>
          </w:tcPr>
          <w:p w14:paraId="08BC1DD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140000 </w:t>
            </w:r>
          </w:p>
        </w:tc>
        <w:tc>
          <w:tcPr>
            <w:tcW w:w="247" w:type="pct"/>
            <w:tcBorders>
              <w:top w:val="nil"/>
              <w:left w:val="nil"/>
              <w:bottom w:val="single" w:sz="4" w:space="0" w:color="auto"/>
              <w:right w:val="single" w:sz="4" w:space="0" w:color="auto"/>
            </w:tcBorders>
            <w:shd w:val="clear" w:color="000000" w:fill="FFFFFF"/>
            <w:noWrap/>
            <w:vAlign w:val="center"/>
            <w:hideMark/>
          </w:tcPr>
          <w:p w14:paraId="33D1E86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140000 </w:t>
            </w:r>
          </w:p>
        </w:tc>
        <w:tc>
          <w:tcPr>
            <w:tcW w:w="247" w:type="pct"/>
            <w:tcBorders>
              <w:top w:val="nil"/>
              <w:left w:val="nil"/>
              <w:bottom w:val="single" w:sz="4" w:space="0" w:color="auto"/>
              <w:right w:val="single" w:sz="4" w:space="0" w:color="auto"/>
            </w:tcBorders>
            <w:shd w:val="clear" w:color="000000" w:fill="FFFFFF"/>
            <w:noWrap/>
            <w:vAlign w:val="center"/>
            <w:hideMark/>
          </w:tcPr>
          <w:p w14:paraId="16CE41D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140000 </w:t>
            </w:r>
          </w:p>
        </w:tc>
        <w:tc>
          <w:tcPr>
            <w:tcW w:w="247" w:type="pct"/>
            <w:tcBorders>
              <w:top w:val="nil"/>
              <w:left w:val="nil"/>
              <w:bottom w:val="single" w:sz="4" w:space="0" w:color="auto"/>
              <w:right w:val="single" w:sz="4" w:space="0" w:color="auto"/>
            </w:tcBorders>
            <w:shd w:val="clear" w:color="000000" w:fill="FFFFFF"/>
            <w:noWrap/>
            <w:vAlign w:val="center"/>
            <w:hideMark/>
          </w:tcPr>
          <w:p w14:paraId="01C191D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140000 </w:t>
            </w:r>
          </w:p>
        </w:tc>
        <w:tc>
          <w:tcPr>
            <w:tcW w:w="247" w:type="pct"/>
            <w:tcBorders>
              <w:top w:val="nil"/>
              <w:left w:val="nil"/>
              <w:bottom w:val="single" w:sz="4" w:space="0" w:color="auto"/>
              <w:right w:val="single" w:sz="4" w:space="0" w:color="auto"/>
            </w:tcBorders>
            <w:shd w:val="clear" w:color="000000" w:fill="FFFFFF"/>
            <w:noWrap/>
            <w:vAlign w:val="center"/>
            <w:hideMark/>
          </w:tcPr>
          <w:p w14:paraId="7A0443F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140000 </w:t>
            </w:r>
          </w:p>
        </w:tc>
        <w:tc>
          <w:tcPr>
            <w:tcW w:w="247" w:type="pct"/>
            <w:tcBorders>
              <w:top w:val="nil"/>
              <w:left w:val="nil"/>
              <w:bottom w:val="single" w:sz="4" w:space="0" w:color="auto"/>
              <w:right w:val="single" w:sz="4" w:space="0" w:color="auto"/>
            </w:tcBorders>
            <w:shd w:val="clear" w:color="000000" w:fill="FFFFFF"/>
            <w:noWrap/>
            <w:vAlign w:val="center"/>
            <w:hideMark/>
          </w:tcPr>
          <w:p w14:paraId="10B10FD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140000 </w:t>
            </w:r>
          </w:p>
        </w:tc>
        <w:tc>
          <w:tcPr>
            <w:tcW w:w="247" w:type="pct"/>
            <w:tcBorders>
              <w:top w:val="nil"/>
              <w:left w:val="nil"/>
              <w:bottom w:val="single" w:sz="4" w:space="0" w:color="auto"/>
              <w:right w:val="single" w:sz="4" w:space="0" w:color="auto"/>
            </w:tcBorders>
            <w:shd w:val="clear" w:color="000000" w:fill="FFFFFF"/>
            <w:noWrap/>
            <w:vAlign w:val="center"/>
            <w:hideMark/>
          </w:tcPr>
          <w:p w14:paraId="73B8734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140000 </w:t>
            </w:r>
          </w:p>
        </w:tc>
        <w:tc>
          <w:tcPr>
            <w:tcW w:w="247" w:type="pct"/>
            <w:tcBorders>
              <w:top w:val="nil"/>
              <w:left w:val="nil"/>
              <w:bottom w:val="single" w:sz="4" w:space="0" w:color="auto"/>
              <w:right w:val="single" w:sz="4" w:space="0" w:color="auto"/>
            </w:tcBorders>
            <w:shd w:val="clear" w:color="000000" w:fill="FFFFFF"/>
            <w:noWrap/>
            <w:vAlign w:val="center"/>
            <w:hideMark/>
          </w:tcPr>
          <w:p w14:paraId="062C61E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140000 </w:t>
            </w:r>
          </w:p>
        </w:tc>
        <w:tc>
          <w:tcPr>
            <w:tcW w:w="247" w:type="pct"/>
            <w:tcBorders>
              <w:top w:val="nil"/>
              <w:left w:val="nil"/>
              <w:bottom w:val="single" w:sz="4" w:space="0" w:color="auto"/>
              <w:right w:val="single" w:sz="4" w:space="0" w:color="auto"/>
            </w:tcBorders>
            <w:shd w:val="clear" w:color="000000" w:fill="FFFFFF"/>
            <w:noWrap/>
            <w:vAlign w:val="center"/>
            <w:hideMark/>
          </w:tcPr>
          <w:p w14:paraId="6FB4002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140000 </w:t>
            </w:r>
          </w:p>
        </w:tc>
        <w:tc>
          <w:tcPr>
            <w:tcW w:w="247" w:type="pct"/>
            <w:tcBorders>
              <w:top w:val="nil"/>
              <w:left w:val="nil"/>
              <w:bottom w:val="single" w:sz="4" w:space="0" w:color="auto"/>
              <w:right w:val="single" w:sz="4" w:space="0" w:color="auto"/>
            </w:tcBorders>
            <w:shd w:val="clear" w:color="000000" w:fill="FFFFFF"/>
            <w:noWrap/>
            <w:vAlign w:val="center"/>
            <w:hideMark/>
          </w:tcPr>
          <w:p w14:paraId="6777BFD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140000 </w:t>
            </w:r>
          </w:p>
        </w:tc>
        <w:tc>
          <w:tcPr>
            <w:tcW w:w="247" w:type="pct"/>
            <w:tcBorders>
              <w:top w:val="nil"/>
              <w:left w:val="nil"/>
              <w:bottom w:val="single" w:sz="4" w:space="0" w:color="auto"/>
              <w:right w:val="single" w:sz="4" w:space="0" w:color="auto"/>
            </w:tcBorders>
            <w:shd w:val="clear" w:color="000000" w:fill="FFFFFF"/>
            <w:noWrap/>
            <w:vAlign w:val="center"/>
            <w:hideMark/>
          </w:tcPr>
          <w:p w14:paraId="7806D6B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140000 </w:t>
            </w:r>
          </w:p>
        </w:tc>
        <w:tc>
          <w:tcPr>
            <w:tcW w:w="337" w:type="pct"/>
            <w:tcBorders>
              <w:top w:val="nil"/>
              <w:left w:val="nil"/>
              <w:bottom w:val="single" w:sz="4" w:space="0" w:color="auto"/>
              <w:right w:val="single" w:sz="4" w:space="0" w:color="auto"/>
            </w:tcBorders>
            <w:shd w:val="clear" w:color="000000" w:fill="FFFFFF"/>
            <w:noWrap/>
            <w:vAlign w:val="center"/>
            <w:hideMark/>
          </w:tcPr>
          <w:p w14:paraId="39674AB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r>
      <w:tr w:rsidR="007B4794" w:rsidRPr="007B4794" w14:paraId="39703BCF"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078FE81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1.4.3</w:t>
            </w:r>
          </w:p>
        </w:tc>
        <w:tc>
          <w:tcPr>
            <w:tcW w:w="451" w:type="pct"/>
            <w:tcBorders>
              <w:top w:val="nil"/>
              <w:left w:val="nil"/>
              <w:bottom w:val="single" w:sz="4" w:space="0" w:color="auto"/>
              <w:right w:val="single" w:sz="4" w:space="0" w:color="auto"/>
            </w:tcBorders>
            <w:shd w:val="clear" w:color="000000" w:fill="FFFFFF"/>
            <w:vAlign w:val="center"/>
            <w:hideMark/>
          </w:tcPr>
          <w:p w14:paraId="36C75AF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销售率</w:t>
            </w:r>
          </w:p>
        </w:tc>
        <w:tc>
          <w:tcPr>
            <w:tcW w:w="261" w:type="pct"/>
            <w:tcBorders>
              <w:top w:val="nil"/>
              <w:left w:val="nil"/>
              <w:bottom w:val="single" w:sz="4" w:space="0" w:color="auto"/>
              <w:right w:val="single" w:sz="4" w:space="0" w:color="auto"/>
            </w:tcBorders>
            <w:shd w:val="clear" w:color="000000" w:fill="FFFFFF"/>
            <w:noWrap/>
            <w:vAlign w:val="center"/>
            <w:hideMark/>
          </w:tcPr>
          <w:p w14:paraId="18F8F6A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221ACDA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7950D5A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2D21AB9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7FC132D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15%</w:t>
            </w:r>
          </w:p>
        </w:tc>
        <w:tc>
          <w:tcPr>
            <w:tcW w:w="247" w:type="pct"/>
            <w:tcBorders>
              <w:top w:val="nil"/>
              <w:left w:val="nil"/>
              <w:bottom w:val="single" w:sz="4" w:space="0" w:color="auto"/>
              <w:right w:val="single" w:sz="4" w:space="0" w:color="auto"/>
            </w:tcBorders>
            <w:shd w:val="clear" w:color="000000" w:fill="FFFFFF"/>
            <w:noWrap/>
            <w:vAlign w:val="center"/>
            <w:hideMark/>
          </w:tcPr>
          <w:p w14:paraId="31C88AF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15%</w:t>
            </w:r>
          </w:p>
        </w:tc>
        <w:tc>
          <w:tcPr>
            <w:tcW w:w="247" w:type="pct"/>
            <w:tcBorders>
              <w:top w:val="nil"/>
              <w:left w:val="nil"/>
              <w:bottom w:val="single" w:sz="4" w:space="0" w:color="auto"/>
              <w:right w:val="single" w:sz="4" w:space="0" w:color="auto"/>
            </w:tcBorders>
            <w:shd w:val="clear" w:color="000000" w:fill="FFFFFF"/>
            <w:noWrap/>
            <w:vAlign w:val="center"/>
            <w:hideMark/>
          </w:tcPr>
          <w:p w14:paraId="75891C2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15%</w:t>
            </w:r>
          </w:p>
        </w:tc>
        <w:tc>
          <w:tcPr>
            <w:tcW w:w="247" w:type="pct"/>
            <w:tcBorders>
              <w:top w:val="nil"/>
              <w:left w:val="nil"/>
              <w:bottom w:val="single" w:sz="4" w:space="0" w:color="auto"/>
              <w:right w:val="single" w:sz="4" w:space="0" w:color="auto"/>
            </w:tcBorders>
            <w:shd w:val="clear" w:color="000000" w:fill="FFFFFF"/>
            <w:noWrap/>
            <w:vAlign w:val="center"/>
            <w:hideMark/>
          </w:tcPr>
          <w:p w14:paraId="2809AA8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15%</w:t>
            </w:r>
          </w:p>
        </w:tc>
        <w:tc>
          <w:tcPr>
            <w:tcW w:w="247" w:type="pct"/>
            <w:tcBorders>
              <w:top w:val="nil"/>
              <w:left w:val="nil"/>
              <w:bottom w:val="single" w:sz="4" w:space="0" w:color="auto"/>
              <w:right w:val="single" w:sz="4" w:space="0" w:color="auto"/>
            </w:tcBorders>
            <w:shd w:val="clear" w:color="000000" w:fill="FFFFFF"/>
            <w:noWrap/>
            <w:vAlign w:val="center"/>
            <w:hideMark/>
          </w:tcPr>
          <w:p w14:paraId="15DFFD4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4D032B8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0DAAE65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705365D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4A76682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3B85AC6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1233D34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693CCE7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337" w:type="pct"/>
            <w:tcBorders>
              <w:top w:val="nil"/>
              <w:left w:val="nil"/>
              <w:bottom w:val="single" w:sz="4" w:space="0" w:color="auto"/>
              <w:right w:val="single" w:sz="4" w:space="0" w:color="auto"/>
            </w:tcBorders>
            <w:shd w:val="clear" w:color="000000" w:fill="FFFFFF"/>
            <w:noWrap/>
            <w:vAlign w:val="center"/>
            <w:hideMark/>
          </w:tcPr>
          <w:p w14:paraId="5CC9813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100%</w:t>
            </w:r>
          </w:p>
        </w:tc>
      </w:tr>
      <w:tr w:rsidR="007B4794" w:rsidRPr="007B4794" w14:paraId="43D0EEA3"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21B3399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1.5</w:t>
            </w:r>
          </w:p>
        </w:tc>
        <w:tc>
          <w:tcPr>
            <w:tcW w:w="451" w:type="pct"/>
            <w:tcBorders>
              <w:top w:val="nil"/>
              <w:left w:val="nil"/>
              <w:bottom w:val="single" w:sz="4" w:space="0" w:color="auto"/>
              <w:right w:val="single" w:sz="4" w:space="0" w:color="auto"/>
            </w:tcBorders>
            <w:shd w:val="clear" w:color="000000" w:fill="FFFFFF"/>
            <w:noWrap/>
            <w:vAlign w:val="center"/>
            <w:hideMark/>
          </w:tcPr>
          <w:p w14:paraId="73B4EA9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人防车位</w:t>
            </w:r>
          </w:p>
        </w:tc>
        <w:tc>
          <w:tcPr>
            <w:tcW w:w="261" w:type="pct"/>
            <w:tcBorders>
              <w:top w:val="nil"/>
              <w:left w:val="nil"/>
              <w:bottom w:val="single" w:sz="4" w:space="0" w:color="auto"/>
              <w:right w:val="single" w:sz="4" w:space="0" w:color="auto"/>
            </w:tcBorders>
            <w:shd w:val="clear" w:color="000000" w:fill="FFFFFF"/>
            <w:noWrap/>
            <w:vAlign w:val="center"/>
            <w:hideMark/>
          </w:tcPr>
          <w:p w14:paraId="7E99489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59820A7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6CD75F3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61" w:type="pct"/>
            <w:tcBorders>
              <w:top w:val="nil"/>
              <w:left w:val="nil"/>
              <w:bottom w:val="single" w:sz="4" w:space="0" w:color="auto"/>
              <w:right w:val="single" w:sz="4" w:space="0" w:color="auto"/>
            </w:tcBorders>
            <w:shd w:val="clear" w:color="000000" w:fill="FFFFFF"/>
            <w:noWrap/>
            <w:vAlign w:val="center"/>
            <w:hideMark/>
          </w:tcPr>
          <w:p w14:paraId="1D6C12A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561546F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094F926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4CB1114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3FF094A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0B84A06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448 </w:t>
            </w:r>
          </w:p>
        </w:tc>
        <w:tc>
          <w:tcPr>
            <w:tcW w:w="247" w:type="pct"/>
            <w:tcBorders>
              <w:top w:val="nil"/>
              <w:left w:val="nil"/>
              <w:bottom w:val="single" w:sz="4" w:space="0" w:color="auto"/>
              <w:right w:val="single" w:sz="4" w:space="0" w:color="auto"/>
            </w:tcBorders>
            <w:shd w:val="clear" w:color="000000" w:fill="FFFFFF"/>
            <w:noWrap/>
            <w:vAlign w:val="center"/>
            <w:hideMark/>
          </w:tcPr>
          <w:p w14:paraId="7A0AEE1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378 </w:t>
            </w:r>
          </w:p>
        </w:tc>
        <w:tc>
          <w:tcPr>
            <w:tcW w:w="247" w:type="pct"/>
            <w:tcBorders>
              <w:top w:val="nil"/>
              <w:left w:val="nil"/>
              <w:bottom w:val="single" w:sz="4" w:space="0" w:color="auto"/>
              <w:right w:val="single" w:sz="4" w:space="0" w:color="auto"/>
            </w:tcBorders>
            <w:shd w:val="clear" w:color="000000" w:fill="FFFFFF"/>
            <w:noWrap/>
            <w:vAlign w:val="center"/>
            <w:hideMark/>
          </w:tcPr>
          <w:p w14:paraId="105D555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378 </w:t>
            </w:r>
          </w:p>
        </w:tc>
        <w:tc>
          <w:tcPr>
            <w:tcW w:w="247" w:type="pct"/>
            <w:tcBorders>
              <w:top w:val="nil"/>
              <w:left w:val="nil"/>
              <w:bottom w:val="single" w:sz="4" w:space="0" w:color="auto"/>
              <w:right w:val="single" w:sz="4" w:space="0" w:color="auto"/>
            </w:tcBorders>
            <w:shd w:val="clear" w:color="000000" w:fill="FFFFFF"/>
            <w:noWrap/>
            <w:vAlign w:val="center"/>
            <w:hideMark/>
          </w:tcPr>
          <w:p w14:paraId="67A04BE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301 </w:t>
            </w:r>
          </w:p>
        </w:tc>
        <w:tc>
          <w:tcPr>
            <w:tcW w:w="247" w:type="pct"/>
            <w:tcBorders>
              <w:top w:val="nil"/>
              <w:left w:val="nil"/>
              <w:bottom w:val="single" w:sz="4" w:space="0" w:color="auto"/>
              <w:right w:val="single" w:sz="4" w:space="0" w:color="auto"/>
            </w:tcBorders>
            <w:shd w:val="clear" w:color="000000" w:fill="FFFFFF"/>
            <w:noWrap/>
            <w:vAlign w:val="center"/>
            <w:hideMark/>
          </w:tcPr>
          <w:p w14:paraId="0B8D314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42A7CEB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3AB1906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48FE98E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337" w:type="pct"/>
            <w:tcBorders>
              <w:top w:val="nil"/>
              <w:left w:val="nil"/>
              <w:bottom w:val="single" w:sz="4" w:space="0" w:color="auto"/>
              <w:right w:val="single" w:sz="4" w:space="0" w:color="auto"/>
            </w:tcBorders>
            <w:shd w:val="clear" w:color="000000" w:fill="FFFFFF"/>
            <w:noWrap/>
            <w:vAlign w:val="center"/>
            <w:hideMark/>
          </w:tcPr>
          <w:p w14:paraId="6A3D116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1505 </w:t>
            </w:r>
          </w:p>
        </w:tc>
      </w:tr>
      <w:tr w:rsidR="007B4794" w:rsidRPr="007B4794" w14:paraId="7A261910"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415FBDB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1.5.1</w:t>
            </w:r>
          </w:p>
        </w:tc>
        <w:tc>
          <w:tcPr>
            <w:tcW w:w="451" w:type="pct"/>
            <w:tcBorders>
              <w:top w:val="nil"/>
              <w:left w:val="nil"/>
              <w:bottom w:val="single" w:sz="4" w:space="0" w:color="auto"/>
              <w:right w:val="single" w:sz="4" w:space="0" w:color="auto"/>
            </w:tcBorders>
            <w:shd w:val="clear" w:color="000000" w:fill="FFFFFF"/>
            <w:vAlign w:val="center"/>
            <w:hideMark/>
          </w:tcPr>
          <w:p w14:paraId="10FE729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销售数量</w:t>
            </w:r>
          </w:p>
        </w:tc>
        <w:tc>
          <w:tcPr>
            <w:tcW w:w="261" w:type="pct"/>
            <w:tcBorders>
              <w:top w:val="nil"/>
              <w:left w:val="nil"/>
              <w:bottom w:val="single" w:sz="4" w:space="0" w:color="auto"/>
              <w:right w:val="single" w:sz="4" w:space="0" w:color="auto"/>
            </w:tcBorders>
            <w:shd w:val="clear" w:color="000000" w:fill="FFFFFF"/>
            <w:noWrap/>
            <w:vAlign w:val="center"/>
            <w:hideMark/>
          </w:tcPr>
          <w:p w14:paraId="0C7F0BE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00F7AEB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38F5DB7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61" w:type="pct"/>
            <w:tcBorders>
              <w:top w:val="nil"/>
              <w:left w:val="nil"/>
              <w:bottom w:val="single" w:sz="4" w:space="0" w:color="auto"/>
              <w:right w:val="single" w:sz="4" w:space="0" w:color="auto"/>
            </w:tcBorders>
            <w:shd w:val="clear" w:color="000000" w:fill="FFFFFF"/>
            <w:noWrap/>
            <w:vAlign w:val="center"/>
            <w:hideMark/>
          </w:tcPr>
          <w:p w14:paraId="4AF09D2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0BC8AB7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2C66E21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01FBD7A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358E13D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269AF81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64 </w:t>
            </w:r>
          </w:p>
        </w:tc>
        <w:tc>
          <w:tcPr>
            <w:tcW w:w="247" w:type="pct"/>
            <w:tcBorders>
              <w:top w:val="nil"/>
              <w:left w:val="nil"/>
              <w:bottom w:val="single" w:sz="4" w:space="0" w:color="auto"/>
              <w:right w:val="single" w:sz="4" w:space="0" w:color="auto"/>
            </w:tcBorders>
            <w:shd w:val="clear" w:color="000000" w:fill="FFFFFF"/>
            <w:noWrap/>
            <w:vAlign w:val="center"/>
            <w:hideMark/>
          </w:tcPr>
          <w:p w14:paraId="222C7FE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54 </w:t>
            </w:r>
          </w:p>
        </w:tc>
        <w:tc>
          <w:tcPr>
            <w:tcW w:w="247" w:type="pct"/>
            <w:tcBorders>
              <w:top w:val="nil"/>
              <w:left w:val="nil"/>
              <w:bottom w:val="single" w:sz="4" w:space="0" w:color="auto"/>
              <w:right w:val="single" w:sz="4" w:space="0" w:color="auto"/>
            </w:tcBorders>
            <w:shd w:val="clear" w:color="000000" w:fill="FFFFFF"/>
            <w:noWrap/>
            <w:vAlign w:val="center"/>
            <w:hideMark/>
          </w:tcPr>
          <w:p w14:paraId="203433F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54 </w:t>
            </w:r>
          </w:p>
        </w:tc>
        <w:tc>
          <w:tcPr>
            <w:tcW w:w="247" w:type="pct"/>
            <w:tcBorders>
              <w:top w:val="nil"/>
              <w:left w:val="nil"/>
              <w:bottom w:val="single" w:sz="4" w:space="0" w:color="auto"/>
              <w:right w:val="single" w:sz="4" w:space="0" w:color="auto"/>
            </w:tcBorders>
            <w:shd w:val="clear" w:color="000000" w:fill="FFFFFF"/>
            <w:noWrap/>
            <w:vAlign w:val="center"/>
            <w:hideMark/>
          </w:tcPr>
          <w:p w14:paraId="0DBB2DA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43 </w:t>
            </w:r>
          </w:p>
        </w:tc>
        <w:tc>
          <w:tcPr>
            <w:tcW w:w="247" w:type="pct"/>
            <w:tcBorders>
              <w:top w:val="nil"/>
              <w:left w:val="nil"/>
              <w:bottom w:val="single" w:sz="4" w:space="0" w:color="auto"/>
              <w:right w:val="single" w:sz="4" w:space="0" w:color="auto"/>
            </w:tcBorders>
            <w:shd w:val="clear" w:color="000000" w:fill="FFFFFF"/>
            <w:noWrap/>
            <w:vAlign w:val="center"/>
            <w:hideMark/>
          </w:tcPr>
          <w:p w14:paraId="60D42B9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4699800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09D222A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5D892A4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337" w:type="pct"/>
            <w:tcBorders>
              <w:top w:val="nil"/>
              <w:left w:val="nil"/>
              <w:bottom w:val="single" w:sz="4" w:space="0" w:color="auto"/>
              <w:right w:val="single" w:sz="4" w:space="0" w:color="auto"/>
            </w:tcBorders>
            <w:shd w:val="clear" w:color="000000" w:fill="FFFFFF"/>
            <w:noWrap/>
            <w:vAlign w:val="center"/>
            <w:hideMark/>
          </w:tcPr>
          <w:p w14:paraId="7227C10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215 </w:t>
            </w:r>
          </w:p>
        </w:tc>
      </w:tr>
      <w:tr w:rsidR="007B4794" w:rsidRPr="007B4794" w14:paraId="0376FB2E"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229C791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1.5.2</w:t>
            </w:r>
          </w:p>
        </w:tc>
        <w:tc>
          <w:tcPr>
            <w:tcW w:w="451" w:type="pct"/>
            <w:tcBorders>
              <w:top w:val="nil"/>
              <w:left w:val="nil"/>
              <w:bottom w:val="single" w:sz="4" w:space="0" w:color="auto"/>
              <w:right w:val="single" w:sz="4" w:space="0" w:color="auto"/>
            </w:tcBorders>
            <w:shd w:val="clear" w:color="000000" w:fill="FFFFFF"/>
            <w:vAlign w:val="center"/>
            <w:hideMark/>
          </w:tcPr>
          <w:p w14:paraId="67DD5D8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销售均价</w:t>
            </w:r>
          </w:p>
        </w:tc>
        <w:tc>
          <w:tcPr>
            <w:tcW w:w="261" w:type="pct"/>
            <w:tcBorders>
              <w:top w:val="nil"/>
              <w:left w:val="nil"/>
              <w:bottom w:val="single" w:sz="4" w:space="0" w:color="auto"/>
              <w:right w:val="single" w:sz="4" w:space="0" w:color="auto"/>
            </w:tcBorders>
            <w:shd w:val="clear" w:color="000000" w:fill="FFFFFF"/>
            <w:noWrap/>
            <w:vAlign w:val="center"/>
            <w:hideMark/>
          </w:tcPr>
          <w:p w14:paraId="325B35B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70000 </w:t>
            </w:r>
          </w:p>
        </w:tc>
        <w:tc>
          <w:tcPr>
            <w:tcW w:w="261" w:type="pct"/>
            <w:tcBorders>
              <w:top w:val="nil"/>
              <w:left w:val="nil"/>
              <w:bottom w:val="single" w:sz="4" w:space="0" w:color="auto"/>
              <w:right w:val="single" w:sz="4" w:space="0" w:color="auto"/>
            </w:tcBorders>
            <w:shd w:val="clear" w:color="000000" w:fill="FFFFFF"/>
            <w:noWrap/>
            <w:vAlign w:val="center"/>
            <w:hideMark/>
          </w:tcPr>
          <w:p w14:paraId="7029074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70000 </w:t>
            </w:r>
          </w:p>
        </w:tc>
        <w:tc>
          <w:tcPr>
            <w:tcW w:w="261" w:type="pct"/>
            <w:tcBorders>
              <w:top w:val="nil"/>
              <w:left w:val="nil"/>
              <w:bottom w:val="single" w:sz="4" w:space="0" w:color="auto"/>
              <w:right w:val="single" w:sz="4" w:space="0" w:color="auto"/>
            </w:tcBorders>
            <w:shd w:val="clear" w:color="000000" w:fill="FFFFFF"/>
            <w:noWrap/>
            <w:vAlign w:val="center"/>
            <w:hideMark/>
          </w:tcPr>
          <w:p w14:paraId="7109C99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70000 </w:t>
            </w:r>
          </w:p>
        </w:tc>
        <w:tc>
          <w:tcPr>
            <w:tcW w:w="261" w:type="pct"/>
            <w:tcBorders>
              <w:top w:val="nil"/>
              <w:left w:val="nil"/>
              <w:bottom w:val="single" w:sz="4" w:space="0" w:color="auto"/>
              <w:right w:val="single" w:sz="4" w:space="0" w:color="auto"/>
            </w:tcBorders>
            <w:shd w:val="clear" w:color="000000" w:fill="FFFFFF"/>
            <w:noWrap/>
            <w:vAlign w:val="center"/>
            <w:hideMark/>
          </w:tcPr>
          <w:p w14:paraId="1F86D38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70000 </w:t>
            </w:r>
          </w:p>
        </w:tc>
        <w:tc>
          <w:tcPr>
            <w:tcW w:w="247" w:type="pct"/>
            <w:tcBorders>
              <w:top w:val="nil"/>
              <w:left w:val="nil"/>
              <w:bottom w:val="single" w:sz="4" w:space="0" w:color="auto"/>
              <w:right w:val="single" w:sz="4" w:space="0" w:color="auto"/>
            </w:tcBorders>
            <w:shd w:val="clear" w:color="000000" w:fill="FFFFFF"/>
            <w:noWrap/>
            <w:vAlign w:val="center"/>
            <w:hideMark/>
          </w:tcPr>
          <w:p w14:paraId="126D0A9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70000 </w:t>
            </w:r>
          </w:p>
        </w:tc>
        <w:tc>
          <w:tcPr>
            <w:tcW w:w="247" w:type="pct"/>
            <w:tcBorders>
              <w:top w:val="nil"/>
              <w:left w:val="nil"/>
              <w:bottom w:val="single" w:sz="4" w:space="0" w:color="auto"/>
              <w:right w:val="single" w:sz="4" w:space="0" w:color="auto"/>
            </w:tcBorders>
            <w:shd w:val="clear" w:color="000000" w:fill="FFFFFF"/>
            <w:noWrap/>
            <w:vAlign w:val="center"/>
            <w:hideMark/>
          </w:tcPr>
          <w:p w14:paraId="7C3C90C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70000 </w:t>
            </w:r>
          </w:p>
        </w:tc>
        <w:tc>
          <w:tcPr>
            <w:tcW w:w="247" w:type="pct"/>
            <w:tcBorders>
              <w:top w:val="nil"/>
              <w:left w:val="nil"/>
              <w:bottom w:val="single" w:sz="4" w:space="0" w:color="auto"/>
              <w:right w:val="single" w:sz="4" w:space="0" w:color="auto"/>
            </w:tcBorders>
            <w:shd w:val="clear" w:color="000000" w:fill="FFFFFF"/>
            <w:noWrap/>
            <w:vAlign w:val="center"/>
            <w:hideMark/>
          </w:tcPr>
          <w:p w14:paraId="3A8A420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70000 </w:t>
            </w:r>
          </w:p>
        </w:tc>
        <w:tc>
          <w:tcPr>
            <w:tcW w:w="247" w:type="pct"/>
            <w:tcBorders>
              <w:top w:val="nil"/>
              <w:left w:val="nil"/>
              <w:bottom w:val="single" w:sz="4" w:space="0" w:color="auto"/>
              <w:right w:val="single" w:sz="4" w:space="0" w:color="auto"/>
            </w:tcBorders>
            <w:shd w:val="clear" w:color="000000" w:fill="FFFFFF"/>
            <w:noWrap/>
            <w:vAlign w:val="center"/>
            <w:hideMark/>
          </w:tcPr>
          <w:p w14:paraId="6513375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70000 </w:t>
            </w:r>
          </w:p>
        </w:tc>
        <w:tc>
          <w:tcPr>
            <w:tcW w:w="247" w:type="pct"/>
            <w:tcBorders>
              <w:top w:val="nil"/>
              <w:left w:val="nil"/>
              <w:bottom w:val="single" w:sz="4" w:space="0" w:color="auto"/>
              <w:right w:val="single" w:sz="4" w:space="0" w:color="auto"/>
            </w:tcBorders>
            <w:shd w:val="clear" w:color="000000" w:fill="FFFFFF"/>
            <w:noWrap/>
            <w:vAlign w:val="center"/>
            <w:hideMark/>
          </w:tcPr>
          <w:p w14:paraId="2D3F050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70000 </w:t>
            </w:r>
          </w:p>
        </w:tc>
        <w:tc>
          <w:tcPr>
            <w:tcW w:w="247" w:type="pct"/>
            <w:tcBorders>
              <w:top w:val="nil"/>
              <w:left w:val="nil"/>
              <w:bottom w:val="single" w:sz="4" w:space="0" w:color="auto"/>
              <w:right w:val="single" w:sz="4" w:space="0" w:color="auto"/>
            </w:tcBorders>
            <w:shd w:val="clear" w:color="000000" w:fill="FFFFFF"/>
            <w:noWrap/>
            <w:vAlign w:val="center"/>
            <w:hideMark/>
          </w:tcPr>
          <w:p w14:paraId="65B0EA7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70000 </w:t>
            </w:r>
          </w:p>
        </w:tc>
        <w:tc>
          <w:tcPr>
            <w:tcW w:w="247" w:type="pct"/>
            <w:tcBorders>
              <w:top w:val="nil"/>
              <w:left w:val="nil"/>
              <w:bottom w:val="single" w:sz="4" w:space="0" w:color="auto"/>
              <w:right w:val="single" w:sz="4" w:space="0" w:color="auto"/>
            </w:tcBorders>
            <w:shd w:val="clear" w:color="000000" w:fill="FFFFFF"/>
            <w:noWrap/>
            <w:vAlign w:val="center"/>
            <w:hideMark/>
          </w:tcPr>
          <w:p w14:paraId="4F20641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70000 </w:t>
            </w:r>
          </w:p>
        </w:tc>
        <w:tc>
          <w:tcPr>
            <w:tcW w:w="247" w:type="pct"/>
            <w:tcBorders>
              <w:top w:val="nil"/>
              <w:left w:val="nil"/>
              <w:bottom w:val="single" w:sz="4" w:space="0" w:color="auto"/>
              <w:right w:val="single" w:sz="4" w:space="0" w:color="auto"/>
            </w:tcBorders>
            <w:shd w:val="clear" w:color="000000" w:fill="FFFFFF"/>
            <w:noWrap/>
            <w:vAlign w:val="center"/>
            <w:hideMark/>
          </w:tcPr>
          <w:p w14:paraId="28ABFC4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70000 </w:t>
            </w:r>
          </w:p>
        </w:tc>
        <w:tc>
          <w:tcPr>
            <w:tcW w:w="247" w:type="pct"/>
            <w:tcBorders>
              <w:top w:val="nil"/>
              <w:left w:val="nil"/>
              <w:bottom w:val="single" w:sz="4" w:space="0" w:color="auto"/>
              <w:right w:val="single" w:sz="4" w:space="0" w:color="auto"/>
            </w:tcBorders>
            <w:shd w:val="clear" w:color="000000" w:fill="FFFFFF"/>
            <w:noWrap/>
            <w:vAlign w:val="center"/>
            <w:hideMark/>
          </w:tcPr>
          <w:p w14:paraId="68F90AC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70000 </w:t>
            </w:r>
          </w:p>
        </w:tc>
        <w:tc>
          <w:tcPr>
            <w:tcW w:w="247" w:type="pct"/>
            <w:tcBorders>
              <w:top w:val="nil"/>
              <w:left w:val="nil"/>
              <w:bottom w:val="single" w:sz="4" w:space="0" w:color="auto"/>
              <w:right w:val="single" w:sz="4" w:space="0" w:color="auto"/>
            </w:tcBorders>
            <w:shd w:val="clear" w:color="000000" w:fill="FFFFFF"/>
            <w:noWrap/>
            <w:vAlign w:val="center"/>
            <w:hideMark/>
          </w:tcPr>
          <w:p w14:paraId="3520355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70000 </w:t>
            </w:r>
          </w:p>
        </w:tc>
        <w:tc>
          <w:tcPr>
            <w:tcW w:w="247" w:type="pct"/>
            <w:tcBorders>
              <w:top w:val="nil"/>
              <w:left w:val="nil"/>
              <w:bottom w:val="single" w:sz="4" w:space="0" w:color="auto"/>
              <w:right w:val="single" w:sz="4" w:space="0" w:color="auto"/>
            </w:tcBorders>
            <w:shd w:val="clear" w:color="000000" w:fill="FFFFFF"/>
            <w:noWrap/>
            <w:vAlign w:val="center"/>
            <w:hideMark/>
          </w:tcPr>
          <w:p w14:paraId="2FABF0E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70000 </w:t>
            </w:r>
          </w:p>
        </w:tc>
        <w:tc>
          <w:tcPr>
            <w:tcW w:w="247" w:type="pct"/>
            <w:tcBorders>
              <w:top w:val="nil"/>
              <w:left w:val="nil"/>
              <w:bottom w:val="single" w:sz="4" w:space="0" w:color="auto"/>
              <w:right w:val="single" w:sz="4" w:space="0" w:color="auto"/>
            </w:tcBorders>
            <w:shd w:val="clear" w:color="000000" w:fill="FFFFFF"/>
            <w:noWrap/>
            <w:vAlign w:val="center"/>
            <w:hideMark/>
          </w:tcPr>
          <w:p w14:paraId="72467A2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70000 </w:t>
            </w:r>
          </w:p>
        </w:tc>
        <w:tc>
          <w:tcPr>
            <w:tcW w:w="337" w:type="pct"/>
            <w:tcBorders>
              <w:top w:val="nil"/>
              <w:left w:val="nil"/>
              <w:bottom w:val="single" w:sz="4" w:space="0" w:color="auto"/>
              <w:right w:val="single" w:sz="4" w:space="0" w:color="auto"/>
            </w:tcBorders>
            <w:shd w:val="clear" w:color="000000" w:fill="FFFFFF"/>
            <w:noWrap/>
            <w:vAlign w:val="center"/>
            <w:hideMark/>
          </w:tcPr>
          <w:p w14:paraId="14C9240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r>
      <w:tr w:rsidR="007B4794" w:rsidRPr="007B4794" w14:paraId="37798BDD"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068ECBC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1.5.3</w:t>
            </w:r>
          </w:p>
        </w:tc>
        <w:tc>
          <w:tcPr>
            <w:tcW w:w="451" w:type="pct"/>
            <w:tcBorders>
              <w:top w:val="nil"/>
              <w:left w:val="nil"/>
              <w:bottom w:val="single" w:sz="4" w:space="0" w:color="auto"/>
              <w:right w:val="single" w:sz="4" w:space="0" w:color="auto"/>
            </w:tcBorders>
            <w:shd w:val="clear" w:color="000000" w:fill="FFFFFF"/>
            <w:vAlign w:val="center"/>
            <w:hideMark/>
          </w:tcPr>
          <w:p w14:paraId="2F2BA63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销售率</w:t>
            </w:r>
          </w:p>
        </w:tc>
        <w:tc>
          <w:tcPr>
            <w:tcW w:w="261" w:type="pct"/>
            <w:tcBorders>
              <w:top w:val="nil"/>
              <w:left w:val="nil"/>
              <w:bottom w:val="single" w:sz="4" w:space="0" w:color="auto"/>
              <w:right w:val="single" w:sz="4" w:space="0" w:color="auto"/>
            </w:tcBorders>
            <w:shd w:val="clear" w:color="000000" w:fill="FFFFFF"/>
            <w:noWrap/>
            <w:vAlign w:val="center"/>
            <w:hideMark/>
          </w:tcPr>
          <w:p w14:paraId="38949CE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3853BBE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7F5C8E6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1CCF8DB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617D456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1DDD688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51FFB52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59D6205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06A29A4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30%</w:t>
            </w:r>
          </w:p>
        </w:tc>
        <w:tc>
          <w:tcPr>
            <w:tcW w:w="247" w:type="pct"/>
            <w:tcBorders>
              <w:top w:val="nil"/>
              <w:left w:val="nil"/>
              <w:bottom w:val="single" w:sz="4" w:space="0" w:color="auto"/>
              <w:right w:val="single" w:sz="4" w:space="0" w:color="auto"/>
            </w:tcBorders>
            <w:shd w:val="clear" w:color="000000" w:fill="FFFFFF"/>
            <w:noWrap/>
            <w:vAlign w:val="center"/>
            <w:hideMark/>
          </w:tcPr>
          <w:p w14:paraId="2705108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25%</w:t>
            </w:r>
          </w:p>
        </w:tc>
        <w:tc>
          <w:tcPr>
            <w:tcW w:w="247" w:type="pct"/>
            <w:tcBorders>
              <w:top w:val="nil"/>
              <w:left w:val="nil"/>
              <w:bottom w:val="single" w:sz="4" w:space="0" w:color="auto"/>
              <w:right w:val="single" w:sz="4" w:space="0" w:color="auto"/>
            </w:tcBorders>
            <w:shd w:val="clear" w:color="000000" w:fill="FFFFFF"/>
            <w:noWrap/>
            <w:vAlign w:val="center"/>
            <w:hideMark/>
          </w:tcPr>
          <w:p w14:paraId="0858AFA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25%</w:t>
            </w:r>
          </w:p>
        </w:tc>
        <w:tc>
          <w:tcPr>
            <w:tcW w:w="247" w:type="pct"/>
            <w:tcBorders>
              <w:top w:val="nil"/>
              <w:left w:val="nil"/>
              <w:bottom w:val="single" w:sz="4" w:space="0" w:color="auto"/>
              <w:right w:val="single" w:sz="4" w:space="0" w:color="auto"/>
            </w:tcBorders>
            <w:shd w:val="clear" w:color="000000" w:fill="FFFFFF"/>
            <w:noWrap/>
            <w:vAlign w:val="center"/>
            <w:hideMark/>
          </w:tcPr>
          <w:p w14:paraId="4D56E5D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20%</w:t>
            </w:r>
          </w:p>
        </w:tc>
        <w:tc>
          <w:tcPr>
            <w:tcW w:w="247" w:type="pct"/>
            <w:tcBorders>
              <w:top w:val="nil"/>
              <w:left w:val="nil"/>
              <w:bottom w:val="single" w:sz="4" w:space="0" w:color="auto"/>
              <w:right w:val="single" w:sz="4" w:space="0" w:color="auto"/>
            </w:tcBorders>
            <w:shd w:val="clear" w:color="000000" w:fill="FFFFFF"/>
            <w:noWrap/>
            <w:vAlign w:val="center"/>
            <w:hideMark/>
          </w:tcPr>
          <w:p w14:paraId="19BB687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45A308B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1A919DB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5F5C0B0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337" w:type="pct"/>
            <w:tcBorders>
              <w:top w:val="nil"/>
              <w:left w:val="nil"/>
              <w:bottom w:val="single" w:sz="4" w:space="0" w:color="auto"/>
              <w:right w:val="single" w:sz="4" w:space="0" w:color="auto"/>
            </w:tcBorders>
            <w:shd w:val="clear" w:color="000000" w:fill="FFFFFF"/>
            <w:noWrap/>
            <w:vAlign w:val="center"/>
            <w:hideMark/>
          </w:tcPr>
          <w:p w14:paraId="6921244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100%</w:t>
            </w:r>
          </w:p>
        </w:tc>
      </w:tr>
      <w:tr w:rsidR="007B4794" w:rsidRPr="007B4794" w14:paraId="127DFD7B"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4CF76F7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1.6</w:t>
            </w:r>
          </w:p>
        </w:tc>
        <w:tc>
          <w:tcPr>
            <w:tcW w:w="451" w:type="pct"/>
            <w:tcBorders>
              <w:top w:val="nil"/>
              <w:left w:val="nil"/>
              <w:bottom w:val="single" w:sz="4" w:space="0" w:color="auto"/>
              <w:right w:val="single" w:sz="4" w:space="0" w:color="auto"/>
            </w:tcBorders>
            <w:shd w:val="clear" w:color="000000" w:fill="FFFFFF"/>
            <w:vAlign w:val="center"/>
            <w:hideMark/>
          </w:tcPr>
          <w:p w14:paraId="4B7CA57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商业</w:t>
            </w:r>
          </w:p>
        </w:tc>
        <w:tc>
          <w:tcPr>
            <w:tcW w:w="261" w:type="pct"/>
            <w:tcBorders>
              <w:top w:val="nil"/>
              <w:left w:val="nil"/>
              <w:bottom w:val="single" w:sz="4" w:space="0" w:color="auto"/>
              <w:right w:val="single" w:sz="4" w:space="0" w:color="auto"/>
            </w:tcBorders>
            <w:shd w:val="clear" w:color="000000" w:fill="FFFFFF"/>
            <w:noWrap/>
            <w:vAlign w:val="center"/>
            <w:hideMark/>
          </w:tcPr>
          <w:p w14:paraId="07E5842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0B0B9A8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5734A02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61" w:type="pct"/>
            <w:tcBorders>
              <w:top w:val="nil"/>
              <w:left w:val="nil"/>
              <w:bottom w:val="single" w:sz="4" w:space="0" w:color="auto"/>
              <w:right w:val="single" w:sz="4" w:space="0" w:color="auto"/>
            </w:tcBorders>
            <w:shd w:val="clear" w:color="000000" w:fill="FFFFFF"/>
            <w:noWrap/>
            <w:vAlign w:val="center"/>
            <w:hideMark/>
          </w:tcPr>
          <w:p w14:paraId="18F2152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1A231A9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4978 </w:t>
            </w:r>
          </w:p>
        </w:tc>
        <w:tc>
          <w:tcPr>
            <w:tcW w:w="247" w:type="pct"/>
            <w:tcBorders>
              <w:top w:val="nil"/>
              <w:left w:val="nil"/>
              <w:bottom w:val="single" w:sz="4" w:space="0" w:color="auto"/>
              <w:right w:val="single" w:sz="4" w:space="0" w:color="auto"/>
            </w:tcBorders>
            <w:shd w:val="clear" w:color="000000" w:fill="FFFFFF"/>
            <w:noWrap/>
            <w:vAlign w:val="center"/>
            <w:hideMark/>
          </w:tcPr>
          <w:p w14:paraId="4FC0ECE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2988 </w:t>
            </w:r>
          </w:p>
        </w:tc>
        <w:tc>
          <w:tcPr>
            <w:tcW w:w="247" w:type="pct"/>
            <w:tcBorders>
              <w:top w:val="nil"/>
              <w:left w:val="nil"/>
              <w:bottom w:val="single" w:sz="4" w:space="0" w:color="auto"/>
              <w:right w:val="single" w:sz="4" w:space="0" w:color="auto"/>
            </w:tcBorders>
            <w:shd w:val="clear" w:color="000000" w:fill="FFFFFF"/>
            <w:noWrap/>
            <w:vAlign w:val="center"/>
            <w:hideMark/>
          </w:tcPr>
          <w:p w14:paraId="374C202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2988 </w:t>
            </w:r>
          </w:p>
        </w:tc>
        <w:tc>
          <w:tcPr>
            <w:tcW w:w="247" w:type="pct"/>
            <w:tcBorders>
              <w:top w:val="nil"/>
              <w:left w:val="nil"/>
              <w:bottom w:val="single" w:sz="4" w:space="0" w:color="auto"/>
              <w:right w:val="single" w:sz="4" w:space="0" w:color="auto"/>
            </w:tcBorders>
            <w:shd w:val="clear" w:color="000000" w:fill="FFFFFF"/>
            <w:noWrap/>
            <w:vAlign w:val="center"/>
            <w:hideMark/>
          </w:tcPr>
          <w:p w14:paraId="7E7B06C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2988 </w:t>
            </w:r>
          </w:p>
        </w:tc>
        <w:tc>
          <w:tcPr>
            <w:tcW w:w="247" w:type="pct"/>
            <w:tcBorders>
              <w:top w:val="nil"/>
              <w:left w:val="nil"/>
              <w:bottom w:val="single" w:sz="4" w:space="0" w:color="auto"/>
              <w:right w:val="single" w:sz="4" w:space="0" w:color="auto"/>
            </w:tcBorders>
            <w:shd w:val="clear" w:color="000000" w:fill="FFFFFF"/>
            <w:noWrap/>
            <w:vAlign w:val="center"/>
            <w:hideMark/>
          </w:tcPr>
          <w:p w14:paraId="50C1105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1993 </w:t>
            </w:r>
          </w:p>
        </w:tc>
        <w:tc>
          <w:tcPr>
            <w:tcW w:w="247" w:type="pct"/>
            <w:tcBorders>
              <w:top w:val="nil"/>
              <w:left w:val="nil"/>
              <w:bottom w:val="single" w:sz="4" w:space="0" w:color="auto"/>
              <w:right w:val="single" w:sz="4" w:space="0" w:color="auto"/>
            </w:tcBorders>
            <w:shd w:val="clear" w:color="000000" w:fill="FFFFFF"/>
            <w:noWrap/>
            <w:vAlign w:val="center"/>
            <w:hideMark/>
          </w:tcPr>
          <w:p w14:paraId="199C84B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1993 </w:t>
            </w:r>
          </w:p>
        </w:tc>
        <w:tc>
          <w:tcPr>
            <w:tcW w:w="247" w:type="pct"/>
            <w:tcBorders>
              <w:top w:val="nil"/>
              <w:left w:val="nil"/>
              <w:bottom w:val="single" w:sz="4" w:space="0" w:color="auto"/>
              <w:right w:val="single" w:sz="4" w:space="0" w:color="auto"/>
            </w:tcBorders>
            <w:shd w:val="clear" w:color="000000" w:fill="FFFFFF"/>
            <w:noWrap/>
            <w:vAlign w:val="center"/>
            <w:hideMark/>
          </w:tcPr>
          <w:p w14:paraId="249B3EC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995 </w:t>
            </w:r>
          </w:p>
        </w:tc>
        <w:tc>
          <w:tcPr>
            <w:tcW w:w="247" w:type="pct"/>
            <w:tcBorders>
              <w:top w:val="nil"/>
              <w:left w:val="nil"/>
              <w:bottom w:val="single" w:sz="4" w:space="0" w:color="auto"/>
              <w:right w:val="single" w:sz="4" w:space="0" w:color="auto"/>
            </w:tcBorders>
            <w:shd w:val="clear" w:color="000000" w:fill="FFFFFF"/>
            <w:noWrap/>
            <w:vAlign w:val="center"/>
            <w:hideMark/>
          </w:tcPr>
          <w:p w14:paraId="72C47F9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995 </w:t>
            </w:r>
          </w:p>
        </w:tc>
        <w:tc>
          <w:tcPr>
            <w:tcW w:w="247" w:type="pct"/>
            <w:tcBorders>
              <w:top w:val="nil"/>
              <w:left w:val="nil"/>
              <w:bottom w:val="single" w:sz="4" w:space="0" w:color="auto"/>
              <w:right w:val="single" w:sz="4" w:space="0" w:color="auto"/>
            </w:tcBorders>
            <w:shd w:val="clear" w:color="000000" w:fill="FFFFFF"/>
            <w:noWrap/>
            <w:vAlign w:val="center"/>
            <w:hideMark/>
          </w:tcPr>
          <w:p w14:paraId="77604E4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44A8B68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176EB80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0D95ADD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337" w:type="pct"/>
            <w:tcBorders>
              <w:top w:val="nil"/>
              <w:left w:val="nil"/>
              <w:bottom w:val="single" w:sz="4" w:space="0" w:color="auto"/>
              <w:right w:val="single" w:sz="4" w:space="0" w:color="auto"/>
            </w:tcBorders>
            <w:shd w:val="clear" w:color="000000" w:fill="FFFFFF"/>
            <w:noWrap/>
            <w:vAlign w:val="center"/>
            <w:hideMark/>
          </w:tcPr>
          <w:p w14:paraId="423BFDA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19918 </w:t>
            </w:r>
          </w:p>
        </w:tc>
      </w:tr>
      <w:tr w:rsidR="007B4794" w:rsidRPr="007B4794" w14:paraId="23DEC0CF"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0672120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lastRenderedPageBreak/>
              <w:t>1.6.1</w:t>
            </w:r>
          </w:p>
        </w:tc>
        <w:tc>
          <w:tcPr>
            <w:tcW w:w="451" w:type="pct"/>
            <w:tcBorders>
              <w:top w:val="nil"/>
              <w:left w:val="nil"/>
              <w:bottom w:val="single" w:sz="4" w:space="0" w:color="auto"/>
              <w:right w:val="single" w:sz="4" w:space="0" w:color="auto"/>
            </w:tcBorders>
            <w:shd w:val="clear" w:color="000000" w:fill="FFFFFF"/>
            <w:vAlign w:val="center"/>
            <w:hideMark/>
          </w:tcPr>
          <w:p w14:paraId="612B69A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销售面积</w:t>
            </w:r>
          </w:p>
        </w:tc>
        <w:tc>
          <w:tcPr>
            <w:tcW w:w="261" w:type="pct"/>
            <w:tcBorders>
              <w:top w:val="nil"/>
              <w:left w:val="nil"/>
              <w:bottom w:val="single" w:sz="4" w:space="0" w:color="auto"/>
              <w:right w:val="single" w:sz="4" w:space="0" w:color="auto"/>
            </w:tcBorders>
            <w:shd w:val="clear" w:color="000000" w:fill="FFFFFF"/>
            <w:noWrap/>
            <w:vAlign w:val="center"/>
            <w:hideMark/>
          </w:tcPr>
          <w:p w14:paraId="5981A30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5D574E0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795A501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61" w:type="pct"/>
            <w:tcBorders>
              <w:top w:val="nil"/>
              <w:left w:val="nil"/>
              <w:bottom w:val="single" w:sz="4" w:space="0" w:color="auto"/>
              <w:right w:val="single" w:sz="4" w:space="0" w:color="auto"/>
            </w:tcBorders>
            <w:shd w:val="clear" w:color="000000" w:fill="FFFFFF"/>
            <w:noWrap/>
            <w:vAlign w:val="center"/>
            <w:hideMark/>
          </w:tcPr>
          <w:p w14:paraId="18C0715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29C97D7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1991 </w:t>
            </w:r>
          </w:p>
        </w:tc>
        <w:tc>
          <w:tcPr>
            <w:tcW w:w="247" w:type="pct"/>
            <w:tcBorders>
              <w:top w:val="nil"/>
              <w:left w:val="nil"/>
              <w:bottom w:val="single" w:sz="4" w:space="0" w:color="auto"/>
              <w:right w:val="single" w:sz="4" w:space="0" w:color="auto"/>
            </w:tcBorders>
            <w:shd w:val="clear" w:color="000000" w:fill="FFFFFF"/>
            <w:noWrap/>
            <w:vAlign w:val="center"/>
            <w:hideMark/>
          </w:tcPr>
          <w:p w14:paraId="31DEE3B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1195 </w:t>
            </w:r>
          </w:p>
        </w:tc>
        <w:tc>
          <w:tcPr>
            <w:tcW w:w="247" w:type="pct"/>
            <w:tcBorders>
              <w:top w:val="nil"/>
              <w:left w:val="nil"/>
              <w:bottom w:val="single" w:sz="4" w:space="0" w:color="auto"/>
              <w:right w:val="single" w:sz="4" w:space="0" w:color="auto"/>
            </w:tcBorders>
            <w:shd w:val="clear" w:color="000000" w:fill="FFFFFF"/>
            <w:noWrap/>
            <w:vAlign w:val="center"/>
            <w:hideMark/>
          </w:tcPr>
          <w:p w14:paraId="4ED1F69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1195 </w:t>
            </w:r>
          </w:p>
        </w:tc>
        <w:tc>
          <w:tcPr>
            <w:tcW w:w="247" w:type="pct"/>
            <w:tcBorders>
              <w:top w:val="nil"/>
              <w:left w:val="nil"/>
              <w:bottom w:val="single" w:sz="4" w:space="0" w:color="auto"/>
              <w:right w:val="single" w:sz="4" w:space="0" w:color="auto"/>
            </w:tcBorders>
            <w:shd w:val="clear" w:color="000000" w:fill="FFFFFF"/>
            <w:noWrap/>
            <w:vAlign w:val="center"/>
            <w:hideMark/>
          </w:tcPr>
          <w:p w14:paraId="67EE9B6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1195 </w:t>
            </w:r>
          </w:p>
        </w:tc>
        <w:tc>
          <w:tcPr>
            <w:tcW w:w="247" w:type="pct"/>
            <w:tcBorders>
              <w:top w:val="nil"/>
              <w:left w:val="nil"/>
              <w:bottom w:val="single" w:sz="4" w:space="0" w:color="auto"/>
              <w:right w:val="single" w:sz="4" w:space="0" w:color="auto"/>
            </w:tcBorders>
            <w:shd w:val="clear" w:color="000000" w:fill="FFFFFF"/>
            <w:noWrap/>
            <w:vAlign w:val="center"/>
            <w:hideMark/>
          </w:tcPr>
          <w:p w14:paraId="47CDC63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797 </w:t>
            </w:r>
          </w:p>
        </w:tc>
        <w:tc>
          <w:tcPr>
            <w:tcW w:w="247" w:type="pct"/>
            <w:tcBorders>
              <w:top w:val="nil"/>
              <w:left w:val="nil"/>
              <w:bottom w:val="single" w:sz="4" w:space="0" w:color="auto"/>
              <w:right w:val="single" w:sz="4" w:space="0" w:color="auto"/>
            </w:tcBorders>
            <w:shd w:val="clear" w:color="000000" w:fill="FFFFFF"/>
            <w:noWrap/>
            <w:vAlign w:val="center"/>
            <w:hideMark/>
          </w:tcPr>
          <w:p w14:paraId="3C3A247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797 </w:t>
            </w:r>
          </w:p>
        </w:tc>
        <w:tc>
          <w:tcPr>
            <w:tcW w:w="247" w:type="pct"/>
            <w:tcBorders>
              <w:top w:val="nil"/>
              <w:left w:val="nil"/>
              <w:bottom w:val="single" w:sz="4" w:space="0" w:color="auto"/>
              <w:right w:val="single" w:sz="4" w:space="0" w:color="auto"/>
            </w:tcBorders>
            <w:shd w:val="clear" w:color="000000" w:fill="FFFFFF"/>
            <w:noWrap/>
            <w:vAlign w:val="center"/>
            <w:hideMark/>
          </w:tcPr>
          <w:p w14:paraId="1D95C61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398 </w:t>
            </w:r>
          </w:p>
        </w:tc>
        <w:tc>
          <w:tcPr>
            <w:tcW w:w="247" w:type="pct"/>
            <w:tcBorders>
              <w:top w:val="nil"/>
              <w:left w:val="nil"/>
              <w:bottom w:val="single" w:sz="4" w:space="0" w:color="auto"/>
              <w:right w:val="single" w:sz="4" w:space="0" w:color="auto"/>
            </w:tcBorders>
            <w:shd w:val="clear" w:color="000000" w:fill="FFFFFF"/>
            <w:noWrap/>
            <w:vAlign w:val="center"/>
            <w:hideMark/>
          </w:tcPr>
          <w:p w14:paraId="15DC560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398 </w:t>
            </w:r>
          </w:p>
        </w:tc>
        <w:tc>
          <w:tcPr>
            <w:tcW w:w="247" w:type="pct"/>
            <w:tcBorders>
              <w:top w:val="nil"/>
              <w:left w:val="nil"/>
              <w:bottom w:val="single" w:sz="4" w:space="0" w:color="auto"/>
              <w:right w:val="single" w:sz="4" w:space="0" w:color="auto"/>
            </w:tcBorders>
            <w:shd w:val="clear" w:color="000000" w:fill="FFFFFF"/>
            <w:noWrap/>
            <w:vAlign w:val="center"/>
            <w:hideMark/>
          </w:tcPr>
          <w:p w14:paraId="40DD8BA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0E42A31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2D76752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347938E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0 </w:t>
            </w:r>
          </w:p>
        </w:tc>
        <w:tc>
          <w:tcPr>
            <w:tcW w:w="337" w:type="pct"/>
            <w:tcBorders>
              <w:top w:val="nil"/>
              <w:left w:val="nil"/>
              <w:bottom w:val="single" w:sz="4" w:space="0" w:color="auto"/>
              <w:right w:val="single" w:sz="4" w:space="0" w:color="auto"/>
            </w:tcBorders>
            <w:shd w:val="clear" w:color="000000" w:fill="FFFFFF"/>
            <w:noWrap/>
            <w:vAlign w:val="center"/>
            <w:hideMark/>
          </w:tcPr>
          <w:p w14:paraId="2989BB2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7966 </w:t>
            </w:r>
          </w:p>
        </w:tc>
      </w:tr>
      <w:tr w:rsidR="007B4794" w:rsidRPr="007B4794" w14:paraId="2C174A10"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33978AA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1.6.2</w:t>
            </w:r>
          </w:p>
        </w:tc>
        <w:tc>
          <w:tcPr>
            <w:tcW w:w="451" w:type="pct"/>
            <w:tcBorders>
              <w:top w:val="nil"/>
              <w:left w:val="nil"/>
              <w:bottom w:val="single" w:sz="4" w:space="0" w:color="auto"/>
              <w:right w:val="single" w:sz="4" w:space="0" w:color="auto"/>
            </w:tcBorders>
            <w:shd w:val="clear" w:color="000000" w:fill="FFFFFF"/>
            <w:vAlign w:val="center"/>
            <w:hideMark/>
          </w:tcPr>
          <w:p w14:paraId="57AF377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销售均价</w:t>
            </w:r>
          </w:p>
        </w:tc>
        <w:tc>
          <w:tcPr>
            <w:tcW w:w="261" w:type="pct"/>
            <w:tcBorders>
              <w:top w:val="nil"/>
              <w:left w:val="nil"/>
              <w:bottom w:val="single" w:sz="4" w:space="0" w:color="auto"/>
              <w:right w:val="single" w:sz="4" w:space="0" w:color="auto"/>
            </w:tcBorders>
            <w:shd w:val="clear" w:color="000000" w:fill="FFFFFF"/>
            <w:noWrap/>
            <w:vAlign w:val="center"/>
            <w:hideMark/>
          </w:tcPr>
          <w:p w14:paraId="77F04B7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25000 </w:t>
            </w:r>
          </w:p>
        </w:tc>
        <w:tc>
          <w:tcPr>
            <w:tcW w:w="261" w:type="pct"/>
            <w:tcBorders>
              <w:top w:val="nil"/>
              <w:left w:val="nil"/>
              <w:bottom w:val="single" w:sz="4" w:space="0" w:color="auto"/>
              <w:right w:val="single" w:sz="4" w:space="0" w:color="auto"/>
            </w:tcBorders>
            <w:shd w:val="clear" w:color="000000" w:fill="FFFFFF"/>
            <w:noWrap/>
            <w:vAlign w:val="center"/>
            <w:hideMark/>
          </w:tcPr>
          <w:p w14:paraId="588BEFA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25000 </w:t>
            </w:r>
          </w:p>
        </w:tc>
        <w:tc>
          <w:tcPr>
            <w:tcW w:w="261" w:type="pct"/>
            <w:tcBorders>
              <w:top w:val="nil"/>
              <w:left w:val="nil"/>
              <w:bottom w:val="single" w:sz="4" w:space="0" w:color="auto"/>
              <w:right w:val="single" w:sz="4" w:space="0" w:color="auto"/>
            </w:tcBorders>
            <w:shd w:val="clear" w:color="000000" w:fill="FFFFFF"/>
            <w:noWrap/>
            <w:vAlign w:val="center"/>
            <w:hideMark/>
          </w:tcPr>
          <w:p w14:paraId="0B75578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25000 </w:t>
            </w:r>
          </w:p>
        </w:tc>
        <w:tc>
          <w:tcPr>
            <w:tcW w:w="261" w:type="pct"/>
            <w:tcBorders>
              <w:top w:val="nil"/>
              <w:left w:val="nil"/>
              <w:bottom w:val="single" w:sz="4" w:space="0" w:color="auto"/>
              <w:right w:val="single" w:sz="4" w:space="0" w:color="auto"/>
            </w:tcBorders>
            <w:shd w:val="clear" w:color="000000" w:fill="FFFFFF"/>
            <w:noWrap/>
            <w:vAlign w:val="center"/>
            <w:hideMark/>
          </w:tcPr>
          <w:p w14:paraId="2FAA72B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25000 </w:t>
            </w:r>
          </w:p>
        </w:tc>
        <w:tc>
          <w:tcPr>
            <w:tcW w:w="247" w:type="pct"/>
            <w:tcBorders>
              <w:top w:val="nil"/>
              <w:left w:val="nil"/>
              <w:bottom w:val="single" w:sz="4" w:space="0" w:color="auto"/>
              <w:right w:val="single" w:sz="4" w:space="0" w:color="auto"/>
            </w:tcBorders>
            <w:shd w:val="clear" w:color="000000" w:fill="FFFFFF"/>
            <w:noWrap/>
            <w:vAlign w:val="center"/>
            <w:hideMark/>
          </w:tcPr>
          <w:p w14:paraId="38FF863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25000 </w:t>
            </w:r>
          </w:p>
        </w:tc>
        <w:tc>
          <w:tcPr>
            <w:tcW w:w="247" w:type="pct"/>
            <w:tcBorders>
              <w:top w:val="nil"/>
              <w:left w:val="nil"/>
              <w:bottom w:val="single" w:sz="4" w:space="0" w:color="auto"/>
              <w:right w:val="single" w:sz="4" w:space="0" w:color="auto"/>
            </w:tcBorders>
            <w:shd w:val="clear" w:color="000000" w:fill="FFFFFF"/>
            <w:noWrap/>
            <w:vAlign w:val="center"/>
            <w:hideMark/>
          </w:tcPr>
          <w:p w14:paraId="3DCC942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25000 </w:t>
            </w:r>
          </w:p>
        </w:tc>
        <w:tc>
          <w:tcPr>
            <w:tcW w:w="247" w:type="pct"/>
            <w:tcBorders>
              <w:top w:val="nil"/>
              <w:left w:val="nil"/>
              <w:bottom w:val="single" w:sz="4" w:space="0" w:color="auto"/>
              <w:right w:val="single" w:sz="4" w:space="0" w:color="auto"/>
            </w:tcBorders>
            <w:shd w:val="clear" w:color="000000" w:fill="FFFFFF"/>
            <w:noWrap/>
            <w:vAlign w:val="center"/>
            <w:hideMark/>
          </w:tcPr>
          <w:p w14:paraId="6C5C10B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25000 </w:t>
            </w:r>
          </w:p>
        </w:tc>
        <w:tc>
          <w:tcPr>
            <w:tcW w:w="247" w:type="pct"/>
            <w:tcBorders>
              <w:top w:val="nil"/>
              <w:left w:val="nil"/>
              <w:bottom w:val="single" w:sz="4" w:space="0" w:color="auto"/>
              <w:right w:val="single" w:sz="4" w:space="0" w:color="auto"/>
            </w:tcBorders>
            <w:shd w:val="clear" w:color="000000" w:fill="FFFFFF"/>
            <w:noWrap/>
            <w:vAlign w:val="center"/>
            <w:hideMark/>
          </w:tcPr>
          <w:p w14:paraId="22F9AB4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25000 </w:t>
            </w:r>
          </w:p>
        </w:tc>
        <w:tc>
          <w:tcPr>
            <w:tcW w:w="247" w:type="pct"/>
            <w:tcBorders>
              <w:top w:val="nil"/>
              <w:left w:val="nil"/>
              <w:bottom w:val="single" w:sz="4" w:space="0" w:color="auto"/>
              <w:right w:val="single" w:sz="4" w:space="0" w:color="auto"/>
            </w:tcBorders>
            <w:shd w:val="clear" w:color="000000" w:fill="FFFFFF"/>
            <w:noWrap/>
            <w:vAlign w:val="center"/>
            <w:hideMark/>
          </w:tcPr>
          <w:p w14:paraId="5F2B724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25000 </w:t>
            </w:r>
          </w:p>
        </w:tc>
        <w:tc>
          <w:tcPr>
            <w:tcW w:w="247" w:type="pct"/>
            <w:tcBorders>
              <w:top w:val="nil"/>
              <w:left w:val="nil"/>
              <w:bottom w:val="single" w:sz="4" w:space="0" w:color="auto"/>
              <w:right w:val="single" w:sz="4" w:space="0" w:color="auto"/>
            </w:tcBorders>
            <w:shd w:val="clear" w:color="000000" w:fill="FFFFFF"/>
            <w:noWrap/>
            <w:vAlign w:val="center"/>
            <w:hideMark/>
          </w:tcPr>
          <w:p w14:paraId="20CB878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25000 </w:t>
            </w:r>
          </w:p>
        </w:tc>
        <w:tc>
          <w:tcPr>
            <w:tcW w:w="247" w:type="pct"/>
            <w:tcBorders>
              <w:top w:val="nil"/>
              <w:left w:val="nil"/>
              <w:bottom w:val="single" w:sz="4" w:space="0" w:color="auto"/>
              <w:right w:val="single" w:sz="4" w:space="0" w:color="auto"/>
            </w:tcBorders>
            <w:shd w:val="clear" w:color="000000" w:fill="FFFFFF"/>
            <w:noWrap/>
            <w:vAlign w:val="center"/>
            <w:hideMark/>
          </w:tcPr>
          <w:p w14:paraId="3B1A097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25000 </w:t>
            </w:r>
          </w:p>
        </w:tc>
        <w:tc>
          <w:tcPr>
            <w:tcW w:w="247" w:type="pct"/>
            <w:tcBorders>
              <w:top w:val="nil"/>
              <w:left w:val="nil"/>
              <w:bottom w:val="single" w:sz="4" w:space="0" w:color="auto"/>
              <w:right w:val="single" w:sz="4" w:space="0" w:color="auto"/>
            </w:tcBorders>
            <w:shd w:val="clear" w:color="000000" w:fill="FFFFFF"/>
            <w:noWrap/>
            <w:vAlign w:val="center"/>
            <w:hideMark/>
          </w:tcPr>
          <w:p w14:paraId="70E9535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25000 </w:t>
            </w:r>
          </w:p>
        </w:tc>
        <w:tc>
          <w:tcPr>
            <w:tcW w:w="247" w:type="pct"/>
            <w:tcBorders>
              <w:top w:val="nil"/>
              <w:left w:val="nil"/>
              <w:bottom w:val="single" w:sz="4" w:space="0" w:color="auto"/>
              <w:right w:val="single" w:sz="4" w:space="0" w:color="auto"/>
            </w:tcBorders>
            <w:shd w:val="clear" w:color="000000" w:fill="FFFFFF"/>
            <w:noWrap/>
            <w:vAlign w:val="center"/>
            <w:hideMark/>
          </w:tcPr>
          <w:p w14:paraId="422F5D9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25000 </w:t>
            </w:r>
          </w:p>
        </w:tc>
        <w:tc>
          <w:tcPr>
            <w:tcW w:w="247" w:type="pct"/>
            <w:tcBorders>
              <w:top w:val="nil"/>
              <w:left w:val="nil"/>
              <w:bottom w:val="single" w:sz="4" w:space="0" w:color="auto"/>
              <w:right w:val="single" w:sz="4" w:space="0" w:color="auto"/>
            </w:tcBorders>
            <w:shd w:val="clear" w:color="000000" w:fill="FFFFFF"/>
            <w:noWrap/>
            <w:vAlign w:val="center"/>
            <w:hideMark/>
          </w:tcPr>
          <w:p w14:paraId="2E27399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25000 </w:t>
            </w:r>
          </w:p>
        </w:tc>
        <w:tc>
          <w:tcPr>
            <w:tcW w:w="247" w:type="pct"/>
            <w:tcBorders>
              <w:top w:val="nil"/>
              <w:left w:val="nil"/>
              <w:bottom w:val="single" w:sz="4" w:space="0" w:color="auto"/>
              <w:right w:val="single" w:sz="4" w:space="0" w:color="auto"/>
            </w:tcBorders>
            <w:shd w:val="clear" w:color="000000" w:fill="FFFFFF"/>
            <w:noWrap/>
            <w:vAlign w:val="center"/>
            <w:hideMark/>
          </w:tcPr>
          <w:p w14:paraId="31D9ECE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25000 </w:t>
            </w:r>
          </w:p>
        </w:tc>
        <w:tc>
          <w:tcPr>
            <w:tcW w:w="247" w:type="pct"/>
            <w:tcBorders>
              <w:top w:val="nil"/>
              <w:left w:val="nil"/>
              <w:bottom w:val="single" w:sz="4" w:space="0" w:color="auto"/>
              <w:right w:val="single" w:sz="4" w:space="0" w:color="auto"/>
            </w:tcBorders>
            <w:shd w:val="clear" w:color="000000" w:fill="FFFFFF"/>
            <w:noWrap/>
            <w:vAlign w:val="center"/>
            <w:hideMark/>
          </w:tcPr>
          <w:p w14:paraId="1061AAC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25000 </w:t>
            </w:r>
          </w:p>
        </w:tc>
        <w:tc>
          <w:tcPr>
            <w:tcW w:w="337" w:type="pct"/>
            <w:tcBorders>
              <w:top w:val="nil"/>
              <w:left w:val="nil"/>
              <w:bottom w:val="single" w:sz="4" w:space="0" w:color="auto"/>
              <w:right w:val="single" w:sz="4" w:space="0" w:color="auto"/>
            </w:tcBorders>
            <w:shd w:val="clear" w:color="000000" w:fill="FFFFFF"/>
            <w:noWrap/>
            <w:vAlign w:val="center"/>
            <w:hideMark/>
          </w:tcPr>
          <w:p w14:paraId="0DE1D78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r>
      <w:tr w:rsidR="007B4794" w:rsidRPr="007B4794" w14:paraId="3F4A48A5"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14811BB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1.6.3</w:t>
            </w:r>
          </w:p>
        </w:tc>
        <w:tc>
          <w:tcPr>
            <w:tcW w:w="451" w:type="pct"/>
            <w:tcBorders>
              <w:top w:val="nil"/>
              <w:left w:val="nil"/>
              <w:bottom w:val="single" w:sz="4" w:space="0" w:color="auto"/>
              <w:right w:val="single" w:sz="4" w:space="0" w:color="auto"/>
            </w:tcBorders>
            <w:shd w:val="clear" w:color="000000" w:fill="FFFFFF"/>
            <w:vAlign w:val="center"/>
            <w:hideMark/>
          </w:tcPr>
          <w:p w14:paraId="3811BF8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销售率</w:t>
            </w:r>
          </w:p>
        </w:tc>
        <w:tc>
          <w:tcPr>
            <w:tcW w:w="261" w:type="pct"/>
            <w:tcBorders>
              <w:top w:val="nil"/>
              <w:left w:val="nil"/>
              <w:bottom w:val="single" w:sz="4" w:space="0" w:color="auto"/>
              <w:right w:val="single" w:sz="4" w:space="0" w:color="auto"/>
            </w:tcBorders>
            <w:shd w:val="clear" w:color="000000" w:fill="FFFFFF"/>
            <w:noWrap/>
            <w:vAlign w:val="center"/>
            <w:hideMark/>
          </w:tcPr>
          <w:p w14:paraId="1BEE96A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2B159BD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770882E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1C921B0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2C22B56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25%</w:t>
            </w:r>
          </w:p>
        </w:tc>
        <w:tc>
          <w:tcPr>
            <w:tcW w:w="247" w:type="pct"/>
            <w:tcBorders>
              <w:top w:val="nil"/>
              <w:left w:val="nil"/>
              <w:bottom w:val="single" w:sz="4" w:space="0" w:color="auto"/>
              <w:right w:val="single" w:sz="4" w:space="0" w:color="auto"/>
            </w:tcBorders>
            <w:shd w:val="clear" w:color="000000" w:fill="FFFFFF"/>
            <w:noWrap/>
            <w:vAlign w:val="center"/>
            <w:hideMark/>
          </w:tcPr>
          <w:p w14:paraId="4A96FC0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15%</w:t>
            </w:r>
          </w:p>
        </w:tc>
        <w:tc>
          <w:tcPr>
            <w:tcW w:w="247" w:type="pct"/>
            <w:tcBorders>
              <w:top w:val="nil"/>
              <w:left w:val="nil"/>
              <w:bottom w:val="single" w:sz="4" w:space="0" w:color="auto"/>
              <w:right w:val="single" w:sz="4" w:space="0" w:color="auto"/>
            </w:tcBorders>
            <w:shd w:val="clear" w:color="000000" w:fill="FFFFFF"/>
            <w:noWrap/>
            <w:vAlign w:val="center"/>
            <w:hideMark/>
          </w:tcPr>
          <w:p w14:paraId="1D50565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15%</w:t>
            </w:r>
          </w:p>
        </w:tc>
        <w:tc>
          <w:tcPr>
            <w:tcW w:w="247" w:type="pct"/>
            <w:tcBorders>
              <w:top w:val="nil"/>
              <w:left w:val="nil"/>
              <w:bottom w:val="single" w:sz="4" w:space="0" w:color="auto"/>
              <w:right w:val="single" w:sz="4" w:space="0" w:color="auto"/>
            </w:tcBorders>
            <w:shd w:val="clear" w:color="000000" w:fill="FFFFFF"/>
            <w:noWrap/>
            <w:vAlign w:val="center"/>
            <w:hideMark/>
          </w:tcPr>
          <w:p w14:paraId="2E0C21D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15%</w:t>
            </w:r>
          </w:p>
        </w:tc>
        <w:tc>
          <w:tcPr>
            <w:tcW w:w="247" w:type="pct"/>
            <w:tcBorders>
              <w:top w:val="nil"/>
              <w:left w:val="nil"/>
              <w:bottom w:val="single" w:sz="4" w:space="0" w:color="auto"/>
              <w:right w:val="single" w:sz="4" w:space="0" w:color="auto"/>
            </w:tcBorders>
            <w:shd w:val="clear" w:color="000000" w:fill="FFFFFF"/>
            <w:noWrap/>
            <w:vAlign w:val="center"/>
            <w:hideMark/>
          </w:tcPr>
          <w:p w14:paraId="227BFD3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09AE105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w:t>
            </w:r>
          </w:p>
        </w:tc>
        <w:tc>
          <w:tcPr>
            <w:tcW w:w="247" w:type="pct"/>
            <w:tcBorders>
              <w:top w:val="nil"/>
              <w:left w:val="nil"/>
              <w:bottom w:val="single" w:sz="4" w:space="0" w:color="auto"/>
              <w:right w:val="single" w:sz="4" w:space="0" w:color="auto"/>
            </w:tcBorders>
            <w:shd w:val="clear" w:color="000000" w:fill="FFFFFF"/>
            <w:noWrap/>
            <w:vAlign w:val="center"/>
            <w:hideMark/>
          </w:tcPr>
          <w:p w14:paraId="75B54F3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5%</w:t>
            </w:r>
          </w:p>
        </w:tc>
        <w:tc>
          <w:tcPr>
            <w:tcW w:w="247" w:type="pct"/>
            <w:tcBorders>
              <w:top w:val="nil"/>
              <w:left w:val="nil"/>
              <w:bottom w:val="single" w:sz="4" w:space="0" w:color="auto"/>
              <w:right w:val="single" w:sz="4" w:space="0" w:color="auto"/>
            </w:tcBorders>
            <w:shd w:val="clear" w:color="000000" w:fill="FFFFFF"/>
            <w:noWrap/>
            <w:vAlign w:val="center"/>
            <w:hideMark/>
          </w:tcPr>
          <w:p w14:paraId="47ABDB2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5%</w:t>
            </w:r>
          </w:p>
        </w:tc>
        <w:tc>
          <w:tcPr>
            <w:tcW w:w="247" w:type="pct"/>
            <w:tcBorders>
              <w:top w:val="nil"/>
              <w:left w:val="nil"/>
              <w:bottom w:val="single" w:sz="4" w:space="0" w:color="auto"/>
              <w:right w:val="single" w:sz="4" w:space="0" w:color="auto"/>
            </w:tcBorders>
            <w:shd w:val="clear" w:color="000000" w:fill="FFFFFF"/>
            <w:noWrap/>
            <w:vAlign w:val="center"/>
            <w:hideMark/>
          </w:tcPr>
          <w:p w14:paraId="270229A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19059D8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0779090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495D1CB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337" w:type="pct"/>
            <w:tcBorders>
              <w:top w:val="nil"/>
              <w:left w:val="nil"/>
              <w:bottom w:val="single" w:sz="4" w:space="0" w:color="auto"/>
              <w:right w:val="single" w:sz="4" w:space="0" w:color="auto"/>
            </w:tcBorders>
            <w:shd w:val="clear" w:color="000000" w:fill="FFFFFF"/>
            <w:noWrap/>
            <w:vAlign w:val="center"/>
            <w:hideMark/>
          </w:tcPr>
          <w:p w14:paraId="1423DFB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100%</w:t>
            </w:r>
          </w:p>
        </w:tc>
      </w:tr>
      <w:tr w:rsidR="007B4794" w:rsidRPr="007B4794" w14:paraId="173B1A8C"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1FD1C1A1"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2</w:t>
            </w:r>
          </w:p>
        </w:tc>
        <w:tc>
          <w:tcPr>
            <w:tcW w:w="451" w:type="pct"/>
            <w:tcBorders>
              <w:top w:val="nil"/>
              <w:left w:val="nil"/>
              <w:bottom w:val="single" w:sz="4" w:space="0" w:color="auto"/>
              <w:right w:val="single" w:sz="4" w:space="0" w:color="auto"/>
            </w:tcBorders>
            <w:shd w:val="clear" w:color="000000" w:fill="FFFFFF"/>
            <w:noWrap/>
            <w:vAlign w:val="center"/>
            <w:hideMark/>
          </w:tcPr>
          <w:p w14:paraId="4CFDEF3D"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销售回款</w:t>
            </w:r>
          </w:p>
        </w:tc>
        <w:tc>
          <w:tcPr>
            <w:tcW w:w="261" w:type="pct"/>
            <w:tcBorders>
              <w:top w:val="nil"/>
              <w:left w:val="nil"/>
              <w:bottom w:val="single" w:sz="4" w:space="0" w:color="auto"/>
              <w:right w:val="single" w:sz="4" w:space="0" w:color="auto"/>
            </w:tcBorders>
            <w:shd w:val="clear" w:color="000000" w:fill="FFFFFF"/>
            <w:noWrap/>
            <w:vAlign w:val="center"/>
            <w:hideMark/>
          </w:tcPr>
          <w:p w14:paraId="44CFE860"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0 </w:t>
            </w:r>
          </w:p>
        </w:tc>
        <w:tc>
          <w:tcPr>
            <w:tcW w:w="261" w:type="pct"/>
            <w:tcBorders>
              <w:top w:val="nil"/>
              <w:left w:val="nil"/>
              <w:bottom w:val="single" w:sz="4" w:space="0" w:color="auto"/>
              <w:right w:val="single" w:sz="4" w:space="0" w:color="auto"/>
            </w:tcBorders>
            <w:shd w:val="clear" w:color="000000" w:fill="FFFFFF"/>
            <w:noWrap/>
            <w:vAlign w:val="center"/>
            <w:hideMark/>
          </w:tcPr>
          <w:p w14:paraId="77129652"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6707 </w:t>
            </w:r>
          </w:p>
        </w:tc>
        <w:tc>
          <w:tcPr>
            <w:tcW w:w="261" w:type="pct"/>
            <w:tcBorders>
              <w:top w:val="nil"/>
              <w:left w:val="nil"/>
              <w:bottom w:val="single" w:sz="4" w:space="0" w:color="auto"/>
              <w:right w:val="single" w:sz="4" w:space="0" w:color="auto"/>
            </w:tcBorders>
            <w:shd w:val="clear" w:color="000000" w:fill="FFFFFF"/>
            <w:noWrap/>
            <w:vAlign w:val="center"/>
            <w:hideMark/>
          </w:tcPr>
          <w:p w14:paraId="1F1DB3C3"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17348 </w:t>
            </w:r>
          </w:p>
        </w:tc>
        <w:tc>
          <w:tcPr>
            <w:tcW w:w="261" w:type="pct"/>
            <w:tcBorders>
              <w:top w:val="nil"/>
              <w:left w:val="nil"/>
              <w:bottom w:val="single" w:sz="4" w:space="0" w:color="auto"/>
              <w:right w:val="single" w:sz="4" w:space="0" w:color="auto"/>
            </w:tcBorders>
            <w:shd w:val="clear" w:color="000000" w:fill="FFFFFF"/>
            <w:noWrap/>
            <w:vAlign w:val="center"/>
            <w:hideMark/>
          </w:tcPr>
          <w:p w14:paraId="51860FF0"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19544 </w:t>
            </w:r>
          </w:p>
        </w:tc>
        <w:tc>
          <w:tcPr>
            <w:tcW w:w="247" w:type="pct"/>
            <w:tcBorders>
              <w:top w:val="nil"/>
              <w:left w:val="nil"/>
              <w:bottom w:val="single" w:sz="4" w:space="0" w:color="auto"/>
              <w:right w:val="single" w:sz="4" w:space="0" w:color="auto"/>
            </w:tcBorders>
            <w:shd w:val="clear" w:color="000000" w:fill="FFFFFF"/>
            <w:noWrap/>
            <w:vAlign w:val="center"/>
            <w:hideMark/>
          </w:tcPr>
          <w:p w14:paraId="1F1E4AB3"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19504 </w:t>
            </w:r>
          </w:p>
        </w:tc>
        <w:tc>
          <w:tcPr>
            <w:tcW w:w="247" w:type="pct"/>
            <w:tcBorders>
              <w:top w:val="nil"/>
              <w:left w:val="nil"/>
              <w:bottom w:val="single" w:sz="4" w:space="0" w:color="auto"/>
              <w:right w:val="single" w:sz="4" w:space="0" w:color="auto"/>
            </w:tcBorders>
            <w:shd w:val="clear" w:color="000000" w:fill="FFFFFF"/>
            <w:noWrap/>
            <w:vAlign w:val="center"/>
            <w:hideMark/>
          </w:tcPr>
          <w:p w14:paraId="682466B4"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21674 </w:t>
            </w:r>
          </w:p>
        </w:tc>
        <w:tc>
          <w:tcPr>
            <w:tcW w:w="247" w:type="pct"/>
            <w:tcBorders>
              <w:top w:val="nil"/>
              <w:left w:val="nil"/>
              <w:bottom w:val="single" w:sz="4" w:space="0" w:color="auto"/>
              <w:right w:val="single" w:sz="4" w:space="0" w:color="auto"/>
            </w:tcBorders>
            <w:shd w:val="clear" w:color="000000" w:fill="FFFFFF"/>
            <w:noWrap/>
            <w:vAlign w:val="center"/>
            <w:hideMark/>
          </w:tcPr>
          <w:p w14:paraId="5784F1A3"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23168 </w:t>
            </w:r>
          </w:p>
        </w:tc>
        <w:tc>
          <w:tcPr>
            <w:tcW w:w="247" w:type="pct"/>
            <w:tcBorders>
              <w:top w:val="nil"/>
              <w:left w:val="nil"/>
              <w:bottom w:val="single" w:sz="4" w:space="0" w:color="auto"/>
              <w:right w:val="single" w:sz="4" w:space="0" w:color="auto"/>
            </w:tcBorders>
            <w:shd w:val="clear" w:color="000000" w:fill="FFFFFF"/>
            <w:noWrap/>
            <w:vAlign w:val="center"/>
            <w:hideMark/>
          </w:tcPr>
          <w:p w14:paraId="2236E9C9"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22173 </w:t>
            </w:r>
          </w:p>
        </w:tc>
        <w:tc>
          <w:tcPr>
            <w:tcW w:w="247" w:type="pct"/>
            <w:tcBorders>
              <w:top w:val="nil"/>
              <w:left w:val="nil"/>
              <w:bottom w:val="single" w:sz="4" w:space="0" w:color="auto"/>
              <w:right w:val="single" w:sz="4" w:space="0" w:color="auto"/>
            </w:tcBorders>
            <w:shd w:val="clear" w:color="000000" w:fill="FFFFFF"/>
            <w:noWrap/>
            <w:vAlign w:val="center"/>
            <w:hideMark/>
          </w:tcPr>
          <w:p w14:paraId="2FB38941"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21949 </w:t>
            </w:r>
          </w:p>
        </w:tc>
        <w:tc>
          <w:tcPr>
            <w:tcW w:w="247" w:type="pct"/>
            <w:tcBorders>
              <w:top w:val="nil"/>
              <w:left w:val="nil"/>
              <w:bottom w:val="single" w:sz="4" w:space="0" w:color="auto"/>
              <w:right w:val="single" w:sz="4" w:space="0" w:color="auto"/>
            </w:tcBorders>
            <w:shd w:val="clear" w:color="000000" w:fill="FFFFFF"/>
            <w:noWrap/>
            <w:vAlign w:val="center"/>
            <w:hideMark/>
          </w:tcPr>
          <w:p w14:paraId="15A55629"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21382 </w:t>
            </w:r>
          </w:p>
        </w:tc>
        <w:tc>
          <w:tcPr>
            <w:tcW w:w="247" w:type="pct"/>
            <w:tcBorders>
              <w:top w:val="nil"/>
              <w:left w:val="nil"/>
              <w:bottom w:val="single" w:sz="4" w:space="0" w:color="auto"/>
              <w:right w:val="single" w:sz="4" w:space="0" w:color="auto"/>
            </w:tcBorders>
            <w:shd w:val="clear" w:color="000000" w:fill="FFFFFF"/>
            <w:noWrap/>
            <w:vAlign w:val="center"/>
            <w:hideMark/>
          </w:tcPr>
          <w:p w14:paraId="02E72AAE"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18488 </w:t>
            </w:r>
          </w:p>
        </w:tc>
        <w:tc>
          <w:tcPr>
            <w:tcW w:w="247" w:type="pct"/>
            <w:tcBorders>
              <w:top w:val="nil"/>
              <w:left w:val="nil"/>
              <w:bottom w:val="single" w:sz="4" w:space="0" w:color="auto"/>
              <w:right w:val="single" w:sz="4" w:space="0" w:color="auto"/>
            </w:tcBorders>
            <w:shd w:val="clear" w:color="000000" w:fill="FFFFFF"/>
            <w:noWrap/>
            <w:vAlign w:val="center"/>
            <w:hideMark/>
          </w:tcPr>
          <w:p w14:paraId="795D0922"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11224 </w:t>
            </w:r>
          </w:p>
        </w:tc>
        <w:tc>
          <w:tcPr>
            <w:tcW w:w="247" w:type="pct"/>
            <w:tcBorders>
              <w:top w:val="nil"/>
              <w:left w:val="nil"/>
              <w:bottom w:val="single" w:sz="4" w:space="0" w:color="auto"/>
              <w:right w:val="single" w:sz="4" w:space="0" w:color="auto"/>
            </w:tcBorders>
            <w:shd w:val="clear" w:color="000000" w:fill="FFFFFF"/>
            <w:noWrap/>
            <w:vAlign w:val="center"/>
            <w:hideMark/>
          </w:tcPr>
          <w:p w14:paraId="013458D7"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2892 </w:t>
            </w:r>
          </w:p>
        </w:tc>
        <w:tc>
          <w:tcPr>
            <w:tcW w:w="247" w:type="pct"/>
            <w:tcBorders>
              <w:top w:val="nil"/>
              <w:left w:val="nil"/>
              <w:bottom w:val="single" w:sz="4" w:space="0" w:color="auto"/>
              <w:right w:val="single" w:sz="4" w:space="0" w:color="auto"/>
            </w:tcBorders>
            <w:shd w:val="clear" w:color="000000" w:fill="FFFFFF"/>
            <w:noWrap/>
            <w:vAlign w:val="center"/>
            <w:hideMark/>
          </w:tcPr>
          <w:p w14:paraId="5040E155"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498 </w:t>
            </w:r>
          </w:p>
        </w:tc>
        <w:tc>
          <w:tcPr>
            <w:tcW w:w="247" w:type="pct"/>
            <w:tcBorders>
              <w:top w:val="nil"/>
              <w:left w:val="nil"/>
              <w:bottom w:val="single" w:sz="4" w:space="0" w:color="auto"/>
              <w:right w:val="single" w:sz="4" w:space="0" w:color="auto"/>
            </w:tcBorders>
            <w:shd w:val="clear" w:color="000000" w:fill="FFFFFF"/>
            <w:noWrap/>
            <w:vAlign w:val="center"/>
            <w:hideMark/>
          </w:tcPr>
          <w:p w14:paraId="641160AE"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09B6E09C"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0 </w:t>
            </w:r>
          </w:p>
        </w:tc>
        <w:tc>
          <w:tcPr>
            <w:tcW w:w="337" w:type="pct"/>
            <w:tcBorders>
              <w:top w:val="nil"/>
              <w:left w:val="nil"/>
              <w:bottom w:val="single" w:sz="4" w:space="0" w:color="auto"/>
              <w:right w:val="single" w:sz="4" w:space="0" w:color="auto"/>
            </w:tcBorders>
            <w:shd w:val="clear" w:color="000000" w:fill="FFFFFF"/>
            <w:noWrap/>
            <w:vAlign w:val="center"/>
            <w:hideMark/>
          </w:tcPr>
          <w:p w14:paraId="47D37BA4" w14:textId="77777777" w:rsidR="00627685" w:rsidRPr="007B4794" w:rsidRDefault="00627685">
            <w:pPr>
              <w:rPr>
                <w:rFonts w:ascii="Arial Unicode MS" w:eastAsia="Arial Unicode MS" w:hAnsi="Arial Unicode MS" w:cs="Arial Unicode MS"/>
                <w:b/>
                <w:bCs/>
                <w:color w:val="000000" w:themeColor="text1"/>
                <w:sz w:val="18"/>
                <w:szCs w:val="18"/>
              </w:rPr>
            </w:pPr>
            <w:r w:rsidRPr="007B4794">
              <w:rPr>
                <w:rFonts w:ascii="Arial Unicode MS" w:eastAsia="Arial Unicode MS" w:hAnsi="Arial Unicode MS" w:cs="Arial Unicode MS" w:hint="eastAsia"/>
                <w:b/>
                <w:bCs/>
                <w:color w:val="000000" w:themeColor="text1"/>
                <w:sz w:val="18"/>
                <w:szCs w:val="18"/>
              </w:rPr>
              <w:t xml:space="preserve">206551 </w:t>
            </w:r>
          </w:p>
        </w:tc>
      </w:tr>
      <w:tr w:rsidR="007B4794" w:rsidRPr="007B4794" w14:paraId="5A163694"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517629C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2.1</w:t>
            </w:r>
          </w:p>
        </w:tc>
        <w:tc>
          <w:tcPr>
            <w:tcW w:w="451" w:type="pct"/>
            <w:tcBorders>
              <w:top w:val="nil"/>
              <w:left w:val="nil"/>
              <w:bottom w:val="single" w:sz="4" w:space="0" w:color="auto"/>
              <w:right w:val="single" w:sz="4" w:space="0" w:color="auto"/>
            </w:tcBorders>
            <w:shd w:val="clear" w:color="000000" w:fill="FFFFFF"/>
            <w:noWrap/>
            <w:vAlign w:val="center"/>
            <w:hideMark/>
          </w:tcPr>
          <w:p w14:paraId="3D2D849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高层平层住宅</w:t>
            </w:r>
          </w:p>
        </w:tc>
        <w:tc>
          <w:tcPr>
            <w:tcW w:w="261" w:type="pct"/>
            <w:tcBorders>
              <w:top w:val="nil"/>
              <w:left w:val="nil"/>
              <w:bottom w:val="single" w:sz="4" w:space="0" w:color="auto"/>
              <w:right w:val="single" w:sz="4" w:space="0" w:color="auto"/>
            </w:tcBorders>
            <w:shd w:val="clear" w:color="000000" w:fill="FFFFFF"/>
            <w:noWrap/>
            <w:vAlign w:val="center"/>
            <w:hideMark/>
          </w:tcPr>
          <w:p w14:paraId="16458CA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0.0</w:t>
            </w:r>
          </w:p>
        </w:tc>
        <w:tc>
          <w:tcPr>
            <w:tcW w:w="261" w:type="pct"/>
            <w:tcBorders>
              <w:top w:val="nil"/>
              <w:left w:val="nil"/>
              <w:bottom w:val="single" w:sz="4" w:space="0" w:color="auto"/>
              <w:right w:val="single" w:sz="4" w:space="0" w:color="auto"/>
            </w:tcBorders>
            <w:shd w:val="clear" w:color="000000" w:fill="FFFFFF"/>
            <w:noWrap/>
            <w:vAlign w:val="center"/>
            <w:hideMark/>
          </w:tcPr>
          <w:p w14:paraId="053086D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3148.2</w:t>
            </w:r>
          </w:p>
        </w:tc>
        <w:tc>
          <w:tcPr>
            <w:tcW w:w="261" w:type="pct"/>
            <w:tcBorders>
              <w:top w:val="nil"/>
              <w:left w:val="nil"/>
              <w:bottom w:val="single" w:sz="4" w:space="0" w:color="auto"/>
              <w:right w:val="single" w:sz="4" w:space="0" w:color="auto"/>
            </w:tcBorders>
            <w:shd w:val="clear" w:color="000000" w:fill="FFFFFF"/>
            <w:noWrap/>
            <w:vAlign w:val="center"/>
            <w:hideMark/>
          </w:tcPr>
          <w:p w14:paraId="31B14F6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7720.5</w:t>
            </w:r>
          </w:p>
        </w:tc>
        <w:tc>
          <w:tcPr>
            <w:tcW w:w="261" w:type="pct"/>
            <w:tcBorders>
              <w:top w:val="nil"/>
              <w:left w:val="nil"/>
              <w:bottom w:val="single" w:sz="4" w:space="0" w:color="auto"/>
              <w:right w:val="single" w:sz="4" w:space="0" w:color="auto"/>
            </w:tcBorders>
            <w:shd w:val="clear" w:color="000000" w:fill="FFFFFF"/>
            <w:noWrap/>
            <w:vAlign w:val="center"/>
            <w:hideMark/>
          </w:tcPr>
          <w:p w14:paraId="7A3FFAD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8470.1</w:t>
            </w:r>
          </w:p>
        </w:tc>
        <w:tc>
          <w:tcPr>
            <w:tcW w:w="247" w:type="pct"/>
            <w:tcBorders>
              <w:top w:val="nil"/>
              <w:left w:val="nil"/>
              <w:bottom w:val="single" w:sz="4" w:space="0" w:color="auto"/>
              <w:right w:val="single" w:sz="4" w:space="0" w:color="auto"/>
            </w:tcBorders>
            <w:shd w:val="clear" w:color="000000" w:fill="FFFFFF"/>
            <w:noWrap/>
            <w:vAlign w:val="center"/>
            <w:hideMark/>
          </w:tcPr>
          <w:p w14:paraId="0386A41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7645.8</w:t>
            </w:r>
          </w:p>
        </w:tc>
        <w:tc>
          <w:tcPr>
            <w:tcW w:w="247" w:type="pct"/>
            <w:tcBorders>
              <w:top w:val="nil"/>
              <w:left w:val="nil"/>
              <w:bottom w:val="single" w:sz="4" w:space="0" w:color="auto"/>
              <w:right w:val="single" w:sz="4" w:space="0" w:color="auto"/>
            </w:tcBorders>
            <w:shd w:val="clear" w:color="000000" w:fill="FFFFFF"/>
            <w:noWrap/>
            <w:vAlign w:val="center"/>
            <w:hideMark/>
          </w:tcPr>
          <w:p w14:paraId="5F527AD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7496.0</w:t>
            </w:r>
          </w:p>
        </w:tc>
        <w:tc>
          <w:tcPr>
            <w:tcW w:w="247" w:type="pct"/>
            <w:tcBorders>
              <w:top w:val="nil"/>
              <w:left w:val="nil"/>
              <w:bottom w:val="single" w:sz="4" w:space="0" w:color="auto"/>
              <w:right w:val="single" w:sz="4" w:space="0" w:color="auto"/>
            </w:tcBorders>
            <w:shd w:val="clear" w:color="000000" w:fill="FFFFFF"/>
            <w:noWrap/>
            <w:vAlign w:val="center"/>
            <w:hideMark/>
          </w:tcPr>
          <w:p w14:paraId="7A3FA4E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7496.0</w:t>
            </w:r>
          </w:p>
        </w:tc>
        <w:tc>
          <w:tcPr>
            <w:tcW w:w="247" w:type="pct"/>
            <w:tcBorders>
              <w:top w:val="nil"/>
              <w:left w:val="nil"/>
              <w:bottom w:val="single" w:sz="4" w:space="0" w:color="auto"/>
              <w:right w:val="single" w:sz="4" w:space="0" w:color="auto"/>
            </w:tcBorders>
            <w:shd w:val="clear" w:color="000000" w:fill="FFFFFF"/>
            <w:noWrap/>
            <w:vAlign w:val="center"/>
            <w:hideMark/>
          </w:tcPr>
          <w:p w14:paraId="76A63C7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7496.0</w:t>
            </w:r>
          </w:p>
        </w:tc>
        <w:tc>
          <w:tcPr>
            <w:tcW w:w="247" w:type="pct"/>
            <w:tcBorders>
              <w:top w:val="nil"/>
              <w:left w:val="nil"/>
              <w:bottom w:val="single" w:sz="4" w:space="0" w:color="auto"/>
              <w:right w:val="single" w:sz="4" w:space="0" w:color="auto"/>
            </w:tcBorders>
            <w:shd w:val="clear" w:color="000000" w:fill="FFFFFF"/>
            <w:noWrap/>
            <w:vAlign w:val="center"/>
            <w:hideMark/>
          </w:tcPr>
          <w:p w14:paraId="626A4F2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7496.0</w:t>
            </w:r>
          </w:p>
        </w:tc>
        <w:tc>
          <w:tcPr>
            <w:tcW w:w="247" w:type="pct"/>
            <w:tcBorders>
              <w:top w:val="nil"/>
              <w:left w:val="nil"/>
              <w:bottom w:val="single" w:sz="4" w:space="0" w:color="auto"/>
              <w:right w:val="single" w:sz="4" w:space="0" w:color="auto"/>
            </w:tcBorders>
            <w:shd w:val="clear" w:color="000000" w:fill="FFFFFF"/>
            <w:noWrap/>
            <w:vAlign w:val="center"/>
            <w:hideMark/>
          </w:tcPr>
          <w:p w14:paraId="236BBF1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7496.0</w:t>
            </w:r>
          </w:p>
        </w:tc>
        <w:tc>
          <w:tcPr>
            <w:tcW w:w="247" w:type="pct"/>
            <w:tcBorders>
              <w:top w:val="nil"/>
              <w:left w:val="nil"/>
              <w:bottom w:val="single" w:sz="4" w:space="0" w:color="auto"/>
              <w:right w:val="single" w:sz="4" w:space="0" w:color="auto"/>
            </w:tcBorders>
            <w:shd w:val="clear" w:color="000000" w:fill="FFFFFF"/>
            <w:noWrap/>
            <w:vAlign w:val="center"/>
            <w:hideMark/>
          </w:tcPr>
          <w:p w14:paraId="778DF3F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6371.3</w:t>
            </w:r>
          </w:p>
        </w:tc>
        <w:tc>
          <w:tcPr>
            <w:tcW w:w="247" w:type="pct"/>
            <w:tcBorders>
              <w:top w:val="nil"/>
              <w:left w:val="nil"/>
              <w:bottom w:val="single" w:sz="4" w:space="0" w:color="auto"/>
              <w:right w:val="single" w:sz="4" w:space="0" w:color="auto"/>
            </w:tcBorders>
            <w:shd w:val="clear" w:color="000000" w:fill="FFFFFF"/>
            <w:noWrap/>
            <w:vAlign w:val="center"/>
            <w:hideMark/>
          </w:tcPr>
          <w:p w14:paraId="1BD4860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3372.7</w:t>
            </w:r>
          </w:p>
        </w:tc>
        <w:tc>
          <w:tcPr>
            <w:tcW w:w="247" w:type="pct"/>
            <w:tcBorders>
              <w:top w:val="nil"/>
              <w:left w:val="nil"/>
              <w:bottom w:val="single" w:sz="4" w:space="0" w:color="auto"/>
              <w:right w:val="single" w:sz="4" w:space="0" w:color="auto"/>
            </w:tcBorders>
            <w:shd w:val="clear" w:color="000000" w:fill="FFFFFF"/>
            <w:noWrap/>
            <w:vAlign w:val="center"/>
            <w:hideMark/>
          </w:tcPr>
          <w:p w14:paraId="4326587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749.4</w:t>
            </w:r>
          </w:p>
        </w:tc>
        <w:tc>
          <w:tcPr>
            <w:tcW w:w="247" w:type="pct"/>
            <w:tcBorders>
              <w:top w:val="nil"/>
              <w:left w:val="nil"/>
              <w:bottom w:val="single" w:sz="4" w:space="0" w:color="auto"/>
              <w:right w:val="single" w:sz="4" w:space="0" w:color="auto"/>
            </w:tcBorders>
            <w:shd w:val="clear" w:color="000000" w:fill="FFFFFF"/>
            <w:noWrap/>
            <w:vAlign w:val="center"/>
            <w:hideMark/>
          </w:tcPr>
          <w:p w14:paraId="311BACB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0.0</w:t>
            </w:r>
          </w:p>
        </w:tc>
        <w:tc>
          <w:tcPr>
            <w:tcW w:w="247" w:type="pct"/>
            <w:tcBorders>
              <w:top w:val="nil"/>
              <w:left w:val="nil"/>
              <w:bottom w:val="single" w:sz="4" w:space="0" w:color="auto"/>
              <w:right w:val="single" w:sz="4" w:space="0" w:color="auto"/>
            </w:tcBorders>
            <w:shd w:val="clear" w:color="000000" w:fill="FFFFFF"/>
            <w:noWrap/>
            <w:vAlign w:val="center"/>
            <w:hideMark/>
          </w:tcPr>
          <w:p w14:paraId="0DBE7F4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60260F4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337" w:type="pct"/>
            <w:tcBorders>
              <w:top w:val="nil"/>
              <w:left w:val="nil"/>
              <w:bottom w:val="single" w:sz="4" w:space="0" w:color="auto"/>
              <w:right w:val="single" w:sz="4" w:space="0" w:color="auto"/>
            </w:tcBorders>
            <w:shd w:val="clear" w:color="000000" w:fill="FFFFFF"/>
            <w:noWrap/>
            <w:vAlign w:val="center"/>
            <w:hideMark/>
          </w:tcPr>
          <w:p w14:paraId="2F25D98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74958 </w:t>
            </w:r>
          </w:p>
        </w:tc>
      </w:tr>
      <w:tr w:rsidR="007B4794" w:rsidRPr="007B4794" w14:paraId="36947549"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2138AA4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2.2</w:t>
            </w:r>
          </w:p>
        </w:tc>
        <w:tc>
          <w:tcPr>
            <w:tcW w:w="451" w:type="pct"/>
            <w:tcBorders>
              <w:top w:val="nil"/>
              <w:left w:val="nil"/>
              <w:bottom w:val="single" w:sz="4" w:space="0" w:color="auto"/>
              <w:right w:val="single" w:sz="4" w:space="0" w:color="auto"/>
            </w:tcBorders>
            <w:shd w:val="clear" w:color="000000" w:fill="FFFFFF"/>
            <w:noWrap/>
            <w:vAlign w:val="center"/>
            <w:hideMark/>
          </w:tcPr>
          <w:p w14:paraId="15E834F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高层复式住宅</w:t>
            </w:r>
          </w:p>
        </w:tc>
        <w:tc>
          <w:tcPr>
            <w:tcW w:w="261" w:type="pct"/>
            <w:tcBorders>
              <w:top w:val="nil"/>
              <w:left w:val="nil"/>
              <w:bottom w:val="single" w:sz="4" w:space="0" w:color="auto"/>
              <w:right w:val="single" w:sz="4" w:space="0" w:color="auto"/>
            </w:tcBorders>
            <w:shd w:val="clear" w:color="000000" w:fill="FFFFFF"/>
            <w:noWrap/>
            <w:vAlign w:val="center"/>
            <w:hideMark/>
          </w:tcPr>
          <w:p w14:paraId="0844A7C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0.0</w:t>
            </w:r>
          </w:p>
        </w:tc>
        <w:tc>
          <w:tcPr>
            <w:tcW w:w="261" w:type="pct"/>
            <w:tcBorders>
              <w:top w:val="nil"/>
              <w:left w:val="nil"/>
              <w:bottom w:val="single" w:sz="4" w:space="0" w:color="auto"/>
              <w:right w:val="single" w:sz="4" w:space="0" w:color="auto"/>
            </w:tcBorders>
            <w:shd w:val="clear" w:color="000000" w:fill="FFFFFF"/>
            <w:noWrap/>
            <w:vAlign w:val="center"/>
            <w:hideMark/>
          </w:tcPr>
          <w:p w14:paraId="4CE5FC3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3558.9</w:t>
            </w:r>
          </w:p>
        </w:tc>
        <w:tc>
          <w:tcPr>
            <w:tcW w:w="261" w:type="pct"/>
            <w:tcBorders>
              <w:top w:val="nil"/>
              <w:left w:val="nil"/>
              <w:bottom w:val="single" w:sz="4" w:space="0" w:color="auto"/>
              <w:right w:val="single" w:sz="4" w:space="0" w:color="auto"/>
            </w:tcBorders>
            <w:shd w:val="clear" w:color="000000" w:fill="FFFFFF"/>
            <w:noWrap/>
            <w:vAlign w:val="center"/>
            <w:hideMark/>
          </w:tcPr>
          <w:p w14:paraId="2E09081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8727.2</w:t>
            </w:r>
          </w:p>
        </w:tc>
        <w:tc>
          <w:tcPr>
            <w:tcW w:w="261" w:type="pct"/>
            <w:tcBorders>
              <w:top w:val="nil"/>
              <w:left w:val="nil"/>
              <w:bottom w:val="single" w:sz="4" w:space="0" w:color="auto"/>
              <w:right w:val="single" w:sz="4" w:space="0" w:color="auto"/>
            </w:tcBorders>
            <w:shd w:val="clear" w:color="000000" w:fill="FFFFFF"/>
            <w:noWrap/>
            <w:vAlign w:val="center"/>
            <w:hideMark/>
          </w:tcPr>
          <w:p w14:paraId="2B894DB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9574.0</w:t>
            </w:r>
          </w:p>
        </w:tc>
        <w:tc>
          <w:tcPr>
            <w:tcW w:w="247" w:type="pct"/>
            <w:tcBorders>
              <w:top w:val="nil"/>
              <w:left w:val="nil"/>
              <w:bottom w:val="single" w:sz="4" w:space="0" w:color="auto"/>
              <w:right w:val="single" w:sz="4" w:space="0" w:color="auto"/>
            </w:tcBorders>
            <w:shd w:val="clear" w:color="000000" w:fill="FFFFFF"/>
            <w:noWrap/>
            <w:vAlign w:val="center"/>
            <w:hideMark/>
          </w:tcPr>
          <w:p w14:paraId="4D76ADF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8642.2</w:t>
            </w:r>
          </w:p>
        </w:tc>
        <w:tc>
          <w:tcPr>
            <w:tcW w:w="247" w:type="pct"/>
            <w:tcBorders>
              <w:top w:val="nil"/>
              <w:left w:val="nil"/>
              <w:bottom w:val="single" w:sz="4" w:space="0" w:color="auto"/>
              <w:right w:val="single" w:sz="4" w:space="0" w:color="auto"/>
            </w:tcBorders>
            <w:shd w:val="clear" w:color="000000" w:fill="FFFFFF"/>
            <w:noWrap/>
            <w:vAlign w:val="center"/>
            <w:hideMark/>
          </w:tcPr>
          <w:p w14:paraId="5CFC795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8473.0</w:t>
            </w:r>
          </w:p>
        </w:tc>
        <w:tc>
          <w:tcPr>
            <w:tcW w:w="247" w:type="pct"/>
            <w:tcBorders>
              <w:top w:val="nil"/>
              <w:left w:val="nil"/>
              <w:bottom w:val="single" w:sz="4" w:space="0" w:color="auto"/>
              <w:right w:val="single" w:sz="4" w:space="0" w:color="auto"/>
            </w:tcBorders>
            <w:shd w:val="clear" w:color="000000" w:fill="FFFFFF"/>
            <w:noWrap/>
            <w:vAlign w:val="center"/>
            <w:hideMark/>
          </w:tcPr>
          <w:p w14:paraId="5CC85A5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8473.0</w:t>
            </w:r>
          </w:p>
        </w:tc>
        <w:tc>
          <w:tcPr>
            <w:tcW w:w="247" w:type="pct"/>
            <w:tcBorders>
              <w:top w:val="nil"/>
              <w:left w:val="nil"/>
              <w:bottom w:val="single" w:sz="4" w:space="0" w:color="auto"/>
              <w:right w:val="single" w:sz="4" w:space="0" w:color="auto"/>
            </w:tcBorders>
            <w:shd w:val="clear" w:color="000000" w:fill="FFFFFF"/>
            <w:noWrap/>
            <w:vAlign w:val="center"/>
            <w:hideMark/>
          </w:tcPr>
          <w:p w14:paraId="0D3FBED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8473.0</w:t>
            </w:r>
          </w:p>
        </w:tc>
        <w:tc>
          <w:tcPr>
            <w:tcW w:w="247" w:type="pct"/>
            <w:tcBorders>
              <w:top w:val="nil"/>
              <w:left w:val="nil"/>
              <w:bottom w:val="single" w:sz="4" w:space="0" w:color="auto"/>
              <w:right w:val="single" w:sz="4" w:space="0" w:color="auto"/>
            </w:tcBorders>
            <w:shd w:val="clear" w:color="000000" w:fill="FFFFFF"/>
            <w:noWrap/>
            <w:vAlign w:val="center"/>
            <w:hideMark/>
          </w:tcPr>
          <w:p w14:paraId="6188E6C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8473.0</w:t>
            </w:r>
          </w:p>
        </w:tc>
        <w:tc>
          <w:tcPr>
            <w:tcW w:w="247" w:type="pct"/>
            <w:tcBorders>
              <w:top w:val="nil"/>
              <w:left w:val="nil"/>
              <w:bottom w:val="single" w:sz="4" w:space="0" w:color="auto"/>
              <w:right w:val="single" w:sz="4" w:space="0" w:color="auto"/>
            </w:tcBorders>
            <w:shd w:val="clear" w:color="000000" w:fill="FFFFFF"/>
            <w:noWrap/>
            <w:vAlign w:val="center"/>
            <w:hideMark/>
          </w:tcPr>
          <w:p w14:paraId="5C0AC56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8473.0</w:t>
            </w:r>
          </w:p>
        </w:tc>
        <w:tc>
          <w:tcPr>
            <w:tcW w:w="247" w:type="pct"/>
            <w:tcBorders>
              <w:top w:val="nil"/>
              <w:left w:val="nil"/>
              <w:bottom w:val="single" w:sz="4" w:space="0" w:color="auto"/>
              <w:right w:val="single" w:sz="4" w:space="0" w:color="auto"/>
            </w:tcBorders>
            <w:shd w:val="clear" w:color="000000" w:fill="FFFFFF"/>
            <w:noWrap/>
            <w:vAlign w:val="center"/>
            <w:hideMark/>
          </w:tcPr>
          <w:p w14:paraId="2444AB9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7201.9</w:t>
            </w:r>
          </w:p>
        </w:tc>
        <w:tc>
          <w:tcPr>
            <w:tcW w:w="247" w:type="pct"/>
            <w:tcBorders>
              <w:top w:val="nil"/>
              <w:left w:val="nil"/>
              <w:bottom w:val="single" w:sz="4" w:space="0" w:color="auto"/>
              <w:right w:val="single" w:sz="4" w:space="0" w:color="auto"/>
            </w:tcBorders>
            <w:shd w:val="clear" w:color="000000" w:fill="FFFFFF"/>
            <w:noWrap/>
            <w:vAlign w:val="center"/>
            <w:hideMark/>
          </w:tcPr>
          <w:p w14:paraId="79783E4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3812.6</w:t>
            </w:r>
          </w:p>
        </w:tc>
        <w:tc>
          <w:tcPr>
            <w:tcW w:w="247" w:type="pct"/>
            <w:tcBorders>
              <w:top w:val="nil"/>
              <w:left w:val="nil"/>
              <w:bottom w:val="single" w:sz="4" w:space="0" w:color="auto"/>
              <w:right w:val="single" w:sz="4" w:space="0" w:color="auto"/>
            </w:tcBorders>
            <w:shd w:val="clear" w:color="000000" w:fill="FFFFFF"/>
            <w:noWrap/>
            <w:vAlign w:val="center"/>
            <w:hideMark/>
          </w:tcPr>
          <w:p w14:paraId="14FB573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847.2</w:t>
            </w:r>
          </w:p>
        </w:tc>
        <w:tc>
          <w:tcPr>
            <w:tcW w:w="247" w:type="pct"/>
            <w:tcBorders>
              <w:top w:val="nil"/>
              <w:left w:val="nil"/>
              <w:bottom w:val="single" w:sz="4" w:space="0" w:color="auto"/>
              <w:right w:val="single" w:sz="4" w:space="0" w:color="auto"/>
            </w:tcBorders>
            <w:shd w:val="clear" w:color="000000" w:fill="FFFFFF"/>
            <w:noWrap/>
            <w:vAlign w:val="center"/>
            <w:hideMark/>
          </w:tcPr>
          <w:p w14:paraId="094D657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0.0</w:t>
            </w:r>
          </w:p>
        </w:tc>
        <w:tc>
          <w:tcPr>
            <w:tcW w:w="247" w:type="pct"/>
            <w:tcBorders>
              <w:top w:val="nil"/>
              <w:left w:val="nil"/>
              <w:bottom w:val="single" w:sz="4" w:space="0" w:color="auto"/>
              <w:right w:val="single" w:sz="4" w:space="0" w:color="auto"/>
            </w:tcBorders>
            <w:shd w:val="clear" w:color="000000" w:fill="FFFFFF"/>
            <w:noWrap/>
            <w:vAlign w:val="center"/>
            <w:hideMark/>
          </w:tcPr>
          <w:p w14:paraId="793B796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79AE1E9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337" w:type="pct"/>
            <w:tcBorders>
              <w:top w:val="nil"/>
              <w:left w:val="nil"/>
              <w:bottom w:val="single" w:sz="4" w:space="0" w:color="auto"/>
              <w:right w:val="single" w:sz="4" w:space="0" w:color="auto"/>
            </w:tcBorders>
            <w:shd w:val="clear" w:color="000000" w:fill="FFFFFF"/>
            <w:noWrap/>
            <w:vAlign w:val="center"/>
            <w:hideMark/>
          </w:tcPr>
          <w:p w14:paraId="27D8788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84729 </w:t>
            </w:r>
          </w:p>
        </w:tc>
      </w:tr>
      <w:tr w:rsidR="007B4794" w:rsidRPr="007B4794" w14:paraId="6884E0DA"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78644BB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2.3</w:t>
            </w:r>
          </w:p>
        </w:tc>
        <w:tc>
          <w:tcPr>
            <w:tcW w:w="451" w:type="pct"/>
            <w:tcBorders>
              <w:top w:val="nil"/>
              <w:left w:val="nil"/>
              <w:bottom w:val="single" w:sz="4" w:space="0" w:color="auto"/>
              <w:right w:val="single" w:sz="4" w:space="0" w:color="auto"/>
            </w:tcBorders>
            <w:shd w:val="clear" w:color="000000" w:fill="FFFFFF"/>
            <w:noWrap/>
            <w:vAlign w:val="center"/>
            <w:hideMark/>
          </w:tcPr>
          <w:p w14:paraId="3ABA397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公寓</w:t>
            </w:r>
          </w:p>
        </w:tc>
        <w:tc>
          <w:tcPr>
            <w:tcW w:w="261" w:type="pct"/>
            <w:tcBorders>
              <w:top w:val="nil"/>
              <w:left w:val="nil"/>
              <w:bottom w:val="single" w:sz="4" w:space="0" w:color="auto"/>
              <w:right w:val="single" w:sz="4" w:space="0" w:color="auto"/>
            </w:tcBorders>
            <w:shd w:val="clear" w:color="000000" w:fill="FFFFFF"/>
            <w:noWrap/>
            <w:vAlign w:val="center"/>
            <w:hideMark/>
          </w:tcPr>
          <w:p w14:paraId="153AB5A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0857054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0.0</w:t>
            </w:r>
          </w:p>
        </w:tc>
        <w:tc>
          <w:tcPr>
            <w:tcW w:w="261" w:type="pct"/>
            <w:tcBorders>
              <w:top w:val="nil"/>
              <w:left w:val="nil"/>
              <w:bottom w:val="single" w:sz="4" w:space="0" w:color="auto"/>
              <w:right w:val="single" w:sz="4" w:space="0" w:color="auto"/>
            </w:tcBorders>
            <w:shd w:val="clear" w:color="000000" w:fill="FFFFFF"/>
            <w:noWrap/>
            <w:vAlign w:val="center"/>
            <w:hideMark/>
          </w:tcPr>
          <w:p w14:paraId="0D72778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900.0</w:t>
            </w:r>
          </w:p>
        </w:tc>
        <w:tc>
          <w:tcPr>
            <w:tcW w:w="261" w:type="pct"/>
            <w:tcBorders>
              <w:top w:val="nil"/>
              <w:left w:val="nil"/>
              <w:bottom w:val="single" w:sz="4" w:space="0" w:color="auto"/>
              <w:right w:val="single" w:sz="4" w:space="0" w:color="auto"/>
            </w:tcBorders>
            <w:shd w:val="clear" w:color="000000" w:fill="FFFFFF"/>
            <w:noWrap/>
            <w:vAlign w:val="center"/>
            <w:hideMark/>
          </w:tcPr>
          <w:p w14:paraId="7B60E7E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1500.0</w:t>
            </w:r>
          </w:p>
        </w:tc>
        <w:tc>
          <w:tcPr>
            <w:tcW w:w="247" w:type="pct"/>
            <w:tcBorders>
              <w:top w:val="nil"/>
              <w:left w:val="nil"/>
              <w:bottom w:val="single" w:sz="4" w:space="0" w:color="auto"/>
              <w:right w:val="single" w:sz="4" w:space="0" w:color="auto"/>
            </w:tcBorders>
            <w:shd w:val="clear" w:color="000000" w:fill="FFFFFF"/>
            <w:noWrap/>
            <w:vAlign w:val="center"/>
            <w:hideMark/>
          </w:tcPr>
          <w:p w14:paraId="4FADBC5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1200.0</w:t>
            </w:r>
          </w:p>
        </w:tc>
        <w:tc>
          <w:tcPr>
            <w:tcW w:w="247" w:type="pct"/>
            <w:tcBorders>
              <w:top w:val="nil"/>
              <w:left w:val="nil"/>
              <w:bottom w:val="single" w:sz="4" w:space="0" w:color="auto"/>
              <w:right w:val="single" w:sz="4" w:space="0" w:color="auto"/>
            </w:tcBorders>
            <w:shd w:val="clear" w:color="000000" w:fill="FFFFFF"/>
            <w:noWrap/>
            <w:vAlign w:val="center"/>
            <w:hideMark/>
          </w:tcPr>
          <w:p w14:paraId="5720638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1200.0</w:t>
            </w:r>
          </w:p>
        </w:tc>
        <w:tc>
          <w:tcPr>
            <w:tcW w:w="247" w:type="pct"/>
            <w:tcBorders>
              <w:top w:val="nil"/>
              <w:left w:val="nil"/>
              <w:bottom w:val="single" w:sz="4" w:space="0" w:color="auto"/>
              <w:right w:val="single" w:sz="4" w:space="0" w:color="auto"/>
            </w:tcBorders>
            <w:shd w:val="clear" w:color="000000" w:fill="FFFFFF"/>
            <w:noWrap/>
            <w:vAlign w:val="center"/>
            <w:hideMark/>
          </w:tcPr>
          <w:p w14:paraId="1097E64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1200.0</w:t>
            </w:r>
          </w:p>
        </w:tc>
        <w:tc>
          <w:tcPr>
            <w:tcW w:w="247" w:type="pct"/>
            <w:tcBorders>
              <w:top w:val="nil"/>
              <w:left w:val="nil"/>
              <w:bottom w:val="single" w:sz="4" w:space="0" w:color="auto"/>
              <w:right w:val="single" w:sz="4" w:space="0" w:color="auto"/>
            </w:tcBorders>
            <w:shd w:val="clear" w:color="000000" w:fill="FFFFFF"/>
            <w:noWrap/>
            <w:vAlign w:val="center"/>
            <w:hideMark/>
          </w:tcPr>
          <w:p w14:paraId="2E6AD5C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1200.0</w:t>
            </w:r>
          </w:p>
        </w:tc>
        <w:tc>
          <w:tcPr>
            <w:tcW w:w="247" w:type="pct"/>
            <w:tcBorders>
              <w:top w:val="nil"/>
              <w:left w:val="nil"/>
              <w:bottom w:val="single" w:sz="4" w:space="0" w:color="auto"/>
              <w:right w:val="single" w:sz="4" w:space="0" w:color="auto"/>
            </w:tcBorders>
            <w:shd w:val="clear" w:color="000000" w:fill="FFFFFF"/>
            <w:noWrap/>
            <w:vAlign w:val="center"/>
            <w:hideMark/>
          </w:tcPr>
          <w:p w14:paraId="53987A9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1200.0</w:t>
            </w:r>
          </w:p>
        </w:tc>
        <w:tc>
          <w:tcPr>
            <w:tcW w:w="247" w:type="pct"/>
            <w:tcBorders>
              <w:top w:val="nil"/>
              <w:left w:val="nil"/>
              <w:bottom w:val="single" w:sz="4" w:space="0" w:color="auto"/>
              <w:right w:val="single" w:sz="4" w:space="0" w:color="auto"/>
            </w:tcBorders>
            <w:shd w:val="clear" w:color="000000" w:fill="FFFFFF"/>
            <w:noWrap/>
            <w:vAlign w:val="center"/>
            <w:hideMark/>
          </w:tcPr>
          <w:p w14:paraId="1BA4461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1200.0</w:t>
            </w:r>
          </w:p>
        </w:tc>
        <w:tc>
          <w:tcPr>
            <w:tcW w:w="247" w:type="pct"/>
            <w:tcBorders>
              <w:top w:val="nil"/>
              <w:left w:val="nil"/>
              <w:bottom w:val="single" w:sz="4" w:space="0" w:color="auto"/>
              <w:right w:val="single" w:sz="4" w:space="0" w:color="auto"/>
            </w:tcBorders>
            <w:shd w:val="clear" w:color="000000" w:fill="FFFFFF"/>
            <w:noWrap/>
            <w:vAlign w:val="center"/>
            <w:hideMark/>
          </w:tcPr>
          <w:p w14:paraId="082148D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1200.0</w:t>
            </w:r>
          </w:p>
        </w:tc>
        <w:tc>
          <w:tcPr>
            <w:tcW w:w="247" w:type="pct"/>
            <w:tcBorders>
              <w:top w:val="nil"/>
              <w:left w:val="nil"/>
              <w:bottom w:val="single" w:sz="4" w:space="0" w:color="auto"/>
              <w:right w:val="single" w:sz="4" w:space="0" w:color="auto"/>
            </w:tcBorders>
            <w:shd w:val="clear" w:color="000000" w:fill="FFFFFF"/>
            <w:noWrap/>
            <w:vAlign w:val="center"/>
            <w:hideMark/>
          </w:tcPr>
          <w:p w14:paraId="7FF3C58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900.0</w:t>
            </w:r>
          </w:p>
        </w:tc>
        <w:tc>
          <w:tcPr>
            <w:tcW w:w="247" w:type="pct"/>
            <w:tcBorders>
              <w:top w:val="nil"/>
              <w:left w:val="nil"/>
              <w:bottom w:val="single" w:sz="4" w:space="0" w:color="auto"/>
              <w:right w:val="single" w:sz="4" w:space="0" w:color="auto"/>
            </w:tcBorders>
            <w:shd w:val="clear" w:color="000000" w:fill="FFFFFF"/>
            <w:noWrap/>
            <w:vAlign w:val="center"/>
            <w:hideMark/>
          </w:tcPr>
          <w:p w14:paraId="45ECD38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300.0</w:t>
            </w:r>
          </w:p>
        </w:tc>
        <w:tc>
          <w:tcPr>
            <w:tcW w:w="247" w:type="pct"/>
            <w:tcBorders>
              <w:top w:val="nil"/>
              <w:left w:val="nil"/>
              <w:bottom w:val="single" w:sz="4" w:space="0" w:color="auto"/>
              <w:right w:val="single" w:sz="4" w:space="0" w:color="auto"/>
            </w:tcBorders>
            <w:shd w:val="clear" w:color="000000" w:fill="FFFFFF"/>
            <w:noWrap/>
            <w:vAlign w:val="center"/>
            <w:hideMark/>
          </w:tcPr>
          <w:p w14:paraId="297CEBC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0.0</w:t>
            </w:r>
          </w:p>
        </w:tc>
        <w:tc>
          <w:tcPr>
            <w:tcW w:w="247" w:type="pct"/>
            <w:tcBorders>
              <w:top w:val="nil"/>
              <w:left w:val="nil"/>
              <w:bottom w:val="single" w:sz="4" w:space="0" w:color="auto"/>
              <w:right w:val="single" w:sz="4" w:space="0" w:color="auto"/>
            </w:tcBorders>
            <w:shd w:val="clear" w:color="000000" w:fill="FFFFFF"/>
            <w:noWrap/>
            <w:vAlign w:val="center"/>
            <w:hideMark/>
          </w:tcPr>
          <w:p w14:paraId="386E923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04EC9FD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337" w:type="pct"/>
            <w:tcBorders>
              <w:top w:val="nil"/>
              <w:left w:val="nil"/>
              <w:bottom w:val="single" w:sz="4" w:space="0" w:color="auto"/>
              <w:right w:val="single" w:sz="4" w:space="0" w:color="auto"/>
            </w:tcBorders>
            <w:shd w:val="clear" w:color="000000" w:fill="FFFFFF"/>
            <w:noWrap/>
            <w:vAlign w:val="center"/>
            <w:hideMark/>
          </w:tcPr>
          <w:p w14:paraId="04BD2D7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12000 </w:t>
            </w:r>
          </w:p>
        </w:tc>
      </w:tr>
      <w:tr w:rsidR="007B4794" w:rsidRPr="007B4794" w14:paraId="4ABDF443"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4CB2E9C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2.4</w:t>
            </w:r>
          </w:p>
        </w:tc>
        <w:tc>
          <w:tcPr>
            <w:tcW w:w="451" w:type="pct"/>
            <w:tcBorders>
              <w:top w:val="nil"/>
              <w:left w:val="nil"/>
              <w:bottom w:val="single" w:sz="4" w:space="0" w:color="auto"/>
              <w:right w:val="single" w:sz="4" w:space="0" w:color="auto"/>
            </w:tcBorders>
            <w:shd w:val="clear" w:color="000000" w:fill="FFFFFF"/>
            <w:noWrap/>
            <w:vAlign w:val="center"/>
            <w:hideMark/>
          </w:tcPr>
          <w:p w14:paraId="06BE73C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产权车位</w:t>
            </w:r>
          </w:p>
        </w:tc>
        <w:tc>
          <w:tcPr>
            <w:tcW w:w="261" w:type="pct"/>
            <w:tcBorders>
              <w:top w:val="nil"/>
              <w:left w:val="nil"/>
              <w:bottom w:val="single" w:sz="4" w:space="0" w:color="auto"/>
              <w:right w:val="single" w:sz="4" w:space="0" w:color="auto"/>
            </w:tcBorders>
            <w:shd w:val="clear" w:color="000000" w:fill="FFFFFF"/>
            <w:noWrap/>
            <w:vAlign w:val="center"/>
            <w:hideMark/>
          </w:tcPr>
          <w:p w14:paraId="536D150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1ACD798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0.0</w:t>
            </w:r>
          </w:p>
        </w:tc>
        <w:tc>
          <w:tcPr>
            <w:tcW w:w="261" w:type="pct"/>
            <w:tcBorders>
              <w:top w:val="nil"/>
              <w:left w:val="nil"/>
              <w:bottom w:val="single" w:sz="4" w:space="0" w:color="auto"/>
              <w:right w:val="single" w:sz="4" w:space="0" w:color="auto"/>
            </w:tcBorders>
            <w:shd w:val="clear" w:color="000000" w:fill="FFFFFF"/>
            <w:noWrap/>
            <w:vAlign w:val="center"/>
            <w:hideMark/>
          </w:tcPr>
          <w:p w14:paraId="57BCEA4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0.0</w:t>
            </w:r>
          </w:p>
        </w:tc>
        <w:tc>
          <w:tcPr>
            <w:tcW w:w="261" w:type="pct"/>
            <w:tcBorders>
              <w:top w:val="nil"/>
              <w:left w:val="nil"/>
              <w:bottom w:val="single" w:sz="4" w:space="0" w:color="auto"/>
              <w:right w:val="single" w:sz="4" w:space="0" w:color="auto"/>
            </w:tcBorders>
            <w:shd w:val="clear" w:color="000000" w:fill="FFFFFF"/>
            <w:noWrap/>
            <w:vAlign w:val="center"/>
            <w:hideMark/>
          </w:tcPr>
          <w:p w14:paraId="0575117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0.0</w:t>
            </w:r>
          </w:p>
        </w:tc>
        <w:tc>
          <w:tcPr>
            <w:tcW w:w="247" w:type="pct"/>
            <w:tcBorders>
              <w:top w:val="nil"/>
              <w:left w:val="nil"/>
              <w:bottom w:val="single" w:sz="4" w:space="0" w:color="auto"/>
              <w:right w:val="single" w:sz="4" w:space="0" w:color="auto"/>
            </w:tcBorders>
            <w:shd w:val="clear" w:color="000000" w:fill="FFFFFF"/>
            <w:noWrap/>
            <w:vAlign w:val="center"/>
            <w:hideMark/>
          </w:tcPr>
          <w:p w14:paraId="772AFFD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2016.0</w:t>
            </w:r>
          </w:p>
        </w:tc>
        <w:tc>
          <w:tcPr>
            <w:tcW w:w="247" w:type="pct"/>
            <w:tcBorders>
              <w:top w:val="nil"/>
              <w:left w:val="nil"/>
              <w:bottom w:val="single" w:sz="4" w:space="0" w:color="auto"/>
              <w:right w:val="single" w:sz="4" w:space="0" w:color="auto"/>
            </w:tcBorders>
            <w:shd w:val="clear" w:color="000000" w:fill="FFFFFF"/>
            <w:noWrap/>
            <w:vAlign w:val="center"/>
            <w:hideMark/>
          </w:tcPr>
          <w:p w14:paraId="47A64C4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2016.0</w:t>
            </w:r>
          </w:p>
        </w:tc>
        <w:tc>
          <w:tcPr>
            <w:tcW w:w="247" w:type="pct"/>
            <w:tcBorders>
              <w:top w:val="nil"/>
              <w:left w:val="nil"/>
              <w:bottom w:val="single" w:sz="4" w:space="0" w:color="auto"/>
              <w:right w:val="single" w:sz="4" w:space="0" w:color="auto"/>
            </w:tcBorders>
            <w:shd w:val="clear" w:color="000000" w:fill="FFFFFF"/>
            <w:noWrap/>
            <w:vAlign w:val="center"/>
            <w:hideMark/>
          </w:tcPr>
          <w:p w14:paraId="51C9F46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2016.0</w:t>
            </w:r>
          </w:p>
        </w:tc>
        <w:tc>
          <w:tcPr>
            <w:tcW w:w="247" w:type="pct"/>
            <w:tcBorders>
              <w:top w:val="nil"/>
              <w:left w:val="nil"/>
              <w:bottom w:val="single" w:sz="4" w:space="0" w:color="auto"/>
              <w:right w:val="single" w:sz="4" w:space="0" w:color="auto"/>
            </w:tcBorders>
            <w:shd w:val="clear" w:color="000000" w:fill="FFFFFF"/>
            <w:noWrap/>
            <w:vAlign w:val="center"/>
            <w:hideMark/>
          </w:tcPr>
          <w:p w14:paraId="4BB2B3E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2016.0</w:t>
            </w:r>
          </w:p>
        </w:tc>
        <w:tc>
          <w:tcPr>
            <w:tcW w:w="247" w:type="pct"/>
            <w:tcBorders>
              <w:top w:val="nil"/>
              <w:left w:val="nil"/>
              <w:bottom w:val="single" w:sz="4" w:space="0" w:color="auto"/>
              <w:right w:val="single" w:sz="4" w:space="0" w:color="auto"/>
            </w:tcBorders>
            <w:shd w:val="clear" w:color="000000" w:fill="FFFFFF"/>
            <w:noWrap/>
            <w:vAlign w:val="center"/>
            <w:hideMark/>
          </w:tcPr>
          <w:p w14:paraId="21AC17C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1344.0</w:t>
            </w:r>
          </w:p>
        </w:tc>
        <w:tc>
          <w:tcPr>
            <w:tcW w:w="247" w:type="pct"/>
            <w:tcBorders>
              <w:top w:val="nil"/>
              <w:left w:val="nil"/>
              <w:bottom w:val="single" w:sz="4" w:space="0" w:color="auto"/>
              <w:right w:val="single" w:sz="4" w:space="0" w:color="auto"/>
            </w:tcBorders>
            <w:shd w:val="clear" w:color="000000" w:fill="FFFFFF"/>
            <w:noWrap/>
            <w:vAlign w:val="center"/>
            <w:hideMark/>
          </w:tcPr>
          <w:p w14:paraId="621A1BD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1344.0</w:t>
            </w:r>
          </w:p>
        </w:tc>
        <w:tc>
          <w:tcPr>
            <w:tcW w:w="247" w:type="pct"/>
            <w:tcBorders>
              <w:top w:val="nil"/>
              <w:left w:val="nil"/>
              <w:bottom w:val="single" w:sz="4" w:space="0" w:color="auto"/>
              <w:right w:val="single" w:sz="4" w:space="0" w:color="auto"/>
            </w:tcBorders>
            <w:shd w:val="clear" w:color="000000" w:fill="FFFFFF"/>
            <w:noWrap/>
            <w:vAlign w:val="center"/>
            <w:hideMark/>
          </w:tcPr>
          <w:p w14:paraId="1EAAF76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1344.0</w:t>
            </w:r>
          </w:p>
        </w:tc>
        <w:tc>
          <w:tcPr>
            <w:tcW w:w="247" w:type="pct"/>
            <w:tcBorders>
              <w:top w:val="nil"/>
              <w:left w:val="nil"/>
              <w:bottom w:val="single" w:sz="4" w:space="0" w:color="auto"/>
              <w:right w:val="single" w:sz="4" w:space="0" w:color="auto"/>
            </w:tcBorders>
            <w:shd w:val="clear" w:color="000000" w:fill="FFFFFF"/>
            <w:noWrap/>
            <w:vAlign w:val="center"/>
            <w:hideMark/>
          </w:tcPr>
          <w:p w14:paraId="1FE2CEC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1344.0</w:t>
            </w:r>
          </w:p>
        </w:tc>
        <w:tc>
          <w:tcPr>
            <w:tcW w:w="247" w:type="pct"/>
            <w:tcBorders>
              <w:top w:val="nil"/>
              <w:left w:val="nil"/>
              <w:bottom w:val="single" w:sz="4" w:space="0" w:color="auto"/>
              <w:right w:val="single" w:sz="4" w:space="0" w:color="auto"/>
            </w:tcBorders>
            <w:shd w:val="clear" w:color="000000" w:fill="FFFFFF"/>
            <w:noWrap/>
            <w:vAlign w:val="center"/>
            <w:hideMark/>
          </w:tcPr>
          <w:p w14:paraId="5B23EC1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0.0</w:t>
            </w:r>
          </w:p>
        </w:tc>
        <w:tc>
          <w:tcPr>
            <w:tcW w:w="247" w:type="pct"/>
            <w:tcBorders>
              <w:top w:val="nil"/>
              <w:left w:val="nil"/>
              <w:bottom w:val="single" w:sz="4" w:space="0" w:color="auto"/>
              <w:right w:val="single" w:sz="4" w:space="0" w:color="auto"/>
            </w:tcBorders>
            <w:shd w:val="clear" w:color="000000" w:fill="FFFFFF"/>
            <w:noWrap/>
            <w:vAlign w:val="center"/>
            <w:hideMark/>
          </w:tcPr>
          <w:p w14:paraId="0C24AD2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0.0</w:t>
            </w:r>
          </w:p>
        </w:tc>
        <w:tc>
          <w:tcPr>
            <w:tcW w:w="247" w:type="pct"/>
            <w:tcBorders>
              <w:top w:val="nil"/>
              <w:left w:val="nil"/>
              <w:bottom w:val="single" w:sz="4" w:space="0" w:color="auto"/>
              <w:right w:val="single" w:sz="4" w:space="0" w:color="auto"/>
            </w:tcBorders>
            <w:shd w:val="clear" w:color="000000" w:fill="FFFFFF"/>
            <w:noWrap/>
            <w:vAlign w:val="center"/>
            <w:hideMark/>
          </w:tcPr>
          <w:p w14:paraId="7613B4F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6D1254F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337" w:type="pct"/>
            <w:tcBorders>
              <w:top w:val="nil"/>
              <w:left w:val="nil"/>
              <w:bottom w:val="single" w:sz="4" w:space="0" w:color="auto"/>
              <w:right w:val="single" w:sz="4" w:space="0" w:color="auto"/>
            </w:tcBorders>
            <w:shd w:val="clear" w:color="000000" w:fill="FFFFFF"/>
            <w:noWrap/>
            <w:vAlign w:val="center"/>
            <w:hideMark/>
          </w:tcPr>
          <w:p w14:paraId="7352CE3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13440 </w:t>
            </w:r>
          </w:p>
        </w:tc>
      </w:tr>
      <w:tr w:rsidR="007B4794" w:rsidRPr="007B4794" w14:paraId="49D07D7F"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745097E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2.5</w:t>
            </w:r>
          </w:p>
        </w:tc>
        <w:tc>
          <w:tcPr>
            <w:tcW w:w="451" w:type="pct"/>
            <w:tcBorders>
              <w:top w:val="nil"/>
              <w:left w:val="nil"/>
              <w:bottom w:val="single" w:sz="4" w:space="0" w:color="auto"/>
              <w:right w:val="single" w:sz="4" w:space="0" w:color="auto"/>
            </w:tcBorders>
            <w:shd w:val="clear" w:color="000000" w:fill="FFFFFF"/>
            <w:noWrap/>
            <w:vAlign w:val="center"/>
            <w:hideMark/>
          </w:tcPr>
          <w:p w14:paraId="52E0C33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人防车位</w:t>
            </w:r>
          </w:p>
        </w:tc>
        <w:tc>
          <w:tcPr>
            <w:tcW w:w="261" w:type="pct"/>
            <w:tcBorders>
              <w:top w:val="nil"/>
              <w:left w:val="nil"/>
              <w:bottom w:val="single" w:sz="4" w:space="0" w:color="auto"/>
              <w:right w:val="single" w:sz="4" w:space="0" w:color="auto"/>
            </w:tcBorders>
            <w:shd w:val="clear" w:color="000000" w:fill="FFFFFF"/>
            <w:noWrap/>
            <w:vAlign w:val="center"/>
            <w:hideMark/>
          </w:tcPr>
          <w:p w14:paraId="13AE4C09"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20A79F1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0.0</w:t>
            </w:r>
          </w:p>
        </w:tc>
        <w:tc>
          <w:tcPr>
            <w:tcW w:w="261" w:type="pct"/>
            <w:tcBorders>
              <w:top w:val="nil"/>
              <w:left w:val="nil"/>
              <w:bottom w:val="single" w:sz="4" w:space="0" w:color="auto"/>
              <w:right w:val="single" w:sz="4" w:space="0" w:color="auto"/>
            </w:tcBorders>
            <w:shd w:val="clear" w:color="000000" w:fill="FFFFFF"/>
            <w:noWrap/>
            <w:vAlign w:val="center"/>
            <w:hideMark/>
          </w:tcPr>
          <w:p w14:paraId="598EA9B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0.0</w:t>
            </w:r>
          </w:p>
        </w:tc>
        <w:tc>
          <w:tcPr>
            <w:tcW w:w="261" w:type="pct"/>
            <w:tcBorders>
              <w:top w:val="nil"/>
              <w:left w:val="nil"/>
              <w:bottom w:val="single" w:sz="4" w:space="0" w:color="auto"/>
              <w:right w:val="single" w:sz="4" w:space="0" w:color="auto"/>
            </w:tcBorders>
            <w:shd w:val="clear" w:color="000000" w:fill="FFFFFF"/>
            <w:noWrap/>
            <w:vAlign w:val="center"/>
            <w:hideMark/>
          </w:tcPr>
          <w:p w14:paraId="5112B1F1"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0.0</w:t>
            </w:r>
          </w:p>
        </w:tc>
        <w:tc>
          <w:tcPr>
            <w:tcW w:w="247" w:type="pct"/>
            <w:tcBorders>
              <w:top w:val="nil"/>
              <w:left w:val="nil"/>
              <w:bottom w:val="single" w:sz="4" w:space="0" w:color="auto"/>
              <w:right w:val="single" w:sz="4" w:space="0" w:color="auto"/>
            </w:tcBorders>
            <w:shd w:val="clear" w:color="000000" w:fill="FFFFFF"/>
            <w:noWrap/>
            <w:vAlign w:val="center"/>
            <w:hideMark/>
          </w:tcPr>
          <w:p w14:paraId="5541552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0.0</w:t>
            </w:r>
          </w:p>
        </w:tc>
        <w:tc>
          <w:tcPr>
            <w:tcW w:w="247" w:type="pct"/>
            <w:tcBorders>
              <w:top w:val="nil"/>
              <w:left w:val="nil"/>
              <w:bottom w:val="single" w:sz="4" w:space="0" w:color="auto"/>
              <w:right w:val="single" w:sz="4" w:space="0" w:color="auto"/>
            </w:tcBorders>
            <w:shd w:val="clear" w:color="000000" w:fill="FFFFFF"/>
            <w:noWrap/>
            <w:vAlign w:val="center"/>
            <w:hideMark/>
          </w:tcPr>
          <w:p w14:paraId="466D650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0.0</w:t>
            </w:r>
          </w:p>
        </w:tc>
        <w:tc>
          <w:tcPr>
            <w:tcW w:w="247" w:type="pct"/>
            <w:tcBorders>
              <w:top w:val="nil"/>
              <w:left w:val="nil"/>
              <w:bottom w:val="single" w:sz="4" w:space="0" w:color="auto"/>
              <w:right w:val="single" w:sz="4" w:space="0" w:color="auto"/>
            </w:tcBorders>
            <w:shd w:val="clear" w:color="000000" w:fill="FFFFFF"/>
            <w:noWrap/>
            <w:vAlign w:val="center"/>
            <w:hideMark/>
          </w:tcPr>
          <w:p w14:paraId="6DC9BAE5"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0.0</w:t>
            </w:r>
          </w:p>
        </w:tc>
        <w:tc>
          <w:tcPr>
            <w:tcW w:w="247" w:type="pct"/>
            <w:tcBorders>
              <w:top w:val="nil"/>
              <w:left w:val="nil"/>
              <w:bottom w:val="single" w:sz="4" w:space="0" w:color="auto"/>
              <w:right w:val="single" w:sz="4" w:space="0" w:color="auto"/>
            </w:tcBorders>
            <w:shd w:val="clear" w:color="000000" w:fill="FFFFFF"/>
            <w:noWrap/>
            <w:vAlign w:val="center"/>
            <w:hideMark/>
          </w:tcPr>
          <w:p w14:paraId="6F13DEF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0.0</w:t>
            </w:r>
          </w:p>
        </w:tc>
        <w:tc>
          <w:tcPr>
            <w:tcW w:w="247" w:type="pct"/>
            <w:tcBorders>
              <w:top w:val="nil"/>
              <w:left w:val="nil"/>
              <w:bottom w:val="single" w:sz="4" w:space="0" w:color="auto"/>
              <w:right w:val="single" w:sz="4" w:space="0" w:color="auto"/>
            </w:tcBorders>
            <w:shd w:val="clear" w:color="000000" w:fill="FFFFFF"/>
            <w:noWrap/>
            <w:vAlign w:val="center"/>
            <w:hideMark/>
          </w:tcPr>
          <w:p w14:paraId="685DD2F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448.0</w:t>
            </w:r>
          </w:p>
        </w:tc>
        <w:tc>
          <w:tcPr>
            <w:tcW w:w="247" w:type="pct"/>
            <w:tcBorders>
              <w:top w:val="nil"/>
              <w:left w:val="nil"/>
              <w:bottom w:val="single" w:sz="4" w:space="0" w:color="auto"/>
              <w:right w:val="single" w:sz="4" w:space="0" w:color="auto"/>
            </w:tcBorders>
            <w:shd w:val="clear" w:color="000000" w:fill="FFFFFF"/>
            <w:noWrap/>
            <w:vAlign w:val="center"/>
            <w:hideMark/>
          </w:tcPr>
          <w:p w14:paraId="727440B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378.0</w:t>
            </w:r>
          </w:p>
        </w:tc>
        <w:tc>
          <w:tcPr>
            <w:tcW w:w="247" w:type="pct"/>
            <w:tcBorders>
              <w:top w:val="nil"/>
              <w:left w:val="nil"/>
              <w:bottom w:val="single" w:sz="4" w:space="0" w:color="auto"/>
              <w:right w:val="single" w:sz="4" w:space="0" w:color="auto"/>
            </w:tcBorders>
            <w:shd w:val="clear" w:color="000000" w:fill="FFFFFF"/>
            <w:noWrap/>
            <w:vAlign w:val="center"/>
            <w:hideMark/>
          </w:tcPr>
          <w:p w14:paraId="70E2F87A"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378.0</w:t>
            </w:r>
          </w:p>
        </w:tc>
        <w:tc>
          <w:tcPr>
            <w:tcW w:w="247" w:type="pct"/>
            <w:tcBorders>
              <w:top w:val="nil"/>
              <w:left w:val="nil"/>
              <w:bottom w:val="single" w:sz="4" w:space="0" w:color="auto"/>
              <w:right w:val="single" w:sz="4" w:space="0" w:color="auto"/>
            </w:tcBorders>
            <w:shd w:val="clear" w:color="000000" w:fill="FFFFFF"/>
            <w:noWrap/>
            <w:vAlign w:val="center"/>
            <w:hideMark/>
          </w:tcPr>
          <w:p w14:paraId="4E635E4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301.0</w:t>
            </w:r>
          </w:p>
        </w:tc>
        <w:tc>
          <w:tcPr>
            <w:tcW w:w="247" w:type="pct"/>
            <w:tcBorders>
              <w:top w:val="nil"/>
              <w:left w:val="nil"/>
              <w:bottom w:val="single" w:sz="4" w:space="0" w:color="auto"/>
              <w:right w:val="single" w:sz="4" w:space="0" w:color="auto"/>
            </w:tcBorders>
            <w:shd w:val="clear" w:color="000000" w:fill="FFFFFF"/>
            <w:noWrap/>
            <w:vAlign w:val="center"/>
            <w:hideMark/>
          </w:tcPr>
          <w:p w14:paraId="55248A4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0.0</w:t>
            </w:r>
          </w:p>
        </w:tc>
        <w:tc>
          <w:tcPr>
            <w:tcW w:w="247" w:type="pct"/>
            <w:tcBorders>
              <w:top w:val="nil"/>
              <w:left w:val="nil"/>
              <w:bottom w:val="single" w:sz="4" w:space="0" w:color="auto"/>
              <w:right w:val="single" w:sz="4" w:space="0" w:color="auto"/>
            </w:tcBorders>
            <w:shd w:val="clear" w:color="000000" w:fill="FFFFFF"/>
            <w:noWrap/>
            <w:vAlign w:val="center"/>
            <w:hideMark/>
          </w:tcPr>
          <w:p w14:paraId="75DABB3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0.0</w:t>
            </w:r>
          </w:p>
        </w:tc>
        <w:tc>
          <w:tcPr>
            <w:tcW w:w="247" w:type="pct"/>
            <w:tcBorders>
              <w:top w:val="nil"/>
              <w:left w:val="nil"/>
              <w:bottom w:val="single" w:sz="4" w:space="0" w:color="auto"/>
              <w:right w:val="single" w:sz="4" w:space="0" w:color="auto"/>
            </w:tcBorders>
            <w:shd w:val="clear" w:color="000000" w:fill="FFFFFF"/>
            <w:noWrap/>
            <w:vAlign w:val="center"/>
            <w:hideMark/>
          </w:tcPr>
          <w:p w14:paraId="634DD206"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3B7F194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337" w:type="pct"/>
            <w:tcBorders>
              <w:top w:val="nil"/>
              <w:left w:val="nil"/>
              <w:bottom w:val="single" w:sz="4" w:space="0" w:color="auto"/>
              <w:right w:val="single" w:sz="4" w:space="0" w:color="auto"/>
            </w:tcBorders>
            <w:shd w:val="clear" w:color="000000" w:fill="FFFFFF"/>
            <w:noWrap/>
            <w:vAlign w:val="center"/>
            <w:hideMark/>
          </w:tcPr>
          <w:p w14:paraId="15FA991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1505 </w:t>
            </w:r>
          </w:p>
        </w:tc>
      </w:tr>
      <w:tr w:rsidR="007B4794" w:rsidRPr="007B4794" w14:paraId="0E3FE0CC" w14:textId="77777777" w:rsidTr="00627685">
        <w:trPr>
          <w:trHeight w:val="345"/>
        </w:trPr>
        <w:tc>
          <w:tcPr>
            <w:tcW w:w="209" w:type="pct"/>
            <w:tcBorders>
              <w:top w:val="nil"/>
              <w:left w:val="single" w:sz="4" w:space="0" w:color="auto"/>
              <w:bottom w:val="single" w:sz="4" w:space="0" w:color="auto"/>
              <w:right w:val="single" w:sz="4" w:space="0" w:color="auto"/>
            </w:tcBorders>
            <w:shd w:val="clear" w:color="000000" w:fill="FFFFFF"/>
            <w:noWrap/>
            <w:vAlign w:val="center"/>
            <w:hideMark/>
          </w:tcPr>
          <w:p w14:paraId="5E6B3F10"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2.6</w:t>
            </w:r>
          </w:p>
        </w:tc>
        <w:tc>
          <w:tcPr>
            <w:tcW w:w="451" w:type="pct"/>
            <w:tcBorders>
              <w:top w:val="nil"/>
              <w:left w:val="nil"/>
              <w:bottom w:val="single" w:sz="4" w:space="0" w:color="auto"/>
              <w:right w:val="single" w:sz="4" w:space="0" w:color="auto"/>
            </w:tcBorders>
            <w:shd w:val="clear" w:color="000000" w:fill="FFFFFF"/>
            <w:noWrap/>
            <w:vAlign w:val="center"/>
            <w:hideMark/>
          </w:tcPr>
          <w:p w14:paraId="535F1F0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商业</w:t>
            </w:r>
          </w:p>
        </w:tc>
        <w:tc>
          <w:tcPr>
            <w:tcW w:w="261" w:type="pct"/>
            <w:tcBorders>
              <w:top w:val="nil"/>
              <w:left w:val="nil"/>
              <w:bottom w:val="single" w:sz="4" w:space="0" w:color="auto"/>
              <w:right w:val="single" w:sz="4" w:space="0" w:color="auto"/>
            </w:tcBorders>
            <w:shd w:val="clear" w:color="000000" w:fill="FFFFFF"/>
            <w:noWrap/>
            <w:vAlign w:val="center"/>
            <w:hideMark/>
          </w:tcPr>
          <w:p w14:paraId="0337388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61" w:type="pct"/>
            <w:tcBorders>
              <w:top w:val="nil"/>
              <w:left w:val="nil"/>
              <w:bottom w:val="single" w:sz="4" w:space="0" w:color="auto"/>
              <w:right w:val="single" w:sz="4" w:space="0" w:color="auto"/>
            </w:tcBorders>
            <w:shd w:val="clear" w:color="000000" w:fill="FFFFFF"/>
            <w:noWrap/>
            <w:vAlign w:val="center"/>
            <w:hideMark/>
          </w:tcPr>
          <w:p w14:paraId="7881323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0.0</w:t>
            </w:r>
          </w:p>
        </w:tc>
        <w:tc>
          <w:tcPr>
            <w:tcW w:w="261" w:type="pct"/>
            <w:tcBorders>
              <w:top w:val="nil"/>
              <w:left w:val="nil"/>
              <w:bottom w:val="single" w:sz="4" w:space="0" w:color="auto"/>
              <w:right w:val="single" w:sz="4" w:space="0" w:color="auto"/>
            </w:tcBorders>
            <w:shd w:val="clear" w:color="000000" w:fill="FFFFFF"/>
            <w:noWrap/>
            <w:vAlign w:val="center"/>
            <w:hideMark/>
          </w:tcPr>
          <w:p w14:paraId="0F71572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0.0</w:t>
            </w:r>
          </w:p>
        </w:tc>
        <w:tc>
          <w:tcPr>
            <w:tcW w:w="261" w:type="pct"/>
            <w:tcBorders>
              <w:top w:val="nil"/>
              <w:left w:val="nil"/>
              <w:bottom w:val="single" w:sz="4" w:space="0" w:color="auto"/>
              <w:right w:val="single" w:sz="4" w:space="0" w:color="auto"/>
            </w:tcBorders>
            <w:shd w:val="clear" w:color="000000" w:fill="FFFFFF"/>
            <w:noWrap/>
            <w:vAlign w:val="center"/>
            <w:hideMark/>
          </w:tcPr>
          <w:p w14:paraId="0A287F4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0.0</w:t>
            </w:r>
          </w:p>
        </w:tc>
        <w:tc>
          <w:tcPr>
            <w:tcW w:w="247" w:type="pct"/>
            <w:tcBorders>
              <w:top w:val="nil"/>
              <w:left w:val="nil"/>
              <w:bottom w:val="single" w:sz="4" w:space="0" w:color="auto"/>
              <w:right w:val="single" w:sz="4" w:space="0" w:color="auto"/>
            </w:tcBorders>
            <w:shd w:val="clear" w:color="000000" w:fill="FFFFFF"/>
            <w:noWrap/>
            <w:vAlign w:val="center"/>
            <w:hideMark/>
          </w:tcPr>
          <w:p w14:paraId="4EA6BA8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0.0</w:t>
            </w:r>
          </w:p>
        </w:tc>
        <w:tc>
          <w:tcPr>
            <w:tcW w:w="247" w:type="pct"/>
            <w:tcBorders>
              <w:top w:val="nil"/>
              <w:left w:val="nil"/>
              <w:bottom w:val="single" w:sz="4" w:space="0" w:color="auto"/>
              <w:right w:val="single" w:sz="4" w:space="0" w:color="auto"/>
            </w:tcBorders>
            <w:shd w:val="clear" w:color="000000" w:fill="FFFFFF"/>
            <w:noWrap/>
            <w:vAlign w:val="center"/>
            <w:hideMark/>
          </w:tcPr>
          <w:p w14:paraId="6D4EA5AE"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2489.0</w:t>
            </w:r>
          </w:p>
        </w:tc>
        <w:tc>
          <w:tcPr>
            <w:tcW w:w="247" w:type="pct"/>
            <w:tcBorders>
              <w:top w:val="nil"/>
              <w:left w:val="nil"/>
              <w:bottom w:val="single" w:sz="4" w:space="0" w:color="auto"/>
              <w:right w:val="single" w:sz="4" w:space="0" w:color="auto"/>
            </w:tcBorders>
            <w:shd w:val="clear" w:color="000000" w:fill="FFFFFF"/>
            <w:noWrap/>
            <w:vAlign w:val="center"/>
            <w:hideMark/>
          </w:tcPr>
          <w:p w14:paraId="7D36FFD7"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3983.0</w:t>
            </w:r>
          </w:p>
        </w:tc>
        <w:tc>
          <w:tcPr>
            <w:tcW w:w="247" w:type="pct"/>
            <w:tcBorders>
              <w:top w:val="nil"/>
              <w:left w:val="nil"/>
              <w:bottom w:val="single" w:sz="4" w:space="0" w:color="auto"/>
              <w:right w:val="single" w:sz="4" w:space="0" w:color="auto"/>
            </w:tcBorders>
            <w:shd w:val="clear" w:color="000000" w:fill="FFFFFF"/>
            <w:noWrap/>
            <w:vAlign w:val="center"/>
            <w:hideMark/>
          </w:tcPr>
          <w:p w14:paraId="4201D012"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2988.0</w:t>
            </w:r>
          </w:p>
        </w:tc>
        <w:tc>
          <w:tcPr>
            <w:tcW w:w="247" w:type="pct"/>
            <w:tcBorders>
              <w:top w:val="nil"/>
              <w:left w:val="nil"/>
              <w:bottom w:val="single" w:sz="4" w:space="0" w:color="auto"/>
              <w:right w:val="single" w:sz="4" w:space="0" w:color="auto"/>
            </w:tcBorders>
            <w:shd w:val="clear" w:color="000000" w:fill="FFFFFF"/>
            <w:noWrap/>
            <w:vAlign w:val="center"/>
            <w:hideMark/>
          </w:tcPr>
          <w:p w14:paraId="5A980AD8"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2988.0</w:t>
            </w:r>
          </w:p>
        </w:tc>
        <w:tc>
          <w:tcPr>
            <w:tcW w:w="247" w:type="pct"/>
            <w:tcBorders>
              <w:top w:val="nil"/>
              <w:left w:val="nil"/>
              <w:bottom w:val="single" w:sz="4" w:space="0" w:color="auto"/>
              <w:right w:val="single" w:sz="4" w:space="0" w:color="auto"/>
            </w:tcBorders>
            <w:shd w:val="clear" w:color="000000" w:fill="FFFFFF"/>
            <w:noWrap/>
            <w:vAlign w:val="center"/>
            <w:hideMark/>
          </w:tcPr>
          <w:p w14:paraId="15E4E52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2490.5</w:t>
            </w:r>
          </w:p>
        </w:tc>
        <w:tc>
          <w:tcPr>
            <w:tcW w:w="247" w:type="pct"/>
            <w:tcBorders>
              <w:top w:val="nil"/>
              <w:left w:val="nil"/>
              <w:bottom w:val="single" w:sz="4" w:space="0" w:color="auto"/>
              <w:right w:val="single" w:sz="4" w:space="0" w:color="auto"/>
            </w:tcBorders>
            <w:shd w:val="clear" w:color="000000" w:fill="FFFFFF"/>
            <w:noWrap/>
            <w:vAlign w:val="center"/>
            <w:hideMark/>
          </w:tcPr>
          <w:p w14:paraId="0938A79F"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1993.0</w:t>
            </w:r>
          </w:p>
        </w:tc>
        <w:tc>
          <w:tcPr>
            <w:tcW w:w="247" w:type="pct"/>
            <w:tcBorders>
              <w:top w:val="nil"/>
              <w:left w:val="nil"/>
              <w:bottom w:val="single" w:sz="4" w:space="0" w:color="auto"/>
              <w:right w:val="single" w:sz="4" w:space="0" w:color="auto"/>
            </w:tcBorders>
            <w:shd w:val="clear" w:color="000000" w:fill="FFFFFF"/>
            <w:noWrap/>
            <w:vAlign w:val="center"/>
            <w:hideMark/>
          </w:tcPr>
          <w:p w14:paraId="5D83420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1494.0</w:t>
            </w:r>
          </w:p>
        </w:tc>
        <w:tc>
          <w:tcPr>
            <w:tcW w:w="247" w:type="pct"/>
            <w:tcBorders>
              <w:top w:val="nil"/>
              <w:left w:val="nil"/>
              <w:bottom w:val="single" w:sz="4" w:space="0" w:color="auto"/>
              <w:right w:val="single" w:sz="4" w:space="0" w:color="auto"/>
            </w:tcBorders>
            <w:shd w:val="clear" w:color="000000" w:fill="FFFFFF"/>
            <w:noWrap/>
            <w:vAlign w:val="center"/>
            <w:hideMark/>
          </w:tcPr>
          <w:p w14:paraId="0F89A48C"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995.0</w:t>
            </w:r>
          </w:p>
        </w:tc>
        <w:tc>
          <w:tcPr>
            <w:tcW w:w="247" w:type="pct"/>
            <w:tcBorders>
              <w:top w:val="nil"/>
              <w:left w:val="nil"/>
              <w:bottom w:val="single" w:sz="4" w:space="0" w:color="auto"/>
              <w:right w:val="single" w:sz="4" w:space="0" w:color="auto"/>
            </w:tcBorders>
            <w:shd w:val="clear" w:color="000000" w:fill="FFFFFF"/>
            <w:noWrap/>
            <w:vAlign w:val="center"/>
            <w:hideMark/>
          </w:tcPr>
          <w:p w14:paraId="2E7A4EB3"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497.5</w:t>
            </w:r>
          </w:p>
        </w:tc>
        <w:tc>
          <w:tcPr>
            <w:tcW w:w="247" w:type="pct"/>
            <w:tcBorders>
              <w:top w:val="nil"/>
              <w:left w:val="nil"/>
              <w:bottom w:val="single" w:sz="4" w:space="0" w:color="auto"/>
              <w:right w:val="single" w:sz="4" w:space="0" w:color="auto"/>
            </w:tcBorders>
            <w:shd w:val="clear" w:color="000000" w:fill="FFFFFF"/>
            <w:noWrap/>
            <w:vAlign w:val="center"/>
            <w:hideMark/>
          </w:tcPr>
          <w:p w14:paraId="2529F994"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5658605B"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　</w:t>
            </w:r>
          </w:p>
        </w:tc>
        <w:tc>
          <w:tcPr>
            <w:tcW w:w="337" w:type="pct"/>
            <w:tcBorders>
              <w:top w:val="nil"/>
              <w:left w:val="nil"/>
              <w:bottom w:val="single" w:sz="4" w:space="0" w:color="auto"/>
              <w:right w:val="single" w:sz="4" w:space="0" w:color="auto"/>
            </w:tcBorders>
            <w:shd w:val="clear" w:color="000000" w:fill="FFFFFF"/>
            <w:noWrap/>
            <w:vAlign w:val="center"/>
            <w:hideMark/>
          </w:tcPr>
          <w:p w14:paraId="177568BD" w14:textId="77777777" w:rsidR="00627685" w:rsidRPr="007B4794" w:rsidRDefault="00627685">
            <w:pPr>
              <w:rPr>
                <w:rFonts w:ascii="Arial Unicode MS" w:eastAsia="Arial Unicode MS" w:hAnsi="Arial Unicode MS" w:cs="Arial Unicode MS"/>
                <w:color w:val="000000" w:themeColor="text1"/>
                <w:sz w:val="18"/>
                <w:szCs w:val="18"/>
              </w:rPr>
            </w:pPr>
            <w:r w:rsidRPr="007B4794">
              <w:rPr>
                <w:rFonts w:ascii="Arial Unicode MS" w:eastAsia="Arial Unicode MS" w:hAnsi="Arial Unicode MS" w:cs="Arial Unicode MS" w:hint="eastAsia"/>
                <w:color w:val="000000" w:themeColor="text1"/>
                <w:sz w:val="18"/>
                <w:szCs w:val="18"/>
              </w:rPr>
              <w:t xml:space="preserve">19918 </w:t>
            </w:r>
          </w:p>
        </w:tc>
      </w:tr>
    </w:tbl>
    <w:p w14:paraId="6EB27963" w14:textId="77777777" w:rsidR="001701A2" w:rsidRPr="007B4794" w:rsidRDefault="001701A2" w:rsidP="001701A2">
      <w:pPr>
        <w:widowControl w:val="0"/>
        <w:adjustRightInd w:val="0"/>
        <w:snapToGrid w:val="0"/>
        <w:jc w:val="both"/>
        <w:rPr>
          <w:rFonts w:ascii="华文细黑" w:eastAsia="华文细黑" w:hAnsi="华文细黑" w:cs="Arial"/>
          <w:color w:val="000000" w:themeColor="text1"/>
          <w:sz w:val="15"/>
          <w:szCs w:val="15"/>
        </w:rPr>
      </w:pPr>
      <w:r w:rsidRPr="007B4794">
        <w:rPr>
          <w:rFonts w:ascii="华文细黑" w:eastAsia="华文细黑" w:hAnsi="华文细黑" w:cs="Arial" w:hint="eastAsia"/>
          <w:color w:val="000000" w:themeColor="text1"/>
          <w:sz w:val="15"/>
          <w:szCs w:val="15"/>
        </w:rPr>
        <w:t>单位：平方米、万元、元</w:t>
      </w:r>
      <w:r w:rsidRPr="007B4794">
        <w:rPr>
          <w:rFonts w:ascii="华文细黑" w:eastAsia="华文细黑" w:hAnsi="华文细黑" w:cs="Arial"/>
          <w:color w:val="000000" w:themeColor="text1"/>
          <w:sz w:val="15"/>
          <w:szCs w:val="15"/>
        </w:rPr>
        <w:t>/</w:t>
      </w:r>
      <w:r w:rsidRPr="007B4794">
        <w:rPr>
          <w:rFonts w:ascii="华文细黑" w:eastAsia="华文细黑" w:hAnsi="华文细黑" w:cs="Arial" w:hint="eastAsia"/>
          <w:color w:val="000000" w:themeColor="text1"/>
          <w:sz w:val="15"/>
          <w:szCs w:val="15"/>
        </w:rPr>
        <w:t>平方米、元/个、个</w:t>
      </w:r>
    </w:p>
    <w:p w14:paraId="01DCC952" w14:textId="77777777" w:rsidR="0082584B" w:rsidRPr="007B4794" w:rsidRDefault="0082584B" w:rsidP="00255E61">
      <w:pPr>
        <w:adjustRightInd w:val="0"/>
        <w:snapToGrid w:val="0"/>
        <w:spacing w:line="480" w:lineRule="auto"/>
        <w:ind w:firstLineChars="200" w:firstLine="420"/>
        <w:jc w:val="both"/>
        <w:rPr>
          <w:rFonts w:ascii="Arial" w:hAnsi="Arial" w:cs="Arial"/>
          <w:color w:val="000000" w:themeColor="text1"/>
          <w:sz w:val="21"/>
          <w:szCs w:val="21"/>
        </w:rPr>
      </w:pPr>
    </w:p>
    <w:bookmarkEnd w:id="13"/>
    <w:bookmarkEnd w:id="81"/>
    <w:p w14:paraId="78E85141" w14:textId="77777777" w:rsidR="004E620B" w:rsidRPr="007B4794" w:rsidRDefault="004E620B" w:rsidP="00F009B1">
      <w:pPr>
        <w:adjustRightInd w:val="0"/>
        <w:snapToGrid w:val="0"/>
        <w:spacing w:line="480" w:lineRule="auto"/>
        <w:ind w:firstLineChars="200" w:firstLine="420"/>
        <w:jc w:val="both"/>
        <w:rPr>
          <w:rFonts w:ascii="Arial" w:hAnsi="Arial" w:cs="Arial"/>
          <w:color w:val="000000" w:themeColor="text1"/>
          <w:sz w:val="21"/>
          <w:szCs w:val="21"/>
        </w:rPr>
      </w:pPr>
    </w:p>
    <w:p w14:paraId="038230BD" w14:textId="77777777" w:rsidR="004E620B" w:rsidRPr="007B4794" w:rsidRDefault="004E620B" w:rsidP="00F009B1">
      <w:pPr>
        <w:adjustRightInd w:val="0"/>
        <w:snapToGrid w:val="0"/>
        <w:spacing w:line="480" w:lineRule="auto"/>
        <w:ind w:firstLineChars="200" w:firstLine="420"/>
        <w:jc w:val="both"/>
        <w:rPr>
          <w:rFonts w:ascii="Arial" w:hAnsi="Arial" w:cs="Arial"/>
          <w:color w:val="000000" w:themeColor="text1"/>
          <w:sz w:val="21"/>
          <w:szCs w:val="21"/>
        </w:rPr>
      </w:pPr>
    </w:p>
    <w:p w14:paraId="34947B62" w14:textId="77777777" w:rsidR="004E620B" w:rsidRPr="007B4794" w:rsidRDefault="004E620B" w:rsidP="00F009B1">
      <w:pPr>
        <w:adjustRightInd w:val="0"/>
        <w:snapToGrid w:val="0"/>
        <w:spacing w:line="480" w:lineRule="auto"/>
        <w:ind w:firstLineChars="200" w:firstLine="420"/>
        <w:jc w:val="both"/>
        <w:rPr>
          <w:rFonts w:ascii="Arial" w:hAnsi="Arial" w:cs="Arial"/>
          <w:color w:val="000000" w:themeColor="text1"/>
          <w:sz w:val="21"/>
          <w:szCs w:val="21"/>
        </w:rPr>
      </w:pPr>
    </w:p>
    <w:p w14:paraId="3F4E2556" w14:textId="77777777" w:rsidR="004E620B" w:rsidRPr="007B4794" w:rsidRDefault="004E620B" w:rsidP="00F009B1">
      <w:pPr>
        <w:adjustRightInd w:val="0"/>
        <w:snapToGrid w:val="0"/>
        <w:spacing w:line="480" w:lineRule="auto"/>
        <w:ind w:firstLineChars="200" w:firstLine="420"/>
        <w:jc w:val="both"/>
        <w:rPr>
          <w:rFonts w:ascii="Arial" w:hAnsi="Arial" w:cs="Arial"/>
          <w:color w:val="000000" w:themeColor="text1"/>
          <w:sz w:val="21"/>
          <w:szCs w:val="21"/>
        </w:rPr>
      </w:pPr>
    </w:p>
    <w:p w14:paraId="33FB19B4" w14:textId="77777777" w:rsidR="004E620B" w:rsidRPr="007B4794" w:rsidRDefault="004E620B" w:rsidP="00F009B1">
      <w:pPr>
        <w:adjustRightInd w:val="0"/>
        <w:snapToGrid w:val="0"/>
        <w:spacing w:line="480" w:lineRule="auto"/>
        <w:ind w:firstLineChars="200" w:firstLine="420"/>
        <w:jc w:val="both"/>
        <w:rPr>
          <w:rFonts w:ascii="Arial" w:hAnsi="Arial" w:cs="Arial"/>
          <w:color w:val="000000" w:themeColor="text1"/>
          <w:sz w:val="21"/>
          <w:szCs w:val="21"/>
        </w:rPr>
      </w:pPr>
    </w:p>
    <w:p w14:paraId="4315D07A" w14:textId="77777777" w:rsidR="004E620B" w:rsidRPr="007B4794" w:rsidRDefault="004E620B" w:rsidP="00F009B1">
      <w:pPr>
        <w:adjustRightInd w:val="0"/>
        <w:snapToGrid w:val="0"/>
        <w:spacing w:line="480" w:lineRule="auto"/>
        <w:ind w:firstLineChars="200" w:firstLine="420"/>
        <w:jc w:val="both"/>
        <w:rPr>
          <w:rFonts w:ascii="Arial" w:hAnsi="Arial" w:cs="Arial"/>
          <w:color w:val="000000" w:themeColor="text1"/>
          <w:sz w:val="21"/>
          <w:szCs w:val="21"/>
        </w:rPr>
      </w:pPr>
    </w:p>
    <w:p w14:paraId="36EBBA1A" w14:textId="77777777" w:rsidR="004E620B" w:rsidRPr="007B4794" w:rsidRDefault="004E620B" w:rsidP="00F009B1">
      <w:pPr>
        <w:adjustRightInd w:val="0"/>
        <w:snapToGrid w:val="0"/>
        <w:spacing w:line="480" w:lineRule="auto"/>
        <w:ind w:firstLineChars="200" w:firstLine="420"/>
        <w:jc w:val="both"/>
        <w:rPr>
          <w:rFonts w:ascii="Arial" w:hAnsi="Arial" w:cs="Arial"/>
          <w:color w:val="000000" w:themeColor="text1"/>
          <w:sz w:val="21"/>
          <w:szCs w:val="21"/>
        </w:rPr>
      </w:pPr>
    </w:p>
    <w:p w14:paraId="479BB50B" w14:textId="77777777" w:rsidR="004E620B" w:rsidRPr="007B4794" w:rsidRDefault="004E620B" w:rsidP="00F009B1">
      <w:pPr>
        <w:adjustRightInd w:val="0"/>
        <w:snapToGrid w:val="0"/>
        <w:spacing w:line="480" w:lineRule="auto"/>
        <w:ind w:firstLineChars="200" w:firstLine="420"/>
        <w:jc w:val="both"/>
        <w:rPr>
          <w:rFonts w:ascii="Arial" w:hAnsi="Arial" w:cs="Arial"/>
          <w:color w:val="000000" w:themeColor="text1"/>
          <w:sz w:val="21"/>
          <w:szCs w:val="21"/>
        </w:rPr>
        <w:sectPr w:rsidR="004E620B" w:rsidRPr="007B4794" w:rsidSect="004E620B">
          <w:pgSz w:w="16838" w:h="11906" w:orient="landscape" w:code="9"/>
          <w:pgMar w:top="1304" w:right="1843" w:bottom="1304" w:left="1134" w:header="1134" w:footer="907" w:gutter="0"/>
          <w:cols w:space="425"/>
          <w:titlePg/>
          <w:docGrid w:linePitch="326"/>
        </w:sectPr>
      </w:pPr>
    </w:p>
    <w:p w14:paraId="53877499" w14:textId="0750AD7D" w:rsidR="00770DC3" w:rsidRPr="007B4794" w:rsidRDefault="00770DC3">
      <w:pPr>
        <w:pStyle w:val="1"/>
        <w:spacing w:before="240"/>
        <w:rPr>
          <w:rFonts w:ascii="Arial" w:eastAsia="方正黑体简体" w:hAnsi="Arial" w:cs="Arial"/>
          <w:b w:val="0"/>
          <w:bCs/>
          <w:color w:val="000000" w:themeColor="text1"/>
          <w:sz w:val="32"/>
          <w:szCs w:val="32"/>
        </w:rPr>
      </w:pPr>
      <w:bookmarkStart w:id="84" w:name="_Toc54016605"/>
      <w:r w:rsidRPr="007B4794">
        <w:rPr>
          <w:rFonts w:ascii="Arial" w:eastAsia="方正黑体简体" w:hAnsi="Arial" w:cs="Arial"/>
          <w:b w:val="0"/>
          <w:bCs/>
          <w:color w:val="000000" w:themeColor="text1"/>
          <w:sz w:val="32"/>
          <w:szCs w:val="32"/>
        </w:rPr>
        <w:lastRenderedPageBreak/>
        <w:t>第</w:t>
      </w:r>
      <w:r w:rsidR="00B73A84" w:rsidRPr="007B4794">
        <w:rPr>
          <w:rFonts w:ascii="Arial" w:eastAsia="方正黑体简体" w:hAnsi="Arial" w:cs="Arial" w:hint="eastAsia"/>
          <w:b w:val="0"/>
          <w:bCs/>
          <w:color w:val="000000" w:themeColor="text1"/>
          <w:sz w:val="32"/>
          <w:szCs w:val="32"/>
        </w:rPr>
        <w:t>六</w:t>
      </w:r>
      <w:r w:rsidRPr="007B4794">
        <w:rPr>
          <w:rFonts w:ascii="Arial" w:eastAsia="方正黑体简体" w:hAnsi="Arial" w:cs="Arial"/>
          <w:b w:val="0"/>
          <w:bCs/>
          <w:color w:val="000000" w:themeColor="text1"/>
          <w:sz w:val="32"/>
          <w:szCs w:val="32"/>
        </w:rPr>
        <w:t>章</w:t>
      </w:r>
      <w:r w:rsidRPr="007B4794">
        <w:rPr>
          <w:rFonts w:ascii="Arial" w:eastAsia="方正黑体简体" w:hAnsi="Arial" w:cs="Arial"/>
          <w:b w:val="0"/>
          <w:bCs/>
          <w:color w:val="000000" w:themeColor="text1"/>
          <w:sz w:val="32"/>
          <w:szCs w:val="32"/>
        </w:rPr>
        <w:t xml:space="preserve">  </w:t>
      </w:r>
      <w:bookmarkEnd w:id="9"/>
      <w:r w:rsidR="00B73A84" w:rsidRPr="007B4794">
        <w:rPr>
          <w:rFonts w:ascii="Arial" w:eastAsia="方正黑体简体" w:hAnsi="Arial" w:cs="Arial" w:hint="eastAsia"/>
          <w:b w:val="0"/>
          <w:bCs/>
          <w:color w:val="000000" w:themeColor="text1"/>
          <w:sz w:val="32"/>
          <w:szCs w:val="32"/>
        </w:rPr>
        <w:t>市场调研结论与建议</w:t>
      </w:r>
      <w:bookmarkEnd w:id="84"/>
    </w:p>
    <w:p w14:paraId="0E90E295" w14:textId="08ECB9C5" w:rsidR="00770DC3" w:rsidRPr="007B4794" w:rsidRDefault="00770DC3" w:rsidP="00014AA0">
      <w:pPr>
        <w:pStyle w:val="2"/>
        <w:spacing w:before="0" w:after="0" w:line="480" w:lineRule="auto"/>
        <w:rPr>
          <w:rFonts w:eastAsia="宋体" w:cs="Arial"/>
          <w:color w:val="000000" w:themeColor="text1"/>
          <w:sz w:val="21"/>
          <w:szCs w:val="21"/>
        </w:rPr>
      </w:pPr>
      <w:bookmarkStart w:id="85" w:name="_Toc76889705"/>
      <w:bookmarkStart w:id="86" w:name="_Toc54016606"/>
      <w:r w:rsidRPr="007B4794">
        <w:rPr>
          <w:rFonts w:eastAsia="宋体" w:cs="Arial"/>
          <w:color w:val="000000" w:themeColor="text1"/>
          <w:sz w:val="21"/>
          <w:szCs w:val="21"/>
        </w:rPr>
        <w:t>一、</w:t>
      </w:r>
      <w:bookmarkEnd w:id="85"/>
      <w:r w:rsidR="009A3D56" w:rsidRPr="007B4794">
        <w:rPr>
          <w:rFonts w:eastAsia="宋体" w:cs="Arial" w:hint="eastAsia"/>
          <w:color w:val="000000" w:themeColor="text1"/>
          <w:sz w:val="21"/>
          <w:szCs w:val="21"/>
        </w:rPr>
        <w:t>宏观环境良好</w:t>
      </w:r>
      <w:bookmarkEnd w:id="86"/>
    </w:p>
    <w:p w14:paraId="45E0DC9C" w14:textId="6A8FBA76" w:rsidR="0055790E" w:rsidRPr="007B4794" w:rsidRDefault="00C31915" w:rsidP="007B4A25">
      <w:pPr>
        <w:widowControl w:val="0"/>
        <w:adjustRightInd w:val="0"/>
        <w:snapToGrid w:val="0"/>
        <w:spacing w:line="480" w:lineRule="auto"/>
        <w:ind w:firstLineChars="200" w:firstLine="420"/>
        <w:jc w:val="both"/>
        <w:rPr>
          <w:rFonts w:ascii="Arial" w:hAnsi="Arial" w:cs="Arial"/>
          <w:bCs/>
          <w:noProof/>
          <w:color w:val="000000" w:themeColor="text1"/>
          <w:sz w:val="21"/>
          <w:szCs w:val="21"/>
        </w:rPr>
      </w:pPr>
      <w:r w:rsidRPr="007B4794">
        <w:rPr>
          <w:rFonts w:ascii="Arial" w:hAnsi="Arial" w:cs="Arial" w:hint="eastAsia"/>
          <w:bCs/>
          <w:noProof/>
          <w:color w:val="000000" w:themeColor="text1"/>
          <w:sz w:val="21"/>
          <w:szCs w:val="21"/>
        </w:rPr>
        <w:t>漳州</w:t>
      </w:r>
      <w:r w:rsidR="00802599" w:rsidRPr="007B4794">
        <w:rPr>
          <w:rFonts w:ascii="Arial" w:hAnsi="Arial" w:cs="Arial" w:hint="eastAsia"/>
          <w:bCs/>
          <w:noProof/>
          <w:color w:val="000000" w:themeColor="text1"/>
          <w:sz w:val="21"/>
          <w:szCs w:val="21"/>
        </w:rPr>
        <w:t>市经济总体发展平稳，</w:t>
      </w:r>
      <w:r w:rsidR="00802599" w:rsidRPr="007B4794">
        <w:rPr>
          <w:rFonts w:ascii="Arial" w:hAnsi="Arial" w:cs="Arial" w:hint="eastAsia"/>
          <w:bCs/>
          <w:noProof/>
          <w:color w:val="000000" w:themeColor="text1"/>
          <w:sz w:val="21"/>
          <w:szCs w:val="21"/>
        </w:rPr>
        <w:t>GDP</w:t>
      </w:r>
      <w:r w:rsidR="00802599" w:rsidRPr="007B4794">
        <w:rPr>
          <w:rFonts w:ascii="Arial" w:hAnsi="Arial" w:cs="Arial" w:hint="eastAsia"/>
          <w:bCs/>
          <w:noProof/>
          <w:color w:val="000000" w:themeColor="text1"/>
          <w:sz w:val="21"/>
          <w:szCs w:val="21"/>
        </w:rPr>
        <w:t>增速处于较高水平，</w:t>
      </w:r>
      <w:r w:rsidR="00913896" w:rsidRPr="007B4794">
        <w:rPr>
          <w:rFonts w:ascii="Arial" w:hAnsi="Arial" w:cs="Arial" w:hint="eastAsia"/>
          <w:bCs/>
          <w:noProof/>
          <w:color w:val="000000" w:themeColor="text1"/>
          <w:sz w:val="21"/>
          <w:szCs w:val="21"/>
        </w:rPr>
        <w:t>调研对象</w:t>
      </w:r>
      <w:r w:rsidR="007B4A25" w:rsidRPr="007B4794">
        <w:rPr>
          <w:rFonts w:ascii="Arial" w:hAnsi="Arial" w:cs="Arial" w:hint="eastAsia"/>
          <w:bCs/>
          <w:noProof/>
          <w:color w:val="000000" w:themeColor="text1"/>
          <w:sz w:val="21"/>
          <w:szCs w:val="21"/>
        </w:rPr>
        <w:t>位于</w:t>
      </w:r>
      <w:r w:rsidRPr="007B4794">
        <w:rPr>
          <w:rFonts w:ascii="Arial" w:hAnsi="Arial" w:cs="Arial" w:hint="eastAsia"/>
          <w:color w:val="000000" w:themeColor="text1"/>
          <w:sz w:val="21"/>
          <w:szCs w:val="21"/>
        </w:rPr>
        <w:t>福建省漳州市台商投资区湖中路以北</w:t>
      </w:r>
      <w:r w:rsidR="005B7AC2" w:rsidRPr="007B4794">
        <w:rPr>
          <w:rFonts w:ascii="Arial" w:hAnsi="Arial" w:cs="Arial" w:hint="eastAsia"/>
          <w:color w:val="000000" w:themeColor="text1"/>
          <w:sz w:val="21"/>
          <w:szCs w:val="21"/>
        </w:rPr>
        <w:t>、</w:t>
      </w:r>
      <w:r w:rsidRPr="007B4794">
        <w:rPr>
          <w:rFonts w:ascii="Arial" w:hAnsi="Arial" w:cs="Arial" w:hint="eastAsia"/>
          <w:color w:val="000000" w:themeColor="text1"/>
          <w:sz w:val="21"/>
          <w:szCs w:val="21"/>
        </w:rPr>
        <w:t>锦江大道以东。漳州市总体规划</w:t>
      </w:r>
      <w:r w:rsidRPr="007B4794">
        <w:rPr>
          <w:rFonts w:ascii="Arial" w:hAnsi="Arial" w:cs="Arial"/>
          <w:color w:val="000000" w:themeColor="text1"/>
          <w:sz w:val="21"/>
          <w:szCs w:val="21"/>
        </w:rPr>
        <w:t>已确定了</w:t>
      </w:r>
      <w:r w:rsidRPr="007B4794">
        <w:rPr>
          <w:rFonts w:ascii="Arial" w:hAnsi="Arial" w:cs="Arial"/>
          <w:color w:val="000000" w:themeColor="text1"/>
          <w:sz w:val="21"/>
          <w:szCs w:val="21"/>
        </w:rPr>
        <w:t>“</w:t>
      </w:r>
      <w:r w:rsidRPr="007B4794">
        <w:rPr>
          <w:rFonts w:ascii="Arial" w:hAnsi="Arial" w:cs="Arial"/>
          <w:color w:val="000000" w:themeColor="text1"/>
          <w:sz w:val="21"/>
          <w:szCs w:val="21"/>
        </w:rPr>
        <w:t>一城两区三园，一心一轴一带</w:t>
      </w:r>
      <w:r w:rsidRPr="007B4794">
        <w:rPr>
          <w:rFonts w:ascii="Arial" w:hAnsi="Arial" w:cs="Arial"/>
          <w:color w:val="000000" w:themeColor="text1"/>
          <w:sz w:val="21"/>
          <w:szCs w:val="21"/>
        </w:rPr>
        <w:t>”</w:t>
      </w:r>
      <w:r w:rsidRPr="007B4794">
        <w:rPr>
          <w:rFonts w:ascii="Arial" w:hAnsi="Arial" w:cs="Arial"/>
          <w:color w:val="000000" w:themeColor="text1"/>
          <w:sz w:val="21"/>
          <w:szCs w:val="21"/>
        </w:rPr>
        <w:t>的城市空间结构</w:t>
      </w:r>
      <w:r w:rsidRPr="007B4794">
        <w:rPr>
          <w:rFonts w:ascii="Arial" w:hAnsi="Arial" w:cs="Arial" w:hint="eastAsia"/>
          <w:color w:val="000000" w:themeColor="text1"/>
          <w:sz w:val="21"/>
          <w:szCs w:val="21"/>
        </w:rPr>
        <w:t>。台商投资区位于漳州、厦门城市节点，是规划中的漳州市中心城区组团之一。</w:t>
      </w:r>
      <w:r w:rsidRPr="007B4794">
        <w:rPr>
          <w:rFonts w:cs="Arial" w:hint="eastAsia"/>
          <w:color w:val="000000" w:themeColor="text1"/>
          <w:sz w:val="21"/>
          <w:szCs w:val="21"/>
        </w:rPr>
        <w:t>项目位于</w:t>
      </w:r>
      <w:r w:rsidRPr="007B4794">
        <w:rPr>
          <w:rFonts w:ascii="Arial" w:hAnsi="Arial" w:cs="Arial" w:hint="eastAsia"/>
          <w:color w:val="000000" w:themeColor="text1"/>
          <w:sz w:val="21"/>
          <w:szCs w:val="21"/>
        </w:rPr>
        <w:t>台商投资区</w:t>
      </w:r>
      <w:r w:rsidRPr="007B4794">
        <w:rPr>
          <w:rFonts w:cs="Arial" w:hint="eastAsia"/>
          <w:color w:val="000000" w:themeColor="text1"/>
          <w:sz w:val="21"/>
          <w:szCs w:val="21"/>
        </w:rPr>
        <w:t>角美镇核心镇区</w:t>
      </w:r>
      <w:r w:rsidR="007B4A25" w:rsidRPr="007B4794">
        <w:rPr>
          <w:rFonts w:ascii="Arial" w:hAnsi="Arial" w:cs="Arial" w:hint="eastAsia"/>
          <w:bCs/>
          <w:noProof/>
          <w:color w:val="000000" w:themeColor="text1"/>
          <w:sz w:val="21"/>
          <w:szCs w:val="21"/>
        </w:rPr>
        <w:t>，周边商业、教育、医疗等配套设施较成熟，对于需要改善居住环境客户及</w:t>
      </w:r>
      <w:r w:rsidRPr="007B4794">
        <w:rPr>
          <w:rFonts w:ascii="Arial" w:hAnsi="Arial" w:cs="Arial" w:hint="eastAsia"/>
          <w:bCs/>
          <w:noProof/>
          <w:color w:val="000000" w:themeColor="text1"/>
          <w:sz w:val="21"/>
          <w:szCs w:val="21"/>
        </w:rPr>
        <w:t>投资</w:t>
      </w:r>
      <w:r w:rsidR="007B4A25" w:rsidRPr="007B4794">
        <w:rPr>
          <w:rFonts w:ascii="Arial" w:hAnsi="Arial" w:cs="Arial" w:hint="eastAsia"/>
          <w:bCs/>
          <w:noProof/>
          <w:color w:val="000000" w:themeColor="text1"/>
          <w:sz w:val="21"/>
          <w:szCs w:val="21"/>
        </w:rPr>
        <w:t>客户群体有一定优势</w:t>
      </w:r>
      <w:r w:rsidR="0055790E" w:rsidRPr="007B4794">
        <w:rPr>
          <w:rFonts w:ascii="Arial" w:hAnsi="Arial" w:cs="Arial" w:hint="eastAsia"/>
          <w:bCs/>
          <w:noProof/>
          <w:color w:val="000000" w:themeColor="text1"/>
          <w:sz w:val="21"/>
          <w:szCs w:val="21"/>
        </w:rPr>
        <w:t>。</w:t>
      </w:r>
    </w:p>
    <w:p w14:paraId="757C459B" w14:textId="36568D21" w:rsidR="009A3D56" w:rsidRPr="007B4794" w:rsidRDefault="009A3D56" w:rsidP="009A3D56">
      <w:pPr>
        <w:pStyle w:val="2"/>
        <w:spacing w:before="0" w:after="0" w:line="480" w:lineRule="auto"/>
        <w:rPr>
          <w:rFonts w:eastAsia="宋体" w:cs="Arial"/>
          <w:color w:val="000000" w:themeColor="text1"/>
          <w:sz w:val="21"/>
          <w:szCs w:val="21"/>
        </w:rPr>
      </w:pPr>
      <w:bookmarkStart w:id="87" w:name="_Toc54016607"/>
      <w:r w:rsidRPr="007B4794">
        <w:rPr>
          <w:rFonts w:eastAsia="宋体" w:cs="Arial" w:hint="eastAsia"/>
          <w:color w:val="000000" w:themeColor="text1"/>
          <w:sz w:val="21"/>
          <w:szCs w:val="21"/>
        </w:rPr>
        <w:t>二</w:t>
      </w:r>
      <w:r w:rsidRPr="007B4794">
        <w:rPr>
          <w:rFonts w:eastAsia="宋体" w:cs="Arial"/>
          <w:color w:val="000000" w:themeColor="text1"/>
          <w:sz w:val="21"/>
          <w:szCs w:val="21"/>
        </w:rPr>
        <w:t>、</w:t>
      </w:r>
      <w:r w:rsidRPr="007B4794">
        <w:rPr>
          <w:rFonts w:eastAsia="宋体" w:cs="Arial" w:hint="eastAsia"/>
          <w:color w:val="000000" w:themeColor="text1"/>
          <w:sz w:val="21"/>
          <w:szCs w:val="21"/>
        </w:rPr>
        <w:t>房地产市场状况平稳</w:t>
      </w:r>
      <w:bookmarkEnd w:id="87"/>
    </w:p>
    <w:p w14:paraId="30A29FF5" w14:textId="2C966469" w:rsidR="00CF19DE" w:rsidRPr="007B4794" w:rsidRDefault="00CF19DE" w:rsidP="00437AA8">
      <w:pPr>
        <w:widowControl w:val="0"/>
        <w:adjustRightInd w:val="0"/>
        <w:snapToGrid w:val="0"/>
        <w:spacing w:line="480" w:lineRule="auto"/>
        <w:ind w:firstLineChars="200" w:firstLine="420"/>
        <w:jc w:val="both"/>
        <w:rPr>
          <w:rFonts w:ascii="Arial" w:hAnsi="Arial" w:cs="Arial"/>
          <w:bCs/>
          <w:noProof/>
          <w:color w:val="000000" w:themeColor="text1"/>
          <w:sz w:val="21"/>
          <w:szCs w:val="21"/>
        </w:rPr>
      </w:pPr>
      <w:r w:rsidRPr="007B4794">
        <w:rPr>
          <w:rFonts w:ascii="Arial" w:hAnsi="Arial" w:cs="Arial" w:hint="eastAsia"/>
          <w:bCs/>
          <w:noProof/>
          <w:color w:val="000000" w:themeColor="text1"/>
          <w:sz w:val="21"/>
          <w:szCs w:val="21"/>
        </w:rPr>
        <w:t>调研对象所在区域土地用地供应量</w:t>
      </w:r>
      <w:r w:rsidR="00C5256E" w:rsidRPr="007B4794">
        <w:rPr>
          <w:rFonts w:ascii="Arial" w:hAnsi="Arial" w:cs="Arial" w:hint="eastAsia"/>
          <w:bCs/>
          <w:noProof/>
          <w:color w:val="000000" w:themeColor="text1"/>
          <w:sz w:val="21"/>
          <w:szCs w:val="21"/>
        </w:rPr>
        <w:t>近年</w:t>
      </w:r>
      <w:r w:rsidR="004738A6" w:rsidRPr="007B4794">
        <w:rPr>
          <w:rFonts w:ascii="Arial" w:hAnsi="Arial" w:cs="Arial" w:hint="eastAsia"/>
          <w:bCs/>
          <w:noProof/>
          <w:color w:val="000000" w:themeColor="text1"/>
          <w:sz w:val="21"/>
          <w:szCs w:val="21"/>
        </w:rPr>
        <w:t>有</w:t>
      </w:r>
      <w:r w:rsidR="00C31915" w:rsidRPr="007B4794">
        <w:rPr>
          <w:rFonts w:ascii="Arial" w:hAnsi="Arial" w:cs="Arial" w:hint="eastAsia"/>
          <w:bCs/>
          <w:noProof/>
          <w:color w:val="000000" w:themeColor="text1"/>
          <w:sz w:val="21"/>
          <w:szCs w:val="21"/>
        </w:rPr>
        <w:t>趋于稳定</w:t>
      </w:r>
      <w:r w:rsidRPr="007B4794">
        <w:rPr>
          <w:rFonts w:ascii="Arial" w:hAnsi="Arial" w:cs="Arial" w:hint="eastAsia"/>
          <w:bCs/>
          <w:noProof/>
          <w:color w:val="000000" w:themeColor="text1"/>
          <w:sz w:val="21"/>
          <w:szCs w:val="21"/>
        </w:rPr>
        <w:t>，成交地块</w:t>
      </w:r>
      <w:r w:rsidR="00213F80" w:rsidRPr="007B4794">
        <w:rPr>
          <w:rFonts w:ascii="Arial" w:hAnsi="Arial" w:cs="Arial" w:hint="eastAsia"/>
          <w:bCs/>
          <w:noProof/>
          <w:color w:val="000000" w:themeColor="text1"/>
          <w:sz w:val="21"/>
          <w:szCs w:val="21"/>
        </w:rPr>
        <w:t>溢价率较低</w:t>
      </w:r>
      <w:r w:rsidRPr="007B4794">
        <w:rPr>
          <w:rFonts w:ascii="Arial" w:hAnsi="Arial" w:cs="Arial" w:hint="eastAsia"/>
          <w:bCs/>
          <w:noProof/>
          <w:color w:val="000000" w:themeColor="text1"/>
          <w:sz w:val="21"/>
          <w:szCs w:val="21"/>
        </w:rPr>
        <w:t>，土地成交楼面均价呈</w:t>
      </w:r>
      <w:r w:rsidR="00213F80" w:rsidRPr="007B4794">
        <w:rPr>
          <w:rFonts w:ascii="Arial" w:hAnsi="Arial" w:cs="Arial" w:hint="eastAsia"/>
          <w:bCs/>
          <w:noProof/>
          <w:color w:val="000000" w:themeColor="text1"/>
          <w:sz w:val="21"/>
          <w:szCs w:val="21"/>
        </w:rPr>
        <w:t>稳定</w:t>
      </w:r>
      <w:r w:rsidRPr="007B4794">
        <w:rPr>
          <w:rFonts w:ascii="Arial" w:hAnsi="Arial" w:cs="Arial" w:hint="eastAsia"/>
          <w:bCs/>
          <w:noProof/>
          <w:color w:val="000000" w:themeColor="text1"/>
          <w:sz w:val="21"/>
          <w:szCs w:val="21"/>
        </w:rPr>
        <w:t>趋势</w:t>
      </w:r>
      <w:r w:rsidR="00C5256E" w:rsidRPr="007B4794">
        <w:rPr>
          <w:rFonts w:ascii="Arial" w:hAnsi="Arial" w:cs="Arial" w:hint="eastAsia"/>
          <w:bCs/>
          <w:noProof/>
          <w:color w:val="000000" w:themeColor="text1"/>
          <w:sz w:val="21"/>
          <w:szCs w:val="21"/>
        </w:rPr>
        <w:t>；</w:t>
      </w:r>
    </w:p>
    <w:p w14:paraId="53D69A8B" w14:textId="1928695F" w:rsidR="00437AA8" w:rsidRPr="007B4794" w:rsidRDefault="00C31915" w:rsidP="00437AA8">
      <w:pPr>
        <w:widowControl w:val="0"/>
        <w:adjustRightInd w:val="0"/>
        <w:snapToGrid w:val="0"/>
        <w:spacing w:line="480" w:lineRule="auto"/>
        <w:ind w:firstLineChars="200" w:firstLine="420"/>
        <w:jc w:val="both"/>
        <w:rPr>
          <w:color w:val="000000" w:themeColor="text1"/>
        </w:rPr>
      </w:pPr>
      <w:r w:rsidRPr="007B4794">
        <w:rPr>
          <w:rFonts w:ascii="Arial" w:hAnsi="Arial" w:cs="Arial" w:hint="eastAsia"/>
          <w:bCs/>
          <w:noProof/>
          <w:color w:val="000000" w:themeColor="text1"/>
          <w:sz w:val="21"/>
          <w:szCs w:val="21"/>
        </w:rPr>
        <w:t>漳州</w:t>
      </w:r>
      <w:r w:rsidR="00437AA8" w:rsidRPr="007B4794">
        <w:rPr>
          <w:rFonts w:ascii="Arial" w:hAnsi="Arial" w:cs="Arial" w:hint="eastAsia"/>
          <w:bCs/>
          <w:noProof/>
          <w:color w:val="000000" w:themeColor="text1"/>
          <w:sz w:val="21"/>
          <w:szCs w:val="21"/>
        </w:rPr>
        <w:t>市商品住宅</w:t>
      </w:r>
      <w:r w:rsidR="004738A6" w:rsidRPr="007B4794">
        <w:rPr>
          <w:rFonts w:ascii="Arial" w:hAnsi="Arial" w:cs="Arial" w:hint="eastAsia"/>
          <w:bCs/>
          <w:noProof/>
          <w:color w:val="000000" w:themeColor="text1"/>
          <w:sz w:val="21"/>
          <w:szCs w:val="21"/>
        </w:rPr>
        <w:t>现阶段市场</w:t>
      </w:r>
      <w:r w:rsidR="00437AA8" w:rsidRPr="007B4794">
        <w:rPr>
          <w:rFonts w:ascii="Arial" w:hAnsi="Arial" w:cs="Arial" w:hint="eastAsia"/>
          <w:bCs/>
          <w:noProof/>
          <w:color w:val="000000" w:themeColor="text1"/>
          <w:sz w:val="21"/>
          <w:szCs w:val="21"/>
        </w:rPr>
        <w:t>去化</w:t>
      </w:r>
      <w:r w:rsidR="004738A6" w:rsidRPr="007B4794">
        <w:rPr>
          <w:rFonts w:ascii="Arial" w:hAnsi="Arial" w:cs="Arial" w:hint="eastAsia"/>
          <w:bCs/>
          <w:noProof/>
          <w:color w:val="000000" w:themeColor="text1"/>
          <w:sz w:val="21"/>
          <w:szCs w:val="21"/>
        </w:rPr>
        <w:t>情况</w:t>
      </w:r>
      <w:r w:rsidRPr="007B4794">
        <w:rPr>
          <w:rFonts w:ascii="Arial" w:hAnsi="Arial" w:cs="Arial" w:hint="eastAsia"/>
          <w:bCs/>
          <w:noProof/>
          <w:color w:val="000000" w:themeColor="text1"/>
          <w:sz w:val="21"/>
          <w:szCs w:val="21"/>
        </w:rPr>
        <w:t>一般</w:t>
      </w:r>
      <w:r w:rsidR="00437AA8" w:rsidRPr="007B4794">
        <w:rPr>
          <w:rFonts w:ascii="Arial" w:hAnsi="Arial" w:cs="Arial" w:hint="eastAsia"/>
          <w:bCs/>
          <w:noProof/>
          <w:color w:val="000000" w:themeColor="text1"/>
          <w:sz w:val="21"/>
          <w:szCs w:val="21"/>
        </w:rPr>
        <w:t>，</w:t>
      </w:r>
      <w:r w:rsidRPr="007B4794">
        <w:rPr>
          <w:rFonts w:ascii="Arial" w:hAnsi="Arial" w:cs="Arial" w:hint="eastAsia"/>
          <w:bCs/>
          <w:noProof/>
          <w:color w:val="000000" w:themeColor="text1"/>
          <w:sz w:val="21"/>
          <w:szCs w:val="21"/>
        </w:rPr>
        <w:t>库存量较大，</w:t>
      </w:r>
      <w:r w:rsidR="004738A6" w:rsidRPr="007B4794">
        <w:rPr>
          <w:rFonts w:ascii="Arial" w:hAnsi="Arial" w:cs="Arial" w:hint="eastAsia"/>
          <w:bCs/>
          <w:noProof/>
          <w:color w:val="000000" w:themeColor="text1"/>
          <w:sz w:val="21"/>
          <w:szCs w:val="21"/>
        </w:rPr>
        <w:t>近年来</w:t>
      </w:r>
      <w:r w:rsidR="00437AA8" w:rsidRPr="007B4794">
        <w:rPr>
          <w:rFonts w:ascii="Arial" w:hAnsi="Arial" w:cs="Arial" w:hint="eastAsia"/>
          <w:bCs/>
          <w:noProof/>
          <w:color w:val="000000" w:themeColor="text1"/>
          <w:sz w:val="21"/>
          <w:szCs w:val="21"/>
        </w:rPr>
        <w:t>商品住宅用房销售均价逐年上涨，随调研项目所在区域规划逐步完善，住宅价格</w:t>
      </w:r>
      <w:r w:rsidR="00D17AEB" w:rsidRPr="007B4794">
        <w:rPr>
          <w:rFonts w:ascii="Arial" w:hAnsi="Arial" w:cs="Arial" w:hint="eastAsia"/>
          <w:bCs/>
          <w:noProof/>
          <w:color w:val="000000" w:themeColor="text1"/>
          <w:sz w:val="21"/>
          <w:szCs w:val="21"/>
        </w:rPr>
        <w:t>整体趋于稳定</w:t>
      </w:r>
      <w:r w:rsidR="00437AA8" w:rsidRPr="007B4794">
        <w:rPr>
          <w:rFonts w:ascii="Arial" w:hAnsi="Arial" w:cs="Arial" w:hint="eastAsia"/>
          <w:bCs/>
          <w:noProof/>
          <w:color w:val="000000" w:themeColor="text1"/>
          <w:sz w:val="21"/>
          <w:szCs w:val="21"/>
        </w:rPr>
        <w:t>。</w:t>
      </w:r>
    </w:p>
    <w:p w14:paraId="31241FCD" w14:textId="4CC21CFC" w:rsidR="009A3D56" w:rsidRPr="007B4794" w:rsidRDefault="009A3D56" w:rsidP="009A3D56">
      <w:pPr>
        <w:pStyle w:val="2"/>
        <w:spacing w:before="0" w:after="0" w:line="480" w:lineRule="auto"/>
        <w:rPr>
          <w:rFonts w:eastAsia="宋体" w:cs="Arial"/>
          <w:color w:val="000000" w:themeColor="text1"/>
          <w:sz w:val="21"/>
          <w:szCs w:val="21"/>
        </w:rPr>
      </w:pPr>
      <w:bookmarkStart w:id="88" w:name="_Toc54016608"/>
      <w:r w:rsidRPr="007B4794">
        <w:rPr>
          <w:rFonts w:eastAsia="宋体" w:cs="Arial" w:hint="eastAsia"/>
          <w:color w:val="000000" w:themeColor="text1"/>
          <w:sz w:val="21"/>
          <w:szCs w:val="21"/>
        </w:rPr>
        <w:t>三</w:t>
      </w:r>
      <w:r w:rsidRPr="007B4794">
        <w:rPr>
          <w:rFonts w:eastAsia="宋体" w:cs="Arial"/>
          <w:color w:val="000000" w:themeColor="text1"/>
          <w:sz w:val="21"/>
          <w:szCs w:val="21"/>
        </w:rPr>
        <w:t>、</w:t>
      </w:r>
      <w:r w:rsidRPr="007B4794">
        <w:rPr>
          <w:rFonts w:eastAsia="宋体" w:cs="Arial" w:hint="eastAsia"/>
          <w:color w:val="000000" w:themeColor="text1"/>
          <w:sz w:val="21"/>
          <w:szCs w:val="21"/>
        </w:rPr>
        <w:t>结论</w:t>
      </w:r>
      <w:bookmarkEnd w:id="88"/>
    </w:p>
    <w:p w14:paraId="0B798029" w14:textId="21EA3AD7" w:rsidR="00F009B1" w:rsidRPr="007B4794" w:rsidRDefault="00C31915" w:rsidP="00437AA8">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color w:val="000000" w:themeColor="text1"/>
          <w:sz w:val="21"/>
          <w:szCs w:val="21"/>
        </w:rPr>
        <w:t>调研对象位于</w:t>
      </w:r>
      <w:r w:rsidRPr="007B4794">
        <w:rPr>
          <w:rFonts w:ascii="Arial" w:hAnsi="Arial" w:cs="Arial" w:hint="eastAsia"/>
          <w:color w:val="000000" w:themeColor="text1"/>
          <w:sz w:val="21"/>
          <w:szCs w:val="21"/>
        </w:rPr>
        <w:t>福建省漳州市台商投资区湖中路以北锦江大道以东</w:t>
      </w:r>
      <w:r w:rsidRPr="007B4794">
        <w:rPr>
          <w:rFonts w:ascii="Arial" w:hAnsi="Arial" w:cs="Arial"/>
          <w:color w:val="000000" w:themeColor="text1"/>
          <w:sz w:val="21"/>
          <w:szCs w:val="21"/>
        </w:rPr>
        <w:t>，项目</w:t>
      </w:r>
      <w:r w:rsidRPr="007B4794">
        <w:rPr>
          <w:rFonts w:ascii="Arial" w:hAnsi="Arial" w:cs="Arial" w:hint="eastAsia"/>
          <w:color w:val="000000" w:themeColor="text1"/>
          <w:sz w:val="21"/>
          <w:szCs w:val="21"/>
        </w:rPr>
        <w:t>北至</w:t>
      </w:r>
      <w:r w:rsidRPr="007B4794">
        <w:rPr>
          <w:rFonts w:ascii="Arial" w:hAnsi="Arial" w:cs="Arial"/>
          <w:color w:val="000000" w:themeColor="text1"/>
          <w:sz w:val="21"/>
          <w:szCs w:val="21"/>
        </w:rPr>
        <w:t>悦鹭云镜地块</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南</w:t>
      </w:r>
      <w:r w:rsidRPr="007B4794">
        <w:rPr>
          <w:rFonts w:ascii="Arial" w:hAnsi="Arial" w:cs="Arial" w:hint="eastAsia"/>
          <w:color w:val="000000" w:themeColor="text1"/>
          <w:sz w:val="21"/>
          <w:szCs w:val="21"/>
        </w:rPr>
        <w:t>至</w:t>
      </w:r>
      <w:r w:rsidRPr="007B4794">
        <w:rPr>
          <w:rFonts w:ascii="Arial" w:hAnsi="Arial" w:cs="Arial"/>
          <w:color w:val="000000" w:themeColor="text1"/>
          <w:sz w:val="21"/>
          <w:szCs w:val="21"/>
        </w:rPr>
        <w:t>第三实验小学</w:t>
      </w:r>
      <w:r w:rsidRPr="007B4794">
        <w:rPr>
          <w:rFonts w:ascii="Arial" w:hAnsi="Arial" w:cs="Arial" w:hint="eastAsia"/>
          <w:color w:val="000000" w:themeColor="text1"/>
          <w:sz w:val="21"/>
          <w:szCs w:val="21"/>
        </w:rPr>
        <w:t>、西至</w:t>
      </w:r>
      <w:r w:rsidRPr="007B4794">
        <w:rPr>
          <w:rFonts w:ascii="Arial" w:hAnsi="Arial" w:cs="Arial"/>
          <w:color w:val="000000" w:themeColor="text1"/>
          <w:sz w:val="21"/>
          <w:szCs w:val="21"/>
        </w:rPr>
        <w:t>临锦江大道</w:t>
      </w: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东</w:t>
      </w:r>
      <w:r w:rsidRPr="007B4794">
        <w:rPr>
          <w:rFonts w:ascii="Arial" w:hAnsi="Arial" w:cs="Arial" w:hint="eastAsia"/>
          <w:color w:val="000000" w:themeColor="text1"/>
          <w:sz w:val="21"/>
          <w:szCs w:val="21"/>
        </w:rPr>
        <w:t>至</w:t>
      </w:r>
      <w:r w:rsidRPr="007B4794">
        <w:rPr>
          <w:rFonts w:ascii="Arial" w:hAnsi="Arial" w:cs="Arial"/>
          <w:color w:val="000000" w:themeColor="text1"/>
          <w:sz w:val="21"/>
          <w:szCs w:val="21"/>
        </w:rPr>
        <w:t>紧邻山水大道及龟山站</w:t>
      </w:r>
      <w:r w:rsidR="004E620B" w:rsidRPr="007B4794">
        <w:rPr>
          <w:rFonts w:ascii="Arial" w:hAnsi="Arial" w:cs="Arial" w:hint="eastAsia"/>
          <w:color w:val="000000" w:themeColor="text1"/>
          <w:sz w:val="21"/>
          <w:szCs w:val="21"/>
        </w:rPr>
        <w:t>。</w:t>
      </w:r>
      <w:r w:rsidRPr="007B4794">
        <w:rPr>
          <w:rFonts w:cs="Arial" w:hint="eastAsia"/>
          <w:color w:val="000000" w:themeColor="text1"/>
          <w:sz w:val="21"/>
          <w:szCs w:val="21"/>
        </w:rPr>
        <w:t>项目位于</w:t>
      </w:r>
      <w:r w:rsidRPr="007B4794">
        <w:rPr>
          <w:rFonts w:ascii="Arial" w:hAnsi="Arial" w:cs="Arial" w:hint="eastAsia"/>
          <w:color w:val="000000" w:themeColor="text1"/>
          <w:sz w:val="21"/>
          <w:szCs w:val="21"/>
        </w:rPr>
        <w:t>台商投资区</w:t>
      </w:r>
      <w:r w:rsidRPr="007B4794">
        <w:rPr>
          <w:rFonts w:cs="Arial" w:hint="eastAsia"/>
          <w:color w:val="000000" w:themeColor="text1"/>
          <w:sz w:val="21"/>
          <w:szCs w:val="21"/>
        </w:rPr>
        <w:t>角美镇核心镇区，东北</w:t>
      </w:r>
      <w:r w:rsidRPr="007B4794">
        <w:rPr>
          <w:rFonts w:ascii="Arial" w:hAnsi="Arial" w:cs="Arial"/>
          <w:color w:val="000000" w:themeColor="text1"/>
          <w:sz w:val="21"/>
          <w:szCs w:val="21"/>
        </w:rPr>
        <w:t>距</w:t>
      </w:r>
      <w:r w:rsidRPr="007B4794">
        <w:rPr>
          <w:rFonts w:ascii="Arial" w:hAnsi="Arial" w:cs="Arial" w:hint="eastAsia"/>
          <w:color w:val="000000" w:themeColor="text1"/>
          <w:sz w:val="21"/>
          <w:szCs w:val="21"/>
        </w:rPr>
        <w:t>角美镇政府约</w:t>
      </w:r>
      <w:r w:rsidRPr="007B4794">
        <w:rPr>
          <w:rFonts w:ascii="Arial" w:hAnsi="Arial" w:cs="Arial" w:hint="eastAsia"/>
          <w:color w:val="000000" w:themeColor="text1"/>
          <w:sz w:val="21"/>
          <w:szCs w:val="21"/>
        </w:rPr>
        <w:t>2</w:t>
      </w:r>
      <w:r w:rsidRPr="007B4794">
        <w:rPr>
          <w:rFonts w:ascii="Arial" w:hAnsi="Arial" w:cs="Arial" w:hint="eastAsia"/>
          <w:color w:val="000000" w:themeColor="text1"/>
          <w:sz w:val="21"/>
          <w:szCs w:val="21"/>
        </w:rPr>
        <w:t>公里，北距角美</w:t>
      </w:r>
      <w:r w:rsidRPr="007B4794">
        <w:rPr>
          <w:rFonts w:ascii="Arial" w:hAnsi="Arial" w:cs="Arial"/>
          <w:color w:val="000000" w:themeColor="text1"/>
          <w:sz w:val="21"/>
          <w:szCs w:val="21"/>
        </w:rPr>
        <w:t>站</w:t>
      </w:r>
      <w:r w:rsidRPr="007B4794">
        <w:rPr>
          <w:rFonts w:ascii="Arial" w:hAnsi="Arial" w:cs="Arial" w:hint="eastAsia"/>
          <w:color w:val="000000" w:themeColor="text1"/>
          <w:sz w:val="21"/>
          <w:szCs w:val="21"/>
        </w:rPr>
        <w:t>约</w:t>
      </w:r>
      <w:r w:rsidRPr="007B4794">
        <w:rPr>
          <w:rFonts w:ascii="Arial" w:hAnsi="Arial" w:cs="Arial" w:hint="eastAsia"/>
          <w:color w:val="000000" w:themeColor="text1"/>
          <w:sz w:val="21"/>
          <w:szCs w:val="21"/>
        </w:rPr>
        <w:t>2</w:t>
      </w:r>
      <w:r w:rsidRPr="007B4794">
        <w:rPr>
          <w:rFonts w:ascii="Arial" w:hAnsi="Arial" w:cs="Arial"/>
          <w:color w:val="000000" w:themeColor="text1"/>
          <w:sz w:val="21"/>
          <w:szCs w:val="21"/>
        </w:rPr>
        <w:t>公里，</w:t>
      </w:r>
      <w:r w:rsidRPr="007B4794">
        <w:rPr>
          <w:rFonts w:ascii="Arial" w:hAnsi="Arial" w:cs="Arial" w:hint="eastAsia"/>
          <w:color w:val="000000" w:themeColor="text1"/>
          <w:sz w:val="21"/>
          <w:szCs w:val="21"/>
        </w:rPr>
        <w:t>距离厦门高崎</w:t>
      </w:r>
      <w:r w:rsidRPr="007B4794">
        <w:rPr>
          <w:rFonts w:ascii="Arial" w:hAnsi="Arial" w:cs="Arial"/>
          <w:color w:val="000000" w:themeColor="text1"/>
          <w:sz w:val="21"/>
          <w:szCs w:val="21"/>
        </w:rPr>
        <w:t>机场</w:t>
      </w:r>
      <w:r w:rsidRPr="007B4794">
        <w:rPr>
          <w:rFonts w:ascii="Arial" w:hAnsi="Arial" w:cs="Arial" w:hint="eastAsia"/>
          <w:color w:val="000000" w:themeColor="text1"/>
          <w:sz w:val="21"/>
          <w:szCs w:val="21"/>
        </w:rPr>
        <w:t>24.5</w:t>
      </w:r>
      <w:r w:rsidRPr="007B4794">
        <w:rPr>
          <w:rFonts w:ascii="Arial" w:hAnsi="Arial" w:cs="Arial"/>
          <w:color w:val="000000" w:themeColor="text1"/>
          <w:sz w:val="21"/>
          <w:szCs w:val="21"/>
        </w:rPr>
        <w:t>公里</w:t>
      </w:r>
      <w:r w:rsidR="004E620B" w:rsidRPr="007B4794">
        <w:rPr>
          <w:rFonts w:ascii="Arial" w:hAnsi="Arial" w:cs="Arial" w:hint="eastAsia"/>
          <w:bCs/>
          <w:noProof/>
          <w:color w:val="000000" w:themeColor="text1"/>
          <w:sz w:val="21"/>
          <w:szCs w:val="21"/>
        </w:rPr>
        <w:t>，未来有一定的升值空间</w:t>
      </w:r>
      <w:r w:rsidR="00437AA8" w:rsidRPr="007B4794">
        <w:rPr>
          <w:rFonts w:ascii="Arial" w:hAnsi="Arial" w:cs="Arial" w:hint="eastAsia"/>
          <w:color w:val="000000" w:themeColor="text1"/>
          <w:sz w:val="21"/>
          <w:szCs w:val="21"/>
        </w:rPr>
        <w:t>；</w:t>
      </w:r>
    </w:p>
    <w:p w14:paraId="5A31AA0A" w14:textId="60A0E07C" w:rsidR="002F0D2C" w:rsidRPr="007B4794" w:rsidRDefault="00D17AEB" w:rsidP="00437AA8">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区域整体去化出清周期逐年缩短，但库存量较大，仍需要较长时间进行消化，但区域住宅</w:t>
      </w:r>
      <w:r w:rsidR="002F0D2C" w:rsidRPr="007B4794">
        <w:rPr>
          <w:rFonts w:ascii="Arial" w:hAnsi="Arial" w:cs="Arial" w:hint="eastAsia"/>
          <w:color w:val="000000" w:themeColor="text1"/>
          <w:sz w:val="21"/>
          <w:szCs w:val="21"/>
        </w:rPr>
        <w:t>价格</w:t>
      </w:r>
      <w:r w:rsidRPr="007B4794">
        <w:rPr>
          <w:rFonts w:ascii="Arial" w:hAnsi="Arial" w:cs="Arial" w:hint="eastAsia"/>
          <w:bCs/>
          <w:noProof/>
          <w:color w:val="000000" w:themeColor="text1"/>
          <w:sz w:val="21"/>
          <w:szCs w:val="21"/>
        </w:rPr>
        <w:t>整体趋于稳定</w:t>
      </w:r>
      <w:r w:rsidRPr="007B4794">
        <w:rPr>
          <w:rFonts w:ascii="Arial" w:hAnsi="Arial" w:cs="Arial" w:hint="eastAsia"/>
          <w:color w:val="000000" w:themeColor="text1"/>
          <w:sz w:val="21"/>
          <w:szCs w:val="21"/>
        </w:rPr>
        <w:t>。</w:t>
      </w:r>
    </w:p>
    <w:p w14:paraId="3B3D2D00" w14:textId="4C929C74" w:rsidR="009A3D56" w:rsidRPr="007B4794" w:rsidRDefault="009A3D56" w:rsidP="009A3D56">
      <w:pPr>
        <w:pStyle w:val="2"/>
        <w:spacing w:before="0" w:after="0" w:line="480" w:lineRule="auto"/>
        <w:rPr>
          <w:rFonts w:eastAsia="宋体" w:cs="Arial"/>
          <w:color w:val="000000" w:themeColor="text1"/>
          <w:sz w:val="21"/>
          <w:szCs w:val="21"/>
        </w:rPr>
      </w:pPr>
      <w:bookmarkStart w:id="89" w:name="_Toc54016609"/>
      <w:r w:rsidRPr="007B4794">
        <w:rPr>
          <w:rFonts w:eastAsia="宋体" w:cs="Arial" w:hint="eastAsia"/>
          <w:color w:val="000000" w:themeColor="text1"/>
          <w:sz w:val="21"/>
          <w:szCs w:val="21"/>
        </w:rPr>
        <w:t>四</w:t>
      </w:r>
      <w:r w:rsidRPr="007B4794">
        <w:rPr>
          <w:rFonts w:eastAsia="宋体" w:cs="Arial"/>
          <w:color w:val="000000" w:themeColor="text1"/>
          <w:sz w:val="21"/>
          <w:szCs w:val="21"/>
        </w:rPr>
        <w:t>、</w:t>
      </w:r>
      <w:r w:rsidRPr="007B4794">
        <w:rPr>
          <w:rFonts w:eastAsia="宋体" w:cs="Arial" w:hint="eastAsia"/>
          <w:color w:val="000000" w:themeColor="text1"/>
          <w:sz w:val="21"/>
          <w:szCs w:val="21"/>
        </w:rPr>
        <w:t>项目风险及建议</w:t>
      </w:r>
      <w:bookmarkEnd w:id="89"/>
    </w:p>
    <w:p w14:paraId="4AE78DC3" w14:textId="0AED4FC4" w:rsidR="009A3D56" w:rsidRPr="007B4794" w:rsidRDefault="001F2718" w:rsidP="001F2718">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（一）项目风险</w:t>
      </w:r>
    </w:p>
    <w:p w14:paraId="6602394B" w14:textId="6405A446" w:rsidR="00734B32" w:rsidRPr="007B4794" w:rsidRDefault="00734B32" w:rsidP="001F2718">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1</w:t>
      </w:r>
      <w:r w:rsidRPr="007B4794">
        <w:rPr>
          <w:rFonts w:ascii="Arial" w:hAnsi="Arial" w:cs="Arial" w:hint="eastAsia"/>
          <w:color w:val="000000" w:themeColor="text1"/>
          <w:sz w:val="21"/>
          <w:szCs w:val="21"/>
        </w:rPr>
        <w:t>、市场风险</w:t>
      </w:r>
    </w:p>
    <w:p w14:paraId="5ACD7485" w14:textId="7A81AF40" w:rsidR="00734B32" w:rsidRPr="007B4794" w:rsidRDefault="00734B32" w:rsidP="00734B32">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虽然项目所处的区位和交通等因素具有一定竞争力，企业未来也会根据项目自身特色确定市场推广方式和促销办法，但由于当前仍处于房地产调控期，未来房地产市场仍具有较大不确定性。</w:t>
      </w:r>
    </w:p>
    <w:p w14:paraId="66EB8A59" w14:textId="11448FA8" w:rsidR="00734B32" w:rsidRPr="007B4794" w:rsidRDefault="00734B32" w:rsidP="001068FE">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lastRenderedPageBreak/>
        <w:t>2</w:t>
      </w:r>
      <w:r w:rsidRPr="007B4794">
        <w:rPr>
          <w:rFonts w:ascii="Arial" w:hAnsi="Arial" w:cs="Arial" w:hint="eastAsia"/>
          <w:color w:val="000000" w:themeColor="text1"/>
          <w:sz w:val="21"/>
          <w:szCs w:val="21"/>
        </w:rPr>
        <w:t>、工期控制及取得预售风险</w:t>
      </w:r>
    </w:p>
    <w:p w14:paraId="0DCC0426" w14:textId="2D034CFE" w:rsidR="00734B32" w:rsidRPr="007B4794" w:rsidRDefault="00734B32" w:rsidP="001068FE">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项目尚处于较前期阶段，尚未取得《不动产权证书》、《建设</w:t>
      </w:r>
      <w:r w:rsidRPr="007B4794">
        <w:rPr>
          <w:rFonts w:ascii="Arial" w:hAnsi="Arial" w:cs="Arial"/>
          <w:color w:val="000000" w:themeColor="text1"/>
          <w:sz w:val="21"/>
          <w:szCs w:val="21"/>
        </w:rPr>
        <w:t>工程</w:t>
      </w:r>
      <w:r w:rsidRPr="007B4794">
        <w:rPr>
          <w:rFonts w:ascii="Arial" w:hAnsi="Arial" w:cs="Arial" w:hint="eastAsia"/>
          <w:color w:val="000000" w:themeColor="text1"/>
          <w:sz w:val="21"/>
          <w:szCs w:val="21"/>
        </w:rPr>
        <w:t>规划</w:t>
      </w:r>
      <w:r w:rsidRPr="007B4794">
        <w:rPr>
          <w:rFonts w:ascii="Arial" w:hAnsi="Arial" w:cs="Arial"/>
          <w:color w:val="000000" w:themeColor="text1"/>
          <w:sz w:val="21"/>
          <w:szCs w:val="21"/>
        </w:rPr>
        <w:t>许可证</w:t>
      </w:r>
      <w:r w:rsidRPr="007B4794">
        <w:rPr>
          <w:rFonts w:ascii="Arial" w:hAnsi="Arial" w:cs="Arial" w:hint="eastAsia"/>
          <w:color w:val="000000" w:themeColor="text1"/>
          <w:sz w:val="21"/>
          <w:szCs w:val="21"/>
        </w:rPr>
        <w:t>》、《建筑施工许可证》、《预售许可证》，能否保证工期进度、顺利取得预售、实现销售存在一定的风险。</w:t>
      </w:r>
    </w:p>
    <w:p w14:paraId="71FA9580" w14:textId="47A42A56" w:rsidR="00734B32" w:rsidRPr="007B4794" w:rsidRDefault="00734B32" w:rsidP="001068FE">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3</w:t>
      </w:r>
      <w:r w:rsidRPr="007B4794">
        <w:rPr>
          <w:rFonts w:ascii="Arial" w:hAnsi="Arial" w:cs="Arial" w:hint="eastAsia"/>
          <w:color w:val="000000" w:themeColor="text1"/>
          <w:sz w:val="21"/>
          <w:szCs w:val="21"/>
        </w:rPr>
        <w:t>、成本控制风险</w:t>
      </w:r>
    </w:p>
    <w:p w14:paraId="66C7EF02" w14:textId="35463B9F" w:rsidR="00734B32" w:rsidRPr="007B4794" w:rsidRDefault="00734B32" w:rsidP="001068FE">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随着人力物料等成本的不断上升项目的开发成本会存在一定的上升风险。</w:t>
      </w:r>
    </w:p>
    <w:p w14:paraId="4D19D590" w14:textId="189D9126" w:rsidR="001F2718" w:rsidRPr="007B4794" w:rsidRDefault="001F2718" w:rsidP="001F2718">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（二）项目防范建议</w:t>
      </w:r>
    </w:p>
    <w:p w14:paraId="298F419F" w14:textId="40D03A78" w:rsidR="00EF67B4" w:rsidRPr="007B4794" w:rsidRDefault="00EF67B4" w:rsidP="001F2718">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1</w:t>
      </w:r>
      <w:r w:rsidRPr="007B4794">
        <w:rPr>
          <w:rFonts w:ascii="Arial" w:hAnsi="Arial" w:cs="Arial" w:hint="eastAsia"/>
          <w:color w:val="000000" w:themeColor="text1"/>
          <w:sz w:val="21"/>
          <w:szCs w:val="21"/>
        </w:rPr>
        <w:t>、及时了解房地产相关政策，及时采取必要的防范措施。</w:t>
      </w:r>
    </w:p>
    <w:p w14:paraId="0F5FEACF" w14:textId="4C8B932E" w:rsidR="00EF67B4" w:rsidRPr="007B4794" w:rsidRDefault="00EF67B4" w:rsidP="001F2718">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2</w:t>
      </w:r>
      <w:r w:rsidRPr="007B4794">
        <w:rPr>
          <w:rFonts w:ascii="Arial" w:hAnsi="Arial" w:cs="Arial" w:hint="eastAsia"/>
          <w:color w:val="000000" w:themeColor="text1"/>
          <w:sz w:val="21"/>
          <w:szCs w:val="21"/>
        </w:rPr>
        <w:t>、加强与有关部门的沟通，确保项目顺利开发建设。</w:t>
      </w:r>
    </w:p>
    <w:p w14:paraId="18C291E5" w14:textId="4D8AC82D" w:rsidR="00EF67B4" w:rsidRPr="007B4794" w:rsidRDefault="00EF67B4" w:rsidP="001F2718">
      <w:pPr>
        <w:widowControl w:val="0"/>
        <w:adjustRightInd w:val="0"/>
        <w:snapToGrid w:val="0"/>
        <w:spacing w:line="480" w:lineRule="auto"/>
        <w:ind w:firstLineChars="200" w:firstLine="420"/>
        <w:jc w:val="both"/>
        <w:rPr>
          <w:rFonts w:ascii="Arial" w:hAnsi="Arial" w:cs="Arial"/>
          <w:color w:val="000000" w:themeColor="text1"/>
          <w:sz w:val="21"/>
          <w:szCs w:val="21"/>
        </w:rPr>
      </w:pPr>
      <w:r w:rsidRPr="007B4794">
        <w:rPr>
          <w:rFonts w:ascii="Arial" w:hAnsi="Arial" w:cs="Arial" w:hint="eastAsia"/>
          <w:color w:val="000000" w:themeColor="text1"/>
          <w:sz w:val="21"/>
          <w:szCs w:val="21"/>
        </w:rPr>
        <w:t>3</w:t>
      </w:r>
      <w:r w:rsidRPr="007B4794">
        <w:rPr>
          <w:rFonts w:ascii="Arial" w:hAnsi="Arial" w:cs="Arial" w:hint="eastAsia"/>
          <w:color w:val="000000" w:themeColor="text1"/>
          <w:sz w:val="21"/>
          <w:szCs w:val="21"/>
        </w:rPr>
        <w:t>、合理反映项目的成本结构，实施控制成本的措施。</w:t>
      </w:r>
    </w:p>
    <w:p w14:paraId="20402462" w14:textId="77777777" w:rsidR="00B73A84" w:rsidRPr="007B4794" w:rsidRDefault="00B73A84">
      <w:pPr>
        <w:rPr>
          <w:rFonts w:ascii="Arial" w:hAnsi="Arial" w:cs="Arial"/>
          <w:b/>
          <w:color w:val="000000" w:themeColor="text1"/>
          <w:sz w:val="21"/>
          <w:szCs w:val="21"/>
        </w:rPr>
      </w:pPr>
      <w:r w:rsidRPr="007B4794">
        <w:rPr>
          <w:rFonts w:cs="Arial"/>
          <w:color w:val="000000" w:themeColor="text1"/>
          <w:sz w:val="21"/>
          <w:szCs w:val="21"/>
        </w:rPr>
        <w:br w:type="page"/>
      </w:r>
    </w:p>
    <w:p w14:paraId="07C7C9F5" w14:textId="77777777" w:rsidR="0041265B" w:rsidRPr="007B4794" w:rsidRDefault="0041265B" w:rsidP="0041265B">
      <w:pPr>
        <w:pStyle w:val="2"/>
        <w:rPr>
          <w:rFonts w:eastAsia="仿宋_GB2312" w:cs="Arial"/>
          <w:color w:val="000000" w:themeColor="text1"/>
        </w:rPr>
        <w:sectPr w:rsidR="0041265B" w:rsidRPr="007B4794" w:rsidSect="004E620B">
          <w:pgSz w:w="11906" w:h="16838" w:code="9"/>
          <w:pgMar w:top="1843" w:right="1304" w:bottom="1134" w:left="1304" w:header="1134" w:footer="907" w:gutter="0"/>
          <w:cols w:space="425"/>
          <w:titlePg/>
          <w:docGrid w:linePitch="312"/>
        </w:sectPr>
      </w:pPr>
      <w:bookmarkStart w:id="90" w:name="_Toc121717481"/>
      <w:bookmarkStart w:id="91" w:name="_Toc121717650"/>
      <w:bookmarkStart w:id="92" w:name="_Toc121755304"/>
      <w:bookmarkStart w:id="93" w:name="_Toc122491988"/>
      <w:bookmarkStart w:id="94" w:name="_Toc122492077"/>
      <w:bookmarkStart w:id="95" w:name="_Toc128908939"/>
      <w:bookmarkStart w:id="96" w:name="_Toc129679597"/>
      <w:bookmarkStart w:id="97" w:name="_Toc129679652"/>
      <w:bookmarkStart w:id="98" w:name="_Toc130630780"/>
      <w:bookmarkStart w:id="99" w:name="_Toc130630838"/>
      <w:bookmarkStart w:id="100" w:name="_Toc130630902"/>
      <w:bookmarkStart w:id="101" w:name="_Toc130631258"/>
      <w:bookmarkStart w:id="102" w:name="_Toc130704487"/>
      <w:bookmarkStart w:id="103" w:name="_Toc130707120"/>
      <w:bookmarkStart w:id="104" w:name="_Toc130797594"/>
    </w:p>
    <w:p w14:paraId="169B61D8" w14:textId="61E75413" w:rsidR="0041265B" w:rsidRPr="007B4794" w:rsidRDefault="0041265B" w:rsidP="0041265B">
      <w:pPr>
        <w:pStyle w:val="2"/>
        <w:spacing w:before="0" w:after="0" w:line="480" w:lineRule="auto"/>
        <w:rPr>
          <w:rFonts w:eastAsia="宋体" w:cs="Arial"/>
          <w:color w:val="000000" w:themeColor="text1"/>
          <w:sz w:val="21"/>
          <w:szCs w:val="21"/>
        </w:rPr>
      </w:pPr>
      <w:bookmarkStart w:id="105" w:name="_Toc54016610"/>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7B4794">
        <w:rPr>
          <w:rFonts w:eastAsia="宋体" w:cs="Arial"/>
          <w:color w:val="000000" w:themeColor="text1"/>
          <w:sz w:val="21"/>
          <w:szCs w:val="21"/>
        </w:rPr>
        <w:lastRenderedPageBreak/>
        <w:t>附</w:t>
      </w:r>
      <w:r w:rsidR="00273199" w:rsidRPr="007B4794">
        <w:rPr>
          <w:rFonts w:eastAsia="宋体" w:cs="Arial"/>
          <w:color w:val="000000" w:themeColor="text1"/>
          <w:sz w:val="21"/>
          <w:szCs w:val="21"/>
        </w:rPr>
        <w:t>件</w:t>
      </w:r>
      <w:r w:rsidRPr="007B4794">
        <w:rPr>
          <w:rFonts w:eastAsia="宋体" w:cs="Arial"/>
          <w:color w:val="000000" w:themeColor="text1"/>
          <w:sz w:val="21"/>
          <w:szCs w:val="21"/>
        </w:rPr>
        <w:t>：</w:t>
      </w:r>
      <w:bookmarkEnd w:id="105"/>
    </w:p>
    <w:p w14:paraId="62056AE4" w14:textId="167FF550" w:rsidR="0041265B" w:rsidRPr="007B4794" w:rsidRDefault="006955B9" w:rsidP="007D4DAF">
      <w:pPr>
        <w:pStyle w:val="af1"/>
        <w:numPr>
          <w:ilvl w:val="0"/>
          <w:numId w:val="15"/>
        </w:numPr>
        <w:spacing w:line="480" w:lineRule="auto"/>
        <w:ind w:firstLineChars="0"/>
        <w:rPr>
          <w:rFonts w:ascii="Arial" w:hAnsi="Arial" w:cs="Arial"/>
          <w:color w:val="000000" w:themeColor="text1"/>
          <w:sz w:val="21"/>
          <w:szCs w:val="21"/>
        </w:rPr>
      </w:pPr>
      <w:r w:rsidRPr="007B4794">
        <w:rPr>
          <w:rFonts w:ascii="Arial" w:hAnsi="Arial" w:cs="Arial"/>
          <w:color w:val="000000" w:themeColor="text1"/>
          <w:sz w:val="21"/>
          <w:szCs w:val="21"/>
        </w:rPr>
        <w:t>估价对象所在位置示意图</w:t>
      </w:r>
    </w:p>
    <w:p w14:paraId="436943A9" w14:textId="5920A2FA" w:rsidR="004E620B" w:rsidRPr="007B4794" w:rsidRDefault="004E620B" w:rsidP="004E620B">
      <w:pPr>
        <w:pStyle w:val="af1"/>
        <w:numPr>
          <w:ilvl w:val="0"/>
          <w:numId w:val="15"/>
        </w:numPr>
        <w:spacing w:line="480" w:lineRule="auto"/>
        <w:ind w:firstLineChars="0"/>
        <w:rPr>
          <w:rFonts w:ascii="Arial" w:hAnsi="Arial" w:cs="Arial"/>
          <w:color w:val="000000" w:themeColor="text1"/>
          <w:sz w:val="21"/>
          <w:szCs w:val="21"/>
        </w:rPr>
      </w:pPr>
      <w:r w:rsidRPr="007B4794">
        <w:rPr>
          <w:rFonts w:ascii="Arial" w:hAnsi="Arial" w:cs="Arial" w:hint="eastAsia"/>
          <w:color w:val="000000" w:themeColor="text1"/>
          <w:sz w:val="21"/>
          <w:szCs w:val="21"/>
        </w:rPr>
        <w:t>《成交确认书》</w:t>
      </w:r>
    </w:p>
    <w:p w14:paraId="38557865" w14:textId="70DEA2D0" w:rsidR="004E620B" w:rsidRPr="007B4794" w:rsidRDefault="004E620B" w:rsidP="004E620B">
      <w:pPr>
        <w:pStyle w:val="af1"/>
        <w:numPr>
          <w:ilvl w:val="0"/>
          <w:numId w:val="15"/>
        </w:numPr>
        <w:spacing w:line="480" w:lineRule="auto"/>
        <w:ind w:firstLineChars="0"/>
        <w:rPr>
          <w:rFonts w:ascii="Arial" w:hAnsi="Arial" w:cs="Arial"/>
          <w:color w:val="000000" w:themeColor="text1"/>
          <w:sz w:val="21"/>
          <w:szCs w:val="21"/>
        </w:rPr>
      </w:pPr>
      <w:r w:rsidRPr="007B4794">
        <w:rPr>
          <w:rFonts w:ascii="Arial" w:hAnsi="Arial" w:cs="Arial" w:hint="eastAsia"/>
          <w:color w:val="000000" w:themeColor="text1"/>
          <w:sz w:val="21"/>
          <w:szCs w:val="21"/>
        </w:rPr>
        <w:t>《国有建设用地使用权出让合同》</w:t>
      </w:r>
      <w:r w:rsidRPr="007B4794">
        <w:rPr>
          <w:rFonts w:ascii="Arial" w:hAnsi="Arial" w:cs="Arial"/>
          <w:color w:val="000000" w:themeColor="text1"/>
          <w:sz w:val="21"/>
          <w:szCs w:val="21"/>
        </w:rPr>
        <w:t>[</w:t>
      </w:r>
      <w:r w:rsidR="006D68C2" w:rsidRPr="007B4794">
        <w:rPr>
          <w:rFonts w:ascii="Arial" w:hAnsi="Arial" w:cs="Arial"/>
          <w:color w:val="000000" w:themeColor="text1"/>
          <w:sz w:val="21"/>
          <w:szCs w:val="21"/>
        </w:rPr>
        <w:t>电子监管号：</w:t>
      </w:r>
      <w:r w:rsidR="006D68C2" w:rsidRPr="007B4794">
        <w:rPr>
          <w:rFonts w:ascii="Arial" w:hAnsi="Arial" w:cs="Arial"/>
          <w:color w:val="000000" w:themeColor="text1"/>
          <w:sz w:val="21"/>
          <w:szCs w:val="21"/>
        </w:rPr>
        <w:t>3506812020B01125</w:t>
      </w:r>
      <w:r w:rsidRPr="007B4794">
        <w:rPr>
          <w:rFonts w:ascii="Arial" w:hAnsi="Arial" w:cs="Arial"/>
          <w:color w:val="000000" w:themeColor="text1"/>
          <w:sz w:val="21"/>
          <w:szCs w:val="21"/>
        </w:rPr>
        <w:t>]</w:t>
      </w:r>
      <w:r w:rsidRPr="007B4794">
        <w:rPr>
          <w:rFonts w:ascii="Arial" w:hAnsi="Arial" w:cs="Arial"/>
          <w:color w:val="000000" w:themeColor="text1"/>
          <w:sz w:val="21"/>
          <w:szCs w:val="21"/>
        </w:rPr>
        <w:t>及附件</w:t>
      </w:r>
    </w:p>
    <w:p w14:paraId="41F897E7" w14:textId="6FF4A463" w:rsidR="004E620B" w:rsidRPr="007B4794" w:rsidRDefault="004E620B" w:rsidP="004E620B">
      <w:pPr>
        <w:pStyle w:val="af1"/>
        <w:numPr>
          <w:ilvl w:val="0"/>
          <w:numId w:val="15"/>
        </w:numPr>
        <w:spacing w:line="480" w:lineRule="auto"/>
        <w:ind w:firstLineChars="0"/>
        <w:rPr>
          <w:rFonts w:ascii="Arial" w:hAnsi="Arial" w:cs="Arial"/>
          <w:color w:val="000000" w:themeColor="text1"/>
          <w:sz w:val="21"/>
          <w:szCs w:val="21"/>
        </w:rPr>
      </w:pPr>
      <w:r w:rsidRPr="007B4794">
        <w:rPr>
          <w:rFonts w:ascii="Arial" w:hAnsi="Arial" w:cs="Arial" w:hint="eastAsia"/>
          <w:color w:val="000000" w:themeColor="text1"/>
          <w:sz w:val="21"/>
          <w:szCs w:val="21"/>
        </w:rPr>
        <w:t>《</w:t>
      </w:r>
      <w:r w:rsidR="006D68C2" w:rsidRPr="007B4794">
        <w:rPr>
          <w:rFonts w:ascii="Arial" w:hAnsi="Arial" w:cs="Arial" w:hint="eastAsia"/>
          <w:color w:val="000000" w:themeColor="text1"/>
          <w:sz w:val="21"/>
          <w:szCs w:val="21"/>
        </w:rPr>
        <w:t>漳州台商投资区（角美）</w:t>
      </w:r>
      <w:r w:rsidR="006D68C2" w:rsidRPr="007B4794">
        <w:rPr>
          <w:rFonts w:ascii="Arial" w:hAnsi="Arial" w:cs="Arial" w:hint="eastAsia"/>
          <w:color w:val="000000" w:themeColor="text1"/>
          <w:sz w:val="21"/>
          <w:szCs w:val="21"/>
        </w:rPr>
        <w:t>05</w:t>
      </w:r>
      <w:r w:rsidR="006D68C2" w:rsidRPr="007B4794">
        <w:rPr>
          <w:rFonts w:ascii="Arial" w:hAnsi="Arial" w:cs="Arial" w:hint="eastAsia"/>
          <w:color w:val="000000" w:themeColor="text1"/>
          <w:sz w:val="21"/>
          <w:szCs w:val="21"/>
        </w:rPr>
        <w:t>地块目投资分析报告</w:t>
      </w:r>
      <w:r w:rsidRPr="007B4794">
        <w:rPr>
          <w:rFonts w:ascii="Arial" w:hAnsi="Arial" w:cs="Arial" w:hint="eastAsia"/>
          <w:color w:val="000000" w:themeColor="text1"/>
          <w:sz w:val="21"/>
          <w:szCs w:val="21"/>
        </w:rPr>
        <w:t>》</w:t>
      </w:r>
    </w:p>
    <w:p w14:paraId="128DADB3" w14:textId="796FED8E" w:rsidR="007D4DAF" w:rsidRPr="007B4794" w:rsidRDefault="006955B9" w:rsidP="007D4DAF">
      <w:pPr>
        <w:pStyle w:val="af1"/>
        <w:numPr>
          <w:ilvl w:val="0"/>
          <w:numId w:val="15"/>
        </w:numPr>
        <w:spacing w:line="480" w:lineRule="auto"/>
        <w:ind w:firstLineChars="0"/>
        <w:rPr>
          <w:rFonts w:ascii="Arial" w:hAnsi="Arial" w:cs="Arial"/>
          <w:color w:val="000000" w:themeColor="text1"/>
          <w:sz w:val="21"/>
          <w:szCs w:val="21"/>
        </w:rPr>
      </w:pPr>
      <w:r w:rsidRPr="007B4794">
        <w:rPr>
          <w:rFonts w:ascii="Arial" w:hAnsi="Arial" w:cs="Arial" w:hint="eastAsia"/>
          <w:color w:val="000000" w:themeColor="text1"/>
          <w:sz w:val="21"/>
          <w:szCs w:val="21"/>
        </w:rPr>
        <w:t>《</w:t>
      </w:r>
      <w:r w:rsidRPr="007B4794">
        <w:rPr>
          <w:rFonts w:ascii="Arial" w:hAnsi="Arial" w:cs="Arial"/>
          <w:color w:val="000000" w:themeColor="text1"/>
          <w:sz w:val="21"/>
          <w:szCs w:val="21"/>
        </w:rPr>
        <w:t>聘用确认单</w:t>
      </w:r>
      <w:r w:rsidRPr="007B4794">
        <w:rPr>
          <w:rFonts w:ascii="Arial" w:hAnsi="Arial" w:cs="Arial" w:hint="eastAsia"/>
          <w:color w:val="000000" w:themeColor="text1"/>
          <w:sz w:val="21"/>
          <w:szCs w:val="21"/>
        </w:rPr>
        <w:t>》</w:t>
      </w:r>
    </w:p>
    <w:p w14:paraId="3F725791" w14:textId="541C3713" w:rsidR="0041265B" w:rsidRPr="007B4794" w:rsidRDefault="00B73A84" w:rsidP="007D4DAF">
      <w:pPr>
        <w:pStyle w:val="af1"/>
        <w:numPr>
          <w:ilvl w:val="0"/>
          <w:numId w:val="15"/>
        </w:numPr>
        <w:spacing w:line="480" w:lineRule="auto"/>
        <w:ind w:firstLineChars="0"/>
        <w:rPr>
          <w:rFonts w:ascii="Arial" w:hAnsi="Arial" w:cs="Arial"/>
          <w:color w:val="000000" w:themeColor="text1"/>
          <w:sz w:val="21"/>
          <w:szCs w:val="21"/>
        </w:rPr>
      </w:pPr>
      <w:r w:rsidRPr="007B4794">
        <w:rPr>
          <w:rFonts w:ascii="Arial" w:hAnsi="Arial" w:cs="Arial" w:hint="eastAsia"/>
          <w:color w:val="000000" w:themeColor="text1"/>
          <w:sz w:val="21"/>
          <w:szCs w:val="21"/>
        </w:rPr>
        <w:t>委托方营业执照</w:t>
      </w:r>
    </w:p>
    <w:p w14:paraId="631BB601" w14:textId="77777777" w:rsidR="006955B9" w:rsidRPr="007B4794" w:rsidRDefault="006955B9" w:rsidP="006955B9">
      <w:pPr>
        <w:pStyle w:val="af1"/>
        <w:numPr>
          <w:ilvl w:val="0"/>
          <w:numId w:val="15"/>
        </w:numPr>
        <w:spacing w:line="480" w:lineRule="auto"/>
        <w:ind w:firstLineChars="0"/>
        <w:rPr>
          <w:rFonts w:ascii="Arial" w:hAnsi="Arial" w:cs="Arial"/>
          <w:color w:val="000000" w:themeColor="text1"/>
          <w:sz w:val="21"/>
          <w:szCs w:val="21"/>
        </w:rPr>
      </w:pPr>
      <w:r w:rsidRPr="007B4794">
        <w:rPr>
          <w:rFonts w:ascii="Arial" w:hAnsi="Arial" w:cs="Arial"/>
          <w:color w:val="000000" w:themeColor="text1"/>
          <w:sz w:val="21"/>
          <w:szCs w:val="21"/>
        </w:rPr>
        <w:t>房地产估价机构《营业执照（副本）》复印件</w:t>
      </w:r>
    </w:p>
    <w:p w14:paraId="7A274E5C" w14:textId="77777777" w:rsidR="006955B9" w:rsidRPr="007B4794" w:rsidRDefault="006955B9" w:rsidP="006955B9">
      <w:pPr>
        <w:pStyle w:val="af1"/>
        <w:numPr>
          <w:ilvl w:val="0"/>
          <w:numId w:val="15"/>
        </w:numPr>
        <w:spacing w:line="480" w:lineRule="auto"/>
        <w:ind w:firstLineChars="0"/>
        <w:rPr>
          <w:rFonts w:ascii="Arial" w:hAnsi="Arial" w:cs="Arial"/>
          <w:color w:val="000000" w:themeColor="text1"/>
          <w:sz w:val="21"/>
          <w:szCs w:val="21"/>
        </w:rPr>
        <w:sectPr w:rsidR="006955B9" w:rsidRPr="007B4794" w:rsidSect="006955B9">
          <w:headerReference w:type="even" r:id="rId73"/>
          <w:headerReference w:type="default" r:id="rId74"/>
          <w:headerReference w:type="first" r:id="rId75"/>
          <w:pgSz w:w="11906" w:h="16838" w:code="9"/>
          <w:pgMar w:top="1134" w:right="2041" w:bottom="1134" w:left="1134" w:header="1304" w:footer="1020" w:gutter="0"/>
          <w:cols w:space="425"/>
          <w:titlePg/>
          <w:docGrid w:linePitch="326"/>
        </w:sectPr>
      </w:pPr>
      <w:r w:rsidRPr="007B4794">
        <w:rPr>
          <w:rFonts w:ascii="Arial" w:hAnsi="Arial" w:cs="Arial"/>
          <w:color w:val="000000" w:themeColor="text1"/>
          <w:sz w:val="21"/>
          <w:szCs w:val="21"/>
        </w:rPr>
        <w:t>房地产估价机构</w:t>
      </w:r>
      <w:r w:rsidRPr="007B4794">
        <w:rPr>
          <w:rFonts w:ascii="Arial" w:hAnsi="Arial" w:cs="Arial" w:hint="eastAsia"/>
          <w:color w:val="000000" w:themeColor="text1"/>
          <w:sz w:val="21"/>
          <w:szCs w:val="21"/>
        </w:rPr>
        <w:t>估价资质</w:t>
      </w:r>
      <w:r w:rsidRPr="007B4794">
        <w:rPr>
          <w:rFonts w:ascii="Arial" w:hAnsi="Arial" w:cs="Arial"/>
          <w:color w:val="000000" w:themeColor="text1"/>
          <w:sz w:val="21"/>
          <w:szCs w:val="21"/>
        </w:rPr>
        <w:t>证书复印件</w:t>
      </w:r>
    </w:p>
    <w:p w14:paraId="0651D9D4" w14:textId="50F61FD9" w:rsidR="006955B9" w:rsidRPr="007B4794" w:rsidRDefault="006955B9" w:rsidP="006955B9">
      <w:pPr>
        <w:rPr>
          <w:rFonts w:ascii="Arial" w:hAnsi="Arial" w:cs="Arial"/>
          <w:color w:val="000000" w:themeColor="text1"/>
          <w:sz w:val="21"/>
          <w:szCs w:val="21"/>
        </w:rPr>
      </w:pPr>
    </w:p>
    <w:p w14:paraId="5B8F0541" w14:textId="77777777" w:rsidR="0041265B" w:rsidRPr="007B4794" w:rsidRDefault="00E462EF" w:rsidP="00E462EF">
      <w:pPr>
        <w:adjustRightInd w:val="0"/>
        <w:snapToGrid w:val="0"/>
        <w:spacing w:line="480" w:lineRule="auto"/>
        <w:rPr>
          <w:rFonts w:ascii="Arial" w:hAnsi="Arial" w:cs="Arial"/>
          <w:color w:val="000000" w:themeColor="text1"/>
          <w:szCs w:val="21"/>
        </w:rPr>
      </w:pPr>
      <w:r w:rsidRPr="007B4794">
        <w:rPr>
          <w:rFonts w:ascii="Arial" w:hAnsi="Arial" w:cs="Arial"/>
          <w:color w:val="000000" w:themeColor="text1"/>
          <w:szCs w:val="21"/>
        </w:rPr>
        <w:t>附</w:t>
      </w:r>
      <w:r w:rsidRPr="007B4794">
        <w:rPr>
          <w:rFonts w:ascii="Arial" w:hAnsi="Arial" w:cs="Arial" w:hint="eastAsia"/>
          <w:color w:val="000000" w:themeColor="text1"/>
          <w:szCs w:val="21"/>
        </w:rPr>
        <w:t>：</w:t>
      </w:r>
    </w:p>
    <w:p w14:paraId="460A09DC" w14:textId="77777777" w:rsidR="009755AF" w:rsidRPr="007B4794" w:rsidRDefault="009755AF" w:rsidP="009755AF">
      <w:pPr>
        <w:jc w:val="center"/>
        <w:rPr>
          <w:rFonts w:ascii="楷体_GB2312" w:eastAsia="楷体_GB2312"/>
          <w:color w:val="000000" w:themeColor="text1"/>
          <w:sz w:val="44"/>
          <w:szCs w:val="44"/>
        </w:rPr>
      </w:pPr>
      <w:r w:rsidRPr="007B4794">
        <w:rPr>
          <w:rFonts w:ascii="楷体_GB2312" w:eastAsia="楷体_GB2312" w:hint="eastAsia"/>
          <w:color w:val="000000" w:themeColor="text1"/>
          <w:sz w:val="44"/>
          <w:szCs w:val="44"/>
        </w:rPr>
        <w:t>聘用确认单</w:t>
      </w:r>
    </w:p>
    <w:p w14:paraId="0A2918B6" w14:textId="77777777" w:rsidR="009755AF" w:rsidRPr="007B4794" w:rsidRDefault="009755AF" w:rsidP="009755AF">
      <w:pPr>
        <w:jc w:val="right"/>
        <w:rPr>
          <w:rFonts w:ascii="楷体_GB2312" w:eastAsia="楷体_GB2312"/>
          <w:color w:val="000000" w:themeColor="text1"/>
          <w:sz w:val="28"/>
          <w:szCs w:val="28"/>
        </w:rPr>
      </w:pPr>
      <w:r w:rsidRPr="007B4794">
        <w:rPr>
          <w:rFonts w:ascii="楷体_GB2312" w:eastAsia="楷体_GB2312" w:hint="eastAsia"/>
          <w:color w:val="000000" w:themeColor="text1"/>
          <w:sz w:val="28"/>
          <w:szCs w:val="28"/>
        </w:rPr>
        <w:t>编号：【2020-PGFW-OMP0018】</w:t>
      </w:r>
    </w:p>
    <w:p w14:paraId="65A5C526" w14:textId="77777777" w:rsidR="009755AF" w:rsidRPr="007B4794" w:rsidRDefault="009755AF" w:rsidP="009755AF">
      <w:pPr>
        <w:spacing w:line="360" w:lineRule="auto"/>
        <w:rPr>
          <w:rFonts w:ascii="楷体_GB2312" w:eastAsia="楷体_GB2312"/>
          <w:color w:val="000000" w:themeColor="text1"/>
          <w:sz w:val="28"/>
          <w:szCs w:val="28"/>
        </w:rPr>
      </w:pPr>
      <w:r w:rsidRPr="007B4794">
        <w:rPr>
          <w:rFonts w:ascii="楷体_GB2312" w:eastAsia="楷体_GB2312" w:hint="eastAsia"/>
          <w:color w:val="000000" w:themeColor="text1"/>
          <w:sz w:val="28"/>
          <w:szCs w:val="28"/>
        </w:rPr>
        <w:t>北京康正宏基房地产评估有限公司：</w:t>
      </w:r>
    </w:p>
    <w:p w14:paraId="23892423" w14:textId="77777777" w:rsidR="009755AF" w:rsidRPr="007B4794" w:rsidRDefault="009755AF" w:rsidP="009755AF">
      <w:pPr>
        <w:spacing w:line="360" w:lineRule="auto"/>
        <w:ind w:firstLineChars="200" w:firstLine="560"/>
        <w:rPr>
          <w:rFonts w:ascii="楷体_GB2312" w:eastAsia="楷体_GB2312"/>
          <w:color w:val="000000" w:themeColor="text1"/>
          <w:sz w:val="28"/>
          <w:szCs w:val="28"/>
        </w:rPr>
      </w:pPr>
      <w:r w:rsidRPr="007B4794">
        <w:rPr>
          <w:rFonts w:ascii="楷体_GB2312" w:eastAsia="楷体_GB2312" w:hint="eastAsia"/>
          <w:color w:val="000000" w:themeColor="text1"/>
          <w:sz w:val="28"/>
          <w:szCs w:val="28"/>
        </w:rPr>
        <w:t>本次我司赵雪鹰团队因</w:t>
      </w:r>
      <w:bookmarkStart w:id="106" w:name="_Hlk510195909"/>
      <w:r w:rsidRPr="007B4794">
        <w:rPr>
          <w:rFonts w:ascii="楷体_GB2312" w:eastAsia="楷体_GB2312" w:hint="eastAsia"/>
          <w:color w:val="000000" w:themeColor="text1"/>
          <w:sz w:val="28"/>
          <w:szCs w:val="28"/>
          <w:u w:val="single"/>
        </w:rPr>
        <w:t>【五矿信托-恒信国兴X号-鑫悦15号集合资金信托计划】</w:t>
      </w:r>
      <w:r w:rsidRPr="007B4794">
        <w:rPr>
          <w:rFonts w:ascii="楷体_GB2312" w:eastAsia="楷体_GB2312" w:hint="eastAsia"/>
          <w:color w:val="000000" w:themeColor="text1"/>
          <w:sz w:val="28"/>
          <w:szCs w:val="28"/>
        </w:rPr>
        <w:t>需聘用贵司对本项目提供项目尽调服务</w:t>
      </w:r>
      <w:bookmarkEnd w:id="106"/>
      <w:r w:rsidRPr="007B4794">
        <w:rPr>
          <w:rFonts w:ascii="楷体_GB2312" w:eastAsia="楷体_GB2312" w:hint="eastAsia"/>
          <w:color w:val="000000" w:themeColor="text1"/>
          <w:sz w:val="28"/>
          <w:szCs w:val="28"/>
        </w:rPr>
        <w:t>，现对本次聘用事宜确认如下：</w:t>
      </w:r>
    </w:p>
    <w:tbl>
      <w:tblPr>
        <w:tblStyle w:val="af0"/>
        <w:tblW w:w="0" w:type="auto"/>
        <w:jc w:val="center"/>
        <w:tblLook w:val="04A0" w:firstRow="1" w:lastRow="0" w:firstColumn="1" w:lastColumn="0" w:noHBand="0" w:noVBand="1"/>
      </w:tblPr>
      <w:tblGrid>
        <w:gridCol w:w="2446"/>
        <w:gridCol w:w="2374"/>
        <w:gridCol w:w="2983"/>
        <w:gridCol w:w="2268"/>
        <w:gridCol w:w="2824"/>
      </w:tblGrid>
      <w:tr w:rsidR="007B4794" w:rsidRPr="007B4794" w14:paraId="7D50F3CD" w14:textId="77777777" w:rsidTr="009755AF">
        <w:trPr>
          <w:jc w:val="center"/>
        </w:trPr>
        <w:tc>
          <w:tcPr>
            <w:tcW w:w="2446" w:type="dxa"/>
            <w:tcBorders>
              <w:top w:val="single" w:sz="4" w:space="0" w:color="auto"/>
              <w:left w:val="single" w:sz="4" w:space="0" w:color="auto"/>
              <w:bottom w:val="single" w:sz="4" w:space="0" w:color="auto"/>
              <w:right w:val="single" w:sz="4" w:space="0" w:color="auto"/>
            </w:tcBorders>
            <w:hideMark/>
          </w:tcPr>
          <w:p w14:paraId="5F3C2AAE" w14:textId="77777777" w:rsidR="009755AF" w:rsidRPr="007B4794" w:rsidRDefault="009755AF">
            <w:pPr>
              <w:widowControl w:val="0"/>
              <w:spacing w:line="360" w:lineRule="auto"/>
              <w:jc w:val="center"/>
              <w:rPr>
                <w:rFonts w:ascii="楷体_GB2312" w:eastAsia="楷体_GB2312" w:hAnsiTheme="minorHAnsi"/>
                <w:color w:val="000000" w:themeColor="text1"/>
                <w:kern w:val="2"/>
                <w:sz w:val="28"/>
                <w:szCs w:val="28"/>
              </w:rPr>
            </w:pPr>
            <w:r w:rsidRPr="007B4794">
              <w:rPr>
                <w:rFonts w:ascii="楷体_GB2312" w:eastAsia="楷体_GB2312" w:hint="eastAsia"/>
                <w:color w:val="000000" w:themeColor="text1"/>
                <w:sz w:val="28"/>
                <w:szCs w:val="28"/>
              </w:rPr>
              <w:t>聘用部门</w:t>
            </w:r>
          </w:p>
        </w:tc>
        <w:tc>
          <w:tcPr>
            <w:tcW w:w="2374" w:type="dxa"/>
            <w:tcBorders>
              <w:top w:val="single" w:sz="4" w:space="0" w:color="auto"/>
              <w:left w:val="single" w:sz="4" w:space="0" w:color="auto"/>
              <w:bottom w:val="single" w:sz="4" w:space="0" w:color="auto"/>
              <w:right w:val="single" w:sz="4" w:space="0" w:color="auto"/>
            </w:tcBorders>
            <w:hideMark/>
          </w:tcPr>
          <w:p w14:paraId="223E387E" w14:textId="77777777" w:rsidR="009755AF" w:rsidRPr="007B4794" w:rsidRDefault="009755AF">
            <w:pPr>
              <w:widowControl w:val="0"/>
              <w:spacing w:line="360" w:lineRule="auto"/>
              <w:jc w:val="center"/>
              <w:rPr>
                <w:rFonts w:ascii="楷体_GB2312" w:eastAsia="楷体_GB2312" w:hAnsiTheme="minorHAnsi"/>
                <w:color w:val="000000" w:themeColor="text1"/>
                <w:kern w:val="2"/>
                <w:sz w:val="28"/>
                <w:szCs w:val="28"/>
              </w:rPr>
            </w:pPr>
            <w:r w:rsidRPr="007B4794">
              <w:rPr>
                <w:rFonts w:ascii="楷体_GB2312" w:eastAsia="楷体_GB2312" w:hint="eastAsia"/>
                <w:color w:val="000000" w:themeColor="text1"/>
                <w:sz w:val="28"/>
                <w:szCs w:val="28"/>
              </w:rPr>
              <w:t>服务内容</w:t>
            </w:r>
          </w:p>
        </w:tc>
        <w:tc>
          <w:tcPr>
            <w:tcW w:w="2983" w:type="dxa"/>
            <w:tcBorders>
              <w:top w:val="single" w:sz="4" w:space="0" w:color="auto"/>
              <w:left w:val="single" w:sz="4" w:space="0" w:color="auto"/>
              <w:bottom w:val="single" w:sz="4" w:space="0" w:color="auto"/>
              <w:right w:val="single" w:sz="4" w:space="0" w:color="auto"/>
            </w:tcBorders>
            <w:hideMark/>
          </w:tcPr>
          <w:p w14:paraId="480A0719" w14:textId="77777777" w:rsidR="009755AF" w:rsidRPr="007B4794" w:rsidRDefault="009755AF">
            <w:pPr>
              <w:widowControl w:val="0"/>
              <w:spacing w:line="360" w:lineRule="auto"/>
              <w:jc w:val="center"/>
              <w:rPr>
                <w:rFonts w:ascii="楷体_GB2312" w:eastAsia="楷体_GB2312" w:hAnsiTheme="minorHAnsi"/>
                <w:color w:val="000000" w:themeColor="text1"/>
                <w:kern w:val="2"/>
                <w:sz w:val="28"/>
                <w:szCs w:val="28"/>
              </w:rPr>
            </w:pPr>
            <w:r w:rsidRPr="007B4794">
              <w:rPr>
                <w:rFonts w:ascii="楷体_GB2312" w:eastAsia="楷体_GB2312" w:hint="eastAsia"/>
                <w:color w:val="000000" w:themeColor="text1"/>
                <w:sz w:val="28"/>
                <w:szCs w:val="28"/>
              </w:rPr>
              <w:t>收费金额</w:t>
            </w:r>
          </w:p>
        </w:tc>
        <w:tc>
          <w:tcPr>
            <w:tcW w:w="2268" w:type="dxa"/>
            <w:tcBorders>
              <w:top w:val="single" w:sz="4" w:space="0" w:color="auto"/>
              <w:left w:val="single" w:sz="4" w:space="0" w:color="auto"/>
              <w:bottom w:val="single" w:sz="4" w:space="0" w:color="auto"/>
              <w:right w:val="single" w:sz="4" w:space="0" w:color="auto"/>
            </w:tcBorders>
            <w:hideMark/>
          </w:tcPr>
          <w:p w14:paraId="43BF354E" w14:textId="77777777" w:rsidR="009755AF" w:rsidRPr="007B4794" w:rsidRDefault="009755AF">
            <w:pPr>
              <w:widowControl w:val="0"/>
              <w:spacing w:line="360" w:lineRule="auto"/>
              <w:jc w:val="center"/>
              <w:rPr>
                <w:rFonts w:ascii="楷体_GB2312" w:eastAsia="楷体_GB2312" w:hAnsiTheme="minorHAnsi"/>
                <w:color w:val="000000" w:themeColor="text1"/>
                <w:kern w:val="2"/>
                <w:sz w:val="28"/>
                <w:szCs w:val="28"/>
              </w:rPr>
            </w:pPr>
            <w:r w:rsidRPr="007B4794">
              <w:rPr>
                <w:rFonts w:ascii="楷体_GB2312" w:eastAsia="楷体_GB2312" w:hint="eastAsia"/>
                <w:color w:val="000000" w:themeColor="text1"/>
                <w:sz w:val="28"/>
                <w:szCs w:val="28"/>
              </w:rPr>
              <w:t>委派人员姓名</w:t>
            </w:r>
          </w:p>
        </w:tc>
        <w:tc>
          <w:tcPr>
            <w:tcW w:w="2824" w:type="dxa"/>
            <w:tcBorders>
              <w:top w:val="single" w:sz="4" w:space="0" w:color="auto"/>
              <w:left w:val="single" w:sz="4" w:space="0" w:color="auto"/>
              <w:bottom w:val="single" w:sz="4" w:space="0" w:color="auto"/>
              <w:right w:val="single" w:sz="4" w:space="0" w:color="auto"/>
            </w:tcBorders>
            <w:hideMark/>
          </w:tcPr>
          <w:p w14:paraId="196CC868" w14:textId="77777777" w:rsidR="009755AF" w:rsidRPr="007B4794" w:rsidRDefault="009755AF">
            <w:pPr>
              <w:widowControl w:val="0"/>
              <w:spacing w:line="360" w:lineRule="auto"/>
              <w:jc w:val="center"/>
              <w:rPr>
                <w:rFonts w:ascii="楷体_GB2312" w:eastAsia="楷体_GB2312" w:hAnsiTheme="minorHAnsi"/>
                <w:color w:val="000000" w:themeColor="text1"/>
                <w:kern w:val="2"/>
                <w:sz w:val="28"/>
                <w:szCs w:val="28"/>
              </w:rPr>
            </w:pPr>
            <w:r w:rsidRPr="007B4794">
              <w:rPr>
                <w:rFonts w:ascii="楷体_GB2312" w:eastAsia="楷体_GB2312" w:hint="eastAsia"/>
                <w:color w:val="000000" w:themeColor="text1"/>
                <w:sz w:val="28"/>
                <w:szCs w:val="28"/>
              </w:rPr>
              <w:t>委派人员联系方式</w:t>
            </w:r>
          </w:p>
        </w:tc>
      </w:tr>
      <w:tr w:rsidR="007B4794" w:rsidRPr="007B4794" w14:paraId="74CBBCF1" w14:textId="77777777" w:rsidTr="009755AF">
        <w:trPr>
          <w:jc w:val="center"/>
        </w:trPr>
        <w:tc>
          <w:tcPr>
            <w:tcW w:w="2446" w:type="dxa"/>
            <w:tcBorders>
              <w:top w:val="single" w:sz="4" w:space="0" w:color="auto"/>
              <w:left w:val="single" w:sz="4" w:space="0" w:color="auto"/>
              <w:bottom w:val="single" w:sz="4" w:space="0" w:color="auto"/>
              <w:right w:val="single" w:sz="4" w:space="0" w:color="auto"/>
            </w:tcBorders>
            <w:hideMark/>
          </w:tcPr>
          <w:p w14:paraId="25A5FE41" w14:textId="77777777" w:rsidR="009755AF" w:rsidRPr="007B4794" w:rsidRDefault="009755AF">
            <w:pPr>
              <w:widowControl w:val="0"/>
              <w:spacing w:line="360" w:lineRule="auto"/>
              <w:jc w:val="center"/>
              <w:rPr>
                <w:rFonts w:ascii="楷体_GB2312" w:eastAsia="楷体_GB2312" w:hAnsiTheme="minorHAnsi"/>
                <w:color w:val="000000" w:themeColor="text1"/>
                <w:kern w:val="2"/>
                <w:sz w:val="28"/>
                <w:szCs w:val="28"/>
              </w:rPr>
            </w:pPr>
            <w:r w:rsidRPr="007B4794">
              <w:rPr>
                <w:rFonts w:ascii="楷体_GB2312" w:eastAsia="楷体_GB2312" w:hint="eastAsia"/>
                <w:color w:val="000000" w:themeColor="text1"/>
                <w:sz w:val="28"/>
                <w:szCs w:val="28"/>
              </w:rPr>
              <w:t>赵雪鹰团队</w:t>
            </w:r>
          </w:p>
        </w:tc>
        <w:tc>
          <w:tcPr>
            <w:tcW w:w="2374" w:type="dxa"/>
            <w:tcBorders>
              <w:top w:val="single" w:sz="4" w:space="0" w:color="auto"/>
              <w:left w:val="single" w:sz="4" w:space="0" w:color="auto"/>
              <w:bottom w:val="single" w:sz="4" w:space="0" w:color="auto"/>
              <w:right w:val="single" w:sz="4" w:space="0" w:color="auto"/>
            </w:tcBorders>
            <w:hideMark/>
          </w:tcPr>
          <w:p w14:paraId="6C17C3F9" w14:textId="77777777" w:rsidR="009755AF" w:rsidRPr="007B4794" w:rsidRDefault="009755AF">
            <w:pPr>
              <w:widowControl w:val="0"/>
              <w:spacing w:line="360" w:lineRule="auto"/>
              <w:jc w:val="center"/>
              <w:rPr>
                <w:rFonts w:ascii="楷体_GB2312" w:eastAsia="楷体_GB2312" w:hAnsiTheme="minorHAnsi"/>
                <w:color w:val="000000" w:themeColor="text1"/>
                <w:kern w:val="2"/>
                <w:sz w:val="28"/>
                <w:szCs w:val="28"/>
              </w:rPr>
            </w:pPr>
            <w:r w:rsidRPr="007B4794">
              <w:rPr>
                <w:rFonts w:ascii="楷体_GB2312" w:eastAsia="楷体_GB2312" w:hint="eastAsia"/>
                <w:color w:val="000000" w:themeColor="text1"/>
                <w:sz w:val="28"/>
                <w:szCs w:val="28"/>
              </w:rPr>
              <w:t>项目尽调（市调）</w:t>
            </w:r>
          </w:p>
        </w:tc>
        <w:tc>
          <w:tcPr>
            <w:tcW w:w="2983" w:type="dxa"/>
            <w:tcBorders>
              <w:top w:val="single" w:sz="4" w:space="0" w:color="auto"/>
              <w:left w:val="single" w:sz="4" w:space="0" w:color="auto"/>
              <w:bottom w:val="single" w:sz="4" w:space="0" w:color="auto"/>
              <w:right w:val="single" w:sz="4" w:space="0" w:color="auto"/>
            </w:tcBorders>
            <w:hideMark/>
          </w:tcPr>
          <w:p w14:paraId="66C628C8" w14:textId="77777777" w:rsidR="009755AF" w:rsidRPr="007B4794" w:rsidRDefault="009755AF">
            <w:pPr>
              <w:widowControl w:val="0"/>
              <w:spacing w:line="360" w:lineRule="auto"/>
              <w:jc w:val="center"/>
              <w:rPr>
                <w:rFonts w:ascii="楷体_GB2312" w:eastAsia="楷体_GB2312" w:hAnsiTheme="minorHAnsi"/>
                <w:color w:val="000000" w:themeColor="text1"/>
                <w:kern w:val="2"/>
                <w:sz w:val="28"/>
                <w:szCs w:val="28"/>
              </w:rPr>
            </w:pPr>
            <w:r w:rsidRPr="007B4794">
              <w:rPr>
                <w:rFonts w:ascii="楷体_GB2312" w:eastAsia="楷体_GB2312" w:hint="eastAsia"/>
                <w:color w:val="000000" w:themeColor="text1"/>
                <w:sz w:val="28"/>
                <w:szCs w:val="28"/>
              </w:rPr>
              <w:t>55,000元</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B176E20" w14:textId="77777777" w:rsidR="009755AF" w:rsidRPr="007B4794" w:rsidRDefault="009755AF">
            <w:pPr>
              <w:widowControl w:val="0"/>
              <w:spacing w:line="360" w:lineRule="auto"/>
              <w:jc w:val="center"/>
              <w:rPr>
                <w:rFonts w:ascii="楷体_GB2312" w:eastAsia="楷体_GB2312" w:hAnsiTheme="minorHAnsi"/>
                <w:color w:val="000000" w:themeColor="text1"/>
                <w:kern w:val="2"/>
                <w:sz w:val="28"/>
                <w:szCs w:val="28"/>
              </w:rPr>
            </w:pPr>
            <w:r w:rsidRPr="007B4794">
              <w:rPr>
                <w:rFonts w:ascii="楷体_GB2312" w:eastAsia="楷体_GB2312" w:hint="eastAsia"/>
                <w:color w:val="000000" w:themeColor="text1"/>
                <w:sz w:val="28"/>
                <w:szCs w:val="28"/>
              </w:rPr>
              <w:t>郑</w:t>
            </w:r>
            <w:r w:rsidRPr="007B4794">
              <w:rPr>
                <w:rFonts w:ascii="微软雅黑" w:eastAsia="微软雅黑" w:hAnsi="微软雅黑" w:cs="微软雅黑" w:hint="eastAsia"/>
                <w:color w:val="000000" w:themeColor="text1"/>
                <w:sz w:val="28"/>
                <w:szCs w:val="28"/>
              </w:rPr>
              <w:t>燚</w:t>
            </w:r>
          </w:p>
        </w:tc>
        <w:tc>
          <w:tcPr>
            <w:tcW w:w="2824" w:type="dxa"/>
            <w:tcBorders>
              <w:top w:val="single" w:sz="4" w:space="0" w:color="auto"/>
              <w:left w:val="single" w:sz="4" w:space="0" w:color="auto"/>
              <w:bottom w:val="single" w:sz="4" w:space="0" w:color="auto"/>
              <w:right w:val="single" w:sz="4" w:space="0" w:color="auto"/>
            </w:tcBorders>
            <w:vAlign w:val="center"/>
            <w:hideMark/>
          </w:tcPr>
          <w:p w14:paraId="2CE8A9ED" w14:textId="77777777" w:rsidR="009755AF" w:rsidRPr="007B4794" w:rsidRDefault="009755AF">
            <w:pPr>
              <w:widowControl w:val="0"/>
              <w:spacing w:line="360" w:lineRule="auto"/>
              <w:jc w:val="center"/>
              <w:rPr>
                <w:rFonts w:ascii="楷体_GB2312" w:eastAsia="楷体_GB2312" w:hAnsiTheme="minorHAnsi"/>
                <w:color w:val="000000" w:themeColor="text1"/>
                <w:kern w:val="2"/>
                <w:sz w:val="28"/>
                <w:szCs w:val="28"/>
              </w:rPr>
            </w:pPr>
            <w:r w:rsidRPr="007B4794">
              <w:rPr>
                <w:rFonts w:ascii="楷体_GB2312" w:eastAsia="楷体_GB2312" w:hint="eastAsia"/>
                <w:color w:val="000000" w:themeColor="text1"/>
                <w:sz w:val="28"/>
                <w:szCs w:val="28"/>
              </w:rPr>
              <w:t>13910606725</w:t>
            </w:r>
          </w:p>
        </w:tc>
      </w:tr>
    </w:tbl>
    <w:p w14:paraId="471C4D35" w14:textId="77777777" w:rsidR="009755AF" w:rsidRPr="007B4794" w:rsidRDefault="009755AF" w:rsidP="009755AF">
      <w:pPr>
        <w:spacing w:line="360" w:lineRule="auto"/>
        <w:ind w:firstLineChars="200" w:firstLine="560"/>
        <w:rPr>
          <w:rFonts w:ascii="楷体_GB2312" w:eastAsia="楷体_GB2312" w:hAnsiTheme="minorHAnsi" w:cstheme="minorBidi"/>
          <w:color w:val="000000" w:themeColor="text1"/>
          <w:kern w:val="2"/>
          <w:sz w:val="28"/>
          <w:szCs w:val="28"/>
        </w:rPr>
      </w:pPr>
      <w:r w:rsidRPr="007B4794">
        <w:rPr>
          <w:rFonts w:ascii="楷体_GB2312" w:eastAsia="楷体_GB2312" w:hint="eastAsia"/>
          <w:color w:val="000000" w:themeColor="text1"/>
          <w:sz w:val="28"/>
          <w:szCs w:val="28"/>
        </w:rPr>
        <w:t>烦请收到本确认单后，尽快协调安排人员开展本次项目尽调工作。</w:t>
      </w:r>
    </w:p>
    <w:p w14:paraId="23CAB40F" w14:textId="77777777" w:rsidR="009755AF" w:rsidRPr="007B4794" w:rsidRDefault="009755AF" w:rsidP="009755AF">
      <w:pPr>
        <w:spacing w:line="360" w:lineRule="auto"/>
        <w:ind w:firstLineChars="200" w:firstLine="560"/>
        <w:jc w:val="right"/>
        <w:rPr>
          <w:rFonts w:ascii="楷体_GB2312" w:eastAsia="楷体_GB2312"/>
          <w:color w:val="000000" w:themeColor="text1"/>
          <w:sz w:val="28"/>
          <w:szCs w:val="28"/>
        </w:rPr>
      </w:pPr>
      <w:r w:rsidRPr="007B4794">
        <w:rPr>
          <w:rFonts w:ascii="楷体_GB2312" w:eastAsia="楷体_GB2312" w:hint="eastAsia"/>
          <w:color w:val="000000" w:themeColor="text1"/>
          <w:sz w:val="28"/>
          <w:szCs w:val="28"/>
        </w:rPr>
        <w:t>五矿国际信托有限公司合规风控管理总部</w:t>
      </w:r>
    </w:p>
    <w:p w14:paraId="326A7A11" w14:textId="77777777" w:rsidR="009755AF" w:rsidRPr="007B4794" w:rsidRDefault="009755AF" w:rsidP="009755AF">
      <w:pPr>
        <w:spacing w:line="360" w:lineRule="auto"/>
        <w:ind w:firstLineChars="200" w:firstLine="560"/>
        <w:jc w:val="right"/>
        <w:rPr>
          <w:rFonts w:ascii="楷体_GB2312" w:eastAsia="楷体_GB2312"/>
          <w:color w:val="000000" w:themeColor="text1"/>
          <w:sz w:val="28"/>
          <w:szCs w:val="28"/>
        </w:rPr>
      </w:pPr>
      <w:r w:rsidRPr="007B4794">
        <w:rPr>
          <w:rFonts w:ascii="楷体_GB2312" w:eastAsia="楷体_GB2312" w:hint="eastAsia"/>
          <w:color w:val="000000" w:themeColor="text1"/>
          <w:sz w:val="28"/>
          <w:szCs w:val="28"/>
        </w:rPr>
        <w:t>2020年11月23日</w:t>
      </w:r>
    </w:p>
    <w:p w14:paraId="533438F5" w14:textId="77777777" w:rsidR="00E462EF" w:rsidRPr="007B4794" w:rsidRDefault="00E462EF" w:rsidP="00C20ACD">
      <w:pPr>
        <w:jc w:val="center"/>
        <w:rPr>
          <w:rFonts w:ascii="Arial" w:hAnsi="Arial" w:cs="Arial"/>
          <w:color w:val="000000" w:themeColor="text1"/>
          <w:szCs w:val="21"/>
        </w:rPr>
      </w:pPr>
    </w:p>
    <w:sectPr w:rsidR="00E462EF" w:rsidRPr="007B4794" w:rsidSect="006955B9">
      <w:pgSz w:w="16838" w:h="11906" w:orient="landscape" w:code="9"/>
      <w:pgMar w:top="2041" w:right="1134" w:bottom="1134" w:left="1134" w:header="1304" w:footer="1020" w:gutter="0"/>
      <w:cols w:space="425"/>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A41446" w14:textId="77777777" w:rsidR="00447D63" w:rsidRDefault="00447D63">
      <w:r>
        <w:separator/>
      </w:r>
    </w:p>
  </w:endnote>
  <w:endnote w:type="continuationSeparator" w:id="0">
    <w:p w14:paraId="4A4C9E22" w14:textId="77777777" w:rsidR="00447D63" w:rsidRDefault="00447D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GungsuhChe">
    <w:panose1 w:val="02030609000101010101"/>
    <w:charset w:val="81"/>
    <w:family w:val="modern"/>
    <w:pitch w:val="fixed"/>
    <w:sig w:usb0="B00002AF" w:usb1="69D77CFB" w:usb2="00000030" w:usb3="00000000" w:csb0="0008009F" w:csb1="00000000"/>
  </w:font>
  <w:font w:name="方正剪纸简体">
    <w:altName w:val="宋体"/>
    <w:panose1 w:val="00000000000000000000"/>
    <w:charset w:val="86"/>
    <w:family w:val="roman"/>
    <w:notTrueType/>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新宋体">
    <w:panose1 w:val="02010609030101010101"/>
    <w:charset w:val="86"/>
    <w:family w:val="modern"/>
    <w:pitch w:val="fixed"/>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隶书">
    <w:panose1 w:val="02010509060101010101"/>
    <w:charset w:val="86"/>
    <w:family w:val="modern"/>
    <w:pitch w:val="fixed"/>
    <w:sig w:usb0="00000001" w:usb1="080E0000" w:usb2="00000010" w:usb3="00000000" w:csb0="00040000" w:csb1="00000000"/>
  </w:font>
  <w:font w:name="Adobe 黑体 Std R">
    <w:altName w:val="微软雅黑"/>
    <w:panose1 w:val="00000000000000000000"/>
    <w:charset w:val="86"/>
    <w:family w:val="swiss"/>
    <w:notTrueType/>
    <w:pitch w:val="variable"/>
    <w:sig w:usb0="00000000" w:usb1="0A0F1810" w:usb2="00000016" w:usb3="00000000" w:csb0="00060007" w:csb1="00000000"/>
  </w:font>
  <w:font w:name="微软雅黑">
    <w:panose1 w:val="020B0503020204020204"/>
    <w:charset w:val="86"/>
    <w:family w:val="swiss"/>
    <w:pitch w:val="variable"/>
    <w:sig w:usb0="80000287" w:usb1="280F3C52" w:usb2="00000016" w:usb3="00000000" w:csb0="0004001F" w:csb1="00000000"/>
  </w:font>
  <w:font w:name="等线">
    <w:altName w:val="Arial Unicode MS"/>
    <w:charset w:val="86"/>
    <w:family w:val="auto"/>
    <w:pitch w:val="variable"/>
    <w:sig w:usb0="00000000" w:usb1="38CF7CFA" w:usb2="00000016" w:usb3="00000000" w:csb0="0004000F" w:csb1="00000000"/>
  </w:font>
  <w:font w:name="方正黑体简体">
    <w:altName w:val="Arial Unicode MS"/>
    <w:charset w:val="86"/>
    <w:family w:val="auto"/>
    <w:pitch w:val="variable"/>
    <w:sig w:usb0="00000000"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华文细黑">
    <w:panose1 w:val="02010600040101010101"/>
    <w:charset w:val="86"/>
    <w:family w:val="auto"/>
    <w:pitch w:val="variable"/>
    <w:sig w:usb0="00000287" w:usb1="080F0000" w:usb2="00000010" w:usb3="00000000" w:csb0="0004009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CE139" w14:textId="77777777" w:rsidR="0041327D" w:rsidRDefault="0041327D">
    <w:pPr>
      <w:pStyle w:val="a3"/>
      <w:pBdr>
        <w:bottom w:val="none" w:sz="0" w:space="0" w:color="auto"/>
      </w:pBd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55482" w14:textId="77777777" w:rsidR="0041327D" w:rsidRDefault="0041327D">
    <w:pPr>
      <w:pStyle w:val="a3"/>
      <w:pBdr>
        <w:bottom w:val="none" w:sz="0" w:space="0" w:color="auto"/>
      </w:pBd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FAF3B" w14:textId="77777777" w:rsidR="0041327D" w:rsidRPr="005B21CF" w:rsidRDefault="0041327D" w:rsidP="009B0B0F">
    <w:pPr>
      <w:pStyle w:val="a3"/>
      <w:pBdr>
        <w:top w:val="single" w:sz="4" w:space="1" w:color="auto"/>
        <w:bottom w:val="none" w:sz="0" w:space="0" w:color="auto"/>
      </w:pBdr>
      <w:jc w:val="center"/>
      <w:rPr>
        <w:rFonts w:ascii="Arial" w:hAnsi="Arial" w:cs="Arial"/>
      </w:rPr>
    </w:pPr>
    <w:r w:rsidRPr="005B21CF">
      <w:rPr>
        <w:rStyle w:val="a4"/>
        <w:rFonts w:ascii="Arial" w:hAnsi="Arial" w:cs="Arial"/>
      </w:rPr>
      <w:fldChar w:fldCharType="begin"/>
    </w:r>
    <w:r w:rsidRPr="005B21CF">
      <w:rPr>
        <w:rStyle w:val="a4"/>
        <w:rFonts w:ascii="Arial" w:hAnsi="Arial" w:cs="Arial"/>
      </w:rPr>
      <w:instrText xml:space="preserve"> PAGE </w:instrText>
    </w:r>
    <w:r w:rsidRPr="005B21CF">
      <w:rPr>
        <w:rStyle w:val="a4"/>
        <w:rFonts w:ascii="Arial" w:hAnsi="Arial" w:cs="Arial"/>
      </w:rPr>
      <w:fldChar w:fldCharType="separate"/>
    </w:r>
    <w:r w:rsidR="00BE00B6">
      <w:rPr>
        <w:rStyle w:val="a4"/>
        <w:rFonts w:ascii="Arial" w:hAnsi="Arial" w:cs="Arial"/>
        <w:noProof/>
      </w:rPr>
      <w:t>6</w:t>
    </w:r>
    <w:r w:rsidRPr="005B21CF">
      <w:rPr>
        <w:rStyle w:val="a4"/>
        <w:rFonts w:ascii="Arial" w:hAnsi="Arial"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5C0C7" w14:textId="77777777" w:rsidR="0041327D" w:rsidRPr="006D7B2E" w:rsidRDefault="0041327D" w:rsidP="009B0B0F">
    <w:pPr>
      <w:pStyle w:val="a3"/>
      <w:pBdr>
        <w:top w:val="single" w:sz="4" w:space="1" w:color="auto"/>
        <w:bottom w:val="none" w:sz="0" w:space="0" w:color="auto"/>
      </w:pBdr>
      <w:jc w:val="center"/>
      <w:rPr>
        <w:rFonts w:ascii="Arial" w:hAnsi="Arial" w:cs="Arial"/>
      </w:rPr>
    </w:pPr>
    <w:r w:rsidRPr="006D7B2E">
      <w:rPr>
        <w:rStyle w:val="a4"/>
        <w:rFonts w:ascii="Arial" w:hAnsi="Arial" w:cs="Arial"/>
      </w:rPr>
      <w:fldChar w:fldCharType="begin"/>
    </w:r>
    <w:r w:rsidRPr="006D7B2E">
      <w:rPr>
        <w:rStyle w:val="a4"/>
        <w:rFonts w:ascii="Arial" w:hAnsi="Arial" w:cs="Arial"/>
      </w:rPr>
      <w:instrText xml:space="preserve"> PAGE </w:instrText>
    </w:r>
    <w:r w:rsidRPr="006D7B2E">
      <w:rPr>
        <w:rStyle w:val="a4"/>
        <w:rFonts w:ascii="Arial" w:hAnsi="Arial" w:cs="Arial"/>
      </w:rPr>
      <w:fldChar w:fldCharType="separate"/>
    </w:r>
    <w:r w:rsidR="00BE00B6">
      <w:rPr>
        <w:rStyle w:val="a4"/>
        <w:rFonts w:ascii="Arial" w:hAnsi="Arial" w:cs="Arial"/>
        <w:noProof/>
      </w:rPr>
      <w:t>59</w:t>
    </w:r>
    <w:r w:rsidRPr="006D7B2E">
      <w:rPr>
        <w:rStyle w:val="a4"/>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C34F60" w14:textId="77777777" w:rsidR="00447D63" w:rsidRDefault="00447D63">
      <w:r>
        <w:separator/>
      </w:r>
    </w:p>
  </w:footnote>
  <w:footnote w:type="continuationSeparator" w:id="0">
    <w:p w14:paraId="578B173F" w14:textId="77777777" w:rsidR="00447D63" w:rsidRDefault="00447D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FFF75" w14:textId="27F7DE3C" w:rsidR="007B4794" w:rsidRDefault="007B4794">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7CC4B" w14:textId="316E56DF" w:rsidR="0041327D" w:rsidRDefault="0041327D">
    <w:pPr>
      <w:pStyle w:val="a5"/>
    </w:pPr>
    <w:r>
      <w:rPr>
        <w:noProof/>
      </w:rPr>
      <mc:AlternateContent>
        <mc:Choice Requires="wps">
          <w:drawing>
            <wp:anchor distT="0" distB="0" distL="114300" distR="114300" simplePos="0" relativeHeight="251679744" behindDoc="1" locked="0" layoutInCell="0" allowOverlap="1" wp14:anchorId="6302A6EE" wp14:editId="0D349E03">
              <wp:simplePos x="0" y="0"/>
              <wp:positionH relativeFrom="margin">
                <wp:align>center</wp:align>
              </wp:positionH>
              <wp:positionV relativeFrom="margin">
                <wp:align>center</wp:align>
              </wp:positionV>
              <wp:extent cx="5549265" cy="2774315"/>
              <wp:effectExtent l="0" t="0" r="3810" b="0"/>
              <wp:wrapNone/>
              <wp:docPr id="16" name="PowerPlusWaterMarkObject19315088"/>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txBox="1">
                      <a:spLocks noGrp="1" noRot="1" noChangeAspect="1" noEditPoints="1" noAdjustHandles="1" noChangeArrowheads="1" noChangeShapeType="1"/>
                    </wps:cNvSpPr>
                    <wps:spPr bwMode="auto">
                      <a:xfrm rot="-2700000">
                        <a:off x="0" y="0"/>
                        <a:ext cx="5549265" cy="277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26C40" w14:textId="77777777" w:rsidR="0041327D" w:rsidRDefault="0041327D" w:rsidP="006101B7">
                          <w:pPr>
                            <w:jc w:val="center"/>
                          </w:pPr>
                          <w:r>
                            <w:rPr>
                              <w:rFonts w:hint="eastAsia"/>
                              <w:color w:val="C0C0C0"/>
                              <w:sz w:val="72"/>
                              <w:szCs w:val="72"/>
                              <w14:textFill>
                                <w14:solidFill>
                                  <w14:srgbClr w14:val="C0C0C0">
                                    <w14:alpha w14:val="50000"/>
                                  </w14:srgbClr>
                                </w14:solidFill>
                              </w14:textFill>
                            </w:rPr>
                            <w:t>初稿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werPlusWaterMarkObject19315088" o:spid="_x0000_s1029" type="#_x0000_t202" style="position:absolute;left:0;text-align:left;margin-left:0;margin-top:0;width:436.95pt;height:218.45pt;rotation:-45;z-index:-251636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" o:allowincell="f" filled="f" stroked="f">
              <o:lock v:ext="edit" rotation="t" aspectratio="t" verticies="t" adjusthandles="t" grouping="t" shapetype="t"/>
              <v:textbox>
                <w:txbxContent>
                  <w:p w14:paraId="3AB26C40" w14:textId="77777777" w:rsidR="0041327D" w:rsidRDefault="0041327D" w:rsidP="006101B7">
                    <w:pPr>
                      <w:jc w:val="center"/>
                    </w:pPr>
                    <w:r>
                      <w:rPr>
                        <w:rFonts w:hint="eastAsia"/>
                        <w:color w:val="C0C0C0"/>
                        <w:sz w:val="72"/>
                        <w:szCs w:val="72"/>
                        <w14:textFill>
                          <w14:solidFill>
                            <w14:srgbClr w14:val="C0C0C0">
                              <w14:alpha w14:val="50000"/>
                            </w14:srgbClr>
                          </w14:solidFill>
                        </w14:textFill>
                      </w:rPr>
                      <w:t>初稿</w:t>
                    </w:r>
                  </w:p>
                </w:txbxContent>
              </v:textbox>
              <w10:wrap anchorx="margin" anchory="margin"/>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55F57" w14:textId="71077E34" w:rsidR="0041327D" w:rsidRDefault="0041327D" w:rsidP="00BF6021">
    <w:pPr>
      <w:pStyle w:val="a5"/>
      <w:pBdr>
        <w:bottom w:val="none" w:sz="0" w:space="0" w:color="auto"/>
      </w:pBdr>
    </w:pPr>
    <w:r>
      <w:rPr>
        <w:noProof/>
      </w:rPr>
      <w:drawing>
        <wp:inline distT="0" distB="0" distL="0" distR="0" wp14:anchorId="59B097EA" wp14:editId="66C0D3EE">
          <wp:extent cx="5899785" cy="286385"/>
          <wp:effectExtent l="0" t="0" r="5715" b="0"/>
          <wp:docPr id="6" name="图片 6"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EE49E" w14:textId="04F7CC89" w:rsidR="0041327D" w:rsidRPr="00500171" w:rsidRDefault="0041327D" w:rsidP="009B0B0F">
    <w:pPr>
      <w:pStyle w:val="a5"/>
      <w:pBdr>
        <w:bottom w:val="none" w:sz="0" w:space="0" w:color="auto"/>
      </w:pBdr>
    </w:pPr>
    <w:r>
      <w:rPr>
        <w:noProof/>
      </w:rPr>
      <w:drawing>
        <wp:inline distT="0" distB="0" distL="0" distR="0" wp14:anchorId="3BA723CC" wp14:editId="3AB670F4">
          <wp:extent cx="5899785" cy="286385"/>
          <wp:effectExtent l="0" t="0" r="5715" b="0"/>
          <wp:docPr id="7" name="图片 7"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9FE3D8" w14:textId="4DED96D1" w:rsidR="0041327D" w:rsidRDefault="0041327D">
    <w:pPr>
      <w:pStyle w:val="a5"/>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2AF5B" w14:textId="2EBFAD4A" w:rsidR="0041327D" w:rsidRDefault="0041327D">
    <w:pPr>
      <w:pStyle w:val="a5"/>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16EB5" w14:textId="47817EE3" w:rsidR="0041327D" w:rsidRPr="00500171" w:rsidRDefault="0041327D" w:rsidP="009B0B0F">
    <w:pPr>
      <w:pStyle w:val="a5"/>
      <w:pBdr>
        <w:bottom w:val="none" w:sz="0" w:space="0" w:color="auto"/>
      </w:pBdr>
    </w:pPr>
    <w:r>
      <w:rPr>
        <w:noProof/>
      </w:rPr>
      <w:drawing>
        <wp:inline distT="0" distB="0" distL="0" distR="0" wp14:anchorId="0542CB07" wp14:editId="6E738A55">
          <wp:extent cx="5899785" cy="286385"/>
          <wp:effectExtent l="0" t="0" r="5715" b="0"/>
          <wp:docPr id="9" name="图片 9"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39EA4" w14:textId="46CFFCA0" w:rsidR="0041327D" w:rsidRDefault="0041327D">
    <w:pPr>
      <w:pStyle w:val="a5"/>
    </w:pPr>
    <w:r>
      <w:rPr>
        <w:noProof/>
      </w:rPr>
      <mc:AlternateContent>
        <mc:Choice Requires="wps">
          <w:drawing>
            <wp:anchor distT="0" distB="0" distL="114300" distR="114300" simplePos="0" relativeHeight="251681792" behindDoc="1" locked="0" layoutInCell="0" allowOverlap="1" wp14:anchorId="618EC0F5" wp14:editId="3C8D6E5D">
              <wp:simplePos x="0" y="0"/>
              <wp:positionH relativeFrom="margin">
                <wp:align>center</wp:align>
              </wp:positionH>
              <wp:positionV relativeFrom="margin">
                <wp:align>center</wp:align>
              </wp:positionV>
              <wp:extent cx="5549265" cy="2774315"/>
              <wp:effectExtent l="0" t="1066800" r="0" b="997585"/>
              <wp:wrapNone/>
              <wp:docPr id="28"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49265" cy="27743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6B3E23" w14:textId="77777777" w:rsidR="0041327D" w:rsidRDefault="0041327D" w:rsidP="00225405">
                          <w:pPr>
                            <w:jc w:val="center"/>
                          </w:pPr>
                          <w:r>
                            <w:rPr>
                              <w:rFonts w:hint="eastAsia"/>
                              <w:color w:val="C0C0C0"/>
                              <w:sz w:val="2"/>
                              <w:szCs w:val="2"/>
                              <w14:textFill>
                                <w14:solidFill>
                                  <w14:srgbClr w14:val="C0C0C0">
                                    <w14:alpha w14:val="50000"/>
                                  </w14:srgbClr>
                                </w14:solidFill>
                              </w14:textFill>
                            </w:rPr>
                            <w:t>初稿</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3" o:spid="_x0000_s1030" type="#_x0000_t202" style="position:absolute;left:0;text-align:left;margin-left:0;margin-top:0;width:436.95pt;height:218.45pt;rotation:-45;z-index:-251634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" o:allowincell="f" filled="f" stroked="f">
              <v:stroke joinstyle="round"/>
              <o:lock v:ext="edit" text="t" shapetype="t"/>
              <v:textbox style="mso-fit-shape-to-text:t">
                <w:txbxContent>
                  <w:p w14:paraId="5C6B3E23" w14:textId="77777777" w:rsidR="0041327D" w:rsidRDefault="0041327D" w:rsidP="00225405">
                    <w:pPr>
                      <w:jc w:val="center"/>
                    </w:pPr>
                    <w:r>
                      <w:rPr>
                        <w:rFonts w:hint="eastAsia"/>
                        <w:color w:val="C0C0C0"/>
                        <w:sz w:val="2"/>
                        <w:szCs w:val="2"/>
                        <w14:textFill>
                          <w14:solidFill>
                            <w14:srgbClr w14:val="C0C0C0">
                              <w14:alpha w14:val="50000"/>
                            </w14:srgbClr>
                          </w14:solidFill>
                        </w14:textFill>
                      </w:rPr>
                      <w:t>初稿</w:t>
                    </w:r>
                  </w:p>
                </w:txbxContent>
              </v:textbox>
              <w10:wrap anchorx="margin" anchory="margin"/>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F3C2A" w14:textId="341B65F6" w:rsidR="0041327D" w:rsidRDefault="0041327D">
    <w:pPr>
      <w:pStyle w:val="a5"/>
    </w:pPr>
    <w:r>
      <w:rPr>
        <w:noProof/>
      </w:rPr>
      <w:drawing>
        <wp:inline distT="0" distB="0" distL="0" distR="0" wp14:anchorId="18CFCD30" wp14:editId="76FF7763">
          <wp:extent cx="5899785" cy="286385"/>
          <wp:effectExtent l="0" t="0" r="5715" b="0"/>
          <wp:docPr id="22" name="图片 22"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7F4B" w14:textId="0A67AFCD" w:rsidR="0041327D" w:rsidRPr="00500171" w:rsidRDefault="0041327D" w:rsidP="00225405">
    <w:pPr>
      <w:pStyle w:val="a5"/>
      <w:pBdr>
        <w:bottom w:val="none" w:sz="0" w:space="0" w:color="auto"/>
      </w:pBdr>
    </w:pPr>
    <w:r>
      <w:rPr>
        <w:noProof/>
      </w:rPr>
      <w:drawing>
        <wp:inline distT="0" distB="0" distL="0" distR="0" wp14:anchorId="4193FFB6" wp14:editId="65C5AE6D">
          <wp:extent cx="5899785" cy="286385"/>
          <wp:effectExtent l="0" t="0" r="5715" b="0"/>
          <wp:docPr id="26" name="图片 26"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91560" w14:textId="5776580F" w:rsidR="0041327D" w:rsidRDefault="0041327D">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66234" w14:textId="6B1558EB" w:rsidR="0041327D" w:rsidRPr="00D3274A" w:rsidRDefault="0041327D" w:rsidP="009B0B0F">
    <w:pPr>
      <w:pStyle w:val="a5"/>
      <w:pBdr>
        <w:bottom w:val="none" w:sz="0" w:space="0" w:color="auto"/>
      </w:pBdr>
      <w:rPr>
        <w:b/>
        <w:bCs/>
        <w:sz w:val="24"/>
      </w:rPr>
    </w:pPr>
    <w:r>
      <w:rPr>
        <w:noProof/>
      </w:rPr>
      <w:drawing>
        <wp:inline distT="0" distB="0" distL="0" distR="0" wp14:anchorId="425BFFA9" wp14:editId="5E6BBB2D">
          <wp:extent cx="5899785" cy="286385"/>
          <wp:effectExtent l="0" t="0" r="5715" b="0"/>
          <wp:docPr id="39" name="图片 39"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894CD" w14:textId="721D23A5" w:rsidR="0041327D" w:rsidRDefault="0041327D">
    <w:pPr>
      <w:pStyle w:val="a5"/>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B89C3" w14:textId="1A234E0F" w:rsidR="0041327D" w:rsidRPr="00500171" w:rsidRDefault="0041327D" w:rsidP="009B0B0F">
    <w:pPr>
      <w:pStyle w:val="a5"/>
      <w:pBdr>
        <w:bottom w:val="none" w:sz="0" w:space="0" w:color="auto"/>
      </w:pBdr>
    </w:pPr>
    <w:r>
      <w:rPr>
        <w:noProof/>
      </w:rPr>
      <w:drawing>
        <wp:inline distT="0" distB="0" distL="0" distR="0" wp14:anchorId="33D5F6F0" wp14:editId="326F1CF8">
          <wp:extent cx="5899785" cy="286385"/>
          <wp:effectExtent l="0" t="0" r="5715" b="0"/>
          <wp:docPr id="1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2C7A6" w14:textId="060FD1FF" w:rsidR="0041327D" w:rsidRPr="009B0B0F" w:rsidRDefault="0041327D" w:rsidP="009B0B0F">
    <w:pPr>
      <w:pStyle w:val="a5"/>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72392" w14:textId="204BDA6E" w:rsidR="0041327D" w:rsidRDefault="0041327D">
    <w:pPr>
      <w:pStyle w:val="a5"/>
    </w:pPr>
    <w:r>
      <w:rPr>
        <w:noProof/>
      </w:rPr>
      <mc:AlternateContent>
        <mc:Choice Requires="wps">
          <w:drawing>
            <wp:anchor distT="0" distB="0" distL="114300" distR="114300" simplePos="0" relativeHeight="251667456" behindDoc="1" locked="0" layoutInCell="0" allowOverlap="1" wp14:anchorId="1F8B9E7E" wp14:editId="098CB84A">
              <wp:simplePos x="0" y="0"/>
              <wp:positionH relativeFrom="margin">
                <wp:align>center</wp:align>
              </wp:positionH>
              <wp:positionV relativeFrom="margin">
                <wp:align>center</wp:align>
              </wp:positionV>
              <wp:extent cx="5549265" cy="2774315"/>
              <wp:effectExtent l="0" t="0" r="3810" b="0"/>
              <wp:wrapNone/>
              <wp:docPr id="29" name="PowerPlusWaterMarkObject1931508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txBox="1">
                      <a:spLocks noGrp="1" noRot="1" noChangeAspect="1" noEditPoints="1" noAdjustHandles="1" noChangeArrowheads="1" noChangeShapeType="1"/>
                    </wps:cNvSpPr>
                    <wps:spPr bwMode="auto">
                      <a:xfrm rot="-2700000">
                        <a:off x="0" y="0"/>
                        <a:ext cx="5549265" cy="277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DF284" w14:textId="77777777" w:rsidR="0041327D" w:rsidRDefault="0041327D" w:rsidP="004140BA">
                          <w:pPr>
                            <w:jc w:val="center"/>
                          </w:pPr>
                          <w:r>
                            <w:rPr>
                              <w:rFonts w:hint="eastAsia"/>
                              <w:color w:val="C0C0C0"/>
                              <w:sz w:val="72"/>
                              <w:szCs w:val="72"/>
                              <w14:textFill>
                                <w14:solidFill>
                                  <w14:srgbClr w14:val="C0C0C0">
                                    <w14:alpha w14:val="50000"/>
                                  </w14:srgbClr>
                                </w14:solidFill>
                              </w14:textFill>
                            </w:rPr>
                            <w:t>初稿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werPlusWaterMarkObject19315082" o:spid="_x0000_s1026" type="#_x0000_t202" style="position:absolute;left:0;text-align:left;margin-left:0;margin-top:0;width:436.95pt;height:218.4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" o:allowincell="f" filled="f" stroked="f">
              <o:lock v:ext="edit" rotation="t" aspectratio="t" verticies="t" adjusthandles="t" grouping="t" shapetype="t"/>
              <v:textbox>
                <w:txbxContent>
                  <w:p w14:paraId="637DF284" w14:textId="77777777" w:rsidR="0041327D" w:rsidRDefault="0041327D" w:rsidP="004140BA">
                    <w:pPr>
                      <w:jc w:val="center"/>
                    </w:pPr>
                    <w:r>
                      <w:rPr>
                        <w:rFonts w:hint="eastAsia"/>
                        <w:color w:val="C0C0C0"/>
                        <w:sz w:val="72"/>
                        <w:szCs w:val="72"/>
                        <w14:textFill>
                          <w14:solidFill>
                            <w14:srgbClr w14:val="C0C0C0">
                              <w14:alpha w14:val="50000"/>
                            </w14:srgbClr>
                          </w14:solidFill>
                        </w14:textFill>
                      </w:rPr>
                      <w:t>初稿</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A4FBFC" w14:textId="1907846E" w:rsidR="007B4794" w:rsidRDefault="007B4794">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14579" w14:textId="2D012742" w:rsidR="0041327D" w:rsidRPr="00B82767" w:rsidRDefault="0041327D" w:rsidP="009B0B0F">
    <w:pPr>
      <w:pStyle w:val="a5"/>
      <w:pBdr>
        <w:bottom w:val="none" w:sz="0" w:space="0" w:color="auto"/>
      </w:pBdr>
      <w:rPr>
        <w:b/>
        <w:bCs/>
        <w:sz w:val="24"/>
      </w:rPr>
    </w:pPr>
    <w:r>
      <w:rPr>
        <w:noProof/>
      </w:rPr>
      <w:drawing>
        <wp:inline distT="0" distB="0" distL="0" distR="0" wp14:anchorId="65F8A3CF" wp14:editId="4EC7BBE1">
          <wp:extent cx="5899785" cy="286385"/>
          <wp:effectExtent l="0" t="0" r="5715" b="0"/>
          <wp:docPr id="3" name="图片 3"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26E88" w14:textId="7C92E8BF" w:rsidR="0041327D" w:rsidRDefault="0041327D">
    <w:pPr>
      <w:pStyle w:val="a5"/>
    </w:pPr>
    <w:r>
      <w:rPr>
        <w:noProof/>
      </w:rPr>
      <mc:AlternateContent>
        <mc:Choice Requires="wps">
          <w:drawing>
            <wp:anchor distT="0" distB="0" distL="114300" distR="114300" simplePos="0" relativeHeight="251673600" behindDoc="1" locked="0" layoutInCell="0" allowOverlap="1" wp14:anchorId="76162FCC" wp14:editId="25F7EC5B">
              <wp:simplePos x="0" y="0"/>
              <wp:positionH relativeFrom="margin">
                <wp:align>center</wp:align>
              </wp:positionH>
              <wp:positionV relativeFrom="margin">
                <wp:align>center</wp:align>
              </wp:positionV>
              <wp:extent cx="5549265" cy="2774315"/>
              <wp:effectExtent l="0" t="0" r="3810" b="0"/>
              <wp:wrapNone/>
              <wp:docPr id="20" name="PowerPlusWaterMarkObject1931508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txBox="1">
                      <a:spLocks noGrp="1" noRot="1" noChangeAspect="1" noEditPoints="1" noAdjustHandles="1" noChangeArrowheads="1" noChangeShapeType="1"/>
                    </wps:cNvSpPr>
                    <wps:spPr bwMode="auto">
                      <a:xfrm rot="-2700000">
                        <a:off x="0" y="0"/>
                        <a:ext cx="5549265" cy="277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4B1C3" w14:textId="77777777" w:rsidR="0041327D" w:rsidRDefault="0041327D" w:rsidP="006101B7">
                          <w:pPr>
                            <w:jc w:val="center"/>
                          </w:pPr>
                          <w:r>
                            <w:rPr>
                              <w:rFonts w:hint="eastAsia"/>
                              <w:color w:val="C0C0C0"/>
                              <w:sz w:val="72"/>
                              <w:szCs w:val="72"/>
                              <w14:textFill>
                                <w14:solidFill>
                                  <w14:srgbClr w14:val="C0C0C0">
                                    <w14:alpha w14:val="50000"/>
                                  </w14:srgbClr>
                                </w14:solidFill>
                              </w14:textFill>
                            </w:rPr>
                            <w:t>初稿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werPlusWaterMarkObject19315085" o:spid="_x0000_s1027" type="#_x0000_t202" style="position:absolute;left:0;text-align:left;margin-left:0;margin-top:0;width:436.95pt;height:218.45pt;rotation:-45;z-index:-251642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" o:allowincell="f" filled="f" stroked="f">
              <o:lock v:ext="edit" rotation="t" aspectratio="t" verticies="t" adjusthandles="t" grouping="t" shapetype="t"/>
              <v:textbox>
                <w:txbxContent>
                  <w:p w14:paraId="1404B1C3" w14:textId="77777777" w:rsidR="0041327D" w:rsidRDefault="0041327D" w:rsidP="006101B7">
                    <w:pPr>
                      <w:jc w:val="center"/>
                    </w:pPr>
                    <w:r>
                      <w:rPr>
                        <w:rFonts w:hint="eastAsia"/>
                        <w:color w:val="C0C0C0"/>
                        <w:sz w:val="72"/>
                        <w:szCs w:val="72"/>
                        <w14:textFill>
                          <w14:solidFill>
                            <w14:srgbClr w14:val="C0C0C0">
                              <w14:alpha w14:val="50000"/>
                            </w14:srgbClr>
                          </w14:solidFill>
                        </w14:textFill>
                      </w:rPr>
                      <w:t>初稿</w:t>
                    </w:r>
                  </w:p>
                </w:txbxContent>
              </v:textbox>
              <w10:wrap anchorx="margin" anchory="margin"/>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3CC4B" w14:textId="2AF7F17B" w:rsidR="0041327D" w:rsidRDefault="0041327D">
    <w:pPr>
      <w:pStyle w:val="a5"/>
    </w:pPr>
    <w:r>
      <w:rPr>
        <w:noProof/>
      </w:rPr>
      <mc:AlternateContent>
        <mc:Choice Requires="wps">
          <w:drawing>
            <wp:anchor distT="0" distB="0" distL="114300" distR="114300" simplePos="0" relativeHeight="251675648" behindDoc="1" locked="0" layoutInCell="0" allowOverlap="1" wp14:anchorId="5358E4E9" wp14:editId="4561F72E">
              <wp:simplePos x="0" y="0"/>
              <wp:positionH relativeFrom="margin">
                <wp:align>center</wp:align>
              </wp:positionH>
              <wp:positionV relativeFrom="margin">
                <wp:align>center</wp:align>
              </wp:positionV>
              <wp:extent cx="5549265" cy="2774315"/>
              <wp:effectExtent l="0" t="0" r="3810" b="0"/>
              <wp:wrapNone/>
              <wp:docPr id="19" name="PowerPlusWaterMarkObject1931508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txBox="1">
                      <a:spLocks noGrp="1" noRot="1" noChangeAspect="1" noEditPoints="1" noAdjustHandles="1" noChangeArrowheads="1" noChangeShapeType="1"/>
                    </wps:cNvSpPr>
                    <wps:spPr bwMode="auto">
                      <a:xfrm rot="-2700000">
                        <a:off x="0" y="0"/>
                        <a:ext cx="5549265" cy="277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10731" w14:textId="77777777" w:rsidR="0041327D" w:rsidRDefault="0041327D" w:rsidP="006101B7">
                          <w:pPr>
                            <w:jc w:val="center"/>
                          </w:pPr>
                          <w:r>
                            <w:rPr>
                              <w:rFonts w:hint="eastAsia"/>
                              <w:color w:val="C0C0C0"/>
                              <w:sz w:val="72"/>
                              <w:szCs w:val="72"/>
                              <w14:textFill>
                                <w14:solidFill>
                                  <w14:srgbClr w14:val="C0C0C0">
                                    <w14:alpha w14:val="50000"/>
                                  </w14:srgbClr>
                                </w14:solidFill>
                              </w14:textFill>
                            </w:rPr>
                            <w:t>初稿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werPlusWaterMarkObject19315086" o:spid="_x0000_s1028" type="#_x0000_t202" style="position:absolute;left:0;text-align:left;margin-left:0;margin-top:0;width:436.95pt;height:218.45pt;rotation:-45;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" o:allowincell="f" filled="f" stroked="f">
              <o:lock v:ext="edit" rotation="t" aspectratio="t" verticies="t" adjusthandles="t" grouping="t" shapetype="t"/>
              <v:textbox>
                <w:txbxContent>
                  <w:p w14:paraId="3C510731" w14:textId="77777777" w:rsidR="0041327D" w:rsidRDefault="0041327D" w:rsidP="006101B7">
                    <w:pPr>
                      <w:jc w:val="center"/>
                    </w:pPr>
                    <w:r>
                      <w:rPr>
                        <w:rFonts w:hint="eastAsia"/>
                        <w:color w:val="C0C0C0"/>
                        <w:sz w:val="72"/>
                        <w:szCs w:val="72"/>
                        <w14:textFill>
                          <w14:solidFill>
                            <w14:srgbClr w14:val="C0C0C0">
                              <w14:alpha w14:val="50000"/>
                            </w14:srgbClr>
                          </w14:solidFill>
                        </w14:textFill>
                      </w:rPr>
                      <w:t>初稿</w:t>
                    </w:r>
                  </w:p>
                </w:txbxContent>
              </v:textbox>
              <w10:wrap anchorx="margin" anchory="margin"/>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77CB4" w14:textId="50703AF7" w:rsidR="0041327D" w:rsidRPr="00D610E4" w:rsidRDefault="0041327D" w:rsidP="00D610E4">
    <w:pPr>
      <w:pStyle w:val="a5"/>
      <w:pBdr>
        <w:bottom w:val="none" w:sz="0" w:space="0" w:color="auto"/>
      </w:pBdr>
    </w:pPr>
    <w:r>
      <w:rPr>
        <w:noProof/>
      </w:rPr>
      <w:drawing>
        <wp:inline distT="0" distB="0" distL="0" distR="0" wp14:anchorId="63CCB2B0" wp14:editId="3EF0086B">
          <wp:extent cx="5899785" cy="286385"/>
          <wp:effectExtent l="0" t="0" r="5715" b="0"/>
          <wp:docPr id="5" name="图片 5"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4DCD"/>
    <w:multiLevelType w:val="hybridMultilevel"/>
    <w:tmpl w:val="D56E7F90"/>
    <w:lvl w:ilvl="0" w:tplc="C986A83C">
      <w:start w:val="6"/>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3324C04"/>
    <w:multiLevelType w:val="hybridMultilevel"/>
    <w:tmpl w:val="FFF2900C"/>
    <w:lvl w:ilvl="0" w:tplc="E5021EA4">
      <w:start w:val="4"/>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2FC7B19"/>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16D113C9"/>
    <w:multiLevelType w:val="hybridMultilevel"/>
    <w:tmpl w:val="00586DBA"/>
    <w:lvl w:ilvl="0" w:tplc="5D0A9FEC">
      <w:start w:val="1"/>
      <w:numFmt w:val="decimal"/>
      <w:lvlText w:val="%1、"/>
      <w:lvlJc w:val="left"/>
      <w:pPr>
        <w:ind w:left="78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4">
    <w:nsid w:val="213946DA"/>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2A500B6F"/>
    <w:multiLevelType w:val="hybridMultilevel"/>
    <w:tmpl w:val="4DFC123C"/>
    <w:lvl w:ilvl="0" w:tplc="132839FE">
      <w:start w:val="2"/>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30C35B10"/>
    <w:multiLevelType w:val="hybridMultilevel"/>
    <w:tmpl w:val="BD82C8CE"/>
    <w:lvl w:ilvl="0" w:tplc="B1EE62F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36F816A6"/>
    <w:multiLevelType w:val="multilevel"/>
    <w:tmpl w:val="3C1EC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96812ED"/>
    <w:multiLevelType w:val="hybridMultilevel"/>
    <w:tmpl w:val="76B222E4"/>
    <w:lvl w:ilvl="0" w:tplc="0409000F">
      <w:start w:val="1"/>
      <w:numFmt w:val="decimal"/>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9">
    <w:nsid w:val="4A2C3515"/>
    <w:multiLevelType w:val="hybridMultilevel"/>
    <w:tmpl w:val="A0CC64CC"/>
    <w:lvl w:ilvl="0" w:tplc="C986A83C">
      <w:start w:val="8"/>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4AAB55D4"/>
    <w:multiLevelType w:val="hybridMultilevel"/>
    <w:tmpl w:val="00AC397C"/>
    <w:lvl w:ilvl="0" w:tplc="066E25EA">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4B5F3B9C"/>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nsid w:val="51393E2A"/>
    <w:multiLevelType w:val="hybridMultilevel"/>
    <w:tmpl w:val="EE92036E"/>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nsid w:val="546F7345"/>
    <w:multiLevelType w:val="hybridMultilevel"/>
    <w:tmpl w:val="20A01450"/>
    <w:lvl w:ilvl="0" w:tplc="97FE5974">
      <w:start w:val="1"/>
      <w:numFmt w:val="decimal"/>
      <w:lvlText w:val="%1."/>
      <w:lvlJc w:val="left"/>
      <w:pPr>
        <w:ind w:left="928" w:hanging="360"/>
      </w:pPr>
      <w:rPr>
        <w:rFonts w:hint="default"/>
      </w:r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14">
    <w:nsid w:val="5A4F4926"/>
    <w:multiLevelType w:val="multilevel"/>
    <w:tmpl w:val="FBB4F36C"/>
    <w:lvl w:ilvl="0">
      <w:start w:val="3"/>
      <w:numFmt w:val="decimal"/>
      <w:lvlText w:val="%1、"/>
      <w:lvlJc w:val="left"/>
      <w:pPr>
        <w:ind w:left="570" w:hanging="360"/>
      </w:pPr>
      <w:rPr>
        <w:rFonts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15">
    <w:nsid w:val="62EB1E03"/>
    <w:multiLevelType w:val="hybridMultilevel"/>
    <w:tmpl w:val="268E817E"/>
    <w:lvl w:ilvl="0" w:tplc="4AB43808">
      <w:start w:val="1"/>
      <w:numFmt w:val="bullet"/>
      <w:lvlText w:val="l"/>
      <w:lvlJc w:val="left"/>
      <w:pPr>
        <w:tabs>
          <w:tab w:val="num" w:pos="720"/>
        </w:tabs>
        <w:ind w:left="720" w:hanging="360"/>
      </w:pPr>
      <w:rPr>
        <w:rFonts w:ascii="Wingdings" w:hAnsi="Wingdings" w:hint="default"/>
      </w:rPr>
    </w:lvl>
    <w:lvl w:ilvl="1" w:tplc="DACEA2CE" w:tentative="1">
      <w:start w:val="1"/>
      <w:numFmt w:val="bullet"/>
      <w:lvlText w:val="l"/>
      <w:lvlJc w:val="left"/>
      <w:pPr>
        <w:tabs>
          <w:tab w:val="num" w:pos="1440"/>
        </w:tabs>
        <w:ind w:left="1440" w:hanging="360"/>
      </w:pPr>
      <w:rPr>
        <w:rFonts w:ascii="Wingdings" w:hAnsi="Wingdings" w:hint="default"/>
      </w:rPr>
    </w:lvl>
    <w:lvl w:ilvl="2" w:tplc="5D001E6C" w:tentative="1">
      <w:start w:val="1"/>
      <w:numFmt w:val="bullet"/>
      <w:lvlText w:val="l"/>
      <w:lvlJc w:val="left"/>
      <w:pPr>
        <w:tabs>
          <w:tab w:val="num" w:pos="2160"/>
        </w:tabs>
        <w:ind w:left="2160" w:hanging="360"/>
      </w:pPr>
      <w:rPr>
        <w:rFonts w:ascii="Wingdings" w:hAnsi="Wingdings" w:hint="default"/>
      </w:rPr>
    </w:lvl>
    <w:lvl w:ilvl="3" w:tplc="8B7C9920" w:tentative="1">
      <w:start w:val="1"/>
      <w:numFmt w:val="bullet"/>
      <w:lvlText w:val="l"/>
      <w:lvlJc w:val="left"/>
      <w:pPr>
        <w:tabs>
          <w:tab w:val="num" w:pos="2880"/>
        </w:tabs>
        <w:ind w:left="2880" w:hanging="360"/>
      </w:pPr>
      <w:rPr>
        <w:rFonts w:ascii="Wingdings" w:hAnsi="Wingdings" w:hint="default"/>
      </w:rPr>
    </w:lvl>
    <w:lvl w:ilvl="4" w:tplc="F1E80222" w:tentative="1">
      <w:start w:val="1"/>
      <w:numFmt w:val="bullet"/>
      <w:lvlText w:val="l"/>
      <w:lvlJc w:val="left"/>
      <w:pPr>
        <w:tabs>
          <w:tab w:val="num" w:pos="3600"/>
        </w:tabs>
        <w:ind w:left="3600" w:hanging="360"/>
      </w:pPr>
      <w:rPr>
        <w:rFonts w:ascii="Wingdings" w:hAnsi="Wingdings" w:hint="default"/>
      </w:rPr>
    </w:lvl>
    <w:lvl w:ilvl="5" w:tplc="093CA95E" w:tentative="1">
      <w:start w:val="1"/>
      <w:numFmt w:val="bullet"/>
      <w:lvlText w:val="l"/>
      <w:lvlJc w:val="left"/>
      <w:pPr>
        <w:tabs>
          <w:tab w:val="num" w:pos="4320"/>
        </w:tabs>
        <w:ind w:left="4320" w:hanging="360"/>
      </w:pPr>
      <w:rPr>
        <w:rFonts w:ascii="Wingdings" w:hAnsi="Wingdings" w:hint="default"/>
      </w:rPr>
    </w:lvl>
    <w:lvl w:ilvl="6" w:tplc="F80C965E" w:tentative="1">
      <w:start w:val="1"/>
      <w:numFmt w:val="bullet"/>
      <w:lvlText w:val="l"/>
      <w:lvlJc w:val="left"/>
      <w:pPr>
        <w:tabs>
          <w:tab w:val="num" w:pos="5040"/>
        </w:tabs>
        <w:ind w:left="5040" w:hanging="360"/>
      </w:pPr>
      <w:rPr>
        <w:rFonts w:ascii="Wingdings" w:hAnsi="Wingdings" w:hint="default"/>
      </w:rPr>
    </w:lvl>
    <w:lvl w:ilvl="7" w:tplc="02EECE8C" w:tentative="1">
      <w:start w:val="1"/>
      <w:numFmt w:val="bullet"/>
      <w:lvlText w:val="l"/>
      <w:lvlJc w:val="left"/>
      <w:pPr>
        <w:tabs>
          <w:tab w:val="num" w:pos="5760"/>
        </w:tabs>
        <w:ind w:left="5760" w:hanging="360"/>
      </w:pPr>
      <w:rPr>
        <w:rFonts w:ascii="Wingdings" w:hAnsi="Wingdings" w:hint="default"/>
      </w:rPr>
    </w:lvl>
    <w:lvl w:ilvl="8" w:tplc="47F851C0" w:tentative="1">
      <w:start w:val="1"/>
      <w:numFmt w:val="bullet"/>
      <w:lvlText w:val="l"/>
      <w:lvlJc w:val="left"/>
      <w:pPr>
        <w:tabs>
          <w:tab w:val="num" w:pos="6480"/>
        </w:tabs>
        <w:ind w:left="6480" w:hanging="360"/>
      </w:pPr>
      <w:rPr>
        <w:rFonts w:ascii="Wingdings" w:hAnsi="Wingdings" w:hint="default"/>
      </w:rPr>
    </w:lvl>
  </w:abstractNum>
  <w:abstractNum w:abstractNumId="16">
    <w:nsid w:val="6B072E86"/>
    <w:multiLevelType w:val="multilevel"/>
    <w:tmpl w:val="039E3B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0D97887"/>
    <w:multiLevelType w:val="multilevel"/>
    <w:tmpl w:val="AE26943C"/>
    <w:lvl w:ilvl="0">
      <w:start w:val="1"/>
      <w:numFmt w:val="chineseCountingThousand"/>
      <w:suff w:val="nothing"/>
      <w:lvlText w:val="第%1章"/>
      <w:lvlJc w:val="left"/>
      <w:pPr>
        <w:ind w:left="0" w:firstLine="288"/>
      </w:pPr>
      <w:rPr>
        <w:rFonts w:hint="eastAsia"/>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num w:numId="1">
    <w:abstractNumId w:val="17"/>
  </w:num>
  <w:num w:numId="2">
    <w:abstractNumId w:val="2"/>
  </w:num>
  <w:num w:numId="3">
    <w:abstractNumId w:val="11"/>
  </w:num>
  <w:num w:numId="4">
    <w:abstractNumId w:val="4"/>
  </w:num>
  <w:num w:numId="5">
    <w:abstractNumId w:val="6"/>
  </w:num>
  <w:num w:numId="6">
    <w:abstractNumId w:val="7"/>
  </w:num>
  <w:num w:numId="7">
    <w:abstractNumId w:val="16"/>
  </w:num>
  <w:num w:numId="8">
    <w:abstractNumId w:val="10"/>
  </w:num>
  <w:num w:numId="9">
    <w:abstractNumId w:val="15"/>
  </w:num>
  <w:num w:numId="10">
    <w:abstractNumId w:val="13"/>
  </w:num>
  <w:num w:numId="11">
    <w:abstractNumId w:val="9"/>
  </w:num>
  <w:num w:numId="12">
    <w:abstractNumId w:val="0"/>
  </w:num>
  <w:num w:numId="13">
    <w:abstractNumId w:val="1"/>
  </w:num>
  <w:num w:numId="14">
    <w:abstractNumId w:val="5"/>
  </w:num>
  <w:num w:numId="15">
    <w:abstractNumId w:val="3"/>
  </w:num>
  <w:num w:numId="16">
    <w:abstractNumId w:val="14"/>
  </w:num>
  <w:num w:numId="17">
    <w:abstractNumId w:val="8"/>
  </w:num>
  <w:num w:numId="18">
    <w:abstractNumId w:val="12"/>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ngmeng">
    <w15:presenceInfo w15:providerId="AD" w15:userId="S-1-5-21-963328495-2441503316-2980050850-47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3E1"/>
    <w:rsid w:val="000002C5"/>
    <w:rsid w:val="000004B4"/>
    <w:rsid w:val="00000CCF"/>
    <w:rsid w:val="00001189"/>
    <w:rsid w:val="00001352"/>
    <w:rsid w:val="00001676"/>
    <w:rsid w:val="0000198D"/>
    <w:rsid w:val="00001F90"/>
    <w:rsid w:val="00002DCA"/>
    <w:rsid w:val="0000370A"/>
    <w:rsid w:val="0000529D"/>
    <w:rsid w:val="00005A03"/>
    <w:rsid w:val="00007423"/>
    <w:rsid w:val="00007472"/>
    <w:rsid w:val="000075D4"/>
    <w:rsid w:val="00007E5A"/>
    <w:rsid w:val="00007F2A"/>
    <w:rsid w:val="0001066F"/>
    <w:rsid w:val="00010B76"/>
    <w:rsid w:val="00011127"/>
    <w:rsid w:val="00011420"/>
    <w:rsid w:val="00012196"/>
    <w:rsid w:val="00012217"/>
    <w:rsid w:val="00012414"/>
    <w:rsid w:val="000127AA"/>
    <w:rsid w:val="00013094"/>
    <w:rsid w:val="0001375E"/>
    <w:rsid w:val="00014124"/>
    <w:rsid w:val="000142E0"/>
    <w:rsid w:val="00014499"/>
    <w:rsid w:val="000145B9"/>
    <w:rsid w:val="00014905"/>
    <w:rsid w:val="00014AA0"/>
    <w:rsid w:val="00014BD4"/>
    <w:rsid w:val="000151DF"/>
    <w:rsid w:val="00015F39"/>
    <w:rsid w:val="0001628F"/>
    <w:rsid w:val="000164BF"/>
    <w:rsid w:val="00016C1E"/>
    <w:rsid w:val="00020450"/>
    <w:rsid w:val="0002047B"/>
    <w:rsid w:val="000209F4"/>
    <w:rsid w:val="00020C0A"/>
    <w:rsid w:val="00020C20"/>
    <w:rsid w:val="00020DD3"/>
    <w:rsid w:val="000211AB"/>
    <w:rsid w:val="00021525"/>
    <w:rsid w:val="0002178F"/>
    <w:rsid w:val="00021EBD"/>
    <w:rsid w:val="00022525"/>
    <w:rsid w:val="00022757"/>
    <w:rsid w:val="00023918"/>
    <w:rsid w:val="00023B24"/>
    <w:rsid w:val="00023DE8"/>
    <w:rsid w:val="00023F98"/>
    <w:rsid w:val="000242AC"/>
    <w:rsid w:val="0002439D"/>
    <w:rsid w:val="000247C0"/>
    <w:rsid w:val="00024B5D"/>
    <w:rsid w:val="00025942"/>
    <w:rsid w:val="00025FB0"/>
    <w:rsid w:val="000260EC"/>
    <w:rsid w:val="00026174"/>
    <w:rsid w:val="000261A8"/>
    <w:rsid w:val="0002666D"/>
    <w:rsid w:val="0002667B"/>
    <w:rsid w:val="00026B61"/>
    <w:rsid w:val="0002728F"/>
    <w:rsid w:val="000309BC"/>
    <w:rsid w:val="00030A9A"/>
    <w:rsid w:val="00030ABE"/>
    <w:rsid w:val="00030F6C"/>
    <w:rsid w:val="000314AC"/>
    <w:rsid w:val="00031A7F"/>
    <w:rsid w:val="00032562"/>
    <w:rsid w:val="00032BB6"/>
    <w:rsid w:val="00032BC4"/>
    <w:rsid w:val="00032D7F"/>
    <w:rsid w:val="000337CE"/>
    <w:rsid w:val="0003380E"/>
    <w:rsid w:val="0003423C"/>
    <w:rsid w:val="00034629"/>
    <w:rsid w:val="000346A4"/>
    <w:rsid w:val="00034AF3"/>
    <w:rsid w:val="00034D11"/>
    <w:rsid w:val="000350FA"/>
    <w:rsid w:val="0003619E"/>
    <w:rsid w:val="00036D83"/>
    <w:rsid w:val="00037AD4"/>
    <w:rsid w:val="00037E4A"/>
    <w:rsid w:val="000407C1"/>
    <w:rsid w:val="00040C27"/>
    <w:rsid w:val="00040DD3"/>
    <w:rsid w:val="00040E94"/>
    <w:rsid w:val="00040F3F"/>
    <w:rsid w:val="00041196"/>
    <w:rsid w:val="000419CC"/>
    <w:rsid w:val="00042A62"/>
    <w:rsid w:val="00042DF1"/>
    <w:rsid w:val="000430BF"/>
    <w:rsid w:val="00043FD6"/>
    <w:rsid w:val="00044FCC"/>
    <w:rsid w:val="000452AF"/>
    <w:rsid w:val="00045525"/>
    <w:rsid w:val="00045B1D"/>
    <w:rsid w:val="0004642F"/>
    <w:rsid w:val="00046D3B"/>
    <w:rsid w:val="0004711B"/>
    <w:rsid w:val="00047433"/>
    <w:rsid w:val="00047A13"/>
    <w:rsid w:val="00047C7E"/>
    <w:rsid w:val="000500E6"/>
    <w:rsid w:val="000506EB"/>
    <w:rsid w:val="00050972"/>
    <w:rsid w:val="00051B10"/>
    <w:rsid w:val="00051F0E"/>
    <w:rsid w:val="00051FF2"/>
    <w:rsid w:val="000527AC"/>
    <w:rsid w:val="0005292F"/>
    <w:rsid w:val="00052B1D"/>
    <w:rsid w:val="00052E9B"/>
    <w:rsid w:val="00053A26"/>
    <w:rsid w:val="00053BDA"/>
    <w:rsid w:val="00053CD4"/>
    <w:rsid w:val="000540CB"/>
    <w:rsid w:val="000541F3"/>
    <w:rsid w:val="00054222"/>
    <w:rsid w:val="0005466B"/>
    <w:rsid w:val="00054AEC"/>
    <w:rsid w:val="00055316"/>
    <w:rsid w:val="000555A0"/>
    <w:rsid w:val="00055D83"/>
    <w:rsid w:val="0005622D"/>
    <w:rsid w:val="000567D4"/>
    <w:rsid w:val="000572EC"/>
    <w:rsid w:val="000576E8"/>
    <w:rsid w:val="00060E6D"/>
    <w:rsid w:val="000612E6"/>
    <w:rsid w:val="00061555"/>
    <w:rsid w:val="000616AD"/>
    <w:rsid w:val="00061DE9"/>
    <w:rsid w:val="0006291D"/>
    <w:rsid w:val="000629BF"/>
    <w:rsid w:val="00062A00"/>
    <w:rsid w:val="00062DFF"/>
    <w:rsid w:val="000638BB"/>
    <w:rsid w:val="000638FC"/>
    <w:rsid w:val="000641F2"/>
    <w:rsid w:val="00064565"/>
    <w:rsid w:val="00064796"/>
    <w:rsid w:val="0006487E"/>
    <w:rsid w:val="00065363"/>
    <w:rsid w:val="00065499"/>
    <w:rsid w:val="00065656"/>
    <w:rsid w:val="00065DD4"/>
    <w:rsid w:val="00065FA9"/>
    <w:rsid w:val="00066E08"/>
    <w:rsid w:val="00066FF5"/>
    <w:rsid w:val="00067078"/>
    <w:rsid w:val="00067581"/>
    <w:rsid w:val="000705CC"/>
    <w:rsid w:val="000707B2"/>
    <w:rsid w:val="00070A93"/>
    <w:rsid w:val="00071684"/>
    <w:rsid w:val="00072331"/>
    <w:rsid w:val="00072D88"/>
    <w:rsid w:val="0007316F"/>
    <w:rsid w:val="000733B0"/>
    <w:rsid w:val="000737B4"/>
    <w:rsid w:val="00073B2B"/>
    <w:rsid w:val="00074032"/>
    <w:rsid w:val="000742FC"/>
    <w:rsid w:val="00074EA7"/>
    <w:rsid w:val="0007521D"/>
    <w:rsid w:val="00075534"/>
    <w:rsid w:val="00075729"/>
    <w:rsid w:val="00076022"/>
    <w:rsid w:val="0007639A"/>
    <w:rsid w:val="000767B6"/>
    <w:rsid w:val="000767C8"/>
    <w:rsid w:val="0007774B"/>
    <w:rsid w:val="00077A4C"/>
    <w:rsid w:val="00077D15"/>
    <w:rsid w:val="000816A6"/>
    <w:rsid w:val="00081769"/>
    <w:rsid w:val="00081F3F"/>
    <w:rsid w:val="0008230F"/>
    <w:rsid w:val="00082956"/>
    <w:rsid w:val="000835E4"/>
    <w:rsid w:val="00083B6A"/>
    <w:rsid w:val="00083DE7"/>
    <w:rsid w:val="0008415D"/>
    <w:rsid w:val="0008453F"/>
    <w:rsid w:val="00084FDD"/>
    <w:rsid w:val="00085645"/>
    <w:rsid w:val="000864B1"/>
    <w:rsid w:val="00086543"/>
    <w:rsid w:val="00086FCB"/>
    <w:rsid w:val="000878A8"/>
    <w:rsid w:val="00090AB1"/>
    <w:rsid w:val="00090D4C"/>
    <w:rsid w:val="00090F21"/>
    <w:rsid w:val="00091318"/>
    <w:rsid w:val="00091C43"/>
    <w:rsid w:val="00091CE3"/>
    <w:rsid w:val="0009256F"/>
    <w:rsid w:val="0009263F"/>
    <w:rsid w:val="00093234"/>
    <w:rsid w:val="000933F9"/>
    <w:rsid w:val="00093627"/>
    <w:rsid w:val="000944DF"/>
    <w:rsid w:val="00094602"/>
    <w:rsid w:val="000947A6"/>
    <w:rsid w:val="00094955"/>
    <w:rsid w:val="00094AA3"/>
    <w:rsid w:val="00095177"/>
    <w:rsid w:val="000952ED"/>
    <w:rsid w:val="000966E8"/>
    <w:rsid w:val="00096862"/>
    <w:rsid w:val="00096F07"/>
    <w:rsid w:val="00097120"/>
    <w:rsid w:val="0009755D"/>
    <w:rsid w:val="000976AB"/>
    <w:rsid w:val="000A026A"/>
    <w:rsid w:val="000A08C7"/>
    <w:rsid w:val="000A0990"/>
    <w:rsid w:val="000A0F5C"/>
    <w:rsid w:val="000A2E5B"/>
    <w:rsid w:val="000A30A9"/>
    <w:rsid w:val="000A334D"/>
    <w:rsid w:val="000A343B"/>
    <w:rsid w:val="000A350F"/>
    <w:rsid w:val="000A361D"/>
    <w:rsid w:val="000A37AA"/>
    <w:rsid w:val="000A3A7B"/>
    <w:rsid w:val="000A3F1E"/>
    <w:rsid w:val="000A4781"/>
    <w:rsid w:val="000A5AD5"/>
    <w:rsid w:val="000A62C6"/>
    <w:rsid w:val="000A6A49"/>
    <w:rsid w:val="000A6B90"/>
    <w:rsid w:val="000A6D60"/>
    <w:rsid w:val="000A729F"/>
    <w:rsid w:val="000A7548"/>
    <w:rsid w:val="000A7699"/>
    <w:rsid w:val="000A7B7B"/>
    <w:rsid w:val="000A7E0E"/>
    <w:rsid w:val="000B035C"/>
    <w:rsid w:val="000B0D9C"/>
    <w:rsid w:val="000B159F"/>
    <w:rsid w:val="000B17D3"/>
    <w:rsid w:val="000B1946"/>
    <w:rsid w:val="000B21A8"/>
    <w:rsid w:val="000B3841"/>
    <w:rsid w:val="000B3928"/>
    <w:rsid w:val="000B43EB"/>
    <w:rsid w:val="000B457B"/>
    <w:rsid w:val="000B7071"/>
    <w:rsid w:val="000B786E"/>
    <w:rsid w:val="000C04AD"/>
    <w:rsid w:val="000C0773"/>
    <w:rsid w:val="000C083C"/>
    <w:rsid w:val="000C0884"/>
    <w:rsid w:val="000C0C33"/>
    <w:rsid w:val="000C178A"/>
    <w:rsid w:val="000C1D5C"/>
    <w:rsid w:val="000C1E36"/>
    <w:rsid w:val="000C23AD"/>
    <w:rsid w:val="000C3504"/>
    <w:rsid w:val="000C3DF9"/>
    <w:rsid w:val="000C44D8"/>
    <w:rsid w:val="000C4896"/>
    <w:rsid w:val="000C4D0F"/>
    <w:rsid w:val="000C4E68"/>
    <w:rsid w:val="000C51ED"/>
    <w:rsid w:val="000C5694"/>
    <w:rsid w:val="000C587A"/>
    <w:rsid w:val="000C5995"/>
    <w:rsid w:val="000C5ABA"/>
    <w:rsid w:val="000C5CC2"/>
    <w:rsid w:val="000C6487"/>
    <w:rsid w:val="000C731A"/>
    <w:rsid w:val="000C7329"/>
    <w:rsid w:val="000C7C22"/>
    <w:rsid w:val="000C7C26"/>
    <w:rsid w:val="000D060E"/>
    <w:rsid w:val="000D0DCE"/>
    <w:rsid w:val="000D0E3A"/>
    <w:rsid w:val="000D0F68"/>
    <w:rsid w:val="000D106E"/>
    <w:rsid w:val="000D1305"/>
    <w:rsid w:val="000D1362"/>
    <w:rsid w:val="000D1803"/>
    <w:rsid w:val="000D1CD5"/>
    <w:rsid w:val="000D2304"/>
    <w:rsid w:val="000D2F12"/>
    <w:rsid w:val="000D3871"/>
    <w:rsid w:val="000D38C8"/>
    <w:rsid w:val="000D4629"/>
    <w:rsid w:val="000D4B73"/>
    <w:rsid w:val="000D5139"/>
    <w:rsid w:val="000D5574"/>
    <w:rsid w:val="000D5F95"/>
    <w:rsid w:val="000D6279"/>
    <w:rsid w:val="000D6AF7"/>
    <w:rsid w:val="000D6D21"/>
    <w:rsid w:val="000D71BB"/>
    <w:rsid w:val="000D71C8"/>
    <w:rsid w:val="000D72B7"/>
    <w:rsid w:val="000E0C20"/>
    <w:rsid w:val="000E0D23"/>
    <w:rsid w:val="000E1527"/>
    <w:rsid w:val="000E166D"/>
    <w:rsid w:val="000E18F6"/>
    <w:rsid w:val="000E1D3E"/>
    <w:rsid w:val="000E2099"/>
    <w:rsid w:val="000E238C"/>
    <w:rsid w:val="000E25E4"/>
    <w:rsid w:val="000E31F9"/>
    <w:rsid w:val="000E3416"/>
    <w:rsid w:val="000E3484"/>
    <w:rsid w:val="000E371E"/>
    <w:rsid w:val="000E3AF2"/>
    <w:rsid w:val="000E493A"/>
    <w:rsid w:val="000E4B3F"/>
    <w:rsid w:val="000E52C2"/>
    <w:rsid w:val="000E642E"/>
    <w:rsid w:val="000E6693"/>
    <w:rsid w:val="000E69BA"/>
    <w:rsid w:val="000E775F"/>
    <w:rsid w:val="000E783B"/>
    <w:rsid w:val="000E7B77"/>
    <w:rsid w:val="000E7C1F"/>
    <w:rsid w:val="000E7E90"/>
    <w:rsid w:val="000F07DE"/>
    <w:rsid w:val="000F086C"/>
    <w:rsid w:val="000F128D"/>
    <w:rsid w:val="000F13E7"/>
    <w:rsid w:val="000F23D3"/>
    <w:rsid w:val="000F256D"/>
    <w:rsid w:val="000F2DEA"/>
    <w:rsid w:val="000F30A8"/>
    <w:rsid w:val="000F3303"/>
    <w:rsid w:val="000F37C6"/>
    <w:rsid w:val="000F448D"/>
    <w:rsid w:val="000F4786"/>
    <w:rsid w:val="000F4878"/>
    <w:rsid w:val="000F5F0A"/>
    <w:rsid w:val="000F6617"/>
    <w:rsid w:val="000F6AA2"/>
    <w:rsid w:val="000F6F1D"/>
    <w:rsid w:val="000F771A"/>
    <w:rsid w:val="000F7A93"/>
    <w:rsid w:val="00100470"/>
    <w:rsid w:val="00100CD6"/>
    <w:rsid w:val="00100D4E"/>
    <w:rsid w:val="00101078"/>
    <w:rsid w:val="001016D6"/>
    <w:rsid w:val="00101996"/>
    <w:rsid w:val="00101C22"/>
    <w:rsid w:val="00101D5D"/>
    <w:rsid w:val="00102189"/>
    <w:rsid w:val="00103670"/>
    <w:rsid w:val="0010458E"/>
    <w:rsid w:val="00104B95"/>
    <w:rsid w:val="00104F62"/>
    <w:rsid w:val="00105A74"/>
    <w:rsid w:val="00105DA2"/>
    <w:rsid w:val="00106152"/>
    <w:rsid w:val="001061A6"/>
    <w:rsid w:val="001068FE"/>
    <w:rsid w:val="00107646"/>
    <w:rsid w:val="001078B4"/>
    <w:rsid w:val="001106AA"/>
    <w:rsid w:val="00110C2E"/>
    <w:rsid w:val="001112DC"/>
    <w:rsid w:val="00111B84"/>
    <w:rsid w:val="00111F0B"/>
    <w:rsid w:val="00111FF3"/>
    <w:rsid w:val="0011292D"/>
    <w:rsid w:val="001134C7"/>
    <w:rsid w:val="00113626"/>
    <w:rsid w:val="00114344"/>
    <w:rsid w:val="0011445C"/>
    <w:rsid w:val="00114894"/>
    <w:rsid w:val="00114CA0"/>
    <w:rsid w:val="00114DE1"/>
    <w:rsid w:val="00115160"/>
    <w:rsid w:val="001151F5"/>
    <w:rsid w:val="00115EA6"/>
    <w:rsid w:val="00115FF2"/>
    <w:rsid w:val="00116056"/>
    <w:rsid w:val="00116749"/>
    <w:rsid w:val="00116AAB"/>
    <w:rsid w:val="00116B48"/>
    <w:rsid w:val="00116D3C"/>
    <w:rsid w:val="00117A37"/>
    <w:rsid w:val="00117C00"/>
    <w:rsid w:val="00117EB8"/>
    <w:rsid w:val="00121073"/>
    <w:rsid w:val="00121BB7"/>
    <w:rsid w:val="00121C8A"/>
    <w:rsid w:val="001221F7"/>
    <w:rsid w:val="0012276F"/>
    <w:rsid w:val="0012277F"/>
    <w:rsid w:val="00122CBC"/>
    <w:rsid w:val="0012340F"/>
    <w:rsid w:val="00123D7F"/>
    <w:rsid w:val="00123F51"/>
    <w:rsid w:val="0012466B"/>
    <w:rsid w:val="00124BFC"/>
    <w:rsid w:val="00124CCA"/>
    <w:rsid w:val="00125331"/>
    <w:rsid w:val="00125409"/>
    <w:rsid w:val="001255BB"/>
    <w:rsid w:val="00125A12"/>
    <w:rsid w:val="00125AC7"/>
    <w:rsid w:val="00126562"/>
    <w:rsid w:val="001266D3"/>
    <w:rsid w:val="001269E4"/>
    <w:rsid w:val="00126A17"/>
    <w:rsid w:val="00126F76"/>
    <w:rsid w:val="001272E7"/>
    <w:rsid w:val="00127798"/>
    <w:rsid w:val="00127C21"/>
    <w:rsid w:val="00127EB9"/>
    <w:rsid w:val="00130315"/>
    <w:rsid w:val="00130326"/>
    <w:rsid w:val="00130A23"/>
    <w:rsid w:val="00130A78"/>
    <w:rsid w:val="00130E64"/>
    <w:rsid w:val="00131AB8"/>
    <w:rsid w:val="00131D4A"/>
    <w:rsid w:val="001339AA"/>
    <w:rsid w:val="00133E52"/>
    <w:rsid w:val="00134130"/>
    <w:rsid w:val="00134A52"/>
    <w:rsid w:val="00134B98"/>
    <w:rsid w:val="001354D8"/>
    <w:rsid w:val="00135A89"/>
    <w:rsid w:val="00135AA1"/>
    <w:rsid w:val="00135E67"/>
    <w:rsid w:val="00135FAE"/>
    <w:rsid w:val="001361BE"/>
    <w:rsid w:val="001364AE"/>
    <w:rsid w:val="001367F2"/>
    <w:rsid w:val="001367F8"/>
    <w:rsid w:val="00136846"/>
    <w:rsid w:val="001369B2"/>
    <w:rsid w:val="00136E2D"/>
    <w:rsid w:val="0013757A"/>
    <w:rsid w:val="0013772C"/>
    <w:rsid w:val="00137880"/>
    <w:rsid w:val="00137E79"/>
    <w:rsid w:val="001402BC"/>
    <w:rsid w:val="001403A9"/>
    <w:rsid w:val="0014064E"/>
    <w:rsid w:val="001410A6"/>
    <w:rsid w:val="001410AF"/>
    <w:rsid w:val="00141716"/>
    <w:rsid w:val="0014171A"/>
    <w:rsid w:val="00141A92"/>
    <w:rsid w:val="0014200D"/>
    <w:rsid w:val="0014266D"/>
    <w:rsid w:val="00143157"/>
    <w:rsid w:val="00143475"/>
    <w:rsid w:val="001441EC"/>
    <w:rsid w:val="0014424B"/>
    <w:rsid w:val="001447F5"/>
    <w:rsid w:val="0014547A"/>
    <w:rsid w:val="00146360"/>
    <w:rsid w:val="0014665B"/>
    <w:rsid w:val="00146B86"/>
    <w:rsid w:val="00146B8F"/>
    <w:rsid w:val="00147250"/>
    <w:rsid w:val="001475E1"/>
    <w:rsid w:val="0014775F"/>
    <w:rsid w:val="00150C94"/>
    <w:rsid w:val="00150D48"/>
    <w:rsid w:val="00151F24"/>
    <w:rsid w:val="00151FA0"/>
    <w:rsid w:val="0015220A"/>
    <w:rsid w:val="00152567"/>
    <w:rsid w:val="001526E1"/>
    <w:rsid w:val="00152E7D"/>
    <w:rsid w:val="00153969"/>
    <w:rsid w:val="00153CF8"/>
    <w:rsid w:val="0015420A"/>
    <w:rsid w:val="00154313"/>
    <w:rsid w:val="001547C5"/>
    <w:rsid w:val="00154A26"/>
    <w:rsid w:val="00156535"/>
    <w:rsid w:val="00156D8A"/>
    <w:rsid w:val="00157B69"/>
    <w:rsid w:val="00157FA6"/>
    <w:rsid w:val="0016021F"/>
    <w:rsid w:val="00160F3A"/>
    <w:rsid w:val="00161AFF"/>
    <w:rsid w:val="00161C87"/>
    <w:rsid w:val="00161FA4"/>
    <w:rsid w:val="0016244A"/>
    <w:rsid w:val="00162560"/>
    <w:rsid w:val="001628E5"/>
    <w:rsid w:val="00162E78"/>
    <w:rsid w:val="00162F44"/>
    <w:rsid w:val="0016334F"/>
    <w:rsid w:val="001641F1"/>
    <w:rsid w:val="001642B1"/>
    <w:rsid w:val="0016443F"/>
    <w:rsid w:val="0016448E"/>
    <w:rsid w:val="0016467E"/>
    <w:rsid w:val="00164C63"/>
    <w:rsid w:val="00165B61"/>
    <w:rsid w:val="00165E47"/>
    <w:rsid w:val="00166155"/>
    <w:rsid w:val="0016676A"/>
    <w:rsid w:val="00166FE7"/>
    <w:rsid w:val="001670A7"/>
    <w:rsid w:val="00167B4E"/>
    <w:rsid w:val="00167BD9"/>
    <w:rsid w:val="00167DC9"/>
    <w:rsid w:val="001701A2"/>
    <w:rsid w:val="001703E6"/>
    <w:rsid w:val="00170932"/>
    <w:rsid w:val="00171301"/>
    <w:rsid w:val="00171632"/>
    <w:rsid w:val="001719BE"/>
    <w:rsid w:val="00172483"/>
    <w:rsid w:val="001725DB"/>
    <w:rsid w:val="001726EF"/>
    <w:rsid w:val="00172E78"/>
    <w:rsid w:val="00172FD6"/>
    <w:rsid w:val="0017327D"/>
    <w:rsid w:val="001735CA"/>
    <w:rsid w:val="001743AF"/>
    <w:rsid w:val="00174848"/>
    <w:rsid w:val="00174AE9"/>
    <w:rsid w:val="00174B3F"/>
    <w:rsid w:val="00174BBC"/>
    <w:rsid w:val="00174F1B"/>
    <w:rsid w:val="0017581F"/>
    <w:rsid w:val="001765CD"/>
    <w:rsid w:val="00176B49"/>
    <w:rsid w:val="00177553"/>
    <w:rsid w:val="00177671"/>
    <w:rsid w:val="0018016E"/>
    <w:rsid w:val="001805D5"/>
    <w:rsid w:val="00181487"/>
    <w:rsid w:val="00181557"/>
    <w:rsid w:val="00181BA4"/>
    <w:rsid w:val="0018264F"/>
    <w:rsid w:val="0018295F"/>
    <w:rsid w:val="00183032"/>
    <w:rsid w:val="00183347"/>
    <w:rsid w:val="001836A6"/>
    <w:rsid w:val="00183924"/>
    <w:rsid w:val="00183970"/>
    <w:rsid w:val="00184671"/>
    <w:rsid w:val="00184BD2"/>
    <w:rsid w:val="00184C01"/>
    <w:rsid w:val="001858BC"/>
    <w:rsid w:val="001863F2"/>
    <w:rsid w:val="001865A1"/>
    <w:rsid w:val="00186637"/>
    <w:rsid w:val="00186CFC"/>
    <w:rsid w:val="0018740B"/>
    <w:rsid w:val="00187439"/>
    <w:rsid w:val="00187CF8"/>
    <w:rsid w:val="00187D38"/>
    <w:rsid w:val="00187EF5"/>
    <w:rsid w:val="00187F43"/>
    <w:rsid w:val="001918B3"/>
    <w:rsid w:val="0019191A"/>
    <w:rsid w:val="001921AF"/>
    <w:rsid w:val="00192211"/>
    <w:rsid w:val="00192411"/>
    <w:rsid w:val="0019265F"/>
    <w:rsid w:val="00192674"/>
    <w:rsid w:val="00193396"/>
    <w:rsid w:val="00193414"/>
    <w:rsid w:val="00193BA5"/>
    <w:rsid w:val="00193D5F"/>
    <w:rsid w:val="00194466"/>
    <w:rsid w:val="001945EF"/>
    <w:rsid w:val="00195032"/>
    <w:rsid w:val="00195102"/>
    <w:rsid w:val="00195702"/>
    <w:rsid w:val="00196300"/>
    <w:rsid w:val="00196866"/>
    <w:rsid w:val="0019693A"/>
    <w:rsid w:val="0019702A"/>
    <w:rsid w:val="0019740C"/>
    <w:rsid w:val="00197508"/>
    <w:rsid w:val="00197570"/>
    <w:rsid w:val="00197F5C"/>
    <w:rsid w:val="001A020E"/>
    <w:rsid w:val="001A03EA"/>
    <w:rsid w:val="001A077B"/>
    <w:rsid w:val="001A1359"/>
    <w:rsid w:val="001A1728"/>
    <w:rsid w:val="001A1E42"/>
    <w:rsid w:val="001A1E76"/>
    <w:rsid w:val="001A251C"/>
    <w:rsid w:val="001A2BDC"/>
    <w:rsid w:val="001A3967"/>
    <w:rsid w:val="001A3B57"/>
    <w:rsid w:val="001A3E4A"/>
    <w:rsid w:val="001A3E67"/>
    <w:rsid w:val="001A44F1"/>
    <w:rsid w:val="001A4719"/>
    <w:rsid w:val="001A4C74"/>
    <w:rsid w:val="001A4CF2"/>
    <w:rsid w:val="001A4E9C"/>
    <w:rsid w:val="001A614C"/>
    <w:rsid w:val="001A6559"/>
    <w:rsid w:val="001A7ADB"/>
    <w:rsid w:val="001B00B2"/>
    <w:rsid w:val="001B00DE"/>
    <w:rsid w:val="001B00FA"/>
    <w:rsid w:val="001B0117"/>
    <w:rsid w:val="001B0547"/>
    <w:rsid w:val="001B08DF"/>
    <w:rsid w:val="001B0974"/>
    <w:rsid w:val="001B0A7D"/>
    <w:rsid w:val="001B0EC8"/>
    <w:rsid w:val="001B139F"/>
    <w:rsid w:val="001B1881"/>
    <w:rsid w:val="001B18FF"/>
    <w:rsid w:val="001B1B00"/>
    <w:rsid w:val="001B2540"/>
    <w:rsid w:val="001B2550"/>
    <w:rsid w:val="001B28E8"/>
    <w:rsid w:val="001B2EA7"/>
    <w:rsid w:val="001B3874"/>
    <w:rsid w:val="001B3C28"/>
    <w:rsid w:val="001B3C2E"/>
    <w:rsid w:val="001B3ED0"/>
    <w:rsid w:val="001B3EFD"/>
    <w:rsid w:val="001B4AC9"/>
    <w:rsid w:val="001B4C59"/>
    <w:rsid w:val="001B54A7"/>
    <w:rsid w:val="001B5BD4"/>
    <w:rsid w:val="001B5CF8"/>
    <w:rsid w:val="001B6482"/>
    <w:rsid w:val="001B67E8"/>
    <w:rsid w:val="001B6EC7"/>
    <w:rsid w:val="001B70BB"/>
    <w:rsid w:val="001B798D"/>
    <w:rsid w:val="001C00D6"/>
    <w:rsid w:val="001C037D"/>
    <w:rsid w:val="001C03F3"/>
    <w:rsid w:val="001C0B08"/>
    <w:rsid w:val="001C12BA"/>
    <w:rsid w:val="001C1777"/>
    <w:rsid w:val="001C17BC"/>
    <w:rsid w:val="001C1A80"/>
    <w:rsid w:val="001C1DBE"/>
    <w:rsid w:val="001C1E91"/>
    <w:rsid w:val="001C228B"/>
    <w:rsid w:val="001C235A"/>
    <w:rsid w:val="001C274F"/>
    <w:rsid w:val="001C2939"/>
    <w:rsid w:val="001C2B39"/>
    <w:rsid w:val="001C2C17"/>
    <w:rsid w:val="001C2CC8"/>
    <w:rsid w:val="001C3C78"/>
    <w:rsid w:val="001C4FFC"/>
    <w:rsid w:val="001C5FF3"/>
    <w:rsid w:val="001C62EA"/>
    <w:rsid w:val="001C66A5"/>
    <w:rsid w:val="001C6C78"/>
    <w:rsid w:val="001C7045"/>
    <w:rsid w:val="001C7D97"/>
    <w:rsid w:val="001D0B1C"/>
    <w:rsid w:val="001D1EE4"/>
    <w:rsid w:val="001D2F88"/>
    <w:rsid w:val="001D362E"/>
    <w:rsid w:val="001D39E1"/>
    <w:rsid w:val="001D4122"/>
    <w:rsid w:val="001D4315"/>
    <w:rsid w:val="001D43B2"/>
    <w:rsid w:val="001D4B77"/>
    <w:rsid w:val="001D4C16"/>
    <w:rsid w:val="001D4DB5"/>
    <w:rsid w:val="001D4EE3"/>
    <w:rsid w:val="001D5F1C"/>
    <w:rsid w:val="001D6189"/>
    <w:rsid w:val="001D63E1"/>
    <w:rsid w:val="001D6699"/>
    <w:rsid w:val="001D7092"/>
    <w:rsid w:val="001D773C"/>
    <w:rsid w:val="001E047B"/>
    <w:rsid w:val="001E0F4A"/>
    <w:rsid w:val="001E12D5"/>
    <w:rsid w:val="001E196C"/>
    <w:rsid w:val="001E1ABD"/>
    <w:rsid w:val="001E1CBB"/>
    <w:rsid w:val="001E1D5A"/>
    <w:rsid w:val="001E1DA5"/>
    <w:rsid w:val="001E1FE8"/>
    <w:rsid w:val="001E2021"/>
    <w:rsid w:val="001E2811"/>
    <w:rsid w:val="001E3210"/>
    <w:rsid w:val="001E3440"/>
    <w:rsid w:val="001E3F52"/>
    <w:rsid w:val="001E45C0"/>
    <w:rsid w:val="001E5AA5"/>
    <w:rsid w:val="001E631E"/>
    <w:rsid w:val="001E65C2"/>
    <w:rsid w:val="001E6871"/>
    <w:rsid w:val="001E6A63"/>
    <w:rsid w:val="001E6B89"/>
    <w:rsid w:val="001E703C"/>
    <w:rsid w:val="001E754B"/>
    <w:rsid w:val="001E75CA"/>
    <w:rsid w:val="001E7B03"/>
    <w:rsid w:val="001E7F52"/>
    <w:rsid w:val="001F0057"/>
    <w:rsid w:val="001F15D9"/>
    <w:rsid w:val="001F17C3"/>
    <w:rsid w:val="001F1B09"/>
    <w:rsid w:val="001F2001"/>
    <w:rsid w:val="001F2718"/>
    <w:rsid w:val="001F2B4C"/>
    <w:rsid w:val="001F34B1"/>
    <w:rsid w:val="001F3FF3"/>
    <w:rsid w:val="001F456C"/>
    <w:rsid w:val="001F488C"/>
    <w:rsid w:val="001F4C99"/>
    <w:rsid w:val="001F5150"/>
    <w:rsid w:val="001F5179"/>
    <w:rsid w:val="001F6393"/>
    <w:rsid w:val="001F6C7C"/>
    <w:rsid w:val="001F7BF1"/>
    <w:rsid w:val="0020070B"/>
    <w:rsid w:val="00200DDF"/>
    <w:rsid w:val="00201585"/>
    <w:rsid w:val="0020186A"/>
    <w:rsid w:val="00201B58"/>
    <w:rsid w:val="00202345"/>
    <w:rsid w:val="00202A60"/>
    <w:rsid w:val="00202FF6"/>
    <w:rsid w:val="0020310D"/>
    <w:rsid w:val="00203FC9"/>
    <w:rsid w:val="00204284"/>
    <w:rsid w:val="00204285"/>
    <w:rsid w:val="00204BE9"/>
    <w:rsid w:val="002053D2"/>
    <w:rsid w:val="00206119"/>
    <w:rsid w:val="00206309"/>
    <w:rsid w:val="00206699"/>
    <w:rsid w:val="0020673B"/>
    <w:rsid w:val="0020686D"/>
    <w:rsid w:val="00206C31"/>
    <w:rsid w:val="002071DC"/>
    <w:rsid w:val="00207214"/>
    <w:rsid w:val="002079CE"/>
    <w:rsid w:val="00207AB1"/>
    <w:rsid w:val="00207FB5"/>
    <w:rsid w:val="00210170"/>
    <w:rsid w:val="00210265"/>
    <w:rsid w:val="00210D51"/>
    <w:rsid w:val="00211083"/>
    <w:rsid w:val="002111BD"/>
    <w:rsid w:val="00211BA3"/>
    <w:rsid w:val="00211C95"/>
    <w:rsid w:val="00211C97"/>
    <w:rsid w:val="00212118"/>
    <w:rsid w:val="00212211"/>
    <w:rsid w:val="00212559"/>
    <w:rsid w:val="002125AB"/>
    <w:rsid w:val="002128E3"/>
    <w:rsid w:val="002134A2"/>
    <w:rsid w:val="00213AE8"/>
    <w:rsid w:val="00213B6E"/>
    <w:rsid w:val="00213F80"/>
    <w:rsid w:val="002156DE"/>
    <w:rsid w:val="00216087"/>
    <w:rsid w:val="002164FF"/>
    <w:rsid w:val="00216B32"/>
    <w:rsid w:val="00216B7B"/>
    <w:rsid w:val="0021721B"/>
    <w:rsid w:val="00217D6A"/>
    <w:rsid w:val="00220202"/>
    <w:rsid w:val="00221228"/>
    <w:rsid w:val="00221814"/>
    <w:rsid w:val="002220AA"/>
    <w:rsid w:val="002223E2"/>
    <w:rsid w:val="00223382"/>
    <w:rsid w:val="0022340A"/>
    <w:rsid w:val="00223548"/>
    <w:rsid w:val="002235BA"/>
    <w:rsid w:val="00223918"/>
    <w:rsid w:val="00223AE9"/>
    <w:rsid w:val="002243A5"/>
    <w:rsid w:val="002245BD"/>
    <w:rsid w:val="00224EC2"/>
    <w:rsid w:val="002250EF"/>
    <w:rsid w:val="00225405"/>
    <w:rsid w:val="0022543D"/>
    <w:rsid w:val="002265D9"/>
    <w:rsid w:val="002266D3"/>
    <w:rsid w:val="0022713F"/>
    <w:rsid w:val="0022739C"/>
    <w:rsid w:val="002275DA"/>
    <w:rsid w:val="00227B27"/>
    <w:rsid w:val="00227C1F"/>
    <w:rsid w:val="00230D57"/>
    <w:rsid w:val="0023359B"/>
    <w:rsid w:val="002336E0"/>
    <w:rsid w:val="00233764"/>
    <w:rsid w:val="00233936"/>
    <w:rsid w:val="00234785"/>
    <w:rsid w:val="002356F9"/>
    <w:rsid w:val="0023591B"/>
    <w:rsid w:val="00236043"/>
    <w:rsid w:val="00236C32"/>
    <w:rsid w:val="0023735C"/>
    <w:rsid w:val="002413C2"/>
    <w:rsid w:val="0024173B"/>
    <w:rsid w:val="00242273"/>
    <w:rsid w:val="002422FB"/>
    <w:rsid w:val="00242352"/>
    <w:rsid w:val="00242771"/>
    <w:rsid w:val="0024388E"/>
    <w:rsid w:val="00244196"/>
    <w:rsid w:val="00244514"/>
    <w:rsid w:val="00244804"/>
    <w:rsid w:val="00244882"/>
    <w:rsid w:val="00244A97"/>
    <w:rsid w:val="0024542A"/>
    <w:rsid w:val="00245A52"/>
    <w:rsid w:val="00245BED"/>
    <w:rsid w:val="00245D18"/>
    <w:rsid w:val="00246B2C"/>
    <w:rsid w:val="00246D6A"/>
    <w:rsid w:val="00247672"/>
    <w:rsid w:val="002479AB"/>
    <w:rsid w:val="00250022"/>
    <w:rsid w:val="002500EF"/>
    <w:rsid w:val="0025027B"/>
    <w:rsid w:val="002505B1"/>
    <w:rsid w:val="002509D0"/>
    <w:rsid w:val="00251253"/>
    <w:rsid w:val="00251469"/>
    <w:rsid w:val="0025154D"/>
    <w:rsid w:val="002517EA"/>
    <w:rsid w:val="00252616"/>
    <w:rsid w:val="00253128"/>
    <w:rsid w:val="002531DE"/>
    <w:rsid w:val="00253EFA"/>
    <w:rsid w:val="00254357"/>
    <w:rsid w:val="0025479D"/>
    <w:rsid w:val="00254AE1"/>
    <w:rsid w:val="002553F5"/>
    <w:rsid w:val="00255400"/>
    <w:rsid w:val="002554F5"/>
    <w:rsid w:val="00255C9B"/>
    <w:rsid w:val="00255E61"/>
    <w:rsid w:val="002560A7"/>
    <w:rsid w:val="002565D6"/>
    <w:rsid w:val="00256AE0"/>
    <w:rsid w:val="00256CD0"/>
    <w:rsid w:val="0025736C"/>
    <w:rsid w:val="00257642"/>
    <w:rsid w:val="00257813"/>
    <w:rsid w:val="00257F23"/>
    <w:rsid w:val="00260876"/>
    <w:rsid w:val="00261C1B"/>
    <w:rsid w:val="00262211"/>
    <w:rsid w:val="00262C30"/>
    <w:rsid w:val="00262D2D"/>
    <w:rsid w:val="002636F9"/>
    <w:rsid w:val="002638F2"/>
    <w:rsid w:val="00263D01"/>
    <w:rsid w:val="00263D38"/>
    <w:rsid w:val="0026418A"/>
    <w:rsid w:val="002641A4"/>
    <w:rsid w:val="002646C1"/>
    <w:rsid w:val="00264BC7"/>
    <w:rsid w:val="00264D08"/>
    <w:rsid w:val="00264DE9"/>
    <w:rsid w:val="00265684"/>
    <w:rsid w:val="0026594B"/>
    <w:rsid w:val="00265ABE"/>
    <w:rsid w:val="002660B0"/>
    <w:rsid w:val="00267933"/>
    <w:rsid w:val="00267FAD"/>
    <w:rsid w:val="00270410"/>
    <w:rsid w:val="00270BE9"/>
    <w:rsid w:val="00270E61"/>
    <w:rsid w:val="00271ABC"/>
    <w:rsid w:val="002727AF"/>
    <w:rsid w:val="002730C2"/>
    <w:rsid w:val="00273199"/>
    <w:rsid w:val="00274017"/>
    <w:rsid w:val="0027447B"/>
    <w:rsid w:val="002744C9"/>
    <w:rsid w:val="00274E71"/>
    <w:rsid w:val="00275008"/>
    <w:rsid w:val="00275589"/>
    <w:rsid w:val="00275C97"/>
    <w:rsid w:val="0027633B"/>
    <w:rsid w:val="002763FE"/>
    <w:rsid w:val="002769EF"/>
    <w:rsid w:val="00276FAE"/>
    <w:rsid w:val="0027722E"/>
    <w:rsid w:val="002775AA"/>
    <w:rsid w:val="00277834"/>
    <w:rsid w:val="00277884"/>
    <w:rsid w:val="00277F76"/>
    <w:rsid w:val="0028059E"/>
    <w:rsid w:val="00281252"/>
    <w:rsid w:val="002813E0"/>
    <w:rsid w:val="0028149A"/>
    <w:rsid w:val="00281B7F"/>
    <w:rsid w:val="00282137"/>
    <w:rsid w:val="00282207"/>
    <w:rsid w:val="002822C1"/>
    <w:rsid w:val="002828C1"/>
    <w:rsid w:val="002829AA"/>
    <w:rsid w:val="00282A4A"/>
    <w:rsid w:val="00282AAF"/>
    <w:rsid w:val="00282DBE"/>
    <w:rsid w:val="00282EE0"/>
    <w:rsid w:val="0028332A"/>
    <w:rsid w:val="00284BC9"/>
    <w:rsid w:val="00284C48"/>
    <w:rsid w:val="002851DC"/>
    <w:rsid w:val="002853B3"/>
    <w:rsid w:val="00285B2D"/>
    <w:rsid w:val="0028622B"/>
    <w:rsid w:val="00286603"/>
    <w:rsid w:val="00286D58"/>
    <w:rsid w:val="002878A0"/>
    <w:rsid w:val="00287F23"/>
    <w:rsid w:val="00290265"/>
    <w:rsid w:val="00291643"/>
    <w:rsid w:val="002916AD"/>
    <w:rsid w:val="00291B84"/>
    <w:rsid w:val="002920C1"/>
    <w:rsid w:val="002923D5"/>
    <w:rsid w:val="00292EE6"/>
    <w:rsid w:val="002931A0"/>
    <w:rsid w:val="00293586"/>
    <w:rsid w:val="00293FFE"/>
    <w:rsid w:val="00294BAA"/>
    <w:rsid w:val="0029510E"/>
    <w:rsid w:val="00295483"/>
    <w:rsid w:val="002961DE"/>
    <w:rsid w:val="00296461"/>
    <w:rsid w:val="00296C0E"/>
    <w:rsid w:val="00296DA1"/>
    <w:rsid w:val="00297795"/>
    <w:rsid w:val="00297A36"/>
    <w:rsid w:val="00297AF6"/>
    <w:rsid w:val="002A01B0"/>
    <w:rsid w:val="002A01F0"/>
    <w:rsid w:val="002A05F2"/>
    <w:rsid w:val="002A077E"/>
    <w:rsid w:val="002A0B8C"/>
    <w:rsid w:val="002A0BB3"/>
    <w:rsid w:val="002A0EAD"/>
    <w:rsid w:val="002A171B"/>
    <w:rsid w:val="002A1743"/>
    <w:rsid w:val="002A22FB"/>
    <w:rsid w:val="002A294A"/>
    <w:rsid w:val="002A2A8B"/>
    <w:rsid w:val="002A35D5"/>
    <w:rsid w:val="002A3614"/>
    <w:rsid w:val="002A39D7"/>
    <w:rsid w:val="002A44A4"/>
    <w:rsid w:val="002A4510"/>
    <w:rsid w:val="002A4B49"/>
    <w:rsid w:val="002A65E2"/>
    <w:rsid w:val="002A6697"/>
    <w:rsid w:val="002A6912"/>
    <w:rsid w:val="002A6D14"/>
    <w:rsid w:val="002A71C5"/>
    <w:rsid w:val="002A75F9"/>
    <w:rsid w:val="002B030B"/>
    <w:rsid w:val="002B1D05"/>
    <w:rsid w:val="002B1FFC"/>
    <w:rsid w:val="002B284A"/>
    <w:rsid w:val="002B2942"/>
    <w:rsid w:val="002B2F98"/>
    <w:rsid w:val="002B3643"/>
    <w:rsid w:val="002B47CF"/>
    <w:rsid w:val="002B4801"/>
    <w:rsid w:val="002B488A"/>
    <w:rsid w:val="002B4B3D"/>
    <w:rsid w:val="002B4E57"/>
    <w:rsid w:val="002B4EB2"/>
    <w:rsid w:val="002B5445"/>
    <w:rsid w:val="002B5548"/>
    <w:rsid w:val="002B5B29"/>
    <w:rsid w:val="002B6580"/>
    <w:rsid w:val="002B6993"/>
    <w:rsid w:val="002B6BB0"/>
    <w:rsid w:val="002C004F"/>
    <w:rsid w:val="002C02E5"/>
    <w:rsid w:val="002C0FE2"/>
    <w:rsid w:val="002C1599"/>
    <w:rsid w:val="002C2037"/>
    <w:rsid w:val="002C22A9"/>
    <w:rsid w:val="002C2588"/>
    <w:rsid w:val="002C2964"/>
    <w:rsid w:val="002C2A86"/>
    <w:rsid w:val="002C3059"/>
    <w:rsid w:val="002C3202"/>
    <w:rsid w:val="002C3A0A"/>
    <w:rsid w:val="002C3AA2"/>
    <w:rsid w:val="002C3B14"/>
    <w:rsid w:val="002C5076"/>
    <w:rsid w:val="002C54E2"/>
    <w:rsid w:val="002C6646"/>
    <w:rsid w:val="002C6866"/>
    <w:rsid w:val="002C6AD9"/>
    <w:rsid w:val="002C73A9"/>
    <w:rsid w:val="002C745E"/>
    <w:rsid w:val="002D0926"/>
    <w:rsid w:val="002D0E10"/>
    <w:rsid w:val="002D1235"/>
    <w:rsid w:val="002D18C8"/>
    <w:rsid w:val="002D1C9E"/>
    <w:rsid w:val="002D1FD0"/>
    <w:rsid w:val="002D2363"/>
    <w:rsid w:val="002D256D"/>
    <w:rsid w:val="002D2C27"/>
    <w:rsid w:val="002D2F1E"/>
    <w:rsid w:val="002D35A2"/>
    <w:rsid w:val="002D39AE"/>
    <w:rsid w:val="002D3D0A"/>
    <w:rsid w:val="002D4A9C"/>
    <w:rsid w:val="002D4AF7"/>
    <w:rsid w:val="002D4BB4"/>
    <w:rsid w:val="002D4C99"/>
    <w:rsid w:val="002D56C6"/>
    <w:rsid w:val="002D5BE0"/>
    <w:rsid w:val="002D6084"/>
    <w:rsid w:val="002D6223"/>
    <w:rsid w:val="002D63F2"/>
    <w:rsid w:val="002D6720"/>
    <w:rsid w:val="002D7AA9"/>
    <w:rsid w:val="002E054E"/>
    <w:rsid w:val="002E0815"/>
    <w:rsid w:val="002E13EE"/>
    <w:rsid w:val="002E22C1"/>
    <w:rsid w:val="002E2774"/>
    <w:rsid w:val="002E2F46"/>
    <w:rsid w:val="002E38CB"/>
    <w:rsid w:val="002E3A33"/>
    <w:rsid w:val="002E3CFC"/>
    <w:rsid w:val="002E4356"/>
    <w:rsid w:val="002E4366"/>
    <w:rsid w:val="002E45EF"/>
    <w:rsid w:val="002E498A"/>
    <w:rsid w:val="002E543B"/>
    <w:rsid w:val="002E54D7"/>
    <w:rsid w:val="002E5761"/>
    <w:rsid w:val="002E5DF6"/>
    <w:rsid w:val="002E5E51"/>
    <w:rsid w:val="002E64D6"/>
    <w:rsid w:val="002E6C59"/>
    <w:rsid w:val="002F0164"/>
    <w:rsid w:val="002F03F8"/>
    <w:rsid w:val="002F04CE"/>
    <w:rsid w:val="002F05CA"/>
    <w:rsid w:val="002F0D2C"/>
    <w:rsid w:val="002F0F05"/>
    <w:rsid w:val="002F1256"/>
    <w:rsid w:val="002F153A"/>
    <w:rsid w:val="002F1CBB"/>
    <w:rsid w:val="002F1EAD"/>
    <w:rsid w:val="002F2008"/>
    <w:rsid w:val="002F2448"/>
    <w:rsid w:val="002F24C4"/>
    <w:rsid w:val="002F2872"/>
    <w:rsid w:val="002F322A"/>
    <w:rsid w:val="002F3920"/>
    <w:rsid w:val="002F445B"/>
    <w:rsid w:val="002F4613"/>
    <w:rsid w:val="002F53AD"/>
    <w:rsid w:val="002F550D"/>
    <w:rsid w:val="002F5DD8"/>
    <w:rsid w:val="002F6324"/>
    <w:rsid w:val="002F6849"/>
    <w:rsid w:val="002F6E1A"/>
    <w:rsid w:val="002F6F20"/>
    <w:rsid w:val="002F73B7"/>
    <w:rsid w:val="002F79B6"/>
    <w:rsid w:val="002F7DEE"/>
    <w:rsid w:val="002F7DFF"/>
    <w:rsid w:val="003001AC"/>
    <w:rsid w:val="003004C8"/>
    <w:rsid w:val="00300559"/>
    <w:rsid w:val="0030116B"/>
    <w:rsid w:val="00301415"/>
    <w:rsid w:val="0030162C"/>
    <w:rsid w:val="00301923"/>
    <w:rsid w:val="00301AB4"/>
    <w:rsid w:val="003027BF"/>
    <w:rsid w:val="00302A8B"/>
    <w:rsid w:val="00302FD2"/>
    <w:rsid w:val="00304338"/>
    <w:rsid w:val="003050A0"/>
    <w:rsid w:val="0030554B"/>
    <w:rsid w:val="00305FF4"/>
    <w:rsid w:val="003061FA"/>
    <w:rsid w:val="0030679C"/>
    <w:rsid w:val="003070CF"/>
    <w:rsid w:val="0030796B"/>
    <w:rsid w:val="003103FB"/>
    <w:rsid w:val="003107B5"/>
    <w:rsid w:val="0031143E"/>
    <w:rsid w:val="00311824"/>
    <w:rsid w:val="00311F92"/>
    <w:rsid w:val="00313AB1"/>
    <w:rsid w:val="00313BF2"/>
    <w:rsid w:val="00313CC1"/>
    <w:rsid w:val="00313D17"/>
    <w:rsid w:val="0031411F"/>
    <w:rsid w:val="00314FD0"/>
    <w:rsid w:val="0031525A"/>
    <w:rsid w:val="00315768"/>
    <w:rsid w:val="00315D5A"/>
    <w:rsid w:val="003162F0"/>
    <w:rsid w:val="00316A2D"/>
    <w:rsid w:val="00316B40"/>
    <w:rsid w:val="00317147"/>
    <w:rsid w:val="003174C0"/>
    <w:rsid w:val="003175F5"/>
    <w:rsid w:val="0031781F"/>
    <w:rsid w:val="00317A5A"/>
    <w:rsid w:val="00317C4F"/>
    <w:rsid w:val="00317C65"/>
    <w:rsid w:val="00317F8A"/>
    <w:rsid w:val="00320426"/>
    <w:rsid w:val="00320D28"/>
    <w:rsid w:val="0032131B"/>
    <w:rsid w:val="00321577"/>
    <w:rsid w:val="00321D4B"/>
    <w:rsid w:val="00322111"/>
    <w:rsid w:val="00322137"/>
    <w:rsid w:val="003222CD"/>
    <w:rsid w:val="00323AA5"/>
    <w:rsid w:val="00323DAA"/>
    <w:rsid w:val="00323EA4"/>
    <w:rsid w:val="00323FE3"/>
    <w:rsid w:val="0032409B"/>
    <w:rsid w:val="003243EA"/>
    <w:rsid w:val="0032461D"/>
    <w:rsid w:val="00324A8F"/>
    <w:rsid w:val="003252B4"/>
    <w:rsid w:val="00325CA2"/>
    <w:rsid w:val="00325CF0"/>
    <w:rsid w:val="00325D95"/>
    <w:rsid w:val="003262C3"/>
    <w:rsid w:val="003266F4"/>
    <w:rsid w:val="00326707"/>
    <w:rsid w:val="00326A58"/>
    <w:rsid w:val="00326C5C"/>
    <w:rsid w:val="00327000"/>
    <w:rsid w:val="003278C5"/>
    <w:rsid w:val="00327DF2"/>
    <w:rsid w:val="00327EC3"/>
    <w:rsid w:val="003303BE"/>
    <w:rsid w:val="00330610"/>
    <w:rsid w:val="0033062A"/>
    <w:rsid w:val="003309C0"/>
    <w:rsid w:val="00331AE8"/>
    <w:rsid w:val="003320E6"/>
    <w:rsid w:val="0033213D"/>
    <w:rsid w:val="00332141"/>
    <w:rsid w:val="00332322"/>
    <w:rsid w:val="003323F1"/>
    <w:rsid w:val="00332788"/>
    <w:rsid w:val="00333530"/>
    <w:rsid w:val="00333BC7"/>
    <w:rsid w:val="00334366"/>
    <w:rsid w:val="003344C9"/>
    <w:rsid w:val="00334BB8"/>
    <w:rsid w:val="00334CB2"/>
    <w:rsid w:val="00334F63"/>
    <w:rsid w:val="0033560D"/>
    <w:rsid w:val="003359C3"/>
    <w:rsid w:val="00335F22"/>
    <w:rsid w:val="00336312"/>
    <w:rsid w:val="00336484"/>
    <w:rsid w:val="0033674D"/>
    <w:rsid w:val="00336814"/>
    <w:rsid w:val="00337441"/>
    <w:rsid w:val="003376A1"/>
    <w:rsid w:val="00337DEC"/>
    <w:rsid w:val="00340348"/>
    <w:rsid w:val="003408A4"/>
    <w:rsid w:val="00340DBE"/>
    <w:rsid w:val="0034179F"/>
    <w:rsid w:val="003421A7"/>
    <w:rsid w:val="003421B3"/>
    <w:rsid w:val="00342844"/>
    <w:rsid w:val="00342B30"/>
    <w:rsid w:val="00343478"/>
    <w:rsid w:val="003439DA"/>
    <w:rsid w:val="00344A39"/>
    <w:rsid w:val="00345056"/>
    <w:rsid w:val="00345B53"/>
    <w:rsid w:val="003463E9"/>
    <w:rsid w:val="00347736"/>
    <w:rsid w:val="00347E7F"/>
    <w:rsid w:val="00350924"/>
    <w:rsid w:val="00350D4E"/>
    <w:rsid w:val="003517C6"/>
    <w:rsid w:val="003519A0"/>
    <w:rsid w:val="00351DA4"/>
    <w:rsid w:val="00352EC4"/>
    <w:rsid w:val="0035303D"/>
    <w:rsid w:val="00353586"/>
    <w:rsid w:val="00353F85"/>
    <w:rsid w:val="003541B9"/>
    <w:rsid w:val="00354671"/>
    <w:rsid w:val="003546E4"/>
    <w:rsid w:val="00354B31"/>
    <w:rsid w:val="003555B9"/>
    <w:rsid w:val="00355775"/>
    <w:rsid w:val="0035629F"/>
    <w:rsid w:val="00356AF3"/>
    <w:rsid w:val="0035723F"/>
    <w:rsid w:val="00357A66"/>
    <w:rsid w:val="00357E55"/>
    <w:rsid w:val="003602F6"/>
    <w:rsid w:val="00360AF7"/>
    <w:rsid w:val="003617C1"/>
    <w:rsid w:val="00362F29"/>
    <w:rsid w:val="00363095"/>
    <w:rsid w:val="003637F8"/>
    <w:rsid w:val="00363AB9"/>
    <w:rsid w:val="00363AE6"/>
    <w:rsid w:val="00363B0B"/>
    <w:rsid w:val="00363D34"/>
    <w:rsid w:val="00364A4C"/>
    <w:rsid w:val="003650AE"/>
    <w:rsid w:val="0036631B"/>
    <w:rsid w:val="0036690F"/>
    <w:rsid w:val="00366E61"/>
    <w:rsid w:val="00366F2B"/>
    <w:rsid w:val="00367052"/>
    <w:rsid w:val="0037148B"/>
    <w:rsid w:val="003716B1"/>
    <w:rsid w:val="003717D1"/>
    <w:rsid w:val="00372557"/>
    <w:rsid w:val="003727D2"/>
    <w:rsid w:val="0037391A"/>
    <w:rsid w:val="003739FA"/>
    <w:rsid w:val="00373A54"/>
    <w:rsid w:val="00373BE8"/>
    <w:rsid w:val="00373DB5"/>
    <w:rsid w:val="003743A1"/>
    <w:rsid w:val="003749B9"/>
    <w:rsid w:val="00376461"/>
    <w:rsid w:val="00376773"/>
    <w:rsid w:val="00376FEC"/>
    <w:rsid w:val="00377441"/>
    <w:rsid w:val="003774C0"/>
    <w:rsid w:val="003775AB"/>
    <w:rsid w:val="00377730"/>
    <w:rsid w:val="00381158"/>
    <w:rsid w:val="003819AC"/>
    <w:rsid w:val="00381A93"/>
    <w:rsid w:val="003822CA"/>
    <w:rsid w:val="00382623"/>
    <w:rsid w:val="003829D9"/>
    <w:rsid w:val="00382F75"/>
    <w:rsid w:val="00383018"/>
    <w:rsid w:val="003832BB"/>
    <w:rsid w:val="003833B6"/>
    <w:rsid w:val="00383791"/>
    <w:rsid w:val="0038498F"/>
    <w:rsid w:val="00385179"/>
    <w:rsid w:val="0038538F"/>
    <w:rsid w:val="003857C6"/>
    <w:rsid w:val="0038592D"/>
    <w:rsid w:val="003862C4"/>
    <w:rsid w:val="00386717"/>
    <w:rsid w:val="00386B12"/>
    <w:rsid w:val="00387318"/>
    <w:rsid w:val="0038749D"/>
    <w:rsid w:val="0038757C"/>
    <w:rsid w:val="00387AA3"/>
    <w:rsid w:val="00387C33"/>
    <w:rsid w:val="00387D7C"/>
    <w:rsid w:val="0039152F"/>
    <w:rsid w:val="00392898"/>
    <w:rsid w:val="00393377"/>
    <w:rsid w:val="0039428A"/>
    <w:rsid w:val="00394A12"/>
    <w:rsid w:val="00395DA4"/>
    <w:rsid w:val="00395DCB"/>
    <w:rsid w:val="003975E0"/>
    <w:rsid w:val="00397A28"/>
    <w:rsid w:val="00397CC8"/>
    <w:rsid w:val="003A0480"/>
    <w:rsid w:val="003A1297"/>
    <w:rsid w:val="003A19B5"/>
    <w:rsid w:val="003A2BCE"/>
    <w:rsid w:val="003A2F6C"/>
    <w:rsid w:val="003A41A7"/>
    <w:rsid w:val="003A4333"/>
    <w:rsid w:val="003A4845"/>
    <w:rsid w:val="003A5255"/>
    <w:rsid w:val="003A5F6D"/>
    <w:rsid w:val="003A5FBD"/>
    <w:rsid w:val="003A6C56"/>
    <w:rsid w:val="003A71BF"/>
    <w:rsid w:val="003A7605"/>
    <w:rsid w:val="003B08D9"/>
    <w:rsid w:val="003B09BE"/>
    <w:rsid w:val="003B1481"/>
    <w:rsid w:val="003B1EF0"/>
    <w:rsid w:val="003B2004"/>
    <w:rsid w:val="003B295C"/>
    <w:rsid w:val="003B2B09"/>
    <w:rsid w:val="003B2EB7"/>
    <w:rsid w:val="003B3124"/>
    <w:rsid w:val="003B32F6"/>
    <w:rsid w:val="003B3639"/>
    <w:rsid w:val="003B4385"/>
    <w:rsid w:val="003B5B29"/>
    <w:rsid w:val="003B5CE8"/>
    <w:rsid w:val="003B5D06"/>
    <w:rsid w:val="003B5EFD"/>
    <w:rsid w:val="003B6320"/>
    <w:rsid w:val="003B64EA"/>
    <w:rsid w:val="003B6550"/>
    <w:rsid w:val="003B66E3"/>
    <w:rsid w:val="003B7137"/>
    <w:rsid w:val="003B78B9"/>
    <w:rsid w:val="003B7B90"/>
    <w:rsid w:val="003B7BB6"/>
    <w:rsid w:val="003B7BB8"/>
    <w:rsid w:val="003C00DA"/>
    <w:rsid w:val="003C02DD"/>
    <w:rsid w:val="003C035F"/>
    <w:rsid w:val="003C085D"/>
    <w:rsid w:val="003C0E3B"/>
    <w:rsid w:val="003C0E71"/>
    <w:rsid w:val="003C106C"/>
    <w:rsid w:val="003C129C"/>
    <w:rsid w:val="003C12B8"/>
    <w:rsid w:val="003C2064"/>
    <w:rsid w:val="003C2416"/>
    <w:rsid w:val="003C26F2"/>
    <w:rsid w:val="003C3155"/>
    <w:rsid w:val="003C3249"/>
    <w:rsid w:val="003C4AB2"/>
    <w:rsid w:val="003C4ED6"/>
    <w:rsid w:val="003C51E9"/>
    <w:rsid w:val="003C627B"/>
    <w:rsid w:val="003C695C"/>
    <w:rsid w:val="003C6E01"/>
    <w:rsid w:val="003C6FCA"/>
    <w:rsid w:val="003C7F49"/>
    <w:rsid w:val="003C7F5E"/>
    <w:rsid w:val="003D0565"/>
    <w:rsid w:val="003D083F"/>
    <w:rsid w:val="003D08BE"/>
    <w:rsid w:val="003D0902"/>
    <w:rsid w:val="003D0CF4"/>
    <w:rsid w:val="003D1565"/>
    <w:rsid w:val="003D1B1A"/>
    <w:rsid w:val="003D1C10"/>
    <w:rsid w:val="003D2233"/>
    <w:rsid w:val="003D2D3F"/>
    <w:rsid w:val="003D38C4"/>
    <w:rsid w:val="003D3AB6"/>
    <w:rsid w:val="003D3EAB"/>
    <w:rsid w:val="003D3F07"/>
    <w:rsid w:val="003D3FD5"/>
    <w:rsid w:val="003D4509"/>
    <w:rsid w:val="003D474D"/>
    <w:rsid w:val="003D4992"/>
    <w:rsid w:val="003D4A88"/>
    <w:rsid w:val="003D532F"/>
    <w:rsid w:val="003D5CB1"/>
    <w:rsid w:val="003D5DFC"/>
    <w:rsid w:val="003D6618"/>
    <w:rsid w:val="003D6CC3"/>
    <w:rsid w:val="003D6D65"/>
    <w:rsid w:val="003D7579"/>
    <w:rsid w:val="003D771A"/>
    <w:rsid w:val="003D78E8"/>
    <w:rsid w:val="003D7CCE"/>
    <w:rsid w:val="003D7DD7"/>
    <w:rsid w:val="003E094F"/>
    <w:rsid w:val="003E0DE4"/>
    <w:rsid w:val="003E0FC5"/>
    <w:rsid w:val="003E20B2"/>
    <w:rsid w:val="003E2401"/>
    <w:rsid w:val="003E2D83"/>
    <w:rsid w:val="003E324D"/>
    <w:rsid w:val="003E3706"/>
    <w:rsid w:val="003E37FC"/>
    <w:rsid w:val="003E3FC3"/>
    <w:rsid w:val="003E3FDE"/>
    <w:rsid w:val="003E43E0"/>
    <w:rsid w:val="003E4775"/>
    <w:rsid w:val="003E4D3C"/>
    <w:rsid w:val="003E4F86"/>
    <w:rsid w:val="003E5009"/>
    <w:rsid w:val="003E5DFA"/>
    <w:rsid w:val="003E5FD1"/>
    <w:rsid w:val="003E608B"/>
    <w:rsid w:val="003E67ED"/>
    <w:rsid w:val="003E75AC"/>
    <w:rsid w:val="003E77A2"/>
    <w:rsid w:val="003F009D"/>
    <w:rsid w:val="003F022C"/>
    <w:rsid w:val="003F0B27"/>
    <w:rsid w:val="003F11E5"/>
    <w:rsid w:val="003F11F4"/>
    <w:rsid w:val="003F1331"/>
    <w:rsid w:val="003F197E"/>
    <w:rsid w:val="003F2404"/>
    <w:rsid w:val="003F2644"/>
    <w:rsid w:val="003F2AEB"/>
    <w:rsid w:val="003F3158"/>
    <w:rsid w:val="003F40A2"/>
    <w:rsid w:val="003F4216"/>
    <w:rsid w:val="003F4415"/>
    <w:rsid w:val="003F459B"/>
    <w:rsid w:val="003F4ACB"/>
    <w:rsid w:val="003F4EDC"/>
    <w:rsid w:val="003F50DE"/>
    <w:rsid w:val="003F516B"/>
    <w:rsid w:val="003F51EA"/>
    <w:rsid w:val="003F5574"/>
    <w:rsid w:val="003F5F7F"/>
    <w:rsid w:val="003F6084"/>
    <w:rsid w:val="003F70DE"/>
    <w:rsid w:val="003F74DC"/>
    <w:rsid w:val="003F79ED"/>
    <w:rsid w:val="003F7D97"/>
    <w:rsid w:val="00400E95"/>
    <w:rsid w:val="00401166"/>
    <w:rsid w:val="00401342"/>
    <w:rsid w:val="0040146F"/>
    <w:rsid w:val="0040159E"/>
    <w:rsid w:val="004017E7"/>
    <w:rsid w:val="00401890"/>
    <w:rsid w:val="00401AE2"/>
    <w:rsid w:val="00401D4F"/>
    <w:rsid w:val="00402211"/>
    <w:rsid w:val="0040287A"/>
    <w:rsid w:val="00402B96"/>
    <w:rsid w:val="00402EA8"/>
    <w:rsid w:val="004033AB"/>
    <w:rsid w:val="004041CF"/>
    <w:rsid w:val="00404416"/>
    <w:rsid w:val="00404553"/>
    <w:rsid w:val="00404651"/>
    <w:rsid w:val="00405045"/>
    <w:rsid w:val="00405188"/>
    <w:rsid w:val="00405E51"/>
    <w:rsid w:val="004061C6"/>
    <w:rsid w:val="00407315"/>
    <w:rsid w:val="004078E6"/>
    <w:rsid w:val="00407B6A"/>
    <w:rsid w:val="00407CD4"/>
    <w:rsid w:val="004102E8"/>
    <w:rsid w:val="004107BA"/>
    <w:rsid w:val="00410F1B"/>
    <w:rsid w:val="004123B9"/>
    <w:rsid w:val="004125AE"/>
    <w:rsid w:val="0041265B"/>
    <w:rsid w:val="004126E9"/>
    <w:rsid w:val="00412EAC"/>
    <w:rsid w:val="0041327D"/>
    <w:rsid w:val="004132C3"/>
    <w:rsid w:val="00413CF2"/>
    <w:rsid w:val="00413D32"/>
    <w:rsid w:val="004140BA"/>
    <w:rsid w:val="00414421"/>
    <w:rsid w:val="00414DD8"/>
    <w:rsid w:val="00414E5F"/>
    <w:rsid w:val="00415DED"/>
    <w:rsid w:val="00416A6E"/>
    <w:rsid w:val="00416AE3"/>
    <w:rsid w:val="00416C62"/>
    <w:rsid w:val="00416C84"/>
    <w:rsid w:val="00417230"/>
    <w:rsid w:val="0041725C"/>
    <w:rsid w:val="0041779E"/>
    <w:rsid w:val="00417B4F"/>
    <w:rsid w:val="00417F5F"/>
    <w:rsid w:val="00420053"/>
    <w:rsid w:val="00420057"/>
    <w:rsid w:val="0042032A"/>
    <w:rsid w:val="004204A1"/>
    <w:rsid w:val="00420640"/>
    <w:rsid w:val="00420FB0"/>
    <w:rsid w:val="00421974"/>
    <w:rsid w:val="00421E08"/>
    <w:rsid w:val="00422312"/>
    <w:rsid w:val="00422689"/>
    <w:rsid w:val="00423C87"/>
    <w:rsid w:val="00423F32"/>
    <w:rsid w:val="00423F69"/>
    <w:rsid w:val="00424497"/>
    <w:rsid w:val="00424639"/>
    <w:rsid w:val="004246FC"/>
    <w:rsid w:val="00425265"/>
    <w:rsid w:val="0042563F"/>
    <w:rsid w:val="00425763"/>
    <w:rsid w:val="004259AE"/>
    <w:rsid w:val="0042649B"/>
    <w:rsid w:val="0042652C"/>
    <w:rsid w:val="00426DEC"/>
    <w:rsid w:val="00427F40"/>
    <w:rsid w:val="0043027C"/>
    <w:rsid w:val="00430EB8"/>
    <w:rsid w:val="00430F18"/>
    <w:rsid w:val="00431497"/>
    <w:rsid w:val="0043188B"/>
    <w:rsid w:val="00431C42"/>
    <w:rsid w:val="00431D5E"/>
    <w:rsid w:val="0043212C"/>
    <w:rsid w:val="004322A4"/>
    <w:rsid w:val="00432652"/>
    <w:rsid w:val="0043275B"/>
    <w:rsid w:val="00432972"/>
    <w:rsid w:val="00432EEC"/>
    <w:rsid w:val="00433102"/>
    <w:rsid w:val="00433598"/>
    <w:rsid w:val="004336D1"/>
    <w:rsid w:val="0043377A"/>
    <w:rsid w:val="00433AE7"/>
    <w:rsid w:val="00433AE8"/>
    <w:rsid w:val="00434566"/>
    <w:rsid w:val="00434840"/>
    <w:rsid w:val="0043530B"/>
    <w:rsid w:val="004361FD"/>
    <w:rsid w:val="004367DF"/>
    <w:rsid w:val="00436C39"/>
    <w:rsid w:val="00436F80"/>
    <w:rsid w:val="004370AB"/>
    <w:rsid w:val="004371F5"/>
    <w:rsid w:val="00437219"/>
    <w:rsid w:val="00437335"/>
    <w:rsid w:val="0043795D"/>
    <w:rsid w:val="00437AA8"/>
    <w:rsid w:val="00437F1C"/>
    <w:rsid w:val="00440040"/>
    <w:rsid w:val="00440311"/>
    <w:rsid w:val="004405B0"/>
    <w:rsid w:val="0044079E"/>
    <w:rsid w:val="00440C45"/>
    <w:rsid w:val="00440EA2"/>
    <w:rsid w:val="0044107B"/>
    <w:rsid w:val="004417F6"/>
    <w:rsid w:val="00441A7B"/>
    <w:rsid w:val="00442087"/>
    <w:rsid w:val="004429A9"/>
    <w:rsid w:val="00443576"/>
    <w:rsid w:val="0044378F"/>
    <w:rsid w:val="00443F05"/>
    <w:rsid w:val="00444163"/>
    <w:rsid w:val="00444420"/>
    <w:rsid w:val="00444A87"/>
    <w:rsid w:val="00444BDE"/>
    <w:rsid w:val="00445247"/>
    <w:rsid w:val="00445798"/>
    <w:rsid w:val="00445D11"/>
    <w:rsid w:val="0044646A"/>
    <w:rsid w:val="0044697A"/>
    <w:rsid w:val="00446BD0"/>
    <w:rsid w:val="00446E4E"/>
    <w:rsid w:val="00447873"/>
    <w:rsid w:val="00447B08"/>
    <w:rsid w:val="00447C2B"/>
    <w:rsid w:val="00447C9F"/>
    <w:rsid w:val="00447D46"/>
    <w:rsid w:val="00447D63"/>
    <w:rsid w:val="00447E01"/>
    <w:rsid w:val="00447E08"/>
    <w:rsid w:val="00447F62"/>
    <w:rsid w:val="004500C0"/>
    <w:rsid w:val="00450394"/>
    <w:rsid w:val="00450A92"/>
    <w:rsid w:val="00451B92"/>
    <w:rsid w:val="00452148"/>
    <w:rsid w:val="0045240B"/>
    <w:rsid w:val="00452EF7"/>
    <w:rsid w:val="00453036"/>
    <w:rsid w:val="00453185"/>
    <w:rsid w:val="00453287"/>
    <w:rsid w:val="004532E4"/>
    <w:rsid w:val="004534CE"/>
    <w:rsid w:val="004538BB"/>
    <w:rsid w:val="00453A51"/>
    <w:rsid w:val="00453C60"/>
    <w:rsid w:val="00453D36"/>
    <w:rsid w:val="00453D37"/>
    <w:rsid w:val="00453E53"/>
    <w:rsid w:val="00454583"/>
    <w:rsid w:val="004549FA"/>
    <w:rsid w:val="00454E4E"/>
    <w:rsid w:val="004552BC"/>
    <w:rsid w:val="00455BA8"/>
    <w:rsid w:val="00455C59"/>
    <w:rsid w:val="004561E8"/>
    <w:rsid w:val="004562EA"/>
    <w:rsid w:val="00456670"/>
    <w:rsid w:val="00456782"/>
    <w:rsid w:val="0045698B"/>
    <w:rsid w:val="00456B4E"/>
    <w:rsid w:val="0045782E"/>
    <w:rsid w:val="00457C31"/>
    <w:rsid w:val="00457C68"/>
    <w:rsid w:val="00457E53"/>
    <w:rsid w:val="004602A6"/>
    <w:rsid w:val="00460665"/>
    <w:rsid w:val="00460E73"/>
    <w:rsid w:val="004610AC"/>
    <w:rsid w:val="00461244"/>
    <w:rsid w:val="004612B6"/>
    <w:rsid w:val="004612DC"/>
    <w:rsid w:val="004612E5"/>
    <w:rsid w:val="00461CE7"/>
    <w:rsid w:val="00461D90"/>
    <w:rsid w:val="00462824"/>
    <w:rsid w:val="00462E1C"/>
    <w:rsid w:val="004631C7"/>
    <w:rsid w:val="00463529"/>
    <w:rsid w:val="00463BDC"/>
    <w:rsid w:val="0046405A"/>
    <w:rsid w:val="0046460D"/>
    <w:rsid w:val="0046468F"/>
    <w:rsid w:val="004651D9"/>
    <w:rsid w:val="00465568"/>
    <w:rsid w:val="00465AB2"/>
    <w:rsid w:val="00465B4E"/>
    <w:rsid w:val="004664C8"/>
    <w:rsid w:val="00466515"/>
    <w:rsid w:val="00466AE2"/>
    <w:rsid w:val="00466CAD"/>
    <w:rsid w:val="00466DB2"/>
    <w:rsid w:val="00467510"/>
    <w:rsid w:val="0047035F"/>
    <w:rsid w:val="00470CA4"/>
    <w:rsid w:val="00470CC6"/>
    <w:rsid w:val="00471A6E"/>
    <w:rsid w:val="00471BE0"/>
    <w:rsid w:val="004722EE"/>
    <w:rsid w:val="0047243C"/>
    <w:rsid w:val="004725CC"/>
    <w:rsid w:val="00472E6C"/>
    <w:rsid w:val="004737F8"/>
    <w:rsid w:val="004738A6"/>
    <w:rsid w:val="00473F56"/>
    <w:rsid w:val="00474A2F"/>
    <w:rsid w:val="00474E13"/>
    <w:rsid w:val="00474F6A"/>
    <w:rsid w:val="00474FB1"/>
    <w:rsid w:val="004751EB"/>
    <w:rsid w:val="00475A37"/>
    <w:rsid w:val="004760A8"/>
    <w:rsid w:val="00477A3D"/>
    <w:rsid w:val="004800E3"/>
    <w:rsid w:val="004813FF"/>
    <w:rsid w:val="0048183C"/>
    <w:rsid w:val="00482409"/>
    <w:rsid w:val="0048240E"/>
    <w:rsid w:val="00482F20"/>
    <w:rsid w:val="00482F94"/>
    <w:rsid w:val="004837D6"/>
    <w:rsid w:val="00483920"/>
    <w:rsid w:val="00483DB3"/>
    <w:rsid w:val="00484998"/>
    <w:rsid w:val="00485172"/>
    <w:rsid w:val="0048540E"/>
    <w:rsid w:val="00485C38"/>
    <w:rsid w:val="00485F42"/>
    <w:rsid w:val="004874F8"/>
    <w:rsid w:val="00487AA0"/>
    <w:rsid w:val="00487D9A"/>
    <w:rsid w:val="00491160"/>
    <w:rsid w:val="0049121A"/>
    <w:rsid w:val="00491431"/>
    <w:rsid w:val="00491BE7"/>
    <w:rsid w:val="00491D60"/>
    <w:rsid w:val="004926B1"/>
    <w:rsid w:val="00493067"/>
    <w:rsid w:val="00493288"/>
    <w:rsid w:val="00493963"/>
    <w:rsid w:val="00494183"/>
    <w:rsid w:val="004942C8"/>
    <w:rsid w:val="00495181"/>
    <w:rsid w:val="00495678"/>
    <w:rsid w:val="00495F9C"/>
    <w:rsid w:val="00496323"/>
    <w:rsid w:val="00496827"/>
    <w:rsid w:val="00496A8F"/>
    <w:rsid w:val="00496EA3"/>
    <w:rsid w:val="00497004"/>
    <w:rsid w:val="004977C2"/>
    <w:rsid w:val="00497826"/>
    <w:rsid w:val="00497D18"/>
    <w:rsid w:val="00497F64"/>
    <w:rsid w:val="004A06ED"/>
    <w:rsid w:val="004A0A33"/>
    <w:rsid w:val="004A11C4"/>
    <w:rsid w:val="004A1359"/>
    <w:rsid w:val="004A19AE"/>
    <w:rsid w:val="004A1ED6"/>
    <w:rsid w:val="004A20EA"/>
    <w:rsid w:val="004A2185"/>
    <w:rsid w:val="004A2BE5"/>
    <w:rsid w:val="004A40AF"/>
    <w:rsid w:val="004A4381"/>
    <w:rsid w:val="004A4677"/>
    <w:rsid w:val="004A5367"/>
    <w:rsid w:val="004A580C"/>
    <w:rsid w:val="004A6700"/>
    <w:rsid w:val="004A6E14"/>
    <w:rsid w:val="004A6E9B"/>
    <w:rsid w:val="004A718A"/>
    <w:rsid w:val="004A7A07"/>
    <w:rsid w:val="004B0389"/>
    <w:rsid w:val="004B03E2"/>
    <w:rsid w:val="004B0C0D"/>
    <w:rsid w:val="004B132E"/>
    <w:rsid w:val="004B1874"/>
    <w:rsid w:val="004B1B29"/>
    <w:rsid w:val="004B1EBE"/>
    <w:rsid w:val="004B2931"/>
    <w:rsid w:val="004B2C78"/>
    <w:rsid w:val="004B2C7C"/>
    <w:rsid w:val="004B2F4B"/>
    <w:rsid w:val="004B32F9"/>
    <w:rsid w:val="004B38A6"/>
    <w:rsid w:val="004B3991"/>
    <w:rsid w:val="004B3A4C"/>
    <w:rsid w:val="004B407E"/>
    <w:rsid w:val="004B482E"/>
    <w:rsid w:val="004B4AE3"/>
    <w:rsid w:val="004B4BE9"/>
    <w:rsid w:val="004B5B4F"/>
    <w:rsid w:val="004B6341"/>
    <w:rsid w:val="004B6F68"/>
    <w:rsid w:val="004B6F79"/>
    <w:rsid w:val="004B7C6B"/>
    <w:rsid w:val="004B7F99"/>
    <w:rsid w:val="004C056D"/>
    <w:rsid w:val="004C062D"/>
    <w:rsid w:val="004C0856"/>
    <w:rsid w:val="004C093F"/>
    <w:rsid w:val="004C106B"/>
    <w:rsid w:val="004C12E3"/>
    <w:rsid w:val="004C1526"/>
    <w:rsid w:val="004C17A5"/>
    <w:rsid w:val="004C1A93"/>
    <w:rsid w:val="004C1F02"/>
    <w:rsid w:val="004C2A83"/>
    <w:rsid w:val="004C335E"/>
    <w:rsid w:val="004C3563"/>
    <w:rsid w:val="004C36A7"/>
    <w:rsid w:val="004C396B"/>
    <w:rsid w:val="004C3B6D"/>
    <w:rsid w:val="004C3CE4"/>
    <w:rsid w:val="004C49C4"/>
    <w:rsid w:val="004C4EE2"/>
    <w:rsid w:val="004C4F82"/>
    <w:rsid w:val="004C6507"/>
    <w:rsid w:val="004C69F1"/>
    <w:rsid w:val="004C6D44"/>
    <w:rsid w:val="004C6E30"/>
    <w:rsid w:val="004C7223"/>
    <w:rsid w:val="004C72BC"/>
    <w:rsid w:val="004C75C8"/>
    <w:rsid w:val="004C7799"/>
    <w:rsid w:val="004C7CC0"/>
    <w:rsid w:val="004D04A9"/>
    <w:rsid w:val="004D07E5"/>
    <w:rsid w:val="004D10AA"/>
    <w:rsid w:val="004D143A"/>
    <w:rsid w:val="004D1741"/>
    <w:rsid w:val="004D1A30"/>
    <w:rsid w:val="004D2339"/>
    <w:rsid w:val="004D2583"/>
    <w:rsid w:val="004D28BB"/>
    <w:rsid w:val="004D2CF0"/>
    <w:rsid w:val="004D3221"/>
    <w:rsid w:val="004D324D"/>
    <w:rsid w:val="004D3E31"/>
    <w:rsid w:val="004D3EDF"/>
    <w:rsid w:val="004D4530"/>
    <w:rsid w:val="004D5CB0"/>
    <w:rsid w:val="004D5D8E"/>
    <w:rsid w:val="004D5FB4"/>
    <w:rsid w:val="004D692B"/>
    <w:rsid w:val="004D6B73"/>
    <w:rsid w:val="004D7439"/>
    <w:rsid w:val="004D7577"/>
    <w:rsid w:val="004D7E23"/>
    <w:rsid w:val="004E017F"/>
    <w:rsid w:val="004E04AC"/>
    <w:rsid w:val="004E0665"/>
    <w:rsid w:val="004E06C1"/>
    <w:rsid w:val="004E09E2"/>
    <w:rsid w:val="004E0C0B"/>
    <w:rsid w:val="004E17FE"/>
    <w:rsid w:val="004E1932"/>
    <w:rsid w:val="004E1E43"/>
    <w:rsid w:val="004E258D"/>
    <w:rsid w:val="004E2E66"/>
    <w:rsid w:val="004E3E9C"/>
    <w:rsid w:val="004E40FD"/>
    <w:rsid w:val="004E48CF"/>
    <w:rsid w:val="004E4912"/>
    <w:rsid w:val="004E4B58"/>
    <w:rsid w:val="004E4F3F"/>
    <w:rsid w:val="004E5F0C"/>
    <w:rsid w:val="004E620B"/>
    <w:rsid w:val="004E6556"/>
    <w:rsid w:val="004E760C"/>
    <w:rsid w:val="004F0BE0"/>
    <w:rsid w:val="004F10F0"/>
    <w:rsid w:val="004F11CA"/>
    <w:rsid w:val="004F20BD"/>
    <w:rsid w:val="004F20EE"/>
    <w:rsid w:val="004F2512"/>
    <w:rsid w:val="004F273E"/>
    <w:rsid w:val="004F34FD"/>
    <w:rsid w:val="004F36E4"/>
    <w:rsid w:val="004F3E87"/>
    <w:rsid w:val="004F3ED5"/>
    <w:rsid w:val="004F3F91"/>
    <w:rsid w:val="004F494A"/>
    <w:rsid w:val="004F4A90"/>
    <w:rsid w:val="004F4B84"/>
    <w:rsid w:val="004F5A88"/>
    <w:rsid w:val="004F5B90"/>
    <w:rsid w:val="004F5F34"/>
    <w:rsid w:val="004F7121"/>
    <w:rsid w:val="004F79EB"/>
    <w:rsid w:val="004F7E82"/>
    <w:rsid w:val="00500171"/>
    <w:rsid w:val="00500543"/>
    <w:rsid w:val="0050095A"/>
    <w:rsid w:val="00501697"/>
    <w:rsid w:val="00501782"/>
    <w:rsid w:val="00501AD1"/>
    <w:rsid w:val="00502EB3"/>
    <w:rsid w:val="00503E72"/>
    <w:rsid w:val="005041B7"/>
    <w:rsid w:val="0050471D"/>
    <w:rsid w:val="0050516E"/>
    <w:rsid w:val="0050557F"/>
    <w:rsid w:val="00505805"/>
    <w:rsid w:val="00505CFB"/>
    <w:rsid w:val="00505F30"/>
    <w:rsid w:val="005070E9"/>
    <w:rsid w:val="0050764C"/>
    <w:rsid w:val="00507F01"/>
    <w:rsid w:val="00510A34"/>
    <w:rsid w:val="00510C4C"/>
    <w:rsid w:val="00511B7B"/>
    <w:rsid w:val="00511DEB"/>
    <w:rsid w:val="005120B5"/>
    <w:rsid w:val="005124DD"/>
    <w:rsid w:val="0051376E"/>
    <w:rsid w:val="00515933"/>
    <w:rsid w:val="00516623"/>
    <w:rsid w:val="00516968"/>
    <w:rsid w:val="00516A50"/>
    <w:rsid w:val="00516F12"/>
    <w:rsid w:val="0051744C"/>
    <w:rsid w:val="005178F9"/>
    <w:rsid w:val="00517DD7"/>
    <w:rsid w:val="005200F3"/>
    <w:rsid w:val="00520304"/>
    <w:rsid w:val="00520B7F"/>
    <w:rsid w:val="00520F7D"/>
    <w:rsid w:val="00521358"/>
    <w:rsid w:val="00521B98"/>
    <w:rsid w:val="00522BF1"/>
    <w:rsid w:val="005234B7"/>
    <w:rsid w:val="00524257"/>
    <w:rsid w:val="0052444F"/>
    <w:rsid w:val="005251F5"/>
    <w:rsid w:val="00525553"/>
    <w:rsid w:val="005258C4"/>
    <w:rsid w:val="00525DE7"/>
    <w:rsid w:val="00525DFF"/>
    <w:rsid w:val="005262AE"/>
    <w:rsid w:val="00527DC6"/>
    <w:rsid w:val="00530BF9"/>
    <w:rsid w:val="005317B7"/>
    <w:rsid w:val="005318AF"/>
    <w:rsid w:val="00531CC0"/>
    <w:rsid w:val="005321F3"/>
    <w:rsid w:val="00532D89"/>
    <w:rsid w:val="00532ECD"/>
    <w:rsid w:val="005334F3"/>
    <w:rsid w:val="00533B3D"/>
    <w:rsid w:val="0053429E"/>
    <w:rsid w:val="005342B0"/>
    <w:rsid w:val="005349C4"/>
    <w:rsid w:val="00534A2A"/>
    <w:rsid w:val="00534F80"/>
    <w:rsid w:val="00535465"/>
    <w:rsid w:val="00535DA8"/>
    <w:rsid w:val="0053718B"/>
    <w:rsid w:val="005372A1"/>
    <w:rsid w:val="0054039E"/>
    <w:rsid w:val="00540519"/>
    <w:rsid w:val="005408FC"/>
    <w:rsid w:val="00541A3F"/>
    <w:rsid w:val="00541B18"/>
    <w:rsid w:val="00542307"/>
    <w:rsid w:val="0054253B"/>
    <w:rsid w:val="00542582"/>
    <w:rsid w:val="005426BF"/>
    <w:rsid w:val="00542C3A"/>
    <w:rsid w:val="00543265"/>
    <w:rsid w:val="005433EA"/>
    <w:rsid w:val="00543681"/>
    <w:rsid w:val="00543B29"/>
    <w:rsid w:val="00543EBB"/>
    <w:rsid w:val="00543F11"/>
    <w:rsid w:val="005442D7"/>
    <w:rsid w:val="00544514"/>
    <w:rsid w:val="005445AB"/>
    <w:rsid w:val="00544852"/>
    <w:rsid w:val="00545C15"/>
    <w:rsid w:val="00545CF1"/>
    <w:rsid w:val="005460B8"/>
    <w:rsid w:val="00546219"/>
    <w:rsid w:val="0054631E"/>
    <w:rsid w:val="00546357"/>
    <w:rsid w:val="00546426"/>
    <w:rsid w:val="00546BFC"/>
    <w:rsid w:val="00546DB0"/>
    <w:rsid w:val="0054706A"/>
    <w:rsid w:val="0054728C"/>
    <w:rsid w:val="005473B4"/>
    <w:rsid w:val="00547757"/>
    <w:rsid w:val="00547B0A"/>
    <w:rsid w:val="00547C06"/>
    <w:rsid w:val="0055053E"/>
    <w:rsid w:val="00550739"/>
    <w:rsid w:val="0055079D"/>
    <w:rsid w:val="00550809"/>
    <w:rsid w:val="005516AA"/>
    <w:rsid w:val="00551D14"/>
    <w:rsid w:val="00552A4E"/>
    <w:rsid w:val="00552A98"/>
    <w:rsid w:val="00552C4B"/>
    <w:rsid w:val="00553298"/>
    <w:rsid w:val="00553501"/>
    <w:rsid w:val="00554D10"/>
    <w:rsid w:val="00555152"/>
    <w:rsid w:val="00555605"/>
    <w:rsid w:val="00555ADE"/>
    <w:rsid w:val="00555FD4"/>
    <w:rsid w:val="00555FF3"/>
    <w:rsid w:val="00556B22"/>
    <w:rsid w:val="00556CBD"/>
    <w:rsid w:val="00557029"/>
    <w:rsid w:val="005572B5"/>
    <w:rsid w:val="0055734C"/>
    <w:rsid w:val="0055790E"/>
    <w:rsid w:val="00557BA2"/>
    <w:rsid w:val="00557E42"/>
    <w:rsid w:val="00557E85"/>
    <w:rsid w:val="00560E63"/>
    <w:rsid w:val="00561195"/>
    <w:rsid w:val="0056142D"/>
    <w:rsid w:val="005614BC"/>
    <w:rsid w:val="005616F7"/>
    <w:rsid w:val="005617E2"/>
    <w:rsid w:val="00561A43"/>
    <w:rsid w:val="00561CC0"/>
    <w:rsid w:val="00562031"/>
    <w:rsid w:val="00562E0C"/>
    <w:rsid w:val="0056305B"/>
    <w:rsid w:val="005630C0"/>
    <w:rsid w:val="005632FC"/>
    <w:rsid w:val="005638DD"/>
    <w:rsid w:val="00563C10"/>
    <w:rsid w:val="005654DD"/>
    <w:rsid w:val="005656F1"/>
    <w:rsid w:val="00565C15"/>
    <w:rsid w:val="00565CE2"/>
    <w:rsid w:val="00566191"/>
    <w:rsid w:val="005667EB"/>
    <w:rsid w:val="00567806"/>
    <w:rsid w:val="00570E51"/>
    <w:rsid w:val="005712EE"/>
    <w:rsid w:val="0057130C"/>
    <w:rsid w:val="005715EF"/>
    <w:rsid w:val="005720E3"/>
    <w:rsid w:val="00572981"/>
    <w:rsid w:val="00572C15"/>
    <w:rsid w:val="00572CBC"/>
    <w:rsid w:val="005731BA"/>
    <w:rsid w:val="00574A16"/>
    <w:rsid w:val="00574B70"/>
    <w:rsid w:val="00574DED"/>
    <w:rsid w:val="005765AD"/>
    <w:rsid w:val="00576EF1"/>
    <w:rsid w:val="00576FFE"/>
    <w:rsid w:val="005773B8"/>
    <w:rsid w:val="00577571"/>
    <w:rsid w:val="005776B7"/>
    <w:rsid w:val="0057772D"/>
    <w:rsid w:val="00577D74"/>
    <w:rsid w:val="005802C8"/>
    <w:rsid w:val="00580903"/>
    <w:rsid w:val="00580BDA"/>
    <w:rsid w:val="00581453"/>
    <w:rsid w:val="00581797"/>
    <w:rsid w:val="00581C42"/>
    <w:rsid w:val="00581CFB"/>
    <w:rsid w:val="00582259"/>
    <w:rsid w:val="005825B9"/>
    <w:rsid w:val="00583628"/>
    <w:rsid w:val="005840F8"/>
    <w:rsid w:val="0058481A"/>
    <w:rsid w:val="00585135"/>
    <w:rsid w:val="00585423"/>
    <w:rsid w:val="005854B0"/>
    <w:rsid w:val="00585996"/>
    <w:rsid w:val="005862A4"/>
    <w:rsid w:val="00586634"/>
    <w:rsid w:val="00586C09"/>
    <w:rsid w:val="00590045"/>
    <w:rsid w:val="00590A81"/>
    <w:rsid w:val="0059124A"/>
    <w:rsid w:val="005914C8"/>
    <w:rsid w:val="00591670"/>
    <w:rsid w:val="00591745"/>
    <w:rsid w:val="005919B3"/>
    <w:rsid w:val="0059243E"/>
    <w:rsid w:val="0059323F"/>
    <w:rsid w:val="00593417"/>
    <w:rsid w:val="00594A7B"/>
    <w:rsid w:val="00594DD9"/>
    <w:rsid w:val="00595526"/>
    <w:rsid w:val="00595794"/>
    <w:rsid w:val="00595AF7"/>
    <w:rsid w:val="00595F9C"/>
    <w:rsid w:val="00595FDF"/>
    <w:rsid w:val="005963FA"/>
    <w:rsid w:val="005964A8"/>
    <w:rsid w:val="00596AE0"/>
    <w:rsid w:val="00597074"/>
    <w:rsid w:val="00597BC3"/>
    <w:rsid w:val="005A02FB"/>
    <w:rsid w:val="005A0353"/>
    <w:rsid w:val="005A0935"/>
    <w:rsid w:val="005A0EEB"/>
    <w:rsid w:val="005A1161"/>
    <w:rsid w:val="005A11C5"/>
    <w:rsid w:val="005A1361"/>
    <w:rsid w:val="005A182D"/>
    <w:rsid w:val="005A1C72"/>
    <w:rsid w:val="005A2095"/>
    <w:rsid w:val="005A3A95"/>
    <w:rsid w:val="005A3C9C"/>
    <w:rsid w:val="005A3E47"/>
    <w:rsid w:val="005A3F46"/>
    <w:rsid w:val="005A4122"/>
    <w:rsid w:val="005A4293"/>
    <w:rsid w:val="005A479F"/>
    <w:rsid w:val="005A4A87"/>
    <w:rsid w:val="005A5EF4"/>
    <w:rsid w:val="005A5F1F"/>
    <w:rsid w:val="005A609E"/>
    <w:rsid w:val="005A6156"/>
    <w:rsid w:val="005A66EE"/>
    <w:rsid w:val="005A68DA"/>
    <w:rsid w:val="005A6DEF"/>
    <w:rsid w:val="005A7247"/>
    <w:rsid w:val="005A782F"/>
    <w:rsid w:val="005A7A65"/>
    <w:rsid w:val="005B04A3"/>
    <w:rsid w:val="005B1B45"/>
    <w:rsid w:val="005B1C78"/>
    <w:rsid w:val="005B1EA2"/>
    <w:rsid w:val="005B21CF"/>
    <w:rsid w:val="005B25CD"/>
    <w:rsid w:val="005B2981"/>
    <w:rsid w:val="005B2A97"/>
    <w:rsid w:val="005B2D4D"/>
    <w:rsid w:val="005B2EE7"/>
    <w:rsid w:val="005B3194"/>
    <w:rsid w:val="005B3AC0"/>
    <w:rsid w:val="005B3F31"/>
    <w:rsid w:val="005B51E0"/>
    <w:rsid w:val="005B5380"/>
    <w:rsid w:val="005B5C02"/>
    <w:rsid w:val="005B7AC2"/>
    <w:rsid w:val="005B7CAE"/>
    <w:rsid w:val="005B7E82"/>
    <w:rsid w:val="005C05E4"/>
    <w:rsid w:val="005C1386"/>
    <w:rsid w:val="005C1D00"/>
    <w:rsid w:val="005C23AC"/>
    <w:rsid w:val="005C2857"/>
    <w:rsid w:val="005C2A63"/>
    <w:rsid w:val="005C2A6B"/>
    <w:rsid w:val="005C36BB"/>
    <w:rsid w:val="005C3E6A"/>
    <w:rsid w:val="005C45B8"/>
    <w:rsid w:val="005C49B1"/>
    <w:rsid w:val="005C4A24"/>
    <w:rsid w:val="005C629B"/>
    <w:rsid w:val="005C68AD"/>
    <w:rsid w:val="005C6D06"/>
    <w:rsid w:val="005C6F19"/>
    <w:rsid w:val="005C7327"/>
    <w:rsid w:val="005C75C7"/>
    <w:rsid w:val="005C7805"/>
    <w:rsid w:val="005C7A9D"/>
    <w:rsid w:val="005C7B9D"/>
    <w:rsid w:val="005C7BBC"/>
    <w:rsid w:val="005D00D4"/>
    <w:rsid w:val="005D080A"/>
    <w:rsid w:val="005D152E"/>
    <w:rsid w:val="005D1600"/>
    <w:rsid w:val="005D19FA"/>
    <w:rsid w:val="005D1B4A"/>
    <w:rsid w:val="005D1BEB"/>
    <w:rsid w:val="005D222A"/>
    <w:rsid w:val="005D2983"/>
    <w:rsid w:val="005D2F91"/>
    <w:rsid w:val="005D3172"/>
    <w:rsid w:val="005D420A"/>
    <w:rsid w:val="005D49F0"/>
    <w:rsid w:val="005D4D88"/>
    <w:rsid w:val="005D5FE6"/>
    <w:rsid w:val="005D626C"/>
    <w:rsid w:val="005D67A6"/>
    <w:rsid w:val="005D7587"/>
    <w:rsid w:val="005D75AA"/>
    <w:rsid w:val="005D7B4C"/>
    <w:rsid w:val="005E182B"/>
    <w:rsid w:val="005E1BCC"/>
    <w:rsid w:val="005E21CF"/>
    <w:rsid w:val="005E2223"/>
    <w:rsid w:val="005E2305"/>
    <w:rsid w:val="005E2B95"/>
    <w:rsid w:val="005E2C47"/>
    <w:rsid w:val="005E2F78"/>
    <w:rsid w:val="005E32BE"/>
    <w:rsid w:val="005E3DD3"/>
    <w:rsid w:val="005E401E"/>
    <w:rsid w:val="005E43AD"/>
    <w:rsid w:val="005E448D"/>
    <w:rsid w:val="005E45FC"/>
    <w:rsid w:val="005E4CAB"/>
    <w:rsid w:val="005E5223"/>
    <w:rsid w:val="005E53FD"/>
    <w:rsid w:val="005E5FE2"/>
    <w:rsid w:val="005E664D"/>
    <w:rsid w:val="005E69EB"/>
    <w:rsid w:val="005E6AE0"/>
    <w:rsid w:val="005E6B8A"/>
    <w:rsid w:val="005E6F1A"/>
    <w:rsid w:val="005E7389"/>
    <w:rsid w:val="005F03D8"/>
    <w:rsid w:val="005F0787"/>
    <w:rsid w:val="005F087C"/>
    <w:rsid w:val="005F0F6F"/>
    <w:rsid w:val="005F1041"/>
    <w:rsid w:val="005F1447"/>
    <w:rsid w:val="005F1AE0"/>
    <w:rsid w:val="005F205A"/>
    <w:rsid w:val="005F22D3"/>
    <w:rsid w:val="005F2477"/>
    <w:rsid w:val="005F2607"/>
    <w:rsid w:val="005F2C17"/>
    <w:rsid w:val="005F2E26"/>
    <w:rsid w:val="005F3061"/>
    <w:rsid w:val="005F380F"/>
    <w:rsid w:val="005F3991"/>
    <w:rsid w:val="005F41BB"/>
    <w:rsid w:val="005F49BB"/>
    <w:rsid w:val="005F4B80"/>
    <w:rsid w:val="005F4E24"/>
    <w:rsid w:val="005F534B"/>
    <w:rsid w:val="005F571A"/>
    <w:rsid w:val="005F58D2"/>
    <w:rsid w:val="005F6108"/>
    <w:rsid w:val="005F698E"/>
    <w:rsid w:val="005F6AEF"/>
    <w:rsid w:val="005F76FD"/>
    <w:rsid w:val="005F7710"/>
    <w:rsid w:val="0060004D"/>
    <w:rsid w:val="006004C0"/>
    <w:rsid w:val="00600C81"/>
    <w:rsid w:val="00600FD0"/>
    <w:rsid w:val="00600FE5"/>
    <w:rsid w:val="006013AC"/>
    <w:rsid w:val="00601BD2"/>
    <w:rsid w:val="0060234A"/>
    <w:rsid w:val="006025F8"/>
    <w:rsid w:val="00602E85"/>
    <w:rsid w:val="00602F28"/>
    <w:rsid w:val="006032CA"/>
    <w:rsid w:val="00603D38"/>
    <w:rsid w:val="00604667"/>
    <w:rsid w:val="00604CB8"/>
    <w:rsid w:val="00604DB4"/>
    <w:rsid w:val="006056C6"/>
    <w:rsid w:val="00605D7D"/>
    <w:rsid w:val="00607491"/>
    <w:rsid w:val="00607C85"/>
    <w:rsid w:val="006101B7"/>
    <w:rsid w:val="00610BFD"/>
    <w:rsid w:val="0061159F"/>
    <w:rsid w:val="00611FA9"/>
    <w:rsid w:val="006133B9"/>
    <w:rsid w:val="0061396C"/>
    <w:rsid w:val="00613B33"/>
    <w:rsid w:val="00613E2A"/>
    <w:rsid w:val="0061430A"/>
    <w:rsid w:val="0061439A"/>
    <w:rsid w:val="00614B22"/>
    <w:rsid w:val="00614DA3"/>
    <w:rsid w:val="00614F6B"/>
    <w:rsid w:val="00615E93"/>
    <w:rsid w:val="00615F8D"/>
    <w:rsid w:val="00616709"/>
    <w:rsid w:val="00616783"/>
    <w:rsid w:val="00617269"/>
    <w:rsid w:val="00617886"/>
    <w:rsid w:val="0061790A"/>
    <w:rsid w:val="00617971"/>
    <w:rsid w:val="006179AD"/>
    <w:rsid w:val="00617ADD"/>
    <w:rsid w:val="006209A8"/>
    <w:rsid w:val="00620CC8"/>
    <w:rsid w:val="00620D20"/>
    <w:rsid w:val="00621025"/>
    <w:rsid w:val="00621C43"/>
    <w:rsid w:val="00621CEC"/>
    <w:rsid w:val="00622FF7"/>
    <w:rsid w:val="00623160"/>
    <w:rsid w:val="00623295"/>
    <w:rsid w:val="00623EF2"/>
    <w:rsid w:val="00624555"/>
    <w:rsid w:val="00624F85"/>
    <w:rsid w:val="00625244"/>
    <w:rsid w:val="0062524E"/>
    <w:rsid w:val="00625B02"/>
    <w:rsid w:val="00626084"/>
    <w:rsid w:val="00626793"/>
    <w:rsid w:val="00626ECA"/>
    <w:rsid w:val="006275AC"/>
    <w:rsid w:val="00627685"/>
    <w:rsid w:val="006302DE"/>
    <w:rsid w:val="00630475"/>
    <w:rsid w:val="00630D67"/>
    <w:rsid w:val="0063113B"/>
    <w:rsid w:val="00631421"/>
    <w:rsid w:val="0063144A"/>
    <w:rsid w:val="0063178A"/>
    <w:rsid w:val="00631ABD"/>
    <w:rsid w:val="0063244A"/>
    <w:rsid w:val="0063254E"/>
    <w:rsid w:val="006325B0"/>
    <w:rsid w:val="00633146"/>
    <w:rsid w:val="006335AD"/>
    <w:rsid w:val="006345C3"/>
    <w:rsid w:val="0063487E"/>
    <w:rsid w:val="006349B8"/>
    <w:rsid w:val="00634B32"/>
    <w:rsid w:val="00634D37"/>
    <w:rsid w:val="00634DAB"/>
    <w:rsid w:val="00634EC4"/>
    <w:rsid w:val="00635337"/>
    <w:rsid w:val="0063541B"/>
    <w:rsid w:val="00635468"/>
    <w:rsid w:val="006354D1"/>
    <w:rsid w:val="006359DA"/>
    <w:rsid w:val="00635EE1"/>
    <w:rsid w:val="00636109"/>
    <w:rsid w:val="00636CAE"/>
    <w:rsid w:val="00637052"/>
    <w:rsid w:val="0063710F"/>
    <w:rsid w:val="00637969"/>
    <w:rsid w:val="00640614"/>
    <w:rsid w:val="00641143"/>
    <w:rsid w:val="006418A0"/>
    <w:rsid w:val="00641B59"/>
    <w:rsid w:val="006424AD"/>
    <w:rsid w:val="006430D8"/>
    <w:rsid w:val="00643D3E"/>
    <w:rsid w:val="00644246"/>
    <w:rsid w:val="00644696"/>
    <w:rsid w:val="00644851"/>
    <w:rsid w:val="00644B73"/>
    <w:rsid w:val="00644D20"/>
    <w:rsid w:val="00645830"/>
    <w:rsid w:val="00645AD5"/>
    <w:rsid w:val="00647AE5"/>
    <w:rsid w:val="00650633"/>
    <w:rsid w:val="00650652"/>
    <w:rsid w:val="00651C48"/>
    <w:rsid w:val="00651E6B"/>
    <w:rsid w:val="00651F25"/>
    <w:rsid w:val="00652282"/>
    <w:rsid w:val="006527FD"/>
    <w:rsid w:val="006531A4"/>
    <w:rsid w:val="006534F0"/>
    <w:rsid w:val="00653573"/>
    <w:rsid w:val="00653679"/>
    <w:rsid w:val="00654227"/>
    <w:rsid w:val="006549B5"/>
    <w:rsid w:val="00654F49"/>
    <w:rsid w:val="0065547D"/>
    <w:rsid w:val="0065553E"/>
    <w:rsid w:val="0065619A"/>
    <w:rsid w:val="006563D0"/>
    <w:rsid w:val="00656585"/>
    <w:rsid w:val="0065680D"/>
    <w:rsid w:val="00656D07"/>
    <w:rsid w:val="0065701F"/>
    <w:rsid w:val="00657105"/>
    <w:rsid w:val="00657394"/>
    <w:rsid w:val="0065792B"/>
    <w:rsid w:val="0066067F"/>
    <w:rsid w:val="00661849"/>
    <w:rsid w:val="006619D9"/>
    <w:rsid w:val="0066296A"/>
    <w:rsid w:val="00662B80"/>
    <w:rsid w:val="00662EE1"/>
    <w:rsid w:val="00663BB5"/>
    <w:rsid w:val="00663C47"/>
    <w:rsid w:val="00663D63"/>
    <w:rsid w:val="00663D81"/>
    <w:rsid w:val="00664938"/>
    <w:rsid w:val="00664D0E"/>
    <w:rsid w:val="00664D4C"/>
    <w:rsid w:val="00665171"/>
    <w:rsid w:val="006651FF"/>
    <w:rsid w:val="0066695E"/>
    <w:rsid w:val="00666A35"/>
    <w:rsid w:val="006678CE"/>
    <w:rsid w:val="00670006"/>
    <w:rsid w:val="00670FDC"/>
    <w:rsid w:val="00671649"/>
    <w:rsid w:val="0067164C"/>
    <w:rsid w:val="00671C8F"/>
    <w:rsid w:val="00671EC1"/>
    <w:rsid w:val="00672189"/>
    <w:rsid w:val="006726E4"/>
    <w:rsid w:val="006730A8"/>
    <w:rsid w:val="0067346D"/>
    <w:rsid w:val="00673784"/>
    <w:rsid w:val="00673C7E"/>
    <w:rsid w:val="00674EF7"/>
    <w:rsid w:val="00675224"/>
    <w:rsid w:val="00675AD0"/>
    <w:rsid w:val="00675B9F"/>
    <w:rsid w:val="00675D2E"/>
    <w:rsid w:val="00675EF3"/>
    <w:rsid w:val="006763CA"/>
    <w:rsid w:val="00676515"/>
    <w:rsid w:val="00676A81"/>
    <w:rsid w:val="00676ABC"/>
    <w:rsid w:val="00676ED3"/>
    <w:rsid w:val="006770F3"/>
    <w:rsid w:val="006773A6"/>
    <w:rsid w:val="00677701"/>
    <w:rsid w:val="00677BDE"/>
    <w:rsid w:val="00680040"/>
    <w:rsid w:val="00681409"/>
    <w:rsid w:val="0068168C"/>
    <w:rsid w:val="0068187B"/>
    <w:rsid w:val="006819BA"/>
    <w:rsid w:val="00681C2C"/>
    <w:rsid w:val="00681C76"/>
    <w:rsid w:val="00682279"/>
    <w:rsid w:val="00683293"/>
    <w:rsid w:val="00683506"/>
    <w:rsid w:val="00683647"/>
    <w:rsid w:val="00683EED"/>
    <w:rsid w:val="00684159"/>
    <w:rsid w:val="006843AA"/>
    <w:rsid w:val="00684621"/>
    <w:rsid w:val="00684C1E"/>
    <w:rsid w:val="006850FC"/>
    <w:rsid w:val="00687B09"/>
    <w:rsid w:val="00687EFB"/>
    <w:rsid w:val="00690029"/>
    <w:rsid w:val="006904A3"/>
    <w:rsid w:val="00690E5D"/>
    <w:rsid w:val="00691217"/>
    <w:rsid w:val="00691500"/>
    <w:rsid w:val="006915C0"/>
    <w:rsid w:val="006922FF"/>
    <w:rsid w:val="00693235"/>
    <w:rsid w:val="00693BDA"/>
    <w:rsid w:val="00694D40"/>
    <w:rsid w:val="00694D74"/>
    <w:rsid w:val="00694F87"/>
    <w:rsid w:val="006955B9"/>
    <w:rsid w:val="00695765"/>
    <w:rsid w:val="00695900"/>
    <w:rsid w:val="0069639F"/>
    <w:rsid w:val="006963FB"/>
    <w:rsid w:val="00696A9A"/>
    <w:rsid w:val="00697960"/>
    <w:rsid w:val="00697A73"/>
    <w:rsid w:val="006A06FB"/>
    <w:rsid w:val="006A0885"/>
    <w:rsid w:val="006A0901"/>
    <w:rsid w:val="006A0AE6"/>
    <w:rsid w:val="006A0CBC"/>
    <w:rsid w:val="006A1AB2"/>
    <w:rsid w:val="006A37BD"/>
    <w:rsid w:val="006A3A37"/>
    <w:rsid w:val="006A3BF3"/>
    <w:rsid w:val="006A3ED5"/>
    <w:rsid w:val="006A4087"/>
    <w:rsid w:val="006A4A08"/>
    <w:rsid w:val="006A526C"/>
    <w:rsid w:val="006A544F"/>
    <w:rsid w:val="006A56AF"/>
    <w:rsid w:val="006A6082"/>
    <w:rsid w:val="006A6220"/>
    <w:rsid w:val="006A62EE"/>
    <w:rsid w:val="006A75A9"/>
    <w:rsid w:val="006A772D"/>
    <w:rsid w:val="006A7CFD"/>
    <w:rsid w:val="006B0F51"/>
    <w:rsid w:val="006B0F92"/>
    <w:rsid w:val="006B1C74"/>
    <w:rsid w:val="006B25EF"/>
    <w:rsid w:val="006B2794"/>
    <w:rsid w:val="006B2AEC"/>
    <w:rsid w:val="006B30B4"/>
    <w:rsid w:val="006B30D9"/>
    <w:rsid w:val="006B337C"/>
    <w:rsid w:val="006B3F93"/>
    <w:rsid w:val="006B41F4"/>
    <w:rsid w:val="006B4804"/>
    <w:rsid w:val="006B49E8"/>
    <w:rsid w:val="006B4A7B"/>
    <w:rsid w:val="006B51CA"/>
    <w:rsid w:val="006B538E"/>
    <w:rsid w:val="006B5411"/>
    <w:rsid w:val="006B589B"/>
    <w:rsid w:val="006B58D8"/>
    <w:rsid w:val="006B60FA"/>
    <w:rsid w:val="006B68F1"/>
    <w:rsid w:val="006B69E8"/>
    <w:rsid w:val="006B708D"/>
    <w:rsid w:val="006B711D"/>
    <w:rsid w:val="006B715F"/>
    <w:rsid w:val="006B72DD"/>
    <w:rsid w:val="006B74CC"/>
    <w:rsid w:val="006C042F"/>
    <w:rsid w:val="006C0D86"/>
    <w:rsid w:val="006C0EA6"/>
    <w:rsid w:val="006C1198"/>
    <w:rsid w:val="006C15DA"/>
    <w:rsid w:val="006C1890"/>
    <w:rsid w:val="006C1BC1"/>
    <w:rsid w:val="006C1BC2"/>
    <w:rsid w:val="006C1DDE"/>
    <w:rsid w:val="006C3AD7"/>
    <w:rsid w:val="006C462D"/>
    <w:rsid w:val="006C4701"/>
    <w:rsid w:val="006C5322"/>
    <w:rsid w:val="006C5377"/>
    <w:rsid w:val="006C5771"/>
    <w:rsid w:val="006C5872"/>
    <w:rsid w:val="006C5A10"/>
    <w:rsid w:val="006C5F99"/>
    <w:rsid w:val="006C6A57"/>
    <w:rsid w:val="006C703B"/>
    <w:rsid w:val="006C7478"/>
    <w:rsid w:val="006C78BE"/>
    <w:rsid w:val="006C78DE"/>
    <w:rsid w:val="006D03F1"/>
    <w:rsid w:val="006D077A"/>
    <w:rsid w:val="006D0961"/>
    <w:rsid w:val="006D0D86"/>
    <w:rsid w:val="006D0D8B"/>
    <w:rsid w:val="006D15B9"/>
    <w:rsid w:val="006D17CC"/>
    <w:rsid w:val="006D258E"/>
    <w:rsid w:val="006D3003"/>
    <w:rsid w:val="006D31B6"/>
    <w:rsid w:val="006D32DE"/>
    <w:rsid w:val="006D3A74"/>
    <w:rsid w:val="006D3A7C"/>
    <w:rsid w:val="006D3CA9"/>
    <w:rsid w:val="006D42A6"/>
    <w:rsid w:val="006D537A"/>
    <w:rsid w:val="006D5435"/>
    <w:rsid w:val="006D5537"/>
    <w:rsid w:val="006D5B58"/>
    <w:rsid w:val="006D5D1B"/>
    <w:rsid w:val="006D5DF9"/>
    <w:rsid w:val="006D5FF8"/>
    <w:rsid w:val="006D68C2"/>
    <w:rsid w:val="006D6A07"/>
    <w:rsid w:val="006D6E53"/>
    <w:rsid w:val="006D6F67"/>
    <w:rsid w:val="006D6FC9"/>
    <w:rsid w:val="006D7900"/>
    <w:rsid w:val="006D7B2E"/>
    <w:rsid w:val="006E01FE"/>
    <w:rsid w:val="006E025C"/>
    <w:rsid w:val="006E05B5"/>
    <w:rsid w:val="006E09D2"/>
    <w:rsid w:val="006E0A61"/>
    <w:rsid w:val="006E1156"/>
    <w:rsid w:val="006E1F02"/>
    <w:rsid w:val="006E2843"/>
    <w:rsid w:val="006E2BD5"/>
    <w:rsid w:val="006E333D"/>
    <w:rsid w:val="006E33E1"/>
    <w:rsid w:val="006E35F3"/>
    <w:rsid w:val="006E37AC"/>
    <w:rsid w:val="006E3F21"/>
    <w:rsid w:val="006E402A"/>
    <w:rsid w:val="006E40C4"/>
    <w:rsid w:val="006E4367"/>
    <w:rsid w:val="006E46FA"/>
    <w:rsid w:val="006E48F3"/>
    <w:rsid w:val="006E5580"/>
    <w:rsid w:val="006E5715"/>
    <w:rsid w:val="006E60A9"/>
    <w:rsid w:val="006E66FE"/>
    <w:rsid w:val="006E6F93"/>
    <w:rsid w:val="006E7055"/>
    <w:rsid w:val="006E7619"/>
    <w:rsid w:val="006E7A87"/>
    <w:rsid w:val="006E7D3F"/>
    <w:rsid w:val="006E7DBB"/>
    <w:rsid w:val="006F0081"/>
    <w:rsid w:val="006F077B"/>
    <w:rsid w:val="006F07BF"/>
    <w:rsid w:val="006F0BED"/>
    <w:rsid w:val="006F140C"/>
    <w:rsid w:val="006F16A7"/>
    <w:rsid w:val="006F16E5"/>
    <w:rsid w:val="006F3547"/>
    <w:rsid w:val="006F3F03"/>
    <w:rsid w:val="006F41F1"/>
    <w:rsid w:val="006F43E0"/>
    <w:rsid w:val="006F456A"/>
    <w:rsid w:val="006F4A5B"/>
    <w:rsid w:val="006F501E"/>
    <w:rsid w:val="006F566A"/>
    <w:rsid w:val="006F57FB"/>
    <w:rsid w:val="006F5BE2"/>
    <w:rsid w:val="006F61E7"/>
    <w:rsid w:val="006F6DC9"/>
    <w:rsid w:val="006F7202"/>
    <w:rsid w:val="006F73AB"/>
    <w:rsid w:val="006F78DD"/>
    <w:rsid w:val="006F7FE7"/>
    <w:rsid w:val="007000A2"/>
    <w:rsid w:val="00700240"/>
    <w:rsid w:val="007005FD"/>
    <w:rsid w:val="007016D2"/>
    <w:rsid w:val="00701EE8"/>
    <w:rsid w:val="007020CD"/>
    <w:rsid w:val="00702C22"/>
    <w:rsid w:val="00703500"/>
    <w:rsid w:val="00703A67"/>
    <w:rsid w:val="00703C12"/>
    <w:rsid w:val="007042F8"/>
    <w:rsid w:val="00704A8C"/>
    <w:rsid w:val="00704B93"/>
    <w:rsid w:val="00704D25"/>
    <w:rsid w:val="007055CF"/>
    <w:rsid w:val="00705691"/>
    <w:rsid w:val="007058B6"/>
    <w:rsid w:val="00705E93"/>
    <w:rsid w:val="007061D9"/>
    <w:rsid w:val="0070665D"/>
    <w:rsid w:val="007068B2"/>
    <w:rsid w:val="00706B9D"/>
    <w:rsid w:val="00707141"/>
    <w:rsid w:val="007071A3"/>
    <w:rsid w:val="00707201"/>
    <w:rsid w:val="00707D4C"/>
    <w:rsid w:val="00707DC1"/>
    <w:rsid w:val="00710610"/>
    <w:rsid w:val="0071072F"/>
    <w:rsid w:val="00711E1B"/>
    <w:rsid w:val="007126A1"/>
    <w:rsid w:val="00714D20"/>
    <w:rsid w:val="00715E0F"/>
    <w:rsid w:val="007162AE"/>
    <w:rsid w:val="00716B7F"/>
    <w:rsid w:val="00717207"/>
    <w:rsid w:val="0071724E"/>
    <w:rsid w:val="00717388"/>
    <w:rsid w:val="007176C4"/>
    <w:rsid w:val="007177D4"/>
    <w:rsid w:val="007179CE"/>
    <w:rsid w:val="007200D5"/>
    <w:rsid w:val="0072064E"/>
    <w:rsid w:val="00720F7E"/>
    <w:rsid w:val="00721059"/>
    <w:rsid w:val="00722065"/>
    <w:rsid w:val="007221C5"/>
    <w:rsid w:val="00722271"/>
    <w:rsid w:val="00723926"/>
    <w:rsid w:val="00723C25"/>
    <w:rsid w:val="00724488"/>
    <w:rsid w:val="007245A7"/>
    <w:rsid w:val="0072468D"/>
    <w:rsid w:val="00724D10"/>
    <w:rsid w:val="00725B85"/>
    <w:rsid w:val="00725E53"/>
    <w:rsid w:val="00725EB5"/>
    <w:rsid w:val="00725F91"/>
    <w:rsid w:val="007260B8"/>
    <w:rsid w:val="00726224"/>
    <w:rsid w:val="00726F83"/>
    <w:rsid w:val="0072700B"/>
    <w:rsid w:val="00727249"/>
    <w:rsid w:val="00727417"/>
    <w:rsid w:val="007276E4"/>
    <w:rsid w:val="00727A94"/>
    <w:rsid w:val="00727B9D"/>
    <w:rsid w:val="00727FA8"/>
    <w:rsid w:val="00730489"/>
    <w:rsid w:val="00730DDC"/>
    <w:rsid w:val="00731A4C"/>
    <w:rsid w:val="00731B64"/>
    <w:rsid w:val="00731DCD"/>
    <w:rsid w:val="00732864"/>
    <w:rsid w:val="00732C16"/>
    <w:rsid w:val="00733CAA"/>
    <w:rsid w:val="00734170"/>
    <w:rsid w:val="00734404"/>
    <w:rsid w:val="0073445C"/>
    <w:rsid w:val="00734B32"/>
    <w:rsid w:val="00735017"/>
    <w:rsid w:val="00735261"/>
    <w:rsid w:val="00735C11"/>
    <w:rsid w:val="00735E4E"/>
    <w:rsid w:val="007373DA"/>
    <w:rsid w:val="007378BD"/>
    <w:rsid w:val="0073798A"/>
    <w:rsid w:val="00737A22"/>
    <w:rsid w:val="00737E1A"/>
    <w:rsid w:val="00740341"/>
    <w:rsid w:val="00740497"/>
    <w:rsid w:val="007404DD"/>
    <w:rsid w:val="007420E7"/>
    <w:rsid w:val="0074243B"/>
    <w:rsid w:val="0074246F"/>
    <w:rsid w:val="0074274A"/>
    <w:rsid w:val="007429F4"/>
    <w:rsid w:val="00742CFE"/>
    <w:rsid w:val="007433E1"/>
    <w:rsid w:val="00743594"/>
    <w:rsid w:val="00744800"/>
    <w:rsid w:val="00744DF2"/>
    <w:rsid w:val="007458B6"/>
    <w:rsid w:val="00745CCC"/>
    <w:rsid w:val="00745F32"/>
    <w:rsid w:val="007461D6"/>
    <w:rsid w:val="0074657B"/>
    <w:rsid w:val="00746AF7"/>
    <w:rsid w:val="00746D5B"/>
    <w:rsid w:val="00747283"/>
    <w:rsid w:val="00747969"/>
    <w:rsid w:val="00747CCE"/>
    <w:rsid w:val="00747F1F"/>
    <w:rsid w:val="0075058F"/>
    <w:rsid w:val="00750800"/>
    <w:rsid w:val="00750B18"/>
    <w:rsid w:val="00750E67"/>
    <w:rsid w:val="00751059"/>
    <w:rsid w:val="007513B7"/>
    <w:rsid w:val="0075203B"/>
    <w:rsid w:val="007523F7"/>
    <w:rsid w:val="0075271E"/>
    <w:rsid w:val="00753468"/>
    <w:rsid w:val="00753478"/>
    <w:rsid w:val="007547AF"/>
    <w:rsid w:val="00754FCC"/>
    <w:rsid w:val="00755C63"/>
    <w:rsid w:val="00756B66"/>
    <w:rsid w:val="0075712C"/>
    <w:rsid w:val="0075756E"/>
    <w:rsid w:val="007577C8"/>
    <w:rsid w:val="00757D9F"/>
    <w:rsid w:val="00757E3C"/>
    <w:rsid w:val="00760A78"/>
    <w:rsid w:val="00760B8E"/>
    <w:rsid w:val="00762071"/>
    <w:rsid w:val="007623FA"/>
    <w:rsid w:val="00762436"/>
    <w:rsid w:val="007626E1"/>
    <w:rsid w:val="007627C6"/>
    <w:rsid w:val="007632C8"/>
    <w:rsid w:val="00763639"/>
    <w:rsid w:val="00763685"/>
    <w:rsid w:val="0076479C"/>
    <w:rsid w:val="00764B5C"/>
    <w:rsid w:val="00764D9A"/>
    <w:rsid w:val="00765009"/>
    <w:rsid w:val="00765205"/>
    <w:rsid w:val="00765819"/>
    <w:rsid w:val="0076681B"/>
    <w:rsid w:val="00766CC9"/>
    <w:rsid w:val="00766E8E"/>
    <w:rsid w:val="0076793D"/>
    <w:rsid w:val="00767D7F"/>
    <w:rsid w:val="00767F26"/>
    <w:rsid w:val="00770473"/>
    <w:rsid w:val="00770829"/>
    <w:rsid w:val="007709E2"/>
    <w:rsid w:val="00770DC3"/>
    <w:rsid w:val="007729E9"/>
    <w:rsid w:val="00772C30"/>
    <w:rsid w:val="00773144"/>
    <w:rsid w:val="0077320C"/>
    <w:rsid w:val="0077334F"/>
    <w:rsid w:val="007745CA"/>
    <w:rsid w:val="007746EE"/>
    <w:rsid w:val="00774CF7"/>
    <w:rsid w:val="00774D9A"/>
    <w:rsid w:val="007752AB"/>
    <w:rsid w:val="007752B8"/>
    <w:rsid w:val="00775A65"/>
    <w:rsid w:val="00775AE0"/>
    <w:rsid w:val="00776177"/>
    <w:rsid w:val="007762F6"/>
    <w:rsid w:val="0077653A"/>
    <w:rsid w:val="0077673C"/>
    <w:rsid w:val="00776AFA"/>
    <w:rsid w:val="007778B6"/>
    <w:rsid w:val="00777B8E"/>
    <w:rsid w:val="00777C35"/>
    <w:rsid w:val="00777E1C"/>
    <w:rsid w:val="00780A5D"/>
    <w:rsid w:val="0078139B"/>
    <w:rsid w:val="00781541"/>
    <w:rsid w:val="007815FF"/>
    <w:rsid w:val="00781EBA"/>
    <w:rsid w:val="00782190"/>
    <w:rsid w:val="00783472"/>
    <w:rsid w:val="007836FE"/>
    <w:rsid w:val="00783907"/>
    <w:rsid w:val="00783C52"/>
    <w:rsid w:val="00783EBA"/>
    <w:rsid w:val="00784967"/>
    <w:rsid w:val="00785386"/>
    <w:rsid w:val="007854F2"/>
    <w:rsid w:val="0078573E"/>
    <w:rsid w:val="007857FB"/>
    <w:rsid w:val="00785A02"/>
    <w:rsid w:val="00785E9C"/>
    <w:rsid w:val="0078607F"/>
    <w:rsid w:val="007868E8"/>
    <w:rsid w:val="00786D68"/>
    <w:rsid w:val="00786FBE"/>
    <w:rsid w:val="0078717B"/>
    <w:rsid w:val="0078746A"/>
    <w:rsid w:val="007875EF"/>
    <w:rsid w:val="00787CDB"/>
    <w:rsid w:val="00790143"/>
    <w:rsid w:val="007902AD"/>
    <w:rsid w:val="00790F69"/>
    <w:rsid w:val="007917C4"/>
    <w:rsid w:val="00791C44"/>
    <w:rsid w:val="00791D0C"/>
    <w:rsid w:val="00792347"/>
    <w:rsid w:val="00792450"/>
    <w:rsid w:val="00792EBF"/>
    <w:rsid w:val="007935B6"/>
    <w:rsid w:val="007938C8"/>
    <w:rsid w:val="007938F7"/>
    <w:rsid w:val="00793DE9"/>
    <w:rsid w:val="0079401B"/>
    <w:rsid w:val="007940AC"/>
    <w:rsid w:val="007946E2"/>
    <w:rsid w:val="00794862"/>
    <w:rsid w:val="00794DD8"/>
    <w:rsid w:val="00794FCE"/>
    <w:rsid w:val="00795312"/>
    <w:rsid w:val="00795F20"/>
    <w:rsid w:val="007964C9"/>
    <w:rsid w:val="00796EDC"/>
    <w:rsid w:val="00796F6D"/>
    <w:rsid w:val="00796FFC"/>
    <w:rsid w:val="0079726E"/>
    <w:rsid w:val="007976AD"/>
    <w:rsid w:val="00797B52"/>
    <w:rsid w:val="00797DA3"/>
    <w:rsid w:val="00797F23"/>
    <w:rsid w:val="007A01A4"/>
    <w:rsid w:val="007A0FDD"/>
    <w:rsid w:val="007A22EA"/>
    <w:rsid w:val="007A2CF2"/>
    <w:rsid w:val="007A3080"/>
    <w:rsid w:val="007A308C"/>
    <w:rsid w:val="007A38C3"/>
    <w:rsid w:val="007A392C"/>
    <w:rsid w:val="007A3B25"/>
    <w:rsid w:val="007A41EE"/>
    <w:rsid w:val="007A44F6"/>
    <w:rsid w:val="007A51EE"/>
    <w:rsid w:val="007A5421"/>
    <w:rsid w:val="007A6178"/>
    <w:rsid w:val="007A6821"/>
    <w:rsid w:val="007A7900"/>
    <w:rsid w:val="007B0BAC"/>
    <w:rsid w:val="007B0CBB"/>
    <w:rsid w:val="007B0D56"/>
    <w:rsid w:val="007B0DD9"/>
    <w:rsid w:val="007B1F51"/>
    <w:rsid w:val="007B25B9"/>
    <w:rsid w:val="007B2FD5"/>
    <w:rsid w:val="007B33D1"/>
    <w:rsid w:val="007B343A"/>
    <w:rsid w:val="007B36F5"/>
    <w:rsid w:val="007B3DC9"/>
    <w:rsid w:val="007B4794"/>
    <w:rsid w:val="007B4A25"/>
    <w:rsid w:val="007B4CA8"/>
    <w:rsid w:val="007B5042"/>
    <w:rsid w:val="007B57B7"/>
    <w:rsid w:val="007B5820"/>
    <w:rsid w:val="007B6607"/>
    <w:rsid w:val="007B6EBF"/>
    <w:rsid w:val="007B7994"/>
    <w:rsid w:val="007B7E7D"/>
    <w:rsid w:val="007C087A"/>
    <w:rsid w:val="007C0C78"/>
    <w:rsid w:val="007C1339"/>
    <w:rsid w:val="007C1445"/>
    <w:rsid w:val="007C185B"/>
    <w:rsid w:val="007C209E"/>
    <w:rsid w:val="007C23B0"/>
    <w:rsid w:val="007C285C"/>
    <w:rsid w:val="007C2C6D"/>
    <w:rsid w:val="007C2F7B"/>
    <w:rsid w:val="007C32E1"/>
    <w:rsid w:val="007C46C5"/>
    <w:rsid w:val="007C517B"/>
    <w:rsid w:val="007C540C"/>
    <w:rsid w:val="007C692C"/>
    <w:rsid w:val="007C6E54"/>
    <w:rsid w:val="007C7224"/>
    <w:rsid w:val="007C7B77"/>
    <w:rsid w:val="007C7D62"/>
    <w:rsid w:val="007D0E7E"/>
    <w:rsid w:val="007D0F02"/>
    <w:rsid w:val="007D14A0"/>
    <w:rsid w:val="007D16C4"/>
    <w:rsid w:val="007D18B6"/>
    <w:rsid w:val="007D1FC4"/>
    <w:rsid w:val="007D2059"/>
    <w:rsid w:val="007D20F3"/>
    <w:rsid w:val="007D28A8"/>
    <w:rsid w:val="007D2CF4"/>
    <w:rsid w:val="007D2F44"/>
    <w:rsid w:val="007D319F"/>
    <w:rsid w:val="007D3A9B"/>
    <w:rsid w:val="007D3C16"/>
    <w:rsid w:val="007D4A77"/>
    <w:rsid w:val="007D4DAF"/>
    <w:rsid w:val="007D5FEC"/>
    <w:rsid w:val="007D60A2"/>
    <w:rsid w:val="007D6396"/>
    <w:rsid w:val="007D642C"/>
    <w:rsid w:val="007D6B33"/>
    <w:rsid w:val="007D6D37"/>
    <w:rsid w:val="007D6DE7"/>
    <w:rsid w:val="007D6ECF"/>
    <w:rsid w:val="007D755F"/>
    <w:rsid w:val="007D793C"/>
    <w:rsid w:val="007E04B8"/>
    <w:rsid w:val="007E0D21"/>
    <w:rsid w:val="007E0EFD"/>
    <w:rsid w:val="007E1D04"/>
    <w:rsid w:val="007E20BE"/>
    <w:rsid w:val="007E21A9"/>
    <w:rsid w:val="007E2475"/>
    <w:rsid w:val="007E2975"/>
    <w:rsid w:val="007E299F"/>
    <w:rsid w:val="007E2B7A"/>
    <w:rsid w:val="007E3071"/>
    <w:rsid w:val="007E378E"/>
    <w:rsid w:val="007E3905"/>
    <w:rsid w:val="007E43E0"/>
    <w:rsid w:val="007E480A"/>
    <w:rsid w:val="007E56E8"/>
    <w:rsid w:val="007E5AB8"/>
    <w:rsid w:val="007E78B3"/>
    <w:rsid w:val="007F051B"/>
    <w:rsid w:val="007F0830"/>
    <w:rsid w:val="007F0BC6"/>
    <w:rsid w:val="007F0D54"/>
    <w:rsid w:val="007F139C"/>
    <w:rsid w:val="007F1BEA"/>
    <w:rsid w:val="007F1C6D"/>
    <w:rsid w:val="007F1E2E"/>
    <w:rsid w:val="007F1F4A"/>
    <w:rsid w:val="007F202D"/>
    <w:rsid w:val="007F2173"/>
    <w:rsid w:val="007F256B"/>
    <w:rsid w:val="007F2951"/>
    <w:rsid w:val="007F33A7"/>
    <w:rsid w:val="007F344C"/>
    <w:rsid w:val="007F3844"/>
    <w:rsid w:val="007F3F06"/>
    <w:rsid w:val="007F3F44"/>
    <w:rsid w:val="007F4152"/>
    <w:rsid w:val="007F45EB"/>
    <w:rsid w:val="007F4691"/>
    <w:rsid w:val="007F46DA"/>
    <w:rsid w:val="007F4724"/>
    <w:rsid w:val="007F4962"/>
    <w:rsid w:val="007F4B35"/>
    <w:rsid w:val="007F4E66"/>
    <w:rsid w:val="007F5352"/>
    <w:rsid w:val="007F54DD"/>
    <w:rsid w:val="007F5795"/>
    <w:rsid w:val="007F5AE8"/>
    <w:rsid w:val="007F634F"/>
    <w:rsid w:val="007F63B2"/>
    <w:rsid w:val="007F7498"/>
    <w:rsid w:val="007F754C"/>
    <w:rsid w:val="007F7A58"/>
    <w:rsid w:val="008007F3"/>
    <w:rsid w:val="00800B09"/>
    <w:rsid w:val="00801122"/>
    <w:rsid w:val="008013F7"/>
    <w:rsid w:val="00801F4F"/>
    <w:rsid w:val="00802599"/>
    <w:rsid w:val="00802894"/>
    <w:rsid w:val="00802952"/>
    <w:rsid w:val="0080409B"/>
    <w:rsid w:val="008046F5"/>
    <w:rsid w:val="0080516F"/>
    <w:rsid w:val="00805190"/>
    <w:rsid w:val="008052DE"/>
    <w:rsid w:val="008054B6"/>
    <w:rsid w:val="00805B00"/>
    <w:rsid w:val="00805FAC"/>
    <w:rsid w:val="00806390"/>
    <w:rsid w:val="00806671"/>
    <w:rsid w:val="00806B3D"/>
    <w:rsid w:val="00807818"/>
    <w:rsid w:val="00810D09"/>
    <w:rsid w:val="00810D2C"/>
    <w:rsid w:val="00812509"/>
    <w:rsid w:val="00812604"/>
    <w:rsid w:val="008126C6"/>
    <w:rsid w:val="00812703"/>
    <w:rsid w:val="008134D3"/>
    <w:rsid w:val="00813A1D"/>
    <w:rsid w:val="00813D28"/>
    <w:rsid w:val="00813FDF"/>
    <w:rsid w:val="00814193"/>
    <w:rsid w:val="00814560"/>
    <w:rsid w:val="008150CD"/>
    <w:rsid w:val="0081532A"/>
    <w:rsid w:val="008157C5"/>
    <w:rsid w:val="00815847"/>
    <w:rsid w:val="00816336"/>
    <w:rsid w:val="00816883"/>
    <w:rsid w:val="00817A7E"/>
    <w:rsid w:val="00817B2D"/>
    <w:rsid w:val="0082063E"/>
    <w:rsid w:val="00820B36"/>
    <w:rsid w:val="008210F3"/>
    <w:rsid w:val="00821A67"/>
    <w:rsid w:val="00821F51"/>
    <w:rsid w:val="00821F6B"/>
    <w:rsid w:val="00822408"/>
    <w:rsid w:val="008225FD"/>
    <w:rsid w:val="00822CD7"/>
    <w:rsid w:val="00822FAD"/>
    <w:rsid w:val="008232F0"/>
    <w:rsid w:val="008233A8"/>
    <w:rsid w:val="00824053"/>
    <w:rsid w:val="008242C7"/>
    <w:rsid w:val="00824580"/>
    <w:rsid w:val="00824CFC"/>
    <w:rsid w:val="0082569B"/>
    <w:rsid w:val="0082584B"/>
    <w:rsid w:val="00825A7B"/>
    <w:rsid w:val="00826194"/>
    <w:rsid w:val="00826811"/>
    <w:rsid w:val="00826ECF"/>
    <w:rsid w:val="00827922"/>
    <w:rsid w:val="00827CB1"/>
    <w:rsid w:val="00827E44"/>
    <w:rsid w:val="00827F48"/>
    <w:rsid w:val="00830372"/>
    <w:rsid w:val="008305AE"/>
    <w:rsid w:val="00830DAA"/>
    <w:rsid w:val="00830E07"/>
    <w:rsid w:val="008310D3"/>
    <w:rsid w:val="00831BBA"/>
    <w:rsid w:val="00831F2C"/>
    <w:rsid w:val="008320BB"/>
    <w:rsid w:val="00832268"/>
    <w:rsid w:val="008332AB"/>
    <w:rsid w:val="0083365C"/>
    <w:rsid w:val="00833D20"/>
    <w:rsid w:val="008340CF"/>
    <w:rsid w:val="0083438C"/>
    <w:rsid w:val="00834C58"/>
    <w:rsid w:val="0083538E"/>
    <w:rsid w:val="00835E9F"/>
    <w:rsid w:val="008363F9"/>
    <w:rsid w:val="008365C3"/>
    <w:rsid w:val="008365E9"/>
    <w:rsid w:val="008366D4"/>
    <w:rsid w:val="0083712E"/>
    <w:rsid w:val="008373D6"/>
    <w:rsid w:val="00837F3E"/>
    <w:rsid w:val="0084090B"/>
    <w:rsid w:val="00840A96"/>
    <w:rsid w:val="00840AFC"/>
    <w:rsid w:val="00840BD2"/>
    <w:rsid w:val="00840CE7"/>
    <w:rsid w:val="00840E20"/>
    <w:rsid w:val="00841A86"/>
    <w:rsid w:val="00843E0D"/>
    <w:rsid w:val="008440F2"/>
    <w:rsid w:val="00844125"/>
    <w:rsid w:val="008445CB"/>
    <w:rsid w:val="008450AA"/>
    <w:rsid w:val="0084510A"/>
    <w:rsid w:val="00846231"/>
    <w:rsid w:val="00846F2B"/>
    <w:rsid w:val="00847587"/>
    <w:rsid w:val="00847B6D"/>
    <w:rsid w:val="00847FEE"/>
    <w:rsid w:val="008515F1"/>
    <w:rsid w:val="00851E01"/>
    <w:rsid w:val="0085314F"/>
    <w:rsid w:val="00853BC0"/>
    <w:rsid w:val="008542E8"/>
    <w:rsid w:val="00854579"/>
    <w:rsid w:val="008546E7"/>
    <w:rsid w:val="0085476B"/>
    <w:rsid w:val="00854DCC"/>
    <w:rsid w:val="00855274"/>
    <w:rsid w:val="008555BB"/>
    <w:rsid w:val="008569EA"/>
    <w:rsid w:val="00856A43"/>
    <w:rsid w:val="00857238"/>
    <w:rsid w:val="0085792D"/>
    <w:rsid w:val="00861CA8"/>
    <w:rsid w:val="00861E13"/>
    <w:rsid w:val="00862270"/>
    <w:rsid w:val="00862923"/>
    <w:rsid w:val="008633B4"/>
    <w:rsid w:val="0086362E"/>
    <w:rsid w:val="0086384C"/>
    <w:rsid w:val="00863F3D"/>
    <w:rsid w:val="00864424"/>
    <w:rsid w:val="0086465D"/>
    <w:rsid w:val="00864900"/>
    <w:rsid w:val="00864F62"/>
    <w:rsid w:val="008655C3"/>
    <w:rsid w:val="0086564A"/>
    <w:rsid w:val="008656F4"/>
    <w:rsid w:val="008658E4"/>
    <w:rsid w:val="00865DC6"/>
    <w:rsid w:val="00865F14"/>
    <w:rsid w:val="00866158"/>
    <w:rsid w:val="00866ADF"/>
    <w:rsid w:val="00867783"/>
    <w:rsid w:val="00867BCC"/>
    <w:rsid w:val="00867C87"/>
    <w:rsid w:val="0087013E"/>
    <w:rsid w:val="00870978"/>
    <w:rsid w:val="00870ADF"/>
    <w:rsid w:val="008711F7"/>
    <w:rsid w:val="0087125F"/>
    <w:rsid w:val="0087181B"/>
    <w:rsid w:val="008722AB"/>
    <w:rsid w:val="00872533"/>
    <w:rsid w:val="00872C3C"/>
    <w:rsid w:val="0087311F"/>
    <w:rsid w:val="00873658"/>
    <w:rsid w:val="008737EC"/>
    <w:rsid w:val="00873D7D"/>
    <w:rsid w:val="00873F04"/>
    <w:rsid w:val="00874049"/>
    <w:rsid w:val="00874A7E"/>
    <w:rsid w:val="00874B23"/>
    <w:rsid w:val="008753CC"/>
    <w:rsid w:val="0087546F"/>
    <w:rsid w:val="008755F0"/>
    <w:rsid w:val="00876321"/>
    <w:rsid w:val="00876568"/>
    <w:rsid w:val="00876867"/>
    <w:rsid w:val="00876B33"/>
    <w:rsid w:val="00877240"/>
    <w:rsid w:val="0087728B"/>
    <w:rsid w:val="008776FA"/>
    <w:rsid w:val="00877729"/>
    <w:rsid w:val="00877D0F"/>
    <w:rsid w:val="00877F5D"/>
    <w:rsid w:val="00880C8E"/>
    <w:rsid w:val="00880F21"/>
    <w:rsid w:val="00881327"/>
    <w:rsid w:val="00881462"/>
    <w:rsid w:val="00881BE8"/>
    <w:rsid w:val="00881D00"/>
    <w:rsid w:val="008827C3"/>
    <w:rsid w:val="00882A28"/>
    <w:rsid w:val="00882DC3"/>
    <w:rsid w:val="008831F1"/>
    <w:rsid w:val="00883AA8"/>
    <w:rsid w:val="00883EE6"/>
    <w:rsid w:val="00884765"/>
    <w:rsid w:val="00884B67"/>
    <w:rsid w:val="00884E58"/>
    <w:rsid w:val="008850C7"/>
    <w:rsid w:val="008853B3"/>
    <w:rsid w:val="008862E5"/>
    <w:rsid w:val="0088685B"/>
    <w:rsid w:val="00886AFD"/>
    <w:rsid w:val="00887030"/>
    <w:rsid w:val="00887541"/>
    <w:rsid w:val="008902FE"/>
    <w:rsid w:val="008911CF"/>
    <w:rsid w:val="008915A2"/>
    <w:rsid w:val="008918CF"/>
    <w:rsid w:val="00892990"/>
    <w:rsid w:val="00892D36"/>
    <w:rsid w:val="00893F72"/>
    <w:rsid w:val="00894A99"/>
    <w:rsid w:val="0089518A"/>
    <w:rsid w:val="00895353"/>
    <w:rsid w:val="008956C6"/>
    <w:rsid w:val="00895FDE"/>
    <w:rsid w:val="00896314"/>
    <w:rsid w:val="0089689D"/>
    <w:rsid w:val="00896FB6"/>
    <w:rsid w:val="00897689"/>
    <w:rsid w:val="008977CB"/>
    <w:rsid w:val="00897DD1"/>
    <w:rsid w:val="008A00FE"/>
    <w:rsid w:val="008A0D82"/>
    <w:rsid w:val="008A0DC0"/>
    <w:rsid w:val="008A15BF"/>
    <w:rsid w:val="008A1CEB"/>
    <w:rsid w:val="008A1CF1"/>
    <w:rsid w:val="008A1D5F"/>
    <w:rsid w:val="008A2194"/>
    <w:rsid w:val="008A27C6"/>
    <w:rsid w:val="008A2EA5"/>
    <w:rsid w:val="008A3BCA"/>
    <w:rsid w:val="008A4286"/>
    <w:rsid w:val="008A47D1"/>
    <w:rsid w:val="008A4BE9"/>
    <w:rsid w:val="008A4F81"/>
    <w:rsid w:val="008A5269"/>
    <w:rsid w:val="008A577E"/>
    <w:rsid w:val="008A5799"/>
    <w:rsid w:val="008A63DD"/>
    <w:rsid w:val="008A646E"/>
    <w:rsid w:val="008A6C24"/>
    <w:rsid w:val="008A6CAD"/>
    <w:rsid w:val="008A7812"/>
    <w:rsid w:val="008A7D12"/>
    <w:rsid w:val="008B050E"/>
    <w:rsid w:val="008B15CA"/>
    <w:rsid w:val="008B221A"/>
    <w:rsid w:val="008B3257"/>
    <w:rsid w:val="008B3482"/>
    <w:rsid w:val="008B3B2C"/>
    <w:rsid w:val="008B4BA1"/>
    <w:rsid w:val="008B57DE"/>
    <w:rsid w:val="008B5D74"/>
    <w:rsid w:val="008B5E91"/>
    <w:rsid w:val="008B5FD1"/>
    <w:rsid w:val="008B7434"/>
    <w:rsid w:val="008C0448"/>
    <w:rsid w:val="008C0F27"/>
    <w:rsid w:val="008C1C02"/>
    <w:rsid w:val="008C3929"/>
    <w:rsid w:val="008C3DF3"/>
    <w:rsid w:val="008C3FB0"/>
    <w:rsid w:val="008C4058"/>
    <w:rsid w:val="008C472B"/>
    <w:rsid w:val="008C51D1"/>
    <w:rsid w:val="008C5465"/>
    <w:rsid w:val="008C55C5"/>
    <w:rsid w:val="008C582B"/>
    <w:rsid w:val="008C5C1C"/>
    <w:rsid w:val="008C6324"/>
    <w:rsid w:val="008C75C7"/>
    <w:rsid w:val="008D002B"/>
    <w:rsid w:val="008D0133"/>
    <w:rsid w:val="008D0670"/>
    <w:rsid w:val="008D09D2"/>
    <w:rsid w:val="008D1463"/>
    <w:rsid w:val="008D1498"/>
    <w:rsid w:val="008D18DD"/>
    <w:rsid w:val="008D1C13"/>
    <w:rsid w:val="008D1D8F"/>
    <w:rsid w:val="008D24EF"/>
    <w:rsid w:val="008D258B"/>
    <w:rsid w:val="008D25C8"/>
    <w:rsid w:val="008D2AAC"/>
    <w:rsid w:val="008D3014"/>
    <w:rsid w:val="008D354B"/>
    <w:rsid w:val="008D3610"/>
    <w:rsid w:val="008D37FB"/>
    <w:rsid w:val="008D3DA0"/>
    <w:rsid w:val="008D460D"/>
    <w:rsid w:val="008D5110"/>
    <w:rsid w:val="008D53EE"/>
    <w:rsid w:val="008D59E3"/>
    <w:rsid w:val="008D6071"/>
    <w:rsid w:val="008D6140"/>
    <w:rsid w:val="008D7564"/>
    <w:rsid w:val="008D75A7"/>
    <w:rsid w:val="008D75C3"/>
    <w:rsid w:val="008D7743"/>
    <w:rsid w:val="008D7B9A"/>
    <w:rsid w:val="008D7E0A"/>
    <w:rsid w:val="008E02F4"/>
    <w:rsid w:val="008E044A"/>
    <w:rsid w:val="008E16D5"/>
    <w:rsid w:val="008E34FC"/>
    <w:rsid w:val="008E3731"/>
    <w:rsid w:val="008E3B5D"/>
    <w:rsid w:val="008E4D0E"/>
    <w:rsid w:val="008E5144"/>
    <w:rsid w:val="008E5E91"/>
    <w:rsid w:val="008E5EEA"/>
    <w:rsid w:val="008E62F1"/>
    <w:rsid w:val="008E63FD"/>
    <w:rsid w:val="008E64D8"/>
    <w:rsid w:val="008E6BD2"/>
    <w:rsid w:val="008E6C10"/>
    <w:rsid w:val="008E6CDF"/>
    <w:rsid w:val="008E73B6"/>
    <w:rsid w:val="008E7621"/>
    <w:rsid w:val="008E77E8"/>
    <w:rsid w:val="008E7D88"/>
    <w:rsid w:val="008F05CC"/>
    <w:rsid w:val="008F060B"/>
    <w:rsid w:val="008F067C"/>
    <w:rsid w:val="008F148A"/>
    <w:rsid w:val="008F17CB"/>
    <w:rsid w:val="008F23C9"/>
    <w:rsid w:val="008F2739"/>
    <w:rsid w:val="008F2A51"/>
    <w:rsid w:val="008F2F15"/>
    <w:rsid w:val="008F2F39"/>
    <w:rsid w:val="008F2F83"/>
    <w:rsid w:val="008F3A5A"/>
    <w:rsid w:val="008F3E0E"/>
    <w:rsid w:val="008F41A3"/>
    <w:rsid w:val="008F4E9E"/>
    <w:rsid w:val="008F58AD"/>
    <w:rsid w:val="008F5FA4"/>
    <w:rsid w:val="008F63D0"/>
    <w:rsid w:val="008F6FF5"/>
    <w:rsid w:val="008F77F8"/>
    <w:rsid w:val="008F77FC"/>
    <w:rsid w:val="00900613"/>
    <w:rsid w:val="00900924"/>
    <w:rsid w:val="00900C8C"/>
    <w:rsid w:val="009010C7"/>
    <w:rsid w:val="00901647"/>
    <w:rsid w:val="00901895"/>
    <w:rsid w:val="00901C70"/>
    <w:rsid w:val="00901EC4"/>
    <w:rsid w:val="0090212F"/>
    <w:rsid w:val="00902475"/>
    <w:rsid w:val="00902842"/>
    <w:rsid w:val="00902E38"/>
    <w:rsid w:val="009031BB"/>
    <w:rsid w:val="0090322A"/>
    <w:rsid w:val="009032B7"/>
    <w:rsid w:val="00903CD3"/>
    <w:rsid w:val="00903D68"/>
    <w:rsid w:val="00903F7B"/>
    <w:rsid w:val="00904133"/>
    <w:rsid w:val="0090448A"/>
    <w:rsid w:val="00905469"/>
    <w:rsid w:val="0090558C"/>
    <w:rsid w:val="00905F71"/>
    <w:rsid w:val="0090606F"/>
    <w:rsid w:val="009061A9"/>
    <w:rsid w:val="009078D8"/>
    <w:rsid w:val="00907B81"/>
    <w:rsid w:val="00907CE3"/>
    <w:rsid w:val="00907D38"/>
    <w:rsid w:val="009102C6"/>
    <w:rsid w:val="00910688"/>
    <w:rsid w:val="009114CA"/>
    <w:rsid w:val="00911C9D"/>
    <w:rsid w:val="00913896"/>
    <w:rsid w:val="00913925"/>
    <w:rsid w:val="00913B89"/>
    <w:rsid w:val="009149CB"/>
    <w:rsid w:val="00914F12"/>
    <w:rsid w:val="00914FDA"/>
    <w:rsid w:val="009151F4"/>
    <w:rsid w:val="009155D8"/>
    <w:rsid w:val="00915784"/>
    <w:rsid w:val="00915AF8"/>
    <w:rsid w:val="00916021"/>
    <w:rsid w:val="009164D0"/>
    <w:rsid w:val="00917539"/>
    <w:rsid w:val="00917747"/>
    <w:rsid w:val="009178B6"/>
    <w:rsid w:val="00917BF0"/>
    <w:rsid w:val="00917CBB"/>
    <w:rsid w:val="00920621"/>
    <w:rsid w:val="009209F4"/>
    <w:rsid w:val="00921A36"/>
    <w:rsid w:val="00921BED"/>
    <w:rsid w:val="00921C83"/>
    <w:rsid w:val="00922315"/>
    <w:rsid w:val="00922465"/>
    <w:rsid w:val="00922C70"/>
    <w:rsid w:val="00922CF7"/>
    <w:rsid w:val="00922D92"/>
    <w:rsid w:val="009230B3"/>
    <w:rsid w:val="00923342"/>
    <w:rsid w:val="00923354"/>
    <w:rsid w:val="00923548"/>
    <w:rsid w:val="00923BB0"/>
    <w:rsid w:val="00924696"/>
    <w:rsid w:val="0092478F"/>
    <w:rsid w:val="00924F96"/>
    <w:rsid w:val="00925BAB"/>
    <w:rsid w:val="009262B8"/>
    <w:rsid w:val="009266C5"/>
    <w:rsid w:val="0092717C"/>
    <w:rsid w:val="009275AC"/>
    <w:rsid w:val="0092764F"/>
    <w:rsid w:val="00927659"/>
    <w:rsid w:val="009276CC"/>
    <w:rsid w:val="009279F7"/>
    <w:rsid w:val="00927BFC"/>
    <w:rsid w:val="00930154"/>
    <w:rsid w:val="009302D7"/>
    <w:rsid w:val="0093045A"/>
    <w:rsid w:val="0093060A"/>
    <w:rsid w:val="00930896"/>
    <w:rsid w:val="00931257"/>
    <w:rsid w:val="0093206F"/>
    <w:rsid w:val="0093213B"/>
    <w:rsid w:val="0093243B"/>
    <w:rsid w:val="00932468"/>
    <w:rsid w:val="009324BB"/>
    <w:rsid w:val="00932AED"/>
    <w:rsid w:val="00932C22"/>
    <w:rsid w:val="00932DBC"/>
    <w:rsid w:val="00932EAD"/>
    <w:rsid w:val="00932F8E"/>
    <w:rsid w:val="00933CC9"/>
    <w:rsid w:val="00934098"/>
    <w:rsid w:val="0093416B"/>
    <w:rsid w:val="009351C0"/>
    <w:rsid w:val="00935393"/>
    <w:rsid w:val="00935FEE"/>
    <w:rsid w:val="00936287"/>
    <w:rsid w:val="00936DB4"/>
    <w:rsid w:val="009373C6"/>
    <w:rsid w:val="00940181"/>
    <w:rsid w:val="009409C6"/>
    <w:rsid w:val="00941228"/>
    <w:rsid w:val="009413FD"/>
    <w:rsid w:val="009416CF"/>
    <w:rsid w:val="00941812"/>
    <w:rsid w:val="00941DCB"/>
    <w:rsid w:val="00941E60"/>
    <w:rsid w:val="00942304"/>
    <w:rsid w:val="00942A2A"/>
    <w:rsid w:val="0094319F"/>
    <w:rsid w:val="0094397D"/>
    <w:rsid w:val="009439A9"/>
    <w:rsid w:val="00943AB3"/>
    <w:rsid w:val="00943E70"/>
    <w:rsid w:val="00944263"/>
    <w:rsid w:val="009442ED"/>
    <w:rsid w:val="009448E7"/>
    <w:rsid w:val="0094538B"/>
    <w:rsid w:val="0094543C"/>
    <w:rsid w:val="00945D08"/>
    <w:rsid w:val="009460A1"/>
    <w:rsid w:val="00946A5C"/>
    <w:rsid w:val="00946B95"/>
    <w:rsid w:val="00946E98"/>
    <w:rsid w:val="00947359"/>
    <w:rsid w:val="0094799D"/>
    <w:rsid w:val="00950F70"/>
    <w:rsid w:val="00950FF1"/>
    <w:rsid w:val="00951959"/>
    <w:rsid w:val="009519F9"/>
    <w:rsid w:val="00952631"/>
    <w:rsid w:val="00952A9C"/>
    <w:rsid w:val="00953059"/>
    <w:rsid w:val="00953896"/>
    <w:rsid w:val="00953899"/>
    <w:rsid w:val="0095446B"/>
    <w:rsid w:val="009548F9"/>
    <w:rsid w:val="00954CB9"/>
    <w:rsid w:val="009550C4"/>
    <w:rsid w:val="00955530"/>
    <w:rsid w:val="00955B27"/>
    <w:rsid w:val="00955EE7"/>
    <w:rsid w:val="0095659E"/>
    <w:rsid w:val="00956A63"/>
    <w:rsid w:val="00956E10"/>
    <w:rsid w:val="00960448"/>
    <w:rsid w:val="0096091C"/>
    <w:rsid w:val="00960BB1"/>
    <w:rsid w:val="00960FA5"/>
    <w:rsid w:val="0096133D"/>
    <w:rsid w:val="00961765"/>
    <w:rsid w:val="00961D4C"/>
    <w:rsid w:val="00962067"/>
    <w:rsid w:val="00962E85"/>
    <w:rsid w:val="0096318A"/>
    <w:rsid w:val="00963D9C"/>
    <w:rsid w:val="00964A87"/>
    <w:rsid w:val="00964DA2"/>
    <w:rsid w:val="00965AF5"/>
    <w:rsid w:val="00966249"/>
    <w:rsid w:val="00966AEE"/>
    <w:rsid w:val="00967142"/>
    <w:rsid w:val="00967757"/>
    <w:rsid w:val="00967D94"/>
    <w:rsid w:val="00967F20"/>
    <w:rsid w:val="009702EB"/>
    <w:rsid w:val="009708CF"/>
    <w:rsid w:val="009709B0"/>
    <w:rsid w:val="00971686"/>
    <w:rsid w:val="00971D4A"/>
    <w:rsid w:val="00972371"/>
    <w:rsid w:val="009728E6"/>
    <w:rsid w:val="00973C53"/>
    <w:rsid w:val="00973D8E"/>
    <w:rsid w:val="00973DB8"/>
    <w:rsid w:val="00973F8B"/>
    <w:rsid w:val="009747CB"/>
    <w:rsid w:val="00974F47"/>
    <w:rsid w:val="009755AF"/>
    <w:rsid w:val="009757D1"/>
    <w:rsid w:val="009766B3"/>
    <w:rsid w:val="009767C6"/>
    <w:rsid w:val="009769DB"/>
    <w:rsid w:val="00976B7D"/>
    <w:rsid w:val="009770DE"/>
    <w:rsid w:val="00977961"/>
    <w:rsid w:val="00977977"/>
    <w:rsid w:val="0098002B"/>
    <w:rsid w:val="0098095E"/>
    <w:rsid w:val="00980AD3"/>
    <w:rsid w:val="00980BEF"/>
    <w:rsid w:val="009813A7"/>
    <w:rsid w:val="00981763"/>
    <w:rsid w:val="009819F6"/>
    <w:rsid w:val="009819FF"/>
    <w:rsid w:val="00981C8B"/>
    <w:rsid w:val="00982259"/>
    <w:rsid w:val="00982C43"/>
    <w:rsid w:val="0098330B"/>
    <w:rsid w:val="00983C7D"/>
    <w:rsid w:val="009845BE"/>
    <w:rsid w:val="0098468D"/>
    <w:rsid w:val="00984A94"/>
    <w:rsid w:val="009851DF"/>
    <w:rsid w:val="0098531B"/>
    <w:rsid w:val="00985627"/>
    <w:rsid w:val="00985808"/>
    <w:rsid w:val="009861C0"/>
    <w:rsid w:val="00986910"/>
    <w:rsid w:val="00986A53"/>
    <w:rsid w:val="00986DA1"/>
    <w:rsid w:val="009876B3"/>
    <w:rsid w:val="009902AF"/>
    <w:rsid w:val="00990728"/>
    <w:rsid w:val="00991662"/>
    <w:rsid w:val="00991B86"/>
    <w:rsid w:val="00991C45"/>
    <w:rsid w:val="00991DC1"/>
    <w:rsid w:val="00992B8F"/>
    <w:rsid w:val="00992CE6"/>
    <w:rsid w:val="009932D1"/>
    <w:rsid w:val="009934D7"/>
    <w:rsid w:val="00993726"/>
    <w:rsid w:val="0099389D"/>
    <w:rsid w:val="00993DB1"/>
    <w:rsid w:val="00994B2A"/>
    <w:rsid w:val="00994EE6"/>
    <w:rsid w:val="009952E7"/>
    <w:rsid w:val="009969ED"/>
    <w:rsid w:val="00997188"/>
    <w:rsid w:val="0099779D"/>
    <w:rsid w:val="009A08BD"/>
    <w:rsid w:val="009A0E32"/>
    <w:rsid w:val="009A102C"/>
    <w:rsid w:val="009A1352"/>
    <w:rsid w:val="009A1CA1"/>
    <w:rsid w:val="009A1DD6"/>
    <w:rsid w:val="009A1E07"/>
    <w:rsid w:val="009A1ED4"/>
    <w:rsid w:val="009A214A"/>
    <w:rsid w:val="009A2850"/>
    <w:rsid w:val="009A2E66"/>
    <w:rsid w:val="009A2FFB"/>
    <w:rsid w:val="009A3A50"/>
    <w:rsid w:val="009A3D56"/>
    <w:rsid w:val="009A4521"/>
    <w:rsid w:val="009A470A"/>
    <w:rsid w:val="009A481C"/>
    <w:rsid w:val="009A4D6E"/>
    <w:rsid w:val="009A4F7B"/>
    <w:rsid w:val="009A5732"/>
    <w:rsid w:val="009A6D89"/>
    <w:rsid w:val="009A71A9"/>
    <w:rsid w:val="009A7490"/>
    <w:rsid w:val="009A79F6"/>
    <w:rsid w:val="009B0B0F"/>
    <w:rsid w:val="009B104C"/>
    <w:rsid w:val="009B161D"/>
    <w:rsid w:val="009B19C8"/>
    <w:rsid w:val="009B1B8B"/>
    <w:rsid w:val="009B223D"/>
    <w:rsid w:val="009B291F"/>
    <w:rsid w:val="009B3122"/>
    <w:rsid w:val="009B3D87"/>
    <w:rsid w:val="009B4419"/>
    <w:rsid w:val="009B4A98"/>
    <w:rsid w:val="009B52FC"/>
    <w:rsid w:val="009B55B3"/>
    <w:rsid w:val="009B64F7"/>
    <w:rsid w:val="009B7485"/>
    <w:rsid w:val="009B7916"/>
    <w:rsid w:val="009B7D41"/>
    <w:rsid w:val="009B7F91"/>
    <w:rsid w:val="009C02A4"/>
    <w:rsid w:val="009C0308"/>
    <w:rsid w:val="009C0460"/>
    <w:rsid w:val="009C050A"/>
    <w:rsid w:val="009C074B"/>
    <w:rsid w:val="009C108B"/>
    <w:rsid w:val="009C1D61"/>
    <w:rsid w:val="009C1FB3"/>
    <w:rsid w:val="009C2E57"/>
    <w:rsid w:val="009C35D4"/>
    <w:rsid w:val="009C364B"/>
    <w:rsid w:val="009C397F"/>
    <w:rsid w:val="009C3E4B"/>
    <w:rsid w:val="009C3F7D"/>
    <w:rsid w:val="009C4036"/>
    <w:rsid w:val="009C438C"/>
    <w:rsid w:val="009C4AD5"/>
    <w:rsid w:val="009C4B05"/>
    <w:rsid w:val="009C4DD0"/>
    <w:rsid w:val="009C5376"/>
    <w:rsid w:val="009C56C3"/>
    <w:rsid w:val="009C615D"/>
    <w:rsid w:val="009C6867"/>
    <w:rsid w:val="009C6B74"/>
    <w:rsid w:val="009C6D60"/>
    <w:rsid w:val="009C6DB7"/>
    <w:rsid w:val="009C7B38"/>
    <w:rsid w:val="009C7CB1"/>
    <w:rsid w:val="009D0154"/>
    <w:rsid w:val="009D0850"/>
    <w:rsid w:val="009D0AC7"/>
    <w:rsid w:val="009D138B"/>
    <w:rsid w:val="009D14D3"/>
    <w:rsid w:val="009D15F4"/>
    <w:rsid w:val="009D1A63"/>
    <w:rsid w:val="009D1D4D"/>
    <w:rsid w:val="009D27B0"/>
    <w:rsid w:val="009D2B35"/>
    <w:rsid w:val="009D2CCD"/>
    <w:rsid w:val="009D2D5E"/>
    <w:rsid w:val="009D2EB2"/>
    <w:rsid w:val="009D2F1F"/>
    <w:rsid w:val="009D3057"/>
    <w:rsid w:val="009D321C"/>
    <w:rsid w:val="009D3278"/>
    <w:rsid w:val="009D367D"/>
    <w:rsid w:val="009D3EAB"/>
    <w:rsid w:val="009D41A9"/>
    <w:rsid w:val="009D53C0"/>
    <w:rsid w:val="009D553D"/>
    <w:rsid w:val="009D5C40"/>
    <w:rsid w:val="009D6077"/>
    <w:rsid w:val="009D627F"/>
    <w:rsid w:val="009D6328"/>
    <w:rsid w:val="009D7EA9"/>
    <w:rsid w:val="009E022A"/>
    <w:rsid w:val="009E0269"/>
    <w:rsid w:val="009E06AA"/>
    <w:rsid w:val="009E083F"/>
    <w:rsid w:val="009E0EE8"/>
    <w:rsid w:val="009E1CF4"/>
    <w:rsid w:val="009E1D0B"/>
    <w:rsid w:val="009E1D80"/>
    <w:rsid w:val="009E1EBD"/>
    <w:rsid w:val="009E34CC"/>
    <w:rsid w:val="009E3693"/>
    <w:rsid w:val="009E40FA"/>
    <w:rsid w:val="009E413F"/>
    <w:rsid w:val="009E48A2"/>
    <w:rsid w:val="009E50F8"/>
    <w:rsid w:val="009E654C"/>
    <w:rsid w:val="009E6BE9"/>
    <w:rsid w:val="009E6F8C"/>
    <w:rsid w:val="009E7255"/>
    <w:rsid w:val="009E7418"/>
    <w:rsid w:val="009E74DC"/>
    <w:rsid w:val="009E7608"/>
    <w:rsid w:val="009E779E"/>
    <w:rsid w:val="009F0C98"/>
    <w:rsid w:val="009F1050"/>
    <w:rsid w:val="009F1422"/>
    <w:rsid w:val="009F2007"/>
    <w:rsid w:val="009F31BA"/>
    <w:rsid w:val="009F371A"/>
    <w:rsid w:val="009F381E"/>
    <w:rsid w:val="009F4151"/>
    <w:rsid w:val="009F465B"/>
    <w:rsid w:val="009F49E2"/>
    <w:rsid w:val="009F5526"/>
    <w:rsid w:val="009F55CB"/>
    <w:rsid w:val="009F5933"/>
    <w:rsid w:val="009F5A5D"/>
    <w:rsid w:val="009F633E"/>
    <w:rsid w:val="009F7245"/>
    <w:rsid w:val="009F76BC"/>
    <w:rsid w:val="009F7D5F"/>
    <w:rsid w:val="009F7FC4"/>
    <w:rsid w:val="00A00720"/>
    <w:rsid w:val="00A00E9D"/>
    <w:rsid w:val="00A01702"/>
    <w:rsid w:val="00A01C83"/>
    <w:rsid w:val="00A02075"/>
    <w:rsid w:val="00A02140"/>
    <w:rsid w:val="00A0233D"/>
    <w:rsid w:val="00A02562"/>
    <w:rsid w:val="00A02BFE"/>
    <w:rsid w:val="00A0312D"/>
    <w:rsid w:val="00A0339C"/>
    <w:rsid w:val="00A03A45"/>
    <w:rsid w:val="00A03ABD"/>
    <w:rsid w:val="00A03C35"/>
    <w:rsid w:val="00A04A19"/>
    <w:rsid w:val="00A04B3F"/>
    <w:rsid w:val="00A05056"/>
    <w:rsid w:val="00A054C3"/>
    <w:rsid w:val="00A05A24"/>
    <w:rsid w:val="00A05A2C"/>
    <w:rsid w:val="00A05F18"/>
    <w:rsid w:val="00A06022"/>
    <w:rsid w:val="00A06268"/>
    <w:rsid w:val="00A0636E"/>
    <w:rsid w:val="00A06EB8"/>
    <w:rsid w:val="00A071B9"/>
    <w:rsid w:val="00A075C3"/>
    <w:rsid w:val="00A07883"/>
    <w:rsid w:val="00A0794F"/>
    <w:rsid w:val="00A079D5"/>
    <w:rsid w:val="00A07B72"/>
    <w:rsid w:val="00A07C08"/>
    <w:rsid w:val="00A07D86"/>
    <w:rsid w:val="00A07DBB"/>
    <w:rsid w:val="00A111B9"/>
    <w:rsid w:val="00A1176A"/>
    <w:rsid w:val="00A119F8"/>
    <w:rsid w:val="00A13044"/>
    <w:rsid w:val="00A134DA"/>
    <w:rsid w:val="00A1353B"/>
    <w:rsid w:val="00A13780"/>
    <w:rsid w:val="00A13B23"/>
    <w:rsid w:val="00A13D69"/>
    <w:rsid w:val="00A13ED9"/>
    <w:rsid w:val="00A142A4"/>
    <w:rsid w:val="00A144E0"/>
    <w:rsid w:val="00A15812"/>
    <w:rsid w:val="00A16176"/>
    <w:rsid w:val="00A16942"/>
    <w:rsid w:val="00A16B91"/>
    <w:rsid w:val="00A1700B"/>
    <w:rsid w:val="00A1744E"/>
    <w:rsid w:val="00A17C61"/>
    <w:rsid w:val="00A17EB4"/>
    <w:rsid w:val="00A205DE"/>
    <w:rsid w:val="00A20907"/>
    <w:rsid w:val="00A20E17"/>
    <w:rsid w:val="00A211BE"/>
    <w:rsid w:val="00A21F4C"/>
    <w:rsid w:val="00A22449"/>
    <w:rsid w:val="00A2248C"/>
    <w:rsid w:val="00A22B17"/>
    <w:rsid w:val="00A22C49"/>
    <w:rsid w:val="00A22E23"/>
    <w:rsid w:val="00A2316B"/>
    <w:rsid w:val="00A2393D"/>
    <w:rsid w:val="00A25036"/>
    <w:rsid w:val="00A25301"/>
    <w:rsid w:val="00A258A7"/>
    <w:rsid w:val="00A25C4B"/>
    <w:rsid w:val="00A26634"/>
    <w:rsid w:val="00A266A1"/>
    <w:rsid w:val="00A268AC"/>
    <w:rsid w:val="00A26BCB"/>
    <w:rsid w:val="00A26CAD"/>
    <w:rsid w:val="00A26EB5"/>
    <w:rsid w:val="00A27658"/>
    <w:rsid w:val="00A27C23"/>
    <w:rsid w:val="00A27C7E"/>
    <w:rsid w:val="00A27E6F"/>
    <w:rsid w:val="00A307F0"/>
    <w:rsid w:val="00A3130C"/>
    <w:rsid w:val="00A31722"/>
    <w:rsid w:val="00A3259A"/>
    <w:rsid w:val="00A32C84"/>
    <w:rsid w:val="00A32D37"/>
    <w:rsid w:val="00A32F2D"/>
    <w:rsid w:val="00A338C3"/>
    <w:rsid w:val="00A33CDC"/>
    <w:rsid w:val="00A34383"/>
    <w:rsid w:val="00A34428"/>
    <w:rsid w:val="00A34D5F"/>
    <w:rsid w:val="00A34DAC"/>
    <w:rsid w:val="00A3550F"/>
    <w:rsid w:val="00A3559C"/>
    <w:rsid w:val="00A359D5"/>
    <w:rsid w:val="00A36178"/>
    <w:rsid w:val="00A364C9"/>
    <w:rsid w:val="00A36970"/>
    <w:rsid w:val="00A369DF"/>
    <w:rsid w:val="00A36A5B"/>
    <w:rsid w:val="00A37644"/>
    <w:rsid w:val="00A37685"/>
    <w:rsid w:val="00A376DA"/>
    <w:rsid w:val="00A377F8"/>
    <w:rsid w:val="00A37935"/>
    <w:rsid w:val="00A40111"/>
    <w:rsid w:val="00A401FF"/>
    <w:rsid w:val="00A406E1"/>
    <w:rsid w:val="00A40D88"/>
    <w:rsid w:val="00A415DE"/>
    <w:rsid w:val="00A4184D"/>
    <w:rsid w:val="00A41A41"/>
    <w:rsid w:val="00A41ECD"/>
    <w:rsid w:val="00A422D0"/>
    <w:rsid w:val="00A423A1"/>
    <w:rsid w:val="00A42D4B"/>
    <w:rsid w:val="00A44218"/>
    <w:rsid w:val="00A44424"/>
    <w:rsid w:val="00A444B5"/>
    <w:rsid w:val="00A45565"/>
    <w:rsid w:val="00A456F6"/>
    <w:rsid w:val="00A4584F"/>
    <w:rsid w:val="00A45854"/>
    <w:rsid w:val="00A458BB"/>
    <w:rsid w:val="00A45B36"/>
    <w:rsid w:val="00A45E34"/>
    <w:rsid w:val="00A467D9"/>
    <w:rsid w:val="00A469A4"/>
    <w:rsid w:val="00A472F9"/>
    <w:rsid w:val="00A47359"/>
    <w:rsid w:val="00A4755D"/>
    <w:rsid w:val="00A47648"/>
    <w:rsid w:val="00A47AEA"/>
    <w:rsid w:val="00A47CE5"/>
    <w:rsid w:val="00A50553"/>
    <w:rsid w:val="00A50DC3"/>
    <w:rsid w:val="00A51540"/>
    <w:rsid w:val="00A51DCD"/>
    <w:rsid w:val="00A52463"/>
    <w:rsid w:val="00A528DE"/>
    <w:rsid w:val="00A529B3"/>
    <w:rsid w:val="00A53114"/>
    <w:rsid w:val="00A534D5"/>
    <w:rsid w:val="00A534F2"/>
    <w:rsid w:val="00A542FD"/>
    <w:rsid w:val="00A54C94"/>
    <w:rsid w:val="00A54EA4"/>
    <w:rsid w:val="00A553E3"/>
    <w:rsid w:val="00A55BDE"/>
    <w:rsid w:val="00A56508"/>
    <w:rsid w:val="00A57699"/>
    <w:rsid w:val="00A57909"/>
    <w:rsid w:val="00A57918"/>
    <w:rsid w:val="00A60541"/>
    <w:rsid w:val="00A60AAE"/>
    <w:rsid w:val="00A60CE9"/>
    <w:rsid w:val="00A611A5"/>
    <w:rsid w:val="00A6124B"/>
    <w:rsid w:val="00A615E2"/>
    <w:rsid w:val="00A61B76"/>
    <w:rsid w:val="00A61F97"/>
    <w:rsid w:val="00A622AC"/>
    <w:rsid w:val="00A62C39"/>
    <w:rsid w:val="00A63392"/>
    <w:rsid w:val="00A63C58"/>
    <w:rsid w:val="00A64A69"/>
    <w:rsid w:val="00A64C29"/>
    <w:rsid w:val="00A64E69"/>
    <w:rsid w:val="00A6548B"/>
    <w:rsid w:val="00A65E48"/>
    <w:rsid w:val="00A65F6B"/>
    <w:rsid w:val="00A66009"/>
    <w:rsid w:val="00A665AF"/>
    <w:rsid w:val="00A66D60"/>
    <w:rsid w:val="00A67225"/>
    <w:rsid w:val="00A67340"/>
    <w:rsid w:val="00A6740B"/>
    <w:rsid w:val="00A67707"/>
    <w:rsid w:val="00A67726"/>
    <w:rsid w:val="00A67997"/>
    <w:rsid w:val="00A67B7B"/>
    <w:rsid w:val="00A67FB2"/>
    <w:rsid w:val="00A67FB8"/>
    <w:rsid w:val="00A700CC"/>
    <w:rsid w:val="00A71544"/>
    <w:rsid w:val="00A716FB"/>
    <w:rsid w:val="00A71813"/>
    <w:rsid w:val="00A719B7"/>
    <w:rsid w:val="00A729A6"/>
    <w:rsid w:val="00A72E86"/>
    <w:rsid w:val="00A73110"/>
    <w:rsid w:val="00A73304"/>
    <w:rsid w:val="00A74385"/>
    <w:rsid w:val="00A7451F"/>
    <w:rsid w:val="00A74746"/>
    <w:rsid w:val="00A749E6"/>
    <w:rsid w:val="00A75B6D"/>
    <w:rsid w:val="00A75DC4"/>
    <w:rsid w:val="00A7655F"/>
    <w:rsid w:val="00A76944"/>
    <w:rsid w:val="00A76C10"/>
    <w:rsid w:val="00A773C5"/>
    <w:rsid w:val="00A77656"/>
    <w:rsid w:val="00A77DA3"/>
    <w:rsid w:val="00A77F3E"/>
    <w:rsid w:val="00A801A7"/>
    <w:rsid w:val="00A803DD"/>
    <w:rsid w:val="00A80C30"/>
    <w:rsid w:val="00A818A7"/>
    <w:rsid w:val="00A8191D"/>
    <w:rsid w:val="00A8193E"/>
    <w:rsid w:val="00A81AE2"/>
    <w:rsid w:val="00A81FB2"/>
    <w:rsid w:val="00A8235E"/>
    <w:rsid w:val="00A829B7"/>
    <w:rsid w:val="00A83ADB"/>
    <w:rsid w:val="00A83BEE"/>
    <w:rsid w:val="00A83F44"/>
    <w:rsid w:val="00A84089"/>
    <w:rsid w:val="00A8481D"/>
    <w:rsid w:val="00A849C5"/>
    <w:rsid w:val="00A84C93"/>
    <w:rsid w:val="00A84DF0"/>
    <w:rsid w:val="00A8505E"/>
    <w:rsid w:val="00A85215"/>
    <w:rsid w:val="00A852B4"/>
    <w:rsid w:val="00A8543D"/>
    <w:rsid w:val="00A863F9"/>
    <w:rsid w:val="00A8646C"/>
    <w:rsid w:val="00A8693B"/>
    <w:rsid w:val="00A86F1D"/>
    <w:rsid w:val="00A87019"/>
    <w:rsid w:val="00A871A5"/>
    <w:rsid w:val="00A90750"/>
    <w:rsid w:val="00A9088D"/>
    <w:rsid w:val="00A90EC7"/>
    <w:rsid w:val="00A916F7"/>
    <w:rsid w:val="00A919E1"/>
    <w:rsid w:val="00A91C50"/>
    <w:rsid w:val="00A92100"/>
    <w:rsid w:val="00A92BB1"/>
    <w:rsid w:val="00A92E51"/>
    <w:rsid w:val="00A9357A"/>
    <w:rsid w:val="00A937E6"/>
    <w:rsid w:val="00A94104"/>
    <w:rsid w:val="00A946AC"/>
    <w:rsid w:val="00A947DB"/>
    <w:rsid w:val="00A94F60"/>
    <w:rsid w:val="00A956D7"/>
    <w:rsid w:val="00A95883"/>
    <w:rsid w:val="00A95CB6"/>
    <w:rsid w:val="00A95D96"/>
    <w:rsid w:val="00A95FF7"/>
    <w:rsid w:val="00A96843"/>
    <w:rsid w:val="00A96AFE"/>
    <w:rsid w:val="00A96CF8"/>
    <w:rsid w:val="00A96CFB"/>
    <w:rsid w:val="00A975A5"/>
    <w:rsid w:val="00A978FA"/>
    <w:rsid w:val="00A97F43"/>
    <w:rsid w:val="00AA03F7"/>
    <w:rsid w:val="00AA0E67"/>
    <w:rsid w:val="00AA0FA9"/>
    <w:rsid w:val="00AA12FA"/>
    <w:rsid w:val="00AA132E"/>
    <w:rsid w:val="00AA13FA"/>
    <w:rsid w:val="00AA14D4"/>
    <w:rsid w:val="00AA163E"/>
    <w:rsid w:val="00AA19EE"/>
    <w:rsid w:val="00AA2496"/>
    <w:rsid w:val="00AA2638"/>
    <w:rsid w:val="00AA2760"/>
    <w:rsid w:val="00AA299A"/>
    <w:rsid w:val="00AA2B62"/>
    <w:rsid w:val="00AA2D78"/>
    <w:rsid w:val="00AA3665"/>
    <w:rsid w:val="00AA39AD"/>
    <w:rsid w:val="00AA3BDE"/>
    <w:rsid w:val="00AA426A"/>
    <w:rsid w:val="00AA45EA"/>
    <w:rsid w:val="00AA4886"/>
    <w:rsid w:val="00AA49A8"/>
    <w:rsid w:val="00AA4BE9"/>
    <w:rsid w:val="00AA5220"/>
    <w:rsid w:val="00AA5226"/>
    <w:rsid w:val="00AA581B"/>
    <w:rsid w:val="00AA5829"/>
    <w:rsid w:val="00AA5B0C"/>
    <w:rsid w:val="00AB0C24"/>
    <w:rsid w:val="00AB0C31"/>
    <w:rsid w:val="00AB0D10"/>
    <w:rsid w:val="00AB0EFF"/>
    <w:rsid w:val="00AB147E"/>
    <w:rsid w:val="00AB17A7"/>
    <w:rsid w:val="00AB1DD4"/>
    <w:rsid w:val="00AB2988"/>
    <w:rsid w:val="00AB2A97"/>
    <w:rsid w:val="00AB3B07"/>
    <w:rsid w:val="00AB3CC7"/>
    <w:rsid w:val="00AB3DE9"/>
    <w:rsid w:val="00AB4B82"/>
    <w:rsid w:val="00AB51CA"/>
    <w:rsid w:val="00AB5305"/>
    <w:rsid w:val="00AB54CF"/>
    <w:rsid w:val="00AB58DF"/>
    <w:rsid w:val="00AB5FF8"/>
    <w:rsid w:val="00AB644A"/>
    <w:rsid w:val="00AB66DF"/>
    <w:rsid w:val="00AB71E6"/>
    <w:rsid w:val="00AC05B1"/>
    <w:rsid w:val="00AC0A7F"/>
    <w:rsid w:val="00AC0B98"/>
    <w:rsid w:val="00AC1EB8"/>
    <w:rsid w:val="00AC1F23"/>
    <w:rsid w:val="00AC20F5"/>
    <w:rsid w:val="00AC24BD"/>
    <w:rsid w:val="00AC2538"/>
    <w:rsid w:val="00AC253D"/>
    <w:rsid w:val="00AC26B9"/>
    <w:rsid w:val="00AC2B3F"/>
    <w:rsid w:val="00AC3C27"/>
    <w:rsid w:val="00AC3EE4"/>
    <w:rsid w:val="00AC4054"/>
    <w:rsid w:val="00AC405F"/>
    <w:rsid w:val="00AC4668"/>
    <w:rsid w:val="00AC46E6"/>
    <w:rsid w:val="00AC580B"/>
    <w:rsid w:val="00AC5AD2"/>
    <w:rsid w:val="00AC6056"/>
    <w:rsid w:val="00AC60F4"/>
    <w:rsid w:val="00AC71B6"/>
    <w:rsid w:val="00AC7630"/>
    <w:rsid w:val="00AC78E9"/>
    <w:rsid w:val="00AC7A5D"/>
    <w:rsid w:val="00AD0961"/>
    <w:rsid w:val="00AD0C93"/>
    <w:rsid w:val="00AD12C1"/>
    <w:rsid w:val="00AD1AF4"/>
    <w:rsid w:val="00AD21DF"/>
    <w:rsid w:val="00AD26D0"/>
    <w:rsid w:val="00AD2CD2"/>
    <w:rsid w:val="00AD2DE1"/>
    <w:rsid w:val="00AD328C"/>
    <w:rsid w:val="00AD344A"/>
    <w:rsid w:val="00AD3C14"/>
    <w:rsid w:val="00AD3E40"/>
    <w:rsid w:val="00AD4B2C"/>
    <w:rsid w:val="00AD5218"/>
    <w:rsid w:val="00AD528C"/>
    <w:rsid w:val="00AD54E5"/>
    <w:rsid w:val="00AD5665"/>
    <w:rsid w:val="00AD5D12"/>
    <w:rsid w:val="00AD64F7"/>
    <w:rsid w:val="00AD66FB"/>
    <w:rsid w:val="00AD6A2C"/>
    <w:rsid w:val="00AD72B4"/>
    <w:rsid w:val="00AD7530"/>
    <w:rsid w:val="00AD764B"/>
    <w:rsid w:val="00AD765A"/>
    <w:rsid w:val="00AD76D8"/>
    <w:rsid w:val="00AD78C6"/>
    <w:rsid w:val="00AD78DD"/>
    <w:rsid w:val="00AD7AA0"/>
    <w:rsid w:val="00AE001F"/>
    <w:rsid w:val="00AE01CB"/>
    <w:rsid w:val="00AE05DA"/>
    <w:rsid w:val="00AE08C6"/>
    <w:rsid w:val="00AE0EBE"/>
    <w:rsid w:val="00AE1168"/>
    <w:rsid w:val="00AE1485"/>
    <w:rsid w:val="00AE15D8"/>
    <w:rsid w:val="00AE1992"/>
    <w:rsid w:val="00AE26CB"/>
    <w:rsid w:val="00AE26F3"/>
    <w:rsid w:val="00AE2D9F"/>
    <w:rsid w:val="00AE33F6"/>
    <w:rsid w:val="00AE3630"/>
    <w:rsid w:val="00AE39C0"/>
    <w:rsid w:val="00AE3D4B"/>
    <w:rsid w:val="00AE4142"/>
    <w:rsid w:val="00AE4826"/>
    <w:rsid w:val="00AE4A6B"/>
    <w:rsid w:val="00AE4B23"/>
    <w:rsid w:val="00AE5174"/>
    <w:rsid w:val="00AE5D6F"/>
    <w:rsid w:val="00AE5DD1"/>
    <w:rsid w:val="00AE6166"/>
    <w:rsid w:val="00AE6359"/>
    <w:rsid w:val="00AE66F4"/>
    <w:rsid w:val="00AE6C57"/>
    <w:rsid w:val="00AE7015"/>
    <w:rsid w:val="00AE704E"/>
    <w:rsid w:val="00AE7271"/>
    <w:rsid w:val="00AE72FD"/>
    <w:rsid w:val="00AE77D7"/>
    <w:rsid w:val="00AE7B2A"/>
    <w:rsid w:val="00AF0F66"/>
    <w:rsid w:val="00AF11D9"/>
    <w:rsid w:val="00AF1567"/>
    <w:rsid w:val="00AF15F5"/>
    <w:rsid w:val="00AF18F5"/>
    <w:rsid w:val="00AF19CC"/>
    <w:rsid w:val="00AF220D"/>
    <w:rsid w:val="00AF2305"/>
    <w:rsid w:val="00AF2778"/>
    <w:rsid w:val="00AF2FD4"/>
    <w:rsid w:val="00AF3918"/>
    <w:rsid w:val="00AF396B"/>
    <w:rsid w:val="00AF3C6C"/>
    <w:rsid w:val="00AF3EF9"/>
    <w:rsid w:val="00AF41F7"/>
    <w:rsid w:val="00AF421D"/>
    <w:rsid w:val="00AF453B"/>
    <w:rsid w:val="00AF45EB"/>
    <w:rsid w:val="00AF47A3"/>
    <w:rsid w:val="00AF5150"/>
    <w:rsid w:val="00AF538D"/>
    <w:rsid w:val="00AF5A64"/>
    <w:rsid w:val="00AF5D83"/>
    <w:rsid w:val="00AF62D6"/>
    <w:rsid w:val="00AF6518"/>
    <w:rsid w:val="00AF7022"/>
    <w:rsid w:val="00AF781D"/>
    <w:rsid w:val="00AF7886"/>
    <w:rsid w:val="00B003F4"/>
    <w:rsid w:val="00B007E4"/>
    <w:rsid w:val="00B00B3F"/>
    <w:rsid w:val="00B011C2"/>
    <w:rsid w:val="00B01D7F"/>
    <w:rsid w:val="00B02927"/>
    <w:rsid w:val="00B036BA"/>
    <w:rsid w:val="00B03BCA"/>
    <w:rsid w:val="00B03C18"/>
    <w:rsid w:val="00B04160"/>
    <w:rsid w:val="00B0444D"/>
    <w:rsid w:val="00B05731"/>
    <w:rsid w:val="00B05CC4"/>
    <w:rsid w:val="00B05FE3"/>
    <w:rsid w:val="00B06528"/>
    <w:rsid w:val="00B06577"/>
    <w:rsid w:val="00B06662"/>
    <w:rsid w:val="00B07614"/>
    <w:rsid w:val="00B0796E"/>
    <w:rsid w:val="00B10F8B"/>
    <w:rsid w:val="00B11009"/>
    <w:rsid w:val="00B11670"/>
    <w:rsid w:val="00B12316"/>
    <w:rsid w:val="00B12942"/>
    <w:rsid w:val="00B12EAB"/>
    <w:rsid w:val="00B13444"/>
    <w:rsid w:val="00B136A1"/>
    <w:rsid w:val="00B13994"/>
    <w:rsid w:val="00B14245"/>
    <w:rsid w:val="00B154C2"/>
    <w:rsid w:val="00B15682"/>
    <w:rsid w:val="00B1571D"/>
    <w:rsid w:val="00B159EB"/>
    <w:rsid w:val="00B16573"/>
    <w:rsid w:val="00B16881"/>
    <w:rsid w:val="00B17036"/>
    <w:rsid w:val="00B17563"/>
    <w:rsid w:val="00B17CB2"/>
    <w:rsid w:val="00B2000B"/>
    <w:rsid w:val="00B2087D"/>
    <w:rsid w:val="00B21103"/>
    <w:rsid w:val="00B213A1"/>
    <w:rsid w:val="00B215AC"/>
    <w:rsid w:val="00B21712"/>
    <w:rsid w:val="00B2174B"/>
    <w:rsid w:val="00B21D4D"/>
    <w:rsid w:val="00B21DB0"/>
    <w:rsid w:val="00B2204B"/>
    <w:rsid w:val="00B22133"/>
    <w:rsid w:val="00B224DE"/>
    <w:rsid w:val="00B225C2"/>
    <w:rsid w:val="00B232DE"/>
    <w:rsid w:val="00B236B7"/>
    <w:rsid w:val="00B23A34"/>
    <w:rsid w:val="00B241BB"/>
    <w:rsid w:val="00B245A7"/>
    <w:rsid w:val="00B24AB9"/>
    <w:rsid w:val="00B2508F"/>
    <w:rsid w:val="00B255AD"/>
    <w:rsid w:val="00B25E43"/>
    <w:rsid w:val="00B26184"/>
    <w:rsid w:val="00B2666C"/>
    <w:rsid w:val="00B26699"/>
    <w:rsid w:val="00B26A00"/>
    <w:rsid w:val="00B26A3A"/>
    <w:rsid w:val="00B26CB9"/>
    <w:rsid w:val="00B274C1"/>
    <w:rsid w:val="00B277A6"/>
    <w:rsid w:val="00B27ACF"/>
    <w:rsid w:val="00B301E2"/>
    <w:rsid w:val="00B3069F"/>
    <w:rsid w:val="00B30A62"/>
    <w:rsid w:val="00B314B6"/>
    <w:rsid w:val="00B31A12"/>
    <w:rsid w:val="00B31B2F"/>
    <w:rsid w:val="00B31C00"/>
    <w:rsid w:val="00B31F40"/>
    <w:rsid w:val="00B3252E"/>
    <w:rsid w:val="00B3292D"/>
    <w:rsid w:val="00B33535"/>
    <w:rsid w:val="00B335CC"/>
    <w:rsid w:val="00B33770"/>
    <w:rsid w:val="00B33C9E"/>
    <w:rsid w:val="00B33FFD"/>
    <w:rsid w:val="00B3405A"/>
    <w:rsid w:val="00B34569"/>
    <w:rsid w:val="00B346F4"/>
    <w:rsid w:val="00B34819"/>
    <w:rsid w:val="00B35BF2"/>
    <w:rsid w:val="00B36549"/>
    <w:rsid w:val="00B366A5"/>
    <w:rsid w:val="00B36BC1"/>
    <w:rsid w:val="00B372DF"/>
    <w:rsid w:val="00B37427"/>
    <w:rsid w:val="00B40737"/>
    <w:rsid w:val="00B40AB9"/>
    <w:rsid w:val="00B417FD"/>
    <w:rsid w:val="00B41C0B"/>
    <w:rsid w:val="00B42395"/>
    <w:rsid w:val="00B42761"/>
    <w:rsid w:val="00B42880"/>
    <w:rsid w:val="00B42D3A"/>
    <w:rsid w:val="00B42D41"/>
    <w:rsid w:val="00B43196"/>
    <w:rsid w:val="00B432DD"/>
    <w:rsid w:val="00B43708"/>
    <w:rsid w:val="00B438FE"/>
    <w:rsid w:val="00B441D6"/>
    <w:rsid w:val="00B44B87"/>
    <w:rsid w:val="00B44F65"/>
    <w:rsid w:val="00B4523B"/>
    <w:rsid w:val="00B45346"/>
    <w:rsid w:val="00B45647"/>
    <w:rsid w:val="00B457FF"/>
    <w:rsid w:val="00B45BD7"/>
    <w:rsid w:val="00B45DB9"/>
    <w:rsid w:val="00B46ACA"/>
    <w:rsid w:val="00B472D1"/>
    <w:rsid w:val="00B47EFD"/>
    <w:rsid w:val="00B47F90"/>
    <w:rsid w:val="00B50135"/>
    <w:rsid w:val="00B507F8"/>
    <w:rsid w:val="00B50ABB"/>
    <w:rsid w:val="00B50C90"/>
    <w:rsid w:val="00B51363"/>
    <w:rsid w:val="00B51A6B"/>
    <w:rsid w:val="00B51A7B"/>
    <w:rsid w:val="00B51BA5"/>
    <w:rsid w:val="00B51D23"/>
    <w:rsid w:val="00B51D52"/>
    <w:rsid w:val="00B52D07"/>
    <w:rsid w:val="00B530DD"/>
    <w:rsid w:val="00B533D4"/>
    <w:rsid w:val="00B5364D"/>
    <w:rsid w:val="00B536A4"/>
    <w:rsid w:val="00B53734"/>
    <w:rsid w:val="00B5424F"/>
    <w:rsid w:val="00B54984"/>
    <w:rsid w:val="00B549C7"/>
    <w:rsid w:val="00B553FD"/>
    <w:rsid w:val="00B55DA7"/>
    <w:rsid w:val="00B56865"/>
    <w:rsid w:val="00B56F00"/>
    <w:rsid w:val="00B5708A"/>
    <w:rsid w:val="00B6024B"/>
    <w:rsid w:val="00B6063B"/>
    <w:rsid w:val="00B60FE5"/>
    <w:rsid w:val="00B614E6"/>
    <w:rsid w:val="00B617CA"/>
    <w:rsid w:val="00B618E5"/>
    <w:rsid w:val="00B619E1"/>
    <w:rsid w:val="00B61F2E"/>
    <w:rsid w:val="00B61FBC"/>
    <w:rsid w:val="00B630C2"/>
    <w:rsid w:val="00B63837"/>
    <w:rsid w:val="00B63991"/>
    <w:rsid w:val="00B6400D"/>
    <w:rsid w:val="00B64219"/>
    <w:rsid w:val="00B64311"/>
    <w:rsid w:val="00B644D5"/>
    <w:rsid w:val="00B65AEE"/>
    <w:rsid w:val="00B65E11"/>
    <w:rsid w:val="00B6623F"/>
    <w:rsid w:val="00B66378"/>
    <w:rsid w:val="00B663AD"/>
    <w:rsid w:val="00B669D0"/>
    <w:rsid w:val="00B66E65"/>
    <w:rsid w:val="00B67201"/>
    <w:rsid w:val="00B67E63"/>
    <w:rsid w:val="00B67EBE"/>
    <w:rsid w:val="00B701BC"/>
    <w:rsid w:val="00B710E1"/>
    <w:rsid w:val="00B7125E"/>
    <w:rsid w:val="00B712AD"/>
    <w:rsid w:val="00B7189D"/>
    <w:rsid w:val="00B71903"/>
    <w:rsid w:val="00B71BA0"/>
    <w:rsid w:val="00B71F77"/>
    <w:rsid w:val="00B72371"/>
    <w:rsid w:val="00B72492"/>
    <w:rsid w:val="00B72862"/>
    <w:rsid w:val="00B728A0"/>
    <w:rsid w:val="00B7291F"/>
    <w:rsid w:val="00B72F80"/>
    <w:rsid w:val="00B73022"/>
    <w:rsid w:val="00B73A31"/>
    <w:rsid w:val="00B73A84"/>
    <w:rsid w:val="00B73AB9"/>
    <w:rsid w:val="00B73BAA"/>
    <w:rsid w:val="00B7450B"/>
    <w:rsid w:val="00B745F9"/>
    <w:rsid w:val="00B75213"/>
    <w:rsid w:val="00B75800"/>
    <w:rsid w:val="00B758B3"/>
    <w:rsid w:val="00B7699D"/>
    <w:rsid w:val="00B76AF3"/>
    <w:rsid w:val="00B80463"/>
    <w:rsid w:val="00B80832"/>
    <w:rsid w:val="00B80EF7"/>
    <w:rsid w:val="00B82107"/>
    <w:rsid w:val="00B82767"/>
    <w:rsid w:val="00B82A63"/>
    <w:rsid w:val="00B82BEE"/>
    <w:rsid w:val="00B82C6A"/>
    <w:rsid w:val="00B83A44"/>
    <w:rsid w:val="00B84844"/>
    <w:rsid w:val="00B850AD"/>
    <w:rsid w:val="00B85404"/>
    <w:rsid w:val="00B854FD"/>
    <w:rsid w:val="00B85589"/>
    <w:rsid w:val="00B858B9"/>
    <w:rsid w:val="00B85A61"/>
    <w:rsid w:val="00B85AF4"/>
    <w:rsid w:val="00B86381"/>
    <w:rsid w:val="00B8716A"/>
    <w:rsid w:val="00B8730B"/>
    <w:rsid w:val="00B87BA8"/>
    <w:rsid w:val="00B87DA5"/>
    <w:rsid w:val="00B90160"/>
    <w:rsid w:val="00B9027B"/>
    <w:rsid w:val="00B9044A"/>
    <w:rsid w:val="00B90B8E"/>
    <w:rsid w:val="00B90BC9"/>
    <w:rsid w:val="00B91D99"/>
    <w:rsid w:val="00B91DBC"/>
    <w:rsid w:val="00B93E30"/>
    <w:rsid w:val="00B94B3B"/>
    <w:rsid w:val="00B94FAF"/>
    <w:rsid w:val="00B9534E"/>
    <w:rsid w:val="00B95B16"/>
    <w:rsid w:val="00B95D3C"/>
    <w:rsid w:val="00B95DEE"/>
    <w:rsid w:val="00B95FBC"/>
    <w:rsid w:val="00B9629F"/>
    <w:rsid w:val="00B964C1"/>
    <w:rsid w:val="00B96C7F"/>
    <w:rsid w:val="00B96F71"/>
    <w:rsid w:val="00B97E04"/>
    <w:rsid w:val="00B97EFE"/>
    <w:rsid w:val="00BA03F9"/>
    <w:rsid w:val="00BA0582"/>
    <w:rsid w:val="00BA0F54"/>
    <w:rsid w:val="00BA1278"/>
    <w:rsid w:val="00BA1A3D"/>
    <w:rsid w:val="00BA2780"/>
    <w:rsid w:val="00BA27A1"/>
    <w:rsid w:val="00BA2EA4"/>
    <w:rsid w:val="00BA2FA3"/>
    <w:rsid w:val="00BA35CE"/>
    <w:rsid w:val="00BA3861"/>
    <w:rsid w:val="00BA48DA"/>
    <w:rsid w:val="00BA4E0C"/>
    <w:rsid w:val="00BA50AF"/>
    <w:rsid w:val="00BA7193"/>
    <w:rsid w:val="00BA72EE"/>
    <w:rsid w:val="00BA7855"/>
    <w:rsid w:val="00BA7A15"/>
    <w:rsid w:val="00BA7F5B"/>
    <w:rsid w:val="00BA7F6B"/>
    <w:rsid w:val="00BB00C0"/>
    <w:rsid w:val="00BB01E8"/>
    <w:rsid w:val="00BB03B9"/>
    <w:rsid w:val="00BB070A"/>
    <w:rsid w:val="00BB09EE"/>
    <w:rsid w:val="00BB0DF2"/>
    <w:rsid w:val="00BB10D4"/>
    <w:rsid w:val="00BB1811"/>
    <w:rsid w:val="00BB1F58"/>
    <w:rsid w:val="00BB228A"/>
    <w:rsid w:val="00BB27F9"/>
    <w:rsid w:val="00BB3163"/>
    <w:rsid w:val="00BB3586"/>
    <w:rsid w:val="00BB3D34"/>
    <w:rsid w:val="00BB3D78"/>
    <w:rsid w:val="00BB3FFB"/>
    <w:rsid w:val="00BB47A5"/>
    <w:rsid w:val="00BB49DE"/>
    <w:rsid w:val="00BB4BA2"/>
    <w:rsid w:val="00BB53A4"/>
    <w:rsid w:val="00BB5571"/>
    <w:rsid w:val="00BB5842"/>
    <w:rsid w:val="00BB675E"/>
    <w:rsid w:val="00BB6C73"/>
    <w:rsid w:val="00BB71EA"/>
    <w:rsid w:val="00BB7417"/>
    <w:rsid w:val="00BB7723"/>
    <w:rsid w:val="00BB77C8"/>
    <w:rsid w:val="00BC059D"/>
    <w:rsid w:val="00BC059F"/>
    <w:rsid w:val="00BC0F77"/>
    <w:rsid w:val="00BC1140"/>
    <w:rsid w:val="00BC14E8"/>
    <w:rsid w:val="00BC28F2"/>
    <w:rsid w:val="00BC2D69"/>
    <w:rsid w:val="00BC397C"/>
    <w:rsid w:val="00BC4C4E"/>
    <w:rsid w:val="00BC6295"/>
    <w:rsid w:val="00BC65D1"/>
    <w:rsid w:val="00BC6B2C"/>
    <w:rsid w:val="00BC6D38"/>
    <w:rsid w:val="00BC6D9E"/>
    <w:rsid w:val="00BC77B3"/>
    <w:rsid w:val="00BC7BD9"/>
    <w:rsid w:val="00BC7F08"/>
    <w:rsid w:val="00BD0688"/>
    <w:rsid w:val="00BD0D5B"/>
    <w:rsid w:val="00BD116E"/>
    <w:rsid w:val="00BD15E2"/>
    <w:rsid w:val="00BD2071"/>
    <w:rsid w:val="00BD2171"/>
    <w:rsid w:val="00BD2548"/>
    <w:rsid w:val="00BD2D57"/>
    <w:rsid w:val="00BD2E9C"/>
    <w:rsid w:val="00BD30E0"/>
    <w:rsid w:val="00BD3788"/>
    <w:rsid w:val="00BD3887"/>
    <w:rsid w:val="00BD38A7"/>
    <w:rsid w:val="00BD44E4"/>
    <w:rsid w:val="00BD4E8E"/>
    <w:rsid w:val="00BD553F"/>
    <w:rsid w:val="00BD5E6A"/>
    <w:rsid w:val="00BD60C4"/>
    <w:rsid w:val="00BD654F"/>
    <w:rsid w:val="00BD69A7"/>
    <w:rsid w:val="00BD6E80"/>
    <w:rsid w:val="00BD6F33"/>
    <w:rsid w:val="00BD7201"/>
    <w:rsid w:val="00BD7358"/>
    <w:rsid w:val="00BD75B7"/>
    <w:rsid w:val="00BE00B6"/>
    <w:rsid w:val="00BE0393"/>
    <w:rsid w:val="00BE03EC"/>
    <w:rsid w:val="00BE087C"/>
    <w:rsid w:val="00BE0A74"/>
    <w:rsid w:val="00BE0FA1"/>
    <w:rsid w:val="00BE142A"/>
    <w:rsid w:val="00BE1492"/>
    <w:rsid w:val="00BE154D"/>
    <w:rsid w:val="00BE2225"/>
    <w:rsid w:val="00BE23E4"/>
    <w:rsid w:val="00BE2413"/>
    <w:rsid w:val="00BE264B"/>
    <w:rsid w:val="00BE2715"/>
    <w:rsid w:val="00BE2857"/>
    <w:rsid w:val="00BE293F"/>
    <w:rsid w:val="00BE2DD5"/>
    <w:rsid w:val="00BE32CC"/>
    <w:rsid w:val="00BE3E1F"/>
    <w:rsid w:val="00BE3E76"/>
    <w:rsid w:val="00BE4484"/>
    <w:rsid w:val="00BE470B"/>
    <w:rsid w:val="00BE4A8B"/>
    <w:rsid w:val="00BE4D7D"/>
    <w:rsid w:val="00BE4EE6"/>
    <w:rsid w:val="00BE5B51"/>
    <w:rsid w:val="00BE64E4"/>
    <w:rsid w:val="00BE6697"/>
    <w:rsid w:val="00BE68C0"/>
    <w:rsid w:val="00BE6972"/>
    <w:rsid w:val="00BE6FE2"/>
    <w:rsid w:val="00BE76BD"/>
    <w:rsid w:val="00BE78E2"/>
    <w:rsid w:val="00BE7DF5"/>
    <w:rsid w:val="00BF0265"/>
    <w:rsid w:val="00BF0567"/>
    <w:rsid w:val="00BF0579"/>
    <w:rsid w:val="00BF0B10"/>
    <w:rsid w:val="00BF0F26"/>
    <w:rsid w:val="00BF1061"/>
    <w:rsid w:val="00BF1B45"/>
    <w:rsid w:val="00BF1D40"/>
    <w:rsid w:val="00BF270A"/>
    <w:rsid w:val="00BF2A75"/>
    <w:rsid w:val="00BF2C7E"/>
    <w:rsid w:val="00BF2FD3"/>
    <w:rsid w:val="00BF3242"/>
    <w:rsid w:val="00BF342B"/>
    <w:rsid w:val="00BF427B"/>
    <w:rsid w:val="00BF48E5"/>
    <w:rsid w:val="00BF49BF"/>
    <w:rsid w:val="00BF530A"/>
    <w:rsid w:val="00BF5928"/>
    <w:rsid w:val="00BF5F90"/>
    <w:rsid w:val="00BF6021"/>
    <w:rsid w:val="00BF6B3E"/>
    <w:rsid w:val="00BF6C33"/>
    <w:rsid w:val="00BF6CC6"/>
    <w:rsid w:val="00BF71B4"/>
    <w:rsid w:val="00BF7242"/>
    <w:rsid w:val="00BF74D7"/>
    <w:rsid w:val="00BF7A11"/>
    <w:rsid w:val="00BF7EC3"/>
    <w:rsid w:val="00C006E1"/>
    <w:rsid w:val="00C00A8B"/>
    <w:rsid w:val="00C01DB8"/>
    <w:rsid w:val="00C02099"/>
    <w:rsid w:val="00C02AD1"/>
    <w:rsid w:val="00C03182"/>
    <w:rsid w:val="00C03F4F"/>
    <w:rsid w:val="00C04902"/>
    <w:rsid w:val="00C04904"/>
    <w:rsid w:val="00C050EB"/>
    <w:rsid w:val="00C0516F"/>
    <w:rsid w:val="00C051BD"/>
    <w:rsid w:val="00C05D10"/>
    <w:rsid w:val="00C05E84"/>
    <w:rsid w:val="00C06760"/>
    <w:rsid w:val="00C06B7D"/>
    <w:rsid w:val="00C06C4D"/>
    <w:rsid w:val="00C07D5B"/>
    <w:rsid w:val="00C07E04"/>
    <w:rsid w:val="00C07FAD"/>
    <w:rsid w:val="00C1006C"/>
    <w:rsid w:val="00C102E3"/>
    <w:rsid w:val="00C10460"/>
    <w:rsid w:val="00C10ED4"/>
    <w:rsid w:val="00C1105C"/>
    <w:rsid w:val="00C110D0"/>
    <w:rsid w:val="00C12A11"/>
    <w:rsid w:val="00C12A9D"/>
    <w:rsid w:val="00C12DFB"/>
    <w:rsid w:val="00C13256"/>
    <w:rsid w:val="00C141A3"/>
    <w:rsid w:val="00C14317"/>
    <w:rsid w:val="00C14680"/>
    <w:rsid w:val="00C14925"/>
    <w:rsid w:val="00C15102"/>
    <w:rsid w:val="00C15CEB"/>
    <w:rsid w:val="00C15E7A"/>
    <w:rsid w:val="00C16E89"/>
    <w:rsid w:val="00C178C1"/>
    <w:rsid w:val="00C1795B"/>
    <w:rsid w:val="00C17B28"/>
    <w:rsid w:val="00C20ACD"/>
    <w:rsid w:val="00C216ED"/>
    <w:rsid w:val="00C216F1"/>
    <w:rsid w:val="00C22056"/>
    <w:rsid w:val="00C228D0"/>
    <w:rsid w:val="00C22D28"/>
    <w:rsid w:val="00C22FF7"/>
    <w:rsid w:val="00C23092"/>
    <w:rsid w:val="00C234D9"/>
    <w:rsid w:val="00C2352B"/>
    <w:rsid w:val="00C23789"/>
    <w:rsid w:val="00C248E9"/>
    <w:rsid w:val="00C24A69"/>
    <w:rsid w:val="00C24EFE"/>
    <w:rsid w:val="00C25002"/>
    <w:rsid w:val="00C253C2"/>
    <w:rsid w:val="00C254C9"/>
    <w:rsid w:val="00C25864"/>
    <w:rsid w:val="00C26DA9"/>
    <w:rsid w:val="00C27135"/>
    <w:rsid w:val="00C2737D"/>
    <w:rsid w:val="00C275C4"/>
    <w:rsid w:val="00C276CF"/>
    <w:rsid w:val="00C3016C"/>
    <w:rsid w:val="00C30448"/>
    <w:rsid w:val="00C30AB2"/>
    <w:rsid w:val="00C30FF1"/>
    <w:rsid w:val="00C313C7"/>
    <w:rsid w:val="00C31915"/>
    <w:rsid w:val="00C31AE0"/>
    <w:rsid w:val="00C32067"/>
    <w:rsid w:val="00C32584"/>
    <w:rsid w:val="00C329A7"/>
    <w:rsid w:val="00C336C0"/>
    <w:rsid w:val="00C33884"/>
    <w:rsid w:val="00C33D6A"/>
    <w:rsid w:val="00C33FC1"/>
    <w:rsid w:val="00C3406C"/>
    <w:rsid w:val="00C34447"/>
    <w:rsid w:val="00C34656"/>
    <w:rsid w:val="00C34AC6"/>
    <w:rsid w:val="00C3508B"/>
    <w:rsid w:val="00C35263"/>
    <w:rsid w:val="00C354F3"/>
    <w:rsid w:val="00C36278"/>
    <w:rsid w:val="00C3628D"/>
    <w:rsid w:val="00C36D90"/>
    <w:rsid w:val="00C370B2"/>
    <w:rsid w:val="00C37361"/>
    <w:rsid w:val="00C376A4"/>
    <w:rsid w:val="00C406B1"/>
    <w:rsid w:val="00C40755"/>
    <w:rsid w:val="00C40FD0"/>
    <w:rsid w:val="00C415B3"/>
    <w:rsid w:val="00C41FA9"/>
    <w:rsid w:val="00C4298A"/>
    <w:rsid w:val="00C42D00"/>
    <w:rsid w:val="00C43C41"/>
    <w:rsid w:val="00C44277"/>
    <w:rsid w:val="00C44477"/>
    <w:rsid w:val="00C4467A"/>
    <w:rsid w:val="00C450CA"/>
    <w:rsid w:val="00C4539F"/>
    <w:rsid w:val="00C45C49"/>
    <w:rsid w:val="00C45FC9"/>
    <w:rsid w:val="00C463B3"/>
    <w:rsid w:val="00C47446"/>
    <w:rsid w:val="00C47668"/>
    <w:rsid w:val="00C47AE8"/>
    <w:rsid w:val="00C47C24"/>
    <w:rsid w:val="00C47D5E"/>
    <w:rsid w:val="00C5006C"/>
    <w:rsid w:val="00C50BBB"/>
    <w:rsid w:val="00C50DE0"/>
    <w:rsid w:val="00C51563"/>
    <w:rsid w:val="00C51AAF"/>
    <w:rsid w:val="00C51D98"/>
    <w:rsid w:val="00C5207E"/>
    <w:rsid w:val="00C523A3"/>
    <w:rsid w:val="00C5256E"/>
    <w:rsid w:val="00C5346D"/>
    <w:rsid w:val="00C53ED2"/>
    <w:rsid w:val="00C54656"/>
    <w:rsid w:val="00C548DA"/>
    <w:rsid w:val="00C54F93"/>
    <w:rsid w:val="00C55152"/>
    <w:rsid w:val="00C551ED"/>
    <w:rsid w:val="00C5609A"/>
    <w:rsid w:val="00C57EA9"/>
    <w:rsid w:val="00C60C2F"/>
    <w:rsid w:val="00C60DBE"/>
    <w:rsid w:val="00C61334"/>
    <w:rsid w:val="00C613F4"/>
    <w:rsid w:val="00C615E9"/>
    <w:rsid w:val="00C61712"/>
    <w:rsid w:val="00C61877"/>
    <w:rsid w:val="00C61B01"/>
    <w:rsid w:val="00C61FD2"/>
    <w:rsid w:val="00C623F8"/>
    <w:rsid w:val="00C626F9"/>
    <w:rsid w:val="00C62EC9"/>
    <w:rsid w:val="00C631F1"/>
    <w:rsid w:val="00C63293"/>
    <w:rsid w:val="00C632EE"/>
    <w:rsid w:val="00C636CD"/>
    <w:rsid w:val="00C63A28"/>
    <w:rsid w:val="00C64801"/>
    <w:rsid w:val="00C65E4A"/>
    <w:rsid w:val="00C667EF"/>
    <w:rsid w:val="00C6696D"/>
    <w:rsid w:val="00C67DAF"/>
    <w:rsid w:val="00C67FB0"/>
    <w:rsid w:val="00C700D6"/>
    <w:rsid w:val="00C7012B"/>
    <w:rsid w:val="00C7018F"/>
    <w:rsid w:val="00C70407"/>
    <w:rsid w:val="00C70414"/>
    <w:rsid w:val="00C707C5"/>
    <w:rsid w:val="00C7087F"/>
    <w:rsid w:val="00C70A10"/>
    <w:rsid w:val="00C70DC0"/>
    <w:rsid w:val="00C710C1"/>
    <w:rsid w:val="00C712D9"/>
    <w:rsid w:val="00C714B9"/>
    <w:rsid w:val="00C717C9"/>
    <w:rsid w:val="00C718F7"/>
    <w:rsid w:val="00C71929"/>
    <w:rsid w:val="00C7299D"/>
    <w:rsid w:val="00C72FC7"/>
    <w:rsid w:val="00C7327C"/>
    <w:rsid w:val="00C73700"/>
    <w:rsid w:val="00C73D50"/>
    <w:rsid w:val="00C74629"/>
    <w:rsid w:val="00C74BC4"/>
    <w:rsid w:val="00C75619"/>
    <w:rsid w:val="00C75761"/>
    <w:rsid w:val="00C764CF"/>
    <w:rsid w:val="00C767A1"/>
    <w:rsid w:val="00C767CC"/>
    <w:rsid w:val="00C7731B"/>
    <w:rsid w:val="00C77A77"/>
    <w:rsid w:val="00C803B6"/>
    <w:rsid w:val="00C80C97"/>
    <w:rsid w:val="00C80FF1"/>
    <w:rsid w:val="00C817CA"/>
    <w:rsid w:val="00C823B9"/>
    <w:rsid w:val="00C82508"/>
    <w:rsid w:val="00C82830"/>
    <w:rsid w:val="00C829A6"/>
    <w:rsid w:val="00C834F4"/>
    <w:rsid w:val="00C83672"/>
    <w:rsid w:val="00C83CE0"/>
    <w:rsid w:val="00C84FC8"/>
    <w:rsid w:val="00C8539D"/>
    <w:rsid w:val="00C86CF2"/>
    <w:rsid w:val="00C87575"/>
    <w:rsid w:val="00C876B8"/>
    <w:rsid w:val="00C87766"/>
    <w:rsid w:val="00C90D5A"/>
    <w:rsid w:val="00C9115F"/>
    <w:rsid w:val="00C918D1"/>
    <w:rsid w:val="00C9207B"/>
    <w:rsid w:val="00C92131"/>
    <w:rsid w:val="00C924AE"/>
    <w:rsid w:val="00C92725"/>
    <w:rsid w:val="00C928CB"/>
    <w:rsid w:val="00C92960"/>
    <w:rsid w:val="00C931C4"/>
    <w:rsid w:val="00C9363C"/>
    <w:rsid w:val="00C9380C"/>
    <w:rsid w:val="00C93DCC"/>
    <w:rsid w:val="00C949C4"/>
    <w:rsid w:val="00C94AE8"/>
    <w:rsid w:val="00C95913"/>
    <w:rsid w:val="00C95C05"/>
    <w:rsid w:val="00C95E5E"/>
    <w:rsid w:val="00C95EC5"/>
    <w:rsid w:val="00C962F2"/>
    <w:rsid w:val="00C96AD8"/>
    <w:rsid w:val="00C96E05"/>
    <w:rsid w:val="00C97171"/>
    <w:rsid w:val="00C9734F"/>
    <w:rsid w:val="00C97DCF"/>
    <w:rsid w:val="00C97E14"/>
    <w:rsid w:val="00CA0076"/>
    <w:rsid w:val="00CA00A0"/>
    <w:rsid w:val="00CA0157"/>
    <w:rsid w:val="00CA0800"/>
    <w:rsid w:val="00CA131A"/>
    <w:rsid w:val="00CA255D"/>
    <w:rsid w:val="00CA2597"/>
    <w:rsid w:val="00CA2A2E"/>
    <w:rsid w:val="00CA2DF1"/>
    <w:rsid w:val="00CA3825"/>
    <w:rsid w:val="00CA3D36"/>
    <w:rsid w:val="00CA40EC"/>
    <w:rsid w:val="00CA4379"/>
    <w:rsid w:val="00CA498C"/>
    <w:rsid w:val="00CA4C30"/>
    <w:rsid w:val="00CA52AD"/>
    <w:rsid w:val="00CA599F"/>
    <w:rsid w:val="00CA59F2"/>
    <w:rsid w:val="00CA5A7A"/>
    <w:rsid w:val="00CA5BCC"/>
    <w:rsid w:val="00CA5CBE"/>
    <w:rsid w:val="00CA5DF8"/>
    <w:rsid w:val="00CA6376"/>
    <w:rsid w:val="00CA646F"/>
    <w:rsid w:val="00CA67C8"/>
    <w:rsid w:val="00CA6D60"/>
    <w:rsid w:val="00CA6DEB"/>
    <w:rsid w:val="00CA7430"/>
    <w:rsid w:val="00CB0285"/>
    <w:rsid w:val="00CB040A"/>
    <w:rsid w:val="00CB0AC6"/>
    <w:rsid w:val="00CB1308"/>
    <w:rsid w:val="00CB1446"/>
    <w:rsid w:val="00CB16B3"/>
    <w:rsid w:val="00CB1931"/>
    <w:rsid w:val="00CB2719"/>
    <w:rsid w:val="00CB3C05"/>
    <w:rsid w:val="00CB3C8F"/>
    <w:rsid w:val="00CB3D19"/>
    <w:rsid w:val="00CB3D66"/>
    <w:rsid w:val="00CB4059"/>
    <w:rsid w:val="00CB4088"/>
    <w:rsid w:val="00CB48C1"/>
    <w:rsid w:val="00CB4DA9"/>
    <w:rsid w:val="00CB54AE"/>
    <w:rsid w:val="00CB60B5"/>
    <w:rsid w:val="00CB6653"/>
    <w:rsid w:val="00CB7450"/>
    <w:rsid w:val="00CB7C15"/>
    <w:rsid w:val="00CB7E44"/>
    <w:rsid w:val="00CC067B"/>
    <w:rsid w:val="00CC0BFD"/>
    <w:rsid w:val="00CC0C33"/>
    <w:rsid w:val="00CC12CB"/>
    <w:rsid w:val="00CC147F"/>
    <w:rsid w:val="00CC180D"/>
    <w:rsid w:val="00CC2275"/>
    <w:rsid w:val="00CC2382"/>
    <w:rsid w:val="00CC2F79"/>
    <w:rsid w:val="00CC3056"/>
    <w:rsid w:val="00CC3160"/>
    <w:rsid w:val="00CC394F"/>
    <w:rsid w:val="00CC3997"/>
    <w:rsid w:val="00CC3A40"/>
    <w:rsid w:val="00CC45BB"/>
    <w:rsid w:val="00CC4B5C"/>
    <w:rsid w:val="00CC55AB"/>
    <w:rsid w:val="00CC5ADC"/>
    <w:rsid w:val="00CC5D67"/>
    <w:rsid w:val="00CC72A9"/>
    <w:rsid w:val="00CC7B3F"/>
    <w:rsid w:val="00CC7C9B"/>
    <w:rsid w:val="00CC7FAF"/>
    <w:rsid w:val="00CC7FEC"/>
    <w:rsid w:val="00CD0235"/>
    <w:rsid w:val="00CD13E8"/>
    <w:rsid w:val="00CD1F94"/>
    <w:rsid w:val="00CD2063"/>
    <w:rsid w:val="00CD2589"/>
    <w:rsid w:val="00CD26AD"/>
    <w:rsid w:val="00CD2AF1"/>
    <w:rsid w:val="00CD309B"/>
    <w:rsid w:val="00CD313C"/>
    <w:rsid w:val="00CD3557"/>
    <w:rsid w:val="00CD39F8"/>
    <w:rsid w:val="00CD4476"/>
    <w:rsid w:val="00CD4B1C"/>
    <w:rsid w:val="00CD53FB"/>
    <w:rsid w:val="00CD56FA"/>
    <w:rsid w:val="00CD5837"/>
    <w:rsid w:val="00CD5B3A"/>
    <w:rsid w:val="00CD5CC8"/>
    <w:rsid w:val="00CD5F7C"/>
    <w:rsid w:val="00CD6319"/>
    <w:rsid w:val="00CD66AE"/>
    <w:rsid w:val="00CD69FA"/>
    <w:rsid w:val="00CD6CA7"/>
    <w:rsid w:val="00CD71AD"/>
    <w:rsid w:val="00CD72D7"/>
    <w:rsid w:val="00CD7452"/>
    <w:rsid w:val="00CD7E39"/>
    <w:rsid w:val="00CD7F6D"/>
    <w:rsid w:val="00CE0141"/>
    <w:rsid w:val="00CE0295"/>
    <w:rsid w:val="00CE067B"/>
    <w:rsid w:val="00CE0F74"/>
    <w:rsid w:val="00CE142C"/>
    <w:rsid w:val="00CE1506"/>
    <w:rsid w:val="00CE1E5F"/>
    <w:rsid w:val="00CE3892"/>
    <w:rsid w:val="00CE3D1F"/>
    <w:rsid w:val="00CE4680"/>
    <w:rsid w:val="00CE4709"/>
    <w:rsid w:val="00CE4D60"/>
    <w:rsid w:val="00CE5107"/>
    <w:rsid w:val="00CE5D37"/>
    <w:rsid w:val="00CE618C"/>
    <w:rsid w:val="00CE6365"/>
    <w:rsid w:val="00CE6616"/>
    <w:rsid w:val="00CE6CD6"/>
    <w:rsid w:val="00CE764A"/>
    <w:rsid w:val="00CE7A9B"/>
    <w:rsid w:val="00CE7BC2"/>
    <w:rsid w:val="00CE7F10"/>
    <w:rsid w:val="00CF0450"/>
    <w:rsid w:val="00CF0746"/>
    <w:rsid w:val="00CF09F6"/>
    <w:rsid w:val="00CF1571"/>
    <w:rsid w:val="00CF19DE"/>
    <w:rsid w:val="00CF1E2E"/>
    <w:rsid w:val="00CF26CA"/>
    <w:rsid w:val="00CF2E29"/>
    <w:rsid w:val="00CF3498"/>
    <w:rsid w:val="00CF34E9"/>
    <w:rsid w:val="00CF3B2B"/>
    <w:rsid w:val="00CF3DE7"/>
    <w:rsid w:val="00CF3ED0"/>
    <w:rsid w:val="00CF471D"/>
    <w:rsid w:val="00CF4845"/>
    <w:rsid w:val="00CF4B83"/>
    <w:rsid w:val="00CF55F2"/>
    <w:rsid w:val="00CF5C5F"/>
    <w:rsid w:val="00CF66C9"/>
    <w:rsid w:val="00CF6E69"/>
    <w:rsid w:val="00CF7094"/>
    <w:rsid w:val="00CF716F"/>
    <w:rsid w:val="00CF78F7"/>
    <w:rsid w:val="00CF7C03"/>
    <w:rsid w:val="00D003F2"/>
    <w:rsid w:val="00D00D48"/>
    <w:rsid w:val="00D00E52"/>
    <w:rsid w:val="00D01F7C"/>
    <w:rsid w:val="00D02321"/>
    <w:rsid w:val="00D02771"/>
    <w:rsid w:val="00D02773"/>
    <w:rsid w:val="00D02B6D"/>
    <w:rsid w:val="00D02C6C"/>
    <w:rsid w:val="00D02F03"/>
    <w:rsid w:val="00D03499"/>
    <w:rsid w:val="00D03E0B"/>
    <w:rsid w:val="00D04631"/>
    <w:rsid w:val="00D04A3D"/>
    <w:rsid w:val="00D04EED"/>
    <w:rsid w:val="00D050B4"/>
    <w:rsid w:val="00D0552E"/>
    <w:rsid w:val="00D05CA1"/>
    <w:rsid w:val="00D06943"/>
    <w:rsid w:val="00D07104"/>
    <w:rsid w:val="00D07242"/>
    <w:rsid w:val="00D07401"/>
    <w:rsid w:val="00D0754D"/>
    <w:rsid w:val="00D07941"/>
    <w:rsid w:val="00D10702"/>
    <w:rsid w:val="00D10C39"/>
    <w:rsid w:val="00D10E18"/>
    <w:rsid w:val="00D124C8"/>
    <w:rsid w:val="00D125C3"/>
    <w:rsid w:val="00D13135"/>
    <w:rsid w:val="00D1394F"/>
    <w:rsid w:val="00D1411D"/>
    <w:rsid w:val="00D14414"/>
    <w:rsid w:val="00D144A7"/>
    <w:rsid w:val="00D1498D"/>
    <w:rsid w:val="00D14DDC"/>
    <w:rsid w:val="00D1514B"/>
    <w:rsid w:val="00D15412"/>
    <w:rsid w:val="00D1541D"/>
    <w:rsid w:val="00D15520"/>
    <w:rsid w:val="00D15A82"/>
    <w:rsid w:val="00D15AC0"/>
    <w:rsid w:val="00D15FCA"/>
    <w:rsid w:val="00D16539"/>
    <w:rsid w:val="00D17947"/>
    <w:rsid w:val="00D17AEB"/>
    <w:rsid w:val="00D2037C"/>
    <w:rsid w:val="00D20603"/>
    <w:rsid w:val="00D21394"/>
    <w:rsid w:val="00D21CB8"/>
    <w:rsid w:val="00D21D6D"/>
    <w:rsid w:val="00D2204F"/>
    <w:rsid w:val="00D22107"/>
    <w:rsid w:val="00D225CE"/>
    <w:rsid w:val="00D22D8B"/>
    <w:rsid w:val="00D22F05"/>
    <w:rsid w:val="00D233E1"/>
    <w:rsid w:val="00D23656"/>
    <w:rsid w:val="00D237E9"/>
    <w:rsid w:val="00D239DD"/>
    <w:rsid w:val="00D243CD"/>
    <w:rsid w:val="00D24437"/>
    <w:rsid w:val="00D2476D"/>
    <w:rsid w:val="00D2533B"/>
    <w:rsid w:val="00D2561C"/>
    <w:rsid w:val="00D2674A"/>
    <w:rsid w:val="00D26D86"/>
    <w:rsid w:val="00D26E63"/>
    <w:rsid w:val="00D2704C"/>
    <w:rsid w:val="00D272AF"/>
    <w:rsid w:val="00D27B13"/>
    <w:rsid w:val="00D3020D"/>
    <w:rsid w:val="00D30328"/>
    <w:rsid w:val="00D30607"/>
    <w:rsid w:val="00D307A8"/>
    <w:rsid w:val="00D30D13"/>
    <w:rsid w:val="00D30D68"/>
    <w:rsid w:val="00D31F1D"/>
    <w:rsid w:val="00D3200B"/>
    <w:rsid w:val="00D3274A"/>
    <w:rsid w:val="00D32C45"/>
    <w:rsid w:val="00D32D95"/>
    <w:rsid w:val="00D331C9"/>
    <w:rsid w:val="00D334F6"/>
    <w:rsid w:val="00D33684"/>
    <w:rsid w:val="00D33B78"/>
    <w:rsid w:val="00D33F4D"/>
    <w:rsid w:val="00D34088"/>
    <w:rsid w:val="00D342CC"/>
    <w:rsid w:val="00D344DE"/>
    <w:rsid w:val="00D34815"/>
    <w:rsid w:val="00D351EB"/>
    <w:rsid w:val="00D354DC"/>
    <w:rsid w:val="00D36E6A"/>
    <w:rsid w:val="00D3783A"/>
    <w:rsid w:val="00D40E12"/>
    <w:rsid w:val="00D41ACC"/>
    <w:rsid w:val="00D41D78"/>
    <w:rsid w:val="00D426C9"/>
    <w:rsid w:val="00D42C09"/>
    <w:rsid w:val="00D42F72"/>
    <w:rsid w:val="00D437F0"/>
    <w:rsid w:val="00D43CDE"/>
    <w:rsid w:val="00D4400E"/>
    <w:rsid w:val="00D440A0"/>
    <w:rsid w:val="00D44A80"/>
    <w:rsid w:val="00D45496"/>
    <w:rsid w:val="00D454B9"/>
    <w:rsid w:val="00D45C26"/>
    <w:rsid w:val="00D45F33"/>
    <w:rsid w:val="00D45FBD"/>
    <w:rsid w:val="00D468AE"/>
    <w:rsid w:val="00D46D67"/>
    <w:rsid w:val="00D4756D"/>
    <w:rsid w:val="00D47C75"/>
    <w:rsid w:val="00D50BE9"/>
    <w:rsid w:val="00D50D59"/>
    <w:rsid w:val="00D51114"/>
    <w:rsid w:val="00D51354"/>
    <w:rsid w:val="00D51C23"/>
    <w:rsid w:val="00D52472"/>
    <w:rsid w:val="00D524DE"/>
    <w:rsid w:val="00D52803"/>
    <w:rsid w:val="00D53185"/>
    <w:rsid w:val="00D5383D"/>
    <w:rsid w:val="00D541A7"/>
    <w:rsid w:val="00D547D7"/>
    <w:rsid w:val="00D54AC9"/>
    <w:rsid w:val="00D54D76"/>
    <w:rsid w:val="00D54EA2"/>
    <w:rsid w:val="00D55214"/>
    <w:rsid w:val="00D553BC"/>
    <w:rsid w:val="00D5641B"/>
    <w:rsid w:val="00D568D8"/>
    <w:rsid w:val="00D573E7"/>
    <w:rsid w:val="00D5786E"/>
    <w:rsid w:val="00D57AA7"/>
    <w:rsid w:val="00D57E52"/>
    <w:rsid w:val="00D607DF"/>
    <w:rsid w:val="00D60BCE"/>
    <w:rsid w:val="00D60E52"/>
    <w:rsid w:val="00D610E4"/>
    <w:rsid w:val="00D61250"/>
    <w:rsid w:val="00D61879"/>
    <w:rsid w:val="00D61C68"/>
    <w:rsid w:val="00D61E4D"/>
    <w:rsid w:val="00D622A1"/>
    <w:rsid w:val="00D6275D"/>
    <w:rsid w:val="00D62A07"/>
    <w:rsid w:val="00D62BE7"/>
    <w:rsid w:val="00D62DC9"/>
    <w:rsid w:val="00D631D9"/>
    <w:rsid w:val="00D63265"/>
    <w:rsid w:val="00D63666"/>
    <w:rsid w:val="00D63886"/>
    <w:rsid w:val="00D641C9"/>
    <w:rsid w:val="00D65176"/>
    <w:rsid w:val="00D653E2"/>
    <w:rsid w:val="00D65C76"/>
    <w:rsid w:val="00D65DAA"/>
    <w:rsid w:val="00D66209"/>
    <w:rsid w:val="00D66D97"/>
    <w:rsid w:val="00D6747E"/>
    <w:rsid w:val="00D67C79"/>
    <w:rsid w:val="00D700AC"/>
    <w:rsid w:val="00D7078D"/>
    <w:rsid w:val="00D709CC"/>
    <w:rsid w:val="00D71245"/>
    <w:rsid w:val="00D71BCE"/>
    <w:rsid w:val="00D71C54"/>
    <w:rsid w:val="00D720F2"/>
    <w:rsid w:val="00D72107"/>
    <w:rsid w:val="00D72487"/>
    <w:rsid w:val="00D73020"/>
    <w:rsid w:val="00D730B1"/>
    <w:rsid w:val="00D74224"/>
    <w:rsid w:val="00D742F4"/>
    <w:rsid w:val="00D7487E"/>
    <w:rsid w:val="00D74C86"/>
    <w:rsid w:val="00D753C5"/>
    <w:rsid w:val="00D75F94"/>
    <w:rsid w:val="00D7690E"/>
    <w:rsid w:val="00D76BF5"/>
    <w:rsid w:val="00D76ED3"/>
    <w:rsid w:val="00D77257"/>
    <w:rsid w:val="00D77259"/>
    <w:rsid w:val="00D80392"/>
    <w:rsid w:val="00D80745"/>
    <w:rsid w:val="00D80D18"/>
    <w:rsid w:val="00D819EE"/>
    <w:rsid w:val="00D83175"/>
    <w:rsid w:val="00D835A3"/>
    <w:rsid w:val="00D8390F"/>
    <w:rsid w:val="00D84325"/>
    <w:rsid w:val="00D84CC7"/>
    <w:rsid w:val="00D85415"/>
    <w:rsid w:val="00D857B4"/>
    <w:rsid w:val="00D85CAE"/>
    <w:rsid w:val="00D85D87"/>
    <w:rsid w:val="00D8604E"/>
    <w:rsid w:val="00D86833"/>
    <w:rsid w:val="00D871DB"/>
    <w:rsid w:val="00D87EAB"/>
    <w:rsid w:val="00D90267"/>
    <w:rsid w:val="00D915A1"/>
    <w:rsid w:val="00D91C6A"/>
    <w:rsid w:val="00D91CD8"/>
    <w:rsid w:val="00D91D91"/>
    <w:rsid w:val="00D923E7"/>
    <w:rsid w:val="00D93823"/>
    <w:rsid w:val="00D93AF3"/>
    <w:rsid w:val="00D946C7"/>
    <w:rsid w:val="00D95120"/>
    <w:rsid w:val="00D951B0"/>
    <w:rsid w:val="00D955A9"/>
    <w:rsid w:val="00D958C1"/>
    <w:rsid w:val="00D95C75"/>
    <w:rsid w:val="00D95E17"/>
    <w:rsid w:val="00D9625E"/>
    <w:rsid w:val="00D9632E"/>
    <w:rsid w:val="00D966C3"/>
    <w:rsid w:val="00D966FC"/>
    <w:rsid w:val="00D96745"/>
    <w:rsid w:val="00D96DC7"/>
    <w:rsid w:val="00D972DC"/>
    <w:rsid w:val="00D9738F"/>
    <w:rsid w:val="00D977F8"/>
    <w:rsid w:val="00DA01B5"/>
    <w:rsid w:val="00DA069A"/>
    <w:rsid w:val="00DA08C8"/>
    <w:rsid w:val="00DA090A"/>
    <w:rsid w:val="00DA17F7"/>
    <w:rsid w:val="00DA19D8"/>
    <w:rsid w:val="00DA1BDF"/>
    <w:rsid w:val="00DA2002"/>
    <w:rsid w:val="00DA23D0"/>
    <w:rsid w:val="00DA24CE"/>
    <w:rsid w:val="00DA25F8"/>
    <w:rsid w:val="00DA2799"/>
    <w:rsid w:val="00DA2D65"/>
    <w:rsid w:val="00DA2E5C"/>
    <w:rsid w:val="00DA32F5"/>
    <w:rsid w:val="00DA36A6"/>
    <w:rsid w:val="00DA37C8"/>
    <w:rsid w:val="00DA3829"/>
    <w:rsid w:val="00DA3E76"/>
    <w:rsid w:val="00DA4873"/>
    <w:rsid w:val="00DA4892"/>
    <w:rsid w:val="00DA5524"/>
    <w:rsid w:val="00DA62B0"/>
    <w:rsid w:val="00DA660B"/>
    <w:rsid w:val="00DA6AD3"/>
    <w:rsid w:val="00DA6DA4"/>
    <w:rsid w:val="00DA721E"/>
    <w:rsid w:val="00DA73C1"/>
    <w:rsid w:val="00DA7799"/>
    <w:rsid w:val="00DA78D5"/>
    <w:rsid w:val="00DB0D85"/>
    <w:rsid w:val="00DB0F91"/>
    <w:rsid w:val="00DB1038"/>
    <w:rsid w:val="00DB2DAC"/>
    <w:rsid w:val="00DB3673"/>
    <w:rsid w:val="00DB3D09"/>
    <w:rsid w:val="00DB49A6"/>
    <w:rsid w:val="00DB4E3E"/>
    <w:rsid w:val="00DB5284"/>
    <w:rsid w:val="00DB5593"/>
    <w:rsid w:val="00DB5A23"/>
    <w:rsid w:val="00DB608E"/>
    <w:rsid w:val="00DB65E2"/>
    <w:rsid w:val="00DB6735"/>
    <w:rsid w:val="00DB7255"/>
    <w:rsid w:val="00DB759B"/>
    <w:rsid w:val="00DB795E"/>
    <w:rsid w:val="00DB7B4A"/>
    <w:rsid w:val="00DC037A"/>
    <w:rsid w:val="00DC147D"/>
    <w:rsid w:val="00DC1D61"/>
    <w:rsid w:val="00DC24F3"/>
    <w:rsid w:val="00DC2639"/>
    <w:rsid w:val="00DC30D7"/>
    <w:rsid w:val="00DC33D8"/>
    <w:rsid w:val="00DC3442"/>
    <w:rsid w:val="00DC3B23"/>
    <w:rsid w:val="00DC4097"/>
    <w:rsid w:val="00DC4428"/>
    <w:rsid w:val="00DC5128"/>
    <w:rsid w:val="00DC53B9"/>
    <w:rsid w:val="00DC618B"/>
    <w:rsid w:val="00DC68FE"/>
    <w:rsid w:val="00DC69ED"/>
    <w:rsid w:val="00DC6BFD"/>
    <w:rsid w:val="00DC6EE8"/>
    <w:rsid w:val="00DC7057"/>
    <w:rsid w:val="00DC70BB"/>
    <w:rsid w:val="00DC7266"/>
    <w:rsid w:val="00DC759F"/>
    <w:rsid w:val="00DD0123"/>
    <w:rsid w:val="00DD04E2"/>
    <w:rsid w:val="00DD0586"/>
    <w:rsid w:val="00DD14BF"/>
    <w:rsid w:val="00DD1A05"/>
    <w:rsid w:val="00DD1C10"/>
    <w:rsid w:val="00DD1DB1"/>
    <w:rsid w:val="00DD2172"/>
    <w:rsid w:val="00DD22FB"/>
    <w:rsid w:val="00DD2ED1"/>
    <w:rsid w:val="00DD2F58"/>
    <w:rsid w:val="00DD42A0"/>
    <w:rsid w:val="00DD5B20"/>
    <w:rsid w:val="00DD5E85"/>
    <w:rsid w:val="00DD604F"/>
    <w:rsid w:val="00DD6050"/>
    <w:rsid w:val="00DD611C"/>
    <w:rsid w:val="00DD6A5C"/>
    <w:rsid w:val="00DD6AFF"/>
    <w:rsid w:val="00DD6F6B"/>
    <w:rsid w:val="00DD71A6"/>
    <w:rsid w:val="00DD7DE7"/>
    <w:rsid w:val="00DD7EE8"/>
    <w:rsid w:val="00DD7FBC"/>
    <w:rsid w:val="00DE07E5"/>
    <w:rsid w:val="00DE0D29"/>
    <w:rsid w:val="00DE0FD9"/>
    <w:rsid w:val="00DE10AD"/>
    <w:rsid w:val="00DE13BA"/>
    <w:rsid w:val="00DE1504"/>
    <w:rsid w:val="00DE1C14"/>
    <w:rsid w:val="00DE3116"/>
    <w:rsid w:val="00DE3DEE"/>
    <w:rsid w:val="00DE45E4"/>
    <w:rsid w:val="00DE4886"/>
    <w:rsid w:val="00DE48E2"/>
    <w:rsid w:val="00DE4B1E"/>
    <w:rsid w:val="00DE4E25"/>
    <w:rsid w:val="00DE56CD"/>
    <w:rsid w:val="00DE67F8"/>
    <w:rsid w:val="00DE7021"/>
    <w:rsid w:val="00DE717E"/>
    <w:rsid w:val="00DE7AC4"/>
    <w:rsid w:val="00DF05D2"/>
    <w:rsid w:val="00DF1080"/>
    <w:rsid w:val="00DF17D6"/>
    <w:rsid w:val="00DF18BA"/>
    <w:rsid w:val="00DF1A01"/>
    <w:rsid w:val="00DF1BFC"/>
    <w:rsid w:val="00DF220F"/>
    <w:rsid w:val="00DF2536"/>
    <w:rsid w:val="00DF34B5"/>
    <w:rsid w:val="00DF3751"/>
    <w:rsid w:val="00DF3E09"/>
    <w:rsid w:val="00DF41C1"/>
    <w:rsid w:val="00DF48A8"/>
    <w:rsid w:val="00DF4967"/>
    <w:rsid w:val="00DF4C25"/>
    <w:rsid w:val="00DF5128"/>
    <w:rsid w:val="00DF56E1"/>
    <w:rsid w:val="00DF62B0"/>
    <w:rsid w:val="00DF6479"/>
    <w:rsid w:val="00DF6DFD"/>
    <w:rsid w:val="00DF6E43"/>
    <w:rsid w:val="00DF6F41"/>
    <w:rsid w:val="00DF7EF5"/>
    <w:rsid w:val="00E00016"/>
    <w:rsid w:val="00E00E94"/>
    <w:rsid w:val="00E0114B"/>
    <w:rsid w:val="00E01150"/>
    <w:rsid w:val="00E015E4"/>
    <w:rsid w:val="00E01600"/>
    <w:rsid w:val="00E01611"/>
    <w:rsid w:val="00E01C7F"/>
    <w:rsid w:val="00E02645"/>
    <w:rsid w:val="00E02873"/>
    <w:rsid w:val="00E03033"/>
    <w:rsid w:val="00E03060"/>
    <w:rsid w:val="00E03754"/>
    <w:rsid w:val="00E0425C"/>
    <w:rsid w:val="00E04276"/>
    <w:rsid w:val="00E042FF"/>
    <w:rsid w:val="00E04B1A"/>
    <w:rsid w:val="00E0520F"/>
    <w:rsid w:val="00E069BE"/>
    <w:rsid w:val="00E06BA6"/>
    <w:rsid w:val="00E06C63"/>
    <w:rsid w:val="00E07F17"/>
    <w:rsid w:val="00E10B93"/>
    <w:rsid w:val="00E10C73"/>
    <w:rsid w:val="00E10E39"/>
    <w:rsid w:val="00E11147"/>
    <w:rsid w:val="00E11973"/>
    <w:rsid w:val="00E11A52"/>
    <w:rsid w:val="00E11B9F"/>
    <w:rsid w:val="00E11DE5"/>
    <w:rsid w:val="00E12F86"/>
    <w:rsid w:val="00E13017"/>
    <w:rsid w:val="00E13678"/>
    <w:rsid w:val="00E14CCD"/>
    <w:rsid w:val="00E15354"/>
    <w:rsid w:val="00E1548D"/>
    <w:rsid w:val="00E15DDE"/>
    <w:rsid w:val="00E15E64"/>
    <w:rsid w:val="00E1640F"/>
    <w:rsid w:val="00E168C3"/>
    <w:rsid w:val="00E16907"/>
    <w:rsid w:val="00E16E10"/>
    <w:rsid w:val="00E1747F"/>
    <w:rsid w:val="00E17597"/>
    <w:rsid w:val="00E175DC"/>
    <w:rsid w:val="00E177C7"/>
    <w:rsid w:val="00E1797C"/>
    <w:rsid w:val="00E20082"/>
    <w:rsid w:val="00E2031A"/>
    <w:rsid w:val="00E20326"/>
    <w:rsid w:val="00E20CA4"/>
    <w:rsid w:val="00E20D1B"/>
    <w:rsid w:val="00E215C9"/>
    <w:rsid w:val="00E2164E"/>
    <w:rsid w:val="00E2235A"/>
    <w:rsid w:val="00E23952"/>
    <w:rsid w:val="00E23C30"/>
    <w:rsid w:val="00E24143"/>
    <w:rsid w:val="00E24927"/>
    <w:rsid w:val="00E250E7"/>
    <w:rsid w:val="00E25211"/>
    <w:rsid w:val="00E25555"/>
    <w:rsid w:val="00E25752"/>
    <w:rsid w:val="00E25CE1"/>
    <w:rsid w:val="00E25D2A"/>
    <w:rsid w:val="00E25D9A"/>
    <w:rsid w:val="00E26611"/>
    <w:rsid w:val="00E26CBC"/>
    <w:rsid w:val="00E26DF7"/>
    <w:rsid w:val="00E27163"/>
    <w:rsid w:val="00E27404"/>
    <w:rsid w:val="00E27CE6"/>
    <w:rsid w:val="00E27D22"/>
    <w:rsid w:val="00E301C4"/>
    <w:rsid w:val="00E301C9"/>
    <w:rsid w:val="00E30406"/>
    <w:rsid w:val="00E30743"/>
    <w:rsid w:val="00E30907"/>
    <w:rsid w:val="00E31883"/>
    <w:rsid w:val="00E3226F"/>
    <w:rsid w:val="00E33111"/>
    <w:rsid w:val="00E33B7D"/>
    <w:rsid w:val="00E3432E"/>
    <w:rsid w:val="00E34431"/>
    <w:rsid w:val="00E352F7"/>
    <w:rsid w:val="00E35D09"/>
    <w:rsid w:val="00E35F51"/>
    <w:rsid w:val="00E36773"/>
    <w:rsid w:val="00E369C2"/>
    <w:rsid w:val="00E36B3A"/>
    <w:rsid w:val="00E37127"/>
    <w:rsid w:val="00E3785B"/>
    <w:rsid w:val="00E400CE"/>
    <w:rsid w:val="00E4091F"/>
    <w:rsid w:val="00E41314"/>
    <w:rsid w:val="00E419C5"/>
    <w:rsid w:val="00E41E15"/>
    <w:rsid w:val="00E43050"/>
    <w:rsid w:val="00E43402"/>
    <w:rsid w:val="00E43986"/>
    <w:rsid w:val="00E448CE"/>
    <w:rsid w:val="00E44E67"/>
    <w:rsid w:val="00E454BB"/>
    <w:rsid w:val="00E45B96"/>
    <w:rsid w:val="00E45DB4"/>
    <w:rsid w:val="00E462EF"/>
    <w:rsid w:val="00E4659D"/>
    <w:rsid w:val="00E466B5"/>
    <w:rsid w:val="00E46CA3"/>
    <w:rsid w:val="00E46CB0"/>
    <w:rsid w:val="00E47188"/>
    <w:rsid w:val="00E47528"/>
    <w:rsid w:val="00E47DE8"/>
    <w:rsid w:val="00E50130"/>
    <w:rsid w:val="00E50273"/>
    <w:rsid w:val="00E503A2"/>
    <w:rsid w:val="00E50597"/>
    <w:rsid w:val="00E5072C"/>
    <w:rsid w:val="00E50E74"/>
    <w:rsid w:val="00E50F98"/>
    <w:rsid w:val="00E51A7E"/>
    <w:rsid w:val="00E520BE"/>
    <w:rsid w:val="00E525F8"/>
    <w:rsid w:val="00E528AA"/>
    <w:rsid w:val="00E52A40"/>
    <w:rsid w:val="00E5344C"/>
    <w:rsid w:val="00E5389A"/>
    <w:rsid w:val="00E53FE2"/>
    <w:rsid w:val="00E5424B"/>
    <w:rsid w:val="00E54423"/>
    <w:rsid w:val="00E54436"/>
    <w:rsid w:val="00E54615"/>
    <w:rsid w:val="00E5468D"/>
    <w:rsid w:val="00E548F5"/>
    <w:rsid w:val="00E55CA6"/>
    <w:rsid w:val="00E55E7A"/>
    <w:rsid w:val="00E56759"/>
    <w:rsid w:val="00E570C8"/>
    <w:rsid w:val="00E574A3"/>
    <w:rsid w:val="00E60204"/>
    <w:rsid w:val="00E60576"/>
    <w:rsid w:val="00E615A5"/>
    <w:rsid w:val="00E617E5"/>
    <w:rsid w:val="00E61D00"/>
    <w:rsid w:val="00E61ED8"/>
    <w:rsid w:val="00E62991"/>
    <w:rsid w:val="00E630C4"/>
    <w:rsid w:val="00E63364"/>
    <w:rsid w:val="00E63E3A"/>
    <w:rsid w:val="00E64D1F"/>
    <w:rsid w:val="00E66678"/>
    <w:rsid w:val="00E668FA"/>
    <w:rsid w:val="00E66962"/>
    <w:rsid w:val="00E66A69"/>
    <w:rsid w:val="00E705E5"/>
    <w:rsid w:val="00E707B0"/>
    <w:rsid w:val="00E7152C"/>
    <w:rsid w:val="00E7228E"/>
    <w:rsid w:val="00E72EA5"/>
    <w:rsid w:val="00E73330"/>
    <w:rsid w:val="00E73539"/>
    <w:rsid w:val="00E73AFC"/>
    <w:rsid w:val="00E73BE2"/>
    <w:rsid w:val="00E74688"/>
    <w:rsid w:val="00E753CB"/>
    <w:rsid w:val="00E75E07"/>
    <w:rsid w:val="00E75F44"/>
    <w:rsid w:val="00E76346"/>
    <w:rsid w:val="00E763AA"/>
    <w:rsid w:val="00E76548"/>
    <w:rsid w:val="00E77702"/>
    <w:rsid w:val="00E80A24"/>
    <w:rsid w:val="00E80C85"/>
    <w:rsid w:val="00E80E34"/>
    <w:rsid w:val="00E810F1"/>
    <w:rsid w:val="00E81311"/>
    <w:rsid w:val="00E818C4"/>
    <w:rsid w:val="00E818C6"/>
    <w:rsid w:val="00E81B98"/>
    <w:rsid w:val="00E81C1D"/>
    <w:rsid w:val="00E8208A"/>
    <w:rsid w:val="00E82C38"/>
    <w:rsid w:val="00E82FFE"/>
    <w:rsid w:val="00E8386F"/>
    <w:rsid w:val="00E83C11"/>
    <w:rsid w:val="00E8418D"/>
    <w:rsid w:val="00E8420A"/>
    <w:rsid w:val="00E849A4"/>
    <w:rsid w:val="00E84B4E"/>
    <w:rsid w:val="00E84C38"/>
    <w:rsid w:val="00E84DD6"/>
    <w:rsid w:val="00E8564A"/>
    <w:rsid w:val="00E85A98"/>
    <w:rsid w:val="00E861AD"/>
    <w:rsid w:val="00E863D2"/>
    <w:rsid w:val="00E864EA"/>
    <w:rsid w:val="00E865F4"/>
    <w:rsid w:val="00E868D9"/>
    <w:rsid w:val="00E86C6F"/>
    <w:rsid w:val="00E87416"/>
    <w:rsid w:val="00E8758E"/>
    <w:rsid w:val="00E8765E"/>
    <w:rsid w:val="00E87708"/>
    <w:rsid w:val="00E87D71"/>
    <w:rsid w:val="00E900EE"/>
    <w:rsid w:val="00E90185"/>
    <w:rsid w:val="00E90DEC"/>
    <w:rsid w:val="00E91374"/>
    <w:rsid w:val="00E91A0A"/>
    <w:rsid w:val="00E91B54"/>
    <w:rsid w:val="00E92509"/>
    <w:rsid w:val="00E9273D"/>
    <w:rsid w:val="00E93279"/>
    <w:rsid w:val="00E93456"/>
    <w:rsid w:val="00E936EF"/>
    <w:rsid w:val="00E93804"/>
    <w:rsid w:val="00E938C5"/>
    <w:rsid w:val="00E93E27"/>
    <w:rsid w:val="00E93F1F"/>
    <w:rsid w:val="00E94C2A"/>
    <w:rsid w:val="00E950AB"/>
    <w:rsid w:val="00E95743"/>
    <w:rsid w:val="00E95767"/>
    <w:rsid w:val="00E95CE1"/>
    <w:rsid w:val="00E95EF9"/>
    <w:rsid w:val="00E95F82"/>
    <w:rsid w:val="00E960F1"/>
    <w:rsid w:val="00E97ADF"/>
    <w:rsid w:val="00EA02CB"/>
    <w:rsid w:val="00EA047A"/>
    <w:rsid w:val="00EA0580"/>
    <w:rsid w:val="00EA07D4"/>
    <w:rsid w:val="00EA081E"/>
    <w:rsid w:val="00EA1012"/>
    <w:rsid w:val="00EA10DC"/>
    <w:rsid w:val="00EA168A"/>
    <w:rsid w:val="00EA1889"/>
    <w:rsid w:val="00EA1E6D"/>
    <w:rsid w:val="00EA20F4"/>
    <w:rsid w:val="00EA235C"/>
    <w:rsid w:val="00EA2737"/>
    <w:rsid w:val="00EA31F2"/>
    <w:rsid w:val="00EA3A32"/>
    <w:rsid w:val="00EA405D"/>
    <w:rsid w:val="00EA4910"/>
    <w:rsid w:val="00EA4A89"/>
    <w:rsid w:val="00EA4BE3"/>
    <w:rsid w:val="00EA4DBD"/>
    <w:rsid w:val="00EA4E66"/>
    <w:rsid w:val="00EA4E6D"/>
    <w:rsid w:val="00EA51BA"/>
    <w:rsid w:val="00EA5445"/>
    <w:rsid w:val="00EA568C"/>
    <w:rsid w:val="00EA5A76"/>
    <w:rsid w:val="00EA6052"/>
    <w:rsid w:val="00EA7287"/>
    <w:rsid w:val="00EA7B3B"/>
    <w:rsid w:val="00EA7E47"/>
    <w:rsid w:val="00EB011A"/>
    <w:rsid w:val="00EB04BF"/>
    <w:rsid w:val="00EB09AF"/>
    <w:rsid w:val="00EB0C08"/>
    <w:rsid w:val="00EB0C53"/>
    <w:rsid w:val="00EB13AD"/>
    <w:rsid w:val="00EB23FD"/>
    <w:rsid w:val="00EB25D7"/>
    <w:rsid w:val="00EB31EA"/>
    <w:rsid w:val="00EB3BA4"/>
    <w:rsid w:val="00EB42FE"/>
    <w:rsid w:val="00EB44FD"/>
    <w:rsid w:val="00EB4B14"/>
    <w:rsid w:val="00EB4F01"/>
    <w:rsid w:val="00EB513A"/>
    <w:rsid w:val="00EB5670"/>
    <w:rsid w:val="00EB56E5"/>
    <w:rsid w:val="00EB6238"/>
    <w:rsid w:val="00EB6323"/>
    <w:rsid w:val="00EB6398"/>
    <w:rsid w:val="00EB746C"/>
    <w:rsid w:val="00EB7F6C"/>
    <w:rsid w:val="00EC03CA"/>
    <w:rsid w:val="00EC0B7C"/>
    <w:rsid w:val="00EC146A"/>
    <w:rsid w:val="00EC22AF"/>
    <w:rsid w:val="00EC2517"/>
    <w:rsid w:val="00EC26AD"/>
    <w:rsid w:val="00EC3515"/>
    <w:rsid w:val="00EC5712"/>
    <w:rsid w:val="00EC5900"/>
    <w:rsid w:val="00EC5E04"/>
    <w:rsid w:val="00EC6C78"/>
    <w:rsid w:val="00EC7362"/>
    <w:rsid w:val="00EC7937"/>
    <w:rsid w:val="00EC7FCA"/>
    <w:rsid w:val="00ED01AF"/>
    <w:rsid w:val="00ED035B"/>
    <w:rsid w:val="00ED08C5"/>
    <w:rsid w:val="00ED0ADE"/>
    <w:rsid w:val="00ED0B1B"/>
    <w:rsid w:val="00ED0F27"/>
    <w:rsid w:val="00ED12E0"/>
    <w:rsid w:val="00ED1C3C"/>
    <w:rsid w:val="00ED1D03"/>
    <w:rsid w:val="00ED273B"/>
    <w:rsid w:val="00ED2CDC"/>
    <w:rsid w:val="00ED2FF3"/>
    <w:rsid w:val="00ED342E"/>
    <w:rsid w:val="00ED34CF"/>
    <w:rsid w:val="00ED3A0D"/>
    <w:rsid w:val="00ED3E2F"/>
    <w:rsid w:val="00ED44A6"/>
    <w:rsid w:val="00ED47D6"/>
    <w:rsid w:val="00ED4B03"/>
    <w:rsid w:val="00ED5317"/>
    <w:rsid w:val="00ED547D"/>
    <w:rsid w:val="00ED5971"/>
    <w:rsid w:val="00ED5A14"/>
    <w:rsid w:val="00ED5F4D"/>
    <w:rsid w:val="00ED6D97"/>
    <w:rsid w:val="00ED6F95"/>
    <w:rsid w:val="00ED7135"/>
    <w:rsid w:val="00ED715C"/>
    <w:rsid w:val="00ED74C6"/>
    <w:rsid w:val="00ED7B48"/>
    <w:rsid w:val="00EE002F"/>
    <w:rsid w:val="00EE01B1"/>
    <w:rsid w:val="00EE0CB7"/>
    <w:rsid w:val="00EE1452"/>
    <w:rsid w:val="00EE1A41"/>
    <w:rsid w:val="00EE1F91"/>
    <w:rsid w:val="00EE2102"/>
    <w:rsid w:val="00EE2211"/>
    <w:rsid w:val="00EE23E5"/>
    <w:rsid w:val="00EE29F3"/>
    <w:rsid w:val="00EE2D74"/>
    <w:rsid w:val="00EE3B7D"/>
    <w:rsid w:val="00EE3F17"/>
    <w:rsid w:val="00EE3F6A"/>
    <w:rsid w:val="00EE4330"/>
    <w:rsid w:val="00EE4CDE"/>
    <w:rsid w:val="00EE4D5A"/>
    <w:rsid w:val="00EE4F9B"/>
    <w:rsid w:val="00EE5944"/>
    <w:rsid w:val="00EE6570"/>
    <w:rsid w:val="00EE7610"/>
    <w:rsid w:val="00EE7632"/>
    <w:rsid w:val="00EE7FA3"/>
    <w:rsid w:val="00EF0AAC"/>
    <w:rsid w:val="00EF0C80"/>
    <w:rsid w:val="00EF0E34"/>
    <w:rsid w:val="00EF1284"/>
    <w:rsid w:val="00EF1400"/>
    <w:rsid w:val="00EF1867"/>
    <w:rsid w:val="00EF194A"/>
    <w:rsid w:val="00EF1990"/>
    <w:rsid w:val="00EF1CA4"/>
    <w:rsid w:val="00EF21C9"/>
    <w:rsid w:val="00EF29E9"/>
    <w:rsid w:val="00EF2FE6"/>
    <w:rsid w:val="00EF35EA"/>
    <w:rsid w:val="00EF36C1"/>
    <w:rsid w:val="00EF38F3"/>
    <w:rsid w:val="00EF3DDC"/>
    <w:rsid w:val="00EF4450"/>
    <w:rsid w:val="00EF45CD"/>
    <w:rsid w:val="00EF4D3F"/>
    <w:rsid w:val="00EF5286"/>
    <w:rsid w:val="00EF52B4"/>
    <w:rsid w:val="00EF5B78"/>
    <w:rsid w:val="00EF6161"/>
    <w:rsid w:val="00EF6166"/>
    <w:rsid w:val="00EF6209"/>
    <w:rsid w:val="00EF659B"/>
    <w:rsid w:val="00EF674A"/>
    <w:rsid w:val="00EF67B4"/>
    <w:rsid w:val="00EF6B3C"/>
    <w:rsid w:val="00F009B1"/>
    <w:rsid w:val="00F00A41"/>
    <w:rsid w:val="00F00AA0"/>
    <w:rsid w:val="00F00D67"/>
    <w:rsid w:val="00F01ADB"/>
    <w:rsid w:val="00F02A7D"/>
    <w:rsid w:val="00F03C22"/>
    <w:rsid w:val="00F03CFF"/>
    <w:rsid w:val="00F040F5"/>
    <w:rsid w:val="00F04230"/>
    <w:rsid w:val="00F0433E"/>
    <w:rsid w:val="00F05353"/>
    <w:rsid w:val="00F05B4A"/>
    <w:rsid w:val="00F05DAD"/>
    <w:rsid w:val="00F060C3"/>
    <w:rsid w:val="00F067F7"/>
    <w:rsid w:val="00F06F13"/>
    <w:rsid w:val="00F07117"/>
    <w:rsid w:val="00F07793"/>
    <w:rsid w:val="00F07F96"/>
    <w:rsid w:val="00F10352"/>
    <w:rsid w:val="00F1070D"/>
    <w:rsid w:val="00F11E48"/>
    <w:rsid w:val="00F122A9"/>
    <w:rsid w:val="00F123A0"/>
    <w:rsid w:val="00F12A00"/>
    <w:rsid w:val="00F12B5D"/>
    <w:rsid w:val="00F12B74"/>
    <w:rsid w:val="00F1310A"/>
    <w:rsid w:val="00F1345D"/>
    <w:rsid w:val="00F13590"/>
    <w:rsid w:val="00F13972"/>
    <w:rsid w:val="00F13BCF"/>
    <w:rsid w:val="00F14342"/>
    <w:rsid w:val="00F14D6C"/>
    <w:rsid w:val="00F1509B"/>
    <w:rsid w:val="00F156A3"/>
    <w:rsid w:val="00F16208"/>
    <w:rsid w:val="00F16712"/>
    <w:rsid w:val="00F16726"/>
    <w:rsid w:val="00F1681C"/>
    <w:rsid w:val="00F16C96"/>
    <w:rsid w:val="00F16F92"/>
    <w:rsid w:val="00F17414"/>
    <w:rsid w:val="00F175A2"/>
    <w:rsid w:val="00F17C28"/>
    <w:rsid w:val="00F17D46"/>
    <w:rsid w:val="00F2005C"/>
    <w:rsid w:val="00F20091"/>
    <w:rsid w:val="00F201A5"/>
    <w:rsid w:val="00F21144"/>
    <w:rsid w:val="00F2129E"/>
    <w:rsid w:val="00F22172"/>
    <w:rsid w:val="00F2252F"/>
    <w:rsid w:val="00F229AE"/>
    <w:rsid w:val="00F22F7A"/>
    <w:rsid w:val="00F24983"/>
    <w:rsid w:val="00F253CC"/>
    <w:rsid w:val="00F25F56"/>
    <w:rsid w:val="00F26356"/>
    <w:rsid w:val="00F27048"/>
    <w:rsid w:val="00F27482"/>
    <w:rsid w:val="00F27882"/>
    <w:rsid w:val="00F27A6B"/>
    <w:rsid w:val="00F30178"/>
    <w:rsid w:val="00F30E36"/>
    <w:rsid w:val="00F3137F"/>
    <w:rsid w:val="00F31CF0"/>
    <w:rsid w:val="00F31DC4"/>
    <w:rsid w:val="00F32141"/>
    <w:rsid w:val="00F32F92"/>
    <w:rsid w:val="00F339C9"/>
    <w:rsid w:val="00F33BE6"/>
    <w:rsid w:val="00F33ED4"/>
    <w:rsid w:val="00F34301"/>
    <w:rsid w:val="00F343BB"/>
    <w:rsid w:val="00F344DC"/>
    <w:rsid w:val="00F34860"/>
    <w:rsid w:val="00F34B32"/>
    <w:rsid w:val="00F35050"/>
    <w:rsid w:val="00F35110"/>
    <w:rsid w:val="00F356F4"/>
    <w:rsid w:val="00F35BFA"/>
    <w:rsid w:val="00F373E7"/>
    <w:rsid w:val="00F37744"/>
    <w:rsid w:val="00F37DE5"/>
    <w:rsid w:val="00F406DB"/>
    <w:rsid w:val="00F4093D"/>
    <w:rsid w:val="00F40E0A"/>
    <w:rsid w:val="00F410E1"/>
    <w:rsid w:val="00F41705"/>
    <w:rsid w:val="00F41747"/>
    <w:rsid w:val="00F419BC"/>
    <w:rsid w:val="00F41A5F"/>
    <w:rsid w:val="00F4270D"/>
    <w:rsid w:val="00F42810"/>
    <w:rsid w:val="00F42A9F"/>
    <w:rsid w:val="00F4325B"/>
    <w:rsid w:val="00F43717"/>
    <w:rsid w:val="00F437EB"/>
    <w:rsid w:val="00F438D0"/>
    <w:rsid w:val="00F4397F"/>
    <w:rsid w:val="00F43B36"/>
    <w:rsid w:val="00F43D75"/>
    <w:rsid w:val="00F448F1"/>
    <w:rsid w:val="00F45002"/>
    <w:rsid w:val="00F45CAE"/>
    <w:rsid w:val="00F467BB"/>
    <w:rsid w:val="00F47DB1"/>
    <w:rsid w:val="00F47FF0"/>
    <w:rsid w:val="00F5094E"/>
    <w:rsid w:val="00F50954"/>
    <w:rsid w:val="00F50BC6"/>
    <w:rsid w:val="00F50C13"/>
    <w:rsid w:val="00F51231"/>
    <w:rsid w:val="00F5158E"/>
    <w:rsid w:val="00F51EBC"/>
    <w:rsid w:val="00F525FF"/>
    <w:rsid w:val="00F529FF"/>
    <w:rsid w:val="00F52E6C"/>
    <w:rsid w:val="00F542A5"/>
    <w:rsid w:val="00F544AA"/>
    <w:rsid w:val="00F54530"/>
    <w:rsid w:val="00F54A2B"/>
    <w:rsid w:val="00F55082"/>
    <w:rsid w:val="00F553A9"/>
    <w:rsid w:val="00F55750"/>
    <w:rsid w:val="00F56221"/>
    <w:rsid w:val="00F57B03"/>
    <w:rsid w:val="00F60814"/>
    <w:rsid w:val="00F60BE1"/>
    <w:rsid w:val="00F6120C"/>
    <w:rsid w:val="00F61873"/>
    <w:rsid w:val="00F61D46"/>
    <w:rsid w:val="00F61D7C"/>
    <w:rsid w:val="00F62252"/>
    <w:rsid w:val="00F62670"/>
    <w:rsid w:val="00F6313B"/>
    <w:rsid w:val="00F6335A"/>
    <w:rsid w:val="00F63668"/>
    <w:rsid w:val="00F63E9E"/>
    <w:rsid w:val="00F64049"/>
    <w:rsid w:val="00F642A9"/>
    <w:rsid w:val="00F646FA"/>
    <w:rsid w:val="00F64B96"/>
    <w:rsid w:val="00F65248"/>
    <w:rsid w:val="00F655EF"/>
    <w:rsid w:val="00F658D1"/>
    <w:rsid w:val="00F65AE5"/>
    <w:rsid w:val="00F66454"/>
    <w:rsid w:val="00F66532"/>
    <w:rsid w:val="00F66D70"/>
    <w:rsid w:val="00F66F48"/>
    <w:rsid w:val="00F66F9C"/>
    <w:rsid w:val="00F678C9"/>
    <w:rsid w:val="00F679DC"/>
    <w:rsid w:val="00F70ACE"/>
    <w:rsid w:val="00F71C78"/>
    <w:rsid w:val="00F7207A"/>
    <w:rsid w:val="00F720E5"/>
    <w:rsid w:val="00F72E50"/>
    <w:rsid w:val="00F739D3"/>
    <w:rsid w:val="00F73E6D"/>
    <w:rsid w:val="00F7411B"/>
    <w:rsid w:val="00F741BB"/>
    <w:rsid w:val="00F74425"/>
    <w:rsid w:val="00F744D0"/>
    <w:rsid w:val="00F744FE"/>
    <w:rsid w:val="00F74886"/>
    <w:rsid w:val="00F7490C"/>
    <w:rsid w:val="00F74952"/>
    <w:rsid w:val="00F754A2"/>
    <w:rsid w:val="00F7592E"/>
    <w:rsid w:val="00F7596C"/>
    <w:rsid w:val="00F76095"/>
    <w:rsid w:val="00F76D77"/>
    <w:rsid w:val="00F77186"/>
    <w:rsid w:val="00F779D3"/>
    <w:rsid w:val="00F77AEA"/>
    <w:rsid w:val="00F8015A"/>
    <w:rsid w:val="00F80F75"/>
    <w:rsid w:val="00F81B86"/>
    <w:rsid w:val="00F81BF2"/>
    <w:rsid w:val="00F820DD"/>
    <w:rsid w:val="00F829B3"/>
    <w:rsid w:val="00F82F9A"/>
    <w:rsid w:val="00F83599"/>
    <w:rsid w:val="00F8360F"/>
    <w:rsid w:val="00F839C9"/>
    <w:rsid w:val="00F839E8"/>
    <w:rsid w:val="00F83C18"/>
    <w:rsid w:val="00F83DAD"/>
    <w:rsid w:val="00F83E35"/>
    <w:rsid w:val="00F84A23"/>
    <w:rsid w:val="00F8500B"/>
    <w:rsid w:val="00F85B1C"/>
    <w:rsid w:val="00F85B65"/>
    <w:rsid w:val="00F85C84"/>
    <w:rsid w:val="00F85FA5"/>
    <w:rsid w:val="00F863EB"/>
    <w:rsid w:val="00F8659C"/>
    <w:rsid w:val="00F868A7"/>
    <w:rsid w:val="00F869F8"/>
    <w:rsid w:val="00F876D1"/>
    <w:rsid w:val="00F90360"/>
    <w:rsid w:val="00F9065C"/>
    <w:rsid w:val="00F9077E"/>
    <w:rsid w:val="00F90A0F"/>
    <w:rsid w:val="00F90AF8"/>
    <w:rsid w:val="00F90B5A"/>
    <w:rsid w:val="00F90F80"/>
    <w:rsid w:val="00F91077"/>
    <w:rsid w:val="00F91CE9"/>
    <w:rsid w:val="00F92000"/>
    <w:rsid w:val="00F921BE"/>
    <w:rsid w:val="00F923A7"/>
    <w:rsid w:val="00F925CE"/>
    <w:rsid w:val="00F92AE6"/>
    <w:rsid w:val="00F93DAC"/>
    <w:rsid w:val="00F93DB5"/>
    <w:rsid w:val="00F947EE"/>
    <w:rsid w:val="00F9491B"/>
    <w:rsid w:val="00F94A3F"/>
    <w:rsid w:val="00F95A39"/>
    <w:rsid w:val="00F95D3F"/>
    <w:rsid w:val="00F95E4E"/>
    <w:rsid w:val="00F96A40"/>
    <w:rsid w:val="00F96AC3"/>
    <w:rsid w:val="00F97409"/>
    <w:rsid w:val="00F97A55"/>
    <w:rsid w:val="00F97BB6"/>
    <w:rsid w:val="00F97E8A"/>
    <w:rsid w:val="00F97EDF"/>
    <w:rsid w:val="00FA042B"/>
    <w:rsid w:val="00FA1587"/>
    <w:rsid w:val="00FA17EB"/>
    <w:rsid w:val="00FA1B88"/>
    <w:rsid w:val="00FA1E5C"/>
    <w:rsid w:val="00FA22CD"/>
    <w:rsid w:val="00FA25C4"/>
    <w:rsid w:val="00FA2742"/>
    <w:rsid w:val="00FA4319"/>
    <w:rsid w:val="00FA439A"/>
    <w:rsid w:val="00FA48ED"/>
    <w:rsid w:val="00FA4C3E"/>
    <w:rsid w:val="00FA5564"/>
    <w:rsid w:val="00FA5B09"/>
    <w:rsid w:val="00FA5C22"/>
    <w:rsid w:val="00FA5F4E"/>
    <w:rsid w:val="00FA6C2A"/>
    <w:rsid w:val="00FA7A8E"/>
    <w:rsid w:val="00FB0AC3"/>
    <w:rsid w:val="00FB16B3"/>
    <w:rsid w:val="00FB228A"/>
    <w:rsid w:val="00FB28B6"/>
    <w:rsid w:val="00FB29C1"/>
    <w:rsid w:val="00FB2D69"/>
    <w:rsid w:val="00FB2ED7"/>
    <w:rsid w:val="00FB2F92"/>
    <w:rsid w:val="00FB303E"/>
    <w:rsid w:val="00FB304A"/>
    <w:rsid w:val="00FB3068"/>
    <w:rsid w:val="00FB3290"/>
    <w:rsid w:val="00FB3908"/>
    <w:rsid w:val="00FB3D4B"/>
    <w:rsid w:val="00FB6280"/>
    <w:rsid w:val="00FB6C1B"/>
    <w:rsid w:val="00FB6C29"/>
    <w:rsid w:val="00FB6C7E"/>
    <w:rsid w:val="00FB7DCB"/>
    <w:rsid w:val="00FB7F5A"/>
    <w:rsid w:val="00FC014B"/>
    <w:rsid w:val="00FC04F2"/>
    <w:rsid w:val="00FC0B11"/>
    <w:rsid w:val="00FC0FD6"/>
    <w:rsid w:val="00FC10BD"/>
    <w:rsid w:val="00FC14EB"/>
    <w:rsid w:val="00FC16E0"/>
    <w:rsid w:val="00FC16F1"/>
    <w:rsid w:val="00FC1A20"/>
    <w:rsid w:val="00FC2241"/>
    <w:rsid w:val="00FC2467"/>
    <w:rsid w:val="00FC271F"/>
    <w:rsid w:val="00FC2C89"/>
    <w:rsid w:val="00FC2F17"/>
    <w:rsid w:val="00FC3015"/>
    <w:rsid w:val="00FC3325"/>
    <w:rsid w:val="00FC3A47"/>
    <w:rsid w:val="00FC3E24"/>
    <w:rsid w:val="00FC4160"/>
    <w:rsid w:val="00FC4336"/>
    <w:rsid w:val="00FC45E2"/>
    <w:rsid w:val="00FC49E3"/>
    <w:rsid w:val="00FC5723"/>
    <w:rsid w:val="00FC575C"/>
    <w:rsid w:val="00FC5941"/>
    <w:rsid w:val="00FC5955"/>
    <w:rsid w:val="00FC5CFB"/>
    <w:rsid w:val="00FC6C08"/>
    <w:rsid w:val="00FC6E95"/>
    <w:rsid w:val="00FC7185"/>
    <w:rsid w:val="00FC73B3"/>
    <w:rsid w:val="00FC793E"/>
    <w:rsid w:val="00FC7AC0"/>
    <w:rsid w:val="00FD00BE"/>
    <w:rsid w:val="00FD0243"/>
    <w:rsid w:val="00FD05E6"/>
    <w:rsid w:val="00FD125B"/>
    <w:rsid w:val="00FD17E1"/>
    <w:rsid w:val="00FD1B04"/>
    <w:rsid w:val="00FD24F6"/>
    <w:rsid w:val="00FD258B"/>
    <w:rsid w:val="00FD2729"/>
    <w:rsid w:val="00FD2B65"/>
    <w:rsid w:val="00FD3356"/>
    <w:rsid w:val="00FD44E3"/>
    <w:rsid w:val="00FD4CCA"/>
    <w:rsid w:val="00FD4F3F"/>
    <w:rsid w:val="00FD4F69"/>
    <w:rsid w:val="00FD50D4"/>
    <w:rsid w:val="00FD553A"/>
    <w:rsid w:val="00FD5C85"/>
    <w:rsid w:val="00FD6000"/>
    <w:rsid w:val="00FD6277"/>
    <w:rsid w:val="00FD69CD"/>
    <w:rsid w:val="00FD6D33"/>
    <w:rsid w:val="00FD6F3F"/>
    <w:rsid w:val="00FD74F5"/>
    <w:rsid w:val="00FD7C35"/>
    <w:rsid w:val="00FE02DE"/>
    <w:rsid w:val="00FE0351"/>
    <w:rsid w:val="00FE0EDE"/>
    <w:rsid w:val="00FE14BD"/>
    <w:rsid w:val="00FE1884"/>
    <w:rsid w:val="00FE2904"/>
    <w:rsid w:val="00FE2E57"/>
    <w:rsid w:val="00FE2FAA"/>
    <w:rsid w:val="00FE384D"/>
    <w:rsid w:val="00FE3DA8"/>
    <w:rsid w:val="00FE4104"/>
    <w:rsid w:val="00FE44B5"/>
    <w:rsid w:val="00FE4C3F"/>
    <w:rsid w:val="00FE4DE6"/>
    <w:rsid w:val="00FE5188"/>
    <w:rsid w:val="00FE539B"/>
    <w:rsid w:val="00FE59C6"/>
    <w:rsid w:val="00FE60F8"/>
    <w:rsid w:val="00FE63AE"/>
    <w:rsid w:val="00FE6860"/>
    <w:rsid w:val="00FE703E"/>
    <w:rsid w:val="00FE75C1"/>
    <w:rsid w:val="00FE76E9"/>
    <w:rsid w:val="00FE7C77"/>
    <w:rsid w:val="00FF0219"/>
    <w:rsid w:val="00FF0839"/>
    <w:rsid w:val="00FF0A31"/>
    <w:rsid w:val="00FF1221"/>
    <w:rsid w:val="00FF17F1"/>
    <w:rsid w:val="00FF1B21"/>
    <w:rsid w:val="00FF1B22"/>
    <w:rsid w:val="00FF22F9"/>
    <w:rsid w:val="00FF23D3"/>
    <w:rsid w:val="00FF28AC"/>
    <w:rsid w:val="00FF2BB7"/>
    <w:rsid w:val="00FF2CE0"/>
    <w:rsid w:val="00FF2D1F"/>
    <w:rsid w:val="00FF2FA8"/>
    <w:rsid w:val="00FF30BF"/>
    <w:rsid w:val="00FF32FC"/>
    <w:rsid w:val="00FF3D5C"/>
    <w:rsid w:val="00FF3FDE"/>
    <w:rsid w:val="00FF4CF5"/>
    <w:rsid w:val="00FF5278"/>
    <w:rsid w:val="00FF55AC"/>
    <w:rsid w:val="00FF5A5B"/>
    <w:rsid w:val="00FF5FED"/>
    <w:rsid w:val="00FF6132"/>
    <w:rsid w:val="00FF6967"/>
    <w:rsid w:val="00FF6ACF"/>
    <w:rsid w:val="00FF6BFF"/>
    <w:rsid w:val="00FF702B"/>
    <w:rsid w:val="00FF7F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041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9C7"/>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aliases w:val="Body Text (Reset numbering),标题 2 Char Char,标题 2 Char Char Char Char1 Char,标题 2 Char Char Char Char Char Char,标题 2 Char"/>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D5110"/>
    <w:rPr>
      <w:rFonts w:eastAsia="宋体"/>
      <w:b/>
      <w:kern w:val="44"/>
      <w:sz w:val="44"/>
      <w:lang w:val="en-US" w:eastAsia="zh-CN" w:bidi="ar-SA"/>
    </w:rPr>
  </w:style>
  <w:style w:type="character" w:customStyle="1" w:styleId="3Char">
    <w:name w:val="标题 3 Char"/>
    <w:link w:val="3"/>
    <w:uiPriority w:val="9"/>
    <w:rsid w:val="00FE4DE6"/>
    <w:rPr>
      <w:rFonts w:eastAsia="楷体_GB2312"/>
      <w:b/>
      <w:kern w:val="2"/>
      <w:sz w:val="32"/>
    </w:rPr>
  </w:style>
  <w:style w:type="character" w:customStyle="1" w:styleId="4Char">
    <w:name w:val="标题 4 Char"/>
    <w:link w:val="4"/>
    <w:uiPriority w:val="9"/>
    <w:rsid w:val="00FE4DE6"/>
    <w:rPr>
      <w:rFonts w:ascii="Arial" w:eastAsia="黑体" w:hAnsi="Arial"/>
      <w:b/>
      <w:kern w:val="2"/>
      <w:sz w:val="28"/>
    </w:rPr>
  </w:style>
  <w:style w:type="character" w:customStyle="1" w:styleId="5Char">
    <w:name w:val="标题 5 Char"/>
    <w:link w:val="5"/>
    <w:uiPriority w:val="9"/>
    <w:rsid w:val="00FE4DE6"/>
    <w:rPr>
      <w:b/>
      <w:kern w:val="2"/>
      <w:sz w:val="28"/>
    </w:rPr>
  </w:style>
  <w:style w:type="character" w:customStyle="1" w:styleId="6Char">
    <w:name w:val="标题 6 Char"/>
    <w:link w:val="6"/>
    <w:uiPriority w:val="9"/>
    <w:rsid w:val="00FE4DE6"/>
    <w:rPr>
      <w:rFonts w:ascii="Arial" w:eastAsia="黑体" w:hAnsi="Arial"/>
      <w:b/>
      <w:kern w:val="2"/>
      <w:sz w:val="24"/>
    </w:rPr>
  </w:style>
  <w:style w:type="character" w:customStyle="1" w:styleId="7Char">
    <w:name w:val="标题 7 Char"/>
    <w:link w:val="7"/>
    <w:uiPriority w:val="9"/>
    <w:rsid w:val="00FE4DE6"/>
    <w:rPr>
      <w:b/>
      <w:kern w:val="2"/>
      <w:sz w:val="24"/>
    </w:rPr>
  </w:style>
  <w:style w:type="character" w:customStyle="1" w:styleId="8Char">
    <w:name w:val="标题 8 Char"/>
    <w:link w:val="8"/>
    <w:uiPriority w:val="9"/>
    <w:rsid w:val="00FE4DE6"/>
    <w:rPr>
      <w:rFonts w:ascii="Arial" w:eastAsia="黑体" w:hAnsi="Arial"/>
      <w:kern w:val="2"/>
      <w:sz w:val="24"/>
    </w:rPr>
  </w:style>
  <w:style w:type="character" w:customStyle="1" w:styleId="9Char">
    <w:name w:val="标题 9 Char"/>
    <w:link w:val="9"/>
    <w:uiPriority w:val="9"/>
    <w:rsid w:val="00FE4DE6"/>
    <w:rPr>
      <w:rFonts w:ascii="Arial" w:eastAsia="黑体" w:hAnsi="Arial"/>
      <w:kern w:val="2"/>
      <w:sz w:val="28"/>
    </w:rPr>
  </w:style>
  <w:style w:type="paragraph" w:styleId="a3">
    <w:name w:val="footer"/>
    <w:basedOn w:val="a"/>
    <w:link w:val="Char"/>
    <w:uiPriority w:val="99"/>
    <w:pPr>
      <w:pBdr>
        <w:bottom w:val="double" w:sz="4" w:space="1" w:color="auto"/>
      </w:pBdr>
      <w:tabs>
        <w:tab w:val="center" w:pos="4153"/>
        <w:tab w:val="right" w:pos="8306"/>
      </w:tabs>
      <w:snapToGrid w:val="0"/>
    </w:pPr>
    <w:rPr>
      <w:sz w:val="18"/>
      <w:szCs w:val="18"/>
    </w:rPr>
  </w:style>
  <w:style w:type="character" w:customStyle="1" w:styleId="Char">
    <w:name w:val="页脚 Char"/>
    <w:link w:val="a3"/>
    <w:uiPriority w:val="99"/>
    <w:rsid w:val="00FE4DE6"/>
    <w:rPr>
      <w:kern w:val="2"/>
      <w:sz w:val="18"/>
      <w:szCs w:val="18"/>
    </w:rPr>
  </w:style>
  <w:style w:type="character" w:styleId="a4">
    <w:name w:val="page number"/>
    <w:rPr>
      <w:bdr w:val="none" w:sz="0" w:space="0" w:color="auto"/>
    </w:rPr>
  </w:style>
  <w:style w:type="paragraph" w:styleId="a5">
    <w:name w:val="header"/>
    <w:basedOn w:val="a"/>
    <w:link w:val="Char0"/>
    <w:uiPriority w:val="99"/>
    <w:pPr>
      <w:pBdr>
        <w:bottom w:val="single" w:sz="12"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FE4DE6"/>
    <w:rPr>
      <w:kern w:val="2"/>
      <w:sz w:val="18"/>
      <w:szCs w:val="18"/>
    </w:rPr>
  </w:style>
  <w:style w:type="paragraph" w:styleId="10">
    <w:name w:val="toc 1"/>
    <w:basedOn w:val="a"/>
    <w:next w:val="a"/>
    <w:autoRedefine/>
    <w:uiPriority w:val="39"/>
    <w:rsid w:val="009B0B0F"/>
    <w:pPr>
      <w:tabs>
        <w:tab w:val="right" w:leader="dot" w:pos="8302"/>
      </w:tabs>
      <w:spacing w:before="120" w:after="240"/>
      <w:jc w:val="center"/>
    </w:pPr>
    <w:rPr>
      <w:rFonts w:ascii="Arial" w:hAnsi="Arial" w:cs="Arial"/>
      <w:b/>
      <w:bCs/>
      <w:caps/>
      <w:noProof/>
      <w:szCs w:val="21"/>
    </w:rPr>
  </w:style>
  <w:style w:type="paragraph" w:styleId="20">
    <w:name w:val="toc 2"/>
    <w:basedOn w:val="a"/>
    <w:next w:val="a"/>
    <w:autoRedefine/>
    <w:uiPriority w:val="39"/>
    <w:rsid w:val="000F128D"/>
    <w:pPr>
      <w:tabs>
        <w:tab w:val="right" w:leader="dot" w:pos="8302"/>
      </w:tabs>
      <w:ind w:left="210"/>
    </w:pPr>
    <w:rPr>
      <w:rFonts w:ascii="仿宋_GB2312" w:eastAsia="仿宋_GB2312"/>
      <w:smallCaps/>
      <w:noProof/>
      <w:szCs w:val="32"/>
    </w:rPr>
  </w:style>
  <w:style w:type="paragraph" w:styleId="30">
    <w:name w:val="toc 3"/>
    <w:basedOn w:val="a"/>
    <w:next w:val="a"/>
    <w:autoRedefine/>
    <w:semiHidden/>
    <w:pPr>
      <w:ind w:left="420"/>
    </w:pPr>
    <w:rPr>
      <w:i/>
      <w:iCs/>
    </w:rPr>
  </w:style>
  <w:style w:type="character" w:customStyle="1" w:styleId="a6">
    <w:name w:val="已访问的超链接"/>
    <w:rPr>
      <w:color w:val="800080"/>
      <w:u w:val="single"/>
    </w:rPr>
  </w:style>
  <w:style w:type="character" w:styleId="a7">
    <w:name w:val="Hyperlink"/>
    <w:uiPriority w:val="99"/>
    <w:rPr>
      <w:color w:val="0000FF"/>
      <w:u w:val="single"/>
    </w:rPr>
  </w:style>
  <w:style w:type="paragraph" w:customStyle="1" w:styleId="11">
    <w:name w:val="纯文本1"/>
    <w:basedOn w:val="a"/>
    <w:pPr>
      <w:autoSpaceDE w:val="0"/>
      <w:autoSpaceDN w:val="0"/>
      <w:adjustRightInd w:val="0"/>
    </w:pPr>
    <w:rPr>
      <w:szCs w:val="2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Body Text Indent 3"/>
    <w:basedOn w:val="a"/>
    <w:pPr>
      <w:adjustRightInd w:val="0"/>
      <w:snapToGrid w:val="0"/>
      <w:spacing w:line="360" w:lineRule="auto"/>
      <w:ind w:firstLine="570"/>
    </w:pPr>
    <w:rPr>
      <w:sz w:val="28"/>
    </w:rPr>
  </w:style>
  <w:style w:type="character" w:customStyle="1" w:styleId="p11">
    <w:name w:val="p11"/>
    <w:rPr>
      <w:rFonts w:ascii="宋体" w:eastAsia="宋体" w:hAnsi="宋体" w:hint="eastAsia"/>
      <w:sz w:val="18"/>
      <w:szCs w:val="18"/>
    </w:rPr>
  </w:style>
  <w:style w:type="paragraph" w:styleId="21">
    <w:name w:val="Body Text Indent 2"/>
    <w:basedOn w:val="a"/>
    <w:pPr>
      <w:adjustRightInd w:val="0"/>
      <w:snapToGrid w:val="0"/>
      <w:spacing w:line="360" w:lineRule="auto"/>
      <w:ind w:firstLine="570"/>
    </w:pPr>
    <w:rPr>
      <w:color w:val="000000"/>
      <w:spacing w:val="15"/>
      <w:sz w:val="28"/>
    </w:rPr>
  </w:style>
  <w:style w:type="paragraph" w:styleId="aa">
    <w:name w:val="Normal Indent"/>
    <w:basedOn w:val="a"/>
    <w:pPr>
      <w:ind w:firstLineChars="200" w:firstLine="560"/>
    </w:pPr>
    <w:rPr>
      <w:rFonts w:eastAsia="GungsuhChe"/>
      <w:color w:val="FF0000"/>
      <w:sz w:val="28"/>
    </w:rPr>
  </w:style>
  <w:style w:type="paragraph" w:styleId="ab">
    <w:name w:val="Normal (Web)"/>
    <w:basedOn w:val="a"/>
    <w:uiPriority w:val="99"/>
    <w:pPr>
      <w:spacing w:before="100" w:beforeAutospacing="1" w:after="100" w:afterAutospacing="1"/>
    </w:pPr>
  </w:style>
  <w:style w:type="paragraph" w:styleId="ac">
    <w:name w:val="Document Map"/>
    <w:basedOn w:val="a"/>
    <w:semiHidden/>
    <w:pPr>
      <w:shd w:val="clear" w:color="auto" w:fill="000080"/>
    </w:pPr>
  </w:style>
  <w:style w:type="paragraph" w:styleId="ad">
    <w:name w:val="Balloon Text"/>
    <w:basedOn w:val="a"/>
    <w:link w:val="Char1"/>
    <w:uiPriority w:val="99"/>
    <w:rPr>
      <w:sz w:val="18"/>
      <w:szCs w:val="18"/>
    </w:rPr>
  </w:style>
  <w:style w:type="character" w:customStyle="1" w:styleId="Char1">
    <w:name w:val="批注框文本 Char"/>
    <w:link w:val="ad"/>
    <w:uiPriority w:val="99"/>
    <w:rsid w:val="00FE4DE6"/>
    <w:rPr>
      <w:kern w:val="2"/>
      <w:sz w:val="18"/>
      <w:szCs w:val="18"/>
    </w:rPr>
  </w:style>
  <w:style w:type="paragraph" w:styleId="70">
    <w:name w:val="toc 7"/>
    <w:basedOn w:val="a"/>
    <w:next w:val="a"/>
    <w:autoRedefine/>
    <w:semiHidden/>
    <w:pPr>
      <w:adjustRightInd w:val="0"/>
      <w:spacing w:line="360" w:lineRule="auto"/>
      <w:ind w:firstLineChars="200" w:firstLine="200"/>
    </w:pPr>
    <w:rPr>
      <w:sz w:val="28"/>
      <w:szCs w:val="26"/>
    </w:rPr>
  </w:style>
  <w:style w:type="character" w:styleId="ae">
    <w:name w:val="Strong"/>
    <w:uiPriority w:val="22"/>
    <w:qFormat/>
    <w:rPr>
      <w:b/>
      <w:bCs/>
    </w:rPr>
  </w:style>
  <w:style w:type="character" w:customStyle="1" w:styleId="yqlink">
    <w:name w:val="yqlink"/>
    <w:basedOn w:val="a0"/>
  </w:style>
  <w:style w:type="paragraph" w:styleId="z-">
    <w:name w:val="HTML Top of Form"/>
    <w:basedOn w:val="a"/>
    <w:next w:val="a"/>
    <w:hidden/>
    <w:pPr>
      <w:pBdr>
        <w:bottom w:val="single" w:sz="6" w:space="1" w:color="auto"/>
      </w:pBdr>
      <w:jc w:val="center"/>
    </w:pPr>
    <w:rPr>
      <w:rFonts w:ascii="Arial" w:hAnsi="Arial" w:cs="Arial"/>
      <w:vanish/>
      <w:sz w:val="16"/>
      <w:szCs w:val="16"/>
    </w:rPr>
  </w:style>
  <w:style w:type="paragraph" w:styleId="z-0">
    <w:name w:val="HTML Bottom of Form"/>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character" w:customStyle="1" w:styleId="text1">
    <w:name w:val="text1"/>
    <w:rPr>
      <w:spacing w:val="10"/>
      <w:sz w:val="28"/>
      <w:szCs w:val="28"/>
    </w:rPr>
  </w:style>
  <w:style w:type="paragraph" w:customStyle="1" w:styleId="font5">
    <w:name w:val="font5"/>
    <w:basedOn w:val="a"/>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0">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styleId="32">
    <w:name w:val="Body Text 3"/>
    <w:basedOn w:val="a"/>
    <w:pPr>
      <w:spacing w:line="360" w:lineRule="auto"/>
    </w:pPr>
    <w:rPr>
      <w:rFonts w:ascii="仿宋_GB2312" w:eastAsia="仿宋_GB2312"/>
      <w:sz w:val="30"/>
    </w:rPr>
  </w:style>
  <w:style w:type="paragraph" w:styleId="af">
    <w:name w:val="Plain Text"/>
    <w:basedOn w:val="a"/>
    <w:rPr>
      <w:rFonts w:hAnsi="Courier New" w:cs="Courier New"/>
      <w:szCs w:val="21"/>
    </w:rPr>
  </w:style>
  <w:style w:type="paragraph" w:customStyle="1" w:styleId="Char2">
    <w:name w:val="Char"/>
    <w:basedOn w:val="a"/>
    <w:rsid w:val="00D96DC7"/>
    <w:rPr>
      <w:rFonts w:cs="Courier New"/>
      <w:sz w:val="32"/>
      <w:szCs w:val="32"/>
    </w:rPr>
  </w:style>
  <w:style w:type="character" w:customStyle="1" w:styleId="hei141">
    <w:name w:val="hei141"/>
    <w:rsid w:val="000D0DCE"/>
    <w:rPr>
      <w:color w:val="000000"/>
      <w:sz w:val="28"/>
      <w:szCs w:val="28"/>
    </w:rPr>
  </w:style>
  <w:style w:type="table" w:styleId="af0">
    <w:name w:val="Table Grid"/>
    <w:basedOn w:val="a1"/>
    <w:uiPriority w:val="39"/>
    <w:rsid w:val="00E1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F90B5A"/>
    <w:pPr>
      <w:ind w:firstLineChars="200" w:firstLine="420"/>
    </w:pPr>
  </w:style>
  <w:style w:type="character" w:customStyle="1" w:styleId="currentpricefontstylesp">
    <w:name w:val="currentprice fontstyle_sp"/>
    <w:basedOn w:val="a0"/>
    <w:rsid w:val="00985627"/>
  </w:style>
  <w:style w:type="paragraph" w:customStyle="1" w:styleId="Char10">
    <w:name w:val="Char1"/>
    <w:basedOn w:val="a"/>
    <w:rsid w:val="00577571"/>
    <w:rPr>
      <w:rFonts w:ascii="Tahoma" w:hAnsi="Tahoma"/>
      <w:szCs w:val="20"/>
    </w:rPr>
  </w:style>
  <w:style w:type="paragraph" w:customStyle="1" w:styleId="yiv73721737msonormal">
    <w:name w:val="yiv73721737msonormal"/>
    <w:basedOn w:val="a"/>
    <w:rsid w:val="00B63837"/>
    <w:pPr>
      <w:spacing w:before="100" w:beforeAutospacing="1" w:after="100" w:afterAutospacing="1"/>
    </w:pPr>
  </w:style>
  <w:style w:type="character" w:customStyle="1" w:styleId="apple-style-span">
    <w:name w:val="apple-style-span"/>
    <w:basedOn w:val="a0"/>
    <w:rsid w:val="00D6275D"/>
  </w:style>
  <w:style w:type="paragraph" w:customStyle="1" w:styleId="yiv409727469msonormal">
    <w:name w:val="yiv409727469msonormal"/>
    <w:basedOn w:val="a"/>
    <w:rsid w:val="00767F26"/>
    <w:pPr>
      <w:spacing w:before="100" w:beforeAutospacing="1" w:after="100" w:afterAutospacing="1"/>
    </w:pPr>
  </w:style>
  <w:style w:type="paragraph" w:customStyle="1" w:styleId="largefont">
    <w:name w:val="largefont"/>
    <w:basedOn w:val="a"/>
    <w:rsid w:val="00D87EAB"/>
    <w:pPr>
      <w:spacing w:before="100" w:beforeAutospacing="1" w:after="100" w:afterAutospacing="1" w:line="360" w:lineRule="auto"/>
      <w:ind w:firstLine="480"/>
    </w:pPr>
  </w:style>
  <w:style w:type="paragraph" w:customStyle="1" w:styleId="yiv129177480msonormal">
    <w:name w:val="yiv129177480msonormal"/>
    <w:basedOn w:val="a"/>
    <w:rsid w:val="00960448"/>
    <w:pPr>
      <w:spacing w:before="100" w:beforeAutospacing="1" w:after="100" w:afterAutospacing="1"/>
    </w:pPr>
  </w:style>
  <w:style w:type="character" w:customStyle="1" w:styleId="apple-converted-space">
    <w:name w:val="apple-converted-space"/>
    <w:basedOn w:val="a0"/>
    <w:rsid w:val="00960448"/>
  </w:style>
  <w:style w:type="paragraph" w:customStyle="1" w:styleId="12">
    <w:name w:val="列出段落1"/>
    <w:basedOn w:val="a"/>
    <w:uiPriority w:val="99"/>
    <w:rsid w:val="00255C9B"/>
    <w:pPr>
      <w:ind w:firstLineChars="200" w:firstLine="420"/>
    </w:pPr>
    <w:rPr>
      <w:rFonts w:ascii="Calibri" w:hAnsi="Calibri"/>
      <w:szCs w:val="22"/>
    </w:rPr>
  </w:style>
  <w:style w:type="character" w:customStyle="1" w:styleId="HeaderChar">
    <w:name w:val="Header Char"/>
    <w:uiPriority w:val="99"/>
    <w:semiHidden/>
    <w:locked/>
    <w:rsid w:val="00FE4DE6"/>
    <w:rPr>
      <w:rFonts w:cs="Times New Roman"/>
      <w:sz w:val="18"/>
      <w:szCs w:val="18"/>
    </w:rPr>
  </w:style>
  <w:style w:type="character" w:customStyle="1" w:styleId="FooterChar">
    <w:name w:val="Footer Char"/>
    <w:uiPriority w:val="99"/>
    <w:semiHidden/>
    <w:locked/>
    <w:rsid w:val="00FE4DE6"/>
    <w:rPr>
      <w:rFonts w:cs="Times New Roman"/>
      <w:sz w:val="18"/>
      <w:szCs w:val="18"/>
    </w:rPr>
  </w:style>
  <w:style w:type="character" w:customStyle="1" w:styleId="BalloonTextChar">
    <w:name w:val="Balloon Text Char"/>
    <w:uiPriority w:val="99"/>
    <w:semiHidden/>
    <w:locked/>
    <w:rsid w:val="00FE4DE6"/>
    <w:rPr>
      <w:rFonts w:cs="Times New Roman"/>
      <w:sz w:val="2"/>
    </w:rPr>
  </w:style>
  <w:style w:type="character" w:customStyle="1" w:styleId="13">
    <w:name w:val="已访问的超链接1"/>
    <w:uiPriority w:val="99"/>
    <w:rsid w:val="00FE4DE6"/>
    <w:rPr>
      <w:rFonts w:cs="Times New Roman"/>
      <w:color w:val="800080"/>
      <w:u w:val="single"/>
    </w:rPr>
  </w:style>
  <w:style w:type="paragraph" w:styleId="af2">
    <w:name w:val="caption"/>
    <w:basedOn w:val="a"/>
    <w:next w:val="a"/>
    <w:uiPriority w:val="99"/>
    <w:rsid w:val="00FE4DE6"/>
    <w:rPr>
      <w:rFonts w:ascii="Cambria" w:eastAsia="黑体" w:hAnsi="Cambria"/>
      <w:sz w:val="20"/>
      <w:szCs w:val="20"/>
    </w:rPr>
  </w:style>
  <w:style w:type="character" w:customStyle="1" w:styleId="scol41">
    <w:name w:val="s_col41"/>
    <w:rsid w:val="00FE4DE6"/>
    <w:rPr>
      <w:color w:val="CC0104"/>
    </w:rPr>
  </w:style>
  <w:style w:type="character" w:styleId="af3">
    <w:name w:val="Emphasis"/>
    <w:uiPriority w:val="20"/>
    <w:qFormat/>
    <w:rsid w:val="00FE4DE6"/>
    <w:rPr>
      <w:rFonts w:ascii="Calibri" w:hAnsi="Calibri"/>
      <w:b/>
      <w:i/>
      <w:iCs/>
    </w:rPr>
  </w:style>
  <w:style w:type="character" w:customStyle="1" w:styleId="zib">
    <w:name w:val="zib"/>
    <w:rsid w:val="00FE4DE6"/>
  </w:style>
  <w:style w:type="paragraph" w:customStyle="1" w:styleId="Default">
    <w:name w:val="Default"/>
    <w:rsid w:val="00FE4DE6"/>
    <w:pPr>
      <w:widowControl w:val="0"/>
      <w:autoSpaceDE w:val="0"/>
      <w:autoSpaceDN w:val="0"/>
      <w:adjustRightInd w:val="0"/>
    </w:pPr>
    <w:rPr>
      <w:rFonts w:ascii="Wingdings" w:hAnsi="Wingdings" w:cs="Wingdings"/>
      <w:color w:val="000000"/>
      <w:sz w:val="24"/>
      <w:szCs w:val="24"/>
    </w:rPr>
  </w:style>
  <w:style w:type="paragraph" w:styleId="af4">
    <w:name w:val="Date"/>
    <w:basedOn w:val="a"/>
    <w:next w:val="a"/>
    <w:link w:val="Char3"/>
    <w:uiPriority w:val="99"/>
    <w:unhideWhenUsed/>
    <w:rsid w:val="00FE4DE6"/>
    <w:pPr>
      <w:ind w:leftChars="2500" w:left="100"/>
    </w:pPr>
    <w:rPr>
      <w:rFonts w:ascii="Calibri" w:hAnsi="Calibri"/>
    </w:rPr>
  </w:style>
  <w:style w:type="character" w:customStyle="1" w:styleId="Char3">
    <w:name w:val="日期 Char"/>
    <w:link w:val="af4"/>
    <w:uiPriority w:val="99"/>
    <w:rsid w:val="00FE4DE6"/>
    <w:rPr>
      <w:rFonts w:ascii="Calibri" w:hAnsi="Calibri"/>
      <w:sz w:val="24"/>
      <w:szCs w:val="24"/>
    </w:rPr>
  </w:style>
  <w:style w:type="paragraph" w:styleId="af5">
    <w:name w:val="Title"/>
    <w:basedOn w:val="a"/>
    <w:next w:val="a"/>
    <w:link w:val="Char4"/>
    <w:uiPriority w:val="10"/>
    <w:qFormat/>
    <w:rsid w:val="00FE4DE6"/>
    <w:pPr>
      <w:spacing w:before="240" w:after="60"/>
      <w:jc w:val="center"/>
      <w:outlineLvl w:val="0"/>
    </w:pPr>
    <w:rPr>
      <w:rFonts w:ascii="Cambria" w:hAnsi="Cambria"/>
      <w:b/>
      <w:bCs/>
      <w:kern w:val="28"/>
      <w:sz w:val="32"/>
      <w:szCs w:val="32"/>
    </w:rPr>
  </w:style>
  <w:style w:type="character" w:customStyle="1" w:styleId="Char4">
    <w:name w:val="标题 Char"/>
    <w:link w:val="af5"/>
    <w:uiPriority w:val="10"/>
    <w:rsid w:val="00FE4DE6"/>
    <w:rPr>
      <w:rFonts w:ascii="Cambria" w:hAnsi="Cambria"/>
      <w:b/>
      <w:bCs/>
      <w:kern w:val="28"/>
      <w:sz w:val="32"/>
      <w:szCs w:val="32"/>
    </w:rPr>
  </w:style>
  <w:style w:type="paragraph" w:styleId="af6">
    <w:name w:val="Subtitle"/>
    <w:basedOn w:val="a"/>
    <w:next w:val="a"/>
    <w:link w:val="Char5"/>
    <w:uiPriority w:val="11"/>
    <w:qFormat/>
    <w:rsid w:val="00FE4DE6"/>
    <w:pPr>
      <w:spacing w:after="60"/>
      <w:jc w:val="center"/>
      <w:outlineLvl w:val="1"/>
    </w:pPr>
    <w:rPr>
      <w:rFonts w:ascii="Cambria" w:hAnsi="Cambria"/>
    </w:rPr>
  </w:style>
  <w:style w:type="character" w:customStyle="1" w:styleId="Char5">
    <w:name w:val="副标题 Char"/>
    <w:link w:val="af6"/>
    <w:uiPriority w:val="11"/>
    <w:rsid w:val="00FE4DE6"/>
    <w:rPr>
      <w:rFonts w:ascii="Cambria" w:hAnsi="Cambria"/>
      <w:sz w:val="24"/>
      <w:szCs w:val="24"/>
    </w:rPr>
  </w:style>
  <w:style w:type="paragraph" w:styleId="af7">
    <w:name w:val="No Spacing"/>
    <w:basedOn w:val="a"/>
    <w:uiPriority w:val="1"/>
    <w:qFormat/>
    <w:rsid w:val="00FE4DE6"/>
    <w:rPr>
      <w:rFonts w:ascii="Calibri" w:hAnsi="Calibri"/>
      <w:szCs w:val="32"/>
    </w:rPr>
  </w:style>
  <w:style w:type="paragraph" w:styleId="af8">
    <w:name w:val="Quote"/>
    <w:basedOn w:val="a"/>
    <w:next w:val="a"/>
    <w:link w:val="Char6"/>
    <w:uiPriority w:val="29"/>
    <w:qFormat/>
    <w:rsid w:val="00FE4DE6"/>
    <w:rPr>
      <w:rFonts w:ascii="Calibri" w:hAnsi="Calibri"/>
      <w:i/>
    </w:rPr>
  </w:style>
  <w:style w:type="character" w:customStyle="1" w:styleId="Char6">
    <w:name w:val="引用 Char"/>
    <w:link w:val="af8"/>
    <w:uiPriority w:val="29"/>
    <w:rsid w:val="00FE4DE6"/>
    <w:rPr>
      <w:rFonts w:ascii="Calibri" w:hAnsi="Calibri"/>
      <w:i/>
      <w:sz w:val="24"/>
      <w:szCs w:val="24"/>
    </w:rPr>
  </w:style>
  <w:style w:type="paragraph" w:styleId="af9">
    <w:name w:val="Intense Quote"/>
    <w:basedOn w:val="a"/>
    <w:next w:val="a"/>
    <w:link w:val="Char7"/>
    <w:uiPriority w:val="30"/>
    <w:qFormat/>
    <w:rsid w:val="00FE4DE6"/>
    <w:pPr>
      <w:ind w:left="720" w:right="720"/>
    </w:pPr>
    <w:rPr>
      <w:rFonts w:ascii="Calibri" w:hAnsi="Calibri"/>
      <w:b/>
      <w:i/>
      <w:szCs w:val="22"/>
    </w:rPr>
  </w:style>
  <w:style w:type="character" w:customStyle="1" w:styleId="Char7">
    <w:name w:val="明显引用 Char"/>
    <w:link w:val="af9"/>
    <w:uiPriority w:val="30"/>
    <w:rsid w:val="00FE4DE6"/>
    <w:rPr>
      <w:rFonts w:ascii="Calibri" w:hAnsi="Calibri"/>
      <w:b/>
      <w:i/>
      <w:sz w:val="24"/>
      <w:szCs w:val="22"/>
    </w:rPr>
  </w:style>
  <w:style w:type="character" w:styleId="afa">
    <w:name w:val="Subtle Emphasis"/>
    <w:uiPriority w:val="19"/>
    <w:qFormat/>
    <w:rsid w:val="00FE4DE6"/>
    <w:rPr>
      <w:i/>
      <w:color w:val="5A5A5A"/>
    </w:rPr>
  </w:style>
  <w:style w:type="character" w:styleId="afb">
    <w:name w:val="Intense Emphasis"/>
    <w:uiPriority w:val="21"/>
    <w:qFormat/>
    <w:rsid w:val="00FE4DE6"/>
    <w:rPr>
      <w:b/>
      <w:i/>
      <w:sz w:val="24"/>
      <w:szCs w:val="24"/>
      <w:u w:val="single"/>
    </w:rPr>
  </w:style>
  <w:style w:type="character" w:styleId="afc">
    <w:name w:val="Subtle Reference"/>
    <w:uiPriority w:val="31"/>
    <w:qFormat/>
    <w:rsid w:val="00FE4DE6"/>
    <w:rPr>
      <w:sz w:val="24"/>
      <w:szCs w:val="24"/>
      <w:u w:val="single"/>
    </w:rPr>
  </w:style>
  <w:style w:type="character" w:styleId="afd">
    <w:name w:val="Intense Reference"/>
    <w:uiPriority w:val="32"/>
    <w:qFormat/>
    <w:rsid w:val="00FE4DE6"/>
    <w:rPr>
      <w:b/>
      <w:sz w:val="24"/>
      <w:u w:val="single"/>
    </w:rPr>
  </w:style>
  <w:style w:type="character" w:styleId="afe">
    <w:name w:val="Book Title"/>
    <w:uiPriority w:val="33"/>
    <w:qFormat/>
    <w:rsid w:val="00FE4DE6"/>
    <w:rPr>
      <w:rFonts w:ascii="Cambria" w:eastAsia="宋体" w:hAnsi="Cambria"/>
      <w:b/>
      <w:i/>
      <w:sz w:val="24"/>
      <w:szCs w:val="24"/>
    </w:rPr>
  </w:style>
  <w:style w:type="paragraph" w:styleId="TOC">
    <w:name w:val="TOC Heading"/>
    <w:basedOn w:val="1"/>
    <w:next w:val="a"/>
    <w:uiPriority w:val="39"/>
    <w:semiHidden/>
    <w:unhideWhenUsed/>
    <w:qFormat/>
    <w:rsid w:val="00FE4DE6"/>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rsid w:val="00FE4DE6"/>
    <w:pPr>
      <w:spacing w:before="100" w:beforeAutospacing="1" w:after="115" w:line="360" w:lineRule="auto"/>
      <w:jc w:val="center"/>
    </w:pPr>
    <w:rPr>
      <w:b/>
      <w:bCs/>
      <w:color w:val="005FBE"/>
      <w:sz w:val="23"/>
      <w:szCs w:val="23"/>
    </w:rPr>
  </w:style>
  <w:style w:type="character" w:styleId="aff">
    <w:name w:val="annotation reference"/>
    <w:rsid w:val="003E3FC3"/>
    <w:rPr>
      <w:sz w:val="21"/>
      <w:szCs w:val="21"/>
    </w:rPr>
  </w:style>
  <w:style w:type="paragraph" w:styleId="aff0">
    <w:name w:val="annotation text"/>
    <w:basedOn w:val="a"/>
    <w:link w:val="Char8"/>
    <w:rsid w:val="003E3FC3"/>
  </w:style>
  <w:style w:type="character" w:customStyle="1" w:styleId="Char8">
    <w:name w:val="批注文字 Char"/>
    <w:link w:val="aff0"/>
    <w:rsid w:val="003E3FC3"/>
    <w:rPr>
      <w:kern w:val="2"/>
      <w:sz w:val="21"/>
      <w:szCs w:val="24"/>
    </w:rPr>
  </w:style>
  <w:style w:type="paragraph" w:styleId="aff1">
    <w:name w:val="annotation subject"/>
    <w:basedOn w:val="aff0"/>
    <w:next w:val="aff0"/>
    <w:link w:val="Char9"/>
    <w:rsid w:val="003E3FC3"/>
    <w:rPr>
      <w:b/>
      <w:bCs/>
    </w:rPr>
  </w:style>
  <w:style w:type="character" w:customStyle="1" w:styleId="Char9">
    <w:name w:val="批注主题 Char"/>
    <w:link w:val="aff1"/>
    <w:rsid w:val="003E3FC3"/>
    <w:rPr>
      <w:b/>
      <w:bCs/>
      <w:kern w:val="2"/>
      <w:sz w:val="21"/>
      <w:szCs w:val="24"/>
    </w:rPr>
  </w:style>
  <w:style w:type="paragraph" w:styleId="aff2">
    <w:name w:val="Revision"/>
    <w:hidden/>
    <w:uiPriority w:val="99"/>
    <w:semiHidden/>
    <w:rsid w:val="006A0CBC"/>
    <w:rPr>
      <w:kern w:val="2"/>
      <w:sz w:val="21"/>
      <w:szCs w:val="24"/>
    </w:rPr>
  </w:style>
  <w:style w:type="table" w:styleId="14">
    <w:name w:val="Table Classic 1"/>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1"/>
    <w:rsid w:val="0023591B"/>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F646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未处理的提及1"/>
    <w:uiPriority w:val="99"/>
    <w:semiHidden/>
    <w:unhideWhenUsed/>
    <w:rsid w:val="00B13994"/>
    <w:rPr>
      <w:color w:val="605E5C"/>
      <w:shd w:val="clear" w:color="auto" w:fill="E1DFDD"/>
    </w:rPr>
  </w:style>
  <w:style w:type="paragraph" w:customStyle="1" w:styleId="section">
    <w:name w:val="section"/>
    <w:basedOn w:val="a"/>
    <w:rsid w:val="009A481C"/>
    <w:pPr>
      <w:spacing w:before="100" w:beforeAutospacing="1" w:after="100" w:afterAutospacing="1"/>
    </w:pPr>
  </w:style>
  <w:style w:type="character" w:customStyle="1" w:styleId="lingraydarknoline1">
    <w:name w:val="lingraydark_noline1"/>
    <w:rsid w:val="00717207"/>
    <w:rPr>
      <w:color w:val="333333"/>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9C7"/>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aliases w:val="Body Text (Reset numbering),标题 2 Char Char,标题 2 Char Char Char Char1 Char,标题 2 Char Char Char Char Char Char,标题 2 Char"/>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D5110"/>
    <w:rPr>
      <w:rFonts w:eastAsia="宋体"/>
      <w:b/>
      <w:kern w:val="44"/>
      <w:sz w:val="44"/>
      <w:lang w:val="en-US" w:eastAsia="zh-CN" w:bidi="ar-SA"/>
    </w:rPr>
  </w:style>
  <w:style w:type="character" w:customStyle="1" w:styleId="3Char">
    <w:name w:val="标题 3 Char"/>
    <w:link w:val="3"/>
    <w:uiPriority w:val="9"/>
    <w:rsid w:val="00FE4DE6"/>
    <w:rPr>
      <w:rFonts w:eastAsia="楷体_GB2312"/>
      <w:b/>
      <w:kern w:val="2"/>
      <w:sz w:val="32"/>
    </w:rPr>
  </w:style>
  <w:style w:type="character" w:customStyle="1" w:styleId="4Char">
    <w:name w:val="标题 4 Char"/>
    <w:link w:val="4"/>
    <w:uiPriority w:val="9"/>
    <w:rsid w:val="00FE4DE6"/>
    <w:rPr>
      <w:rFonts w:ascii="Arial" w:eastAsia="黑体" w:hAnsi="Arial"/>
      <w:b/>
      <w:kern w:val="2"/>
      <w:sz w:val="28"/>
    </w:rPr>
  </w:style>
  <w:style w:type="character" w:customStyle="1" w:styleId="5Char">
    <w:name w:val="标题 5 Char"/>
    <w:link w:val="5"/>
    <w:uiPriority w:val="9"/>
    <w:rsid w:val="00FE4DE6"/>
    <w:rPr>
      <w:b/>
      <w:kern w:val="2"/>
      <w:sz w:val="28"/>
    </w:rPr>
  </w:style>
  <w:style w:type="character" w:customStyle="1" w:styleId="6Char">
    <w:name w:val="标题 6 Char"/>
    <w:link w:val="6"/>
    <w:uiPriority w:val="9"/>
    <w:rsid w:val="00FE4DE6"/>
    <w:rPr>
      <w:rFonts w:ascii="Arial" w:eastAsia="黑体" w:hAnsi="Arial"/>
      <w:b/>
      <w:kern w:val="2"/>
      <w:sz w:val="24"/>
    </w:rPr>
  </w:style>
  <w:style w:type="character" w:customStyle="1" w:styleId="7Char">
    <w:name w:val="标题 7 Char"/>
    <w:link w:val="7"/>
    <w:uiPriority w:val="9"/>
    <w:rsid w:val="00FE4DE6"/>
    <w:rPr>
      <w:b/>
      <w:kern w:val="2"/>
      <w:sz w:val="24"/>
    </w:rPr>
  </w:style>
  <w:style w:type="character" w:customStyle="1" w:styleId="8Char">
    <w:name w:val="标题 8 Char"/>
    <w:link w:val="8"/>
    <w:uiPriority w:val="9"/>
    <w:rsid w:val="00FE4DE6"/>
    <w:rPr>
      <w:rFonts w:ascii="Arial" w:eastAsia="黑体" w:hAnsi="Arial"/>
      <w:kern w:val="2"/>
      <w:sz w:val="24"/>
    </w:rPr>
  </w:style>
  <w:style w:type="character" w:customStyle="1" w:styleId="9Char">
    <w:name w:val="标题 9 Char"/>
    <w:link w:val="9"/>
    <w:uiPriority w:val="9"/>
    <w:rsid w:val="00FE4DE6"/>
    <w:rPr>
      <w:rFonts w:ascii="Arial" w:eastAsia="黑体" w:hAnsi="Arial"/>
      <w:kern w:val="2"/>
      <w:sz w:val="28"/>
    </w:rPr>
  </w:style>
  <w:style w:type="paragraph" w:styleId="a3">
    <w:name w:val="footer"/>
    <w:basedOn w:val="a"/>
    <w:link w:val="Char"/>
    <w:uiPriority w:val="99"/>
    <w:pPr>
      <w:pBdr>
        <w:bottom w:val="double" w:sz="4" w:space="1" w:color="auto"/>
      </w:pBdr>
      <w:tabs>
        <w:tab w:val="center" w:pos="4153"/>
        <w:tab w:val="right" w:pos="8306"/>
      </w:tabs>
      <w:snapToGrid w:val="0"/>
    </w:pPr>
    <w:rPr>
      <w:sz w:val="18"/>
      <w:szCs w:val="18"/>
    </w:rPr>
  </w:style>
  <w:style w:type="character" w:customStyle="1" w:styleId="Char">
    <w:name w:val="页脚 Char"/>
    <w:link w:val="a3"/>
    <w:uiPriority w:val="99"/>
    <w:rsid w:val="00FE4DE6"/>
    <w:rPr>
      <w:kern w:val="2"/>
      <w:sz w:val="18"/>
      <w:szCs w:val="18"/>
    </w:rPr>
  </w:style>
  <w:style w:type="character" w:styleId="a4">
    <w:name w:val="page number"/>
    <w:rPr>
      <w:bdr w:val="none" w:sz="0" w:space="0" w:color="auto"/>
    </w:rPr>
  </w:style>
  <w:style w:type="paragraph" w:styleId="a5">
    <w:name w:val="header"/>
    <w:basedOn w:val="a"/>
    <w:link w:val="Char0"/>
    <w:uiPriority w:val="99"/>
    <w:pPr>
      <w:pBdr>
        <w:bottom w:val="single" w:sz="12"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FE4DE6"/>
    <w:rPr>
      <w:kern w:val="2"/>
      <w:sz w:val="18"/>
      <w:szCs w:val="18"/>
    </w:rPr>
  </w:style>
  <w:style w:type="paragraph" w:styleId="10">
    <w:name w:val="toc 1"/>
    <w:basedOn w:val="a"/>
    <w:next w:val="a"/>
    <w:autoRedefine/>
    <w:uiPriority w:val="39"/>
    <w:rsid w:val="009B0B0F"/>
    <w:pPr>
      <w:tabs>
        <w:tab w:val="right" w:leader="dot" w:pos="8302"/>
      </w:tabs>
      <w:spacing w:before="120" w:after="240"/>
      <w:jc w:val="center"/>
    </w:pPr>
    <w:rPr>
      <w:rFonts w:ascii="Arial" w:hAnsi="Arial" w:cs="Arial"/>
      <w:b/>
      <w:bCs/>
      <w:caps/>
      <w:noProof/>
      <w:szCs w:val="21"/>
    </w:rPr>
  </w:style>
  <w:style w:type="paragraph" w:styleId="20">
    <w:name w:val="toc 2"/>
    <w:basedOn w:val="a"/>
    <w:next w:val="a"/>
    <w:autoRedefine/>
    <w:uiPriority w:val="39"/>
    <w:rsid w:val="000F128D"/>
    <w:pPr>
      <w:tabs>
        <w:tab w:val="right" w:leader="dot" w:pos="8302"/>
      </w:tabs>
      <w:ind w:left="210"/>
    </w:pPr>
    <w:rPr>
      <w:rFonts w:ascii="仿宋_GB2312" w:eastAsia="仿宋_GB2312"/>
      <w:smallCaps/>
      <w:noProof/>
      <w:szCs w:val="32"/>
    </w:rPr>
  </w:style>
  <w:style w:type="paragraph" w:styleId="30">
    <w:name w:val="toc 3"/>
    <w:basedOn w:val="a"/>
    <w:next w:val="a"/>
    <w:autoRedefine/>
    <w:semiHidden/>
    <w:pPr>
      <w:ind w:left="420"/>
    </w:pPr>
    <w:rPr>
      <w:i/>
      <w:iCs/>
    </w:rPr>
  </w:style>
  <w:style w:type="character" w:customStyle="1" w:styleId="a6">
    <w:name w:val="已访问的超链接"/>
    <w:rPr>
      <w:color w:val="800080"/>
      <w:u w:val="single"/>
    </w:rPr>
  </w:style>
  <w:style w:type="character" w:styleId="a7">
    <w:name w:val="Hyperlink"/>
    <w:uiPriority w:val="99"/>
    <w:rPr>
      <w:color w:val="0000FF"/>
      <w:u w:val="single"/>
    </w:rPr>
  </w:style>
  <w:style w:type="paragraph" w:customStyle="1" w:styleId="11">
    <w:name w:val="纯文本1"/>
    <w:basedOn w:val="a"/>
    <w:pPr>
      <w:autoSpaceDE w:val="0"/>
      <w:autoSpaceDN w:val="0"/>
      <w:adjustRightInd w:val="0"/>
    </w:pPr>
    <w:rPr>
      <w:szCs w:val="2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Body Text Indent 3"/>
    <w:basedOn w:val="a"/>
    <w:pPr>
      <w:adjustRightInd w:val="0"/>
      <w:snapToGrid w:val="0"/>
      <w:spacing w:line="360" w:lineRule="auto"/>
      <w:ind w:firstLine="570"/>
    </w:pPr>
    <w:rPr>
      <w:sz w:val="28"/>
    </w:rPr>
  </w:style>
  <w:style w:type="character" w:customStyle="1" w:styleId="p11">
    <w:name w:val="p11"/>
    <w:rPr>
      <w:rFonts w:ascii="宋体" w:eastAsia="宋体" w:hAnsi="宋体" w:hint="eastAsia"/>
      <w:sz w:val="18"/>
      <w:szCs w:val="18"/>
    </w:rPr>
  </w:style>
  <w:style w:type="paragraph" w:styleId="21">
    <w:name w:val="Body Text Indent 2"/>
    <w:basedOn w:val="a"/>
    <w:pPr>
      <w:adjustRightInd w:val="0"/>
      <w:snapToGrid w:val="0"/>
      <w:spacing w:line="360" w:lineRule="auto"/>
      <w:ind w:firstLine="570"/>
    </w:pPr>
    <w:rPr>
      <w:color w:val="000000"/>
      <w:spacing w:val="15"/>
      <w:sz w:val="28"/>
    </w:rPr>
  </w:style>
  <w:style w:type="paragraph" w:styleId="aa">
    <w:name w:val="Normal Indent"/>
    <w:basedOn w:val="a"/>
    <w:pPr>
      <w:ind w:firstLineChars="200" w:firstLine="560"/>
    </w:pPr>
    <w:rPr>
      <w:rFonts w:eastAsia="GungsuhChe"/>
      <w:color w:val="FF0000"/>
      <w:sz w:val="28"/>
    </w:rPr>
  </w:style>
  <w:style w:type="paragraph" w:styleId="ab">
    <w:name w:val="Normal (Web)"/>
    <w:basedOn w:val="a"/>
    <w:uiPriority w:val="99"/>
    <w:pPr>
      <w:spacing w:before="100" w:beforeAutospacing="1" w:after="100" w:afterAutospacing="1"/>
    </w:pPr>
  </w:style>
  <w:style w:type="paragraph" w:styleId="ac">
    <w:name w:val="Document Map"/>
    <w:basedOn w:val="a"/>
    <w:semiHidden/>
    <w:pPr>
      <w:shd w:val="clear" w:color="auto" w:fill="000080"/>
    </w:pPr>
  </w:style>
  <w:style w:type="paragraph" w:styleId="ad">
    <w:name w:val="Balloon Text"/>
    <w:basedOn w:val="a"/>
    <w:link w:val="Char1"/>
    <w:uiPriority w:val="99"/>
    <w:rPr>
      <w:sz w:val="18"/>
      <w:szCs w:val="18"/>
    </w:rPr>
  </w:style>
  <w:style w:type="character" w:customStyle="1" w:styleId="Char1">
    <w:name w:val="批注框文本 Char"/>
    <w:link w:val="ad"/>
    <w:uiPriority w:val="99"/>
    <w:rsid w:val="00FE4DE6"/>
    <w:rPr>
      <w:kern w:val="2"/>
      <w:sz w:val="18"/>
      <w:szCs w:val="18"/>
    </w:rPr>
  </w:style>
  <w:style w:type="paragraph" w:styleId="70">
    <w:name w:val="toc 7"/>
    <w:basedOn w:val="a"/>
    <w:next w:val="a"/>
    <w:autoRedefine/>
    <w:semiHidden/>
    <w:pPr>
      <w:adjustRightInd w:val="0"/>
      <w:spacing w:line="360" w:lineRule="auto"/>
      <w:ind w:firstLineChars="200" w:firstLine="200"/>
    </w:pPr>
    <w:rPr>
      <w:sz w:val="28"/>
      <w:szCs w:val="26"/>
    </w:rPr>
  </w:style>
  <w:style w:type="character" w:styleId="ae">
    <w:name w:val="Strong"/>
    <w:uiPriority w:val="22"/>
    <w:qFormat/>
    <w:rPr>
      <w:b/>
      <w:bCs/>
    </w:rPr>
  </w:style>
  <w:style w:type="character" w:customStyle="1" w:styleId="yqlink">
    <w:name w:val="yqlink"/>
    <w:basedOn w:val="a0"/>
  </w:style>
  <w:style w:type="paragraph" w:styleId="z-">
    <w:name w:val="HTML Top of Form"/>
    <w:basedOn w:val="a"/>
    <w:next w:val="a"/>
    <w:hidden/>
    <w:pPr>
      <w:pBdr>
        <w:bottom w:val="single" w:sz="6" w:space="1" w:color="auto"/>
      </w:pBdr>
      <w:jc w:val="center"/>
    </w:pPr>
    <w:rPr>
      <w:rFonts w:ascii="Arial" w:hAnsi="Arial" w:cs="Arial"/>
      <w:vanish/>
      <w:sz w:val="16"/>
      <w:szCs w:val="16"/>
    </w:rPr>
  </w:style>
  <w:style w:type="paragraph" w:styleId="z-0">
    <w:name w:val="HTML Bottom of Form"/>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character" w:customStyle="1" w:styleId="text1">
    <w:name w:val="text1"/>
    <w:rPr>
      <w:spacing w:val="10"/>
      <w:sz w:val="28"/>
      <w:szCs w:val="28"/>
    </w:rPr>
  </w:style>
  <w:style w:type="paragraph" w:customStyle="1" w:styleId="font5">
    <w:name w:val="font5"/>
    <w:basedOn w:val="a"/>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0">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styleId="32">
    <w:name w:val="Body Text 3"/>
    <w:basedOn w:val="a"/>
    <w:pPr>
      <w:spacing w:line="360" w:lineRule="auto"/>
    </w:pPr>
    <w:rPr>
      <w:rFonts w:ascii="仿宋_GB2312" w:eastAsia="仿宋_GB2312"/>
      <w:sz w:val="30"/>
    </w:rPr>
  </w:style>
  <w:style w:type="paragraph" w:styleId="af">
    <w:name w:val="Plain Text"/>
    <w:basedOn w:val="a"/>
    <w:rPr>
      <w:rFonts w:hAnsi="Courier New" w:cs="Courier New"/>
      <w:szCs w:val="21"/>
    </w:rPr>
  </w:style>
  <w:style w:type="paragraph" w:customStyle="1" w:styleId="Char2">
    <w:name w:val="Char"/>
    <w:basedOn w:val="a"/>
    <w:rsid w:val="00D96DC7"/>
    <w:rPr>
      <w:rFonts w:cs="Courier New"/>
      <w:sz w:val="32"/>
      <w:szCs w:val="32"/>
    </w:rPr>
  </w:style>
  <w:style w:type="character" w:customStyle="1" w:styleId="hei141">
    <w:name w:val="hei141"/>
    <w:rsid w:val="000D0DCE"/>
    <w:rPr>
      <w:color w:val="000000"/>
      <w:sz w:val="28"/>
      <w:szCs w:val="28"/>
    </w:rPr>
  </w:style>
  <w:style w:type="table" w:styleId="af0">
    <w:name w:val="Table Grid"/>
    <w:basedOn w:val="a1"/>
    <w:uiPriority w:val="39"/>
    <w:rsid w:val="00E1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F90B5A"/>
    <w:pPr>
      <w:ind w:firstLineChars="200" w:firstLine="420"/>
    </w:pPr>
  </w:style>
  <w:style w:type="character" w:customStyle="1" w:styleId="currentpricefontstylesp">
    <w:name w:val="currentprice fontstyle_sp"/>
    <w:basedOn w:val="a0"/>
    <w:rsid w:val="00985627"/>
  </w:style>
  <w:style w:type="paragraph" w:customStyle="1" w:styleId="Char10">
    <w:name w:val="Char1"/>
    <w:basedOn w:val="a"/>
    <w:rsid w:val="00577571"/>
    <w:rPr>
      <w:rFonts w:ascii="Tahoma" w:hAnsi="Tahoma"/>
      <w:szCs w:val="20"/>
    </w:rPr>
  </w:style>
  <w:style w:type="paragraph" w:customStyle="1" w:styleId="yiv73721737msonormal">
    <w:name w:val="yiv73721737msonormal"/>
    <w:basedOn w:val="a"/>
    <w:rsid w:val="00B63837"/>
    <w:pPr>
      <w:spacing w:before="100" w:beforeAutospacing="1" w:after="100" w:afterAutospacing="1"/>
    </w:pPr>
  </w:style>
  <w:style w:type="character" w:customStyle="1" w:styleId="apple-style-span">
    <w:name w:val="apple-style-span"/>
    <w:basedOn w:val="a0"/>
    <w:rsid w:val="00D6275D"/>
  </w:style>
  <w:style w:type="paragraph" w:customStyle="1" w:styleId="yiv409727469msonormal">
    <w:name w:val="yiv409727469msonormal"/>
    <w:basedOn w:val="a"/>
    <w:rsid w:val="00767F26"/>
    <w:pPr>
      <w:spacing w:before="100" w:beforeAutospacing="1" w:after="100" w:afterAutospacing="1"/>
    </w:pPr>
  </w:style>
  <w:style w:type="paragraph" w:customStyle="1" w:styleId="largefont">
    <w:name w:val="largefont"/>
    <w:basedOn w:val="a"/>
    <w:rsid w:val="00D87EAB"/>
    <w:pPr>
      <w:spacing w:before="100" w:beforeAutospacing="1" w:after="100" w:afterAutospacing="1" w:line="360" w:lineRule="auto"/>
      <w:ind w:firstLine="480"/>
    </w:pPr>
  </w:style>
  <w:style w:type="paragraph" w:customStyle="1" w:styleId="yiv129177480msonormal">
    <w:name w:val="yiv129177480msonormal"/>
    <w:basedOn w:val="a"/>
    <w:rsid w:val="00960448"/>
    <w:pPr>
      <w:spacing w:before="100" w:beforeAutospacing="1" w:after="100" w:afterAutospacing="1"/>
    </w:pPr>
  </w:style>
  <w:style w:type="character" w:customStyle="1" w:styleId="apple-converted-space">
    <w:name w:val="apple-converted-space"/>
    <w:basedOn w:val="a0"/>
    <w:rsid w:val="00960448"/>
  </w:style>
  <w:style w:type="paragraph" w:customStyle="1" w:styleId="12">
    <w:name w:val="列出段落1"/>
    <w:basedOn w:val="a"/>
    <w:uiPriority w:val="99"/>
    <w:rsid w:val="00255C9B"/>
    <w:pPr>
      <w:ind w:firstLineChars="200" w:firstLine="420"/>
    </w:pPr>
    <w:rPr>
      <w:rFonts w:ascii="Calibri" w:hAnsi="Calibri"/>
      <w:szCs w:val="22"/>
    </w:rPr>
  </w:style>
  <w:style w:type="character" w:customStyle="1" w:styleId="HeaderChar">
    <w:name w:val="Header Char"/>
    <w:uiPriority w:val="99"/>
    <w:semiHidden/>
    <w:locked/>
    <w:rsid w:val="00FE4DE6"/>
    <w:rPr>
      <w:rFonts w:cs="Times New Roman"/>
      <w:sz w:val="18"/>
      <w:szCs w:val="18"/>
    </w:rPr>
  </w:style>
  <w:style w:type="character" w:customStyle="1" w:styleId="FooterChar">
    <w:name w:val="Footer Char"/>
    <w:uiPriority w:val="99"/>
    <w:semiHidden/>
    <w:locked/>
    <w:rsid w:val="00FE4DE6"/>
    <w:rPr>
      <w:rFonts w:cs="Times New Roman"/>
      <w:sz w:val="18"/>
      <w:szCs w:val="18"/>
    </w:rPr>
  </w:style>
  <w:style w:type="character" w:customStyle="1" w:styleId="BalloonTextChar">
    <w:name w:val="Balloon Text Char"/>
    <w:uiPriority w:val="99"/>
    <w:semiHidden/>
    <w:locked/>
    <w:rsid w:val="00FE4DE6"/>
    <w:rPr>
      <w:rFonts w:cs="Times New Roman"/>
      <w:sz w:val="2"/>
    </w:rPr>
  </w:style>
  <w:style w:type="character" w:customStyle="1" w:styleId="13">
    <w:name w:val="已访问的超链接1"/>
    <w:uiPriority w:val="99"/>
    <w:rsid w:val="00FE4DE6"/>
    <w:rPr>
      <w:rFonts w:cs="Times New Roman"/>
      <w:color w:val="800080"/>
      <w:u w:val="single"/>
    </w:rPr>
  </w:style>
  <w:style w:type="paragraph" w:styleId="af2">
    <w:name w:val="caption"/>
    <w:basedOn w:val="a"/>
    <w:next w:val="a"/>
    <w:uiPriority w:val="99"/>
    <w:rsid w:val="00FE4DE6"/>
    <w:rPr>
      <w:rFonts w:ascii="Cambria" w:eastAsia="黑体" w:hAnsi="Cambria"/>
      <w:sz w:val="20"/>
      <w:szCs w:val="20"/>
    </w:rPr>
  </w:style>
  <w:style w:type="character" w:customStyle="1" w:styleId="scol41">
    <w:name w:val="s_col41"/>
    <w:rsid w:val="00FE4DE6"/>
    <w:rPr>
      <w:color w:val="CC0104"/>
    </w:rPr>
  </w:style>
  <w:style w:type="character" w:styleId="af3">
    <w:name w:val="Emphasis"/>
    <w:uiPriority w:val="20"/>
    <w:qFormat/>
    <w:rsid w:val="00FE4DE6"/>
    <w:rPr>
      <w:rFonts w:ascii="Calibri" w:hAnsi="Calibri"/>
      <w:b/>
      <w:i/>
      <w:iCs/>
    </w:rPr>
  </w:style>
  <w:style w:type="character" w:customStyle="1" w:styleId="zib">
    <w:name w:val="zib"/>
    <w:rsid w:val="00FE4DE6"/>
  </w:style>
  <w:style w:type="paragraph" w:customStyle="1" w:styleId="Default">
    <w:name w:val="Default"/>
    <w:rsid w:val="00FE4DE6"/>
    <w:pPr>
      <w:widowControl w:val="0"/>
      <w:autoSpaceDE w:val="0"/>
      <w:autoSpaceDN w:val="0"/>
      <w:adjustRightInd w:val="0"/>
    </w:pPr>
    <w:rPr>
      <w:rFonts w:ascii="Wingdings" w:hAnsi="Wingdings" w:cs="Wingdings"/>
      <w:color w:val="000000"/>
      <w:sz w:val="24"/>
      <w:szCs w:val="24"/>
    </w:rPr>
  </w:style>
  <w:style w:type="paragraph" w:styleId="af4">
    <w:name w:val="Date"/>
    <w:basedOn w:val="a"/>
    <w:next w:val="a"/>
    <w:link w:val="Char3"/>
    <w:uiPriority w:val="99"/>
    <w:unhideWhenUsed/>
    <w:rsid w:val="00FE4DE6"/>
    <w:pPr>
      <w:ind w:leftChars="2500" w:left="100"/>
    </w:pPr>
    <w:rPr>
      <w:rFonts w:ascii="Calibri" w:hAnsi="Calibri"/>
    </w:rPr>
  </w:style>
  <w:style w:type="character" w:customStyle="1" w:styleId="Char3">
    <w:name w:val="日期 Char"/>
    <w:link w:val="af4"/>
    <w:uiPriority w:val="99"/>
    <w:rsid w:val="00FE4DE6"/>
    <w:rPr>
      <w:rFonts w:ascii="Calibri" w:hAnsi="Calibri"/>
      <w:sz w:val="24"/>
      <w:szCs w:val="24"/>
    </w:rPr>
  </w:style>
  <w:style w:type="paragraph" w:styleId="af5">
    <w:name w:val="Title"/>
    <w:basedOn w:val="a"/>
    <w:next w:val="a"/>
    <w:link w:val="Char4"/>
    <w:uiPriority w:val="10"/>
    <w:qFormat/>
    <w:rsid w:val="00FE4DE6"/>
    <w:pPr>
      <w:spacing w:before="240" w:after="60"/>
      <w:jc w:val="center"/>
      <w:outlineLvl w:val="0"/>
    </w:pPr>
    <w:rPr>
      <w:rFonts w:ascii="Cambria" w:hAnsi="Cambria"/>
      <w:b/>
      <w:bCs/>
      <w:kern w:val="28"/>
      <w:sz w:val="32"/>
      <w:szCs w:val="32"/>
    </w:rPr>
  </w:style>
  <w:style w:type="character" w:customStyle="1" w:styleId="Char4">
    <w:name w:val="标题 Char"/>
    <w:link w:val="af5"/>
    <w:uiPriority w:val="10"/>
    <w:rsid w:val="00FE4DE6"/>
    <w:rPr>
      <w:rFonts w:ascii="Cambria" w:hAnsi="Cambria"/>
      <w:b/>
      <w:bCs/>
      <w:kern w:val="28"/>
      <w:sz w:val="32"/>
      <w:szCs w:val="32"/>
    </w:rPr>
  </w:style>
  <w:style w:type="paragraph" w:styleId="af6">
    <w:name w:val="Subtitle"/>
    <w:basedOn w:val="a"/>
    <w:next w:val="a"/>
    <w:link w:val="Char5"/>
    <w:uiPriority w:val="11"/>
    <w:qFormat/>
    <w:rsid w:val="00FE4DE6"/>
    <w:pPr>
      <w:spacing w:after="60"/>
      <w:jc w:val="center"/>
      <w:outlineLvl w:val="1"/>
    </w:pPr>
    <w:rPr>
      <w:rFonts w:ascii="Cambria" w:hAnsi="Cambria"/>
    </w:rPr>
  </w:style>
  <w:style w:type="character" w:customStyle="1" w:styleId="Char5">
    <w:name w:val="副标题 Char"/>
    <w:link w:val="af6"/>
    <w:uiPriority w:val="11"/>
    <w:rsid w:val="00FE4DE6"/>
    <w:rPr>
      <w:rFonts w:ascii="Cambria" w:hAnsi="Cambria"/>
      <w:sz w:val="24"/>
      <w:szCs w:val="24"/>
    </w:rPr>
  </w:style>
  <w:style w:type="paragraph" w:styleId="af7">
    <w:name w:val="No Spacing"/>
    <w:basedOn w:val="a"/>
    <w:uiPriority w:val="1"/>
    <w:qFormat/>
    <w:rsid w:val="00FE4DE6"/>
    <w:rPr>
      <w:rFonts w:ascii="Calibri" w:hAnsi="Calibri"/>
      <w:szCs w:val="32"/>
    </w:rPr>
  </w:style>
  <w:style w:type="paragraph" w:styleId="af8">
    <w:name w:val="Quote"/>
    <w:basedOn w:val="a"/>
    <w:next w:val="a"/>
    <w:link w:val="Char6"/>
    <w:uiPriority w:val="29"/>
    <w:qFormat/>
    <w:rsid w:val="00FE4DE6"/>
    <w:rPr>
      <w:rFonts w:ascii="Calibri" w:hAnsi="Calibri"/>
      <w:i/>
    </w:rPr>
  </w:style>
  <w:style w:type="character" w:customStyle="1" w:styleId="Char6">
    <w:name w:val="引用 Char"/>
    <w:link w:val="af8"/>
    <w:uiPriority w:val="29"/>
    <w:rsid w:val="00FE4DE6"/>
    <w:rPr>
      <w:rFonts w:ascii="Calibri" w:hAnsi="Calibri"/>
      <w:i/>
      <w:sz w:val="24"/>
      <w:szCs w:val="24"/>
    </w:rPr>
  </w:style>
  <w:style w:type="paragraph" w:styleId="af9">
    <w:name w:val="Intense Quote"/>
    <w:basedOn w:val="a"/>
    <w:next w:val="a"/>
    <w:link w:val="Char7"/>
    <w:uiPriority w:val="30"/>
    <w:qFormat/>
    <w:rsid w:val="00FE4DE6"/>
    <w:pPr>
      <w:ind w:left="720" w:right="720"/>
    </w:pPr>
    <w:rPr>
      <w:rFonts w:ascii="Calibri" w:hAnsi="Calibri"/>
      <w:b/>
      <w:i/>
      <w:szCs w:val="22"/>
    </w:rPr>
  </w:style>
  <w:style w:type="character" w:customStyle="1" w:styleId="Char7">
    <w:name w:val="明显引用 Char"/>
    <w:link w:val="af9"/>
    <w:uiPriority w:val="30"/>
    <w:rsid w:val="00FE4DE6"/>
    <w:rPr>
      <w:rFonts w:ascii="Calibri" w:hAnsi="Calibri"/>
      <w:b/>
      <w:i/>
      <w:sz w:val="24"/>
      <w:szCs w:val="22"/>
    </w:rPr>
  </w:style>
  <w:style w:type="character" w:styleId="afa">
    <w:name w:val="Subtle Emphasis"/>
    <w:uiPriority w:val="19"/>
    <w:qFormat/>
    <w:rsid w:val="00FE4DE6"/>
    <w:rPr>
      <w:i/>
      <w:color w:val="5A5A5A"/>
    </w:rPr>
  </w:style>
  <w:style w:type="character" w:styleId="afb">
    <w:name w:val="Intense Emphasis"/>
    <w:uiPriority w:val="21"/>
    <w:qFormat/>
    <w:rsid w:val="00FE4DE6"/>
    <w:rPr>
      <w:b/>
      <w:i/>
      <w:sz w:val="24"/>
      <w:szCs w:val="24"/>
      <w:u w:val="single"/>
    </w:rPr>
  </w:style>
  <w:style w:type="character" w:styleId="afc">
    <w:name w:val="Subtle Reference"/>
    <w:uiPriority w:val="31"/>
    <w:qFormat/>
    <w:rsid w:val="00FE4DE6"/>
    <w:rPr>
      <w:sz w:val="24"/>
      <w:szCs w:val="24"/>
      <w:u w:val="single"/>
    </w:rPr>
  </w:style>
  <w:style w:type="character" w:styleId="afd">
    <w:name w:val="Intense Reference"/>
    <w:uiPriority w:val="32"/>
    <w:qFormat/>
    <w:rsid w:val="00FE4DE6"/>
    <w:rPr>
      <w:b/>
      <w:sz w:val="24"/>
      <w:u w:val="single"/>
    </w:rPr>
  </w:style>
  <w:style w:type="character" w:styleId="afe">
    <w:name w:val="Book Title"/>
    <w:uiPriority w:val="33"/>
    <w:qFormat/>
    <w:rsid w:val="00FE4DE6"/>
    <w:rPr>
      <w:rFonts w:ascii="Cambria" w:eastAsia="宋体" w:hAnsi="Cambria"/>
      <w:b/>
      <w:i/>
      <w:sz w:val="24"/>
      <w:szCs w:val="24"/>
    </w:rPr>
  </w:style>
  <w:style w:type="paragraph" w:styleId="TOC">
    <w:name w:val="TOC Heading"/>
    <w:basedOn w:val="1"/>
    <w:next w:val="a"/>
    <w:uiPriority w:val="39"/>
    <w:semiHidden/>
    <w:unhideWhenUsed/>
    <w:qFormat/>
    <w:rsid w:val="00FE4DE6"/>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rsid w:val="00FE4DE6"/>
    <w:pPr>
      <w:spacing w:before="100" w:beforeAutospacing="1" w:after="115" w:line="360" w:lineRule="auto"/>
      <w:jc w:val="center"/>
    </w:pPr>
    <w:rPr>
      <w:b/>
      <w:bCs/>
      <w:color w:val="005FBE"/>
      <w:sz w:val="23"/>
      <w:szCs w:val="23"/>
    </w:rPr>
  </w:style>
  <w:style w:type="character" w:styleId="aff">
    <w:name w:val="annotation reference"/>
    <w:rsid w:val="003E3FC3"/>
    <w:rPr>
      <w:sz w:val="21"/>
      <w:szCs w:val="21"/>
    </w:rPr>
  </w:style>
  <w:style w:type="paragraph" w:styleId="aff0">
    <w:name w:val="annotation text"/>
    <w:basedOn w:val="a"/>
    <w:link w:val="Char8"/>
    <w:rsid w:val="003E3FC3"/>
  </w:style>
  <w:style w:type="character" w:customStyle="1" w:styleId="Char8">
    <w:name w:val="批注文字 Char"/>
    <w:link w:val="aff0"/>
    <w:rsid w:val="003E3FC3"/>
    <w:rPr>
      <w:kern w:val="2"/>
      <w:sz w:val="21"/>
      <w:szCs w:val="24"/>
    </w:rPr>
  </w:style>
  <w:style w:type="paragraph" w:styleId="aff1">
    <w:name w:val="annotation subject"/>
    <w:basedOn w:val="aff0"/>
    <w:next w:val="aff0"/>
    <w:link w:val="Char9"/>
    <w:rsid w:val="003E3FC3"/>
    <w:rPr>
      <w:b/>
      <w:bCs/>
    </w:rPr>
  </w:style>
  <w:style w:type="character" w:customStyle="1" w:styleId="Char9">
    <w:name w:val="批注主题 Char"/>
    <w:link w:val="aff1"/>
    <w:rsid w:val="003E3FC3"/>
    <w:rPr>
      <w:b/>
      <w:bCs/>
      <w:kern w:val="2"/>
      <w:sz w:val="21"/>
      <w:szCs w:val="24"/>
    </w:rPr>
  </w:style>
  <w:style w:type="paragraph" w:styleId="aff2">
    <w:name w:val="Revision"/>
    <w:hidden/>
    <w:uiPriority w:val="99"/>
    <w:semiHidden/>
    <w:rsid w:val="006A0CBC"/>
    <w:rPr>
      <w:kern w:val="2"/>
      <w:sz w:val="21"/>
      <w:szCs w:val="24"/>
    </w:rPr>
  </w:style>
  <w:style w:type="table" w:styleId="14">
    <w:name w:val="Table Classic 1"/>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1"/>
    <w:rsid w:val="0023591B"/>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F646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未处理的提及1"/>
    <w:uiPriority w:val="99"/>
    <w:semiHidden/>
    <w:unhideWhenUsed/>
    <w:rsid w:val="00B13994"/>
    <w:rPr>
      <w:color w:val="605E5C"/>
      <w:shd w:val="clear" w:color="auto" w:fill="E1DFDD"/>
    </w:rPr>
  </w:style>
  <w:style w:type="paragraph" w:customStyle="1" w:styleId="section">
    <w:name w:val="section"/>
    <w:basedOn w:val="a"/>
    <w:rsid w:val="009A481C"/>
    <w:pPr>
      <w:spacing w:before="100" w:beforeAutospacing="1" w:after="100" w:afterAutospacing="1"/>
    </w:pPr>
  </w:style>
  <w:style w:type="character" w:customStyle="1" w:styleId="lingraydarknoline1">
    <w:name w:val="lingraydark_noline1"/>
    <w:rsid w:val="00717207"/>
    <w:rPr>
      <w:color w:val="33333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4248">
      <w:bodyDiv w:val="1"/>
      <w:marLeft w:val="0"/>
      <w:marRight w:val="0"/>
      <w:marTop w:val="0"/>
      <w:marBottom w:val="0"/>
      <w:divBdr>
        <w:top w:val="none" w:sz="0" w:space="0" w:color="auto"/>
        <w:left w:val="none" w:sz="0" w:space="0" w:color="auto"/>
        <w:bottom w:val="none" w:sz="0" w:space="0" w:color="auto"/>
        <w:right w:val="none" w:sz="0" w:space="0" w:color="auto"/>
      </w:divBdr>
      <w:divsChild>
        <w:div w:id="489906967">
          <w:marLeft w:val="0"/>
          <w:marRight w:val="0"/>
          <w:marTop w:val="0"/>
          <w:marBottom w:val="0"/>
          <w:divBdr>
            <w:top w:val="none" w:sz="0" w:space="0" w:color="auto"/>
            <w:left w:val="none" w:sz="0" w:space="0" w:color="auto"/>
            <w:bottom w:val="none" w:sz="0" w:space="0" w:color="auto"/>
            <w:right w:val="none" w:sz="0" w:space="0" w:color="auto"/>
          </w:divBdr>
          <w:divsChild>
            <w:div w:id="219638752">
              <w:marLeft w:val="0"/>
              <w:marRight w:val="0"/>
              <w:marTop w:val="0"/>
              <w:marBottom w:val="0"/>
              <w:divBdr>
                <w:top w:val="none" w:sz="0" w:space="0" w:color="auto"/>
                <w:left w:val="none" w:sz="0" w:space="0" w:color="auto"/>
                <w:bottom w:val="none" w:sz="0" w:space="0" w:color="auto"/>
                <w:right w:val="none" w:sz="0" w:space="0" w:color="auto"/>
              </w:divBdr>
              <w:divsChild>
                <w:div w:id="1444303731">
                  <w:marLeft w:val="0"/>
                  <w:marRight w:val="0"/>
                  <w:marTop w:val="0"/>
                  <w:marBottom w:val="0"/>
                  <w:divBdr>
                    <w:top w:val="none" w:sz="0" w:space="0" w:color="auto"/>
                    <w:left w:val="none" w:sz="0" w:space="0" w:color="auto"/>
                    <w:bottom w:val="none" w:sz="0" w:space="0" w:color="auto"/>
                    <w:right w:val="none" w:sz="0" w:space="0" w:color="auto"/>
                  </w:divBdr>
                  <w:divsChild>
                    <w:div w:id="403189011">
                      <w:marLeft w:val="0"/>
                      <w:marRight w:val="0"/>
                      <w:marTop w:val="0"/>
                      <w:marBottom w:val="0"/>
                      <w:divBdr>
                        <w:top w:val="single" w:sz="8" w:space="0" w:color="AEAEAE"/>
                        <w:left w:val="single" w:sz="8" w:space="0" w:color="AEAEAE"/>
                        <w:bottom w:val="single" w:sz="8" w:space="0" w:color="AEAEAE"/>
                        <w:right w:val="single" w:sz="8" w:space="0" w:color="AEAEAE"/>
                      </w:divBdr>
                      <w:divsChild>
                        <w:div w:id="1345009094">
                          <w:marLeft w:val="0"/>
                          <w:marRight w:val="0"/>
                          <w:marTop w:val="0"/>
                          <w:marBottom w:val="0"/>
                          <w:divBdr>
                            <w:top w:val="none" w:sz="0" w:space="0" w:color="auto"/>
                            <w:left w:val="none" w:sz="0" w:space="0" w:color="auto"/>
                            <w:bottom w:val="none" w:sz="0" w:space="0" w:color="auto"/>
                            <w:right w:val="none" w:sz="0" w:space="0" w:color="auto"/>
                          </w:divBdr>
                          <w:divsChild>
                            <w:div w:id="707224652">
                              <w:marLeft w:val="0"/>
                              <w:marRight w:val="0"/>
                              <w:marTop w:val="0"/>
                              <w:marBottom w:val="0"/>
                              <w:divBdr>
                                <w:top w:val="none" w:sz="0" w:space="0" w:color="auto"/>
                                <w:left w:val="none" w:sz="0" w:space="0" w:color="auto"/>
                                <w:bottom w:val="none" w:sz="0" w:space="0" w:color="auto"/>
                                <w:right w:val="none" w:sz="0" w:space="0" w:color="auto"/>
                              </w:divBdr>
                              <w:divsChild>
                                <w:div w:id="188921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89302">
      <w:bodyDiv w:val="1"/>
      <w:marLeft w:val="0"/>
      <w:marRight w:val="0"/>
      <w:marTop w:val="0"/>
      <w:marBottom w:val="0"/>
      <w:divBdr>
        <w:top w:val="none" w:sz="0" w:space="0" w:color="auto"/>
        <w:left w:val="none" w:sz="0" w:space="0" w:color="auto"/>
        <w:bottom w:val="none" w:sz="0" w:space="0" w:color="auto"/>
        <w:right w:val="none" w:sz="0" w:space="0" w:color="auto"/>
      </w:divBdr>
    </w:div>
    <w:div w:id="21519373">
      <w:bodyDiv w:val="1"/>
      <w:marLeft w:val="0"/>
      <w:marRight w:val="0"/>
      <w:marTop w:val="0"/>
      <w:marBottom w:val="0"/>
      <w:divBdr>
        <w:top w:val="none" w:sz="0" w:space="0" w:color="auto"/>
        <w:left w:val="none" w:sz="0" w:space="0" w:color="auto"/>
        <w:bottom w:val="none" w:sz="0" w:space="0" w:color="auto"/>
        <w:right w:val="none" w:sz="0" w:space="0" w:color="auto"/>
      </w:divBdr>
    </w:div>
    <w:div w:id="25564983">
      <w:bodyDiv w:val="1"/>
      <w:marLeft w:val="0"/>
      <w:marRight w:val="0"/>
      <w:marTop w:val="0"/>
      <w:marBottom w:val="0"/>
      <w:divBdr>
        <w:top w:val="none" w:sz="0" w:space="0" w:color="auto"/>
        <w:left w:val="none" w:sz="0" w:space="0" w:color="auto"/>
        <w:bottom w:val="none" w:sz="0" w:space="0" w:color="auto"/>
        <w:right w:val="none" w:sz="0" w:space="0" w:color="auto"/>
      </w:divBdr>
      <w:divsChild>
        <w:div w:id="1014917234">
          <w:marLeft w:val="0"/>
          <w:marRight w:val="0"/>
          <w:marTop w:val="0"/>
          <w:marBottom w:val="0"/>
          <w:divBdr>
            <w:top w:val="none" w:sz="0" w:space="0" w:color="auto"/>
            <w:left w:val="none" w:sz="0" w:space="0" w:color="auto"/>
            <w:bottom w:val="none" w:sz="0" w:space="0" w:color="auto"/>
            <w:right w:val="none" w:sz="0" w:space="0" w:color="auto"/>
          </w:divBdr>
          <w:divsChild>
            <w:div w:id="1348868429">
              <w:marLeft w:val="0"/>
              <w:marRight w:val="0"/>
              <w:marTop w:val="411"/>
              <w:marBottom w:val="0"/>
              <w:divBdr>
                <w:top w:val="none" w:sz="0" w:space="0" w:color="auto"/>
                <w:left w:val="none" w:sz="0" w:space="0" w:color="auto"/>
                <w:bottom w:val="none" w:sz="0" w:space="0" w:color="auto"/>
                <w:right w:val="none" w:sz="0" w:space="0" w:color="auto"/>
              </w:divBdr>
              <w:divsChild>
                <w:div w:id="1672952888">
                  <w:marLeft w:val="0"/>
                  <w:marRight w:val="0"/>
                  <w:marTop w:val="0"/>
                  <w:marBottom w:val="0"/>
                  <w:divBdr>
                    <w:top w:val="none" w:sz="0" w:space="0" w:color="auto"/>
                    <w:left w:val="none" w:sz="0" w:space="0" w:color="auto"/>
                    <w:bottom w:val="none" w:sz="0" w:space="0" w:color="auto"/>
                    <w:right w:val="none" w:sz="0" w:space="0" w:color="auto"/>
                  </w:divBdr>
                  <w:divsChild>
                    <w:div w:id="704870971">
                      <w:marLeft w:val="79"/>
                      <w:marRight w:val="79"/>
                      <w:marTop w:val="0"/>
                      <w:marBottom w:val="0"/>
                      <w:divBdr>
                        <w:top w:val="none" w:sz="0" w:space="0" w:color="auto"/>
                        <w:left w:val="none" w:sz="0" w:space="0" w:color="auto"/>
                        <w:bottom w:val="none" w:sz="0" w:space="0" w:color="auto"/>
                        <w:right w:val="none" w:sz="0" w:space="0" w:color="auto"/>
                      </w:divBdr>
                      <w:divsChild>
                        <w:div w:id="1592009111">
                          <w:marLeft w:val="0"/>
                          <w:marRight w:val="0"/>
                          <w:marTop w:val="0"/>
                          <w:marBottom w:val="0"/>
                          <w:divBdr>
                            <w:top w:val="dashed" w:sz="6" w:space="0" w:color="DDDDDD"/>
                            <w:left w:val="none" w:sz="0" w:space="0" w:color="auto"/>
                            <w:bottom w:val="none" w:sz="0" w:space="0" w:color="auto"/>
                            <w:right w:val="none" w:sz="0" w:space="0" w:color="auto"/>
                          </w:divBdr>
                          <w:divsChild>
                            <w:div w:id="1452557496">
                              <w:marLeft w:val="0"/>
                              <w:marRight w:val="0"/>
                              <w:marTop w:val="0"/>
                              <w:marBottom w:val="0"/>
                              <w:divBdr>
                                <w:top w:val="none" w:sz="0" w:space="0" w:color="auto"/>
                                <w:left w:val="none" w:sz="0" w:space="0" w:color="auto"/>
                                <w:bottom w:val="none" w:sz="0" w:space="0" w:color="auto"/>
                                <w:right w:val="none" w:sz="0" w:space="0" w:color="auto"/>
                              </w:divBdr>
                              <w:divsChild>
                                <w:div w:id="1058210952">
                                  <w:marLeft w:val="0"/>
                                  <w:marRight w:val="0"/>
                                  <w:marTop w:val="79"/>
                                  <w:marBottom w:val="79"/>
                                  <w:divBdr>
                                    <w:top w:val="none" w:sz="0" w:space="0" w:color="auto"/>
                                    <w:left w:val="none" w:sz="0" w:space="0" w:color="auto"/>
                                    <w:bottom w:val="none" w:sz="0" w:space="0" w:color="auto"/>
                                    <w:right w:val="none" w:sz="0" w:space="0" w:color="auto"/>
                                  </w:divBdr>
                                  <w:divsChild>
                                    <w:div w:id="865026011">
                                      <w:marLeft w:val="0"/>
                                      <w:marRight w:val="0"/>
                                      <w:marTop w:val="0"/>
                                      <w:marBottom w:val="0"/>
                                      <w:divBdr>
                                        <w:top w:val="none" w:sz="0" w:space="0" w:color="auto"/>
                                        <w:left w:val="none" w:sz="0" w:space="0" w:color="auto"/>
                                        <w:bottom w:val="none" w:sz="0" w:space="0" w:color="auto"/>
                                        <w:right w:val="none" w:sz="0" w:space="0" w:color="auto"/>
                                      </w:divBdr>
                                      <w:divsChild>
                                        <w:div w:id="701783908">
                                          <w:marLeft w:val="554"/>
                                          <w:marRight w:val="0"/>
                                          <w:marTop w:val="0"/>
                                          <w:marBottom w:val="0"/>
                                          <w:divBdr>
                                            <w:top w:val="none" w:sz="0" w:space="0" w:color="auto"/>
                                            <w:left w:val="none" w:sz="0" w:space="0" w:color="auto"/>
                                            <w:bottom w:val="none" w:sz="0" w:space="0" w:color="auto"/>
                                            <w:right w:val="none" w:sz="0" w:space="0" w:color="auto"/>
                                          </w:divBdr>
                                          <w:divsChild>
                                            <w:div w:id="58727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745830">
      <w:bodyDiv w:val="1"/>
      <w:marLeft w:val="0"/>
      <w:marRight w:val="0"/>
      <w:marTop w:val="0"/>
      <w:marBottom w:val="0"/>
      <w:divBdr>
        <w:top w:val="none" w:sz="0" w:space="0" w:color="auto"/>
        <w:left w:val="none" w:sz="0" w:space="0" w:color="auto"/>
        <w:bottom w:val="none" w:sz="0" w:space="0" w:color="auto"/>
        <w:right w:val="none" w:sz="0" w:space="0" w:color="auto"/>
      </w:divBdr>
    </w:div>
    <w:div w:id="41515499">
      <w:bodyDiv w:val="1"/>
      <w:marLeft w:val="0"/>
      <w:marRight w:val="0"/>
      <w:marTop w:val="0"/>
      <w:marBottom w:val="0"/>
      <w:divBdr>
        <w:top w:val="none" w:sz="0" w:space="0" w:color="auto"/>
        <w:left w:val="none" w:sz="0" w:space="0" w:color="auto"/>
        <w:bottom w:val="none" w:sz="0" w:space="0" w:color="auto"/>
        <w:right w:val="none" w:sz="0" w:space="0" w:color="auto"/>
      </w:divBdr>
    </w:div>
    <w:div w:id="48965176">
      <w:bodyDiv w:val="1"/>
      <w:marLeft w:val="0"/>
      <w:marRight w:val="0"/>
      <w:marTop w:val="0"/>
      <w:marBottom w:val="0"/>
      <w:divBdr>
        <w:top w:val="none" w:sz="0" w:space="0" w:color="auto"/>
        <w:left w:val="none" w:sz="0" w:space="0" w:color="auto"/>
        <w:bottom w:val="none" w:sz="0" w:space="0" w:color="auto"/>
        <w:right w:val="none" w:sz="0" w:space="0" w:color="auto"/>
      </w:divBdr>
    </w:div>
    <w:div w:id="50153718">
      <w:bodyDiv w:val="1"/>
      <w:marLeft w:val="0"/>
      <w:marRight w:val="0"/>
      <w:marTop w:val="0"/>
      <w:marBottom w:val="0"/>
      <w:divBdr>
        <w:top w:val="none" w:sz="0" w:space="0" w:color="auto"/>
        <w:left w:val="none" w:sz="0" w:space="0" w:color="auto"/>
        <w:bottom w:val="none" w:sz="0" w:space="0" w:color="auto"/>
        <w:right w:val="none" w:sz="0" w:space="0" w:color="auto"/>
      </w:divBdr>
    </w:div>
    <w:div w:id="54860935">
      <w:bodyDiv w:val="1"/>
      <w:marLeft w:val="0"/>
      <w:marRight w:val="0"/>
      <w:marTop w:val="0"/>
      <w:marBottom w:val="0"/>
      <w:divBdr>
        <w:top w:val="none" w:sz="0" w:space="0" w:color="auto"/>
        <w:left w:val="none" w:sz="0" w:space="0" w:color="auto"/>
        <w:bottom w:val="none" w:sz="0" w:space="0" w:color="auto"/>
        <w:right w:val="none" w:sz="0" w:space="0" w:color="auto"/>
      </w:divBdr>
    </w:div>
    <w:div w:id="76026673">
      <w:bodyDiv w:val="1"/>
      <w:marLeft w:val="0"/>
      <w:marRight w:val="0"/>
      <w:marTop w:val="0"/>
      <w:marBottom w:val="0"/>
      <w:divBdr>
        <w:top w:val="none" w:sz="0" w:space="0" w:color="auto"/>
        <w:left w:val="none" w:sz="0" w:space="0" w:color="auto"/>
        <w:bottom w:val="none" w:sz="0" w:space="0" w:color="auto"/>
        <w:right w:val="none" w:sz="0" w:space="0" w:color="auto"/>
      </w:divBdr>
      <w:divsChild>
        <w:div w:id="2059936076">
          <w:marLeft w:val="0"/>
          <w:marRight w:val="0"/>
          <w:marTop w:val="0"/>
          <w:marBottom w:val="0"/>
          <w:divBdr>
            <w:top w:val="none" w:sz="0" w:space="0" w:color="auto"/>
            <w:left w:val="none" w:sz="0" w:space="0" w:color="auto"/>
            <w:bottom w:val="none" w:sz="0" w:space="0" w:color="auto"/>
            <w:right w:val="none" w:sz="0" w:space="0" w:color="auto"/>
          </w:divBdr>
          <w:divsChild>
            <w:div w:id="1023363384">
              <w:marLeft w:val="0"/>
              <w:marRight w:val="0"/>
              <w:marTop w:val="411"/>
              <w:marBottom w:val="0"/>
              <w:divBdr>
                <w:top w:val="none" w:sz="0" w:space="0" w:color="auto"/>
                <w:left w:val="none" w:sz="0" w:space="0" w:color="auto"/>
                <w:bottom w:val="none" w:sz="0" w:space="0" w:color="auto"/>
                <w:right w:val="none" w:sz="0" w:space="0" w:color="auto"/>
              </w:divBdr>
              <w:divsChild>
                <w:div w:id="1022974146">
                  <w:marLeft w:val="0"/>
                  <w:marRight w:val="0"/>
                  <w:marTop w:val="0"/>
                  <w:marBottom w:val="0"/>
                  <w:divBdr>
                    <w:top w:val="none" w:sz="0" w:space="0" w:color="auto"/>
                    <w:left w:val="none" w:sz="0" w:space="0" w:color="auto"/>
                    <w:bottom w:val="none" w:sz="0" w:space="0" w:color="auto"/>
                    <w:right w:val="none" w:sz="0" w:space="0" w:color="auto"/>
                  </w:divBdr>
                  <w:divsChild>
                    <w:div w:id="736172619">
                      <w:marLeft w:val="79"/>
                      <w:marRight w:val="79"/>
                      <w:marTop w:val="0"/>
                      <w:marBottom w:val="0"/>
                      <w:divBdr>
                        <w:top w:val="none" w:sz="0" w:space="0" w:color="auto"/>
                        <w:left w:val="none" w:sz="0" w:space="0" w:color="auto"/>
                        <w:bottom w:val="none" w:sz="0" w:space="0" w:color="auto"/>
                        <w:right w:val="none" w:sz="0" w:space="0" w:color="auto"/>
                      </w:divBdr>
                      <w:divsChild>
                        <w:div w:id="1585725492">
                          <w:marLeft w:val="0"/>
                          <w:marRight w:val="0"/>
                          <w:marTop w:val="0"/>
                          <w:marBottom w:val="0"/>
                          <w:divBdr>
                            <w:top w:val="dashed" w:sz="6" w:space="0" w:color="DDDDDD"/>
                            <w:left w:val="none" w:sz="0" w:space="0" w:color="auto"/>
                            <w:bottom w:val="none" w:sz="0" w:space="0" w:color="auto"/>
                            <w:right w:val="none" w:sz="0" w:space="0" w:color="auto"/>
                          </w:divBdr>
                          <w:divsChild>
                            <w:div w:id="1702394517">
                              <w:marLeft w:val="0"/>
                              <w:marRight w:val="0"/>
                              <w:marTop w:val="0"/>
                              <w:marBottom w:val="0"/>
                              <w:divBdr>
                                <w:top w:val="none" w:sz="0" w:space="0" w:color="auto"/>
                                <w:left w:val="none" w:sz="0" w:space="0" w:color="auto"/>
                                <w:bottom w:val="none" w:sz="0" w:space="0" w:color="auto"/>
                                <w:right w:val="none" w:sz="0" w:space="0" w:color="auto"/>
                              </w:divBdr>
                              <w:divsChild>
                                <w:div w:id="1363019228">
                                  <w:marLeft w:val="0"/>
                                  <w:marRight w:val="0"/>
                                  <w:marTop w:val="79"/>
                                  <w:marBottom w:val="79"/>
                                  <w:divBdr>
                                    <w:top w:val="none" w:sz="0" w:space="0" w:color="auto"/>
                                    <w:left w:val="none" w:sz="0" w:space="0" w:color="auto"/>
                                    <w:bottom w:val="none" w:sz="0" w:space="0" w:color="auto"/>
                                    <w:right w:val="none" w:sz="0" w:space="0" w:color="auto"/>
                                  </w:divBdr>
                                  <w:divsChild>
                                    <w:div w:id="1047606768">
                                      <w:marLeft w:val="0"/>
                                      <w:marRight w:val="0"/>
                                      <w:marTop w:val="0"/>
                                      <w:marBottom w:val="0"/>
                                      <w:divBdr>
                                        <w:top w:val="none" w:sz="0" w:space="0" w:color="auto"/>
                                        <w:left w:val="none" w:sz="0" w:space="0" w:color="auto"/>
                                        <w:bottom w:val="none" w:sz="0" w:space="0" w:color="auto"/>
                                        <w:right w:val="none" w:sz="0" w:space="0" w:color="auto"/>
                                      </w:divBdr>
                                      <w:divsChild>
                                        <w:div w:id="1843273912">
                                          <w:marLeft w:val="554"/>
                                          <w:marRight w:val="0"/>
                                          <w:marTop w:val="0"/>
                                          <w:marBottom w:val="0"/>
                                          <w:divBdr>
                                            <w:top w:val="none" w:sz="0" w:space="0" w:color="auto"/>
                                            <w:left w:val="none" w:sz="0" w:space="0" w:color="auto"/>
                                            <w:bottom w:val="none" w:sz="0" w:space="0" w:color="auto"/>
                                            <w:right w:val="none" w:sz="0" w:space="0" w:color="auto"/>
                                          </w:divBdr>
                                          <w:divsChild>
                                            <w:div w:id="8428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568585">
      <w:bodyDiv w:val="1"/>
      <w:marLeft w:val="0"/>
      <w:marRight w:val="0"/>
      <w:marTop w:val="0"/>
      <w:marBottom w:val="0"/>
      <w:divBdr>
        <w:top w:val="none" w:sz="0" w:space="0" w:color="auto"/>
        <w:left w:val="none" w:sz="0" w:space="0" w:color="auto"/>
        <w:bottom w:val="none" w:sz="0" w:space="0" w:color="auto"/>
        <w:right w:val="none" w:sz="0" w:space="0" w:color="auto"/>
      </w:divBdr>
      <w:divsChild>
        <w:div w:id="525141692">
          <w:marLeft w:val="461"/>
          <w:marRight w:val="0"/>
          <w:marTop w:val="0"/>
          <w:marBottom w:val="0"/>
          <w:divBdr>
            <w:top w:val="none" w:sz="0" w:space="0" w:color="auto"/>
            <w:left w:val="none" w:sz="0" w:space="0" w:color="auto"/>
            <w:bottom w:val="none" w:sz="0" w:space="0" w:color="auto"/>
            <w:right w:val="none" w:sz="0" w:space="0" w:color="auto"/>
          </w:divBdr>
        </w:div>
        <w:div w:id="1342733946">
          <w:marLeft w:val="461"/>
          <w:marRight w:val="0"/>
          <w:marTop w:val="0"/>
          <w:marBottom w:val="0"/>
          <w:divBdr>
            <w:top w:val="none" w:sz="0" w:space="0" w:color="auto"/>
            <w:left w:val="none" w:sz="0" w:space="0" w:color="auto"/>
            <w:bottom w:val="none" w:sz="0" w:space="0" w:color="auto"/>
            <w:right w:val="none" w:sz="0" w:space="0" w:color="auto"/>
          </w:divBdr>
        </w:div>
        <w:div w:id="1470198919">
          <w:marLeft w:val="461"/>
          <w:marRight w:val="0"/>
          <w:marTop w:val="0"/>
          <w:marBottom w:val="0"/>
          <w:divBdr>
            <w:top w:val="none" w:sz="0" w:space="0" w:color="auto"/>
            <w:left w:val="none" w:sz="0" w:space="0" w:color="auto"/>
            <w:bottom w:val="none" w:sz="0" w:space="0" w:color="auto"/>
            <w:right w:val="none" w:sz="0" w:space="0" w:color="auto"/>
          </w:divBdr>
        </w:div>
      </w:divsChild>
    </w:div>
    <w:div w:id="80611376">
      <w:bodyDiv w:val="1"/>
      <w:marLeft w:val="0"/>
      <w:marRight w:val="0"/>
      <w:marTop w:val="0"/>
      <w:marBottom w:val="0"/>
      <w:divBdr>
        <w:top w:val="none" w:sz="0" w:space="0" w:color="auto"/>
        <w:left w:val="none" w:sz="0" w:space="0" w:color="auto"/>
        <w:bottom w:val="none" w:sz="0" w:space="0" w:color="auto"/>
        <w:right w:val="none" w:sz="0" w:space="0" w:color="auto"/>
      </w:divBdr>
      <w:divsChild>
        <w:div w:id="274365319">
          <w:marLeft w:val="0"/>
          <w:marRight w:val="0"/>
          <w:marTop w:val="0"/>
          <w:marBottom w:val="0"/>
          <w:divBdr>
            <w:top w:val="none" w:sz="0" w:space="0" w:color="auto"/>
            <w:left w:val="none" w:sz="0" w:space="0" w:color="auto"/>
            <w:bottom w:val="none" w:sz="0" w:space="0" w:color="auto"/>
            <w:right w:val="none" w:sz="0" w:space="0" w:color="auto"/>
          </w:divBdr>
          <w:divsChild>
            <w:div w:id="1092163232">
              <w:marLeft w:val="0"/>
              <w:marRight w:val="0"/>
              <w:marTop w:val="15"/>
              <w:marBottom w:val="0"/>
              <w:divBdr>
                <w:top w:val="none" w:sz="0" w:space="0" w:color="auto"/>
                <w:left w:val="none" w:sz="0" w:space="0" w:color="auto"/>
                <w:bottom w:val="none" w:sz="0" w:space="0" w:color="auto"/>
                <w:right w:val="none" w:sz="0" w:space="0" w:color="auto"/>
              </w:divBdr>
              <w:divsChild>
                <w:div w:id="823660930">
                  <w:marLeft w:val="0"/>
                  <w:marRight w:val="0"/>
                  <w:marTop w:val="0"/>
                  <w:marBottom w:val="0"/>
                  <w:divBdr>
                    <w:top w:val="none" w:sz="0" w:space="0" w:color="auto"/>
                    <w:left w:val="single" w:sz="6" w:space="0" w:color="B5B5B5"/>
                    <w:bottom w:val="none" w:sz="0" w:space="0" w:color="auto"/>
                    <w:right w:val="single" w:sz="6" w:space="0" w:color="B5B5B5"/>
                  </w:divBdr>
                  <w:divsChild>
                    <w:div w:id="1077558584">
                      <w:marLeft w:val="75"/>
                      <w:marRight w:val="75"/>
                      <w:marTop w:val="0"/>
                      <w:marBottom w:val="0"/>
                      <w:divBdr>
                        <w:top w:val="none" w:sz="0" w:space="0" w:color="auto"/>
                        <w:left w:val="none" w:sz="0" w:space="0" w:color="auto"/>
                        <w:bottom w:val="none" w:sz="0" w:space="0" w:color="auto"/>
                        <w:right w:val="none" w:sz="0" w:space="0" w:color="auto"/>
                      </w:divBdr>
                      <w:divsChild>
                        <w:div w:id="796336349">
                          <w:marLeft w:val="0"/>
                          <w:marRight w:val="0"/>
                          <w:marTop w:val="0"/>
                          <w:marBottom w:val="0"/>
                          <w:divBdr>
                            <w:top w:val="dotted" w:sz="6" w:space="0" w:color="B5B5B5"/>
                            <w:left w:val="none" w:sz="0" w:space="0" w:color="auto"/>
                            <w:bottom w:val="none" w:sz="0" w:space="0" w:color="auto"/>
                            <w:right w:val="none" w:sz="0" w:space="0" w:color="auto"/>
                          </w:divBdr>
                          <w:divsChild>
                            <w:div w:id="1203053145">
                              <w:marLeft w:val="0"/>
                              <w:marRight w:val="0"/>
                              <w:marTop w:val="75"/>
                              <w:marBottom w:val="0"/>
                              <w:divBdr>
                                <w:top w:val="none" w:sz="0" w:space="0" w:color="auto"/>
                                <w:left w:val="none" w:sz="0" w:space="0" w:color="auto"/>
                                <w:bottom w:val="none" w:sz="0" w:space="0" w:color="auto"/>
                                <w:right w:val="none" w:sz="0" w:space="0" w:color="auto"/>
                              </w:divBdr>
                              <w:divsChild>
                                <w:div w:id="166016776">
                                  <w:marLeft w:val="0"/>
                                  <w:marRight w:val="0"/>
                                  <w:marTop w:val="0"/>
                                  <w:marBottom w:val="0"/>
                                  <w:divBdr>
                                    <w:top w:val="none" w:sz="0" w:space="0" w:color="auto"/>
                                    <w:left w:val="none" w:sz="0" w:space="0" w:color="auto"/>
                                    <w:bottom w:val="none" w:sz="0" w:space="0" w:color="auto"/>
                                    <w:right w:val="none" w:sz="0" w:space="0" w:color="auto"/>
                                  </w:divBdr>
                                  <w:divsChild>
                                    <w:div w:id="1876455442">
                                      <w:marLeft w:val="0"/>
                                      <w:marRight w:val="0"/>
                                      <w:marTop w:val="0"/>
                                      <w:marBottom w:val="0"/>
                                      <w:divBdr>
                                        <w:top w:val="none" w:sz="0" w:space="0" w:color="auto"/>
                                        <w:left w:val="none" w:sz="0" w:space="0" w:color="auto"/>
                                        <w:bottom w:val="none" w:sz="0" w:space="0" w:color="auto"/>
                                        <w:right w:val="none" w:sz="0" w:space="0" w:color="auto"/>
                                      </w:divBdr>
                                      <w:divsChild>
                                        <w:div w:id="1483885523">
                                          <w:marLeft w:val="525"/>
                                          <w:marRight w:val="0"/>
                                          <w:marTop w:val="0"/>
                                          <w:marBottom w:val="0"/>
                                          <w:divBdr>
                                            <w:top w:val="none" w:sz="0" w:space="0" w:color="auto"/>
                                            <w:left w:val="none" w:sz="0" w:space="0" w:color="auto"/>
                                            <w:bottom w:val="none" w:sz="0" w:space="0" w:color="auto"/>
                                            <w:right w:val="none" w:sz="0" w:space="0" w:color="auto"/>
                                          </w:divBdr>
                                          <w:divsChild>
                                            <w:div w:id="169595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881599">
      <w:bodyDiv w:val="1"/>
      <w:marLeft w:val="0"/>
      <w:marRight w:val="0"/>
      <w:marTop w:val="0"/>
      <w:marBottom w:val="0"/>
      <w:divBdr>
        <w:top w:val="none" w:sz="0" w:space="0" w:color="auto"/>
        <w:left w:val="none" w:sz="0" w:space="0" w:color="auto"/>
        <w:bottom w:val="none" w:sz="0" w:space="0" w:color="auto"/>
        <w:right w:val="none" w:sz="0" w:space="0" w:color="auto"/>
      </w:divBdr>
    </w:div>
    <w:div w:id="89662984">
      <w:bodyDiv w:val="1"/>
      <w:marLeft w:val="0"/>
      <w:marRight w:val="0"/>
      <w:marTop w:val="0"/>
      <w:marBottom w:val="0"/>
      <w:divBdr>
        <w:top w:val="none" w:sz="0" w:space="0" w:color="auto"/>
        <w:left w:val="none" w:sz="0" w:space="0" w:color="auto"/>
        <w:bottom w:val="none" w:sz="0" w:space="0" w:color="auto"/>
        <w:right w:val="none" w:sz="0" w:space="0" w:color="auto"/>
      </w:divBdr>
    </w:div>
    <w:div w:id="91434611">
      <w:bodyDiv w:val="1"/>
      <w:marLeft w:val="0"/>
      <w:marRight w:val="0"/>
      <w:marTop w:val="0"/>
      <w:marBottom w:val="0"/>
      <w:divBdr>
        <w:top w:val="none" w:sz="0" w:space="0" w:color="auto"/>
        <w:left w:val="none" w:sz="0" w:space="0" w:color="auto"/>
        <w:bottom w:val="none" w:sz="0" w:space="0" w:color="auto"/>
        <w:right w:val="none" w:sz="0" w:space="0" w:color="auto"/>
      </w:divBdr>
    </w:div>
    <w:div w:id="97139507">
      <w:bodyDiv w:val="1"/>
      <w:marLeft w:val="0"/>
      <w:marRight w:val="0"/>
      <w:marTop w:val="0"/>
      <w:marBottom w:val="0"/>
      <w:divBdr>
        <w:top w:val="none" w:sz="0" w:space="0" w:color="auto"/>
        <w:left w:val="none" w:sz="0" w:space="0" w:color="auto"/>
        <w:bottom w:val="none" w:sz="0" w:space="0" w:color="auto"/>
        <w:right w:val="none" w:sz="0" w:space="0" w:color="auto"/>
      </w:divBdr>
    </w:div>
    <w:div w:id="104932200">
      <w:bodyDiv w:val="1"/>
      <w:marLeft w:val="0"/>
      <w:marRight w:val="0"/>
      <w:marTop w:val="0"/>
      <w:marBottom w:val="0"/>
      <w:divBdr>
        <w:top w:val="none" w:sz="0" w:space="0" w:color="auto"/>
        <w:left w:val="none" w:sz="0" w:space="0" w:color="auto"/>
        <w:bottom w:val="none" w:sz="0" w:space="0" w:color="auto"/>
        <w:right w:val="none" w:sz="0" w:space="0" w:color="auto"/>
      </w:divBdr>
    </w:div>
    <w:div w:id="106702892">
      <w:bodyDiv w:val="1"/>
      <w:marLeft w:val="0"/>
      <w:marRight w:val="0"/>
      <w:marTop w:val="0"/>
      <w:marBottom w:val="0"/>
      <w:divBdr>
        <w:top w:val="none" w:sz="0" w:space="0" w:color="auto"/>
        <w:left w:val="none" w:sz="0" w:space="0" w:color="auto"/>
        <w:bottom w:val="none" w:sz="0" w:space="0" w:color="auto"/>
        <w:right w:val="none" w:sz="0" w:space="0" w:color="auto"/>
      </w:divBdr>
    </w:div>
    <w:div w:id="113329822">
      <w:bodyDiv w:val="1"/>
      <w:marLeft w:val="0"/>
      <w:marRight w:val="0"/>
      <w:marTop w:val="0"/>
      <w:marBottom w:val="0"/>
      <w:divBdr>
        <w:top w:val="none" w:sz="0" w:space="0" w:color="auto"/>
        <w:left w:val="none" w:sz="0" w:space="0" w:color="auto"/>
        <w:bottom w:val="none" w:sz="0" w:space="0" w:color="auto"/>
        <w:right w:val="none" w:sz="0" w:space="0" w:color="auto"/>
      </w:divBdr>
    </w:div>
    <w:div w:id="128130953">
      <w:bodyDiv w:val="1"/>
      <w:marLeft w:val="0"/>
      <w:marRight w:val="0"/>
      <w:marTop w:val="0"/>
      <w:marBottom w:val="0"/>
      <w:divBdr>
        <w:top w:val="none" w:sz="0" w:space="0" w:color="auto"/>
        <w:left w:val="none" w:sz="0" w:space="0" w:color="auto"/>
        <w:bottom w:val="none" w:sz="0" w:space="0" w:color="auto"/>
        <w:right w:val="none" w:sz="0" w:space="0" w:color="auto"/>
      </w:divBdr>
    </w:div>
    <w:div w:id="129134282">
      <w:bodyDiv w:val="1"/>
      <w:marLeft w:val="0"/>
      <w:marRight w:val="0"/>
      <w:marTop w:val="0"/>
      <w:marBottom w:val="0"/>
      <w:divBdr>
        <w:top w:val="none" w:sz="0" w:space="0" w:color="auto"/>
        <w:left w:val="none" w:sz="0" w:space="0" w:color="auto"/>
        <w:bottom w:val="none" w:sz="0" w:space="0" w:color="auto"/>
        <w:right w:val="none" w:sz="0" w:space="0" w:color="auto"/>
      </w:divBdr>
    </w:div>
    <w:div w:id="129636604">
      <w:bodyDiv w:val="1"/>
      <w:marLeft w:val="0"/>
      <w:marRight w:val="0"/>
      <w:marTop w:val="0"/>
      <w:marBottom w:val="0"/>
      <w:divBdr>
        <w:top w:val="none" w:sz="0" w:space="0" w:color="auto"/>
        <w:left w:val="none" w:sz="0" w:space="0" w:color="auto"/>
        <w:bottom w:val="none" w:sz="0" w:space="0" w:color="auto"/>
        <w:right w:val="none" w:sz="0" w:space="0" w:color="auto"/>
      </w:divBdr>
    </w:div>
    <w:div w:id="130364643">
      <w:bodyDiv w:val="1"/>
      <w:marLeft w:val="0"/>
      <w:marRight w:val="0"/>
      <w:marTop w:val="0"/>
      <w:marBottom w:val="0"/>
      <w:divBdr>
        <w:top w:val="none" w:sz="0" w:space="0" w:color="auto"/>
        <w:left w:val="none" w:sz="0" w:space="0" w:color="auto"/>
        <w:bottom w:val="none" w:sz="0" w:space="0" w:color="auto"/>
        <w:right w:val="none" w:sz="0" w:space="0" w:color="auto"/>
      </w:divBdr>
    </w:div>
    <w:div w:id="130445548">
      <w:bodyDiv w:val="1"/>
      <w:marLeft w:val="0"/>
      <w:marRight w:val="0"/>
      <w:marTop w:val="0"/>
      <w:marBottom w:val="0"/>
      <w:divBdr>
        <w:top w:val="none" w:sz="0" w:space="0" w:color="auto"/>
        <w:left w:val="none" w:sz="0" w:space="0" w:color="auto"/>
        <w:bottom w:val="none" w:sz="0" w:space="0" w:color="auto"/>
        <w:right w:val="none" w:sz="0" w:space="0" w:color="auto"/>
      </w:divBdr>
    </w:div>
    <w:div w:id="131093523">
      <w:bodyDiv w:val="1"/>
      <w:marLeft w:val="0"/>
      <w:marRight w:val="0"/>
      <w:marTop w:val="0"/>
      <w:marBottom w:val="0"/>
      <w:divBdr>
        <w:top w:val="none" w:sz="0" w:space="0" w:color="auto"/>
        <w:left w:val="none" w:sz="0" w:space="0" w:color="auto"/>
        <w:bottom w:val="none" w:sz="0" w:space="0" w:color="auto"/>
        <w:right w:val="none" w:sz="0" w:space="0" w:color="auto"/>
      </w:divBdr>
    </w:div>
    <w:div w:id="137384288">
      <w:bodyDiv w:val="1"/>
      <w:marLeft w:val="0"/>
      <w:marRight w:val="0"/>
      <w:marTop w:val="0"/>
      <w:marBottom w:val="0"/>
      <w:divBdr>
        <w:top w:val="none" w:sz="0" w:space="0" w:color="auto"/>
        <w:left w:val="none" w:sz="0" w:space="0" w:color="auto"/>
        <w:bottom w:val="none" w:sz="0" w:space="0" w:color="auto"/>
        <w:right w:val="none" w:sz="0" w:space="0" w:color="auto"/>
      </w:divBdr>
    </w:div>
    <w:div w:id="137500997">
      <w:bodyDiv w:val="1"/>
      <w:marLeft w:val="0"/>
      <w:marRight w:val="0"/>
      <w:marTop w:val="0"/>
      <w:marBottom w:val="0"/>
      <w:divBdr>
        <w:top w:val="none" w:sz="0" w:space="0" w:color="auto"/>
        <w:left w:val="none" w:sz="0" w:space="0" w:color="auto"/>
        <w:bottom w:val="none" w:sz="0" w:space="0" w:color="auto"/>
        <w:right w:val="none" w:sz="0" w:space="0" w:color="auto"/>
      </w:divBdr>
    </w:div>
    <w:div w:id="147523410">
      <w:bodyDiv w:val="1"/>
      <w:marLeft w:val="0"/>
      <w:marRight w:val="0"/>
      <w:marTop w:val="0"/>
      <w:marBottom w:val="0"/>
      <w:divBdr>
        <w:top w:val="none" w:sz="0" w:space="0" w:color="auto"/>
        <w:left w:val="none" w:sz="0" w:space="0" w:color="auto"/>
        <w:bottom w:val="none" w:sz="0" w:space="0" w:color="auto"/>
        <w:right w:val="none" w:sz="0" w:space="0" w:color="auto"/>
      </w:divBdr>
    </w:div>
    <w:div w:id="150487443">
      <w:bodyDiv w:val="1"/>
      <w:marLeft w:val="0"/>
      <w:marRight w:val="0"/>
      <w:marTop w:val="0"/>
      <w:marBottom w:val="0"/>
      <w:divBdr>
        <w:top w:val="none" w:sz="0" w:space="0" w:color="auto"/>
        <w:left w:val="none" w:sz="0" w:space="0" w:color="auto"/>
        <w:bottom w:val="none" w:sz="0" w:space="0" w:color="auto"/>
        <w:right w:val="none" w:sz="0" w:space="0" w:color="auto"/>
      </w:divBdr>
    </w:div>
    <w:div w:id="151407014">
      <w:bodyDiv w:val="1"/>
      <w:marLeft w:val="0"/>
      <w:marRight w:val="0"/>
      <w:marTop w:val="0"/>
      <w:marBottom w:val="0"/>
      <w:divBdr>
        <w:top w:val="none" w:sz="0" w:space="0" w:color="auto"/>
        <w:left w:val="none" w:sz="0" w:space="0" w:color="auto"/>
        <w:bottom w:val="none" w:sz="0" w:space="0" w:color="auto"/>
        <w:right w:val="none" w:sz="0" w:space="0" w:color="auto"/>
      </w:divBdr>
    </w:div>
    <w:div w:id="151601052">
      <w:bodyDiv w:val="1"/>
      <w:marLeft w:val="0"/>
      <w:marRight w:val="0"/>
      <w:marTop w:val="0"/>
      <w:marBottom w:val="0"/>
      <w:divBdr>
        <w:top w:val="none" w:sz="0" w:space="0" w:color="auto"/>
        <w:left w:val="none" w:sz="0" w:space="0" w:color="auto"/>
        <w:bottom w:val="none" w:sz="0" w:space="0" w:color="auto"/>
        <w:right w:val="none" w:sz="0" w:space="0" w:color="auto"/>
      </w:divBdr>
    </w:div>
    <w:div w:id="156532665">
      <w:bodyDiv w:val="1"/>
      <w:marLeft w:val="0"/>
      <w:marRight w:val="0"/>
      <w:marTop w:val="0"/>
      <w:marBottom w:val="0"/>
      <w:divBdr>
        <w:top w:val="none" w:sz="0" w:space="0" w:color="auto"/>
        <w:left w:val="none" w:sz="0" w:space="0" w:color="auto"/>
        <w:bottom w:val="none" w:sz="0" w:space="0" w:color="auto"/>
        <w:right w:val="none" w:sz="0" w:space="0" w:color="auto"/>
      </w:divBdr>
    </w:div>
    <w:div w:id="157037941">
      <w:bodyDiv w:val="1"/>
      <w:marLeft w:val="0"/>
      <w:marRight w:val="0"/>
      <w:marTop w:val="0"/>
      <w:marBottom w:val="0"/>
      <w:divBdr>
        <w:top w:val="none" w:sz="0" w:space="0" w:color="auto"/>
        <w:left w:val="none" w:sz="0" w:space="0" w:color="auto"/>
        <w:bottom w:val="none" w:sz="0" w:space="0" w:color="auto"/>
        <w:right w:val="none" w:sz="0" w:space="0" w:color="auto"/>
      </w:divBdr>
    </w:div>
    <w:div w:id="158932835">
      <w:bodyDiv w:val="1"/>
      <w:marLeft w:val="0"/>
      <w:marRight w:val="0"/>
      <w:marTop w:val="0"/>
      <w:marBottom w:val="0"/>
      <w:divBdr>
        <w:top w:val="none" w:sz="0" w:space="0" w:color="auto"/>
        <w:left w:val="none" w:sz="0" w:space="0" w:color="auto"/>
        <w:bottom w:val="none" w:sz="0" w:space="0" w:color="auto"/>
        <w:right w:val="none" w:sz="0" w:space="0" w:color="auto"/>
      </w:divBdr>
    </w:div>
    <w:div w:id="165366573">
      <w:bodyDiv w:val="1"/>
      <w:marLeft w:val="0"/>
      <w:marRight w:val="0"/>
      <w:marTop w:val="0"/>
      <w:marBottom w:val="0"/>
      <w:divBdr>
        <w:top w:val="none" w:sz="0" w:space="0" w:color="auto"/>
        <w:left w:val="none" w:sz="0" w:space="0" w:color="auto"/>
        <w:bottom w:val="none" w:sz="0" w:space="0" w:color="auto"/>
        <w:right w:val="none" w:sz="0" w:space="0" w:color="auto"/>
      </w:divBdr>
    </w:div>
    <w:div w:id="166478864">
      <w:bodyDiv w:val="1"/>
      <w:marLeft w:val="0"/>
      <w:marRight w:val="0"/>
      <w:marTop w:val="0"/>
      <w:marBottom w:val="0"/>
      <w:divBdr>
        <w:top w:val="none" w:sz="0" w:space="0" w:color="auto"/>
        <w:left w:val="none" w:sz="0" w:space="0" w:color="auto"/>
        <w:bottom w:val="none" w:sz="0" w:space="0" w:color="auto"/>
        <w:right w:val="none" w:sz="0" w:space="0" w:color="auto"/>
      </w:divBdr>
    </w:div>
    <w:div w:id="167720494">
      <w:bodyDiv w:val="1"/>
      <w:marLeft w:val="0"/>
      <w:marRight w:val="0"/>
      <w:marTop w:val="0"/>
      <w:marBottom w:val="0"/>
      <w:divBdr>
        <w:top w:val="none" w:sz="0" w:space="0" w:color="auto"/>
        <w:left w:val="none" w:sz="0" w:space="0" w:color="auto"/>
        <w:bottom w:val="none" w:sz="0" w:space="0" w:color="auto"/>
        <w:right w:val="none" w:sz="0" w:space="0" w:color="auto"/>
      </w:divBdr>
    </w:div>
    <w:div w:id="168066960">
      <w:bodyDiv w:val="1"/>
      <w:marLeft w:val="0"/>
      <w:marRight w:val="0"/>
      <w:marTop w:val="0"/>
      <w:marBottom w:val="0"/>
      <w:divBdr>
        <w:top w:val="none" w:sz="0" w:space="0" w:color="auto"/>
        <w:left w:val="none" w:sz="0" w:space="0" w:color="auto"/>
        <w:bottom w:val="none" w:sz="0" w:space="0" w:color="auto"/>
        <w:right w:val="none" w:sz="0" w:space="0" w:color="auto"/>
      </w:divBdr>
    </w:div>
    <w:div w:id="169611237">
      <w:bodyDiv w:val="1"/>
      <w:marLeft w:val="0"/>
      <w:marRight w:val="0"/>
      <w:marTop w:val="0"/>
      <w:marBottom w:val="0"/>
      <w:divBdr>
        <w:top w:val="none" w:sz="0" w:space="0" w:color="auto"/>
        <w:left w:val="none" w:sz="0" w:space="0" w:color="auto"/>
        <w:bottom w:val="none" w:sz="0" w:space="0" w:color="auto"/>
        <w:right w:val="none" w:sz="0" w:space="0" w:color="auto"/>
      </w:divBdr>
    </w:div>
    <w:div w:id="172500219">
      <w:bodyDiv w:val="1"/>
      <w:marLeft w:val="0"/>
      <w:marRight w:val="0"/>
      <w:marTop w:val="0"/>
      <w:marBottom w:val="0"/>
      <w:divBdr>
        <w:top w:val="none" w:sz="0" w:space="0" w:color="auto"/>
        <w:left w:val="none" w:sz="0" w:space="0" w:color="auto"/>
        <w:bottom w:val="none" w:sz="0" w:space="0" w:color="auto"/>
        <w:right w:val="none" w:sz="0" w:space="0" w:color="auto"/>
      </w:divBdr>
    </w:div>
    <w:div w:id="172958116">
      <w:bodyDiv w:val="1"/>
      <w:marLeft w:val="0"/>
      <w:marRight w:val="0"/>
      <w:marTop w:val="0"/>
      <w:marBottom w:val="0"/>
      <w:divBdr>
        <w:top w:val="none" w:sz="0" w:space="0" w:color="auto"/>
        <w:left w:val="none" w:sz="0" w:space="0" w:color="auto"/>
        <w:bottom w:val="none" w:sz="0" w:space="0" w:color="auto"/>
        <w:right w:val="none" w:sz="0" w:space="0" w:color="auto"/>
      </w:divBdr>
    </w:div>
    <w:div w:id="178782951">
      <w:bodyDiv w:val="1"/>
      <w:marLeft w:val="0"/>
      <w:marRight w:val="0"/>
      <w:marTop w:val="0"/>
      <w:marBottom w:val="0"/>
      <w:divBdr>
        <w:top w:val="none" w:sz="0" w:space="0" w:color="auto"/>
        <w:left w:val="none" w:sz="0" w:space="0" w:color="auto"/>
        <w:bottom w:val="none" w:sz="0" w:space="0" w:color="auto"/>
        <w:right w:val="none" w:sz="0" w:space="0" w:color="auto"/>
      </w:divBdr>
    </w:div>
    <w:div w:id="179006550">
      <w:bodyDiv w:val="1"/>
      <w:marLeft w:val="0"/>
      <w:marRight w:val="0"/>
      <w:marTop w:val="0"/>
      <w:marBottom w:val="0"/>
      <w:divBdr>
        <w:top w:val="none" w:sz="0" w:space="0" w:color="auto"/>
        <w:left w:val="none" w:sz="0" w:space="0" w:color="auto"/>
        <w:bottom w:val="none" w:sz="0" w:space="0" w:color="auto"/>
        <w:right w:val="none" w:sz="0" w:space="0" w:color="auto"/>
      </w:divBdr>
    </w:div>
    <w:div w:id="184372599">
      <w:bodyDiv w:val="1"/>
      <w:marLeft w:val="0"/>
      <w:marRight w:val="0"/>
      <w:marTop w:val="0"/>
      <w:marBottom w:val="0"/>
      <w:divBdr>
        <w:top w:val="none" w:sz="0" w:space="0" w:color="auto"/>
        <w:left w:val="none" w:sz="0" w:space="0" w:color="auto"/>
        <w:bottom w:val="none" w:sz="0" w:space="0" w:color="auto"/>
        <w:right w:val="none" w:sz="0" w:space="0" w:color="auto"/>
      </w:divBdr>
    </w:div>
    <w:div w:id="193688914">
      <w:bodyDiv w:val="1"/>
      <w:marLeft w:val="0"/>
      <w:marRight w:val="0"/>
      <w:marTop w:val="0"/>
      <w:marBottom w:val="0"/>
      <w:divBdr>
        <w:top w:val="none" w:sz="0" w:space="0" w:color="auto"/>
        <w:left w:val="none" w:sz="0" w:space="0" w:color="auto"/>
        <w:bottom w:val="none" w:sz="0" w:space="0" w:color="auto"/>
        <w:right w:val="none" w:sz="0" w:space="0" w:color="auto"/>
      </w:divBdr>
    </w:div>
    <w:div w:id="198398063">
      <w:bodyDiv w:val="1"/>
      <w:marLeft w:val="0"/>
      <w:marRight w:val="0"/>
      <w:marTop w:val="0"/>
      <w:marBottom w:val="0"/>
      <w:divBdr>
        <w:top w:val="none" w:sz="0" w:space="0" w:color="auto"/>
        <w:left w:val="none" w:sz="0" w:space="0" w:color="auto"/>
        <w:bottom w:val="none" w:sz="0" w:space="0" w:color="auto"/>
        <w:right w:val="none" w:sz="0" w:space="0" w:color="auto"/>
      </w:divBdr>
    </w:div>
    <w:div w:id="200361218">
      <w:bodyDiv w:val="1"/>
      <w:marLeft w:val="0"/>
      <w:marRight w:val="0"/>
      <w:marTop w:val="0"/>
      <w:marBottom w:val="0"/>
      <w:divBdr>
        <w:top w:val="none" w:sz="0" w:space="0" w:color="auto"/>
        <w:left w:val="none" w:sz="0" w:space="0" w:color="auto"/>
        <w:bottom w:val="none" w:sz="0" w:space="0" w:color="auto"/>
        <w:right w:val="none" w:sz="0" w:space="0" w:color="auto"/>
      </w:divBdr>
    </w:div>
    <w:div w:id="200674451">
      <w:bodyDiv w:val="1"/>
      <w:marLeft w:val="0"/>
      <w:marRight w:val="0"/>
      <w:marTop w:val="0"/>
      <w:marBottom w:val="0"/>
      <w:divBdr>
        <w:top w:val="none" w:sz="0" w:space="0" w:color="auto"/>
        <w:left w:val="none" w:sz="0" w:space="0" w:color="auto"/>
        <w:bottom w:val="none" w:sz="0" w:space="0" w:color="auto"/>
        <w:right w:val="none" w:sz="0" w:space="0" w:color="auto"/>
      </w:divBdr>
    </w:div>
    <w:div w:id="204829644">
      <w:bodyDiv w:val="1"/>
      <w:marLeft w:val="0"/>
      <w:marRight w:val="0"/>
      <w:marTop w:val="0"/>
      <w:marBottom w:val="0"/>
      <w:divBdr>
        <w:top w:val="none" w:sz="0" w:space="0" w:color="auto"/>
        <w:left w:val="none" w:sz="0" w:space="0" w:color="auto"/>
        <w:bottom w:val="none" w:sz="0" w:space="0" w:color="auto"/>
        <w:right w:val="none" w:sz="0" w:space="0" w:color="auto"/>
      </w:divBdr>
    </w:div>
    <w:div w:id="208493332">
      <w:bodyDiv w:val="1"/>
      <w:marLeft w:val="0"/>
      <w:marRight w:val="0"/>
      <w:marTop w:val="0"/>
      <w:marBottom w:val="0"/>
      <w:divBdr>
        <w:top w:val="none" w:sz="0" w:space="0" w:color="auto"/>
        <w:left w:val="none" w:sz="0" w:space="0" w:color="auto"/>
        <w:bottom w:val="none" w:sz="0" w:space="0" w:color="auto"/>
        <w:right w:val="none" w:sz="0" w:space="0" w:color="auto"/>
      </w:divBdr>
    </w:div>
    <w:div w:id="208761864">
      <w:bodyDiv w:val="1"/>
      <w:marLeft w:val="0"/>
      <w:marRight w:val="0"/>
      <w:marTop w:val="0"/>
      <w:marBottom w:val="0"/>
      <w:divBdr>
        <w:top w:val="none" w:sz="0" w:space="0" w:color="auto"/>
        <w:left w:val="none" w:sz="0" w:space="0" w:color="auto"/>
        <w:bottom w:val="none" w:sz="0" w:space="0" w:color="auto"/>
        <w:right w:val="none" w:sz="0" w:space="0" w:color="auto"/>
      </w:divBdr>
    </w:div>
    <w:div w:id="209461744">
      <w:bodyDiv w:val="1"/>
      <w:marLeft w:val="0"/>
      <w:marRight w:val="0"/>
      <w:marTop w:val="0"/>
      <w:marBottom w:val="0"/>
      <w:divBdr>
        <w:top w:val="none" w:sz="0" w:space="0" w:color="auto"/>
        <w:left w:val="none" w:sz="0" w:space="0" w:color="auto"/>
        <w:bottom w:val="none" w:sz="0" w:space="0" w:color="auto"/>
        <w:right w:val="none" w:sz="0" w:space="0" w:color="auto"/>
      </w:divBdr>
    </w:div>
    <w:div w:id="211354527">
      <w:bodyDiv w:val="1"/>
      <w:marLeft w:val="0"/>
      <w:marRight w:val="0"/>
      <w:marTop w:val="0"/>
      <w:marBottom w:val="0"/>
      <w:divBdr>
        <w:top w:val="none" w:sz="0" w:space="0" w:color="auto"/>
        <w:left w:val="none" w:sz="0" w:space="0" w:color="auto"/>
        <w:bottom w:val="none" w:sz="0" w:space="0" w:color="auto"/>
        <w:right w:val="none" w:sz="0" w:space="0" w:color="auto"/>
      </w:divBdr>
    </w:div>
    <w:div w:id="212351372">
      <w:bodyDiv w:val="1"/>
      <w:marLeft w:val="0"/>
      <w:marRight w:val="0"/>
      <w:marTop w:val="0"/>
      <w:marBottom w:val="0"/>
      <w:divBdr>
        <w:top w:val="none" w:sz="0" w:space="0" w:color="auto"/>
        <w:left w:val="none" w:sz="0" w:space="0" w:color="auto"/>
        <w:bottom w:val="none" w:sz="0" w:space="0" w:color="auto"/>
        <w:right w:val="none" w:sz="0" w:space="0" w:color="auto"/>
      </w:divBdr>
    </w:div>
    <w:div w:id="216666083">
      <w:bodyDiv w:val="1"/>
      <w:marLeft w:val="0"/>
      <w:marRight w:val="0"/>
      <w:marTop w:val="0"/>
      <w:marBottom w:val="0"/>
      <w:divBdr>
        <w:top w:val="none" w:sz="0" w:space="0" w:color="auto"/>
        <w:left w:val="none" w:sz="0" w:space="0" w:color="auto"/>
        <w:bottom w:val="none" w:sz="0" w:space="0" w:color="auto"/>
        <w:right w:val="none" w:sz="0" w:space="0" w:color="auto"/>
      </w:divBdr>
    </w:div>
    <w:div w:id="220599847">
      <w:bodyDiv w:val="1"/>
      <w:marLeft w:val="0"/>
      <w:marRight w:val="0"/>
      <w:marTop w:val="0"/>
      <w:marBottom w:val="0"/>
      <w:divBdr>
        <w:top w:val="none" w:sz="0" w:space="0" w:color="auto"/>
        <w:left w:val="none" w:sz="0" w:space="0" w:color="auto"/>
        <w:bottom w:val="none" w:sz="0" w:space="0" w:color="auto"/>
        <w:right w:val="none" w:sz="0" w:space="0" w:color="auto"/>
      </w:divBdr>
    </w:div>
    <w:div w:id="225144042">
      <w:bodyDiv w:val="1"/>
      <w:marLeft w:val="0"/>
      <w:marRight w:val="0"/>
      <w:marTop w:val="0"/>
      <w:marBottom w:val="0"/>
      <w:divBdr>
        <w:top w:val="none" w:sz="0" w:space="0" w:color="auto"/>
        <w:left w:val="none" w:sz="0" w:space="0" w:color="auto"/>
        <w:bottom w:val="none" w:sz="0" w:space="0" w:color="auto"/>
        <w:right w:val="none" w:sz="0" w:space="0" w:color="auto"/>
      </w:divBdr>
    </w:div>
    <w:div w:id="225992263">
      <w:bodyDiv w:val="1"/>
      <w:marLeft w:val="0"/>
      <w:marRight w:val="0"/>
      <w:marTop w:val="0"/>
      <w:marBottom w:val="0"/>
      <w:divBdr>
        <w:top w:val="none" w:sz="0" w:space="0" w:color="auto"/>
        <w:left w:val="none" w:sz="0" w:space="0" w:color="auto"/>
        <w:bottom w:val="none" w:sz="0" w:space="0" w:color="auto"/>
        <w:right w:val="none" w:sz="0" w:space="0" w:color="auto"/>
      </w:divBdr>
    </w:div>
    <w:div w:id="226770280">
      <w:bodyDiv w:val="1"/>
      <w:marLeft w:val="0"/>
      <w:marRight w:val="0"/>
      <w:marTop w:val="0"/>
      <w:marBottom w:val="0"/>
      <w:divBdr>
        <w:top w:val="none" w:sz="0" w:space="0" w:color="auto"/>
        <w:left w:val="none" w:sz="0" w:space="0" w:color="auto"/>
        <w:bottom w:val="none" w:sz="0" w:space="0" w:color="auto"/>
        <w:right w:val="none" w:sz="0" w:space="0" w:color="auto"/>
      </w:divBdr>
    </w:div>
    <w:div w:id="227156749">
      <w:bodyDiv w:val="1"/>
      <w:marLeft w:val="0"/>
      <w:marRight w:val="0"/>
      <w:marTop w:val="0"/>
      <w:marBottom w:val="0"/>
      <w:divBdr>
        <w:top w:val="none" w:sz="0" w:space="0" w:color="auto"/>
        <w:left w:val="none" w:sz="0" w:space="0" w:color="auto"/>
        <w:bottom w:val="none" w:sz="0" w:space="0" w:color="auto"/>
        <w:right w:val="none" w:sz="0" w:space="0" w:color="auto"/>
      </w:divBdr>
    </w:div>
    <w:div w:id="228079720">
      <w:bodyDiv w:val="1"/>
      <w:marLeft w:val="0"/>
      <w:marRight w:val="0"/>
      <w:marTop w:val="0"/>
      <w:marBottom w:val="0"/>
      <w:divBdr>
        <w:top w:val="none" w:sz="0" w:space="0" w:color="auto"/>
        <w:left w:val="none" w:sz="0" w:space="0" w:color="auto"/>
        <w:bottom w:val="none" w:sz="0" w:space="0" w:color="auto"/>
        <w:right w:val="none" w:sz="0" w:space="0" w:color="auto"/>
      </w:divBdr>
    </w:div>
    <w:div w:id="231309026">
      <w:bodyDiv w:val="1"/>
      <w:marLeft w:val="0"/>
      <w:marRight w:val="0"/>
      <w:marTop w:val="0"/>
      <w:marBottom w:val="0"/>
      <w:divBdr>
        <w:top w:val="none" w:sz="0" w:space="0" w:color="auto"/>
        <w:left w:val="none" w:sz="0" w:space="0" w:color="auto"/>
        <w:bottom w:val="none" w:sz="0" w:space="0" w:color="auto"/>
        <w:right w:val="none" w:sz="0" w:space="0" w:color="auto"/>
      </w:divBdr>
    </w:div>
    <w:div w:id="231814860">
      <w:bodyDiv w:val="1"/>
      <w:marLeft w:val="0"/>
      <w:marRight w:val="0"/>
      <w:marTop w:val="0"/>
      <w:marBottom w:val="0"/>
      <w:divBdr>
        <w:top w:val="none" w:sz="0" w:space="0" w:color="auto"/>
        <w:left w:val="none" w:sz="0" w:space="0" w:color="auto"/>
        <w:bottom w:val="none" w:sz="0" w:space="0" w:color="auto"/>
        <w:right w:val="none" w:sz="0" w:space="0" w:color="auto"/>
      </w:divBdr>
    </w:div>
    <w:div w:id="245964029">
      <w:bodyDiv w:val="1"/>
      <w:marLeft w:val="0"/>
      <w:marRight w:val="0"/>
      <w:marTop w:val="0"/>
      <w:marBottom w:val="0"/>
      <w:divBdr>
        <w:top w:val="none" w:sz="0" w:space="0" w:color="auto"/>
        <w:left w:val="none" w:sz="0" w:space="0" w:color="auto"/>
        <w:bottom w:val="none" w:sz="0" w:space="0" w:color="auto"/>
        <w:right w:val="none" w:sz="0" w:space="0" w:color="auto"/>
      </w:divBdr>
    </w:div>
    <w:div w:id="249117639">
      <w:bodyDiv w:val="1"/>
      <w:marLeft w:val="0"/>
      <w:marRight w:val="0"/>
      <w:marTop w:val="0"/>
      <w:marBottom w:val="0"/>
      <w:divBdr>
        <w:top w:val="none" w:sz="0" w:space="0" w:color="auto"/>
        <w:left w:val="none" w:sz="0" w:space="0" w:color="auto"/>
        <w:bottom w:val="none" w:sz="0" w:space="0" w:color="auto"/>
        <w:right w:val="none" w:sz="0" w:space="0" w:color="auto"/>
      </w:divBdr>
    </w:div>
    <w:div w:id="251396910">
      <w:bodyDiv w:val="1"/>
      <w:marLeft w:val="0"/>
      <w:marRight w:val="0"/>
      <w:marTop w:val="0"/>
      <w:marBottom w:val="0"/>
      <w:divBdr>
        <w:top w:val="none" w:sz="0" w:space="0" w:color="auto"/>
        <w:left w:val="none" w:sz="0" w:space="0" w:color="auto"/>
        <w:bottom w:val="none" w:sz="0" w:space="0" w:color="auto"/>
        <w:right w:val="none" w:sz="0" w:space="0" w:color="auto"/>
      </w:divBdr>
    </w:div>
    <w:div w:id="255407295">
      <w:bodyDiv w:val="1"/>
      <w:marLeft w:val="0"/>
      <w:marRight w:val="0"/>
      <w:marTop w:val="0"/>
      <w:marBottom w:val="0"/>
      <w:divBdr>
        <w:top w:val="none" w:sz="0" w:space="0" w:color="auto"/>
        <w:left w:val="none" w:sz="0" w:space="0" w:color="auto"/>
        <w:bottom w:val="none" w:sz="0" w:space="0" w:color="auto"/>
        <w:right w:val="none" w:sz="0" w:space="0" w:color="auto"/>
      </w:divBdr>
    </w:div>
    <w:div w:id="260453171">
      <w:bodyDiv w:val="1"/>
      <w:marLeft w:val="0"/>
      <w:marRight w:val="0"/>
      <w:marTop w:val="0"/>
      <w:marBottom w:val="0"/>
      <w:divBdr>
        <w:top w:val="none" w:sz="0" w:space="0" w:color="auto"/>
        <w:left w:val="none" w:sz="0" w:space="0" w:color="auto"/>
        <w:bottom w:val="none" w:sz="0" w:space="0" w:color="auto"/>
        <w:right w:val="none" w:sz="0" w:space="0" w:color="auto"/>
      </w:divBdr>
    </w:div>
    <w:div w:id="261883496">
      <w:bodyDiv w:val="1"/>
      <w:marLeft w:val="0"/>
      <w:marRight w:val="0"/>
      <w:marTop w:val="0"/>
      <w:marBottom w:val="0"/>
      <w:divBdr>
        <w:top w:val="none" w:sz="0" w:space="0" w:color="auto"/>
        <w:left w:val="none" w:sz="0" w:space="0" w:color="auto"/>
        <w:bottom w:val="none" w:sz="0" w:space="0" w:color="auto"/>
        <w:right w:val="none" w:sz="0" w:space="0" w:color="auto"/>
      </w:divBdr>
    </w:div>
    <w:div w:id="266960305">
      <w:bodyDiv w:val="1"/>
      <w:marLeft w:val="0"/>
      <w:marRight w:val="0"/>
      <w:marTop w:val="0"/>
      <w:marBottom w:val="0"/>
      <w:divBdr>
        <w:top w:val="none" w:sz="0" w:space="0" w:color="auto"/>
        <w:left w:val="none" w:sz="0" w:space="0" w:color="auto"/>
        <w:bottom w:val="none" w:sz="0" w:space="0" w:color="auto"/>
        <w:right w:val="none" w:sz="0" w:space="0" w:color="auto"/>
      </w:divBdr>
    </w:div>
    <w:div w:id="270935293">
      <w:bodyDiv w:val="1"/>
      <w:marLeft w:val="0"/>
      <w:marRight w:val="0"/>
      <w:marTop w:val="0"/>
      <w:marBottom w:val="0"/>
      <w:divBdr>
        <w:top w:val="none" w:sz="0" w:space="0" w:color="auto"/>
        <w:left w:val="none" w:sz="0" w:space="0" w:color="auto"/>
        <w:bottom w:val="none" w:sz="0" w:space="0" w:color="auto"/>
        <w:right w:val="none" w:sz="0" w:space="0" w:color="auto"/>
      </w:divBdr>
    </w:div>
    <w:div w:id="272130963">
      <w:bodyDiv w:val="1"/>
      <w:marLeft w:val="0"/>
      <w:marRight w:val="0"/>
      <w:marTop w:val="0"/>
      <w:marBottom w:val="0"/>
      <w:divBdr>
        <w:top w:val="none" w:sz="0" w:space="0" w:color="auto"/>
        <w:left w:val="none" w:sz="0" w:space="0" w:color="auto"/>
        <w:bottom w:val="none" w:sz="0" w:space="0" w:color="auto"/>
        <w:right w:val="none" w:sz="0" w:space="0" w:color="auto"/>
      </w:divBdr>
    </w:div>
    <w:div w:id="272246449">
      <w:bodyDiv w:val="1"/>
      <w:marLeft w:val="0"/>
      <w:marRight w:val="0"/>
      <w:marTop w:val="0"/>
      <w:marBottom w:val="0"/>
      <w:divBdr>
        <w:top w:val="none" w:sz="0" w:space="0" w:color="auto"/>
        <w:left w:val="none" w:sz="0" w:space="0" w:color="auto"/>
        <w:bottom w:val="none" w:sz="0" w:space="0" w:color="auto"/>
        <w:right w:val="none" w:sz="0" w:space="0" w:color="auto"/>
      </w:divBdr>
    </w:div>
    <w:div w:id="274562006">
      <w:bodyDiv w:val="1"/>
      <w:marLeft w:val="0"/>
      <w:marRight w:val="0"/>
      <w:marTop w:val="0"/>
      <w:marBottom w:val="0"/>
      <w:divBdr>
        <w:top w:val="none" w:sz="0" w:space="0" w:color="auto"/>
        <w:left w:val="none" w:sz="0" w:space="0" w:color="auto"/>
        <w:bottom w:val="none" w:sz="0" w:space="0" w:color="auto"/>
        <w:right w:val="none" w:sz="0" w:space="0" w:color="auto"/>
      </w:divBdr>
    </w:div>
    <w:div w:id="276065633">
      <w:bodyDiv w:val="1"/>
      <w:marLeft w:val="0"/>
      <w:marRight w:val="0"/>
      <w:marTop w:val="0"/>
      <w:marBottom w:val="0"/>
      <w:divBdr>
        <w:top w:val="none" w:sz="0" w:space="0" w:color="auto"/>
        <w:left w:val="none" w:sz="0" w:space="0" w:color="auto"/>
        <w:bottom w:val="none" w:sz="0" w:space="0" w:color="auto"/>
        <w:right w:val="none" w:sz="0" w:space="0" w:color="auto"/>
      </w:divBdr>
      <w:divsChild>
        <w:div w:id="1187019935">
          <w:marLeft w:val="0"/>
          <w:marRight w:val="0"/>
          <w:marTop w:val="0"/>
          <w:marBottom w:val="0"/>
          <w:divBdr>
            <w:top w:val="none" w:sz="0" w:space="0" w:color="auto"/>
            <w:left w:val="none" w:sz="0" w:space="0" w:color="auto"/>
            <w:bottom w:val="none" w:sz="0" w:space="0" w:color="auto"/>
            <w:right w:val="none" w:sz="0" w:space="0" w:color="auto"/>
          </w:divBdr>
          <w:divsChild>
            <w:div w:id="1032539714">
              <w:marLeft w:val="0"/>
              <w:marRight w:val="0"/>
              <w:marTop w:val="0"/>
              <w:marBottom w:val="0"/>
              <w:divBdr>
                <w:top w:val="none" w:sz="0" w:space="0" w:color="auto"/>
                <w:left w:val="none" w:sz="0" w:space="0" w:color="auto"/>
                <w:bottom w:val="none" w:sz="0" w:space="0" w:color="auto"/>
                <w:right w:val="none" w:sz="0" w:space="0" w:color="auto"/>
              </w:divBdr>
              <w:divsChild>
                <w:div w:id="1155994510">
                  <w:marLeft w:val="0"/>
                  <w:marRight w:val="0"/>
                  <w:marTop w:val="0"/>
                  <w:marBottom w:val="0"/>
                  <w:divBdr>
                    <w:top w:val="none" w:sz="0" w:space="0" w:color="auto"/>
                    <w:left w:val="none" w:sz="0" w:space="0" w:color="auto"/>
                    <w:bottom w:val="none" w:sz="0" w:space="0" w:color="auto"/>
                    <w:right w:val="none" w:sz="0" w:space="0" w:color="auto"/>
                  </w:divBdr>
                  <w:divsChild>
                    <w:div w:id="61291115">
                      <w:marLeft w:val="0"/>
                      <w:marRight w:val="0"/>
                      <w:marTop w:val="0"/>
                      <w:marBottom w:val="0"/>
                      <w:divBdr>
                        <w:top w:val="none" w:sz="0" w:space="0" w:color="auto"/>
                        <w:left w:val="none" w:sz="0" w:space="0" w:color="auto"/>
                        <w:bottom w:val="none" w:sz="0" w:space="0" w:color="auto"/>
                        <w:right w:val="none" w:sz="0" w:space="0" w:color="auto"/>
                      </w:divBdr>
                      <w:divsChild>
                        <w:div w:id="18128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688303">
      <w:bodyDiv w:val="1"/>
      <w:marLeft w:val="0"/>
      <w:marRight w:val="0"/>
      <w:marTop w:val="0"/>
      <w:marBottom w:val="0"/>
      <w:divBdr>
        <w:top w:val="none" w:sz="0" w:space="0" w:color="auto"/>
        <w:left w:val="none" w:sz="0" w:space="0" w:color="auto"/>
        <w:bottom w:val="none" w:sz="0" w:space="0" w:color="auto"/>
        <w:right w:val="none" w:sz="0" w:space="0" w:color="auto"/>
      </w:divBdr>
      <w:divsChild>
        <w:div w:id="2116828351">
          <w:marLeft w:val="0"/>
          <w:marRight w:val="0"/>
          <w:marTop w:val="0"/>
          <w:marBottom w:val="0"/>
          <w:divBdr>
            <w:top w:val="none" w:sz="0" w:space="0" w:color="auto"/>
            <w:left w:val="none" w:sz="0" w:space="0" w:color="auto"/>
            <w:bottom w:val="none" w:sz="0" w:space="0" w:color="auto"/>
            <w:right w:val="none" w:sz="0" w:space="0" w:color="auto"/>
          </w:divBdr>
          <w:divsChild>
            <w:div w:id="1397435458">
              <w:marLeft w:val="0"/>
              <w:marRight w:val="0"/>
              <w:marTop w:val="411"/>
              <w:marBottom w:val="0"/>
              <w:divBdr>
                <w:top w:val="none" w:sz="0" w:space="0" w:color="auto"/>
                <w:left w:val="none" w:sz="0" w:space="0" w:color="auto"/>
                <w:bottom w:val="none" w:sz="0" w:space="0" w:color="auto"/>
                <w:right w:val="none" w:sz="0" w:space="0" w:color="auto"/>
              </w:divBdr>
              <w:divsChild>
                <w:div w:id="570194734">
                  <w:marLeft w:val="0"/>
                  <w:marRight w:val="0"/>
                  <w:marTop w:val="0"/>
                  <w:marBottom w:val="0"/>
                  <w:divBdr>
                    <w:top w:val="none" w:sz="0" w:space="0" w:color="auto"/>
                    <w:left w:val="none" w:sz="0" w:space="0" w:color="auto"/>
                    <w:bottom w:val="none" w:sz="0" w:space="0" w:color="auto"/>
                    <w:right w:val="none" w:sz="0" w:space="0" w:color="auto"/>
                  </w:divBdr>
                  <w:divsChild>
                    <w:div w:id="1996300104">
                      <w:marLeft w:val="79"/>
                      <w:marRight w:val="79"/>
                      <w:marTop w:val="0"/>
                      <w:marBottom w:val="0"/>
                      <w:divBdr>
                        <w:top w:val="none" w:sz="0" w:space="0" w:color="auto"/>
                        <w:left w:val="none" w:sz="0" w:space="0" w:color="auto"/>
                        <w:bottom w:val="none" w:sz="0" w:space="0" w:color="auto"/>
                        <w:right w:val="none" w:sz="0" w:space="0" w:color="auto"/>
                      </w:divBdr>
                      <w:divsChild>
                        <w:div w:id="178738702">
                          <w:marLeft w:val="0"/>
                          <w:marRight w:val="0"/>
                          <w:marTop w:val="0"/>
                          <w:marBottom w:val="0"/>
                          <w:divBdr>
                            <w:top w:val="dashed" w:sz="6" w:space="0" w:color="DDDDDD"/>
                            <w:left w:val="none" w:sz="0" w:space="0" w:color="auto"/>
                            <w:bottom w:val="none" w:sz="0" w:space="0" w:color="auto"/>
                            <w:right w:val="none" w:sz="0" w:space="0" w:color="auto"/>
                          </w:divBdr>
                          <w:divsChild>
                            <w:div w:id="293410477">
                              <w:marLeft w:val="0"/>
                              <w:marRight w:val="0"/>
                              <w:marTop w:val="0"/>
                              <w:marBottom w:val="0"/>
                              <w:divBdr>
                                <w:top w:val="none" w:sz="0" w:space="0" w:color="auto"/>
                                <w:left w:val="none" w:sz="0" w:space="0" w:color="auto"/>
                                <w:bottom w:val="none" w:sz="0" w:space="0" w:color="auto"/>
                                <w:right w:val="none" w:sz="0" w:space="0" w:color="auto"/>
                              </w:divBdr>
                              <w:divsChild>
                                <w:div w:id="1213494451">
                                  <w:marLeft w:val="0"/>
                                  <w:marRight w:val="0"/>
                                  <w:marTop w:val="79"/>
                                  <w:marBottom w:val="79"/>
                                  <w:divBdr>
                                    <w:top w:val="none" w:sz="0" w:space="0" w:color="auto"/>
                                    <w:left w:val="none" w:sz="0" w:space="0" w:color="auto"/>
                                    <w:bottom w:val="none" w:sz="0" w:space="0" w:color="auto"/>
                                    <w:right w:val="none" w:sz="0" w:space="0" w:color="auto"/>
                                  </w:divBdr>
                                  <w:divsChild>
                                    <w:div w:id="2044861947">
                                      <w:marLeft w:val="0"/>
                                      <w:marRight w:val="0"/>
                                      <w:marTop w:val="0"/>
                                      <w:marBottom w:val="0"/>
                                      <w:divBdr>
                                        <w:top w:val="none" w:sz="0" w:space="0" w:color="auto"/>
                                        <w:left w:val="none" w:sz="0" w:space="0" w:color="auto"/>
                                        <w:bottom w:val="none" w:sz="0" w:space="0" w:color="auto"/>
                                        <w:right w:val="none" w:sz="0" w:space="0" w:color="auto"/>
                                      </w:divBdr>
                                      <w:divsChild>
                                        <w:div w:id="941063163">
                                          <w:marLeft w:val="554"/>
                                          <w:marRight w:val="0"/>
                                          <w:marTop w:val="0"/>
                                          <w:marBottom w:val="0"/>
                                          <w:divBdr>
                                            <w:top w:val="none" w:sz="0" w:space="0" w:color="auto"/>
                                            <w:left w:val="none" w:sz="0" w:space="0" w:color="auto"/>
                                            <w:bottom w:val="none" w:sz="0" w:space="0" w:color="auto"/>
                                            <w:right w:val="none" w:sz="0" w:space="0" w:color="auto"/>
                                          </w:divBdr>
                                          <w:divsChild>
                                            <w:div w:id="10092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6856532">
      <w:bodyDiv w:val="1"/>
      <w:marLeft w:val="0"/>
      <w:marRight w:val="0"/>
      <w:marTop w:val="0"/>
      <w:marBottom w:val="0"/>
      <w:divBdr>
        <w:top w:val="none" w:sz="0" w:space="0" w:color="auto"/>
        <w:left w:val="none" w:sz="0" w:space="0" w:color="auto"/>
        <w:bottom w:val="none" w:sz="0" w:space="0" w:color="auto"/>
        <w:right w:val="none" w:sz="0" w:space="0" w:color="auto"/>
      </w:divBdr>
    </w:div>
    <w:div w:id="290131335">
      <w:bodyDiv w:val="1"/>
      <w:marLeft w:val="0"/>
      <w:marRight w:val="0"/>
      <w:marTop w:val="0"/>
      <w:marBottom w:val="0"/>
      <w:divBdr>
        <w:top w:val="none" w:sz="0" w:space="0" w:color="auto"/>
        <w:left w:val="none" w:sz="0" w:space="0" w:color="auto"/>
        <w:bottom w:val="none" w:sz="0" w:space="0" w:color="auto"/>
        <w:right w:val="none" w:sz="0" w:space="0" w:color="auto"/>
      </w:divBdr>
    </w:div>
    <w:div w:id="302276354">
      <w:bodyDiv w:val="1"/>
      <w:marLeft w:val="0"/>
      <w:marRight w:val="0"/>
      <w:marTop w:val="0"/>
      <w:marBottom w:val="0"/>
      <w:divBdr>
        <w:top w:val="none" w:sz="0" w:space="0" w:color="auto"/>
        <w:left w:val="none" w:sz="0" w:space="0" w:color="auto"/>
        <w:bottom w:val="none" w:sz="0" w:space="0" w:color="auto"/>
        <w:right w:val="none" w:sz="0" w:space="0" w:color="auto"/>
      </w:divBdr>
    </w:div>
    <w:div w:id="305356600">
      <w:bodyDiv w:val="1"/>
      <w:marLeft w:val="0"/>
      <w:marRight w:val="0"/>
      <w:marTop w:val="0"/>
      <w:marBottom w:val="0"/>
      <w:divBdr>
        <w:top w:val="none" w:sz="0" w:space="0" w:color="auto"/>
        <w:left w:val="none" w:sz="0" w:space="0" w:color="auto"/>
        <w:bottom w:val="none" w:sz="0" w:space="0" w:color="auto"/>
        <w:right w:val="none" w:sz="0" w:space="0" w:color="auto"/>
      </w:divBdr>
    </w:div>
    <w:div w:id="306513037">
      <w:bodyDiv w:val="1"/>
      <w:marLeft w:val="0"/>
      <w:marRight w:val="0"/>
      <w:marTop w:val="0"/>
      <w:marBottom w:val="0"/>
      <w:divBdr>
        <w:top w:val="none" w:sz="0" w:space="0" w:color="auto"/>
        <w:left w:val="none" w:sz="0" w:space="0" w:color="auto"/>
        <w:bottom w:val="none" w:sz="0" w:space="0" w:color="auto"/>
        <w:right w:val="none" w:sz="0" w:space="0" w:color="auto"/>
      </w:divBdr>
    </w:div>
    <w:div w:id="308483120">
      <w:bodyDiv w:val="1"/>
      <w:marLeft w:val="0"/>
      <w:marRight w:val="0"/>
      <w:marTop w:val="0"/>
      <w:marBottom w:val="0"/>
      <w:divBdr>
        <w:top w:val="none" w:sz="0" w:space="0" w:color="auto"/>
        <w:left w:val="none" w:sz="0" w:space="0" w:color="auto"/>
        <w:bottom w:val="none" w:sz="0" w:space="0" w:color="auto"/>
        <w:right w:val="none" w:sz="0" w:space="0" w:color="auto"/>
      </w:divBdr>
    </w:div>
    <w:div w:id="313724787">
      <w:bodyDiv w:val="1"/>
      <w:marLeft w:val="0"/>
      <w:marRight w:val="0"/>
      <w:marTop w:val="0"/>
      <w:marBottom w:val="0"/>
      <w:divBdr>
        <w:top w:val="none" w:sz="0" w:space="0" w:color="auto"/>
        <w:left w:val="none" w:sz="0" w:space="0" w:color="auto"/>
        <w:bottom w:val="none" w:sz="0" w:space="0" w:color="auto"/>
        <w:right w:val="none" w:sz="0" w:space="0" w:color="auto"/>
      </w:divBdr>
    </w:div>
    <w:div w:id="320281789">
      <w:bodyDiv w:val="1"/>
      <w:marLeft w:val="0"/>
      <w:marRight w:val="0"/>
      <w:marTop w:val="0"/>
      <w:marBottom w:val="0"/>
      <w:divBdr>
        <w:top w:val="none" w:sz="0" w:space="0" w:color="auto"/>
        <w:left w:val="none" w:sz="0" w:space="0" w:color="auto"/>
        <w:bottom w:val="none" w:sz="0" w:space="0" w:color="auto"/>
        <w:right w:val="none" w:sz="0" w:space="0" w:color="auto"/>
      </w:divBdr>
    </w:div>
    <w:div w:id="320544341">
      <w:bodyDiv w:val="1"/>
      <w:marLeft w:val="0"/>
      <w:marRight w:val="0"/>
      <w:marTop w:val="0"/>
      <w:marBottom w:val="0"/>
      <w:divBdr>
        <w:top w:val="none" w:sz="0" w:space="0" w:color="auto"/>
        <w:left w:val="none" w:sz="0" w:space="0" w:color="auto"/>
        <w:bottom w:val="none" w:sz="0" w:space="0" w:color="auto"/>
        <w:right w:val="none" w:sz="0" w:space="0" w:color="auto"/>
      </w:divBdr>
    </w:div>
    <w:div w:id="322709755">
      <w:bodyDiv w:val="1"/>
      <w:marLeft w:val="0"/>
      <w:marRight w:val="0"/>
      <w:marTop w:val="0"/>
      <w:marBottom w:val="0"/>
      <w:divBdr>
        <w:top w:val="none" w:sz="0" w:space="0" w:color="auto"/>
        <w:left w:val="none" w:sz="0" w:space="0" w:color="auto"/>
        <w:bottom w:val="none" w:sz="0" w:space="0" w:color="auto"/>
        <w:right w:val="none" w:sz="0" w:space="0" w:color="auto"/>
      </w:divBdr>
    </w:div>
    <w:div w:id="324018674">
      <w:bodyDiv w:val="1"/>
      <w:marLeft w:val="0"/>
      <w:marRight w:val="0"/>
      <w:marTop w:val="0"/>
      <w:marBottom w:val="0"/>
      <w:divBdr>
        <w:top w:val="none" w:sz="0" w:space="0" w:color="auto"/>
        <w:left w:val="none" w:sz="0" w:space="0" w:color="auto"/>
        <w:bottom w:val="none" w:sz="0" w:space="0" w:color="auto"/>
        <w:right w:val="none" w:sz="0" w:space="0" w:color="auto"/>
      </w:divBdr>
    </w:div>
    <w:div w:id="329019271">
      <w:bodyDiv w:val="1"/>
      <w:marLeft w:val="0"/>
      <w:marRight w:val="0"/>
      <w:marTop w:val="0"/>
      <w:marBottom w:val="0"/>
      <w:divBdr>
        <w:top w:val="none" w:sz="0" w:space="0" w:color="auto"/>
        <w:left w:val="none" w:sz="0" w:space="0" w:color="auto"/>
        <w:bottom w:val="none" w:sz="0" w:space="0" w:color="auto"/>
        <w:right w:val="none" w:sz="0" w:space="0" w:color="auto"/>
      </w:divBdr>
    </w:div>
    <w:div w:id="332071138">
      <w:bodyDiv w:val="1"/>
      <w:marLeft w:val="0"/>
      <w:marRight w:val="0"/>
      <w:marTop w:val="0"/>
      <w:marBottom w:val="0"/>
      <w:divBdr>
        <w:top w:val="none" w:sz="0" w:space="0" w:color="auto"/>
        <w:left w:val="none" w:sz="0" w:space="0" w:color="auto"/>
        <w:bottom w:val="none" w:sz="0" w:space="0" w:color="auto"/>
        <w:right w:val="none" w:sz="0" w:space="0" w:color="auto"/>
      </w:divBdr>
    </w:div>
    <w:div w:id="334109393">
      <w:bodyDiv w:val="1"/>
      <w:marLeft w:val="0"/>
      <w:marRight w:val="0"/>
      <w:marTop w:val="0"/>
      <w:marBottom w:val="0"/>
      <w:divBdr>
        <w:top w:val="none" w:sz="0" w:space="0" w:color="auto"/>
        <w:left w:val="none" w:sz="0" w:space="0" w:color="auto"/>
        <w:bottom w:val="none" w:sz="0" w:space="0" w:color="auto"/>
        <w:right w:val="none" w:sz="0" w:space="0" w:color="auto"/>
      </w:divBdr>
    </w:div>
    <w:div w:id="336154315">
      <w:bodyDiv w:val="1"/>
      <w:marLeft w:val="0"/>
      <w:marRight w:val="0"/>
      <w:marTop w:val="0"/>
      <w:marBottom w:val="0"/>
      <w:divBdr>
        <w:top w:val="none" w:sz="0" w:space="0" w:color="auto"/>
        <w:left w:val="none" w:sz="0" w:space="0" w:color="auto"/>
        <w:bottom w:val="none" w:sz="0" w:space="0" w:color="auto"/>
        <w:right w:val="none" w:sz="0" w:space="0" w:color="auto"/>
      </w:divBdr>
    </w:div>
    <w:div w:id="338193308">
      <w:bodyDiv w:val="1"/>
      <w:marLeft w:val="0"/>
      <w:marRight w:val="0"/>
      <w:marTop w:val="0"/>
      <w:marBottom w:val="0"/>
      <w:divBdr>
        <w:top w:val="none" w:sz="0" w:space="0" w:color="auto"/>
        <w:left w:val="none" w:sz="0" w:space="0" w:color="auto"/>
        <w:bottom w:val="none" w:sz="0" w:space="0" w:color="auto"/>
        <w:right w:val="none" w:sz="0" w:space="0" w:color="auto"/>
      </w:divBdr>
      <w:divsChild>
        <w:div w:id="1779565886">
          <w:marLeft w:val="0"/>
          <w:marRight w:val="0"/>
          <w:marTop w:val="0"/>
          <w:marBottom w:val="0"/>
          <w:divBdr>
            <w:top w:val="none" w:sz="0" w:space="0" w:color="auto"/>
            <w:left w:val="none" w:sz="0" w:space="0" w:color="auto"/>
            <w:bottom w:val="none" w:sz="0" w:space="0" w:color="auto"/>
            <w:right w:val="none" w:sz="0" w:space="0" w:color="auto"/>
          </w:divBdr>
          <w:divsChild>
            <w:div w:id="1769885844">
              <w:marLeft w:val="0"/>
              <w:marRight w:val="0"/>
              <w:marTop w:val="411"/>
              <w:marBottom w:val="0"/>
              <w:divBdr>
                <w:top w:val="none" w:sz="0" w:space="0" w:color="auto"/>
                <w:left w:val="none" w:sz="0" w:space="0" w:color="auto"/>
                <w:bottom w:val="none" w:sz="0" w:space="0" w:color="auto"/>
                <w:right w:val="none" w:sz="0" w:space="0" w:color="auto"/>
              </w:divBdr>
              <w:divsChild>
                <w:div w:id="2122217556">
                  <w:marLeft w:val="0"/>
                  <w:marRight w:val="0"/>
                  <w:marTop w:val="0"/>
                  <w:marBottom w:val="0"/>
                  <w:divBdr>
                    <w:top w:val="none" w:sz="0" w:space="0" w:color="auto"/>
                    <w:left w:val="none" w:sz="0" w:space="0" w:color="auto"/>
                    <w:bottom w:val="none" w:sz="0" w:space="0" w:color="auto"/>
                    <w:right w:val="none" w:sz="0" w:space="0" w:color="auto"/>
                  </w:divBdr>
                  <w:divsChild>
                    <w:div w:id="840389498">
                      <w:marLeft w:val="79"/>
                      <w:marRight w:val="79"/>
                      <w:marTop w:val="0"/>
                      <w:marBottom w:val="0"/>
                      <w:divBdr>
                        <w:top w:val="none" w:sz="0" w:space="0" w:color="auto"/>
                        <w:left w:val="none" w:sz="0" w:space="0" w:color="auto"/>
                        <w:bottom w:val="none" w:sz="0" w:space="0" w:color="auto"/>
                        <w:right w:val="none" w:sz="0" w:space="0" w:color="auto"/>
                      </w:divBdr>
                      <w:divsChild>
                        <w:div w:id="2097050086">
                          <w:marLeft w:val="0"/>
                          <w:marRight w:val="0"/>
                          <w:marTop w:val="0"/>
                          <w:marBottom w:val="0"/>
                          <w:divBdr>
                            <w:top w:val="dashed" w:sz="6" w:space="0" w:color="DDDDDD"/>
                            <w:left w:val="none" w:sz="0" w:space="0" w:color="auto"/>
                            <w:bottom w:val="none" w:sz="0" w:space="0" w:color="auto"/>
                            <w:right w:val="none" w:sz="0" w:space="0" w:color="auto"/>
                          </w:divBdr>
                          <w:divsChild>
                            <w:div w:id="394012164">
                              <w:marLeft w:val="0"/>
                              <w:marRight w:val="0"/>
                              <w:marTop w:val="0"/>
                              <w:marBottom w:val="0"/>
                              <w:divBdr>
                                <w:top w:val="none" w:sz="0" w:space="0" w:color="auto"/>
                                <w:left w:val="none" w:sz="0" w:space="0" w:color="auto"/>
                                <w:bottom w:val="none" w:sz="0" w:space="0" w:color="auto"/>
                                <w:right w:val="none" w:sz="0" w:space="0" w:color="auto"/>
                              </w:divBdr>
                              <w:divsChild>
                                <w:div w:id="1636253754">
                                  <w:marLeft w:val="0"/>
                                  <w:marRight w:val="0"/>
                                  <w:marTop w:val="79"/>
                                  <w:marBottom w:val="79"/>
                                  <w:divBdr>
                                    <w:top w:val="none" w:sz="0" w:space="0" w:color="auto"/>
                                    <w:left w:val="none" w:sz="0" w:space="0" w:color="auto"/>
                                    <w:bottom w:val="none" w:sz="0" w:space="0" w:color="auto"/>
                                    <w:right w:val="none" w:sz="0" w:space="0" w:color="auto"/>
                                  </w:divBdr>
                                  <w:divsChild>
                                    <w:div w:id="1297103014">
                                      <w:marLeft w:val="0"/>
                                      <w:marRight w:val="0"/>
                                      <w:marTop w:val="0"/>
                                      <w:marBottom w:val="0"/>
                                      <w:divBdr>
                                        <w:top w:val="none" w:sz="0" w:space="0" w:color="auto"/>
                                        <w:left w:val="none" w:sz="0" w:space="0" w:color="auto"/>
                                        <w:bottom w:val="none" w:sz="0" w:space="0" w:color="auto"/>
                                        <w:right w:val="none" w:sz="0" w:space="0" w:color="auto"/>
                                      </w:divBdr>
                                      <w:divsChild>
                                        <w:div w:id="973215107">
                                          <w:marLeft w:val="554"/>
                                          <w:marRight w:val="0"/>
                                          <w:marTop w:val="0"/>
                                          <w:marBottom w:val="0"/>
                                          <w:divBdr>
                                            <w:top w:val="none" w:sz="0" w:space="0" w:color="auto"/>
                                            <w:left w:val="none" w:sz="0" w:space="0" w:color="auto"/>
                                            <w:bottom w:val="none" w:sz="0" w:space="0" w:color="auto"/>
                                            <w:right w:val="none" w:sz="0" w:space="0" w:color="auto"/>
                                          </w:divBdr>
                                          <w:divsChild>
                                            <w:div w:id="6977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3283785">
      <w:bodyDiv w:val="1"/>
      <w:marLeft w:val="0"/>
      <w:marRight w:val="0"/>
      <w:marTop w:val="0"/>
      <w:marBottom w:val="0"/>
      <w:divBdr>
        <w:top w:val="none" w:sz="0" w:space="0" w:color="auto"/>
        <w:left w:val="none" w:sz="0" w:space="0" w:color="auto"/>
        <w:bottom w:val="none" w:sz="0" w:space="0" w:color="auto"/>
        <w:right w:val="none" w:sz="0" w:space="0" w:color="auto"/>
      </w:divBdr>
    </w:div>
    <w:div w:id="343941522">
      <w:bodyDiv w:val="1"/>
      <w:marLeft w:val="0"/>
      <w:marRight w:val="0"/>
      <w:marTop w:val="0"/>
      <w:marBottom w:val="0"/>
      <w:divBdr>
        <w:top w:val="none" w:sz="0" w:space="0" w:color="auto"/>
        <w:left w:val="none" w:sz="0" w:space="0" w:color="auto"/>
        <w:bottom w:val="none" w:sz="0" w:space="0" w:color="auto"/>
        <w:right w:val="none" w:sz="0" w:space="0" w:color="auto"/>
      </w:divBdr>
    </w:div>
    <w:div w:id="344283600">
      <w:bodyDiv w:val="1"/>
      <w:marLeft w:val="0"/>
      <w:marRight w:val="0"/>
      <w:marTop w:val="0"/>
      <w:marBottom w:val="0"/>
      <w:divBdr>
        <w:top w:val="none" w:sz="0" w:space="0" w:color="auto"/>
        <w:left w:val="none" w:sz="0" w:space="0" w:color="auto"/>
        <w:bottom w:val="none" w:sz="0" w:space="0" w:color="auto"/>
        <w:right w:val="none" w:sz="0" w:space="0" w:color="auto"/>
      </w:divBdr>
    </w:div>
    <w:div w:id="352610002">
      <w:bodyDiv w:val="1"/>
      <w:marLeft w:val="0"/>
      <w:marRight w:val="0"/>
      <w:marTop w:val="0"/>
      <w:marBottom w:val="0"/>
      <w:divBdr>
        <w:top w:val="none" w:sz="0" w:space="0" w:color="auto"/>
        <w:left w:val="none" w:sz="0" w:space="0" w:color="auto"/>
        <w:bottom w:val="none" w:sz="0" w:space="0" w:color="auto"/>
        <w:right w:val="none" w:sz="0" w:space="0" w:color="auto"/>
      </w:divBdr>
    </w:div>
    <w:div w:id="353769761">
      <w:bodyDiv w:val="1"/>
      <w:marLeft w:val="0"/>
      <w:marRight w:val="0"/>
      <w:marTop w:val="0"/>
      <w:marBottom w:val="0"/>
      <w:divBdr>
        <w:top w:val="none" w:sz="0" w:space="0" w:color="auto"/>
        <w:left w:val="none" w:sz="0" w:space="0" w:color="auto"/>
        <w:bottom w:val="none" w:sz="0" w:space="0" w:color="auto"/>
        <w:right w:val="none" w:sz="0" w:space="0" w:color="auto"/>
      </w:divBdr>
    </w:div>
    <w:div w:id="354163210">
      <w:bodyDiv w:val="1"/>
      <w:marLeft w:val="0"/>
      <w:marRight w:val="0"/>
      <w:marTop w:val="0"/>
      <w:marBottom w:val="0"/>
      <w:divBdr>
        <w:top w:val="none" w:sz="0" w:space="0" w:color="auto"/>
        <w:left w:val="none" w:sz="0" w:space="0" w:color="auto"/>
        <w:bottom w:val="none" w:sz="0" w:space="0" w:color="auto"/>
        <w:right w:val="none" w:sz="0" w:space="0" w:color="auto"/>
      </w:divBdr>
    </w:div>
    <w:div w:id="360404006">
      <w:bodyDiv w:val="1"/>
      <w:marLeft w:val="0"/>
      <w:marRight w:val="0"/>
      <w:marTop w:val="0"/>
      <w:marBottom w:val="0"/>
      <w:divBdr>
        <w:top w:val="none" w:sz="0" w:space="0" w:color="auto"/>
        <w:left w:val="none" w:sz="0" w:space="0" w:color="auto"/>
        <w:bottom w:val="none" w:sz="0" w:space="0" w:color="auto"/>
        <w:right w:val="none" w:sz="0" w:space="0" w:color="auto"/>
      </w:divBdr>
    </w:div>
    <w:div w:id="362945157">
      <w:bodyDiv w:val="1"/>
      <w:marLeft w:val="0"/>
      <w:marRight w:val="0"/>
      <w:marTop w:val="0"/>
      <w:marBottom w:val="0"/>
      <w:divBdr>
        <w:top w:val="none" w:sz="0" w:space="0" w:color="auto"/>
        <w:left w:val="none" w:sz="0" w:space="0" w:color="auto"/>
        <w:bottom w:val="none" w:sz="0" w:space="0" w:color="auto"/>
        <w:right w:val="none" w:sz="0" w:space="0" w:color="auto"/>
      </w:divBdr>
      <w:divsChild>
        <w:div w:id="222757277">
          <w:marLeft w:val="0"/>
          <w:marRight w:val="0"/>
          <w:marTop w:val="0"/>
          <w:marBottom w:val="0"/>
          <w:divBdr>
            <w:top w:val="none" w:sz="0" w:space="0" w:color="auto"/>
            <w:left w:val="none" w:sz="0" w:space="0" w:color="auto"/>
            <w:bottom w:val="none" w:sz="0" w:space="0" w:color="auto"/>
            <w:right w:val="none" w:sz="0" w:space="0" w:color="auto"/>
          </w:divBdr>
        </w:div>
        <w:div w:id="231694381">
          <w:marLeft w:val="0"/>
          <w:marRight w:val="0"/>
          <w:marTop w:val="0"/>
          <w:marBottom w:val="0"/>
          <w:divBdr>
            <w:top w:val="none" w:sz="0" w:space="0" w:color="auto"/>
            <w:left w:val="none" w:sz="0" w:space="0" w:color="auto"/>
            <w:bottom w:val="none" w:sz="0" w:space="0" w:color="auto"/>
            <w:right w:val="none" w:sz="0" w:space="0" w:color="auto"/>
          </w:divBdr>
        </w:div>
        <w:div w:id="307515024">
          <w:marLeft w:val="0"/>
          <w:marRight w:val="0"/>
          <w:marTop w:val="0"/>
          <w:marBottom w:val="0"/>
          <w:divBdr>
            <w:top w:val="none" w:sz="0" w:space="0" w:color="auto"/>
            <w:left w:val="none" w:sz="0" w:space="0" w:color="auto"/>
            <w:bottom w:val="none" w:sz="0" w:space="0" w:color="auto"/>
            <w:right w:val="none" w:sz="0" w:space="0" w:color="auto"/>
          </w:divBdr>
        </w:div>
        <w:div w:id="355890653">
          <w:marLeft w:val="0"/>
          <w:marRight w:val="0"/>
          <w:marTop w:val="0"/>
          <w:marBottom w:val="0"/>
          <w:divBdr>
            <w:top w:val="none" w:sz="0" w:space="0" w:color="auto"/>
            <w:left w:val="none" w:sz="0" w:space="0" w:color="auto"/>
            <w:bottom w:val="none" w:sz="0" w:space="0" w:color="auto"/>
            <w:right w:val="none" w:sz="0" w:space="0" w:color="auto"/>
          </w:divBdr>
        </w:div>
        <w:div w:id="481391313">
          <w:marLeft w:val="0"/>
          <w:marRight w:val="0"/>
          <w:marTop w:val="0"/>
          <w:marBottom w:val="0"/>
          <w:divBdr>
            <w:top w:val="none" w:sz="0" w:space="0" w:color="auto"/>
            <w:left w:val="none" w:sz="0" w:space="0" w:color="auto"/>
            <w:bottom w:val="none" w:sz="0" w:space="0" w:color="auto"/>
            <w:right w:val="none" w:sz="0" w:space="0" w:color="auto"/>
          </w:divBdr>
        </w:div>
        <w:div w:id="551814729">
          <w:marLeft w:val="0"/>
          <w:marRight w:val="0"/>
          <w:marTop w:val="0"/>
          <w:marBottom w:val="0"/>
          <w:divBdr>
            <w:top w:val="none" w:sz="0" w:space="0" w:color="auto"/>
            <w:left w:val="none" w:sz="0" w:space="0" w:color="auto"/>
            <w:bottom w:val="none" w:sz="0" w:space="0" w:color="auto"/>
            <w:right w:val="none" w:sz="0" w:space="0" w:color="auto"/>
          </w:divBdr>
        </w:div>
        <w:div w:id="615648105">
          <w:marLeft w:val="0"/>
          <w:marRight w:val="0"/>
          <w:marTop w:val="0"/>
          <w:marBottom w:val="0"/>
          <w:divBdr>
            <w:top w:val="none" w:sz="0" w:space="0" w:color="auto"/>
            <w:left w:val="none" w:sz="0" w:space="0" w:color="auto"/>
            <w:bottom w:val="none" w:sz="0" w:space="0" w:color="auto"/>
            <w:right w:val="none" w:sz="0" w:space="0" w:color="auto"/>
          </w:divBdr>
        </w:div>
        <w:div w:id="665859594">
          <w:marLeft w:val="0"/>
          <w:marRight w:val="0"/>
          <w:marTop w:val="0"/>
          <w:marBottom w:val="0"/>
          <w:divBdr>
            <w:top w:val="none" w:sz="0" w:space="0" w:color="auto"/>
            <w:left w:val="none" w:sz="0" w:space="0" w:color="auto"/>
            <w:bottom w:val="none" w:sz="0" w:space="0" w:color="auto"/>
            <w:right w:val="none" w:sz="0" w:space="0" w:color="auto"/>
          </w:divBdr>
        </w:div>
        <w:div w:id="691222580">
          <w:marLeft w:val="0"/>
          <w:marRight w:val="0"/>
          <w:marTop w:val="0"/>
          <w:marBottom w:val="0"/>
          <w:divBdr>
            <w:top w:val="none" w:sz="0" w:space="0" w:color="auto"/>
            <w:left w:val="none" w:sz="0" w:space="0" w:color="auto"/>
            <w:bottom w:val="none" w:sz="0" w:space="0" w:color="auto"/>
            <w:right w:val="none" w:sz="0" w:space="0" w:color="auto"/>
          </w:divBdr>
        </w:div>
        <w:div w:id="700210926">
          <w:marLeft w:val="0"/>
          <w:marRight w:val="0"/>
          <w:marTop w:val="0"/>
          <w:marBottom w:val="0"/>
          <w:divBdr>
            <w:top w:val="none" w:sz="0" w:space="0" w:color="auto"/>
            <w:left w:val="none" w:sz="0" w:space="0" w:color="auto"/>
            <w:bottom w:val="none" w:sz="0" w:space="0" w:color="auto"/>
            <w:right w:val="none" w:sz="0" w:space="0" w:color="auto"/>
          </w:divBdr>
        </w:div>
        <w:div w:id="745612078">
          <w:marLeft w:val="0"/>
          <w:marRight w:val="0"/>
          <w:marTop w:val="0"/>
          <w:marBottom w:val="0"/>
          <w:divBdr>
            <w:top w:val="none" w:sz="0" w:space="0" w:color="auto"/>
            <w:left w:val="none" w:sz="0" w:space="0" w:color="auto"/>
            <w:bottom w:val="none" w:sz="0" w:space="0" w:color="auto"/>
            <w:right w:val="none" w:sz="0" w:space="0" w:color="auto"/>
          </w:divBdr>
        </w:div>
        <w:div w:id="815610560">
          <w:marLeft w:val="0"/>
          <w:marRight w:val="0"/>
          <w:marTop w:val="0"/>
          <w:marBottom w:val="0"/>
          <w:divBdr>
            <w:top w:val="none" w:sz="0" w:space="0" w:color="auto"/>
            <w:left w:val="none" w:sz="0" w:space="0" w:color="auto"/>
            <w:bottom w:val="none" w:sz="0" w:space="0" w:color="auto"/>
            <w:right w:val="none" w:sz="0" w:space="0" w:color="auto"/>
          </w:divBdr>
        </w:div>
        <w:div w:id="888104411">
          <w:marLeft w:val="0"/>
          <w:marRight w:val="0"/>
          <w:marTop w:val="0"/>
          <w:marBottom w:val="0"/>
          <w:divBdr>
            <w:top w:val="none" w:sz="0" w:space="0" w:color="auto"/>
            <w:left w:val="none" w:sz="0" w:space="0" w:color="auto"/>
            <w:bottom w:val="none" w:sz="0" w:space="0" w:color="auto"/>
            <w:right w:val="none" w:sz="0" w:space="0" w:color="auto"/>
          </w:divBdr>
        </w:div>
        <w:div w:id="893270816">
          <w:marLeft w:val="0"/>
          <w:marRight w:val="0"/>
          <w:marTop w:val="0"/>
          <w:marBottom w:val="0"/>
          <w:divBdr>
            <w:top w:val="none" w:sz="0" w:space="0" w:color="auto"/>
            <w:left w:val="none" w:sz="0" w:space="0" w:color="auto"/>
            <w:bottom w:val="none" w:sz="0" w:space="0" w:color="auto"/>
            <w:right w:val="none" w:sz="0" w:space="0" w:color="auto"/>
          </w:divBdr>
        </w:div>
        <w:div w:id="922910446">
          <w:marLeft w:val="0"/>
          <w:marRight w:val="0"/>
          <w:marTop w:val="0"/>
          <w:marBottom w:val="0"/>
          <w:divBdr>
            <w:top w:val="none" w:sz="0" w:space="0" w:color="auto"/>
            <w:left w:val="none" w:sz="0" w:space="0" w:color="auto"/>
            <w:bottom w:val="none" w:sz="0" w:space="0" w:color="auto"/>
            <w:right w:val="none" w:sz="0" w:space="0" w:color="auto"/>
          </w:divBdr>
        </w:div>
        <w:div w:id="939946016">
          <w:marLeft w:val="0"/>
          <w:marRight w:val="0"/>
          <w:marTop w:val="0"/>
          <w:marBottom w:val="0"/>
          <w:divBdr>
            <w:top w:val="none" w:sz="0" w:space="0" w:color="auto"/>
            <w:left w:val="none" w:sz="0" w:space="0" w:color="auto"/>
            <w:bottom w:val="none" w:sz="0" w:space="0" w:color="auto"/>
            <w:right w:val="none" w:sz="0" w:space="0" w:color="auto"/>
          </w:divBdr>
        </w:div>
        <w:div w:id="941104355">
          <w:marLeft w:val="0"/>
          <w:marRight w:val="0"/>
          <w:marTop w:val="0"/>
          <w:marBottom w:val="0"/>
          <w:divBdr>
            <w:top w:val="none" w:sz="0" w:space="0" w:color="auto"/>
            <w:left w:val="none" w:sz="0" w:space="0" w:color="auto"/>
            <w:bottom w:val="none" w:sz="0" w:space="0" w:color="auto"/>
            <w:right w:val="none" w:sz="0" w:space="0" w:color="auto"/>
          </w:divBdr>
        </w:div>
        <w:div w:id="971441838">
          <w:marLeft w:val="0"/>
          <w:marRight w:val="0"/>
          <w:marTop w:val="0"/>
          <w:marBottom w:val="0"/>
          <w:divBdr>
            <w:top w:val="none" w:sz="0" w:space="0" w:color="auto"/>
            <w:left w:val="none" w:sz="0" w:space="0" w:color="auto"/>
            <w:bottom w:val="none" w:sz="0" w:space="0" w:color="auto"/>
            <w:right w:val="none" w:sz="0" w:space="0" w:color="auto"/>
          </w:divBdr>
        </w:div>
        <w:div w:id="973563937">
          <w:marLeft w:val="0"/>
          <w:marRight w:val="0"/>
          <w:marTop w:val="0"/>
          <w:marBottom w:val="0"/>
          <w:divBdr>
            <w:top w:val="none" w:sz="0" w:space="0" w:color="auto"/>
            <w:left w:val="none" w:sz="0" w:space="0" w:color="auto"/>
            <w:bottom w:val="none" w:sz="0" w:space="0" w:color="auto"/>
            <w:right w:val="none" w:sz="0" w:space="0" w:color="auto"/>
          </w:divBdr>
        </w:div>
        <w:div w:id="1024549933">
          <w:marLeft w:val="0"/>
          <w:marRight w:val="0"/>
          <w:marTop w:val="0"/>
          <w:marBottom w:val="0"/>
          <w:divBdr>
            <w:top w:val="none" w:sz="0" w:space="0" w:color="auto"/>
            <w:left w:val="none" w:sz="0" w:space="0" w:color="auto"/>
            <w:bottom w:val="none" w:sz="0" w:space="0" w:color="auto"/>
            <w:right w:val="none" w:sz="0" w:space="0" w:color="auto"/>
          </w:divBdr>
        </w:div>
        <w:div w:id="1037776416">
          <w:marLeft w:val="0"/>
          <w:marRight w:val="0"/>
          <w:marTop w:val="0"/>
          <w:marBottom w:val="0"/>
          <w:divBdr>
            <w:top w:val="none" w:sz="0" w:space="0" w:color="auto"/>
            <w:left w:val="none" w:sz="0" w:space="0" w:color="auto"/>
            <w:bottom w:val="none" w:sz="0" w:space="0" w:color="auto"/>
            <w:right w:val="none" w:sz="0" w:space="0" w:color="auto"/>
          </w:divBdr>
        </w:div>
        <w:div w:id="1087339745">
          <w:marLeft w:val="0"/>
          <w:marRight w:val="0"/>
          <w:marTop w:val="0"/>
          <w:marBottom w:val="0"/>
          <w:divBdr>
            <w:top w:val="none" w:sz="0" w:space="0" w:color="auto"/>
            <w:left w:val="none" w:sz="0" w:space="0" w:color="auto"/>
            <w:bottom w:val="none" w:sz="0" w:space="0" w:color="auto"/>
            <w:right w:val="none" w:sz="0" w:space="0" w:color="auto"/>
          </w:divBdr>
        </w:div>
        <w:div w:id="1097289866">
          <w:marLeft w:val="0"/>
          <w:marRight w:val="0"/>
          <w:marTop w:val="0"/>
          <w:marBottom w:val="0"/>
          <w:divBdr>
            <w:top w:val="none" w:sz="0" w:space="0" w:color="auto"/>
            <w:left w:val="none" w:sz="0" w:space="0" w:color="auto"/>
            <w:bottom w:val="none" w:sz="0" w:space="0" w:color="auto"/>
            <w:right w:val="none" w:sz="0" w:space="0" w:color="auto"/>
          </w:divBdr>
        </w:div>
        <w:div w:id="1154224764">
          <w:marLeft w:val="0"/>
          <w:marRight w:val="0"/>
          <w:marTop w:val="0"/>
          <w:marBottom w:val="0"/>
          <w:divBdr>
            <w:top w:val="none" w:sz="0" w:space="0" w:color="auto"/>
            <w:left w:val="none" w:sz="0" w:space="0" w:color="auto"/>
            <w:bottom w:val="none" w:sz="0" w:space="0" w:color="auto"/>
            <w:right w:val="none" w:sz="0" w:space="0" w:color="auto"/>
          </w:divBdr>
        </w:div>
        <w:div w:id="1184902268">
          <w:marLeft w:val="0"/>
          <w:marRight w:val="0"/>
          <w:marTop w:val="0"/>
          <w:marBottom w:val="0"/>
          <w:divBdr>
            <w:top w:val="none" w:sz="0" w:space="0" w:color="auto"/>
            <w:left w:val="none" w:sz="0" w:space="0" w:color="auto"/>
            <w:bottom w:val="none" w:sz="0" w:space="0" w:color="auto"/>
            <w:right w:val="none" w:sz="0" w:space="0" w:color="auto"/>
          </w:divBdr>
        </w:div>
        <w:div w:id="1190214922">
          <w:marLeft w:val="0"/>
          <w:marRight w:val="0"/>
          <w:marTop w:val="0"/>
          <w:marBottom w:val="0"/>
          <w:divBdr>
            <w:top w:val="none" w:sz="0" w:space="0" w:color="auto"/>
            <w:left w:val="none" w:sz="0" w:space="0" w:color="auto"/>
            <w:bottom w:val="none" w:sz="0" w:space="0" w:color="auto"/>
            <w:right w:val="none" w:sz="0" w:space="0" w:color="auto"/>
          </w:divBdr>
        </w:div>
        <w:div w:id="1265846687">
          <w:marLeft w:val="0"/>
          <w:marRight w:val="0"/>
          <w:marTop w:val="0"/>
          <w:marBottom w:val="0"/>
          <w:divBdr>
            <w:top w:val="none" w:sz="0" w:space="0" w:color="auto"/>
            <w:left w:val="none" w:sz="0" w:space="0" w:color="auto"/>
            <w:bottom w:val="none" w:sz="0" w:space="0" w:color="auto"/>
            <w:right w:val="none" w:sz="0" w:space="0" w:color="auto"/>
          </w:divBdr>
        </w:div>
        <w:div w:id="1291322461">
          <w:marLeft w:val="0"/>
          <w:marRight w:val="0"/>
          <w:marTop w:val="0"/>
          <w:marBottom w:val="0"/>
          <w:divBdr>
            <w:top w:val="none" w:sz="0" w:space="0" w:color="auto"/>
            <w:left w:val="none" w:sz="0" w:space="0" w:color="auto"/>
            <w:bottom w:val="none" w:sz="0" w:space="0" w:color="auto"/>
            <w:right w:val="none" w:sz="0" w:space="0" w:color="auto"/>
          </w:divBdr>
        </w:div>
        <w:div w:id="1292596086">
          <w:marLeft w:val="0"/>
          <w:marRight w:val="0"/>
          <w:marTop w:val="0"/>
          <w:marBottom w:val="0"/>
          <w:divBdr>
            <w:top w:val="none" w:sz="0" w:space="0" w:color="auto"/>
            <w:left w:val="none" w:sz="0" w:space="0" w:color="auto"/>
            <w:bottom w:val="none" w:sz="0" w:space="0" w:color="auto"/>
            <w:right w:val="none" w:sz="0" w:space="0" w:color="auto"/>
          </w:divBdr>
        </w:div>
        <w:div w:id="1392657838">
          <w:marLeft w:val="0"/>
          <w:marRight w:val="0"/>
          <w:marTop w:val="0"/>
          <w:marBottom w:val="0"/>
          <w:divBdr>
            <w:top w:val="none" w:sz="0" w:space="0" w:color="auto"/>
            <w:left w:val="none" w:sz="0" w:space="0" w:color="auto"/>
            <w:bottom w:val="none" w:sz="0" w:space="0" w:color="auto"/>
            <w:right w:val="none" w:sz="0" w:space="0" w:color="auto"/>
          </w:divBdr>
        </w:div>
        <w:div w:id="1441995920">
          <w:marLeft w:val="0"/>
          <w:marRight w:val="0"/>
          <w:marTop w:val="0"/>
          <w:marBottom w:val="0"/>
          <w:divBdr>
            <w:top w:val="none" w:sz="0" w:space="0" w:color="auto"/>
            <w:left w:val="none" w:sz="0" w:space="0" w:color="auto"/>
            <w:bottom w:val="none" w:sz="0" w:space="0" w:color="auto"/>
            <w:right w:val="none" w:sz="0" w:space="0" w:color="auto"/>
          </w:divBdr>
        </w:div>
        <w:div w:id="1458992262">
          <w:marLeft w:val="0"/>
          <w:marRight w:val="0"/>
          <w:marTop w:val="0"/>
          <w:marBottom w:val="0"/>
          <w:divBdr>
            <w:top w:val="none" w:sz="0" w:space="0" w:color="auto"/>
            <w:left w:val="none" w:sz="0" w:space="0" w:color="auto"/>
            <w:bottom w:val="none" w:sz="0" w:space="0" w:color="auto"/>
            <w:right w:val="none" w:sz="0" w:space="0" w:color="auto"/>
          </w:divBdr>
        </w:div>
        <w:div w:id="1470170081">
          <w:marLeft w:val="0"/>
          <w:marRight w:val="0"/>
          <w:marTop w:val="0"/>
          <w:marBottom w:val="0"/>
          <w:divBdr>
            <w:top w:val="none" w:sz="0" w:space="0" w:color="auto"/>
            <w:left w:val="none" w:sz="0" w:space="0" w:color="auto"/>
            <w:bottom w:val="none" w:sz="0" w:space="0" w:color="auto"/>
            <w:right w:val="none" w:sz="0" w:space="0" w:color="auto"/>
          </w:divBdr>
        </w:div>
        <w:div w:id="1475950713">
          <w:marLeft w:val="0"/>
          <w:marRight w:val="0"/>
          <w:marTop w:val="0"/>
          <w:marBottom w:val="0"/>
          <w:divBdr>
            <w:top w:val="none" w:sz="0" w:space="0" w:color="auto"/>
            <w:left w:val="none" w:sz="0" w:space="0" w:color="auto"/>
            <w:bottom w:val="none" w:sz="0" w:space="0" w:color="auto"/>
            <w:right w:val="none" w:sz="0" w:space="0" w:color="auto"/>
          </w:divBdr>
        </w:div>
        <w:div w:id="1516336378">
          <w:marLeft w:val="0"/>
          <w:marRight w:val="0"/>
          <w:marTop w:val="0"/>
          <w:marBottom w:val="0"/>
          <w:divBdr>
            <w:top w:val="none" w:sz="0" w:space="0" w:color="auto"/>
            <w:left w:val="none" w:sz="0" w:space="0" w:color="auto"/>
            <w:bottom w:val="none" w:sz="0" w:space="0" w:color="auto"/>
            <w:right w:val="none" w:sz="0" w:space="0" w:color="auto"/>
          </w:divBdr>
        </w:div>
        <w:div w:id="1540315745">
          <w:marLeft w:val="0"/>
          <w:marRight w:val="0"/>
          <w:marTop w:val="0"/>
          <w:marBottom w:val="0"/>
          <w:divBdr>
            <w:top w:val="none" w:sz="0" w:space="0" w:color="auto"/>
            <w:left w:val="none" w:sz="0" w:space="0" w:color="auto"/>
            <w:bottom w:val="none" w:sz="0" w:space="0" w:color="auto"/>
            <w:right w:val="none" w:sz="0" w:space="0" w:color="auto"/>
          </w:divBdr>
        </w:div>
        <w:div w:id="1614828688">
          <w:marLeft w:val="0"/>
          <w:marRight w:val="0"/>
          <w:marTop w:val="0"/>
          <w:marBottom w:val="0"/>
          <w:divBdr>
            <w:top w:val="none" w:sz="0" w:space="0" w:color="auto"/>
            <w:left w:val="none" w:sz="0" w:space="0" w:color="auto"/>
            <w:bottom w:val="none" w:sz="0" w:space="0" w:color="auto"/>
            <w:right w:val="none" w:sz="0" w:space="0" w:color="auto"/>
          </w:divBdr>
        </w:div>
        <w:div w:id="1696078921">
          <w:marLeft w:val="0"/>
          <w:marRight w:val="0"/>
          <w:marTop w:val="0"/>
          <w:marBottom w:val="0"/>
          <w:divBdr>
            <w:top w:val="none" w:sz="0" w:space="0" w:color="auto"/>
            <w:left w:val="none" w:sz="0" w:space="0" w:color="auto"/>
            <w:bottom w:val="none" w:sz="0" w:space="0" w:color="auto"/>
            <w:right w:val="none" w:sz="0" w:space="0" w:color="auto"/>
          </w:divBdr>
        </w:div>
        <w:div w:id="1717389929">
          <w:marLeft w:val="0"/>
          <w:marRight w:val="0"/>
          <w:marTop w:val="0"/>
          <w:marBottom w:val="0"/>
          <w:divBdr>
            <w:top w:val="none" w:sz="0" w:space="0" w:color="auto"/>
            <w:left w:val="none" w:sz="0" w:space="0" w:color="auto"/>
            <w:bottom w:val="none" w:sz="0" w:space="0" w:color="auto"/>
            <w:right w:val="none" w:sz="0" w:space="0" w:color="auto"/>
          </w:divBdr>
        </w:div>
        <w:div w:id="1746952360">
          <w:marLeft w:val="0"/>
          <w:marRight w:val="0"/>
          <w:marTop w:val="0"/>
          <w:marBottom w:val="0"/>
          <w:divBdr>
            <w:top w:val="none" w:sz="0" w:space="0" w:color="auto"/>
            <w:left w:val="none" w:sz="0" w:space="0" w:color="auto"/>
            <w:bottom w:val="none" w:sz="0" w:space="0" w:color="auto"/>
            <w:right w:val="none" w:sz="0" w:space="0" w:color="auto"/>
          </w:divBdr>
        </w:div>
        <w:div w:id="1758474392">
          <w:marLeft w:val="0"/>
          <w:marRight w:val="0"/>
          <w:marTop w:val="0"/>
          <w:marBottom w:val="0"/>
          <w:divBdr>
            <w:top w:val="none" w:sz="0" w:space="0" w:color="auto"/>
            <w:left w:val="none" w:sz="0" w:space="0" w:color="auto"/>
            <w:bottom w:val="none" w:sz="0" w:space="0" w:color="auto"/>
            <w:right w:val="none" w:sz="0" w:space="0" w:color="auto"/>
          </w:divBdr>
        </w:div>
        <w:div w:id="1809473745">
          <w:marLeft w:val="0"/>
          <w:marRight w:val="0"/>
          <w:marTop w:val="0"/>
          <w:marBottom w:val="0"/>
          <w:divBdr>
            <w:top w:val="none" w:sz="0" w:space="0" w:color="auto"/>
            <w:left w:val="none" w:sz="0" w:space="0" w:color="auto"/>
            <w:bottom w:val="none" w:sz="0" w:space="0" w:color="auto"/>
            <w:right w:val="none" w:sz="0" w:space="0" w:color="auto"/>
          </w:divBdr>
        </w:div>
        <w:div w:id="1812595359">
          <w:marLeft w:val="0"/>
          <w:marRight w:val="0"/>
          <w:marTop w:val="0"/>
          <w:marBottom w:val="0"/>
          <w:divBdr>
            <w:top w:val="none" w:sz="0" w:space="0" w:color="auto"/>
            <w:left w:val="none" w:sz="0" w:space="0" w:color="auto"/>
            <w:bottom w:val="none" w:sz="0" w:space="0" w:color="auto"/>
            <w:right w:val="none" w:sz="0" w:space="0" w:color="auto"/>
          </w:divBdr>
        </w:div>
        <w:div w:id="1899784156">
          <w:marLeft w:val="0"/>
          <w:marRight w:val="0"/>
          <w:marTop w:val="0"/>
          <w:marBottom w:val="0"/>
          <w:divBdr>
            <w:top w:val="none" w:sz="0" w:space="0" w:color="auto"/>
            <w:left w:val="none" w:sz="0" w:space="0" w:color="auto"/>
            <w:bottom w:val="none" w:sz="0" w:space="0" w:color="auto"/>
            <w:right w:val="none" w:sz="0" w:space="0" w:color="auto"/>
          </w:divBdr>
        </w:div>
        <w:div w:id="1925526961">
          <w:marLeft w:val="0"/>
          <w:marRight w:val="0"/>
          <w:marTop w:val="0"/>
          <w:marBottom w:val="0"/>
          <w:divBdr>
            <w:top w:val="none" w:sz="0" w:space="0" w:color="auto"/>
            <w:left w:val="none" w:sz="0" w:space="0" w:color="auto"/>
            <w:bottom w:val="none" w:sz="0" w:space="0" w:color="auto"/>
            <w:right w:val="none" w:sz="0" w:space="0" w:color="auto"/>
          </w:divBdr>
        </w:div>
        <w:div w:id="1929387866">
          <w:marLeft w:val="0"/>
          <w:marRight w:val="0"/>
          <w:marTop w:val="0"/>
          <w:marBottom w:val="0"/>
          <w:divBdr>
            <w:top w:val="none" w:sz="0" w:space="0" w:color="auto"/>
            <w:left w:val="none" w:sz="0" w:space="0" w:color="auto"/>
            <w:bottom w:val="none" w:sz="0" w:space="0" w:color="auto"/>
            <w:right w:val="none" w:sz="0" w:space="0" w:color="auto"/>
          </w:divBdr>
        </w:div>
        <w:div w:id="2031643311">
          <w:marLeft w:val="0"/>
          <w:marRight w:val="0"/>
          <w:marTop w:val="0"/>
          <w:marBottom w:val="0"/>
          <w:divBdr>
            <w:top w:val="none" w:sz="0" w:space="0" w:color="auto"/>
            <w:left w:val="none" w:sz="0" w:space="0" w:color="auto"/>
            <w:bottom w:val="none" w:sz="0" w:space="0" w:color="auto"/>
            <w:right w:val="none" w:sz="0" w:space="0" w:color="auto"/>
          </w:divBdr>
        </w:div>
      </w:divsChild>
    </w:div>
    <w:div w:id="369260215">
      <w:bodyDiv w:val="1"/>
      <w:marLeft w:val="0"/>
      <w:marRight w:val="0"/>
      <w:marTop w:val="0"/>
      <w:marBottom w:val="0"/>
      <w:divBdr>
        <w:top w:val="none" w:sz="0" w:space="0" w:color="auto"/>
        <w:left w:val="none" w:sz="0" w:space="0" w:color="auto"/>
        <w:bottom w:val="none" w:sz="0" w:space="0" w:color="auto"/>
        <w:right w:val="none" w:sz="0" w:space="0" w:color="auto"/>
      </w:divBdr>
    </w:div>
    <w:div w:id="370812466">
      <w:bodyDiv w:val="1"/>
      <w:marLeft w:val="0"/>
      <w:marRight w:val="0"/>
      <w:marTop w:val="0"/>
      <w:marBottom w:val="0"/>
      <w:divBdr>
        <w:top w:val="none" w:sz="0" w:space="0" w:color="auto"/>
        <w:left w:val="none" w:sz="0" w:space="0" w:color="auto"/>
        <w:bottom w:val="none" w:sz="0" w:space="0" w:color="auto"/>
        <w:right w:val="none" w:sz="0" w:space="0" w:color="auto"/>
      </w:divBdr>
    </w:div>
    <w:div w:id="371883355">
      <w:bodyDiv w:val="1"/>
      <w:marLeft w:val="0"/>
      <w:marRight w:val="0"/>
      <w:marTop w:val="0"/>
      <w:marBottom w:val="0"/>
      <w:divBdr>
        <w:top w:val="none" w:sz="0" w:space="0" w:color="auto"/>
        <w:left w:val="none" w:sz="0" w:space="0" w:color="auto"/>
        <w:bottom w:val="none" w:sz="0" w:space="0" w:color="auto"/>
        <w:right w:val="none" w:sz="0" w:space="0" w:color="auto"/>
      </w:divBdr>
    </w:div>
    <w:div w:id="373506898">
      <w:bodyDiv w:val="1"/>
      <w:marLeft w:val="0"/>
      <w:marRight w:val="0"/>
      <w:marTop w:val="0"/>
      <w:marBottom w:val="0"/>
      <w:divBdr>
        <w:top w:val="none" w:sz="0" w:space="0" w:color="auto"/>
        <w:left w:val="none" w:sz="0" w:space="0" w:color="auto"/>
        <w:bottom w:val="none" w:sz="0" w:space="0" w:color="auto"/>
        <w:right w:val="none" w:sz="0" w:space="0" w:color="auto"/>
      </w:divBdr>
      <w:divsChild>
        <w:div w:id="1518038504">
          <w:marLeft w:val="0"/>
          <w:marRight w:val="0"/>
          <w:marTop w:val="0"/>
          <w:marBottom w:val="0"/>
          <w:divBdr>
            <w:top w:val="none" w:sz="0" w:space="0" w:color="auto"/>
            <w:left w:val="none" w:sz="0" w:space="0" w:color="auto"/>
            <w:bottom w:val="none" w:sz="0" w:space="0" w:color="auto"/>
            <w:right w:val="none" w:sz="0" w:space="0" w:color="auto"/>
          </w:divBdr>
          <w:divsChild>
            <w:div w:id="587927362">
              <w:marLeft w:val="0"/>
              <w:marRight w:val="0"/>
              <w:marTop w:val="0"/>
              <w:marBottom w:val="0"/>
              <w:divBdr>
                <w:top w:val="none" w:sz="0" w:space="0" w:color="auto"/>
                <w:left w:val="none" w:sz="0" w:space="0" w:color="auto"/>
                <w:bottom w:val="none" w:sz="0" w:space="0" w:color="auto"/>
                <w:right w:val="none" w:sz="0" w:space="0" w:color="auto"/>
              </w:divBdr>
              <w:divsChild>
                <w:div w:id="191597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3675">
      <w:bodyDiv w:val="1"/>
      <w:marLeft w:val="0"/>
      <w:marRight w:val="0"/>
      <w:marTop w:val="0"/>
      <w:marBottom w:val="0"/>
      <w:divBdr>
        <w:top w:val="none" w:sz="0" w:space="0" w:color="auto"/>
        <w:left w:val="none" w:sz="0" w:space="0" w:color="auto"/>
        <w:bottom w:val="none" w:sz="0" w:space="0" w:color="auto"/>
        <w:right w:val="none" w:sz="0" w:space="0" w:color="auto"/>
      </w:divBdr>
      <w:divsChild>
        <w:div w:id="1598514150">
          <w:marLeft w:val="0"/>
          <w:marRight w:val="0"/>
          <w:marTop w:val="0"/>
          <w:marBottom w:val="0"/>
          <w:divBdr>
            <w:top w:val="none" w:sz="0" w:space="0" w:color="auto"/>
            <w:left w:val="none" w:sz="0" w:space="0" w:color="auto"/>
            <w:bottom w:val="none" w:sz="0" w:space="0" w:color="auto"/>
            <w:right w:val="none" w:sz="0" w:space="0" w:color="auto"/>
          </w:divBdr>
          <w:divsChild>
            <w:div w:id="1238400678">
              <w:marLeft w:val="0"/>
              <w:marRight w:val="0"/>
              <w:marTop w:val="411"/>
              <w:marBottom w:val="0"/>
              <w:divBdr>
                <w:top w:val="none" w:sz="0" w:space="0" w:color="auto"/>
                <w:left w:val="none" w:sz="0" w:space="0" w:color="auto"/>
                <w:bottom w:val="none" w:sz="0" w:space="0" w:color="auto"/>
                <w:right w:val="none" w:sz="0" w:space="0" w:color="auto"/>
              </w:divBdr>
              <w:divsChild>
                <w:div w:id="990062940">
                  <w:marLeft w:val="0"/>
                  <w:marRight w:val="0"/>
                  <w:marTop w:val="0"/>
                  <w:marBottom w:val="0"/>
                  <w:divBdr>
                    <w:top w:val="none" w:sz="0" w:space="0" w:color="auto"/>
                    <w:left w:val="none" w:sz="0" w:space="0" w:color="auto"/>
                    <w:bottom w:val="none" w:sz="0" w:space="0" w:color="auto"/>
                    <w:right w:val="none" w:sz="0" w:space="0" w:color="auto"/>
                  </w:divBdr>
                  <w:divsChild>
                    <w:div w:id="1172335588">
                      <w:marLeft w:val="79"/>
                      <w:marRight w:val="79"/>
                      <w:marTop w:val="0"/>
                      <w:marBottom w:val="0"/>
                      <w:divBdr>
                        <w:top w:val="none" w:sz="0" w:space="0" w:color="auto"/>
                        <w:left w:val="none" w:sz="0" w:space="0" w:color="auto"/>
                        <w:bottom w:val="none" w:sz="0" w:space="0" w:color="auto"/>
                        <w:right w:val="none" w:sz="0" w:space="0" w:color="auto"/>
                      </w:divBdr>
                      <w:divsChild>
                        <w:div w:id="1712462571">
                          <w:marLeft w:val="0"/>
                          <w:marRight w:val="0"/>
                          <w:marTop w:val="0"/>
                          <w:marBottom w:val="0"/>
                          <w:divBdr>
                            <w:top w:val="dashed" w:sz="6" w:space="0" w:color="DDDDDD"/>
                            <w:left w:val="none" w:sz="0" w:space="0" w:color="auto"/>
                            <w:bottom w:val="none" w:sz="0" w:space="0" w:color="auto"/>
                            <w:right w:val="none" w:sz="0" w:space="0" w:color="auto"/>
                          </w:divBdr>
                          <w:divsChild>
                            <w:div w:id="1902211306">
                              <w:marLeft w:val="0"/>
                              <w:marRight w:val="0"/>
                              <w:marTop w:val="0"/>
                              <w:marBottom w:val="0"/>
                              <w:divBdr>
                                <w:top w:val="none" w:sz="0" w:space="0" w:color="auto"/>
                                <w:left w:val="none" w:sz="0" w:space="0" w:color="auto"/>
                                <w:bottom w:val="none" w:sz="0" w:space="0" w:color="auto"/>
                                <w:right w:val="none" w:sz="0" w:space="0" w:color="auto"/>
                              </w:divBdr>
                              <w:divsChild>
                                <w:div w:id="843127713">
                                  <w:marLeft w:val="0"/>
                                  <w:marRight w:val="0"/>
                                  <w:marTop w:val="79"/>
                                  <w:marBottom w:val="79"/>
                                  <w:divBdr>
                                    <w:top w:val="none" w:sz="0" w:space="0" w:color="auto"/>
                                    <w:left w:val="none" w:sz="0" w:space="0" w:color="auto"/>
                                    <w:bottom w:val="none" w:sz="0" w:space="0" w:color="auto"/>
                                    <w:right w:val="none" w:sz="0" w:space="0" w:color="auto"/>
                                  </w:divBdr>
                                  <w:divsChild>
                                    <w:div w:id="1292445650">
                                      <w:marLeft w:val="0"/>
                                      <w:marRight w:val="0"/>
                                      <w:marTop w:val="0"/>
                                      <w:marBottom w:val="0"/>
                                      <w:divBdr>
                                        <w:top w:val="none" w:sz="0" w:space="0" w:color="auto"/>
                                        <w:left w:val="none" w:sz="0" w:space="0" w:color="auto"/>
                                        <w:bottom w:val="none" w:sz="0" w:space="0" w:color="auto"/>
                                        <w:right w:val="none" w:sz="0" w:space="0" w:color="auto"/>
                                      </w:divBdr>
                                      <w:divsChild>
                                        <w:div w:id="1103959100">
                                          <w:marLeft w:val="554"/>
                                          <w:marRight w:val="0"/>
                                          <w:marTop w:val="0"/>
                                          <w:marBottom w:val="0"/>
                                          <w:divBdr>
                                            <w:top w:val="none" w:sz="0" w:space="0" w:color="auto"/>
                                            <w:left w:val="none" w:sz="0" w:space="0" w:color="auto"/>
                                            <w:bottom w:val="none" w:sz="0" w:space="0" w:color="auto"/>
                                            <w:right w:val="none" w:sz="0" w:space="0" w:color="auto"/>
                                          </w:divBdr>
                                          <w:divsChild>
                                            <w:div w:id="7622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736750">
      <w:bodyDiv w:val="1"/>
      <w:marLeft w:val="0"/>
      <w:marRight w:val="0"/>
      <w:marTop w:val="0"/>
      <w:marBottom w:val="0"/>
      <w:divBdr>
        <w:top w:val="none" w:sz="0" w:space="0" w:color="auto"/>
        <w:left w:val="none" w:sz="0" w:space="0" w:color="auto"/>
        <w:bottom w:val="none" w:sz="0" w:space="0" w:color="auto"/>
        <w:right w:val="none" w:sz="0" w:space="0" w:color="auto"/>
      </w:divBdr>
    </w:div>
    <w:div w:id="375743780">
      <w:bodyDiv w:val="1"/>
      <w:marLeft w:val="0"/>
      <w:marRight w:val="0"/>
      <w:marTop w:val="0"/>
      <w:marBottom w:val="0"/>
      <w:divBdr>
        <w:top w:val="none" w:sz="0" w:space="0" w:color="auto"/>
        <w:left w:val="none" w:sz="0" w:space="0" w:color="auto"/>
        <w:bottom w:val="none" w:sz="0" w:space="0" w:color="auto"/>
        <w:right w:val="none" w:sz="0" w:space="0" w:color="auto"/>
      </w:divBdr>
      <w:divsChild>
        <w:div w:id="1252012730">
          <w:marLeft w:val="0"/>
          <w:marRight w:val="0"/>
          <w:marTop w:val="0"/>
          <w:marBottom w:val="0"/>
          <w:divBdr>
            <w:top w:val="none" w:sz="0" w:space="0" w:color="auto"/>
            <w:left w:val="none" w:sz="0" w:space="0" w:color="auto"/>
            <w:bottom w:val="none" w:sz="0" w:space="0" w:color="auto"/>
            <w:right w:val="none" w:sz="0" w:space="0" w:color="auto"/>
          </w:divBdr>
          <w:divsChild>
            <w:div w:id="734666606">
              <w:marLeft w:val="0"/>
              <w:marRight w:val="0"/>
              <w:marTop w:val="411"/>
              <w:marBottom w:val="0"/>
              <w:divBdr>
                <w:top w:val="none" w:sz="0" w:space="0" w:color="auto"/>
                <w:left w:val="none" w:sz="0" w:space="0" w:color="auto"/>
                <w:bottom w:val="none" w:sz="0" w:space="0" w:color="auto"/>
                <w:right w:val="none" w:sz="0" w:space="0" w:color="auto"/>
              </w:divBdr>
              <w:divsChild>
                <w:div w:id="46488623">
                  <w:marLeft w:val="0"/>
                  <w:marRight w:val="0"/>
                  <w:marTop w:val="0"/>
                  <w:marBottom w:val="0"/>
                  <w:divBdr>
                    <w:top w:val="none" w:sz="0" w:space="0" w:color="auto"/>
                    <w:left w:val="none" w:sz="0" w:space="0" w:color="auto"/>
                    <w:bottom w:val="none" w:sz="0" w:space="0" w:color="auto"/>
                    <w:right w:val="none" w:sz="0" w:space="0" w:color="auto"/>
                  </w:divBdr>
                  <w:divsChild>
                    <w:div w:id="205798397">
                      <w:marLeft w:val="79"/>
                      <w:marRight w:val="79"/>
                      <w:marTop w:val="0"/>
                      <w:marBottom w:val="0"/>
                      <w:divBdr>
                        <w:top w:val="none" w:sz="0" w:space="0" w:color="auto"/>
                        <w:left w:val="none" w:sz="0" w:space="0" w:color="auto"/>
                        <w:bottom w:val="none" w:sz="0" w:space="0" w:color="auto"/>
                        <w:right w:val="none" w:sz="0" w:space="0" w:color="auto"/>
                      </w:divBdr>
                      <w:divsChild>
                        <w:div w:id="797450466">
                          <w:marLeft w:val="0"/>
                          <w:marRight w:val="0"/>
                          <w:marTop w:val="0"/>
                          <w:marBottom w:val="0"/>
                          <w:divBdr>
                            <w:top w:val="dashed" w:sz="6" w:space="0" w:color="DDDDDD"/>
                            <w:left w:val="none" w:sz="0" w:space="0" w:color="auto"/>
                            <w:bottom w:val="none" w:sz="0" w:space="0" w:color="auto"/>
                            <w:right w:val="none" w:sz="0" w:space="0" w:color="auto"/>
                          </w:divBdr>
                          <w:divsChild>
                            <w:div w:id="1084569155">
                              <w:marLeft w:val="0"/>
                              <w:marRight w:val="0"/>
                              <w:marTop w:val="0"/>
                              <w:marBottom w:val="0"/>
                              <w:divBdr>
                                <w:top w:val="none" w:sz="0" w:space="0" w:color="auto"/>
                                <w:left w:val="none" w:sz="0" w:space="0" w:color="auto"/>
                                <w:bottom w:val="none" w:sz="0" w:space="0" w:color="auto"/>
                                <w:right w:val="none" w:sz="0" w:space="0" w:color="auto"/>
                              </w:divBdr>
                              <w:divsChild>
                                <w:div w:id="1320159341">
                                  <w:marLeft w:val="0"/>
                                  <w:marRight w:val="0"/>
                                  <w:marTop w:val="79"/>
                                  <w:marBottom w:val="79"/>
                                  <w:divBdr>
                                    <w:top w:val="none" w:sz="0" w:space="0" w:color="auto"/>
                                    <w:left w:val="none" w:sz="0" w:space="0" w:color="auto"/>
                                    <w:bottom w:val="none" w:sz="0" w:space="0" w:color="auto"/>
                                    <w:right w:val="none" w:sz="0" w:space="0" w:color="auto"/>
                                  </w:divBdr>
                                  <w:divsChild>
                                    <w:div w:id="1285191106">
                                      <w:marLeft w:val="0"/>
                                      <w:marRight w:val="0"/>
                                      <w:marTop w:val="0"/>
                                      <w:marBottom w:val="0"/>
                                      <w:divBdr>
                                        <w:top w:val="none" w:sz="0" w:space="0" w:color="auto"/>
                                        <w:left w:val="none" w:sz="0" w:space="0" w:color="auto"/>
                                        <w:bottom w:val="none" w:sz="0" w:space="0" w:color="auto"/>
                                        <w:right w:val="none" w:sz="0" w:space="0" w:color="auto"/>
                                      </w:divBdr>
                                      <w:divsChild>
                                        <w:div w:id="708380608">
                                          <w:marLeft w:val="554"/>
                                          <w:marRight w:val="0"/>
                                          <w:marTop w:val="0"/>
                                          <w:marBottom w:val="0"/>
                                          <w:divBdr>
                                            <w:top w:val="none" w:sz="0" w:space="0" w:color="auto"/>
                                            <w:left w:val="none" w:sz="0" w:space="0" w:color="auto"/>
                                            <w:bottom w:val="none" w:sz="0" w:space="0" w:color="auto"/>
                                            <w:right w:val="none" w:sz="0" w:space="0" w:color="auto"/>
                                          </w:divBdr>
                                          <w:divsChild>
                                            <w:div w:id="189133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9523727">
      <w:bodyDiv w:val="1"/>
      <w:marLeft w:val="0"/>
      <w:marRight w:val="0"/>
      <w:marTop w:val="0"/>
      <w:marBottom w:val="0"/>
      <w:divBdr>
        <w:top w:val="none" w:sz="0" w:space="0" w:color="auto"/>
        <w:left w:val="none" w:sz="0" w:space="0" w:color="auto"/>
        <w:bottom w:val="none" w:sz="0" w:space="0" w:color="auto"/>
        <w:right w:val="none" w:sz="0" w:space="0" w:color="auto"/>
      </w:divBdr>
    </w:div>
    <w:div w:id="379597320">
      <w:bodyDiv w:val="1"/>
      <w:marLeft w:val="0"/>
      <w:marRight w:val="0"/>
      <w:marTop w:val="0"/>
      <w:marBottom w:val="0"/>
      <w:divBdr>
        <w:top w:val="none" w:sz="0" w:space="0" w:color="auto"/>
        <w:left w:val="none" w:sz="0" w:space="0" w:color="auto"/>
        <w:bottom w:val="none" w:sz="0" w:space="0" w:color="auto"/>
        <w:right w:val="none" w:sz="0" w:space="0" w:color="auto"/>
      </w:divBdr>
    </w:div>
    <w:div w:id="380447598">
      <w:bodyDiv w:val="1"/>
      <w:marLeft w:val="0"/>
      <w:marRight w:val="0"/>
      <w:marTop w:val="0"/>
      <w:marBottom w:val="0"/>
      <w:divBdr>
        <w:top w:val="none" w:sz="0" w:space="0" w:color="auto"/>
        <w:left w:val="none" w:sz="0" w:space="0" w:color="auto"/>
        <w:bottom w:val="none" w:sz="0" w:space="0" w:color="auto"/>
        <w:right w:val="none" w:sz="0" w:space="0" w:color="auto"/>
      </w:divBdr>
    </w:div>
    <w:div w:id="381558925">
      <w:bodyDiv w:val="1"/>
      <w:marLeft w:val="0"/>
      <w:marRight w:val="0"/>
      <w:marTop w:val="0"/>
      <w:marBottom w:val="0"/>
      <w:divBdr>
        <w:top w:val="none" w:sz="0" w:space="0" w:color="auto"/>
        <w:left w:val="none" w:sz="0" w:space="0" w:color="auto"/>
        <w:bottom w:val="none" w:sz="0" w:space="0" w:color="auto"/>
        <w:right w:val="none" w:sz="0" w:space="0" w:color="auto"/>
      </w:divBdr>
      <w:divsChild>
        <w:div w:id="935751258">
          <w:marLeft w:val="0"/>
          <w:marRight w:val="0"/>
          <w:marTop w:val="0"/>
          <w:marBottom w:val="0"/>
          <w:divBdr>
            <w:top w:val="none" w:sz="0" w:space="0" w:color="auto"/>
            <w:left w:val="none" w:sz="0" w:space="0" w:color="auto"/>
            <w:bottom w:val="none" w:sz="0" w:space="0" w:color="auto"/>
            <w:right w:val="none" w:sz="0" w:space="0" w:color="auto"/>
          </w:divBdr>
          <w:divsChild>
            <w:div w:id="1184510984">
              <w:marLeft w:val="0"/>
              <w:marRight w:val="0"/>
              <w:marTop w:val="411"/>
              <w:marBottom w:val="0"/>
              <w:divBdr>
                <w:top w:val="none" w:sz="0" w:space="0" w:color="auto"/>
                <w:left w:val="none" w:sz="0" w:space="0" w:color="auto"/>
                <w:bottom w:val="none" w:sz="0" w:space="0" w:color="auto"/>
                <w:right w:val="none" w:sz="0" w:space="0" w:color="auto"/>
              </w:divBdr>
              <w:divsChild>
                <w:div w:id="478887725">
                  <w:marLeft w:val="0"/>
                  <w:marRight w:val="0"/>
                  <w:marTop w:val="0"/>
                  <w:marBottom w:val="0"/>
                  <w:divBdr>
                    <w:top w:val="none" w:sz="0" w:space="0" w:color="auto"/>
                    <w:left w:val="none" w:sz="0" w:space="0" w:color="auto"/>
                    <w:bottom w:val="none" w:sz="0" w:space="0" w:color="auto"/>
                    <w:right w:val="none" w:sz="0" w:space="0" w:color="auto"/>
                  </w:divBdr>
                  <w:divsChild>
                    <w:div w:id="421030273">
                      <w:marLeft w:val="79"/>
                      <w:marRight w:val="79"/>
                      <w:marTop w:val="0"/>
                      <w:marBottom w:val="0"/>
                      <w:divBdr>
                        <w:top w:val="none" w:sz="0" w:space="0" w:color="auto"/>
                        <w:left w:val="none" w:sz="0" w:space="0" w:color="auto"/>
                        <w:bottom w:val="none" w:sz="0" w:space="0" w:color="auto"/>
                        <w:right w:val="none" w:sz="0" w:space="0" w:color="auto"/>
                      </w:divBdr>
                      <w:divsChild>
                        <w:div w:id="1638607555">
                          <w:marLeft w:val="0"/>
                          <w:marRight w:val="0"/>
                          <w:marTop w:val="0"/>
                          <w:marBottom w:val="0"/>
                          <w:divBdr>
                            <w:top w:val="dashed" w:sz="6" w:space="0" w:color="DDDDDD"/>
                            <w:left w:val="none" w:sz="0" w:space="0" w:color="auto"/>
                            <w:bottom w:val="none" w:sz="0" w:space="0" w:color="auto"/>
                            <w:right w:val="none" w:sz="0" w:space="0" w:color="auto"/>
                          </w:divBdr>
                          <w:divsChild>
                            <w:div w:id="526910347">
                              <w:marLeft w:val="0"/>
                              <w:marRight w:val="0"/>
                              <w:marTop w:val="0"/>
                              <w:marBottom w:val="0"/>
                              <w:divBdr>
                                <w:top w:val="none" w:sz="0" w:space="0" w:color="auto"/>
                                <w:left w:val="none" w:sz="0" w:space="0" w:color="auto"/>
                                <w:bottom w:val="none" w:sz="0" w:space="0" w:color="auto"/>
                                <w:right w:val="none" w:sz="0" w:space="0" w:color="auto"/>
                              </w:divBdr>
                              <w:divsChild>
                                <w:div w:id="2129816568">
                                  <w:marLeft w:val="0"/>
                                  <w:marRight w:val="0"/>
                                  <w:marTop w:val="79"/>
                                  <w:marBottom w:val="79"/>
                                  <w:divBdr>
                                    <w:top w:val="none" w:sz="0" w:space="0" w:color="auto"/>
                                    <w:left w:val="none" w:sz="0" w:space="0" w:color="auto"/>
                                    <w:bottom w:val="none" w:sz="0" w:space="0" w:color="auto"/>
                                    <w:right w:val="none" w:sz="0" w:space="0" w:color="auto"/>
                                  </w:divBdr>
                                  <w:divsChild>
                                    <w:div w:id="242954717">
                                      <w:marLeft w:val="0"/>
                                      <w:marRight w:val="0"/>
                                      <w:marTop w:val="0"/>
                                      <w:marBottom w:val="0"/>
                                      <w:divBdr>
                                        <w:top w:val="none" w:sz="0" w:space="0" w:color="auto"/>
                                        <w:left w:val="none" w:sz="0" w:space="0" w:color="auto"/>
                                        <w:bottom w:val="none" w:sz="0" w:space="0" w:color="auto"/>
                                        <w:right w:val="none" w:sz="0" w:space="0" w:color="auto"/>
                                      </w:divBdr>
                                      <w:divsChild>
                                        <w:div w:id="1801223684">
                                          <w:marLeft w:val="554"/>
                                          <w:marRight w:val="0"/>
                                          <w:marTop w:val="0"/>
                                          <w:marBottom w:val="0"/>
                                          <w:divBdr>
                                            <w:top w:val="none" w:sz="0" w:space="0" w:color="auto"/>
                                            <w:left w:val="none" w:sz="0" w:space="0" w:color="auto"/>
                                            <w:bottom w:val="none" w:sz="0" w:space="0" w:color="auto"/>
                                            <w:right w:val="none" w:sz="0" w:space="0" w:color="auto"/>
                                          </w:divBdr>
                                          <w:divsChild>
                                            <w:div w:id="4102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3218262">
      <w:bodyDiv w:val="1"/>
      <w:marLeft w:val="0"/>
      <w:marRight w:val="0"/>
      <w:marTop w:val="0"/>
      <w:marBottom w:val="0"/>
      <w:divBdr>
        <w:top w:val="none" w:sz="0" w:space="0" w:color="auto"/>
        <w:left w:val="none" w:sz="0" w:space="0" w:color="auto"/>
        <w:bottom w:val="none" w:sz="0" w:space="0" w:color="auto"/>
        <w:right w:val="none" w:sz="0" w:space="0" w:color="auto"/>
      </w:divBdr>
      <w:divsChild>
        <w:div w:id="790048785">
          <w:marLeft w:val="0"/>
          <w:marRight w:val="0"/>
          <w:marTop w:val="0"/>
          <w:marBottom w:val="0"/>
          <w:divBdr>
            <w:top w:val="none" w:sz="0" w:space="0" w:color="auto"/>
            <w:left w:val="none" w:sz="0" w:space="0" w:color="auto"/>
            <w:bottom w:val="none" w:sz="0" w:space="0" w:color="auto"/>
            <w:right w:val="none" w:sz="0" w:space="0" w:color="auto"/>
          </w:divBdr>
          <w:divsChild>
            <w:div w:id="531767880">
              <w:marLeft w:val="0"/>
              <w:marRight w:val="0"/>
              <w:marTop w:val="0"/>
              <w:marBottom w:val="0"/>
              <w:divBdr>
                <w:top w:val="none" w:sz="0" w:space="0" w:color="auto"/>
                <w:left w:val="none" w:sz="0" w:space="0" w:color="auto"/>
                <w:bottom w:val="none" w:sz="0" w:space="0" w:color="auto"/>
                <w:right w:val="none" w:sz="0" w:space="0" w:color="auto"/>
              </w:divBdr>
              <w:divsChild>
                <w:div w:id="938879270">
                  <w:marLeft w:val="0"/>
                  <w:marRight w:val="0"/>
                  <w:marTop w:val="0"/>
                  <w:marBottom w:val="0"/>
                  <w:divBdr>
                    <w:top w:val="none" w:sz="0" w:space="0" w:color="auto"/>
                    <w:left w:val="none" w:sz="0" w:space="0" w:color="auto"/>
                    <w:bottom w:val="none" w:sz="0" w:space="0" w:color="auto"/>
                    <w:right w:val="none" w:sz="0" w:space="0" w:color="auto"/>
                  </w:divBdr>
                  <w:divsChild>
                    <w:div w:id="12434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986955">
      <w:bodyDiv w:val="1"/>
      <w:marLeft w:val="0"/>
      <w:marRight w:val="0"/>
      <w:marTop w:val="0"/>
      <w:marBottom w:val="0"/>
      <w:divBdr>
        <w:top w:val="none" w:sz="0" w:space="0" w:color="auto"/>
        <w:left w:val="none" w:sz="0" w:space="0" w:color="auto"/>
        <w:bottom w:val="none" w:sz="0" w:space="0" w:color="auto"/>
        <w:right w:val="none" w:sz="0" w:space="0" w:color="auto"/>
      </w:divBdr>
    </w:div>
    <w:div w:id="384259815">
      <w:bodyDiv w:val="1"/>
      <w:marLeft w:val="0"/>
      <w:marRight w:val="0"/>
      <w:marTop w:val="0"/>
      <w:marBottom w:val="0"/>
      <w:divBdr>
        <w:top w:val="none" w:sz="0" w:space="0" w:color="auto"/>
        <w:left w:val="none" w:sz="0" w:space="0" w:color="auto"/>
        <w:bottom w:val="none" w:sz="0" w:space="0" w:color="auto"/>
        <w:right w:val="none" w:sz="0" w:space="0" w:color="auto"/>
      </w:divBdr>
    </w:div>
    <w:div w:id="385494921">
      <w:bodyDiv w:val="1"/>
      <w:marLeft w:val="0"/>
      <w:marRight w:val="0"/>
      <w:marTop w:val="0"/>
      <w:marBottom w:val="0"/>
      <w:divBdr>
        <w:top w:val="none" w:sz="0" w:space="0" w:color="auto"/>
        <w:left w:val="none" w:sz="0" w:space="0" w:color="auto"/>
        <w:bottom w:val="none" w:sz="0" w:space="0" w:color="auto"/>
        <w:right w:val="none" w:sz="0" w:space="0" w:color="auto"/>
      </w:divBdr>
    </w:div>
    <w:div w:id="394356492">
      <w:bodyDiv w:val="1"/>
      <w:marLeft w:val="0"/>
      <w:marRight w:val="0"/>
      <w:marTop w:val="0"/>
      <w:marBottom w:val="0"/>
      <w:divBdr>
        <w:top w:val="none" w:sz="0" w:space="0" w:color="auto"/>
        <w:left w:val="none" w:sz="0" w:space="0" w:color="auto"/>
        <w:bottom w:val="none" w:sz="0" w:space="0" w:color="auto"/>
        <w:right w:val="none" w:sz="0" w:space="0" w:color="auto"/>
      </w:divBdr>
      <w:divsChild>
        <w:div w:id="1565600221">
          <w:marLeft w:val="0"/>
          <w:marRight w:val="0"/>
          <w:marTop w:val="0"/>
          <w:marBottom w:val="0"/>
          <w:divBdr>
            <w:top w:val="none" w:sz="0" w:space="0" w:color="auto"/>
            <w:left w:val="none" w:sz="0" w:space="0" w:color="auto"/>
            <w:bottom w:val="none" w:sz="0" w:space="0" w:color="auto"/>
            <w:right w:val="none" w:sz="0" w:space="0" w:color="auto"/>
          </w:divBdr>
          <w:divsChild>
            <w:div w:id="1707022280">
              <w:marLeft w:val="0"/>
              <w:marRight w:val="0"/>
              <w:marTop w:val="411"/>
              <w:marBottom w:val="0"/>
              <w:divBdr>
                <w:top w:val="none" w:sz="0" w:space="0" w:color="auto"/>
                <w:left w:val="none" w:sz="0" w:space="0" w:color="auto"/>
                <w:bottom w:val="none" w:sz="0" w:space="0" w:color="auto"/>
                <w:right w:val="none" w:sz="0" w:space="0" w:color="auto"/>
              </w:divBdr>
              <w:divsChild>
                <w:div w:id="923421467">
                  <w:marLeft w:val="0"/>
                  <w:marRight w:val="0"/>
                  <w:marTop w:val="0"/>
                  <w:marBottom w:val="0"/>
                  <w:divBdr>
                    <w:top w:val="none" w:sz="0" w:space="0" w:color="auto"/>
                    <w:left w:val="none" w:sz="0" w:space="0" w:color="auto"/>
                    <w:bottom w:val="none" w:sz="0" w:space="0" w:color="auto"/>
                    <w:right w:val="none" w:sz="0" w:space="0" w:color="auto"/>
                  </w:divBdr>
                  <w:divsChild>
                    <w:div w:id="960303417">
                      <w:marLeft w:val="79"/>
                      <w:marRight w:val="79"/>
                      <w:marTop w:val="0"/>
                      <w:marBottom w:val="0"/>
                      <w:divBdr>
                        <w:top w:val="none" w:sz="0" w:space="0" w:color="auto"/>
                        <w:left w:val="none" w:sz="0" w:space="0" w:color="auto"/>
                        <w:bottom w:val="none" w:sz="0" w:space="0" w:color="auto"/>
                        <w:right w:val="none" w:sz="0" w:space="0" w:color="auto"/>
                      </w:divBdr>
                      <w:divsChild>
                        <w:div w:id="1455438130">
                          <w:marLeft w:val="0"/>
                          <w:marRight w:val="0"/>
                          <w:marTop w:val="0"/>
                          <w:marBottom w:val="0"/>
                          <w:divBdr>
                            <w:top w:val="dashed" w:sz="6" w:space="0" w:color="DDDDDD"/>
                            <w:left w:val="none" w:sz="0" w:space="0" w:color="auto"/>
                            <w:bottom w:val="none" w:sz="0" w:space="0" w:color="auto"/>
                            <w:right w:val="none" w:sz="0" w:space="0" w:color="auto"/>
                          </w:divBdr>
                          <w:divsChild>
                            <w:div w:id="588150498">
                              <w:marLeft w:val="0"/>
                              <w:marRight w:val="0"/>
                              <w:marTop w:val="0"/>
                              <w:marBottom w:val="0"/>
                              <w:divBdr>
                                <w:top w:val="none" w:sz="0" w:space="0" w:color="auto"/>
                                <w:left w:val="none" w:sz="0" w:space="0" w:color="auto"/>
                                <w:bottom w:val="none" w:sz="0" w:space="0" w:color="auto"/>
                                <w:right w:val="none" w:sz="0" w:space="0" w:color="auto"/>
                              </w:divBdr>
                              <w:divsChild>
                                <w:div w:id="1962881382">
                                  <w:marLeft w:val="0"/>
                                  <w:marRight w:val="0"/>
                                  <w:marTop w:val="79"/>
                                  <w:marBottom w:val="79"/>
                                  <w:divBdr>
                                    <w:top w:val="none" w:sz="0" w:space="0" w:color="auto"/>
                                    <w:left w:val="none" w:sz="0" w:space="0" w:color="auto"/>
                                    <w:bottom w:val="none" w:sz="0" w:space="0" w:color="auto"/>
                                    <w:right w:val="none" w:sz="0" w:space="0" w:color="auto"/>
                                  </w:divBdr>
                                  <w:divsChild>
                                    <w:div w:id="1940723620">
                                      <w:marLeft w:val="0"/>
                                      <w:marRight w:val="0"/>
                                      <w:marTop w:val="0"/>
                                      <w:marBottom w:val="0"/>
                                      <w:divBdr>
                                        <w:top w:val="none" w:sz="0" w:space="0" w:color="auto"/>
                                        <w:left w:val="none" w:sz="0" w:space="0" w:color="auto"/>
                                        <w:bottom w:val="none" w:sz="0" w:space="0" w:color="auto"/>
                                        <w:right w:val="none" w:sz="0" w:space="0" w:color="auto"/>
                                      </w:divBdr>
                                      <w:divsChild>
                                        <w:div w:id="613639415">
                                          <w:marLeft w:val="554"/>
                                          <w:marRight w:val="0"/>
                                          <w:marTop w:val="0"/>
                                          <w:marBottom w:val="0"/>
                                          <w:divBdr>
                                            <w:top w:val="none" w:sz="0" w:space="0" w:color="auto"/>
                                            <w:left w:val="none" w:sz="0" w:space="0" w:color="auto"/>
                                            <w:bottom w:val="none" w:sz="0" w:space="0" w:color="auto"/>
                                            <w:right w:val="none" w:sz="0" w:space="0" w:color="auto"/>
                                          </w:divBdr>
                                          <w:divsChild>
                                            <w:div w:id="155192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588647">
      <w:bodyDiv w:val="1"/>
      <w:marLeft w:val="0"/>
      <w:marRight w:val="0"/>
      <w:marTop w:val="0"/>
      <w:marBottom w:val="0"/>
      <w:divBdr>
        <w:top w:val="none" w:sz="0" w:space="0" w:color="auto"/>
        <w:left w:val="none" w:sz="0" w:space="0" w:color="auto"/>
        <w:bottom w:val="none" w:sz="0" w:space="0" w:color="auto"/>
        <w:right w:val="none" w:sz="0" w:space="0" w:color="auto"/>
      </w:divBdr>
      <w:divsChild>
        <w:div w:id="1448767520">
          <w:marLeft w:val="0"/>
          <w:marRight w:val="0"/>
          <w:marTop w:val="0"/>
          <w:marBottom w:val="0"/>
          <w:divBdr>
            <w:top w:val="none" w:sz="0" w:space="0" w:color="auto"/>
            <w:left w:val="none" w:sz="0" w:space="0" w:color="auto"/>
            <w:bottom w:val="none" w:sz="0" w:space="0" w:color="auto"/>
            <w:right w:val="none" w:sz="0" w:space="0" w:color="auto"/>
          </w:divBdr>
          <w:divsChild>
            <w:div w:id="234583417">
              <w:marLeft w:val="0"/>
              <w:marRight w:val="0"/>
              <w:marTop w:val="0"/>
              <w:marBottom w:val="0"/>
              <w:divBdr>
                <w:top w:val="none" w:sz="0" w:space="0" w:color="auto"/>
                <w:left w:val="none" w:sz="0" w:space="0" w:color="auto"/>
                <w:bottom w:val="none" w:sz="0" w:space="0" w:color="auto"/>
                <w:right w:val="none" w:sz="0" w:space="0" w:color="auto"/>
              </w:divBdr>
              <w:divsChild>
                <w:div w:id="1604191683">
                  <w:marLeft w:val="0"/>
                  <w:marRight w:val="0"/>
                  <w:marTop w:val="0"/>
                  <w:marBottom w:val="0"/>
                  <w:divBdr>
                    <w:top w:val="none" w:sz="0" w:space="0" w:color="auto"/>
                    <w:left w:val="none" w:sz="0" w:space="0" w:color="auto"/>
                    <w:bottom w:val="none" w:sz="0" w:space="0" w:color="auto"/>
                    <w:right w:val="none" w:sz="0" w:space="0" w:color="auto"/>
                  </w:divBdr>
                  <w:divsChild>
                    <w:div w:id="950282455">
                      <w:marLeft w:val="0"/>
                      <w:marRight w:val="0"/>
                      <w:marTop w:val="0"/>
                      <w:marBottom w:val="0"/>
                      <w:divBdr>
                        <w:top w:val="none" w:sz="0" w:space="0" w:color="auto"/>
                        <w:left w:val="none" w:sz="0" w:space="0" w:color="auto"/>
                        <w:bottom w:val="none" w:sz="0" w:space="0" w:color="auto"/>
                        <w:right w:val="none" w:sz="0" w:space="0" w:color="auto"/>
                      </w:divBdr>
                      <w:divsChild>
                        <w:div w:id="377050690">
                          <w:marLeft w:val="0"/>
                          <w:marRight w:val="0"/>
                          <w:marTop w:val="0"/>
                          <w:marBottom w:val="0"/>
                          <w:divBdr>
                            <w:top w:val="none" w:sz="0" w:space="0" w:color="auto"/>
                            <w:left w:val="none" w:sz="0" w:space="0" w:color="auto"/>
                            <w:bottom w:val="none" w:sz="0" w:space="0" w:color="auto"/>
                            <w:right w:val="none" w:sz="0" w:space="0" w:color="auto"/>
                          </w:divBdr>
                          <w:divsChild>
                            <w:div w:id="1480419719">
                              <w:marLeft w:val="0"/>
                              <w:marRight w:val="0"/>
                              <w:marTop w:val="0"/>
                              <w:marBottom w:val="0"/>
                              <w:divBdr>
                                <w:top w:val="none" w:sz="0" w:space="0" w:color="auto"/>
                                <w:left w:val="none" w:sz="0" w:space="0" w:color="auto"/>
                                <w:bottom w:val="none" w:sz="0" w:space="0" w:color="auto"/>
                                <w:right w:val="none" w:sz="0" w:space="0" w:color="auto"/>
                              </w:divBdr>
                              <w:divsChild>
                                <w:div w:id="587155063">
                                  <w:marLeft w:val="0"/>
                                  <w:marRight w:val="0"/>
                                  <w:marTop w:val="0"/>
                                  <w:marBottom w:val="0"/>
                                  <w:divBdr>
                                    <w:top w:val="none" w:sz="0" w:space="0" w:color="auto"/>
                                    <w:left w:val="none" w:sz="0" w:space="0" w:color="auto"/>
                                    <w:bottom w:val="none" w:sz="0" w:space="0" w:color="auto"/>
                                    <w:right w:val="none" w:sz="0" w:space="0" w:color="auto"/>
                                  </w:divBdr>
                                  <w:divsChild>
                                    <w:div w:id="88985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6516985">
      <w:bodyDiv w:val="1"/>
      <w:marLeft w:val="0"/>
      <w:marRight w:val="0"/>
      <w:marTop w:val="0"/>
      <w:marBottom w:val="0"/>
      <w:divBdr>
        <w:top w:val="none" w:sz="0" w:space="0" w:color="auto"/>
        <w:left w:val="none" w:sz="0" w:space="0" w:color="auto"/>
        <w:bottom w:val="none" w:sz="0" w:space="0" w:color="auto"/>
        <w:right w:val="none" w:sz="0" w:space="0" w:color="auto"/>
      </w:divBdr>
    </w:div>
    <w:div w:id="397093144">
      <w:bodyDiv w:val="1"/>
      <w:marLeft w:val="0"/>
      <w:marRight w:val="0"/>
      <w:marTop w:val="0"/>
      <w:marBottom w:val="0"/>
      <w:divBdr>
        <w:top w:val="none" w:sz="0" w:space="0" w:color="auto"/>
        <w:left w:val="none" w:sz="0" w:space="0" w:color="auto"/>
        <w:bottom w:val="none" w:sz="0" w:space="0" w:color="auto"/>
        <w:right w:val="none" w:sz="0" w:space="0" w:color="auto"/>
      </w:divBdr>
    </w:div>
    <w:div w:id="397872862">
      <w:bodyDiv w:val="1"/>
      <w:marLeft w:val="0"/>
      <w:marRight w:val="0"/>
      <w:marTop w:val="0"/>
      <w:marBottom w:val="0"/>
      <w:divBdr>
        <w:top w:val="none" w:sz="0" w:space="0" w:color="auto"/>
        <w:left w:val="none" w:sz="0" w:space="0" w:color="auto"/>
        <w:bottom w:val="none" w:sz="0" w:space="0" w:color="auto"/>
        <w:right w:val="none" w:sz="0" w:space="0" w:color="auto"/>
      </w:divBdr>
    </w:div>
    <w:div w:id="398140982">
      <w:bodyDiv w:val="1"/>
      <w:marLeft w:val="0"/>
      <w:marRight w:val="0"/>
      <w:marTop w:val="0"/>
      <w:marBottom w:val="0"/>
      <w:divBdr>
        <w:top w:val="none" w:sz="0" w:space="0" w:color="auto"/>
        <w:left w:val="none" w:sz="0" w:space="0" w:color="auto"/>
        <w:bottom w:val="none" w:sz="0" w:space="0" w:color="auto"/>
        <w:right w:val="none" w:sz="0" w:space="0" w:color="auto"/>
      </w:divBdr>
    </w:div>
    <w:div w:id="398288645">
      <w:bodyDiv w:val="1"/>
      <w:marLeft w:val="0"/>
      <w:marRight w:val="0"/>
      <w:marTop w:val="0"/>
      <w:marBottom w:val="0"/>
      <w:divBdr>
        <w:top w:val="none" w:sz="0" w:space="0" w:color="auto"/>
        <w:left w:val="none" w:sz="0" w:space="0" w:color="auto"/>
        <w:bottom w:val="none" w:sz="0" w:space="0" w:color="auto"/>
        <w:right w:val="none" w:sz="0" w:space="0" w:color="auto"/>
      </w:divBdr>
    </w:div>
    <w:div w:id="399448046">
      <w:bodyDiv w:val="1"/>
      <w:marLeft w:val="0"/>
      <w:marRight w:val="0"/>
      <w:marTop w:val="0"/>
      <w:marBottom w:val="0"/>
      <w:divBdr>
        <w:top w:val="none" w:sz="0" w:space="0" w:color="auto"/>
        <w:left w:val="none" w:sz="0" w:space="0" w:color="auto"/>
        <w:bottom w:val="none" w:sz="0" w:space="0" w:color="auto"/>
        <w:right w:val="none" w:sz="0" w:space="0" w:color="auto"/>
      </w:divBdr>
    </w:div>
    <w:div w:id="405996387">
      <w:bodyDiv w:val="1"/>
      <w:marLeft w:val="0"/>
      <w:marRight w:val="0"/>
      <w:marTop w:val="0"/>
      <w:marBottom w:val="0"/>
      <w:divBdr>
        <w:top w:val="none" w:sz="0" w:space="0" w:color="auto"/>
        <w:left w:val="none" w:sz="0" w:space="0" w:color="auto"/>
        <w:bottom w:val="none" w:sz="0" w:space="0" w:color="auto"/>
        <w:right w:val="none" w:sz="0" w:space="0" w:color="auto"/>
      </w:divBdr>
    </w:div>
    <w:div w:id="412119908">
      <w:bodyDiv w:val="1"/>
      <w:marLeft w:val="0"/>
      <w:marRight w:val="0"/>
      <w:marTop w:val="0"/>
      <w:marBottom w:val="0"/>
      <w:divBdr>
        <w:top w:val="none" w:sz="0" w:space="0" w:color="auto"/>
        <w:left w:val="none" w:sz="0" w:space="0" w:color="auto"/>
        <w:bottom w:val="none" w:sz="0" w:space="0" w:color="auto"/>
        <w:right w:val="none" w:sz="0" w:space="0" w:color="auto"/>
      </w:divBdr>
    </w:div>
    <w:div w:id="413012604">
      <w:bodyDiv w:val="1"/>
      <w:marLeft w:val="0"/>
      <w:marRight w:val="0"/>
      <w:marTop w:val="0"/>
      <w:marBottom w:val="0"/>
      <w:divBdr>
        <w:top w:val="none" w:sz="0" w:space="0" w:color="auto"/>
        <w:left w:val="none" w:sz="0" w:space="0" w:color="auto"/>
        <w:bottom w:val="none" w:sz="0" w:space="0" w:color="auto"/>
        <w:right w:val="none" w:sz="0" w:space="0" w:color="auto"/>
      </w:divBdr>
    </w:div>
    <w:div w:id="413019538">
      <w:bodyDiv w:val="1"/>
      <w:marLeft w:val="0"/>
      <w:marRight w:val="0"/>
      <w:marTop w:val="0"/>
      <w:marBottom w:val="0"/>
      <w:divBdr>
        <w:top w:val="none" w:sz="0" w:space="0" w:color="auto"/>
        <w:left w:val="none" w:sz="0" w:space="0" w:color="auto"/>
        <w:bottom w:val="none" w:sz="0" w:space="0" w:color="auto"/>
        <w:right w:val="none" w:sz="0" w:space="0" w:color="auto"/>
      </w:divBdr>
    </w:div>
    <w:div w:id="415052213">
      <w:bodyDiv w:val="1"/>
      <w:marLeft w:val="0"/>
      <w:marRight w:val="0"/>
      <w:marTop w:val="0"/>
      <w:marBottom w:val="0"/>
      <w:divBdr>
        <w:top w:val="none" w:sz="0" w:space="0" w:color="auto"/>
        <w:left w:val="none" w:sz="0" w:space="0" w:color="auto"/>
        <w:bottom w:val="none" w:sz="0" w:space="0" w:color="auto"/>
        <w:right w:val="none" w:sz="0" w:space="0" w:color="auto"/>
      </w:divBdr>
    </w:div>
    <w:div w:id="415591141">
      <w:bodyDiv w:val="1"/>
      <w:marLeft w:val="0"/>
      <w:marRight w:val="0"/>
      <w:marTop w:val="0"/>
      <w:marBottom w:val="0"/>
      <w:divBdr>
        <w:top w:val="none" w:sz="0" w:space="0" w:color="auto"/>
        <w:left w:val="none" w:sz="0" w:space="0" w:color="auto"/>
        <w:bottom w:val="none" w:sz="0" w:space="0" w:color="auto"/>
        <w:right w:val="none" w:sz="0" w:space="0" w:color="auto"/>
      </w:divBdr>
    </w:div>
    <w:div w:id="417486533">
      <w:bodyDiv w:val="1"/>
      <w:marLeft w:val="0"/>
      <w:marRight w:val="0"/>
      <w:marTop w:val="0"/>
      <w:marBottom w:val="0"/>
      <w:divBdr>
        <w:top w:val="none" w:sz="0" w:space="0" w:color="auto"/>
        <w:left w:val="none" w:sz="0" w:space="0" w:color="auto"/>
        <w:bottom w:val="none" w:sz="0" w:space="0" w:color="auto"/>
        <w:right w:val="none" w:sz="0" w:space="0" w:color="auto"/>
      </w:divBdr>
      <w:divsChild>
        <w:div w:id="1335649338">
          <w:marLeft w:val="0"/>
          <w:marRight w:val="0"/>
          <w:marTop w:val="0"/>
          <w:marBottom w:val="0"/>
          <w:divBdr>
            <w:top w:val="none" w:sz="0" w:space="0" w:color="auto"/>
            <w:left w:val="none" w:sz="0" w:space="0" w:color="auto"/>
            <w:bottom w:val="none" w:sz="0" w:space="0" w:color="auto"/>
            <w:right w:val="none" w:sz="0" w:space="0" w:color="auto"/>
          </w:divBdr>
          <w:divsChild>
            <w:div w:id="873888105">
              <w:marLeft w:val="0"/>
              <w:marRight w:val="0"/>
              <w:marTop w:val="0"/>
              <w:marBottom w:val="0"/>
              <w:divBdr>
                <w:top w:val="none" w:sz="0" w:space="0" w:color="auto"/>
                <w:left w:val="none" w:sz="0" w:space="0" w:color="auto"/>
                <w:bottom w:val="none" w:sz="0" w:space="0" w:color="auto"/>
                <w:right w:val="none" w:sz="0" w:space="0" w:color="auto"/>
              </w:divBdr>
              <w:divsChild>
                <w:div w:id="1553691494">
                  <w:marLeft w:val="0"/>
                  <w:marRight w:val="0"/>
                  <w:marTop w:val="0"/>
                  <w:marBottom w:val="0"/>
                  <w:divBdr>
                    <w:top w:val="none" w:sz="0" w:space="0" w:color="auto"/>
                    <w:left w:val="none" w:sz="0" w:space="0" w:color="auto"/>
                    <w:bottom w:val="none" w:sz="0" w:space="0" w:color="auto"/>
                    <w:right w:val="none" w:sz="0" w:space="0" w:color="auto"/>
                  </w:divBdr>
                  <w:divsChild>
                    <w:div w:id="1411612259">
                      <w:marLeft w:val="0"/>
                      <w:marRight w:val="0"/>
                      <w:marTop w:val="0"/>
                      <w:marBottom w:val="0"/>
                      <w:divBdr>
                        <w:top w:val="none" w:sz="0" w:space="0" w:color="auto"/>
                        <w:left w:val="none" w:sz="0" w:space="0" w:color="auto"/>
                        <w:bottom w:val="none" w:sz="0" w:space="0" w:color="auto"/>
                        <w:right w:val="none" w:sz="0" w:space="0" w:color="auto"/>
                      </w:divBdr>
                      <w:divsChild>
                        <w:div w:id="1091240115">
                          <w:marLeft w:val="0"/>
                          <w:marRight w:val="0"/>
                          <w:marTop w:val="0"/>
                          <w:marBottom w:val="0"/>
                          <w:divBdr>
                            <w:top w:val="none" w:sz="0" w:space="0" w:color="auto"/>
                            <w:left w:val="none" w:sz="0" w:space="0" w:color="auto"/>
                            <w:bottom w:val="none" w:sz="0" w:space="0" w:color="auto"/>
                            <w:right w:val="none" w:sz="0" w:space="0" w:color="auto"/>
                          </w:divBdr>
                          <w:divsChild>
                            <w:div w:id="20652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770499">
      <w:bodyDiv w:val="1"/>
      <w:marLeft w:val="0"/>
      <w:marRight w:val="0"/>
      <w:marTop w:val="0"/>
      <w:marBottom w:val="0"/>
      <w:divBdr>
        <w:top w:val="none" w:sz="0" w:space="0" w:color="auto"/>
        <w:left w:val="none" w:sz="0" w:space="0" w:color="auto"/>
        <w:bottom w:val="none" w:sz="0" w:space="0" w:color="auto"/>
        <w:right w:val="none" w:sz="0" w:space="0" w:color="auto"/>
      </w:divBdr>
    </w:div>
    <w:div w:id="427388917">
      <w:bodyDiv w:val="1"/>
      <w:marLeft w:val="0"/>
      <w:marRight w:val="0"/>
      <w:marTop w:val="0"/>
      <w:marBottom w:val="0"/>
      <w:divBdr>
        <w:top w:val="none" w:sz="0" w:space="0" w:color="auto"/>
        <w:left w:val="none" w:sz="0" w:space="0" w:color="auto"/>
        <w:bottom w:val="none" w:sz="0" w:space="0" w:color="auto"/>
        <w:right w:val="none" w:sz="0" w:space="0" w:color="auto"/>
      </w:divBdr>
      <w:divsChild>
        <w:div w:id="2105492515">
          <w:marLeft w:val="0"/>
          <w:marRight w:val="0"/>
          <w:marTop w:val="0"/>
          <w:marBottom w:val="0"/>
          <w:divBdr>
            <w:top w:val="none" w:sz="0" w:space="0" w:color="auto"/>
            <w:left w:val="none" w:sz="0" w:space="0" w:color="auto"/>
            <w:bottom w:val="none" w:sz="0" w:space="0" w:color="auto"/>
            <w:right w:val="none" w:sz="0" w:space="0" w:color="auto"/>
          </w:divBdr>
          <w:divsChild>
            <w:div w:id="2055083580">
              <w:marLeft w:val="0"/>
              <w:marRight w:val="0"/>
              <w:marTop w:val="0"/>
              <w:marBottom w:val="0"/>
              <w:divBdr>
                <w:top w:val="none" w:sz="0" w:space="0" w:color="auto"/>
                <w:left w:val="none" w:sz="0" w:space="0" w:color="auto"/>
                <w:bottom w:val="none" w:sz="0" w:space="0" w:color="auto"/>
                <w:right w:val="none" w:sz="0" w:space="0" w:color="auto"/>
              </w:divBdr>
              <w:divsChild>
                <w:div w:id="1145396530">
                  <w:marLeft w:val="0"/>
                  <w:marRight w:val="0"/>
                  <w:marTop w:val="0"/>
                  <w:marBottom w:val="0"/>
                  <w:divBdr>
                    <w:top w:val="none" w:sz="0" w:space="0" w:color="auto"/>
                    <w:left w:val="none" w:sz="0" w:space="0" w:color="auto"/>
                    <w:bottom w:val="none" w:sz="0" w:space="0" w:color="auto"/>
                    <w:right w:val="none" w:sz="0" w:space="0" w:color="auto"/>
                  </w:divBdr>
                  <w:divsChild>
                    <w:div w:id="1100100820">
                      <w:marLeft w:val="0"/>
                      <w:marRight w:val="0"/>
                      <w:marTop w:val="0"/>
                      <w:marBottom w:val="0"/>
                      <w:divBdr>
                        <w:top w:val="none" w:sz="0" w:space="0" w:color="auto"/>
                        <w:left w:val="none" w:sz="0" w:space="0" w:color="auto"/>
                        <w:bottom w:val="none" w:sz="0" w:space="0" w:color="auto"/>
                        <w:right w:val="none" w:sz="0" w:space="0" w:color="auto"/>
                      </w:divBdr>
                      <w:divsChild>
                        <w:div w:id="41826810">
                          <w:marLeft w:val="0"/>
                          <w:marRight w:val="0"/>
                          <w:marTop w:val="0"/>
                          <w:marBottom w:val="0"/>
                          <w:divBdr>
                            <w:top w:val="none" w:sz="0" w:space="0" w:color="auto"/>
                            <w:left w:val="none" w:sz="0" w:space="0" w:color="auto"/>
                            <w:bottom w:val="none" w:sz="0" w:space="0" w:color="auto"/>
                            <w:right w:val="none" w:sz="0" w:space="0" w:color="auto"/>
                          </w:divBdr>
                          <w:divsChild>
                            <w:div w:id="96338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164601">
      <w:bodyDiv w:val="1"/>
      <w:marLeft w:val="0"/>
      <w:marRight w:val="0"/>
      <w:marTop w:val="0"/>
      <w:marBottom w:val="0"/>
      <w:divBdr>
        <w:top w:val="none" w:sz="0" w:space="0" w:color="auto"/>
        <w:left w:val="none" w:sz="0" w:space="0" w:color="auto"/>
        <w:bottom w:val="none" w:sz="0" w:space="0" w:color="auto"/>
        <w:right w:val="none" w:sz="0" w:space="0" w:color="auto"/>
      </w:divBdr>
    </w:div>
    <w:div w:id="433400384">
      <w:bodyDiv w:val="1"/>
      <w:marLeft w:val="0"/>
      <w:marRight w:val="0"/>
      <w:marTop w:val="0"/>
      <w:marBottom w:val="0"/>
      <w:divBdr>
        <w:top w:val="none" w:sz="0" w:space="0" w:color="auto"/>
        <w:left w:val="none" w:sz="0" w:space="0" w:color="auto"/>
        <w:bottom w:val="none" w:sz="0" w:space="0" w:color="auto"/>
        <w:right w:val="none" w:sz="0" w:space="0" w:color="auto"/>
      </w:divBdr>
    </w:div>
    <w:div w:id="438330137">
      <w:bodyDiv w:val="1"/>
      <w:marLeft w:val="0"/>
      <w:marRight w:val="0"/>
      <w:marTop w:val="0"/>
      <w:marBottom w:val="0"/>
      <w:divBdr>
        <w:top w:val="none" w:sz="0" w:space="0" w:color="auto"/>
        <w:left w:val="none" w:sz="0" w:space="0" w:color="auto"/>
        <w:bottom w:val="none" w:sz="0" w:space="0" w:color="auto"/>
        <w:right w:val="none" w:sz="0" w:space="0" w:color="auto"/>
      </w:divBdr>
    </w:div>
    <w:div w:id="438532062">
      <w:bodyDiv w:val="1"/>
      <w:marLeft w:val="0"/>
      <w:marRight w:val="0"/>
      <w:marTop w:val="0"/>
      <w:marBottom w:val="0"/>
      <w:divBdr>
        <w:top w:val="none" w:sz="0" w:space="0" w:color="auto"/>
        <w:left w:val="none" w:sz="0" w:space="0" w:color="auto"/>
        <w:bottom w:val="none" w:sz="0" w:space="0" w:color="auto"/>
        <w:right w:val="none" w:sz="0" w:space="0" w:color="auto"/>
      </w:divBdr>
    </w:div>
    <w:div w:id="439029243">
      <w:bodyDiv w:val="1"/>
      <w:marLeft w:val="0"/>
      <w:marRight w:val="0"/>
      <w:marTop w:val="0"/>
      <w:marBottom w:val="0"/>
      <w:divBdr>
        <w:top w:val="none" w:sz="0" w:space="0" w:color="auto"/>
        <w:left w:val="none" w:sz="0" w:space="0" w:color="auto"/>
        <w:bottom w:val="none" w:sz="0" w:space="0" w:color="auto"/>
        <w:right w:val="none" w:sz="0" w:space="0" w:color="auto"/>
      </w:divBdr>
      <w:divsChild>
        <w:div w:id="630018047">
          <w:marLeft w:val="0"/>
          <w:marRight w:val="0"/>
          <w:marTop w:val="0"/>
          <w:marBottom w:val="0"/>
          <w:divBdr>
            <w:top w:val="none" w:sz="0" w:space="0" w:color="auto"/>
            <w:left w:val="none" w:sz="0" w:space="0" w:color="auto"/>
            <w:bottom w:val="none" w:sz="0" w:space="0" w:color="auto"/>
            <w:right w:val="none" w:sz="0" w:space="0" w:color="auto"/>
          </w:divBdr>
          <w:divsChild>
            <w:div w:id="1999381461">
              <w:marLeft w:val="0"/>
              <w:marRight w:val="0"/>
              <w:marTop w:val="411"/>
              <w:marBottom w:val="0"/>
              <w:divBdr>
                <w:top w:val="none" w:sz="0" w:space="0" w:color="auto"/>
                <w:left w:val="none" w:sz="0" w:space="0" w:color="auto"/>
                <w:bottom w:val="none" w:sz="0" w:space="0" w:color="auto"/>
                <w:right w:val="none" w:sz="0" w:space="0" w:color="auto"/>
              </w:divBdr>
              <w:divsChild>
                <w:div w:id="1601722377">
                  <w:marLeft w:val="0"/>
                  <w:marRight w:val="0"/>
                  <w:marTop w:val="0"/>
                  <w:marBottom w:val="0"/>
                  <w:divBdr>
                    <w:top w:val="none" w:sz="0" w:space="0" w:color="auto"/>
                    <w:left w:val="none" w:sz="0" w:space="0" w:color="auto"/>
                    <w:bottom w:val="none" w:sz="0" w:space="0" w:color="auto"/>
                    <w:right w:val="none" w:sz="0" w:space="0" w:color="auto"/>
                  </w:divBdr>
                  <w:divsChild>
                    <w:div w:id="981226678">
                      <w:marLeft w:val="79"/>
                      <w:marRight w:val="79"/>
                      <w:marTop w:val="0"/>
                      <w:marBottom w:val="0"/>
                      <w:divBdr>
                        <w:top w:val="none" w:sz="0" w:space="0" w:color="auto"/>
                        <w:left w:val="none" w:sz="0" w:space="0" w:color="auto"/>
                        <w:bottom w:val="none" w:sz="0" w:space="0" w:color="auto"/>
                        <w:right w:val="none" w:sz="0" w:space="0" w:color="auto"/>
                      </w:divBdr>
                      <w:divsChild>
                        <w:div w:id="28527763">
                          <w:marLeft w:val="0"/>
                          <w:marRight w:val="0"/>
                          <w:marTop w:val="0"/>
                          <w:marBottom w:val="0"/>
                          <w:divBdr>
                            <w:top w:val="dashed" w:sz="6" w:space="0" w:color="DDDDDD"/>
                            <w:left w:val="none" w:sz="0" w:space="0" w:color="auto"/>
                            <w:bottom w:val="none" w:sz="0" w:space="0" w:color="auto"/>
                            <w:right w:val="none" w:sz="0" w:space="0" w:color="auto"/>
                          </w:divBdr>
                          <w:divsChild>
                            <w:div w:id="351420894">
                              <w:marLeft w:val="0"/>
                              <w:marRight w:val="0"/>
                              <w:marTop w:val="0"/>
                              <w:marBottom w:val="0"/>
                              <w:divBdr>
                                <w:top w:val="none" w:sz="0" w:space="0" w:color="auto"/>
                                <w:left w:val="none" w:sz="0" w:space="0" w:color="auto"/>
                                <w:bottom w:val="none" w:sz="0" w:space="0" w:color="auto"/>
                                <w:right w:val="none" w:sz="0" w:space="0" w:color="auto"/>
                              </w:divBdr>
                              <w:divsChild>
                                <w:div w:id="885877715">
                                  <w:marLeft w:val="0"/>
                                  <w:marRight w:val="0"/>
                                  <w:marTop w:val="79"/>
                                  <w:marBottom w:val="79"/>
                                  <w:divBdr>
                                    <w:top w:val="none" w:sz="0" w:space="0" w:color="auto"/>
                                    <w:left w:val="none" w:sz="0" w:space="0" w:color="auto"/>
                                    <w:bottom w:val="none" w:sz="0" w:space="0" w:color="auto"/>
                                    <w:right w:val="none" w:sz="0" w:space="0" w:color="auto"/>
                                  </w:divBdr>
                                  <w:divsChild>
                                    <w:div w:id="284433214">
                                      <w:marLeft w:val="0"/>
                                      <w:marRight w:val="0"/>
                                      <w:marTop w:val="0"/>
                                      <w:marBottom w:val="0"/>
                                      <w:divBdr>
                                        <w:top w:val="none" w:sz="0" w:space="0" w:color="auto"/>
                                        <w:left w:val="none" w:sz="0" w:space="0" w:color="auto"/>
                                        <w:bottom w:val="none" w:sz="0" w:space="0" w:color="auto"/>
                                        <w:right w:val="none" w:sz="0" w:space="0" w:color="auto"/>
                                      </w:divBdr>
                                      <w:divsChild>
                                        <w:div w:id="787704042">
                                          <w:marLeft w:val="554"/>
                                          <w:marRight w:val="0"/>
                                          <w:marTop w:val="0"/>
                                          <w:marBottom w:val="0"/>
                                          <w:divBdr>
                                            <w:top w:val="none" w:sz="0" w:space="0" w:color="auto"/>
                                            <w:left w:val="none" w:sz="0" w:space="0" w:color="auto"/>
                                            <w:bottom w:val="none" w:sz="0" w:space="0" w:color="auto"/>
                                            <w:right w:val="none" w:sz="0" w:space="0" w:color="auto"/>
                                          </w:divBdr>
                                          <w:divsChild>
                                            <w:div w:id="118412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1652194">
      <w:bodyDiv w:val="1"/>
      <w:marLeft w:val="0"/>
      <w:marRight w:val="0"/>
      <w:marTop w:val="0"/>
      <w:marBottom w:val="0"/>
      <w:divBdr>
        <w:top w:val="none" w:sz="0" w:space="0" w:color="auto"/>
        <w:left w:val="none" w:sz="0" w:space="0" w:color="auto"/>
        <w:bottom w:val="none" w:sz="0" w:space="0" w:color="auto"/>
        <w:right w:val="none" w:sz="0" w:space="0" w:color="auto"/>
      </w:divBdr>
    </w:div>
    <w:div w:id="442385003">
      <w:bodyDiv w:val="1"/>
      <w:marLeft w:val="0"/>
      <w:marRight w:val="0"/>
      <w:marTop w:val="0"/>
      <w:marBottom w:val="0"/>
      <w:divBdr>
        <w:top w:val="none" w:sz="0" w:space="0" w:color="auto"/>
        <w:left w:val="none" w:sz="0" w:space="0" w:color="auto"/>
        <w:bottom w:val="none" w:sz="0" w:space="0" w:color="auto"/>
        <w:right w:val="none" w:sz="0" w:space="0" w:color="auto"/>
      </w:divBdr>
    </w:div>
    <w:div w:id="444689562">
      <w:bodyDiv w:val="1"/>
      <w:marLeft w:val="0"/>
      <w:marRight w:val="0"/>
      <w:marTop w:val="0"/>
      <w:marBottom w:val="0"/>
      <w:divBdr>
        <w:top w:val="none" w:sz="0" w:space="0" w:color="auto"/>
        <w:left w:val="none" w:sz="0" w:space="0" w:color="auto"/>
        <w:bottom w:val="none" w:sz="0" w:space="0" w:color="auto"/>
        <w:right w:val="none" w:sz="0" w:space="0" w:color="auto"/>
      </w:divBdr>
    </w:div>
    <w:div w:id="456144310">
      <w:bodyDiv w:val="1"/>
      <w:marLeft w:val="0"/>
      <w:marRight w:val="0"/>
      <w:marTop w:val="0"/>
      <w:marBottom w:val="0"/>
      <w:divBdr>
        <w:top w:val="none" w:sz="0" w:space="0" w:color="auto"/>
        <w:left w:val="none" w:sz="0" w:space="0" w:color="auto"/>
        <w:bottom w:val="none" w:sz="0" w:space="0" w:color="auto"/>
        <w:right w:val="none" w:sz="0" w:space="0" w:color="auto"/>
      </w:divBdr>
    </w:div>
    <w:div w:id="456527950">
      <w:bodyDiv w:val="1"/>
      <w:marLeft w:val="0"/>
      <w:marRight w:val="0"/>
      <w:marTop w:val="0"/>
      <w:marBottom w:val="0"/>
      <w:divBdr>
        <w:top w:val="none" w:sz="0" w:space="0" w:color="auto"/>
        <w:left w:val="none" w:sz="0" w:space="0" w:color="auto"/>
        <w:bottom w:val="none" w:sz="0" w:space="0" w:color="auto"/>
        <w:right w:val="none" w:sz="0" w:space="0" w:color="auto"/>
      </w:divBdr>
    </w:div>
    <w:div w:id="458644539">
      <w:bodyDiv w:val="1"/>
      <w:marLeft w:val="0"/>
      <w:marRight w:val="0"/>
      <w:marTop w:val="0"/>
      <w:marBottom w:val="0"/>
      <w:divBdr>
        <w:top w:val="none" w:sz="0" w:space="0" w:color="auto"/>
        <w:left w:val="none" w:sz="0" w:space="0" w:color="auto"/>
        <w:bottom w:val="none" w:sz="0" w:space="0" w:color="auto"/>
        <w:right w:val="none" w:sz="0" w:space="0" w:color="auto"/>
      </w:divBdr>
    </w:div>
    <w:div w:id="463810455">
      <w:bodyDiv w:val="1"/>
      <w:marLeft w:val="0"/>
      <w:marRight w:val="0"/>
      <w:marTop w:val="0"/>
      <w:marBottom w:val="0"/>
      <w:divBdr>
        <w:top w:val="none" w:sz="0" w:space="0" w:color="auto"/>
        <w:left w:val="none" w:sz="0" w:space="0" w:color="auto"/>
        <w:bottom w:val="none" w:sz="0" w:space="0" w:color="auto"/>
        <w:right w:val="none" w:sz="0" w:space="0" w:color="auto"/>
      </w:divBdr>
    </w:div>
    <w:div w:id="464354515">
      <w:bodyDiv w:val="1"/>
      <w:marLeft w:val="0"/>
      <w:marRight w:val="0"/>
      <w:marTop w:val="0"/>
      <w:marBottom w:val="0"/>
      <w:divBdr>
        <w:top w:val="none" w:sz="0" w:space="0" w:color="auto"/>
        <w:left w:val="none" w:sz="0" w:space="0" w:color="auto"/>
        <w:bottom w:val="none" w:sz="0" w:space="0" w:color="auto"/>
        <w:right w:val="none" w:sz="0" w:space="0" w:color="auto"/>
      </w:divBdr>
    </w:div>
    <w:div w:id="478150958">
      <w:bodyDiv w:val="1"/>
      <w:marLeft w:val="0"/>
      <w:marRight w:val="0"/>
      <w:marTop w:val="0"/>
      <w:marBottom w:val="0"/>
      <w:divBdr>
        <w:top w:val="none" w:sz="0" w:space="0" w:color="auto"/>
        <w:left w:val="none" w:sz="0" w:space="0" w:color="auto"/>
        <w:bottom w:val="none" w:sz="0" w:space="0" w:color="auto"/>
        <w:right w:val="none" w:sz="0" w:space="0" w:color="auto"/>
      </w:divBdr>
    </w:div>
    <w:div w:id="483163335">
      <w:bodyDiv w:val="1"/>
      <w:marLeft w:val="0"/>
      <w:marRight w:val="0"/>
      <w:marTop w:val="0"/>
      <w:marBottom w:val="0"/>
      <w:divBdr>
        <w:top w:val="none" w:sz="0" w:space="0" w:color="auto"/>
        <w:left w:val="none" w:sz="0" w:space="0" w:color="auto"/>
        <w:bottom w:val="none" w:sz="0" w:space="0" w:color="auto"/>
        <w:right w:val="none" w:sz="0" w:space="0" w:color="auto"/>
      </w:divBdr>
    </w:div>
    <w:div w:id="483475001">
      <w:bodyDiv w:val="1"/>
      <w:marLeft w:val="0"/>
      <w:marRight w:val="0"/>
      <w:marTop w:val="0"/>
      <w:marBottom w:val="0"/>
      <w:divBdr>
        <w:top w:val="none" w:sz="0" w:space="0" w:color="auto"/>
        <w:left w:val="none" w:sz="0" w:space="0" w:color="auto"/>
        <w:bottom w:val="none" w:sz="0" w:space="0" w:color="auto"/>
        <w:right w:val="none" w:sz="0" w:space="0" w:color="auto"/>
      </w:divBdr>
    </w:div>
    <w:div w:id="483817959">
      <w:bodyDiv w:val="1"/>
      <w:marLeft w:val="0"/>
      <w:marRight w:val="0"/>
      <w:marTop w:val="0"/>
      <w:marBottom w:val="0"/>
      <w:divBdr>
        <w:top w:val="none" w:sz="0" w:space="0" w:color="auto"/>
        <w:left w:val="none" w:sz="0" w:space="0" w:color="auto"/>
        <w:bottom w:val="none" w:sz="0" w:space="0" w:color="auto"/>
        <w:right w:val="none" w:sz="0" w:space="0" w:color="auto"/>
      </w:divBdr>
    </w:div>
    <w:div w:id="486090320">
      <w:bodyDiv w:val="1"/>
      <w:marLeft w:val="0"/>
      <w:marRight w:val="0"/>
      <w:marTop w:val="0"/>
      <w:marBottom w:val="0"/>
      <w:divBdr>
        <w:top w:val="none" w:sz="0" w:space="0" w:color="auto"/>
        <w:left w:val="none" w:sz="0" w:space="0" w:color="auto"/>
        <w:bottom w:val="none" w:sz="0" w:space="0" w:color="auto"/>
        <w:right w:val="none" w:sz="0" w:space="0" w:color="auto"/>
      </w:divBdr>
    </w:div>
    <w:div w:id="486560471">
      <w:bodyDiv w:val="1"/>
      <w:marLeft w:val="0"/>
      <w:marRight w:val="0"/>
      <w:marTop w:val="0"/>
      <w:marBottom w:val="0"/>
      <w:divBdr>
        <w:top w:val="none" w:sz="0" w:space="0" w:color="auto"/>
        <w:left w:val="none" w:sz="0" w:space="0" w:color="auto"/>
        <w:bottom w:val="none" w:sz="0" w:space="0" w:color="auto"/>
        <w:right w:val="none" w:sz="0" w:space="0" w:color="auto"/>
      </w:divBdr>
    </w:div>
    <w:div w:id="488600981">
      <w:bodyDiv w:val="1"/>
      <w:marLeft w:val="0"/>
      <w:marRight w:val="0"/>
      <w:marTop w:val="0"/>
      <w:marBottom w:val="0"/>
      <w:divBdr>
        <w:top w:val="none" w:sz="0" w:space="0" w:color="auto"/>
        <w:left w:val="none" w:sz="0" w:space="0" w:color="auto"/>
        <w:bottom w:val="none" w:sz="0" w:space="0" w:color="auto"/>
        <w:right w:val="none" w:sz="0" w:space="0" w:color="auto"/>
      </w:divBdr>
    </w:div>
    <w:div w:id="489953257">
      <w:bodyDiv w:val="1"/>
      <w:marLeft w:val="0"/>
      <w:marRight w:val="0"/>
      <w:marTop w:val="0"/>
      <w:marBottom w:val="0"/>
      <w:divBdr>
        <w:top w:val="none" w:sz="0" w:space="0" w:color="auto"/>
        <w:left w:val="none" w:sz="0" w:space="0" w:color="auto"/>
        <w:bottom w:val="none" w:sz="0" w:space="0" w:color="auto"/>
        <w:right w:val="none" w:sz="0" w:space="0" w:color="auto"/>
      </w:divBdr>
    </w:div>
    <w:div w:id="504367564">
      <w:bodyDiv w:val="1"/>
      <w:marLeft w:val="0"/>
      <w:marRight w:val="0"/>
      <w:marTop w:val="0"/>
      <w:marBottom w:val="0"/>
      <w:divBdr>
        <w:top w:val="none" w:sz="0" w:space="0" w:color="auto"/>
        <w:left w:val="none" w:sz="0" w:space="0" w:color="auto"/>
        <w:bottom w:val="none" w:sz="0" w:space="0" w:color="auto"/>
        <w:right w:val="none" w:sz="0" w:space="0" w:color="auto"/>
      </w:divBdr>
      <w:divsChild>
        <w:div w:id="478768960">
          <w:marLeft w:val="446"/>
          <w:marRight w:val="0"/>
          <w:marTop w:val="0"/>
          <w:marBottom w:val="120"/>
          <w:divBdr>
            <w:top w:val="none" w:sz="0" w:space="0" w:color="auto"/>
            <w:left w:val="none" w:sz="0" w:space="0" w:color="auto"/>
            <w:bottom w:val="none" w:sz="0" w:space="0" w:color="auto"/>
            <w:right w:val="none" w:sz="0" w:space="0" w:color="auto"/>
          </w:divBdr>
        </w:div>
        <w:div w:id="746925136">
          <w:marLeft w:val="446"/>
          <w:marRight w:val="0"/>
          <w:marTop w:val="0"/>
          <w:marBottom w:val="120"/>
          <w:divBdr>
            <w:top w:val="none" w:sz="0" w:space="0" w:color="auto"/>
            <w:left w:val="none" w:sz="0" w:space="0" w:color="auto"/>
            <w:bottom w:val="none" w:sz="0" w:space="0" w:color="auto"/>
            <w:right w:val="none" w:sz="0" w:space="0" w:color="auto"/>
          </w:divBdr>
        </w:div>
      </w:divsChild>
    </w:div>
    <w:div w:id="504594371">
      <w:bodyDiv w:val="1"/>
      <w:marLeft w:val="0"/>
      <w:marRight w:val="0"/>
      <w:marTop w:val="0"/>
      <w:marBottom w:val="0"/>
      <w:divBdr>
        <w:top w:val="none" w:sz="0" w:space="0" w:color="auto"/>
        <w:left w:val="none" w:sz="0" w:space="0" w:color="auto"/>
        <w:bottom w:val="none" w:sz="0" w:space="0" w:color="auto"/>
        <w:right w:val="none" w:sz="0" w:space="0" w:color="auto"/>
      </w:divBdr>
    </w:div>
    <w:div w:id="509375215">
      <w:bodyDiv w:val="1"/>
      <w:marLeft w:val="0"/>
      <w:marRight w:val="0"/>
      <w:marTop w:val="0"/>
      <w:marBottom w:val="0"/>
      <w:divBdr>
        <w:top w:val="none" w:sz="0" w:space="0" w:color="auto"/>
        <w:left w:val="none" w:sz="0" w:space="0" w:color="auto"/>
        <w:bottom w:val="none" w:sz="0" w:space="0" w:color="auto"/>
        <w:right w:val="none" w:sz="0" w:space="0" w:color="auto"/>
      </w:divBdr>
    </w:div>
    <w:div w:id="512690377">
      <w:bodyDiv w:val="1"/>
      <w:marLeft w:val="0"/>
      <w:marRight w:val="0"/>
      <w:marTop w:val="0"/>
      <w:marBottom w:val="0"/>
      <w:divBdr>
        <w:top w:val="none" w:sz="0" w:space="0" w:color="auto"/>
        <w:left w:val="none" w:sz="0" w:space="0" w:color="auto"/>
        <w:bottom w:val="none" w:sz="0" w:space="0" w:color="auto"/>
        <w:right w:val="none" w:sz="0" w:space="0" w:color="auto"/>
      </w:divBdr>
      <w:divsChild>
        <w:div w:id="965157174">
          <w:marLeft w:val="0"/>
          <w:marRight w:val="0"/>
          <w:marTop w:val="0"/>
          <w:marBottom w:val="0"/>
          <w:divBdr>
            <w:top w:val="none" w:sz="0" w:space="0" w:color="auto"/>
            <w:left w:val="none" w:sz="0" w:space="0" w:color="auto"/>
            <w:bottom w:val="none" w:sz="0" w:space="0" w:color="auto"/>
            <w:right w:val="none" w:sz="0" w:space="0" w:color="auto"/>
          </w:divBdr>
          <w:divsChild>
            <w:div w:id="1115907094">
              <w:marLeft w:val="0"/>
              <w:marRight w:val="0"/>
              <w:marTop w:val="411"/>
              <w:marBottom w:val="0"/>
              <w:divBdr>
                <w:top w:val="none" w:sz="0" w:space="0" w:color="auto"/>
                <w:left w:val="none" w:sz="0" w:space="0" w:color="auto"/>
                <w:bottom w:val="none" w:sz="0" w:space="0" w:color="auto"/>
                <w:right w:val="none" w:sz="0" w:space="0" w:color="auto"/>
              </w:divBdr>
              <w:divsChild>
                <w:div w:id="1634600178">
                  <w:marLeft w:val="0"/>
                  <w:marRight w:val="0"/>
                  <w:marTop w:val="0"/>
                  <w:marBottom w:val="0"/>
                  <w:divBdr>
                    <w:top w:val="none" w:sz="0" w:space="0" w:color="auto"/>
                    <w:left w:val="none" w:sz="0" w:space="0" w:color="auto"/>
                    <w:bottom w:val="none" w:sz="0" w:space="0" w:color="auto"/>
                    <w:right w:val="none" w:sz="0" w:space="0" w:color="auto"/>
                  </w:divBdr>
                  <w:divsChild>
                    <w:div w:id="1947274280">
                      <w:marLeft w:val="79"/>
                      <w:marRight w:val="79"/>
                      <w:marTop w:val="0"/>
                      <w:marBottom w:val="0"/>
                      <w:divBdr>
                        <w:top w:val="none" w:sz="0" w:space="0" w:color="auto"/>
                        <w:left w:val="none" w:sz="0" w:space="0" w:color="auto"/>
                        <w:bottom w:val="none" w:sz="0" w:space="0" w:color="auto"/>
                        <w:right w:val="none" w:sz="0" w:space="0" w:color="auto"/>
                      </w:divBdr>
                      <w:divsChild>
                        <w:div w:id="132530330">
                          <w:marLeft w:val="0"/>
                          <w:marRight w:val="0"/>
                          <w:marTop w:val="0"/>
                          <w:marBottom w:val="0"/>
                          <w:divBdr>
                            <w:top w:val="dashed" w:sz="6" w:space="0" w:color="DDDDDD"/>
                            <w:left w:val="none" w:sz="0" w:space="0" w:color="auto"/>
                            <w:bottom w:val="none" w:sz="0" w:space="0" w:color="auto"/>
                            <w:right w:val="none" w:sz="0" w:space="0" w:color="auto"/>
                          </w:divBdr>
                          <w:divsChild>
                            <w:div w:id="1377199662">
                              <w:marLeft w:val="0"/>
                              <w:marRight w:val="0"/>
                              <w:marTop w:val="0"/>
                              <w:marBottom w:val="0"/>
                              <w:divBdr>
                                <w:top w:val="none" w:sz="0" w:space="0" w:color="auto"/>
                                <w:left w:val="none" w:sz="0" w:space="0" w:color="auto"/>
                                <w:bottom w:val="none" w:sz="0" w:space="0" w:color="auto"/>
                                <w:right w:val="none" w:sz="0" w:space="0" w:color="auto"/>
                              </w:divBdr>
                              <w:divsChild>
                                <w:div w:id="1624773122">
                                  <w:marLeft w:val="0"/>
                                  <w:marRight w:val="0"/>
                                  <w:marTop w:val="79"/>
                                  <w:marBottom w:val="79"/>
                                  <w:divBdr>
                                    <w:top w:val="none" w:sz="0" w:space="0" w:color="auto"/>
                                    <w:left w:val="none" w:sz="0" w:space="0" w:color="auto"/>
                                    <w:bottom w:val="none" w:sz="0" w:space="0" w:color="auto"/>
                                    <w:right w:val="none" w:sz="0" w:space="0" w:color="auto"/>
                                  </w:divBdr>
                                  <w:divsChild>
                                    <w:div w:id="184877515">
                                      <w:marLeft w:val="0"/>
                                      <w:marRight w:val="0"/>
                                      <w:marTop w:val="0"/>
                                      <w:marBottom w:val="0"/>
                                      <w:divBdr>
                                        <w:top w:val="none" w:sz="0" w:space="0" w:color="auto"/>
                                        <w:left w:val="none" w:sz="0" w:space="0" w:color="auto"/>
                                        <w:bottom w:val="none" w:sz="0" w:space="0" w:color="auto"/>
                                        <w:right w:val="none" w:sz="0" w:space="0" w:color="auto"/>
                                      </w:divBdr>
                                      <w:divsChild>
                                        <w:div w:id="1949001455">
                                          <w:marLeft w:val="554"/>
                                          <w:marRight w:val="0"/>
                                          <w:marTop w:val="0"/>
                                          <w:marBottom w:val="0"/>
                                          <w:divBdr>
                                            <w:top w:val="none" w:sz="0" w:space="0" w:color="auto"/>
                                            <w:left w:val="none" w:sz="0" w:space="0" w:color="auto"/>
                                            <w:bottom w:val="none" w:sz="0" w:space="0" w:color="auto"/>
                                            <w:right w:val="none" w:sz="0" w:space="0" w:color="auto"/>
                                          </w:divBdr>
                                          <w:divsChild>
                                            <w:div w:id="18318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4999046">
      <w:bodyDiv w:val="1"/>
      <w:marLeft w:val="0"/>
      <w:marRight w:val="0"/>
      <w:marTop w:val="0"/>
      <w:marBottom w:val="0"/>
      <w:divBdr>
        <w:top w:val="none" w:sz="0" w:space="0" w:color="auto"/>
        <w:left w:val="none" w:sz="0" w:space="0" w:color="auto"/>
        <w:bottom w:val="none" w:sz="0" w:space="0" w:color="auto"/>
        <w:right w:val="none" w:sz="0" w:space="0" w:color="auto"/>
      </w:divBdr>
    </w:div>
    <w:div w:id="521091211">
      <w:bodyDiv w:val="1"/>
      <w:marLeft w:val="0"/>
      <w:marRight w:val="0"/>
      <w:marTop w:val="0"/>
      <w:marBottom w:val="0"/>
      <w:divBdr>
        <w:top w:val="none" w:sz="0" w:space="0" w:color="auto"/>
        <w:left w:val="none" w:sz="0" w:space="0" w:color="auto"/>
        <w:bottom w:val="none" w:sz="0" w:space="0" w:color="auto"/>
        <w:right w:val="none" w:sz="0" w:space="0" w:color="auto"/>
      </w:divBdr>
      <w:divsChild>
        <w:div w:id="1562593833">
          <w:marLeft w:val="0"/>
          <w:marRight w:val="0"/>
          <w:marTop w:val="0"/>
          <w:marBottom w:val="0"/>
          <w:divBdr>
            <w:top w:val="none" w:sz="0" w:space="0" w:color="auto"/>
            <w:left w:val="none" w:sz="0" w:space="0" w:color="auto"/>
            <w:bottom w:val="none" w:sz="0" w:space="0" w:color="auto"/>
            <w:right w:val="none" w:sz="0" w:space="0" w:color="auto"/>
          </w:divBdr>
          <w:divsChild>
            <w:div w:id="2008900224">
              <w:marLeft w:val="0"/>
              <w:marRight w:val="0"/>
              <w:marTop w:val="15"/>
              <w:marBottom w:val="0"/>
              <w:divBdr>
                <w:top w:val="none" w:sz="0" w:space="0" w:color="auto"/>
                <w:left w:val="none" w:sz="0" w:space="0" w:color="auto"/>
                <w:bottom w:val="none" w:sz="0" w:space="0" w:color="auto"/>
                <w:right w:val="none" w:sz="0" w:space="0" w:color="auto"/>
              </w:divBdr>
              <w:divsChild>
                <w:div w:id="825436846">
                  <w:marLeft w:val="0"/>
                  <w:marRight w:val="0"/>
                  <w:marTop w:val="0"/>
                  <w:marBottom w:val="0"/>
                  <w:divBdr>
                    <w:top w:val="none" w:sz="0" w:space="0" w:color="auto"/>
                    <w:left w:val="single" w:sz="6" w:space="0" w:color="B5B5B5"/>
                    <w:bottom w:val="none" w:sz="0" w:space="0" w:color="auto"/>
                    <w:right w:val="single" w:sz="6" w:space="0" w:color="B5B5B5"/>
                  </w:divBdr>
                  <w:divsChild>
                    <w:div w:id="1728650126">
                      <w:marLeft w:val="75"/>
                      <w:marRight w:val="75"/>
                      <w:marTop w:val="0"/>
                      <w:marBottom w:val="0"/>
                      <w:divBdr>
                        <w:top w:val="none" w:sz="0" w:space="0" w:color="auto"/>
                        <w:left w:val="none" w:sz="0" w:space="0" w:color="auto"/>
                        <w:bottom w:val="none" w:sz="0" w:space="0" w:color="auto"/>
                        <w:right w:val="none" w:sz="0" w:space="0" w:color="auto"/>
                      </w:divBdr>
                      <w:divsChild>
                        <w:div w:id="574584389">
                          <w:marLeft w:val="0"/>
                          <w:marRight w:val="0"/>
                          <w:marTop w:val="0"/>
                          <w:marBottom w:val="0"/>
                          <w:divBdr>
                            <w:top w:val="dotted" w:sz="6" w:space="0" w:color="B5B5B5"/>
                            <w:left w:val="none" w:sz="0" w:space="0" w:color="auto"/>
                            <w:bottom w:val="none" w:sz="0" w:space="0" w:color="auto"/>
                            <w:right w:val="none" w:sz="0" w:space="0" w:color="auto"/>
                          </w:divBdr>
                          <w:divsChild>
                            <w:div w:id="177738170">
                              <w:marLeft w:val="0"/>
                              <w:marRight w:val="0"/>
                              <w:marTop w:val="75"/>
                              <w:marBottom w:val="0"/>
                              <w:divBdr>
                                <w:top w:val="none" w:sz="0" w:space="0" w:color="auto"/>
                                <w:left w:val="none" w:sz="0" w:space="0" w:color="auto"/>
                                <w:bottom w:val="none" w:sz="0" w:space="0" w:color="auto"/>
                                <w:right w:val="none" w:sz="0" w:space="0" w:color="auto"/>
                              </w:divBdr>
                              <w:divsChild>
                                <w:div w:id="249391265">
                                  <w:marLeft w:val="0"/>
                                  <w:marRight w:val="0"/>
                                  <w:marTop w:val="0"/>
                                  <w:marBottom w:val="0"/>
                                  <w:divBdr>
                                    <w:top w:val="none" w:sz="0" w:space="0" w:color="auto"/>
                                    <w:left w:val="none" w:sz="0" w:space="0" w:color="auto"/>
                                    <w:bottom w:val="none" w:sz="0" w:space="0" w:color="auto"/>
                                    <w:right w:val="none" w:sz="0" w:space="0" w:color="auto"/>
                                  </w:divBdr>
                                  <w:divsChild>
                                    <w:div w:id="1541942048">
                                      <w:marLeft w:val="0"/>
                                      <w:marRight w:val="0"/>
                                      <w:marTop w:val="0"/>
                                      <w:marBottom w:val="0"/>
                                      <w:divBdr>
                                        <w:top w:val="none" w:sz="0" w:space="0" w:color="auto"/>
                                        <w:left w:val="none" w:sz="0" w:space="0" w:color="auto"/>
                                        <w:bottom w:val="none" w:sz="0" w:space="0" w:color="auto"/>
                                        <w:right w:val="none" w:sz="0" w:space="0" w:color="auto"/>
                                      </w:divBdr>
                                      <w:divsChild>
                                        <w:div w:id="748884892">
                                          <w:marLeft w:val="525"/>
                                          <w:marRight w:val="0"/>
                                          <w:marTop w:val="0"/>
                                          <w:marBottom w:val="0"/>
                                          <w:divBdr>
                                            <w:top w:val="none" w:sz="0" w:space="0" w:color="auto"/>
                                            <w:left w:val="none" w:sz="0" w:space="0" w:color="auto"/>
                                            <w:bottom w:val="none" w:sz="0" w:space="0" w:color="auto"/>
                                            <w:right w:val="none" w:sz="0" w:space="0" w:color="auto"/>
                                          </w:divBdr>
                                          <w:divsChild>
                                            <w:div w:id="12848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1435895">
      <w:bodyDiv w:val="1"/>
      <w:marLeft w:val="0"/>
      <w:marRight w:val="0"/>
      <w:marTop w:val="0"/>
      <w:marBottom w:val="0"/>
      <w:divBdr>
        <w:top w:val="none" w:sz="0" w:space="0" w:color="auto"/>
        <w:left w:val="none" w:sz="0" w:space="0" w:color="auto"/>
        <w:bottom w:val="none" w:sz="0" w:space="0" w:color="auto"/>
        <w:right w:val="none" w:sz="0" w:space="0" w:color="auto"/>
      </w:divBdr>
    </w:div>
    <w:div w:id="527258287">
      <w:bodyDiv w:val="1"/>
      <w:marLeft w:val="0"/>
      <w:marRight w:val="0"/>
      <w:marTop w:val="0"/>
      <w:marBottom w:val="0"/>
      <w:divBdr>
        <w:top w:val="none" w:sz="0" w:space="0" w:color="auto"/>
        <w:left w:val="none" w:sz="0" w:space="0" w:color="auto"/>
        <w:bottom w:val="none" w:sz="0" w:space="0" w:color="auto"/>
        <w:right w:val="none" w:sz="0" w:space="0" w:color="auto"/>
      </w:divBdr>
      <w:divsChild>
        <w:div w:id="1412703719">
          <w:marLeft w:val="446"/>
          <w:marRight w:val="0"/>
          <w:marTop w:val="0"/>
          <w:marBottom w:val="0"/>
          <w:divBdr>
            <w:top w:val="none" w:sz="0" w:space="0" w:color="auto"/>
            <w:left w:val="none" w:sz="0" w:space="0" w:color="auto"/>
            <w:bottom w:val="none" w:sz="0" w:space="0" w:color="auto"/>
            <w:right w:val="none" w:sz="0" w:space="0" w:color="auto"/>
          </w:divBdr>
        </w:div>
      </w:divsChild>
    </w:div>
    <w:div w:id="531306090">
      <w:bodyDiv w:val="1"/>
      <w:marLeft w:val="0"/>
      <w:marRight w:val="0"/>
      <w:marTop w:val="0"/>
      <w:marBottom w:val="0"/>
      <w:divBdr>
        <w:top w:val="none" w:sz="0" w:space="0" w:color="auto"/>
        <w:left w:val="none" w:sz="0" w:space="0" w:color="auto"/>
        <w:bottom w:val="none" w:sz="0" w:space="0" w:color="auto"/>
        <w:right w:val="none" w:sz="0" w:space="0" w:color="auto"/>
      </w:divBdr>
    </w:div>
    <w:div w:id="534580835">
      <w:bodyDiv w:val="1"/>
      <w:marLeft w:val="0"/>
      <w:marRight w:val="0"/>
      <w:marTop w:val="0"/>
      <w:marBottom w:val="0"/>
      <w:divBdr>
        <w:top w:val="none" w:sz="0" w:space="0" w:color="auto"/>
        <w:left w:val="none" w:sz="0" w:space="0" w:color="auto"/>
        <w:bottom w:val="none" w:sz="0" w:space="0" w:color="auto"/>
        <w:right w:val="none" w:sz="0" w:space="0" w:color="auto"/>
      </w:divBdr>
    </w:div>
    <w:div w:id="536703458">
      <w:bodyDiv w:val="1"/>
      <w:marLeft w:val="0"/>
      <w:marRight w:val="0"/>
      <w:marTop w:val="0"/>
      <w:marBottom w:val="0"/>
      <w:divBdr>
        <w:top w:val="none" w:sz="0" w:space="0" w:color="auto"/>
        <w:left w:val="none" w:sz="0" w:space="0" w:color="auto"/>
        <w:bottom w:val="none" w:sz="0" w:space="0" w:color="auto"/>
        <w:right w:val="none" w:sz="0" w:space="0" w:color="auto"/>
      </w:divBdr>
      <w:divsChild>
        <w:div w:id="1227299569">
          <w:marLeft w:val="0"/>
          <w:marRight w:val="0"/>
          <w:marTop w:val="0"/>
          <w:marBottom w:val="0"/>
          <w:divBdr>
            <w:top w:val="none" w:sz="0" w:space="0" w:color="auto"/>
            <w:left w:val="none" w:sz="0" w:space="0" w:color="auto"/>
            <w:bottom w:val="none" w:sz="0" w:space="0" w:color="auto"/>
            <w:right w:val="none" w:sz="0" w:space="0" w:color="auto"/>
          </w:divBdr>
          <w:divsChild>
            <w:div w:id="1105270267">
              <w:marLeft w:val="0"/>
              <w:marRight w:val="0"/>
              <w:marTop w:val="411"/>
              <w:marBottom w:val="0"/>
              <w:divBdr>
                <w:top w:val="none" w:sz="0" w:space="0" w:color="auto"/>
                <w:left w:val="none" w:sz="0" w:space="0" w:color="auto"/>
                <w:bottom w:val="none" w:sz="0" w:space="0" w:color="auto"/>
                <w:right w:val="none" w:sz="0" w:space="0" w:color="auto"/>
              </w:divBdr>
              <w:divsChild>
                <w:div w:id="321392296">
                  <w:marLeft w:val="0"/>
                  <w:marRight w:val="0"/>
                  <w:marTop w:val="0"/>
                  <w:marBottom w:val="0"/>
                  <w:divBdr>
                    <w:top w:val="none" w:sz="0" w:space="0" w:color="auto"/>
                    <w:left w:val="none" w:sz="0" w:space="0" w:color="auto"/>
                    <w:bottom w:val="none" w:sz="0" w:space="0" w:color="auto"/>
                    <w:right w:val="none" w:sz="0" w:space="0" w:color="auto"/>
                  </w:divBdr>
                  <w:divsChild>
                    <w:div w:id="423497723">
                      <w:marLeft w:val="79"/>
                      <w:marRight w:val="79"/>
                      <w:marTop w:val="0"/>
                      <w:marBottom w:val="0"/>
                      <w:divBdr>
                        <w:top w:val="none" w:sz="0" w:space="0" w:color="auto"/>
                        <w:left w:val="none" w:sz="0" w:space="0" w:color="auto"/>
                        <w:bottom w:val="none" w:sz="0" w:space="0" w:color="auto"/>
                        <w:right w:val="none" w:sz="0" w:space="0" w:color="auto"/>
                      </w:divBdr>
                      <w:divsChild>
                        <w:div w:id="2015372014">
                          <w:marLeft w:val="0"/>
                          <w:marRight w:val="0"/>
                          <w:marTop w:val="0"/>
                          <w:marBottom w:val="0"/>
                          <w:divBdr>
                            <w:top w:val="dashed" w:sz="6" w:space="0" w:color="DDDDDD"/>
                            <w:left w:val="none" w:sz="0" w:space="0" w:color="auto"/>
                            <w:bottom w:val="none" w:sz="0" w:space="0" w:color="auto"/>
                            <w:right w:val="none" w:sz="0" w:space="0" w:color="auto"/>
                          </w:divBdr>
                          <w:divsChild>
                            <w:div w:id="1646470870">
                              <w:marLeft w:val="0"/>
                              <w:marRight w:val="0"/>
                              <w:marTop w:val="0"/>
                              <w:marBottom w:val="0"/>
                              <w:divBdr>
                                <w:top w:val="none" w:sz="0" w:space="0" w:color="auto"/>
                                <w:left w:val="none" w:sz="0" w:space="0" w:color="auto"/>
                                <w:bottom w:val="none" w:sz="0" w:space="0" w:color="auto"/>
                                <w:right w:val="none" w:sz="0" w:space="0" w:color="auto"/>
                              </w:divBdr>
                              <w:divsChild>
                                <w:div w:id="860823306">
                                  <w:marLeft w:val="0"/>
                                  <w:marRight w:val="0"/>
                                  <w:marTop w:val="79"/>
                                  <w:marBottom w:val="79"/>
                                  <w:divBdr>
                                    <w:top w:val="none" w:sz="0" w:space="0" w:color="auto"/>
                                    <w:left w:val="none" w:sz="0" w:space="0" w:color="auto"/>
                                    <w:bottom w:val="none" w:sz="0" w:space="0" w:color="auto"/>
                                    <w:right w:val="none" w:sz="0" w:space="0" w:color="auto"/>
                                  </w:divBdr>
                                  <w:divsChild>
                                    <w:div w:id="2030521431">
                                      <w:marLeft w:val="0"/>
                                      <w:marRight w:val="0"/>
                                      <w:marTop w:val="0"/>
                                      <w:marBottom w:val="0"/>
                                      <w:divBdr>
                                        <w:top w:val="none" w:sz="0" w:space="0" w:color="auto"/>
                                        <w:left w:val="none" w:sz="0" w:space="0" w:color="auto"/>
                                        <w:bottom w:val="none" w:sz="0" w:space="0" w:color="auto"/>
                                        <w:right w:val="none" w:sz="0" w:space="0" w:color="auto"/>
                                      </w:divBdr>
                                      <w:divsChild>
                                        <w:div w:id="2109082041">
                                          <w:marLeft w:val="554"/>
                                          <w:marRight w:val="0"/>
                                          <w:marTop w:val="0"/>
                                          <w:marBottom w:val="0"/>
                                          <w:divBdr>
                                            <w:top w:val="none" w:sz="0" w:space="0" w:color="auto"/>
                                            <w:left w:val="none" w:sz="0" w:space="0" w:color="auto"/>
                                            <w:bottom w:val="none" w:sz="0" w:space="0" w:color="auto"/>
                                            <w:right w:val="none" w:sz="0" w:space="0" w:color="auto"/>
                                          </w:divBdr>
                                          <w:divsChild>
                                            <w:div w:id="1327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588074">
      <w:bodyDiv w:val="1"/>
      <w:marLeft w:val="0"/>
      <w:marRight w:val="0"/>
      <w:marTop w:val="0"/>
      <w:marBottom w:val="0"/>
      <w:divBdr>
        <w:top w:val="none" w:sz="0" w:space="0" w:color="auto"/>
        <w:left w:val="none" w:sz="0" w:space="0" w:color="auto"/>
        <w:bottom w:val="none" w:sz="0" w:space="0" w:color="auto"/>
        <w:right w:val="none" w:sz="0" w:space="0" w:color="auto"/>
      </w:divBdr>
    </w:div>
    <w:div w:id="540476168">
      <w:bodyDiv w:val="1"/>
      <w:marLeft w:val="0"/>
      <w:marRight w:val="0"/>
      <w:marTop w:val="0"/>
      <w:marBottom w:val="0"/>
      <w:divBdr>
        <w:top w:val="none" w:sz="0" w:space="0" w:color="auto"/>
        <w:left w:val="none" w:sz="0" w:space="0" w:color="auto"/>
        <w:bottom w:val="none" w:sz="0" w:space="0" w:color="auto"/>
        <w:right w:val="none" w:sz="0" w:space="0" w:color="auto"/>
      </w:divBdr>
    </w:div>
    <w:div w:id="548690269">
      <w:bodyDiv w:val="1"/>
      <w:marLeft w:val="0"/>
      <w:marRight w:val="0"/>
      <w:marTop w:val="0"/>
      <w:marBottom w:val="0"/>
      <w:divBdr>
        <w:top w:val="none" w:sz="0" w:space="0" w:color="auto"/>
        <w:left w:val="none" w:sz="0" w:space="0" w:color="auto"/>
        <w:bottom w:val="none" w:sz="0" w:space="0" w:color="auto"/>
        <w:right w:val="none" w:sz="0" w:space="0" w:color="auto"/>
      </w:divBdr>
    </w:div>
    <w:div w:id="548690539">
      <w:bodyDiv w:val="1"/>
      <w:marLeft w:val="0"/>
      <w:marRight w:val="0"/>
      <w:marTop w:val="0"/>
      <w:marBottom w:val="0"/>
      <w:divBdr>
        <w:top w:val="none" w:sz="0" w:space="0" w:color="auto"/>
        <w:left w:val="none" w:sz="0" w:space="0" w:color="auto"/>
        <w:bottom w:val="none" w:sz="0" w:space="0" w:color="auto"/>
        <w:right w:val="none" w:sz="0" w:space="0" w:color="auto"/>
      </w:divBdr>
    </w:div>
    <w:div w:id="552692595">
      <w:bodyDiv w:val="1"/>
      <w:marLeft w:val="0"/>
      <w:marRight w:val="0"/>
      <w:marTop w:val="0"/>
      <w:marBottom w:val="0"/>
      <w:divBdr>
        <w:top w:val="none" w:sz="0" w:space="0" w:color="auto"/>
        <w:left w:val="none" w:sz="0" w:space="0" w:color="auto"/>
        <w:bottom w:val="none" w:sz="0" w:space="0" w:color="auto"/>
        <w:right w:val="none" w:sz="0" w:space="0" w:color="auto"/>
      </w:divBdr>
    </w:div>
    <w:div w:id="556353773">
      <w:bodyDiv w:val="1"/>
      <w:marLeft w:val="0"/>
      <w:marRight w:val="0"/>
      <w:marTop w:val="0"/>
      <w:marBottom w:val="0"/>
      <w:divBdr>
        <w:top w:val="none" w:sz="0" w:space="0" w:color="auto"/>
        <w:left w:val="none" w:sz="0" w:space="0" w:color="auto"/>
        <w:bottom w:val="none" w:sz="0" w:space="0" w:color="auto"/>
        <w:right w:val="none" w:sz="0" w:space="0" w:color="auto"/>
      </w:divBdr>
      <w:divsChild>
        <w:div w:id="28535595">
          <w:marLeft w:val="0"/>
          <w:marRight w:val="0"/>
          <w:marTop w:val="0"/>
          <w:marBottom w:val="0"/>
          <w:divBdr>
            <w:top w:val="none" w:sz="0" w:space="0" w:color="auto"/>
            <w:left w:val="none" w:sz="0" w:space="0" w:color="auto"/>
            <w:bottom w:val="none" w:sz="0" w:space="0" w:color="auto"/>
            <w:right w:val="none" w:sz="0" w:space="0" w:color="auto"/>
          </w:divBdr>
        </w:div>
        <w:div w:id="87119660">
          <w:marLeft w:val="0"/>
          <w:marRight w:val="0"/>
          <w:marTop w:val="0"/>
          <w:marBottom w:val="0"/>
          <w:divBdr>
            <w:top w:val="none" w:sz="0" w:space="0" w:color="auto"/>
            <w:left w:val="none" w:sz="0" w:space="0" w:color="auto"/>
            <w:bottom w:val="none" w:sz="0" w:space="0" w:color="auto"/>
            <w:right w:val="none" w:sz="0" w:space="0" w:color="auto"/>
          </w:divBdr>
        </w:div>
        <w:div w:id="194120704">
          <w:marLeft w:val="0"/>
          <w:marRight w:val="0"/>
          <w:marTop w:val="0"/>
          <w:marBottom w:val="0"/>
          <w:divBdr>
            <w:top w:val="none" w:sz="0" w:space="0" w:color="auto"/>
            <w:left w:val="none" w:sz="0" w:space="0" w:color="auto"/>
            <w:bottom w:val="none" w:sz="0" w:space="0" w:color="auto"/>
            <w:right w:val="none" w:sz="0" w:space="0" w:color="auto"/>
          </w:divBdr>
        </w:div>
        <w:div w:id="557476311">
          <w:marLeft w:val="0"/>
          <w:marRight w:val="0"/>
          <w:marTop w:val="0"/>
          <w:marBottom w:val="0"/>
          <w:divBdr>
            <w:top w:val="none" w:sz="0" w:space="0" w:color="auto"/>
            <w:left w:val="none" w:sz="0" w:space="0" w:color="auto"/>
            <w:bottom w:val="none" w:sz="0" w:space="0" w:color="auto"/>
            <w:right w:val="none" w:sz="0" w:space="0" w:color="auto"/>
          </w:divBdr>
        </w:div>
        <w:div w:id="675114610">
          <w:marLeft w:val="0"/>
          <w:marRight w:val="0"/>
          <w:marTop w:val="0"/>
          <w:marBottom w:val="0"/>
          <w:divBdr>
            <w:top w:val="none" w:sz="0" w:space="0" w:color="auto"/>
            <w:left w:val="none" w:sz="0" w:space="0" w:color="auto"/>
            <w:bottom w:val="none" w:sz="0" w:space="0" w:color="auto"/>
            <w:right w:val="none" w:sz="0" w:space="0" w:color="auto"/>
          </w:divBdr>
        </w:div>
        <w:div w:id="761073705">
          <w:marLeft w:val="0"/>
          <w:marRight w:val="0"/>
          <w:marTop w:val="0"/>
          <w:marBottom w:val="0"/>
          <w:divBdr>
            <w:top w:val="none" w:sz="0" w:space="0" w:color="auto"/>
            <w:left w:val="none" w:sz="0" w:space="0" w:color="auto"/>
            <w:bottom w:val="none" w:sz="0" w:space="0" w:color="auto"/>
            <w:right w:val="none" w:sz="0" w:space="0" w:color="auto"/>
          </w:divBdr>
        </w:div>
        <w:div w:id="795954278">
          <w:marLeft w:val="0"/>
          <w:marRight w:val="0"/>
          <w:marTop w:val="0"/>
          <w:marBottom w:val="0"/>
          <w:divBdr>
            <w:top w:val="none" w:sz="0" w:space="0" w:color="auto"/>
            <w:left w:val="none" w:sz="0" w:space="0" w:color="auto"/>
            <w:bottom w:val="none" w:sz="0" w:space="0" w:color="auto"/>
            <w:right w:val="none" w:sz="0" w:space="0" w:color="auto"/>
          </w:divBdr>
        </w:div>
        <w:div w:id="893391962">
          <w:marLeft w:val="0"/>
          <w:marRight w:val="0"/>
          <w:marTop w:val="0"/>
          <w:marBottom w:val="0"/>
          <w:divBdr>
            <w:top w:val="none" w:sz="0" w:space="0" w:color="auto"/>
            <w:left w:val="none" w:sz="0" w:space="0" w:color="auto"/>
            <w:bottom w:val="none" w:sz="0" w:space="0" w:color="auto"/>
            <w:right w:val="none" w:sz="0" w:space="0" w:color="auto"/>
          </w:divBdr>
        </w:div>
        <w:div w:id="978344914">
          <w:marLeft w:val="0"/>
          <w:marRight w:val="0"/>
          <w:marTop w:val="0"/>
          <w:marBottom w:val="0"/>
          <w:divBdr>
            <w:top w:val="none" w:sz="0" w:space="0" w:color="auto"/>
            <w:left w:val="none" w:sz="0" w:space="0" w:color="auto"/>
            <w:bottom w:val="none" w:sz="0" w:space="0" w:color="auto"/>
            <w:right w:val="none" w:sz="0" w:space="0" w:color="auto"/>
          </w:divBdr>
        </w:div>
        <w:div w:id="1047028142">
          <w:marLeft w:val="0"/>
          <w:marRight w:val="0"/>
          <w:marTop w:val="0"/>
          <w:marBottom w:val="0"/>
          <w:divBdr>
            <w:top w:val="none" w:sz="0" w:space="0" w:color="auto"/>
            <w:left w:val="none" w:sz="0" w:space="0" w:color="auto"/>
            <w:bottom w:val="none" w:sz="0" w:space="0" w:color="auto"/>
            <w:right w:val="none" w:sz="0" w:space="0" w:color="auto"/>
          </w:divBdr>
        </w:div>
        <w:div w:id="1062603839">
          <w:marLeft w:val="0"/>
          <w:marRight w:val="0"/>
          <w:marTop w:val="0"/>
          <w:marBottom w:val="0"/>
          <w:divBdr>
            <w:top w:val="none" w:sz="0" w:space="0" w:color="auto"/>
            <w:left w:val="none" w:sz="0" w:space="0" w:color="auto"/>
            <w:bottom w:val="none" w:sz="0" w:space="0" w:color="auto"/>
            <w:right w:val="none" w:sz="0" w:space="0" w:color="auto"/>
          </w:divBdr>
        </w:div>
        <w:div w:id="1070662474">
          <w:marLeft w:val="0"/>
          <w:marRight w:val="0"/>
          <w:marTop w:val="0"/>
          <w:marBottom w:val="0"/>
          <w:divBdr>
            <w:top w:val="none" w:sz="0" w:space="0" w:color="auto"/>
            <w:left w:val="none" w:sz="0" w:space="0" w:color="auto"/>
            <w:bottom w:val="none" w:sz="0" w:space="0" w:color="auto"/>
            <w:right w:val="none" w:sz="0" w:space="0" w:color="auto"/>
          </w:divBdr>
        </w:div>
        <w:div w:id="1082410338">
          <w:marLeft w:val="0"/>
          <w:marRight w:val="0"/>
          <w:marTop w:val="0"/>
          <w:marBottom w:val="0"/>
          <w:divBdr>
            <w:top w:val="none" w:sz="0" w:space="0" w:color="auto"/>
            <w:left w:val="none" w:sz="0" w:space="0" w:color="auto"/>
            <w:bottom w:val="none" w:sz="0" w:space="0" w:color="auto"/>
            <w:right w:val="none" w:sz="0" w:space="0" w:color="auto"/>
          </w:divBdr>
        </w:div>
        <w:div w:id="1107962948">
          <w:marLeft w:val="0"/>
          <w:marRight w:val="0"/>
          <w:marTop w:val="0"/>
          <w:marBottom w:val="0"/>
          <w:divBdr>
            <w:top w:val="none" w:sz="0" w:space="0" w:color="auto"/>
            <w:left w:val="none" w:sz="0" w:space="0" w:color="auto"/>
            <w:bottom w:val="none" w:sz="0" w:space="0" w:color="auto"/>
            <w:right w:val="none" w:sz="0" w:space="0" w:color="auto"/>
          </w:divBdr>
        </w:div>
        <w:div w:id="1123689065">
          <w:marLeft w:val="0"/>
          <w:marRight w:val="0"/>
          <w:marTop w:val="0"/>
          <w:marBottom w:val="0"/>
          <w:divBdr>
            <w:top w:val="none" w:sz="0" w:space="0" w:color="auto"/>
            <w:left w:val="none" w:sz="0" w:space="0" w:color="auto"/>
            <w:bottom w:val="none" w:sz="0" w:space="0" w:color="auto"/>
            <w:right w:val="none" w:sz="0" w:space="0" w:color="auto"/>
          </w:divBdr>
        </w:div>
        <w:div w:id="1204059761">
          <w:marLeft w:val="0"/>
          <w:marRight w:val="0"/>
          <w:marTop w:val="0"/>
          <w:marBottom w:val="0"/>
          <w:divBdr>
            <w:top w:val="none" w:sz="0" w:space="0" w:color="auto"/>
            <w:left w:val="none" w:sz="0" w:space="0" w:color="auto"/>
            <w:bottom w:val="none" w:sz="0" w:space="0" w:color="auto"/>
            <w:right w:val="none" w:sz="0" w:space="0" w:color="auto"/>
          </w:divBdr>
        </w:div>
        <w:div w:id="1232077386">
          <w:marLeft w:val="0"/>
          <w:marRight w:val="0"/>
          <w:marTop w:val="0"/>
          <w:marBottom w:val="0"/>
          <w:divBdr>
            <w:top w:val="none" w:sz="0" w:space="0" w:color="auto"/>
            <w:left w:val="none" w:sz="0" w:space="0" w:color="auto"/>
            <w:bottom w:val="none" w:sz="0" w:space="0" w:color="auto"/>
            <w:right w:val="none" w:sz="0" w:space="0" w:color="auto"/>
          </w:divBdr>
        </w:div>
        <w:div w:id="1247181384">
          <w:marLeft w:val="0"/>
          <w:marRight w:val="0"/>
          <w:marTop w:val="0"/>
          <w:marBottom w:val="0"/>
          <w:divBdr>
            <w:top w:val="none" w:sz="0" w:space="0" w:color="auto"/>
            <w:left w:val="none" w:sz="0" w:space="0" w:color="auto"/>
            <w:bottom w:val="none" w:sz="0" w:space="0" w:color="auto"/>
            <w:right w:val="none" w:sz="0" w:space="0" w:color="auto"/>
          </w:divBdr>
        </w:div>
        <w:div w:id="1251232750">
          <w:marLeft w:val="0"/>
          <w:marRight w:val="0"/>
          <w:marTop w:val="0"/>
          <w:marBottom w:val="0"/>
          <w:divBdr>
            <w:top w:val="none" w:sz="0" w:space="0" w:color="auto"/>
            <w:left w:val="none" w:sz="0" w:space="0" w:color="auto"/>
            <w:bottom w:val="none" w:sz="0" w:space="0" w:color="auto"/>
            <w:right w:val="none" w:sz="0" w:space="0" w:color="auto"/>
          </w:divBdr>
        </w:div>
        <w:div w:id="1333334463">
          <w:marLeft w:val="0"/>
          <w:marRight w:val="0"/>
          <w:marTop w:val="0"/>
          <w:marBottom w:val="0"/>
          <w:divBdr>
            <w:top w:val="none" w:sz="0" w:space="0" w:color="auto"/>
            <w:left w:val="none" w:sz="0" w:space="0" w:color="auto"/>
            <w:bottom w:val="none" w:sz="0" w:space="0" w:color="auto"/>
            <w:right w:val="none" w:sz="0" w:space="0" w:color="auto"/>
          </w:divBdr>
        </w:div>
        <w:div w:id="1366491704">
          <w:marLeft w:val="0"/>
          <w:marRight w:val="0"/>
          <w:marTop w:val="0"/>
          <w:marBottom w:val="0"/>
          <w:divBdr>
            <w:top w:val="none" w:sz="0" w:space="0" w:color="auto"/>
            <w:left w:val="none" w:sz="0" w:space="0" w:color="auto"/>
            <w:bottom w:val="none" w:sz="0" w:space="0" w:color="auto"/>
            <w:right w:val="none" w:sz="0" w:space="0" w:color="auto"/>
          </w:divBdr>
        </w:div>
        <w:div w:id="1397239106">
          <w:marLeft w:val="0"/>
          <w:marRight w:val="0"/>
          <w:marTop w:val="0"/>
          <w:marBottom w:val="0"/>
          <w:divBdr>
            <w:top w:val="none" w:sz="0" w:space="0" w:color="auto"/>
            <w:left w:val="none" w:sz="0" w:space="0" w:color="auto"/>
            <w:bottom w:val="none" w:sz="0" w:space="0" w:color="auto"/>
            <w:right w:val="none" w:sz="0" w:space="0" w:color="auto"/>
          </w:divBdr>
        </w:div>
        <w:div w:id="1401095570">
          <w:marLeft w:val="0"/>
          <w:marRight w:val="0"/>
          <w:marTop w:val="0"/>
          <w:marBottom w:val="0"/>
          <w:divBdr>
            <w:top w:val="none" w:sz="0" w:space="0" w:color="auto"/>
            <w:left w:val="none" w:sz="0" w:space="0" w:color="auto"/>
            <w:bottom w:val="none" w:sz="0" w:space="0" w:color="auto"/>
            <w:right w:val="none" w:sz="0" w:space="0" w:color="auto"/>
          </w:divBdr>
        </w:div>
        <w:div w:id="1404136938">
          <w:marLeft w:val="0"/>
          <w:marRight w:val="0"/>
          <w:marTop w:val="0"/>
          <w:marBottom w:val="0"/>
          <w:divBdr>
            <w:top w:val="none" w:sz="0" w:space="0" w:color="auto"/>
            <w:left w:val="none" w:sz="0" w:space="0" w:color="auto"/>
            <w:bottom w:val="none" w:sz="0" w:space="0" w:color="auto"/>
            <w:right w:val="none" w:sz="0" w:space="0" w:color="auto"/>
          </w:divBdr>
        </w:div>
        <w:div w:id="1416367543">
          <w:marLeft w:val="0"/>
          <w:marRight w:val="0"/>
          <w:marTop w:val="0"/>
          <w:marBottom w:val="0"/>
          <w:divBdr>
            <w:top w:val="none" w:sz="0" w:space="0" w:color="auto"/>
            <w:left w:val="none" w:sz="0" w:space="0" w:color="auto"/>
            <w:bottom w:val="none" w:sz="0" w:space="0" w:color="auto"/>
            <w:right w:val="none" w:sz="0" w:space="0" w:color="auto"/>
          </w:divBdr>
        </w:div>
        <w:div w:id="1496722671">
          <w:marLeft w:val="0"/>
          <w:marRight w:val="0"/>
          <w:marTop w:val="0"/>
          <w:marBottom w:val="0"/>
          <w:divBdr>
            <w:top w:val="none" w:sz="0" w:space="0" w:color="auto"/>
            <w:left w:val="none" w:sz="0" w:space="0" w:color="auto"/>
            <w:bottom w:val="none" w:sz="0" w:space="0" w:color="auto"/>
            <w:right w:val="none" w:sz="0" w:space="0" w:color="auto"/>
          </w:divBdr>
        </w:div>
        <w:div w:id="1565406917">
          <w:marLeft w:val="0"/>
          <w:marRight w:val="0"/>
          <w:marTop w:val="0"/>
          <w:marBottom w:val="0"/>
          <w:divBdr>
            <w:top w:val="none" w:sz="0" w:space="0" w:color="auto"/>
            <w:left w:val="none" w:sz="0" w:space="0" w:color="auto"/>
            <w:bottom w:val="none" w:sz="0" w:space="0" w:color="auto"/>
            <w:right w:val="none" w:sz="0" w:space="0" w:color="auto"/>
          </w:divBdr>
        </w:div>
        <w:div w:id="1604222493">
          <w:marLeft w:val="0"/>
          <w:marRight w:val="0"/>
          <w:marTop w:val="0"/>
          <w:marBottom w:val="0"/>
          <w:divBdr>
            <w:top w:val="none" w:sz="0" w:space="0" w:color="auto"/>
            <w:left w:val="none" w:sz="0" w:space="0" w:color="auto"/>
            <w:bottom w:val="none" w:sz="0" w:space="0" w:color="auto"/>
            <w:right w:val="none" w:sz="0" w:space="0" w:color="auto"/>
          </w:divBdr>
        </w:div>
        <w:div w:id="1713730563">
          <w:marLeft w:val="0"/>
          <w:marRight w:val="0"/>
          <w:marTop w:val="0"/>
          <w:marBottom w:val="0"/>
          <w:divBdr>
            <w:top w:val="none" w:sz="0" w:space="0" w:color="auto"/>
            <w:left w:val="none" w:sz="0" w:space="0" w:color="auto"/>
            <w:bottom w:val="none" w:sz="0" w:space="0" w:color="auto"/>
            <w:right w:val="none" w:sz="0" w:space="0" w:color="auto"/>
          </w:divBdr>
        </w:div>
        <w:div w:id="1905751444">
          <w:marLeft w:val="0"/>
          <w:marRight w:val="0"/>
          <w:marTop w:val="0"/>
          <w:marBottom w:val="0"/>
          <w:divBdr>
            <w:top w:val="none" w:sz="0" w:space="0" w:color="auto"/>
            <w:left w:val="none" w:sz="0" w:space="0" w:color="auto"/>
            <w:bottom w:val="none" w:sz="0" w:space="0" w:color="auto"/>
            <w:right w:val="none" w:sz="0" w:space="0" w:color="auto"/>
          </w:divBdr>
        </w:div>
        <w:div w:id="1988313152">
          <w:marLeft w:val="0"/>
          <w:marRight w:val="0"/>
          <w:marTop w:val="0"/>
          <w:marBottom w:val="0"/>
          <w:divBdr>
            <w:top w:val="none" w:sz="0" w:space="0" w:color="auto"/>
            <w:left w:val="none" w:sz="0" w:space="0" w:color="auto"/>
            <w:bottom w:val="none" w:sz="0" w:space="0" w:color="auto"/>
            <w:right w:val="none" w:sz="0" w:space="0" w:color="auto"/>
          </w:divBdr>
        </w:div>
        <w:div w:id="2007513260">
          <w:marLeft w:val="0"/>
          <w:marRight w:val="0"/>
          <w:marTop w:val="0"/>
          <w:marBottom w:val="0"/>
          <w:divBdr>
            <w:top w:val="none" w:sz="0" w:space="0" w:color="auto"/>
            <w:left w:val="none" w:sz="0" w:space="0" w:color="auto"/>
            <w:bottom w:val="none" w:sz="0" w:space="0" w:color="auto"/>
            <w:right w:val="none" w:sz="0" w:space="0" w:color="auto"/>
          </w:divBdr>
        </w:div>
        <w:div w:id="2056351613">
          <w:marLeft w:val="0"/>
          <w:marRight w:val="0"/>
          <w:marTop w:val="0"/>
          <w:marBottom w:val="0"/>
          <w:divBdr>
            <w:top w:val="none" w:sz="0" w:space="0" w:color="auto"/>
            <w:left w:val="none" w:sz="0" w:space="0" w:color="auto"/>
            <w:bottom w:val="none" w:sz="0" w:space="0" w:color="auto"/>
            <w:right w:val="none" w:sz="0" w:space="0" w:color="auto"/>
          </w:divBdr>
        </w:div>
      </w:divsChild>
    </w:div>
    <w:div w:id="559946957">
      <w:bodyDiv w:val="1"/>
      <w:marLeft w:val="0"/>
      <w:marRight w:val="0"/>
      <w:marTop w:val="0"/>
      <w:marBottom w:val="0"/>
      <w:divBdr>
        <w:top w:val="none" w:sz="0" w:space="0" w:color="auto"/>
        <w:left w:val="none" w:sz="0" w:space="0" w:color="auto"/>
        <w:bottom w:val="none" w:sz="0" w:space="0" w:color="auto"/>
        <w:right w:val="none" w:sz="0" w:space="0" w:color="auto"/>
      </w:divBdr>
    </w:div>
    <w:div w:id="563182946">
      <w:bodyDiv w:val="1"/>
      <w:marLeft w:val="0"/>
      <w:marRight w:val="0"/>
      <w:marTop w:val="0"/>
      <w:marBottom w:val="0"/>
      <w:divBdr>
        <w:top w:val="none" w:sz="0" w:space="0" w:color="auto"/>
        <w:left w:val="none" w:sz="0" w:space="0" w:color="auto"/>
        <w:bottom w:val="none" w:sz="0" w:space="0" w:color="auto"/>
        <w:right w:val="none" w:sz="0" w:space="0" w:color="auto"/>
      </w:divBdr>
    </w:div>
    <w:div w:id="571087221">
      <w:bodyDiv w:val="1"/>
      <w:marLeft w:val="0"/>
      <w:marRight w:val="0"/>
      <w:marTop w:val="0"/>
      <w:marBottom w:val="0"/>
      <w:divBdr>
        <w:top w:val="none" w:sz="0" w:space="0" w:color="auto"/>
        <w:left w:val="none" w:sz="0" w:space="0" w:color="auto"/>
        <w:bottom w:val="none" w:sz="0" w:space="0" w:color="auto"/>
        <w:right w:val="none" w:sz="0" w:space="0" w:color="auto"/>
      </w:divBdr>
      <w:divsChild>
        <w:div w:id="1966037966">
          <w:marLeft w:val="0"/>
          <w:marRight w:val="0"/>
          <w:marTop w:val="0"/>
          <w:marBottom w:val="0"/>
          <w:divBdr>
            <w:top w:val="none" w:sz="0" w:space="0" w:color="auto"/>
            <w:left w:val="none" w:sz="0" w:space="0" w:color="auto"/>
            <w:bottom w:val="none" w:sz="0" w:space="0" w:color="auto"/>
            <w:right w:val="none" w:sz="0" w:space="0" w:color="auto"/>
          </w:divBdr>
          <w:divsChild>
            <w:div w:id="1182012330">
              <w:marLeft w:val="0"/>
              <w:marRight w:val="0"/>
              <w:marTop w:val="411"/>
              <w:marBottom w:val="0"/>
              <w:divBdr>
                <w:top w:val="none" w:sz="0" w:space="0" w:color="auto"/>
                <w:left w:val="none" w:sz="0" w:space="0" w:color="auto"/>
                <w:bottom w:val="none" w:sz="0" w:space="0" w:color="auto"/>
                <w:right w:val="none" w:sz="0" w:space="0" w:color="auto"/>
              </w:divBdr>
              <w:divsChild>
                <w:div w:id="1425615273">
                  <w:marLeft w:val="0"/>
                  <w:marRight w:val="0"/>
                  <w:marTop w:val="0"/>
                  <w:marBottom w:val="0"/>
                  <w:divBdr>
                    <w:top w:val="none" w:sz="0" w:space="0" w:color="auto"/>
                    <w:left w:val="none" w:sz="0" w:space="0" w:color="auto"/>
                    <w:bottom w:val="none" w:sz="0" w:space="0" w:color="auto"/>
                    <w:right w:val="none" w:sz="0" w:space="0" w:color="auto"/>
                  </w:divBdr>
                  <w:divsChild>
                    <w:div w:id="1780030445">
                      <w:marLeft w:val="79"/>
                      <w:marRight w:val="79"/>
                      <w:marTop w:val="0"/>
                      <w:marBottom w:val="0"/>
                      <w:divBdr>
                        <w:top w:val="none" w:sz="0" w:space="0" w:color="auto"/>
                        <w:left w:val="none" w:sz="0" w:space="0" w:color="auto"/>
                        <w:bottom w:val="none" w:sz="0" w:space="0" w:color="auto"/>
                        <w:right w:val="none" w:sz="0" w:space="0" w:color="auto"/>
                      </w:divBdr>
                      <w:divsChild>
                        <w:div w:id="704670610">
                          <w:marLeft w:val="0"/>
                          <w:marRight w:val="0"/>
                          <w:marTop w:val="0"/>
                          <w:marBottom w:val="0"/>
                          <w:divBdr>
                            <w:top w:val="dashed" w:sz="6" w:space="0" w:color="DDDDDD"/>
                            <w:left w:val="none" w:sz="0" w:space="0" w:color="auto"/>
                            <w:bottom w:val="none" w:sz="0" w:space="0" w:color="auto"/>
                            <w:right w:val="none" w:sz="0" w:space="0" w:color="auto"/>
                          </w:divBdr>
                          <w:divsChild>
                            <w:div w:id="1052194247">
                              <w:marLeft w:val="0"/>
                              <w:marRight w:val="0"/>
                              <w:marTop w:val="0"/>
                              <w:marBottom w:val="0"/>
                              <w:divBdr>
                                <w:top w:val="none" w:sz="0" w:space="0" w:color="auto"/>
                                <w:left w:val="none" w:sz="0" w:space="0" w:color="auto"/>
                                <w:bottom w:val="none" w:sz="0" w:space="0" w:color="auto"/>
                                <w:right w:val="none" w:sz="0" w:space="0" w:color="auto"/>
                              </w:divBdr>
                              <w:divsChild>
                                <w:div w:id="1328746619">
                                  <w:marLeft w:val="0"/>
                                  <w:marRight w:val="0"/>
                                  <w:marTop w:val="79"/>
                                  <w:marBottom w:val="79"/>
                                  <w:divBdr>
                                    <w:top w:val="none" w:sz="0" w:space="0" w:color="auto"/>
                                    <w:left w:val="none" w:sz="0" w:space="0" w:color="auto"/>
                                    <w:bottom w:val="none" w:sz="0" w:space="0" w:color="auto"/>
                                    <w:right w:val="none" w:sz="0" w:space="0" w:color="auto"/>
                                  </w:divBdr>
                                  <w:divsChild>
                                    <w:div w:id="297075180">
                                      <w:marLeft w:val="0"/>
                                      <w:marRight w:val="0"/>
                                      <w:marTop w:val="0"/>
                                      <w:marBottom w:val="0"/>
                                      <w:divBdr>
                                        <w:top w:val="none" w:sz="0" w:space="0" w:color="auto"/>
                                        <w:left w:val="none" w:sz="0" w:space="0" w:color="auto"/>
                                        <w:bottom w:val="none" w:sz="0" w:space="0" w:color="auto"/>
                                        <w:right w:val="none" w:sz="0" w:space="0" w:color="auto"/>
                                      </w:divBdr>
                                      <w:divsChild>
                                        <w:div w:id="1381124148">
                                          <w:marLeft w:val="554"/>
                                          <w:marRight w:val="0"/>
                                          <w:marTop w:val="0"/>
                                          <w:marBottom w:val="0"/>
                                          <w:divBdr>
                                            <w:top w:val="none" w:sz="0" w:space="0" w:color="auto"/>
                                            <w:left w:val="none" w:sz="0" w:space="0" w:color="auto"/>
                                            <w:bottom w:val="none" w:sz="0" w:space="0" w:color="auto"/>
                                            <w:right w:val="none" w:sz="0" w:space="0" w:color="auto"/>
                                          </w:divBdr>
                                          <w:divsChild>
                                            <w:div w:id="60118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3515393">
      <w:bodyDiv w:val="1"/>
      <w:marLeft w:val="0"/>
      <w:marRight w:val="0"/>
      <w:marTop w:val="0"/>
      <w:marBottom w:val="0"/>
      <w:divBdr>
        <w:top w:val="none" w:sz="0" w:space="0" w:color="auto"/>
        <w:left w:val="none" w:sz="0" w:space="0" w:color="auto"/>
        <w:bottom w:val="none" w:sz="0" w:space="0" w:color="auto"/>
        <w:right w:val="none" w:sz="0" w:space="0" w:color="auto"/>
      </w:divBdr>
    </w:div>
    <w:div w:id="578173193">
      <w:bodyDiv w:val="1"/>
      <w:marLeft w:val="0"/>
      <w:marRight w:val="0"/>
      <w:marTop w:val="0"/>
      <w:marBottom w:val="0"/>
      <w:divBdr>
        <w:top w:val="none" w:sz="0" w:space="0" w:color="auto"/>
        <w:left w:val="none" w:sz="0" w:space="0" w:color="auto"/>
        <w:bottom w:val="none" w:sz="0" w:space="0" w:color="auto"/>
        <w:right w:val="none" w:sz="0" w:space="0" w:color="auto"/>
      </w:divBdr>
    </w:div>
    <w:div w:id="578902705">
      <w:bodyDiv w:val="1"/>
      <w:marLeft w:val="0"/>
      <w:marRight w:val="0"/>
      <w:marTop w:val="0"/>
      <w:marBottom w:val="0"/>
      <w:divBdr>
        <w:top w:val="none" w:sz="0" w:space="0" w:color="auto"/>
        <w:left w:val="none" w:sz="0" w:space="0" w:color="auto"/>
        <w:bottom w:val="none" w:sz="0" w:space="0" w:color="auto"/>
        <w:right w:val="none" w:sz="0" w:space="0" w:color="auto"/>
      </w:divBdr>
    </w:div>
    <w:div w:id="580062265">
      <w:bodyDiv w:val="1"/>
      <w:marLeft w:val="0"/>
      <w:marRight w:val="0"/>
      <w:marTop w:val="0"/>
      <w:marBottom w:val="0"/>
      <w:divBdr>
        <w:top w:val="none" w:sz="0" w:space="0" w:color="auto"/>
        <w:left w:val="none" w:sz="0" w:space="0" w:color="auto"/>
        <w:bottom w:val="none" w:sz="0" w:space="0" w:color="auto"/>
        <w:right w:val="none" w:sz="0" w:space="0" w:color="auto"/>
      </w:divBdr>
      <w:divsChild>
        <w:div w:id="752162555">
          <w:marLeft w:val="0"/>
          <w:marRight w:val="0"/>
          <w:marTop w:val="0"/>
          <w:marBottom w:val="0"/>
          <w:divBdr>
            <w:top w:val="none" w:sz="0" w:space="0" w:color="auto"/>
            <w:left w:val="none" w:sz="0" w:space="0" w:color="auto"/>
            <w:bottom w:val="none" w:sz="0" w:space="0" w:color="auto"/>
            <w:right w:val="none" w:sz="0" w:space="0" w:color="auto"/>
          </w:divBdr>
          <w:divsChild>
            <w:div w:id="960765578">
              <w:marLeft w:val="0"/>
              <w:marRight w:val="0"/>
              <w:marTop w:val="411"/>
              <w:marBottom w:val="0"/>
              <w:divBdr>
                <w:top w:val="none" w:sz="0" w:space="0" w:color="auto"/>
                <w:left w:val="none" w:sz="0" w:space="0" w:color="auto"/>
                <w:bottom w:val="none" w:sz="0" w:space="0" w:color="auto"/>
                <w:right w:val="none" w:sz="0" w:space="0" w:color="auto"/>
              </w:divBdr>
              <w:divsChild>
                <w:div w:id="4987433">
                  <w:marLeft w:val="0"/>
                  <w:marRight w:val="0"/>
                  <w:marTop w:val="0"/>
                  <w:marBottom w:val="0"/>
                  <w:divBdr>
                    <w:top w:val="none" w:sz="0" w:space="0" w:color="auto"/>
                    <w:left w:val="none" w:sz="0" w:space="0" w:color="auto"/>
                    <w:bottom w:val="none" w:sz="0" w:space="0" w:color="auto"/>
                    <w:right w:val="none" w:sz="0" w:space="0" w:color="auto"/>
                  </w:divBdr>
                  <w:divsChild>
                    <w:div w:id="1182430970">
                      <w:marLeft w:val="79"/>
                      <w:marRight w:val="79"/>
                      <w:marTop w:val="0"/>
                      <w:marBottom w:val="0"/>
                      <w:divBdr>
                        <w:top w:val="none" w:sz="0" w:space="0" w:color="auto"/>
                        <w:left w:val="none" w:sz="0" w:space="0" w:color="auto"/>
                        <w:bottom w:val="none" w:sz="0" w:space="0" w:color="auto"/>
                        <w:right w:val="none" w:sz="0" w:space="0" w:color="auto"/>
                      </w:divBdr>
                      <w:divsChild>
                        <w:div w:id="697120974">
                          <w:marLeft w:val="0"/>
                          <w:marRight w:val="0"/>
                          <w:marTop w:val="0"/>
                          <w:marBottom w:val="0"/>
                          <w:divBdr>
                            <w:top w:val="dashed" w:sz="6" w:space="0" w:color="DDDDDD"/>
                            <w:left w:val="none" w:sz="0" w:space="0" w:color="auto"/>
                            <w:bottom w:val="none" w:sz="0" w:space="0" w:color="auto"/>
                            <w:right w:val="none" w:sz="0" w:space="0" w:color="auto"/>
                          </w:divBdr>
                          <w:divsChild>
                            <w:div w:id="695233671">
                              <w:marLeft w:val="0"/>
                              <w:marRight w:val="0"/>
                              <w:marTop w:val="0"/>
                              <w:marBottom w:val="0"/>
                              <w:divBdr>
                                <w:top w:val="none" w:sz="0" w:space="0" w:color="auto"/>
                                <w:left w:val="none" w:sz="0" w:space="0" w:color="auto"/>
                                <w:bottom w:val="none" w:sz="0" w:space="0" w:color="auto"/>
                                <w:right w:val="none" w:sz="0" w:space="0" w:color="auto"/>
                              </w:divBdr>
                              <w:divsChild>
                                <w:div w:id="2002542546">
                                  <w:marLeft w:val="0"/>
                                  <w:marRight w:val="0"/>
                                  <w:marTop w:val="79"/>
                                  <w:marBottom w:val="79"/>
                                  <w:divBdr>
                                    <w:top w:val="none" w:sz="0" w:space="0" w:color="auto"/>
                                    <w:left w:val="none" w:sz="0" w:space="0" w:color="auto"/>
                                    <w:bottom w:val="none" w:sz="0" w:space="0" w:color="auto"/>
                                    <w:right w:val="none" w:sz="0" w:space="0" w:color="auto"/>
                                  </w:divBdr>
                                  <w:divsChild>
                                    <w:div w:id="1250695736">
                                      <w:marLeft w:val="0"/>
                                      <w:marRight w:val="0"/>
                                      <w:marTop w:val="0"/>
                                      <w:marBottom w:val="0"/>
                                      <w:divBdr>
                                        <w:top w:val="none" w:sz="0" w:space="0" w:color="auto"/>
                                        <w:left w:val="none" w:sz="0" w:space="0" w:color="auto"/>
                                        <w:bottom w:val="none" w:sz="0" w:space="0" w:color="auto"/>
                                        <w:right w:val="none" w:sz="0" w:space="0" w:color="auto"/>
                                      </w:divBdr>
                                      <w:divsChild>
                                        <w:div w:id="422651905">
                                          <w:marLeft w:val="554"/>
                                          <w:marRight w:val="0"/>
                                          <w:marTop w:val="0"/>
                                          <w:marBottom w:val="0"/>
                                          <w:divBdr>
                                            <w:top w:val="none" w:sz="0" w:space="0" w:color="auto"/>
                                            <w:left w:val="none" w:sz="0" w:space="0" w:color="auto"/>
                                            <w:bottom w:val="none" w:sz="0" w:space="0" w:color="auto"/>
                                            <w:right w:val="none" w:sz="0" w:space="0" w:color="auto"/>
                                          </w:divBdr>
                                          <w:divsChild>
                                            <w:div w:id="94997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1989664">
      <w:bodyDiv w:val="1"/>
      <w:marLeft w:val="0"/>
      <w:marRight w:val="0"/>
      <w:marTop w:val="0"/>
      <w:marBottom w:val="0"/>
      <w:divBdr>
        <w:top w:val="none" w:sz="0" w:space="0" w:color="auto"/>
        <w:left w:val="none" w:sz="0" w:space="0" w:color="auto"/>
        <w:bottom w:val="none" w:sz="0" w:space="0" w:color="auto"/>
        <w:right w:val="none" w:sz="0" w:space="0" w:color="auto"/>
      </w:divBdr>
    </w:div>
    <w:div w:id="583342193">
      <w:bodyDiv w:val="1"/>
      <w:marLeft w:val="0"/>
      <w:marRight w:val="0"/>
      <w:marTop w:val="0"/>
      <w:marBottom w:val="0"/>
      <w:divBdr>
        <w:top w:val="none" w:sz="0" w:space="0" w:color="auto"/>
        <w:left w:val="none" w:sz="0" w:space="0" w:color="auto"/>
        <w:bottom w:val="none" w:sz="0" w:space="0" w:color="auto"/>
        <w:right w:val="none" w:sz="0" w:space="0" w:color="auto"/>
      </w:divBdr>
    </w:div>
    <w:div w:id="587542545">
      <w:bodyDiv w:val="1"/>
      <w:marLeft w:val="0"/>
      <w:marRight w:val="0"/>
      <w:marTop w:val="0"/>
      <w:marBottom w:val="0"/>
      <w:divBdr>
        <w:top w:val="none" w:sz="0" w:space="0" w:color="auto"/>
        <w:left w:val="none" w:sz="0" w:space="0" w:color="auto"/>
        <w:bottom w:val="none" w:sz="0" w:space="0" w:color="auto"/>
        <w:right w:val="none" w:sz="0" w:space="0" w:color="auto"/>
      </w:divBdr>
    </w:div>
    <w:div w:id="592860786">
      <w:bodyDiv w:val="1"/>
      <w:marLeft w:val="0"/>
      <w:marRight w:val="0"/>
      <w:marTop w:val="0"/>
      <w:marBottom w:val="0"/>
      <w:divBdr>
        <w:top w:val="none" w:sz="0" w:space="0" w:color="auto"/>
        <w:left w:val="none" w:sz="0" w:space="0" w:color="auto"/>
        <w:bottom w:val="none" w:sz="0" w:space="0" w:color="auto"/>
        <w:right w:val="none" w:sz="0" w:space="0" w:color="auto"/>
      </w:divBdr>
      <w:divsChild>
        <w:div w:id="92559942">
          <w:marLeft w:val="461"/>
          <w:marRight w:val="0"/>
          <w:marTop w:val="0"/>
          <w:marBottom w:val="0"/>
          <w:divBdr>
            <w:top w:val="none" w:sz="0" w:space="0" w:color="auto"/>
            <w:left w:val="none" w:sz="0" w:space="0" w:color="auto"/>
            <w:bottom w:val="none" w:sz="0" w:space="0" w:color="auto"/>
            <w:right w:val="none" w:sz="0" w:space="0" w:color="auto"/>
          </w:divBdr>
        </w:div>
        <w:div w:id="646477792">
          <w:marLeft w:val="461"/>
          <w:marRight w:val="0"/>
          <w:marTop w:val="0"/>
          <w:marBottom w:val="0"/>
          <w:divBdr>
            <w:top w:val="none" w:sz="0" w:space="0" w:color="auto"/>
            <w:left w:val="none" w:sz="0" w:space="0" w:color="auto"/>
            <w:bottom w:val="none" w:sz="0" w:space="0" w:color="auto"/>
            <w:right w:val="none" w:sz="0" w:space="0" w:color="auto"/>
          </w:divBdr>
        </w:div>
        <w:div w:id="676537047">
          <w:marLeft w:val="461"/>
          <w:marRight w:val="0"/>
          <w:marTop w:val="0"/>
          <w:marBottom w:val="0"/>
          <w:divBdr>
            <w:top w:val="none" w:sz="0" w:space="0" w:color="auto"/>
            <w:left w:val="none" w:sz="0" w:space="0" w:color="auto"/>
            <w:bottom w:val="none" w:sz="0" w:space="0" w:color="auto"/>
            <w:right w:val="none" w:sz="0" w:space="0" w:color="auto"/>
          </w:divBdr>
        </w:div>
      </w:divsChild>
    </w:div>
    <w:div w:id="593829643">
      <w:bodyDiv w:val="1"/>
      <w:marLeft w:val="0"/>
      <w:marRight w:val="0"/>
      <w:marTop w:val="0"/>
      <w:marBottom w:val="0"/>
      <w:divBdr>
        <w:top w:val="none" w:sz="0" w:space="0" w:color="auto"/>
        <w:left w:val="none" w:sz="0" w:space="0" w:color="auto"/>
        <w:bottom w:val="none" w:sz="0" w:space="0" w:color="auto"/>
        <w:right w:val="none" w:sz="0" w:space="0" w:color="auto"/>
      </w:divBdr>
    </w:div>
    <w:div w:id="597254190">
      <w:bodyDiv w:val="1"/>
      <w:marLeft w:val="0"/>
      <w:marRight w:val="0"/>
      <w:marTop w:val="0"/>
      <w:marBottom w:val="0"/>
      <w:divBdr>
        <w:top w:val="none" w:sz="0" w:space="0" w:color="auto"/>
        <w:left w:val="none" w:sz="0" w:space="0" w:color="auto"/>
        <w:bottom w:val="none" w:sz="0" w:space="0" w:color="auto"/>
        <w:right w:val="none" w:sz="0" w:space="0" w:color="auto"/>
      </w:divBdr>
    </w:div>
    <w:div w:id="597517647">
      <w:bodyDiv w:val="1"/>
      <w:marLeft w:val="0"/>
      <w:marRight w:val="0"/>
      <w:marTop w:val="0"/>
      <w:marBottom w:val="0"/>
      <w:divBdr>
        <w:top w:val="none" w:sz="0" w:space="0" w:color="auto"/>
        <w:left w:val="none" w:sz="0" w:space="0" w:color="auto"/>
        <w:bottom w:val="none" w:sz="0" w:space="0" w:color="auto"/>
        <w:right w:val="none" w:sz="0" w:space="0" w:color="auto"/>
      </w:divBdr>
    </w:div>
    <w:div w:id="601454307">
      <w:bodyDiv w:val="1"/>
      <w:marLeft w:val="0"/>
      <w:marRight w:val="0"/>
      <w:marTop w:val="0"/>
      <w:marBottom w:val="0"/>
      <w:divBdr>
        <w:top w:val="none" w:sz="0" w:space="0" w:color="auto"/>
        <w:left w:val="none" w:sz="0" w:space="0" w:color="auto"/>
        <w:bottom w:val="none" w:sz="0" w:space="0" w:color="auto"/>
        <w:right w:val="none" w:sz="0" w:space="0" w:color="auto"/>
      </w:divBdr>
    </w:div>
    <w:div w:id="602567416">
      <w:bodyDiv w:val="1"/>
      <w:marLeft w:val="0"/>
      <w:marRight w:val="0"/>
      <w:marTop w:val="0"/>
      <w:marBottom w:val="0"/>
      <w:divBdr>
        <w:top w:val="none" w:sz="0" w:space="0" w:color="auto"/>
        <w:left w:val="none" w:sz="0" w:space="0" w:color="auto"/>
        <w:bottom w:val="none" w:sz="0" w:space="0" w:color="auto"/>
        <w:right w:val="none" w:sz="0" w:space="0" w:color="auto"/>
      </w:divBdr>
    </w:div>
    <w:div w:id="605040018">
      <w:bodyDiv w:val="1"/>
      <w:marLeft w:val="0"/>
      <w:marRight w:val="0"/>
      <w:marTop w:val="0"/>
      <w:marBottom w:val="0"/>
      <w:divBdr>
        <w:top w:val="none" w:sz="0" w:space="0" w:color="auto"/>
        <w:left w:val="none" w:sz="0" w:space="0" w:color="auto"/>
        <w:bottom w:val="none" w:sz="0" w:space="0" w:color="auto"/>
        <w:right w:val="none" w:sz="0" w:space="0" w:color="auto"/>
      </w:divBdr>
    </w:div>
    <w:div w:id="605963818">
      <w:bodyDiv w:val="1"/>
      <w:marLeft w:val="0"/>
      <w:marRight w:val="0"/>
      <w:marTop w:val="0"/>
      <w:marBottom w:val="0"/>
      <w:divBdr>
        <w:top w:val="none" w:sz="0" w:space="0" w:color="auto"/>
        <w:left w:val="none" w:sz="0" w:space="0" w:color="auto"/>
        <w:bottom w:val="none" w:sz="0" w:space="0" w:color="auto"/>
        <w:right w:val="none" w:sz="0" w:space="0" w:color="auto"/>
      </w:divBdr>
    </w:div>
    <w:div w:id="606734152">
      <w:bodyDiv w:val="1"/>
      <w:marLeft w:val="0"/>
      <w:marRight w:val="0"/>
      <w:marTop w:val="0"/>
      <w:marBottom w:val="0"/>
      <w:divBdr>
        <w:top w:val="none" w:sz="0" w:space="0" w:color="auto"/>
        <w:left w:val="none" w:sz="0" w:space="0" w:color="auto"/>
        <w:bottom w:val="none" w:sz="0" w:space="0" w:color="auto"/>
        <w:right w:val="none" w:sz="0" w:space="0" w:color="auto"/>
      </w:divBdr>
    </w:div>
    <w:div w:id="609433552">
      <w:bodyDiv w:val="1"/>
      <w:marLeft w:val="0"/>
      <w:marRight w:val="0"/>
      <w:marTop w:val="0"/>
      <w:marBottom w:val="0"/>
      <w:divBdr>
        <w:top w:val="none" w:sz="0" w:space="0" w:color="auto"/>
        <w:left w:val="none" w:sz="0" w:space="0" w:color="auto"/>
        <w:bottom w:val="none" w:sz="0" w:space="0" w:color="auto"/>
        <w:right w:val="none" w:sz="0" w:space="0" w:color="auto"/>
      </w:divBdr>
    </w:div>
    <w:div w:id="610091447">
      <w:bodyDiv w:val="1"/>
      <w:marLeft w:val="0"/>
      <w:marRight w:val="0"/>
      <w:marTop w:val="0"/>
      <w:marBottom w:val="0"/>
      <w:divBdr>
        <w:top w:val="none" w:sz="0" w:space="0" w:color="auto"/>
        <w:left w:val="none" w:sz="0" w:space="0" w:color="auto"/>
        <w:bottom w:val="none" w:sz="0" w:space="0" w:color="auto"/>
        <w:right w:val="none" w:sz="0" w:space="0" w:color="auto"/>
      </w:divBdr>
      <w:divsChild>
        <w:div w:id="1951544228">
          <w:marLeft w:val="0"/>
          <w:marRight w:val="0"/>
          <w:marTop w:val="0"/>
          <w:marBottom w:val="0"/>
          <w:divBdr>
            <w:top w:val="none" w:sz="0" w:space="0" w:color="auto"/>
            <w:left w:val="none" w:sz="0" w:space="0" w:color="auto"/>
            <w:bottom w:val="none" w:sz="0" w:space="0" w:color="auto"/>
            <w:right w:val="none" w:sz="0" w:space="0" w:color="auto"/>
          </w:divBdr>
          <w:divsChild>
            <w:div w:id="649870120">
              <w:marLeft w:val="0"/>
              <w:marRight w:val="0"/>
              <w:marTop w:val="15"/>
              <w:marBottom w:val="0"/>
              <w:divBdr>
                <w:top w:val="none" w:sz="0" w:space="0" w:color="auto"/>
                <w:left w:val="none" w:sz="0" w:space="0" w:color="auto"/>
                <w:bottom w:val="none" w:sz="0" w:space="0" w:color="auto"/>
                <w:right w:val="none" w:sz="0" w:space="0" w:color="auto"/>
              </w:divBdr>
              <w:divsChild>
                <w:div w:id="191111608">
                  <w:marLeft w:val="0"/>
                  <w:marRight w:val="0"/>
                  <w:marTop w:val="0"/>
                  <w:marBottom w:val="0"/>
                  <w:divBdr>
                    <w:top w:val="none" w:sz="0" w:space="0" w:color="auto"/>
                    <w:left w:val="single" w:sz="6" w:space="0" w:color="B5B5B5"/>
                    <w:bottom w:val="none" w:sz="0" w:space="0" w:color="auto"/>
                    <w:right w:val="single" w:sz="6" w:space="0" w:color="B5B5B5"/>
                  </w:divBdr>
                  <w:divsChild>
                    <w:div w:id="1467819478">
                      <w:marLeft w:val="75"/>
                      <w:marRight w:val="75"/>
                      <w:marTop w:val="0"/>
                      <w:marBottom w:val="0"/>
                      <w:divBdr>
                        <w:top w:val="none" w:sz="0" w:space="0" w:color="auto"/>
                        <w:left w:val="none" w:sz="0" w:space="0" w:color="auto"/>
                        <w:bottom w:val="none" w:sz="0" w:space="0" w:color="auto"/>
                        <w:right w:val="none" w:sz="0" w:space="0" w:color="auto"/>
                      </w:divBdr>
                      <w:divsChild>
                        <w:div w:id="1594049596">
                          <w:marLeft w:val="0"/>
                          <w:marRight w:val="0"/>
                          <w:marTop w:val="0"/>
                          <w:marBottom w:val="0"/>
                          <w:divBdr>
                            <w:top w:val="dotted" w:sz="6" w:space="0" w:color="B5B5B5"/>
                            <w:left w:val="none" w:sz="0" w:space="0" w:color="auto"/>
                            <w:bottom w:val="none" w:sz="0" w:space="0" w:color="auto"/>
                            <w:right w:val="none" w:sz="0" w:space="0" w:color="auto"/>
                          </w:divBdr>
                          <w:divsChild>
                            <w:div w:id="570237216">
                              <w:marLeft w:val="0"/>
                              <w:marRight w:val="0"/>
                              <w:marTop w:val="75"/>
                              <w:marBottom w:val="0"/>
                              <w:divBdr>
                                <w:top w:val="none" w:sz="0" w:space="0" w:color="auto"/>
                                <w:left w:val="none" w:sz="0" w:space="0" w:color="auto"/>
                                <w:bottom w:val="none" w:sz="0" w:space="0" w:color="auto"/>
                                <w:right w:val="none" w:sz="0" w:space="0" w:color="auto"/>
                              </w:divBdr>
                              <w:divsChild>
                                <w:div w:id="1738700766">
                                  <w:marLeft w:val="0"/>
                                  <w:marRight w:val="0"/>
                                  <w:marTop w:val="0"/>
                                  <w:marBottom w:val="0"/>
                                  <w:divBdr>
                                    <w:top w:val="none" w:sz="0" w:space="0" w:color="auto"/>
                                    <w:left w:val="none" w:sz="0" w:space="0" w:color="auto"/>
                                    <w:bottom w:val="none" w:sz="0" w:space="0" w:color="auto"/>
                                    <w:right w:val="none" w:sz="0" w:space="0" w:color="auto"/>
                                  </w:divBdr>
                                  <w:divsChild>
                                    <w:div w:id="348069506">
                                      <w:marLeft w:val="0"/>
                                      <w:marRight w:val="0"/>
                                      <w:marTop w:val="0"/>
                                      <w:marBottom w:val="0"/>
                                      <w:divBdr>
                                        <w:top w:val="none" w:sz="0" w:space="0" w:color="auto"/>
                                        <w:left w:val="none" w:sz="0" w:space="0" w:color="auto"/>
                                        <w:bottom w:val="none" w:sz="0" w:space="0" w:color="auto"/>
                                        <w:right w:val="none" w:sz="0" w:space="0" w:color="auto"/>
                                      </w:divBdr>
                                      <w:divsChild>
                                        <w:div w:id="133060217">
                                          <w:marLeft w:val="525"/>
                                          <w:marRight w:val="0"/>
                                          <w:marTop w:val="0"/>
                                          <w:marBottom w:val="0"/>
                                          <w:divBdr>
                                            <w:top w:val="none" w:sz="0" w:space="0" w:color="auto"/>
                                            <w:left w:val="none" w:sz="0" w:space="0" w:color="auto"/>
                                            <w:bottom w:val="none" w:sz="0" w:space="0" w:color="auto"/>
                                            <w:right w:val="none" w:sz="0" w:space="0" w:color="auto"/>
                                          </w:divBdr>
                                          <w:divsChild>
                                            <w:div w:id="96084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453164">
      <w:bodyDiv w:val="1"/>
      <w:marLeft w:val="0"/>
      <w:marRight w:val="0"/>
      <w:marTop w:val="0"/>
      <w:marBottom w:val="0"/>
      <w:divBdr>
        <w:top w:val="none" w:sz="0" w:space="0" w:color="auto"/>
        <w:left w:val="none" w:sz="0" w:space="0" w:color="auto"/>
        <w:bottom w:val="none" w:sz="0" w:space="0" w:color="auto"/>
        <w:right w:val="none" w:sz="0" w:space="0" w:color="auto"/>
      </w:divBdr>
    </w:div>
    <w:div w:id="623848634">
      <w:bodyDiv w:val="1"/>
      <w:marLeft w:val="0"/>
      <w:marRight w:val="0"/>
      <w:marTop w:val="0"/>
      <w:marBottom w:val="0"/>
      <w:divBdr>
        <w:top w:val="none" w:sz="0" w:space="0" w:color="auto"/>
        <w:left w:val="none" w:sz="0" w:space="0" w:color="auto"/>
        <w:bottom w:val="none" w:sz="0" w:space="0" w:color="auto"/>
        <w:right w:val="none" w:sz="0" w:space="0" w:color="auto"/>
      </w:divBdr>
    </w:div>
    <w:div w:id="628784910">
      <w:bodyDiv w:val="1"/>
      <w:marLeft w:val="0"/>
      <w:marRight w:val="0"/>
      <w:marTop w:val="0"/>
      <w:marBottom w:val="0"/>
      <w:divBdr>
        <w:top w:val="none" w:sz="0" w:space="0" w:color="auto"/>
        <w:left w:val="none" w:sz="0" w:space="0" w:color="auto"/>
        <w:bottom w:val="none" w:sz="0" w:space="0" w:color="auto"/>
        <w:right w:val="none" w:sz="0" w:space="0" w:color="auto"/>
      </w:divBdr>
    </w:div>
    <w:div w:id="629163882">
      <w:bodyDiv w:val="1"/>
      <w:marLeft w:val="0"/>
      <w:marRight w:val="0"/>
      <w:marTop w:val="0"/>
      <w:marBottom w:val="0"/>
      <w:divBdr>
        <w:top w:val="none" w:sz="0" w:space="0" w:color="auto"/>
        <w:left w:val="none" w:sz="0" w:space="0" w:color="auto"/>
        <w:bottom w:val="none" w:sz="0" w:space="0" w:color="auto"/>
        <w:right w:val="none" w:sz="0" w:space="0" w:color="auto"/>
      </w:divBdr>
    </w:div>
    <w:div w:id="630794335">
      <w:bodyDiv w:val="1"/>
      <w:marLeft w:val="0"/>
      <w:marRight w:val="0"/>
      <w:marTop w:val="0"/>
      <w:marBottom w:val="0"/>
      <w:divBdr>
        <w:top w:val="none" w:sz="0" w:space="0" w:color="auto"/>
        <w:left w:val="none" w:sz="0" w:space="0" w:color="auto"/>
        <w:bottom w:val="none" w:sz="0" w:space="0" w:color="auto"/>
        <w:right w:val="none" w:sz="0" w:space="0" w:color="auto"/>
      </w:divBdr>
    </w:div>
    <w:div w:id="630939882">
      <w:bodyDiv w:val="1"/>
      <w:marLeft w:val="0"/>
      <w:marRight w:val="0"/>
      <w:marTop w:val="0"/>
      <w:marBottom w:val="0"/>
      <w:divBdr>
        <w:top w:val="none" w:sz="0" w:space="0" w:color="auto"/>
        <w:left w:val="none" w:sz="0" w:space="0" w:color="auto"/>
        <w:bottom w:val="none" w:sz="0" w:space="0" w:color="auto"/>
        <w:right w:val="none" w:sz="0" w:space="0" w:color="auto"/>
      </w:divBdr>
      <w:divsChild>
        <w:div w:id="1439326102">
          <w:marLeft w:val="0"/>
          <w:marRight w:val="0"/>
          <w:marTop w:val="0"/>
          <w:marBottom w:val="120"/>
          <w:divBdr>
            <w:top w:val="none" w:sz="0" w:space="0" w:color="auto"/>
            <w:left w:val="none" w:sz="0" w:space="0" w:color="auto"/>
            <w:bottom w:val="none" w:sz="0" w:space="0" w:color="auto"/>
            <w:right w:val="none" w:sz="0" w:space="0" w:color="auto"/>
          </w:divBdr>
          <w:divsChild>
            <w:div w:id="940452936">
              <w:marLeft w:val="0"/>
              <w:marRight w:val="0"/>
              <w:marTop w:val="0"/>
              <w:marBottom w:val="0"/>
              <w:divBdr>
                <w:top w:val="none" w:sz="0" w:space="0" w:color="auto"/>
                <w:left w:val="none" w:sz="0" w:space="0" w:color="auto"/>
                <w:bottom w:val="none" w:sz="0" w:space="0" w:color="auto"/>
                <w:right w:val="none" w:sz="0" w:space="0" w:color="auto"/>
              </w:divBdr>
              <w:divsChild>
                <w:div w:id="1071931634">
                  <w:marLeft w:val="0"/>
                  <w:marRight w:val="0"/>
                  <w:marTop w:val="0"/>
                  <w:marBottom w:val="0"/>
                  <w:divBdr>
                    <w:top w:val="single" w:sz="6" w:space="10" w:color="DCDCDC"/>
                    <w:left w:val="single" w:sz="6" w:space="10" w:color="DCDCDC"/>
                    <w:bottom w:val="single" w:sz="6" w:space="10" w:color="DCDCDC"/>
                    <w:right w:val="single" w:sz="6" w:space="10" w:color="DCDCDC"/>
                  </w:divBdr>
                  <w:divsChild>
                    <w:div w:id="7541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598245">
      <w:bodyDiv w:val="1"/>
      <w:marLeft w:val="0"/>
      <w:marRight w:val="0"/>
      <w:marTop w:val="0"/>
      <w:marBottom w:val="0"/>
      <w:divBdr>
        <w:top w:val="none" w:sz="0" w:space="0" w:color="auto"/>
        <w:left w:val="none" w:sz="0" w:space="0" w:color="auto"/>
        <w:bottom w:val="none" w:sz="0" w:space="0" w:color="auto"/>
        <w:right w:val="none" w:sz="0" w:space="0" w:color="auto"/>
      </w:divBdr>
      <w:divsChild>
        <w:div w:id="1234465184">
          <w:marLeft w:val="0"/>
          <w:marRight w:val="0"/>
          <w:marTop w:val="0"/>
          <w:marBottom w:val="0"/>
          <w:divBdr>
            <w:top w:val="none" w:sz="0" w:space="0" w:color="auto"/>
            <w:left w:val="none" w:sz="0" w:space="0" w:color="auto"/>
            <w:bottom w:val="none" w:sz="0" w:space="0" w:color="auto"/>
            <w:right w:val="none" w:sz="0" w:space="0" w:color="auto"/>
          </w:divBdr>
          <w:divsChild>
            <w:div w:id="1653093992">
              <w:marLeft w:val="0"/>
              <w:marRight w:val="0"/>
              <w:marTop w:val="411"/>
              <w:marBottom w:val="0"/>
              <w:divBdr>
                <w:top w:val="none" w:sz="0" w:space="0" w:color="auto"/>
                <w:left w:val="none" w:sz="0" w:space="0" w:color="auto"/>
                <w:bottom w:val="none" w:sz="0" w:space="0" w:color="auto"/>
                <w:right w:val="none" w:sz="0" w:space="0" w:color="auto"/>
              </w:divBdr>
              <w:divsChild>
                <w:div w:id="408846027">
                  <w:marLeft w:val="0"/>
                  <w:marRight w:val="0"/>
                  <w:marTop w:val="0"/>
                  <w:marBottom w:val="0"/>
                  <w:divBdr>
                    <w:top w:val="none" w:sz="0" w:space="0" w:color="auto"/>
                    <w:left w:val="none" w:sz="0" w:space="0" w:color="auto"/>
                    <w:bottom w:val="none" w:sz="0" w:space="0" w:color="auto"/>
                    <w:right w:val="none" w:sz="0" w:space="0" w:color="auto"/>
                  </w:divBdr>
                  <w:divsChild>
                    <w:div w:id="757169592">
                      <w:marLeft w:val="79"/>
                      <w:marRight w:val="79"/>
                      <w:marTop w:val="0"/>
                      <w:marBottom w:val="0"/>
                      <w:divBdr>
                        <w:top w:val="none" w:sz="0" w:space="0" w:color="auto"/>
                        <w:left w:val="none" w:sz="0" w:space="0" w:color="auto"/>
                        <w:bottom w:val="none" w:sz="0" w:space="0" w:color="auto"/>
                        <w:right w:val="none" w:sz="0" w:space="0" w:color="auto"/>
                      </w:divBdr>
                      <w:divsChild>
                        <w:div w:id="153499853">
                          <w:marLeft w:val="0"/>
                          <w:marRight w:val="0"/>
                          <w:marTop w:val="0"/>
                          <w:marBottom w:val="0"/>
                          <w:divBdr>
                            <w:top w:val="dashed" w:sz="6" w:space="0" w:color="DDDDDD"/>
                            <w:left w:val="none" w:sz="0" w:space="0" w:color="auto"/>
                            <w:bottom w:val="none" w:sz="0" w:space="0" w:color="auto"/>
                            <w:right w:val="none" w:sz="0" w:space="0" w:color="auto"/>
                          </w:divBdr>
                          <w:divsChild>
                            <w:div w:id="2062511215">
                              <w:marLeft w:val="0"/>
                              <w:marRight w:val="0"/>
                              <w:marTop w:val="0"/>
                              <w:marBottom w:val="0"/>
                              <w:divBdr>
                                <w:top w:val="none" w:sz="0" w:space="0" w:color="auto"/>
                                <w:left w:val="none" w:sz="0" w:space="0" w:color="auto"/>
                                <w:bottom w:val="none" w:sz="0" w:space="0" w:color="auto"/>
                                <w:right w:val="none" w:sz="0" w:space="0" w:color="auto"/>
                              </w:divBdr>
                              <w:divsChild>
                                <w:div w:id="1094204030">
                                  <w:marLeft w:val="0"/>
                                  <w:marRight w:val="0"/>
                                  <w:marTop w:val="79"/>
                                  <w:marBottom w:val="79"/>
                                  <w:divBdr>
                                    <w:top w:val="none" w:sz="0" w:space="0" w:color="auto"/>
                                    <w:left w:val="none" w:sz="0" w:space="0" w:color="auto"/>
                                    <w:bottom w:val="none" w:sz="0" w:space="0" w:color="auto"/>
                                    <w:right w:val="none" w:sz="0" w:space="0" w:color="auto"/>
                                  </w:divBdr>
                                  <w:divsChild>
                                    <w:div w:id="1625892932">
                                      <w:marLeft w:val="0"/>
                                      <w:marRight w:val="0"/>
                                      <w:marTop w:val="0"/>
                                      <w:marBottom w:val="0"/>
                                      <w:divBdr>
                                        <w:top w:val="none" w:sz="0" w:space="0" w:color="auto"/>
                                        <w:left w:val="none" w:sz="0" w:space="0" w:color="auto"/>
                                        <w:bottom w:val="none" w:sz="0" w:space="0" w:color="auto"/>
                                        <w:right w:val="none" w:sz="0" w:space="0" w:color="auto"/>
                                      </w:divBdr>
                                      <w:divsChild>
                                        <w:div w:id="1040324125">
                                          <w:marLeft w:val="554"/>
                                          <w:marRight w:val="0"/>
                                          <w:marTop w:val="0"/>
                                          <w:marBottom w:val="0"/>
                                          <w:divBdr>
                                            <w:top w:val="none" w:sz="0" w:space="0" w:color="auto"/>
                                            <w:left w:val="none" w:sz="0" w:space="0" w:color="auto"/>
                                            <w:bottom w:val="none" w:sz="0" w:space="0" w:color="auto"/>
                                            <w:right w:val="none" w:sz="0" w:space="0" w:color="auto"/>
                                          </w:divBdr>
                                          <w:divsChild>
                                            <w:div w:id="48177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8192991">
      <w:bodyDiv w:val="1"/>
      <w:marLeft w:val="0"/>
      <w:marRight w:val="0"/>
      <w:marTop w:val="0"/>
      <w:marBottom w:val="0"/>
      <w:divBdr>
        <w:top w:val="none" w:sz="0" w:space="0" w:color="auto"/>
        <w:left w:val="none" w:sz="0" w:space="0" w:color="auto"/>
        <w:bottom w:val="none" w:sz="0" w:space="0" w:color="auto"/>
        <w:right w:val="none" w:sz="0" w:space="0" w:color="auto"/>
      </w:divBdr>
    </w:div>
    <w:div w:id="640698086">
      <w:bodyDiv w:val="1"/>
      <w:marLeft w:val="0"/>
      <w:marRight w:val="0"/>
      <w:marTop w:val="0"/>
      <w:marBottom w:val="0"/>
      <w:divBdr>
        <w:top w:val="none" w:sz="0" w:space="0" w:color="auto"/>
        <w:left w:val="none" w:sz="0" w:space="0" w:color="auto"/>
        <w:bottom w:val="none" w:sz="0" w:space="0" w:color="auto"/>
        <w:right w:val="none" w:sz="0" w:space="0" w:color="auto"/>
      </w:divBdr>
      <w:divsChild>
        <w:div w:id="322975058">
          <w:marLeft w:val="0"/>
          <w:marRight w:val="0"/>
          <w:marTop w:val="0"/>
          <w:marBottom w:val="0"/>
          <w:divBdr>
            <w:top w:val="none" w:sz="0" w:space="0" w:color="auto"/>
            <w:left w:val="none" w:sz="0" w:space="0" w:color="auto"/>
            <w:bottom w:val="none" w:sz="0" w:space="0" w:color="auto"/>
            <w:right w:val="none" w:sz="0" w:space="0" w:color="auto"/>
          </w:divBdr>
          <w:divsChild>
            <w:div w:id="1907760878">
              <w:marLeft w:val="0"/>
              <w:marRight w:val="0"/>
              <w:marTop w:val="15"/>
              <w:marBottom w:val="0"/>
              <w:divBdr>
                <w:top w:val="none" w:sz="0" w:space="0" w:color="auto"/>
                <w:left w:val="none" w:sz="0" w:space="0" w:color="auto"/>
                <w:bottom w:val="none" w:sz="0" w:space="0" w:color="auto"/>
                <w:right w:val="none" w:sz="0" w:space="0" w:color="auto"/>
              </w:divBdr>
              <w:divsChild>
                <w:div w:id="1803881492">
                  <w:marLeft w:val="0"/>
                  <w:marRight w:val="0"/>
                  <w:marTop w:val="0"/>
                  <w:marBottom w:val="0"/>
                  <w:divBdr>
                    <w:top w:val="none" w:sz="0" w:space="0" w:color="auto"/>
                    <w:left w:val="single" w:sz="6" w:space="0" w:color="B5B5B5"/>
                    <w:bottom w:val="none" w:sz="0" w:space="0" w:color="auto"/>
                    <w:right w:val="single" w:sz="6" w:space="0" w:color="B5B5B5"/>
                  </w:divBdr>
                  <w:divsChild>
                    <w:div w:id="836992382">
                      <w:marLeft w:val="75"/>
                      <w:marRight w:val="75"/>
                      <w:marTop w:val="0"/>
                      <w:marBottom w:val="0"/>
                      <w:divBdr>
                        <w:top w:val="none" w:sz="0" w:space="0" w:color="auto"/>
                        <w:left w:val="none" w:sz="0" w:space="0" w:color="auto"/>
                        <w:bottom w:val="none" w:sz="0" w:space="0" w:color="auto"/>
                        <w:right w:val="none" w:sz="0" w:space="0" w:color="auto"/>
                      </w:divBdr>
                      <w:divsChild>
                        <w:div w:id="1541169200">
                          <w:marLeft w:val="0"/>
                          <w:marRight w:val="0"/>
                          <w:marTop w:val="0"/>
                          <w:marBottom w:val="0"/>
                          <w:divBdr>
                            <w:top w:val="dotted" w:sz="6" w:space="0" w:color="B5B5B5"/>
                            <w:left w:val="none" w:sz="0" w:space="0" w:color="auto"/>
                            <w:bottom w:val="none" w:sz="0" w:space="0" w:color="auto"/>
                            <w:right w:val="none" w:sz="0" w:space="0" w:color="auto"/>
                          </w:divBdr>
                          <w:divsChild>
                            <w:div w:id="336229637">
                              <w:marLeft w:val="0"/>
                              <w:marRight w:val="0"/>
                              <w:marTop w:val="75"/>
                              <w:marBottom w:val="0"/>
                              <w:divBdr>
                                <w:top w:val="none" w:sz="0" w:space="0" w:color="auto"/>
                                <w:left w:val="none" w:sz="0" w:space="0" w:color="auto"/>
                                <w:bottom w:val="none" w:sz="0" w:space="0" w:color="auto"/>
                                <w:right w:val="none" w:sz="0" w:space="0" w:color="auto"/>
                              </w:divBdr>
                              <w:divsChild>
                                <w:div w:id="982852881">
                                  <w:marLeft w:val="0"/>
                                  <w:marRight w:val="0"/>
                                  <w:marTop w:val="0"/>
                                  <w:marBottom w:val="0"/>
                                  <w:divBdr>
                                    <w:top w:val="none" w:sz="0" w:space="0" w:color="auto"/>
                                    <w:left w:val="none" w:sz="0" w:space="0" w:color="auto"/>
                                    <w:bottom w:val="none" w:sz="0" w:space="0" w:color="auto"/>
                                    <w:right w:val="none" w:sz="0" w:space="0" w:color="auto"/>
                                  </w:divBdr>
                                  <w:divsChild>
                                    <w:div w:id="730663588">
                                      <w:marLeft w:val="0"/>
                                      <w:marRight w:val="0"/>
                                      <w:marTop w:val="0"/>
                                      <w:marBottom w:val="0"/>
                                      <w:divBdr>
                                        <w:top w:val="none" w:sz="0" w:space="0" w:color="auto"/>
                                        <w:left w:val="none" w:sz="0" w:space="0" w:color="auto"/>
                                        <w:bottom w:val="none" w:sz="0" w:space="0" w:color="auto"/>
                                        <w:right w:val="none" w:sz="0" w:space="0" w:color="auto"/>
                                      </w:divBdr>
                                      <w:divsChild>
                                        <w:div w:id="976031803">
                                          <w:marLeft w:val="525"/>
                                          <w:marRight w:val="0"/>
                                          <w:marTop w:val="0"/>
                                          <w:marBottom w:val="0"/>
                                          <w:divBdr>
                                            <w:top w:val="none" w:sz="0" w:space="0" w:color="auto"/>
                                            <w:left w:val="none" w:sz="0" w:space="0" w:color="auto"/>
                                            <w:bottom w:val="none" w:sz="0" w:space="0" w:color="auto"/>
                                            <w:right w:val="none" w:sz="0" w:space="0" w:color="auto"/>
                                          </w:divBdr>
                                          <w:divsChild>
                                            <w:div w:id="7333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1346265">
      <w:bodyDiv w:val="1"/>
      <w:marLeft w:val="0"/>
      <w:marRight w:val="0"/>
      <w:marTop w:val="0"/>
      <w:marBottom w:val="0"/>
      <w:divBdr>
        <w:top w:val="none" w:sz="0" w:space="0" w:color="auto"/>
        <w:left w:val="none" w:sz="0" w:space="0" w:color="auto"/>
        <w:bottom w:val="none" w:sz="0" w:space="0" w:color="auto"/>
        <w:right w:val="none" w:sz="0" w:space="0" w:color="auto"/>
      </w:divBdr>
    </w:div>
    <w:div w:id="643003760">
      <w:bodyDiv w:val="1"/>
      <w:marLeft w:val="0"/>
      <w:marRight w:val="0"/>
      <w:marTop w:val="0"/>
      <w:marBottom w:val="0"/>
      <w:divBdr>
        <w:top w:val="none" w:sz="0" w:space="0" w:color="auto"/>
        <w:left w:val="none" w:sz="0" w:space="0" w:color="auto"/>
        <w:bottom w:val="none" w:sz="0" w:space="0" w:color="auto"/>
        <w:right w:val="none" w:sz="0" w:space="0" w:color="auto"/>
      </w:divBdr>
    </w:div>
    <w:div w:id="648824977">
      <w:bodyDiv w:val="1"/>
      <w:marLeft w:val="0"/>
      <w:marRight w:val="0"/>
      <w:marTop w:val="0"/>
      <w:marBottom w:val="0"/>
      <w:divBdr>
        <w:top w:val="none" w:sz="0" w:space="0" w:color="auto"/>
        <w:left w:val="none" w:sz="0" w:space="0" w:color="auto"/>
        <w:bottom w:val="none" w:sz="0" w:space="0" w:color="auto"/>
        <w:right w:val="none" w:sz="0" w:space="0" w:color="auto"/>
      </w:divBdr>
    </w:div>
    <w:div w:id="651763351">
      <w:bodyDiv w:val="1"/>
      <w:marLeft w:val="0"/>
      <w:marRight w:val="0"/>
      <w:marTop w:val="0"/>
      <w:marBottom w:val="0"/>
      <w:divBdr>
        <w:top w:val="none" w:sz="0" w:space="0" w:color="auto"/>
        <w:left w:val="none" w:sz="0" w:space="0" w:color="auto"/>
        <w:bottom w:val="none" w:sz="0" w:space="0" w:color="auto"/>
        <w:right w:val="none" w:sz="0" w:space="0" w:color="auto"/>
      </w:divBdr>
    </w:div>
    <w:div w:id="655643965">
      <w:bodyDiv w:val="1"/>
      <w:marLeft w:val="0"/>
      <w:marRight w:val="0"/>
      <w:marTop w:val="0"/>
      <w:marBottom w:val="0"/>
      <w:divBdr>
        <w:top w:val="none" w:sz="0" w:space="0" w:color="auto"/>
        <w:left w:val="none" w:sz="0" w:space="0" w:color="auto"/>
        <w:bottom w:val="none" w:sz="0" w:space="0" w:color="auto"/>
        <w:right w:val="none" w:sz="0" w:space="0" w:color="auto"/>
      </w:divBdr>
    </w:div>
    <w:div w:id="657000873">
      <w:bodyDiv w:val="1"/>
      <w:marLeft w:val="0"/>
      <w:marRight w:val="0"/>
      <w:marTop w:val="0"/>
      <w:marBottom w:val="0"/>
      <w:divBdr>
        <w:top w:val="none" w:sz="0" w:space="0" w:color="auto"/>
        <w:left w:val="none" w:sz="0" w:space="0" w:color="auto"/>
        <w:bottom w:val="none" w:sz="0" w:space="0" w:color="auto"/>
        <w:right w:val="none" w:sz="0" w:space="0" w:color="auto"/>
      </w:divBdr>
    </w:div>
    <w:div w:id="657653784">
      <w:bodyDiv w:val="1"/>
      <w:marLeft w:val="0"/>
      <w:marRight w:val="0"/>
      <w:marTop w:val="0"/>
      <w:marBottom w:val="0"/>
      <w:divBdr>
        <w:top w:val="none" w:sz="0" w:space="0" w:color="auto"/>
        <w:left w:val="none" w:sz="0" w:space="0" w:color="auto"/>
        <w:bottom w:val="none" w:sz="0" w:space="0" w:color="auto"/>
        <w:right w:val="none" w:sz="0" w:space="0" w:color="auto"/>
      </w:divBdr>
      <w:divsChild>
        <w:div w:id="1486900727">
          <w:marLeft w:val="0"/>
          <w:marRight w:val="0"/>
          <w:marTop w:val="0"/>
          <w:marBottom w:val="0"/>
          <w:divBdr>
            <w:top w:val="none" w:sz="0" w:space="0" w:color="auto"/>
            <w:left w:val="none" w:sz="0" w:space="0" w:color="auto"/>
            <w:bottom w:val="none" w:sz="0" w:space="0" w:color="auto"/>
            <w:right w:val="none" w:sz="0" w:space="0" w:color="auto"/>
          </w:divBdr>
          <w:divsChild>
            <w:div w:id="462190609">
              <w:marLeft w:val="0"/>
              <w:marRight w:val="0"/>
              <w:marTop w:val="411"/>
              <w:marBottom w:val="0"/>
              <w:divBdr>
                <w:top w:val="none" w:sz="0" w:space="0" w:color="auto"/>
                <w:left w:val="none" w:sz="0" w:space="0" w:color="auto"/>
                <w:bottom w:val="none" w:sz="0" w:space="0" w:color="auto"/>
                <w:right w:val="none" w:sz="0" w:space="0" w:color="auto"/>
              </w:divBdr>
              <w:divsChild>
                <w:div w:id="110788587">
                  <w:marLeft w:val="0"/>
                  <w:marRight w:val="0"/>
                  <w:marTop w:val="0"/>
                  <w:marBottom w:val="0"/>
                  <w:divBdr>
                    <w:top w:val="none" w:sz="0" w:space="0" w:color="auto"/>
                    <w:left w:val="none" w:sz="0" w:space="0" w:color="auto"/>
                    <w:bottom w:val="none" w:sz="0" w:space="0" w:color="auto"/>
                    <w:right w:val="none" w:sz="0" w:space="0" w:color="auto"/>
                  </w:divBdr>
                  <w:divsChild>
                    <w:div w:id="564799337">
                      <w:marLeft w:val="79"/>
                      <w:marRight w:val="79"/>
                      <w:marTop w:val="0"/>
                      <w:marBottom w:val="0"/>
                      <w:divBdr>
                        <w:top w:val="none" w:sz="0" w:space="0" w:color="auto"/>
                        <w:left w:val="none" w:sz="0" w:space="0" w:color="auto"/>
                        <w:bottom w:val="none" w:sz="0" w:space="0" w:color="auto"/>
                        <w:right w:val="none" w:sz="0" w:space="0" w:color="auto"/>
                      </w:divBdr>
                      <w:divsChild>
                        <w:div w:id="1274898036">
                          <w:marLeft w:val="0"/>
                          <w:marRight w:val="0"/>
                          <w:marTop w:val="0"/>
                          <w:marBottom w:val="0"/>
                          <w:divBdr>
                            <w:top w:val="dashed" w:sz="6" w:space="0" w:color="DDDDDD"/>
                            <w:left w:val="none" w:sz="0" w:space="0" w:color="auto"/>
                            <w:bottom w:val="none" w:sz="0" w:space="0" w:color="auto"/>
                            <w:right w:val="none" w:sz="0" w:space="0" w:color="auto"/>
                          </w:divBdr>
                          <w:divsChild>
                            <w:div w:id="885485071">
                              <w:marLeft w:val="0"/>
                              <w:marRight w:val="0"/>
                              <w:marTop w:val="0"/>
                              <w:marBottom w:val="0"/>
                              <w:divBdr>
                                <w:top w:val="none" w:sz="0" w:space="0" w:color="auto"/>
                                <w:left w:val="none" w:sz="0" w:space="0" w:color="auto"/>
                                <w:bottom w:val="none" w:sz="0" w:space="0" w:color="auto"/>
                                <w:right w:val="none" w:sz="0" w:space="0" w:color="auto"/>
                              </w:divBdr>
                              <w:divsChild>
                                <w:div w:id="2063018702">
                                  <w:marLeft w:val="0"/>
                                  <w:marRight w:val="0"/>
                                  <w:marTop w:val="79"/>
                                  <w:marBottom w:val="79"/>
                                  <w:divBdr>
                                    <w:top w:val="none" w:sz="0" w:space="0" w:color="auto"/>
                                    <w:left w:val="none" w:sz="0" w:space="0" w:color="auto"/>
                                    <w:bottom w:val="none" w:sz="0" w:space="0" w:color="auto"/>
                                    <w:right w:val="none" w:sz="0" w:space="0" w:color="auto"/>
                                  </w:divBdr>
                                  <w:divsChild>
                                    <w:div w:id="231427087">
                                      <w:marLeft w:val="0"/>
                                      <w:marRight w:val="0"/>
                                      <w:marTop w:val="0"/>
                                      <w:marBottom w:val="0"/>
                                      <w:divBdr>
                                        <w:top w:val="none" w:sz="0" w:space="0" w:color="auto"/>
                                        <w:left w:val="none" w:sz="0" w:space="0" w:color="auto"/>
                                        <w:bottom w:val="none" w:sz="0" w:space="0" w:color="auto"/>
                                        <w:right w:val="none" w:sz="0" w:space="0" w:color="auto"/>
                                      </w:divBdr>
                                      <w:divsChild>
                                        <w:div w:id="1066805865">
                                          <w:marLeft w:val="554"/>
                                          <w:marRight w:val="0"/>
                                          <w:marTop w:val="0"/>
                                          <w:marBottom w:val="0"/>
                                          <w:divBdr>
                                            <w:top w:val="none" w:sz="0" w:space="0" w:color="auto"/>
                                            <w:left w:val="none" w:sz="0" w:space="0" w:color="auto"/>
                                            <w:bottom w:val="none" w:sz="0" w:space="0" w:color="auto"/>
                                            <w:right w:val="none" w:sz="0" w:space="0" w:color="auto"/>
                                          </w:divBdr>
                                          <w:divsChild>
                                            <w:div w:id="173631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8575856">
      <w:bodyDiv w:val="1"/>
      <w:marLeft w:val="0"/>
      <w:marRight w:val="0"/>
      <w:marTop w:val="0"/>
      <w:marBottom w:val="0"/>
      <w:divBdr>
        <w:top w:val="none" w:sz="0" w:space="0" w:color="auto"/>
        <w:left w:val="none" w:sz="0" w:space="0" w:color="auto"/>
        <w:bottom w:val="none" w:sz="0" w:space="0" w:color="auto"/>
        <w:right w:val="none" w:sz="0" w:space="0" w:color="auto"/>
      </w:divBdr>
      <w:divsChild>
        <w:div w:id="916479701">
          <w:marLeft w:val="0"/>
          <w:marRight w:val="0"/>
          <w:marTop w:val="0"/>
          <w:marBottom w:val="0"/>
          <w:divBdr>
            <w:top w:val="none" w:sz="0" w:space="0" w:color="auto"/>
            <w:left w:val="none" w:sz="0" w:space="0" w:color="auto"/>
            <w:bottom w:val="none" w:sz="0" w:space="0" w:color="auto"/>
            <w:right w:val="none" w:sz="0" w:space="0" w:color="auto"/>
          </w:divBdr>
        </w:div>
      </w:divsChild>
    </w:div>
    <w:div w:id="659311167">
      <w:bodyDiv w:val="1"/>
      <w:marLeft w:val="0"/>
      <w:marRight w:val="0"/>
      <w:marTop w:val="0"/>
      <w:marBottom w:val="0"/>
      <w:divBdr>
        <w:top w:val="none" w:sz="0" w:space="0" w:color="auto"/>
        <w:left w:val="none" w:sz="0" w:space="0" w:color="auto"/>
        <w:bottom w:val="none" w:sz="0" w:space="0" w:color="auto"/>
        <w:right w:val="none" w:sz="0" w:space="0" w:color="auto"/>
      </w:divBdr>
    </w:div>
    <w:div w:id="661158200">
      <w:bodyDiv w:val="1"/>
      <w:marLeft w:val="0"/>
      <w:marRight w:val="0"/>
      <w:marTop w:val="0"/>
      <w:marBottom w:val="0"/>
      <w:divBdr>
        <w:top w:val="none" w:sz="0" w:space="0" w:color="auto"/>
        <w:left w:val="none" w:sz="0" w:space="0" w:color="auto"/>
        <w:bottom w:val="none" w:sz="0" w:space="0" w:color="auto"/>
        <w:right w:val="none" w:sz="0" w:space="0" w:color="auto"/>
      </w:divBdr>
      <w:divsChild>
        <w:div w:id="1428690363">
          <w:marLeft w:val="0"/>
          <w:marRight w:val="0"/>
          <w:marTop w:val="0"/>
          <w:marBottom w:val="0"/>
          <w:divBdr>
            <w:top w:val="none" w:sz="0" w:space="0" w:color="auto"/>
            <w:left w:val="none" w:sz="0" w:space="0" w:color="auto"/>
            <w:bottom w:val="none" w:sz="0" w:space="0" w:color="auto"/>
            <w:right w:val="none" w:sz="0" w:space="0" w:color="auto"/>
          </w:divBdr>
          <w:divsChild>
            <w:div w:id="2023699635">
              <w:marLeft w:val="0"/>
              <w:marRight w:val="0"/>
              <w:marTop w:val="0"/>
              <w:marBottom w:val="0"/>
              <w:divBdr>
                <w:top w:val="none" w:sz="0" w:space="0" w:color="auto"/>
                <w:left w:val="none" w:sz="0" w:space="0" w:color="auto"/>
                <w:bottom w:val="none" w:sz="0" w:space="0" w:color="auto"/>
                <w:right w:val="none" w:sz="0" w:space="0" w:color="auto"/>
              </w:divBdr>
              <w:divsChild>
                <w:div w:id="99853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992722">
      <w:bodyDiv w:val="1"/>
      <w:marLeft w:val="0"/>
      <w:marRight w:val="0"/>
      <w:marTop w:val="0"/>
      <w:marBottom w:val="0"/>
      <w:divBdr>
        <w:top w:val="none" w:sz="0" w:space="0" w:color="auto"/>
        <w:left w:val="none" w:sz="0" w:space="0" w:color="auto"/>
        <w:bottom w:val="none" w:sz="0" w:space="0" w:color="auto"/>
        <w:right w:val="none" w:sz="0" w:space="0" w:color="auto"/>
      </w:divBdr>
    </w:div>
    <w:div w:id="672493190">
      <w:bodyDiv w:val="1"/>
      <w:marLeft w:val="0"/>
      <w:marRight w:val="0"/>
      <w:marTop w:val="0"/>
      <w:marBottom w:val="0"/>
      <w:divBdr>
        <w:top w:val="none" w:sz="0" w:space="0" w:color="auto"/>
        <w:left w:val="none" w:sz="0" w:space="0" w:color="auto"/>
        <w:bottom w:val="none" w:sz="0" w:space="0" w:color="auto"/>
        <w:right w:val="none" w:sz="0" w:space="0" w:color="auto"/>
      </w:divBdr>
    </w:div>
    <w:div w:id="673384217">
      <w:bodyDiv w:val="1"/>
      <w:marLeft w:val="0"/>
      <w:marRight w:val="0"/>
      <w:marTop w:val="0"/>
      <w:marBottom w:val="0"/>
      <w:divBdr>
        <w:top w:val="none" w:sz="0" w:space="0" w:color="auto"/>
        <w:left w:val="none" w:sz="0" w:space="0" w:color="auto"/>
        <w:bottom w:val="none" w:sz="0" w:space="0" w:color="auto"/>
        <w:right w:val="none" w:sz="0" w:space="0" w:color="auto"/>
      </w:divBdr>
      <w:divsChild>
        <w:div w:id="459885758">
          <w:marLeft w:val="0"/>
          <w:marRight w:val="0"/>
          <w:marTop w:val="0"/>
          <w:marBottom w:val="0"/>
          <w:divBdr>
            <w:top w:val="none" w:sz="0" w:space="0" w:color="auto"/>
            <w:left w:val="none" w:sz="0" w:space="0" w:color="auto"/>
            <w:bottom w:val="none" w:sz="0" w:space="0" w:color="auto"/>
            <w:right w:val="none" w:sz="0" w:space="0" w:color="auto"/>
          </w:divBdr>
          <w:divsChild>
            <w:div w:id="144249331">
              <w:marLeft w:val="0"/>
              <w:marRight w:val="0"/>
              <w:marTop w:val="411"/>
              <w:marBottom w:val="0"/>
              <w:divBdr>
                <w:top w:val="none" w:sz="0" w:space="0" w:color="auto"/>
                <w:left w:val="none" w:sz="0" w:space="0" w:color="auto"/>
                <w:bottom w:val="none" w:sz="0" w:space="0" w:color="auto"/>
                <w:right w:val="none" w:sz="0" w:space="0" w:color="auto"/>
              </w:divBdr>
              <w:divsChild>
                <w:div w:id="1188249177">
                  <w:marLeft w:val="0"/>
                  <w:marRight w:val="0"/>
                  <w:marTop w:val="0"/>
                  <w:marBottom w:val="0"/>
                  <w:divBdr>
                    <w:top w:val="none" w:sz="0" w:space="0" w:color="auto"/>
                    <w:left w:val="none" w:sz="0" w:space="0" w:color="auto"/>
                    <w:bottom w:val="none" w:sz="0" w:space="0" w:color="auto"/>
                    <w:right w:val="none" w:sz="0" w:space="0" w:color="auto"/>
                  </w:divBdr>
                  <w:divsChild>
                    <w:div w:id="1449204473">
                      <w:marLeft w:val="79"/>
                      <w:marRight w:val="79"/>
                      <w:marTop w:val="0"/>
                      <w:marBottom w:val="0"/>
                      <w:divBdr>
                        <w:top w:val="none" w:sz="0" w:space="0" w:color="auto"/>
                        <w:left w:val="none" w:sz="0" w:space="0" w:color="auto"/>
                        <w:bottom w:val="none" w:sz="0" w:space="0" w:color="auto"/>
                        <w:right w:val="none" w:sz="0" w:space="0" w:color="auto"/>
                      </w:divBdr>
                      <w:divsChild>
                        <w:div w:id="479226322">
                          <w:marLeft w:val="0"/>
                          <w:marRight w:val="0"/>
                          <w:marTop w:val="0"/>
                          <w:marBottom w:val="0"/>
                          <w:divBdr>
                            <w:top w:val="dashed" w:sz="6" w:space="0" w:color="DDDDDD"/>
                            <w:left w:val="none" w:sz="0" w:space="0" w:color="auto"/>
                            <w:bottom w:val="none" w:sz="0" w:space="0" w:color="auto"/>
                            <w:right w:val="none" w:sz="0" w:space="0" w:color="auto"/>
                          </w:divBdr>
                          <w:divsChild>
                            <w:div w:id="991837155">
                              <w:marLeft w:val="0"/>
                              <w:marRight w:val="0"/>
                              <w:marTop w:val="0"/>
                              <w:marBottom w:val="0"/>
                              <w:divBdr>
                                <w:top w:val="none" w:sz="0" w:space="0" w:color="auto"/>
                                <w:left w:val="none" w:sz="0" w:space="0" w:color="auto"/>
                                <w:bottom w:val="none" w:sz="0" w:space="0" w:color="auto"/>
                                <w:right w:val="none" w:sz="0" w:space="0" w:color="auto"/>
                              </w:divBdr>
                              <w:divsChild>
                                <w:div w:id="1877161622">
                                  <w:marLeft w:val="0"/>
                                  <w:marRight w:val="0"/>
                                  <w:marTop w:val="79"/>
                                  <w:marBottom w:val="79"/>
                                  <w:divBdr>
                                    <w:top w:val="none" w:sz="0" w:space="0" w:color="auto"/>
                                    <w:left w:val="none" w:sz="0" w:space="0" w:color="auto"/>
                                    <w:bottom w:val="none" w:sz="0" w:space="0" w:color="auto"/>
                                    <w:right w:val="none" w:sz="0" w:space="0" w:color="auto"/>
                                  </w:divBdr>
                                  <w:divsChild>
                                    <w:div w:id="1737969295">
                                      <w:marLeft w:val="0"/>
                                      <w:marRight w:val="0"/>
                                      <w:marTop w:val="0"/>
                                      <w:marBottom w:val="0"/>
                                      <w:divBdr>
                                        <w:top w:val="none" w:sz="0" w:space="0" w:color="auto"/>
                                        <w:left w:val="none" w:sz="0" w:space="0" w:color="auto"/>
                                        <w:bottom w:val="none" w:sz="0" w:space="0" w:color="auto"/>
                                        <w:right w:val="none" w:sz="0" w:space="0" w:color="auto"/>
                                      </w:divBdr>
                                      <w:divsChild>
                                        <w:div w:id="181551775">
                                          <w:marLeft w:val="554"/>
                                          <w:marRight w:val="0"/>
                                          <w:marTop w:val="0"/>
                                          <w:marBottom w:val="0"/>
                                          <w:divBdr>
                                            <w:top w:val="none" w:sz="0" w:space="0" w:color="auto"/>
                                            <w:left w:val="none" w:sz="0" w:space="0" w:color="auto"/>
                                            <w:bottom w:val="none" w:sz="0" w:space="0" w:color="auto"/>
                                            <w:right w:val="none" w:sz="0" w:space="0" w:color="auto"/>
                                          </w:divBdr>
                                          <w:divsChild>
                                            <w:div w:id="22557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6158873">
      <w:bodyDiv w:val="1"/>
      <w:marLeft w:val="0"/>
      <w:marRight w:val="0"/>
      <w:marTop w:val="0"/>
      <w:marBottom w:val="0"/>
      <w:divBdr>
        <w:top w:val="none" w:sz="0" w:space="0" w:color="auto"/>
        <w:left w:val="none" w:sz="0" w:space="0" w:color="auto"/>
        <w:bottom w:val="none" w:sz="0" w:space="0" w:color="auto"/>
        <w:right w:val="none" w:sz="0" w:space="0" w:color="auto"/>
      </w:divBdr>
    </w:div>
    <w:div w:id="676689881">
      <w:bodyDiv w:val="1"/>
      <w:marLeft w:val="0"/>
      <w:marRight w:val="0"/>
      <w:marTop w:val="0"/>
      <w:marBottom w:val="0"/>
      <w:divBdr>
        <w:top w:val="none" w:sz="0" w:space="0" w:color="auto"/>
        <w:left w:val="none" w:sz="0" w:space="0" w:color="auto"/>
        <w:bottom w:val="none" w:sz="0" w:space="0" w:color="auto"/>
        <w:right w:val="none" w:sz="0" w:space="0" w:color="auto"/>
      </w:divBdr>
    </w:div>
    <w:div w:id="680013170">
      <w:bodyDiv w:val="1"/>
      <w:marLeft w:val="0"/>
      <w:marRight w:val="0"/>
      <w:marTop w:val="0"/>
      <w:marBottom w:val="0"/>
      <w:divBdr>
        <w:top w:val="none" w:sz="0" w:space="0" w:color="auto"/>
        <w:left w:val="none" w:sz="0" w:space="0" w:color="auto"/>
        <w:bottom w:val="none" w:sz="0" w:space="0" w:color="auto"/>
        <w:right w:val="none" w:sz="0" w:space="0" w:color="auto"/>
      </w:divBdr>
    </w:div>
    <w:div w:id="680621802">
      <w:bodyDiv w:val="1"/>
      <w:marLeft w:val="0"/>
      <w:marRight w:val="0"/>
      <w:marTop w:val="0"/>
      <w:marBottom w:val="0"/>
      <w:divBdr>
        <w:top w:val="none" w:sz="0" w:space="0" w:color="auto"/>
        <w:left w:val="none" w:sz="0" w:space="0" w:color="auto"/>
        <w:bottom w:val="none" w:sz="0" w:space="0" w:color="auto"/>
        <w:right w:val="none" w:sz="0" w:space="0" w:color="auto"/>
      </w:divBdr>
    </w:div>
    <w:div w:id="682898642">
      <w:bodyDiv w:val="1"/>
      <w:marLeft w:val="0"/>
      <w:marRight w:val="0"/>
      <w:marTop w:val="0"/>
      <w:marBottom w:val="0"/>
      <w:divBdr>
        <w:top w:val="none" w:sz="0" w:space="0" w:color="auto"/>
        <w:left w:val="none" w:sz="0" w:space="0" w:color="auto"/>
        <w:bottom w:val="none" w:sz="0" w:space="0" w:color="auto"/>
        <w:right w:val="none" w:sz="0" w:space="0" w:color="auto"/>
      </w:divBdr>
    </w:div>
    <w:div w:id="684596957">
      <w:bodyDiv w:val="1"/>
      <w:marLeft w:val="0"/>
      <w:marRight w:val="0"/>
      <w:marTop w:val="0"/>
      <w:marBottom w:val="0"/>
      <w:divBdr>
        <w:top w:val="none" w:sz="0" w:space="0" w:color="auto"/>
        <w:left w:val="none" w:sz="0" w:space="0" w:color="auto"/>
        <w:bottom w:val="none" w:sz="0" w:space="0" w:color="auto"/>
        <w:right w:val="none" w:sz="0" w:space="0" w:color="auto"/>
      </w:divBdr>
    </w:div>
    <w:div w:id="689257873">
      <w:bodyDiv w:val="1"/>
      <w:marLeft w:val="0"/>
      <w:marRight w:val="0"/>
      <w:marTop w:val="0"/>
      <w:marBottom w:val="0"/>
      <w:divBdr>
        <w:top w:val="none" w:sz="0" w:space="0" w:color="auto"/>
        <w:left w:val="none" w:sz="0" w:space="0" w:color="auto"/>
        <w:bottom w:val="none" w:sz="0" w:space="0" w:color="auto"/>
        <w:right w:val="none" w:sz="0" w:space="0" w:color="auto"/>
      </w:divBdr>
    </w:div>
    <w:div w:id="691418263">
      <w:bodyDiv w:val="1"/>
      <w:marLeft w:val="0"/>
      <w:marRight w:val="0"/>
      <w:marTop w:val="0"/>
      <w:marBottom w:val="0"/>
      <w:divBdr>
        <w:top w:val="none" w:sz="0" w:space="0" w:color="auto"/>
        <w:left w:val="none" w:sz="0" w:space="0" w:color="auto"/>
        <w:bottom w:val="none" w:sz="0" w:space="0" w:color="auto"/>
        <w:right w:val="none" w:sz="0" w:space="0" w:color="auto"/>
      </w:divBdr>
    </w:div>
    <w:div w:id="697924430">
      <w:bodyDiv w:val="1"/>
      <w:marLeft w:val="0"/>
      <w:marRight w:val="0"/>
      <w:marTop w:val="0"/>
      <w:marBottom w:val="0"/>
      <w:divBdr>
        <w:top w:val="none" w:sz="0" w:space="0" w:color="auto"/>
        <w:left w:val="none" w:sz="0" w:space="0" w:color="auto"/>
        <w:bottom w:val="none" w:sz="0" w:space="0" w:color="auto"/>
        <w:right w:val="none" w:sz="0" w:space="0" w:color="auto"/>
      </w:divBdr>
      <w:divsChild>
        <w:div w:id="1955557702">
          <w:marLeft w:val="0"/>
          <w:marRight w:val="0"/>
          <w:marTop w:val="0"/>
          <w:marBottom w:val="0"/>
          <w:divBdr>
            <w:top w:val="none" w:sz="0" w:space="0" w:color="auto"/>
            <w:left w:val="none" w:sz="0" w:space="0" w:color="auto"/>
            <w:bottom w:val="none" w:sz="0" w:space="0" w:color="auto"/>
            <w:right w:val="none" w:sz="0" w:space="0" w:color="auto"/>
          </w:divBdr>
          <w:divsChild>
            <w:div w:id="2064450740">
              <w:marLeft w:val="0"/>
              <w:marRight w:val="0"/>
              <w:marTop w:val="411"/>
              <w:marBottom w:val="0"/>
              <w:divBdr>
                <w:top w:val="none" w:sz="0" w:space="0" w:color="auto"/>
                <w:left w:val="none" w:sz="0" w:space="0" w:color="auto"/>
                <w:bottom w:val="none" w:sz="0" w:space="0" w:color="auto"/>
                <w:right w:val="none" w:sz="0" w:space="0" w:color="auto"/>
              </w:divBdr>
              <w:divsChild>
                <w:div w:id="1177691312">
                  <w:marLeft w:val="0"/>
                  <w:marRight w:val="0"/>
                  <w:marTop w:val="0"/>
                  <w:marBottom w:val="0"/>
                  <w:divBdr>
                    <w:top w:val="none" w:sz="0" w:space="0" w:color="auto"/>
                    <w:left w:val="none" w:sz="0" w:space="0" w:color="auto"/>
                    <w:bottom w:val="none" w:sz="0" w:space="0" w:color="auto"/>
                    <w:right w:val="none" w:sz="0" w:space="0" w:color="auto"/>
                  </w:divBdr>
                  <w:divsChild>
                    <w:div w:id="983855734">
                      <w:marLeft w:val="79"/>
                      <w:marRight w:val="79"/>
                      <w:marTop w:val="0"/>
                      <w:marBottom w:val="0"/>
                      <w:divBdr>
                        <w:top w:val="none" w:sz="0" w:space="0" w:color="auto"/>
                        <w:left w:val="none" w:sz="0" w:space="0" w:color="auto"/>
                        <w:bottom w:val="none" w:sz="0" w:space="0" w:color="auto"/>
                        <w:right w:val="none" w:sz="0" w:space="0" w:color="auto"/>
                      </w:divBdr>
                      <w:divsChild>
                        <w:div w:id="1465080109">
                          <w:marLeft w:val="0"/>
                          <w:marRight w:val="0"/>
                          <w:marTop w:val="0"/>
                          <w:marBottom w:val="0"/>
                          <w:divBdr>
                            <w:top w:val="dashed" w:sz="6" w:space="0" w:color="DDDDDD"/>
                            <w:left w:val="none" w:sz="0" w:space="0" w:color="auto"/>
                            <w:bottom w:val="none" w:sz="0" w:space="0" w:color="auto"/>
                            <w:right w:val="none" w:sz="0" w:space="0" w:color="auto"/>
                          </w:divBdr>
                          <w:divsChild>
                            <w:div w:id="1528135071">
                              <w:marLeft w:val="0"/>
                              <w:marRight w:val="0"/>
                              <w:marTop w:val="0"/>
                              <w:marBottom w:val="0"/>
                              <w:divBdr>
                                <w:top w:val="none" w:sz="0" w:space="0" w:color="auto"/>
                                <w:left w:val="none" w:sz="0" w:space="0" w:color="auto"/>
                                <w:bottom w:val="none" w:sz="0" w:space="0" w:color="auto"/>
                                <w:right w:val="none" w:sz="0" w:space="0" w:color="auto"/>
                              </w:divBdr>
                              <w:divsChild>
                                <w:div w:id="1529758213">
                                  <w:marLeft w:val="0"/>
                                  <w:marRight w:val="0"/>
                                  <w:marTop w:val="79"/>
                                  <w:marBottom w:val="79"/>
                                  <w:divBdr>
                                    <w:top w:val="none" w:sz="0" w:space="0" w:color="auto"/>
                                    <w:left w:val="none" w:sz="0" w:space="0" w:color="auto"/>
                                    <w:bottom w:val="none" w:sz="0" w:space="0" w:color="auto"/>
                                    <w:right w:val="none" w:sz="0" w:space="0" w:color="auto"/>
                                  </w:divBdr>
                                  <w:divsChild>
                                    <w:div w:id="1070663479">
                                      <w:marLeft w:val="0"/>
                                      <w:marRight w:val="0"/>
                                      <w:marTop w:val="0"/>
                                      <w:marBottom w:val="0"/>
                                      <w:divBdr>
                                        <w:top w:val="none" w:sz="0" w:space="0" w:color="auto"/>
                                        <w:left w:val="none" w:sz="0" w:space="0" w:color="auto"/>
                                        <w:bottom w:val="none" w:sz="0" w:space="0" w:color="auto"/>
                                        <w:right w:val="none" w:sz="0" w:space="0" w:color="auto"/>
                                      </w:divBdr>
                                      <w:divsChild>
                                        <w:div w:id="1971015213">
                                          <w:marLeft w:val="554"/>
                                          <w:marRight w:val="0"/>
                                          <w:marTop w:val="0"/>
                                          <w:marBottom w:val="0"/>
                                          <w:divBdr>
                                            <w:top w:val="none" w:sz="0" w:space="0" w:color="auto"/>
                                            <w:left w:val="none" w:sz="0" w:space="0" w:color="auto"/>
                                            <w:bottom w:val="none" w:sz="0" w:space="0" w:color="auto"/>
                                            <w:right w:val="none" w:sz="0" w:space="0" w:color="auto"/>
                                          </w:divBdr>
                                          <w:divsChild>
                                            <w:div w:id="134173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7924907">
      <w:bodyDiv w:val="1"/>
      <w:marLeft w:val="0"/>
      <w:marRight w:val="0"/>
      <w:marTop w:val="0"/>
      <w:marBottom w:val="0"/>
      <w:divBdr>
        <w:top w:val="none" w:sz="0" w:space="0" w:color="auto"/>
        <w:left w:val="none" w:sz="0" w:space="0" w:color="auto"/>
        <w:bottom w:val="none" w:sz="0" w:space="0" w:color="auto"/>
        <w:right w:val="none" w:sz="0" w:space="0" w:color="auto"/>
      </w:divBdr>
    </w:div>
    <w:div w:id="703209802">
      <w:bodyDiv w:val="1"/>
      <w:marLeft w:val="0"/>
      <w:marRight w:val="0"/>
      <w:marTop w:val="0"/>
      <w:marBottom w:val="0"/>
      <w:divBdr>
        <w:top w:val="none" w:sz="0" w:space="0" w:color="auto"/>
        <w:left w:val="none" w:sz="0" w:space="0" w:color="auto"/>
        <w:bottom w:val="none" w:sz="0" w:space="0" w:color="auto"/>
        <w:right w:val="none" w:sz="0" w:space="0" w:color="auto"/>
      </w:divBdr>
    </w:div>
    <w:div w:id="703872284">
      <w:bodyDiv w:val="1"/>
      <w:marLeft w:val="0"/>
      <w:marRight w:val="0"/>
      <w:marTop w:val="0"/>
      <w:marBottom w:val="0"/>
      <w:divBdr>
        <w:top w:val="none" w:sz="0" w:space="0" w:color="auto"/>
        <w:left w:val="none" w:sz="0" w:space="0" w:color="auto"/>
        <w:bottom w:val="none" w:sz="0" w:space="0" w:color="auto"/>
        <w:right w:val="none" w:sz="0" w:space="0" w:color="auto"/>
      </w:divBdr>
    </w:div>
    <w:div w:id="704406985">
      <w:bodyDiv w:val="1"/>
      <w:marLeft w:val="0"/>
      <w:marRight w:val="0"/>
      <w:marTop w:val="0"/>
      <w:marBottom w:val="0"/>
      <w:divBdr>
        <w:top w:val="none" w:sz="0" w:space="0" w:color="auto"/>
        <w:left w:val="none" w:sz="0" w:space="0" w:color="auto"/>
        <w:bottom w:val="none" w:sz="0" w:space="0" w:color="auto"/>
        <w:right w:val="none" w:sz="0" w:space="0" w:color="auto"/>
      </w:divBdr>
    </w:div>
    <w:div w:id="705257312">
      <w:bodyDiv w:val="1"/>
      <w:marLeft w:val="0"/>
      <w:marRight w:val="0"/>
      <w:marTop w:val="0"/>
      <w:marBottom w:val="0"/>
      <w:divBdr>
        <w:top w:val="none" w:sz="0" w:space="0" w:color="auto"/>
        <w:left w:val="none" w:sz="0" w:space="0" w:color="auto"/>
        <w:bottom w:val="none" w:sz="0" w:space="0" w:color="auto"/>
        <w:right w:val="none" w:sz="0" w:space="0" w:color="auto"/>
      </w:divBdr>
    </w:div>
    <w:div w:id="705760647">
      <w:bodyDiv w:val="1"/>
      <w:marLeft w:val="0"/>
      <w:marRight w:val="0"/>
      <w:marTop w:val="0"/>
      <w:marBottom w:val="0"/>
      <w:divBdr>
        <w:top w:val="none" w:sz="0" w:space="0" w:color="auto"/>
        <w:left w:val="none" w:sz="0" w:space="0" w:color="auto"/>
        <w:bottom w:val="none" w:sz="0" w:space="0" w:color="auto"/>
        <w:right w:val="none" w:sz="0" w:space="0" w:color="auto"/>
      </w:divBdr>
    </w:div>
    <w:div w:id="706181811">
      <w:bodyDiv w:val="1"/>
      <w:marLeft w:val="0"/>
      <w:marRight w:val="0"/>
      <w:marTop w:val="0"/>
      <w:marBottom w:val="0"/>
      <w:divBdr>
        <w:top w:val="none" w:sz="0" w:space="0" w:color="auto"/>
        <w:left w:val="none" w:sz="0" w:space="0" w:color="auto"/>
        <w:bottom w:val="none" w:sz="0" w:space="0" w:color="auto"/>
        <w:right w:val="none" w:sz="0" w:space="0" w:color="auto"/>
      </w:divBdr>
    </w:div>
    <w:div w:id="707754604">
      <w:bodyDiv w:val="1"/>
      <w:marLeft w:val="0"/>
      <w:marRight w:val="0"/>
      <w:marTop w:val="0"/>
      <w:marBottom w:val="0"/>
      <w:divBdr>
        <w:top w:val="none" w:sz="0" w:space="0" w:color="auto"/>
        <w:left w:val="none" w:sz="0" w:space="0" w:color="auto"/>
        <w:bottom w:val="none" w:sz="0" w:space="0" w:color="auto"/>
        <w:right w:val="none" w:sz="0" w:space="0" w:color="auto"/>
      </w:divBdr>
      <w:divsChild>
        <w:div w:id="1460371416">
          <w:marLeft w:val="0"/>
          <w:marRight w:val="0"/>
          <w:marTop w:val="0"/>
          <w:marBottom w:val="0"/>
          <w:divBdr>
            <w:top w:val="none" w:sz="0" w:space="0" w:color="auto"/>
            <w:left w:val="none" w:sz="0" w:space="0" w:color="auto"/>
            <w:bottom w:val="none" w:sz="0" w:space="0" w:color="auto"/>
            <w:right w:val="none" w:sz="0" w:space="0" w:color="auto"/>
          </w:divBdr>
          <w:divsChild>
            <w:div w:id="1518304410">
              <w:marLeft w:val="0"/>
              <w:marRight w:val="0"/>
              <w:marTop w:val="0"/>
              <w:marBottom w:val="0"/>
              <w:divBdr>
                <w:top w:val="none" w:sz="0" w:space="0" w:color="auto"/>
                <w:left w:val="none" w:sz="0" w:space="0" w:color="auto"/>
                <w:bottom w:val="none" w:sz="0" w:space="0" w:color="auto"/>
                <w:right w:val="none" w:sz="0" w:space="0" w:color="auto"/>
              </w:divBdr>
              <w:divsChild>
                <w:div w:id="20597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461836">
      <w:bodyDiv w:val="1"/>
      <w:marLeft w:val="0"/>
      <w:marRight w:val="0"/>
      <w:marTop w:val="0"/>
      <w:marBottom w:val="0"/>
      <w:divBdr>
        <w:top w:val="none" w:sz="0" w:space="0" w:color="auto"/>
        <w:left w:val="none" w:sz="0" w:space="0" w:color="auto"/>
        <w:bottom w:val="none" w:sz="0" w:space="0" w:color="auto"/>
        <w:right w:val="none" w:sz="0" w:space="0" w:color="auto"/>
      </w:divBdr>
    </w:div>
    <w:div w:id="719208116">
      <w:bodyDiv w:val="1"/>
      <w:marLeft w:val="0"/>
      <w:marRight w:val="0"/>
      <w:marTop w:val="0"/>
      <w:marBottom w:val="0"/>
      <w:divBdr>
        <w:top w:val="none" w:sz="0" w:space="0" w:color="auto"/>
        <w:left w:val="none" w:sz="0" w:space="0" w:color="auto"/>
        <w:bottom w:val="none" w:sz="0" w:space="0" w:color="auto"/>
        <w:right w:val="none" w:sz="0" w:space="0" w:color="auto"/>
      </w:divBdr>
    </w:div>
    <w:div w:id="722027563">
      <w:bodyDiv w:val="1"/>
      <w:marLeft w:val="0"/>
      <w:marRight w:val="0"/>
      <w:marTop w:val="0"/>
      <w:marBottom w:val="0"/>
      <w:divBdr>
        <w:top w:val="none" w:sz="0" w:space="0" w:color="auto"/>
        <w:left w:val="none" w:sz="0" w:space="0" w:color="auto"/>
        <w:bottom w:val="none" w:sz="0" w:space="0" w:color="auto"/>
        <w:right w:val="none" w:sz="0" w:space="0" w:color="auto"/>
      </w:divBdr>
    </w:div>
    <w:div w:id="725959051">
      <w:bodyDiv w:val="1"/>
      <w:marLeft w:val="0"/>
      <w:marRight w:val="0"/>
      <w:marTop w:val="0"/>
      <w:marBottom w:val="0"/>
      <w:divBdr>
        <w:top w:val="none" w:sz="0" w:space="0" w:color="auto"/>
        <w:left w:val="none" w:sz="0" w:space="0" w:color="auto"/>
        <w:bottom w:val="none" w:sz="0" w:space="0" w:color="auto"/>
        <w:right w:val="none" w:sz="0" w:space="0" w:color="auto"/>
      </w:divBdr>
    </w:div>
    <w:div w:id="729380943">
      <w:bodyDiv w:val="1"/>
      <w:marLeft w:val="0"/>
      <w:marRight w:val="0"/>
      <w:marTop w:val="0"/>
      <w:marBottom w:val="0"/>
      <w:divBdr>
        <w:top w:val="none" w:sz="0" w:space="0" w:color="auto"/>
        <w:left w:val="none" w:sz="0" w:space="0" w:color="auto"/>
        <w:bottom w:val="none" w:sz="0" w:space="0" w:color="auto"/>
        <w:right w:val="none" w:sz="0" w:space="0" w:color="auto"/>
      </w:divBdr>
    </w:div>
    <w:div w:id="729960611">
      <w:bodyDiv w:val="1"/>
      <w:marLeft w:val="0"/>
      <w:marRight w:val="0"/>
      <w:marTop w:val="0"/>
      <w:marBottom w:val="0"/>
      <w:divBdr>
        <w:top w:val="none" w:sz="0" w:space="0" w:color="auto"/>
        <w:left w:val="none" w:sz="0" w:space="0" w:color="auto"/>
        <w:bottom w:val="none" w:sz="0" w:space="0" w:color="auto"/>
        <w:right w:val="none" w:sz="0" w:space="0" w:color="auto"/>
      </w:divBdr>
    </w:div>
    <w:div w:id="730081634">
      <w:bodyDiv w:val="1"/>
      <w:marLeft w:val="0"/>
      <w:marRight w:val="0"/>
      <w:marTop w:val="0"/>
      <w:marBottom w:val="0"/>
      <w:divBdr>
        <w:top w:val="none" w:sz="0" w:space="0" w:color="auto"/>
        <w:left w:val="none" w:sz="0" w:space="0" w:color="auto"/>
        <w:bottom w:val="none" w:sz="0" w:space="0" w:color="auto"/>
        <w:right w:val="none" w:sz="0" w:space="0" w:color="auto"/>
      </w:divBdr>
    </w:div>
    <w:div w:id="738210508">
      <w:bodyDiv w:val="1"/>
      <w:marLeft w:val="0"/>
      <w:marRight w:val="0"/>
      <w:marTop w:val="0"/>
      <w:marBottom w:val="0"/>
      <w:divBdr>
        <w:top w:val="none" w:sz="0" w:space="0" w:color="auto"/>
        <w:left w:val="none" w:sz="0" w:space="0" w:color="auto"/>
        <w:bottom w:val="none" w:sz="0" w:space="0" w:color="auto"/>
        <w:right w:val="none" w:sz="0" w:space="0" w:color="auto"/>
      </w:divBdr>
    </w:div>
    <w:div w:id="739519932">
      <w:bodyDiv w:val="1"/>
      <w:marLeft w:val="0"/>
      <w:marRight w:val="0"/>
      <w:marTop w:val="0"/>
      <w:marBottom w:val="0"/>
      <w:divBdr>
        <w:top w:val="none" w:sz="0" w:space="0" w:color="auto"/>
        <w:left w:val="none" w:sz="0" w:space="0" w:color="auto"/>
        <w:bottom w:val="none" w:sz="0" w:space="0" w:color="auto"/>
        <w:right w:val="none" w:sz="0" w:space="0" w:color="auto"/>
      </w:divBdr>
      <w:divsChild>
        <w:div w:id="51080824">
          <w:marLeft w:val="0"/>
          <w:marRight w:val="0"/>
          <w:marTop w:val="0"/>
          <w:marBottom w:val="0"/>
          <w:divBdr>
            <w:top w:val="none" w:sz="0" w:space="0" w:color="auto"/>
            <w:left w:val="none" w:sz="0" w:space="0" w:color="auto"/>
            <w:bottom w:val="none" w:sz="0" w:space="0" w:color="auto"/>
            <w:right w:val="none" w:sz="0" w:space="0" w:color="auto"/>
          </w:divBdr>
        </w:div>
      </w:divsChild>
    </w:div>
    <w:div w:id="740980532">
      <w:bodyDiv w:val="1"/>
      <w:marLeft w:val="0"/>
      <w:marRight w:val="0"/>
      <w:marTop w:val="0"/>
      <w:marBottom w:val="0"/>
      <w:divBdr>
        <w:top w:val="none" w:sz="0" w:space="0" w:color="auto"/>
        <w:left w:val="none" w:sz="0" w:space="0" w:color="auto"/>
        <w:bottom w:val="none" w:sz="0" w:space="0" w:color="auto"/>
        <w:right w:val="none" w:sz="0" w:space="0" w:color="auto"/>
      </w:divBdr>
    </w:div>
    <w:div w:id="741297568">
      <w:bodyDiv w:val="1"/>
      <w:marLeft w:val="0"/>
      <w:marRight w:val="0"/>
      <w:marTop w:val="0"/>
      <w:marBottom w:val="0"/>
      <w:divBdr>
        <w:top w:val="none" w:sz="0" w:space="0" w:color="auto"/>
        <w:left w:val="none" w:sz="0" w:space="0" w:color="auto"/>
        <w:bottom w:val="none" w:sz="0" w:space="0" w:color="auto"/>
        <w:right w:val="none" w:sz="0" w:space="0" w:color="auto"/>
      </w:divBdr>
    </w:div>
    <w:div w:id="744643061">
      <w:bodyDiv w:val="1"/>
      <w:marLeft w:val="0"/>
      <w:marRight w:val="0"/>
      <w:marTop w:val="0"/>
      <w:marBottom w:val="0"/>
      <w:divBdr>
        <w:top w:val="none" w:sz="0" w:space="0" w:color="auto"/>
        <w:left w:val="none" w:sz="0" w:space="0" w:color="auto"/>
        <w:bottom w:val="none" w:sz="0" w:space="0" w:color="auto"/>
        <w:right w:val="none" w:sz="0" w:space="0" w:color="auto"/>
      </w:divBdr>
      <w:divsChild>
        <w:div w:id="730736854">
          <w:marLeft w:val="0"/>
          <w:marRight w:val="0"/>
          <w:marTop w:val="0"/>
          <w:marBottom w:val="0"/>
          <w:divBdr>
            <w:top w:val="none" w:sz="0" w:space="0" w:color="auto"/>
            <w:left w:val="none" w:sz="0" w:space="0" w:color="auto"/>
            <w:bottom w:val="none" w:sz="0" w:space="0" w:color="auto"/>
            <w:right w:val="none" w:sz="0" w:space="0" w:color="auto"/>
          </w:divBdr>
          <w:divsChild>
            <w:div w:id="2098478022">
              <w:marLeft w:val="0"/>
              <w:marRight w:val="0"/>
              <w:marTop w:val="0"/>
              <w:marBottom w:val="0"/>
              <w:divBdr>
                <w:top w:val="none" w:sz="0" w:space="0" w:color="auto"/>
                <w:left w:val="none" w:sz="0" w:space="0" w:color="auto"/>
                <w:bottom w:val="none" w:sz="0" w:space="0" w:color="auto"/>
                <w:right w:val="none" w:sz="0" w:space="0" w:color="auto"/>
              </w:divBdr>
              <w:divsChild>
                <w:div w:id="240675664">
                  <w:marLeft w:val="0"/>
                  <w:marRight w:val="0"/>
                  <w:marTop w:val="0"/>
                  <w:marBottom w:val="0"/>
                  <w:divBdr>
                    <w:top w:val="none" w:sz="0" w:space="0" w:color="auto"/>
                    <w:left w:val="none" w:sz="0" w:space="0" w:color="auto"/>
                    <w:bottom w:val="none" w:sz="0" w:space="0" w:color="auto"/>
                    <w:right w:val="none" w:sz="0" w:space="0" w:color="auto"/>
                  </w:divBdr>
                  <w:divsChild>
                    <w:div w:id="1968317176">
                      <w:marLeft w:val="0"/>
                      <w:marRight w:val="0"/>
                      <w:marTop w:val="210"/>
                      <w:marBottom w:val="0"/>
                      <w:divBdr>
                        <w:top w:val="none" w:sz="0" w:space="0" w:color="auto"/>
                        <w:left w:val="none" w:sz="0" w:space="0" w:color="auto"/>
                        <w:bottom w:val="none" w:sz="0" w:space="0" w:color="auto"/>
                        <w:right w:val="none" w:sz="0" w:space="0" w:color="auto"/>
                      </w:divBdr>
                      <w:divsChild>
                        <w:div w:id="310788707">
                          <w:marLeft w:val="0"/>
                          <w:marRight w:val="0"/>
                          <w:marTop w:val="0"/>
                          <w:marBottom w:val="0"/>
                          <w:divBdr>
                            <w:top w:val="none" w:sz="0" w:space="0" w:color="auto"/>
                            <w:left w:val="none" w:sz="0" w:space="0" w:color="auto"/>
                            <w:bottom w:val="none" w:sz="0" w:space="0" w:color="auto"/>
                            <w:right w:val="none" w:sz="0" w:space="0" w:color="auto"/>
                          </w:divBdr>
                          <w:divsChild>
                            <w:div w:id="1562136025">
                              <w:marLeft w:val="0"/>
                              <w:marRight w:val="0"/>
                              <w:marTop w:val="0"/>
                              <w:marBottom w:val="0"/>
                              <w:divBdr>
                                <w:top w:val="none" w:sz="0" w:space="0" w:color="auto"/>
                                <w:left w:val="none" w:sz="0" w:space="0" w:color="auto"/>
                                <w:bottom w:val="none" w:sz="0" w:space="0" w:color="auto"/>
                                <w:right w:val="none" w:sz="0" w:space="0" w:color="auto"/>
                              </w:divBdr>
                              <w:divsChild>
                                <w:div w:id="793326735">
                                  <w:marLeft w:val="0"/>
                                  <w:marRight w:val="0"/>
                                  <w:marTop w:val="0"/>
                                  <w:marBottom w:val="0"/>
                                  <w:divBdr>
                                    <w:top w:val="none" w:sz="0" w:space="0" w:color="auto"/>
                                    <w:left w:val="none" w:sz="0" w:space="0" w:color="auto"/>
                                    <w:bottom w:val="none" w:sz="0" w:space="0" w:color="auto"/>
                                    <w:right w:val="none" w:sz="0" w:space="0" w:color="auto"/>
                                  </w:divBdr>
                                  <w:divsChild>
                                    <w:div w:id="10814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925566">
      <w:bodyDiv w:val="1"/>
      <w:marLeft w:val="0"/>
      <w:marRight w:val="0"/>
      <w:marTop w:val="0"/>
      <w:marBottom w:val="0"/>
      <w:divBdr>
        <w:top w:val="none" w:sz="0" w:space="0" w:color="auto"/>
        <w:left w:val="none" w:sz="0" w:space="0" w:color="auto"/>
        <w:bottom w:val="none" w:sz="0" w:space="0" w:color="auto"/>
        <w:right w:val="none" w:sz="0" w:space="0" w:color="auto"/>
      </w:divBdr>
      <w:divsChild>
        <w:div w:id="946083332">
          <w:marLeft w:val="0"/>
          <w:marRight w:val="0"/>
          <w:marTop w:val="0"/>
          <w:marBottom w:val="0"/>
          <w:divBdr>
            <w:top w:val="none" w:sz="0" w:space="0" w:color="auto"/>
            <w:left w:val="none" w:sz="0" w:space="0" w:color="auto"/>
            <w:bottom w:val="none" w:sz="0" w:space="0" w:color="auto"/>
            <w:right w:val="none" w:sz="0" w:space="0" w:color="auto"/>
          </w:divBdr>
          <w:divsChild>
            <w:div w:id="2023318073">
              <w:marLeft w:val="0"/>
              <w:marRight w:val="0"/>
              <w:marTop w:val="411"/>
              <w:marBottom w:val="0"/>
              <w:divBdr>
                <w:top w:val="none" w:sz="0" w:space="0" w:color="auto"/>
                <w:left w:val="none" w:sz="0" w:space="0" w:color="auto"/>
                <w:bottom w:val="none" w:sz="0" w:space="0" w:color="auto"/>
                <w:right w:val="none" w:sz="0" w:space="0" w:color="auto"/>
              </w:divBdr>
              <w:divsChild>
                <w:div w:id="1248422903">
                  <w:marLeft w:val="0"/>
                  <w:marRight w:val="0"/>
                  <w:marTop w:val="0"/>
                  <w:marBottom w:val="0"/>
                  <w:divBdr>
                    <w:top w:val="none" w:sz="0" w:space="0" w:color="auto"/>
                    <w:left w:val="none" w:sz="0" w:space="0" w:color="auto"/>
                    <w:bottom w:val="none" w:sz="0" w:space="0" w:color="auto"/>
                    <w:right w:val="none" w:sz="0" w:space="0" w:color="auto"/>
                  </w:divBdr>
                  <w:divsChild>
                    <w:div w:id="2084177045">
                      <w:marLeft w:val="79"/>
                      <w:marRight w:val="79"/>
                      <w:marTop w:val="0"/>
                      <w:marBottom w:val="0"/>
                      <w:divBdr>
                        <w:top w:val="none" w:sz="0" w:space="0" w:color="auto"/>
                        <w:left w:val="none" w:sz="0" w:space="0" w:color="auto"/>
                        <w:bottom w:val="none" w:sz="0" w:space="0" w:color="auto"/>
                        <w:right w:val="none" w:sz="0" w:space="0" w:color="auto"/>
                      </w:divBdr>
                      <w:divsChild>
                        <w:div w:id="114638258">
                          <w:marLeft w:val="0"/>
                          <w:marRight w:val="0"/>
                          <w:marTop w:val="0"/>
                          <w:marBottom w:val="0"/>
                          <w:divBdr>
                            <w:top w:val="dashed" w:sz="6" w:space="0" w:color="DDDDDD"/>
                            <w:left w:val="none" w:sz="0" w:space="0" w:color="auto"/>
                            <w:bottom w:val="none" w:sz="0" w:space="0" w:color="auto"/>
                            <w:right w:val="none" w:sz="0" w:space="0" w:color="auto"/>
                          </w:divBdr>
                          <w:divsChild>
                            <w:div w:id="1338267167">
                              <w:marLeft w:val="0"/>
                              <w:marRight w:val="0"/>
                              <w:marTop w:val="0"/>
                              <w:marBottom w:val="0"/>
                              <w:divBdr>
                                <w:top w:val="none" w:sz="0" w:space="0" w:color="auto"/>
                                <w:left w:val="none" w:sz="0" w:space="0" w:color="auto"/>
                                <w:bottom w:val="none" w:sz="0" w:space="0" w:color="auto"/>
                                <w:right w:val="none" w:sz="0" w:space="0" w:color="auto"/>
                              </w:divBdr>
                              <w:divsChild>
                                <w:div w:id="1836065263">
                                  <w:marLeft w:val="0"/>
                                  <w:marRight w:val="0"/>
                                  <w:marTop w:val="79"/>
                                  <w:marBottom w:val="79"/>
                                  <w:divBdr>
                                    <w:top w:val="none" w:sz="0" w:space="0" w:color="auto"/>
                                    <w:left w:val="none" w:sz="0" w:space="0" w:color="auto"/>
                                    <w:bottom w:val="none" w:sz="0" w:space="0" w:color="auto"/>
                                    <w:right w:val="none" w:sz="0" w:space="0" w:color="auto"/>
                                  </w:divBdr>
                                  <w:divsChild>
                                    <w:div w:id="1515998827">
                                      <w:marLeft w:val="0"/>
                                      <w:marRight w:val="0"/>
                                      <w:marTop w:val="0"/>
                                      <w:marBottom w:val="0"/>
                                      <w:divBdr>
                                        <w:top w:val="none" w:sz="0" w:space="0" w:color="auto"/>
                                        <w:left w:val="none" w:sz="0" w:space="0" w:color="auto"/>
                                        <w:bottom w:val="none" w:sz="0" w:space="0" w:color="auto"/>
                                        <w:right w:val="none" w:sz="0" w:space="0" w:color="auto"/>
                                      </w:divBdr>
                                      <w:divsChild>
                                        <w:div w:id="584647943">
                                          <w:marLeft w:val="554"/>
                                          <w:marRight w:val="0"/>
                                          <w:marTop w:val="0"/>
                                          <w:marBottom w:val="0"/>
                                          <w:divBdr>
                                            <w:top w:val="none" w:sz="0" w:space="0" w:color="auto"/>
                                            <w:left w:val="none" w:sz="0" w:space="0" w:color="auto"/>
                                            <w:bottom w:val="none" w:sz="0" w:space="0" w:color="auto"/>
                                            <w:right w:val="none" w:sz="0" w:space="0" w:color="auto"/>
                                          </w:divBdr>
                                          <w:divsChild>
                                            <w:div w:id="11225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3014880">
      <w:bodyDiv w:val="1"/>
      <w:marLeft w:val="0"/>
      <w:marRight w:val="0"/>
      <w:marTop w:val="0"/>
      <w:marBottom w:val="0"/>
      <w:divBdr>
        <w:top w:val="none" w:sz="0" w:space="0" w:color="auto"/>
        <w:left w:val="none" w:sz="0" w:space="0" w:color="auto"/>
        <w:bottom w:val="none" w:sz="0" w:space="0" w:color="auto"/>
        <w:right w:val="none" w:sz="0" w:space="0" w:color="auto"/>
      </w:divBdr>
    </w:div>
    <w:div w:id="756050588">
      <w:bodyDiv w:val="1"/>
      <w:marLeft w:val="0"/>
      <w:marRight w:val="0"/>
      <w:marTop w:val="0"/>
      <w:marBottom w:val="0"/>
      <w:divBdr>
        <w:top w:val="none" w:sz="0" w:space="0" w:color="auto"/>
        <w:left w:val="none" w:sz="0" w:space="0" w:color="auto"/>
        <w:bottom w:val="none" w:sz="0" w:space="0" w:color="auto"/>
        <w:right w:val="none" w:sz="0" w:space="0" w:color="auto"/>
      </w:divBdr>
      <w:divsChild>
        <w:div w:id="369385193">
          <w:marLeft w:val="0"/>
          <w:marRight w:val="0"/>
          <w:marTop w:val="0"/>
          <w:marBottom w:val="0"/>
          <w:divBdr>
            <w:top w:val="none" w:sz="0" w:space="0" w:color="auto"/>
            <w:left w:val="none" w:sz="0" w:space="0" w:color="auto"/>
            <w:bottom w:val="none" w:sz="0" w:space="0" w:color="auto"/>
            <w:right w:val="none" w:sz="0" w:space="0" w:color="auto"/>
          </w:divBdr>
          <w:divsChild>
            <w:div w:id="930237392">
              <w:marLeft w:val="0"/>
              <w:marRight w:val="0"/>
              <w:marTop w:val="411"/>
              <w:marBottom w:val="0"/>
              <w:divBdr>
                <w:top w:val="none" w:sz="0" w:space="0" w:color="auto"/>
                <w:left w:val="none" w:sz="0" w:space="0" w:color="auto"/>
                <w:bottom w:val="none" w:sz="0" w:space="0" w:color="auto"/>
                <w:right w:val="none" w:sz="0" w:space="0" w:color="auto"/>
              </w:divBdr>
              <w:divsChild>
                <w:div w:id="1786997876">
                  <w:marLeft w:val="0"/>
                  <w:marRight w:val="0"/>
                  <w:marTop w:val="0"/>
                  <w:marBottom w:val="0"/>
                  <w:divBdr>
                    <w:top w:val="none" w:sz="0" w:space="0" w:color="auto"/>
                    <w:left w:val="none" w:sz="0" w:space="0" w:color="auto"/>
                    <w:bottom w:val="none" w:sz="0" w:space="0" w:color="auto"/>
                    <w:right w:val="none" w:sz="0" w:space="0" w:color="auto"/>
                  </w:divBdr>
                  <w:divsChild>
                    <w:div w:id="2105224742">
                      <w:marLeft w:val="79"/>
                      <w:marRight w:val="79"/>
                      <w:marTop w:val="0"/>
                      <w:marBottom w:val="0"/>
                      <w:divBdr>
                        <w:top w:val="none" w:sz="0" w:space="0" w:color="auto"/>
                        <w:left w:val="none" w:sz="0" w:space="0" w:color="auto"/>
                        <w:bottom w:val="none" w:sz="0" w:space="0" w:color="auto"/>
                        <w:right w:val="none" w:sz="0" w:space="0" w:color="auto"/>
                      </w:divBdr>
                      <w:divsChild>
                        <w:div w:id="1687558436">
                          <w:marLeft w:val="0"/>
                          <w:marRight w:val="0"/>
                          <w:marTop w:val="0"/>
                          <w:marBottom w:val="0"/>
                          <w:divBdr>
                            <w:top w:val="dashed" w:sz="6" w:space="0" w:color="DDDDDD"/>
                            <w:left w:val="none" w:sz="0" w:space="0" w:color="auto"/>
                            <w:bottom w:val="none" w:sz="0" w:space="0" w:color="auto"/>
                            <w:right w:val="none" w:sz="0" w:space="0" w:color="auto"/>
                          </w:divBdr>
                          <w:divsChild>
                            <w:div w:id="833883083">
                              <w:marLeft w:val="0"/>
                              <w:marRight w:val="0"/>
                              <w:marTop w:val="0"/>
                              <w:marBottom w:val="0"/>
                              <w:divBdr>
                                <w:top w:val="none" w:sz="0" w:space="0" w:color="auto"/>
                                <w:left w:val="none" w:sz="0" w:space="0" w:color="auto"/>
                                <w:bottom w:val="none" w:sz="0" w:space="0" w:color="auto"/>
                                <w:right w:val="none" w:sz="0" w:space="0" w:color="auto"/>
                              </w:divBdr>
                              <w:divsChild>
                                <w:div w:id="678890752">
                                  <w:marLeft w:val="0"/>
                                  <w:marRight w:val="0"/>
                                  <w:marTop w:val="79"/>
                                  <w:marBottom w:val="79"/>
                                  <w:divBdr>
                                    <w:top w:val="none" w:sz="0" w:space="0" w:color="auto"/>
                                    <w:left w:val="none" w:sz="0" w:space="0" w:color="auto"/>
                                    <w:bottom w:val="none" w:sz="0" w:space="0" w:color="auto"/>
                                    <w:right w:val="none" w:sz="0" w:space="0" w:color="auto"/>
                                  </w:divBdr>
                                  <w:divsChild>
                                    <w:div w:id="142478231">
                                      <w:marLeft w:val="0"/>
                                      <w:marRight w:val="0"/>
                                      <w:marTop w:val="0"/>
                                      <w:marBottom w:val="0"/>
                                      <w:divBdr>
                                        <w:top w:val="none" w:sz="0" w:space="0" w:color="auto"/>
                                        <w:left w:val="none" w:sz="0" w:space="0" w:color="auto"/>
                                        <w:bottom w:val="none" w:sz="0" w:space="0" w:color="auto"/>
                                        <w:right w:val="none" w:sz="0" w:space="0" w:color="auto"/>
                                      </w:divBdr>
                                      <w:divsChild>
                                        <w:div w:id="2017615562">
                                          <w:marLeft w:val="554"/>
                                          <w:marRight w:val="0"/>
                                          <w:marTop w:val="0"/>
                                          <w:marBottom w:val="0"/>
                                          <w:divBdr>
                                            <w:top w:val="none" w:sz="0" w:space="0" w:color="auto"/>
                                            <w:left w:val="none" w:sz="0" w:space="0" w:color="auto"/>
                                            <w:bottom w:val="none" w:sz="0" w:space="0" w:color="auto"/>
                                            <w:right w:val="none" w:sz="0" w:space="0" w:color="auto"/>
                                          </w:divBdr>
                                          <w:divsChild>
                                            <w:div w:id="47973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6193638">
      <w:bodyDiv w:val="1"/>
      <w:marLeft w:val="0"/>
      <w:marRight w:val="0"/>
      <w:marTop w:val="0"/>
      <w:marBottom w:val="0"/>
      <w:divBdr>
        <w:top w:val="none" w:sz="0" w:space="0" w:color="auto"/>
        <w:left w:val="none" w:sz="0" w:space="0" w:color="auto"/>
        <w:bottom w:val="none" w:sz="0" w:space="0" w:color="auto"/>
        <w:right w:val="none" w:sz="0" w:space="0" w:color="auto"/>
      </w:divBdr>
    </w:div>
    <w:div w:id="766465671">
      <w:bodyDiv w:val="1"/>
      <w:marLeft w:val="0"/>
      <w:marRight w:val="0"/>
      <w:marTop w:val="0"/>
      <w:marBottom w:val="0"/>
      <w:divBdr>
        <w:top w:val="none" w:sz="0" w:space="0" w:color="auto"/>
        <w:left w:val="none" w:sz="0" w:space="0" w:color="auto"/>
        <w:bottom w:val="none" w:sz="0" w:space="0" w:color="auto"/>
        <w:right w:val="none" w:sz="0" w:space="0" w:color="auto"/>
      </w:divBdr>
    </w:div>
    <w:div w:id="766848785">
      <w:bodyDiv w:val="1"/>
      <w:marLeft w:val="0"/>
      <w:marRight w:val="0"/>
      <w:marTop w:val="0"/>
      <w:marBottom w:val="0"/>
      <w:divBdr>
        <w:top w:val="none" w:sz="0" w:space="0" w:color="auto"/>
        <w:left w:val="none" w:sz="0" w:space="0" w:color="auto"/>
        <w:bottom w:val="none" w:sz="0" w:space="0" w:color="auto"/>
        <w:right w:val="none" w:sz="0" w:space="0" w:color="auto"/>
      </w:divBdr>
    </w:div>
    <w:div w:id="771318693">
      <w:bodyDiv w:val="1"/>
      <w:marLeft w:val="0"/>
      <w:marRight w:val="0"/>
      <w:marTop w:val="0"/>
      <w:marBottom w:val="0"/>
      <w:divBdr>
        <w:top w:val="none" w:sz="0" w:space="0" w:color="auto"/>
        <w:left w:val="none" w:sz="0" w:space="0" w:color="auto"/>
        <w:bottom w:val="none" w:sz="0" w:space="0" w:color="auto"/>
        <w:right w:val="none" w:sz="0" w:space="0" w:color="auto"/>
      </w:divBdr>
    </w:div>
    <w:div w:id="772743549">
      <w:bodyDiv w:val="1"/>
      <w:marLeft w:val="0"/>
      <w:marRight w:val="0"/>
      <w:marTop w:val="0"/>
      <w:marBottom w:val="0"/>
      <w:divBdr>
        <w:top w:val="none" w:sz="0" w:space="0" w:color="auto"/>
        <w:left w:val="none" w:sz="0" w:space="0" w:color="auto"/>
        <w:bottom w:val="none" w:sz="0" w:space="0" w:color="auto"/>
        <w:right w:val="none" w:sz="0" w:space="0" w:color="auto"/>
      </w:divBdr>
    </w:div>
    <w:div w:id="772898803">
      <w:bodyDiv w:val="1"/>
      <w:marLeft w:val="0"/>
      <w:marRight w:val="0"/>
      <w:marTop w:val="0"/>
      <w:marBottom w:val="0"/>
      <w:divBdr>
        <w:top w:val="none" w:sz="0" w:space="0" w:color="auto"/>
        <w:left w:val="none" w:sz="0" w:space="0" w:color="auto"/>
        <w:bottom w:val="none" w:sz="0" w:space="0" w:color="auto"/>
        <w:right w:val="none" w:sz="0" w:space="0" w:color="auto"/>
      </w:divBdr>
      <w:divsChild>
        <w:div w:id="1121463110">
          <w:marLeft w:val="0"/>
          <w:marRight w:val="0"/>
          <w:marTop w:val="0"/>
          <w:marBottom w:val="0"/>
          <w:divBdr>
            <w:top w:val="none" w:sz="0" w:space="0" w:color="auto"/>
            <w:left w:val="none" w:sz="0" w:space="0" w:color="auto"/>
            <w:bottom w:val="none" w:sz="0" w:space="0" w:color="auto"/>
            <w:right w:val="none" w:sz="0" w:space="0" w:color="auto"/>
          </w:divBdr>
        </w:div>
      </w:divsChild>
    </w:div>
    <w:div w:id="778331429">
      <w:bodyDiv w:val="1"/>
      <w:marLeft w:val="0"/>
      <w:marRight w:val="0"/>
      <w:marTop w:val="0"/>
      <w:marBottom w:val="0"/>
      <w:divBdr>
        <w:top w:val="none" w:sz="0" w:space="0" w:color="auto"/>
        <w:left w:val="none" w:sz="0" w:space="0" w:color="auto"/>
        <w:bottom w:val="none" w:sz="0" w:space="0" w:color="auto"/>
        <w:right w:val="none" w:sz="0" w:space="0" w:color="auto"/>
      </w:divBdr>
    </w:div>
    <w:div w:id="778838196">
      <w:bodyDiv w:val="1"/>
      <w:marLeft w:val="0"/>
      <w:marRight w:val="0"/>
      <w:marTop w:val="0"/>
      <w:marBottom w:val="0"/>
      <w:divBdr>
        <w:top w:val="none" w:sz="0" w:space="0" w:color="auto"/>
        <w:left w:val="none" w:sz="0" w:space="0" w:color="auto"/>
        <w:bottom w:val="none" w:sz="0" w:space="0" w:color="auto"/>
        <w:right w:val="none" w:sz="0" w:space="0" w:color="auto"/>
      </w:divBdr>
    </w:div>
    <w:div w:id="789595706">
      <w:bodyDiv w:val="1"/>
      <w:marLeft w:val="0"/>
      <w:marRight w:val="0"/>
      <w:marTop w:val="0"/>
      <w:marBottom w:val="0"/>
      <w:divBdr>
        <w:top w:val="none" w:sz="0" w:space="0" w:color="auto"/>
        <w:left w:val="none" w:sz="0" w:space="0" w:color="auto"/>
        <w:bottom w:val="none" w:sz="0" w:space="0" w:color="auto"/>
        <w:right w:val="none" w:sz="0" w:space="0" w:color="auto"/>
      </w:divBdr>
    </w:div>
    <w:div w:id="790513447">
      <w:bodyDiv w:val="1"/>
      <w:marLeft w:val="0"/>
      <w:marRight w:val="0"/>
      <w:marTop w:val="0"/>
      <w:marBottom w:val="0"/>
      <w:divBdr>
        <w:top w:val="none" w:sz="0" w:space="0" w:color="auto"/>
        <w:left w:val="none" w:sz="0" w:space="0" w:color="auto"/>
        <w:bottom w:val="none" w:sz="0" w:space="0" w:color="auto"/>
        <w:right w:val="none" w:sz="0" w:space="0" w:color="auto"/>
      </w:divBdr>
    </w:div>
    <w:div w:id="792135173">
      <w:bodyDiv w:val="1"/>
      <w:marLeft w:val="0"/>
      <w:marRight w:val="0"/>
      <w:marTop w:val="0"/>
      <w:marBottom w:val="0"/>
      <w:divBdr>
        <w:top w:val="none" w:sz="0" w:space="0" w:color="auto"/>
        <w:left w:val="none" w:sz="0" w:space="0" w:color="auto"/>
        <w:bottom w:val="none" w:sz="0" w:space="0" w:color="auto"/>
        <w:right w:val="none" w:sz="0" w:space="0" w:color="auto"/>
      </w:divBdr>
    </w:div>
    <w:div w:id="794641773">
      <w:bodyDiv w:val="1"/>
      <w:marLeft w:val="0"/>
      <w:marRight w:val="0"/>
      <w:marTop w:val="0"/>
      <w:marBottom w:val="0"/>
      <w:divBdr>
        <w:top w:val="none" w:sz="0" w:space="0" w:color="auto"/>
        <w:left w:val="none" w:sz="0" w:space="0" w:color="auto"/>
        <w:bottom w:val="none" w:sz="0" w:space="0" w:color="auto"/>
        <w:right w:val="none" w:sz="0" w:space="0" w:color="auto"/>
      </w:divBdr>
      <w:divsChild>
        <w:div w:id="570624756">
          <w:marLeft w:val="0"/>
          <w:marRight w:val="0"/>
          <w:marTop w:val="0"/>
          <w:marBottom w:val="0"/>
          <w:divBdr>
            <w:top w:val="none" w:sz="0" w:space="0" w:color="auto"/>
            <w:left w:val="none" w:sz="0" w:space="0" w:color="auto"/>
            <w:bottom w:val="none" w:sz="0" w:space="0" w:color="auto"/>
            <w:right w:val="none" w:sz="0" w:space="0" w:color="auto"/>
          </w:divBdr>
        </w:div>
        <w:div w:id="1382436549">
          <w:marLeft w:val="0"/>
          <w:marRight w:val="0"/>
          <w:marTop w:val="0"/>
          <w:marBottom w:val="0"/>
          <w:divBdr>
            <w:top w:val="none" w:sz="0" w:space="0" w:color="auto"/>
            <w:left w:val="none" w:sz="0" w:space="0" w:color="auto"/>
            <w:bottom w:val="none" w:sz="0" w:space="0" w:color="auto"/>
            <w:right w:val="none" w:sz="0" w:space="0" w:color="auto"/>
          </w:divBdr>
        </w:div>
        <w:div w:id="1869366561">
          <w:marLeft w:val="0"/>
          <w:marRight w:val="0"/>
          <w:marTop w:val="0"/>
          <w:marBottom w:val="0"/>
          <w:divBdr>
            <w:top w:val="none" w:sz="0" w:space="0" w:color="auto"/>
            <w:left w:val="none" w:sz="0" w:space="0" w:color="auto"/>
            <w:bottom w:val="none" w:sz="0" w:space="0" w:color="auto"/>
            <w:right w:val="none" w:sz="0" w:space="0" w:color="auto"/>
          </w:divBdr>
        </w:div>
      </w:divsChild>
    </w:div>
    <w:div w:id="808715533">
      <w:bodyDiv w:val="1"/>
      <w:marLeft w:val="0"/>
      <w:marRight w:val="0"/>
      <w:marTop w:val="0"/>
      <w:marBottom w:val="0"/>
      <w:divBdr>
        <w:top w:val="none" w:sz="0" w:space="0" w:color="auto"/>
        <w:left w:val="none" w:sz="0" w:space="0" w:color="auto"/>
        <w:bottom w:val="none" w:sz="0" w:space="0" w:color="auto"/>
        <w:right w:val="none" w:sz="0" w:space="0" w:color="auto"/>
      </w:divBdr>
    </w:div>
    <w:div w:id="813134696">
      <w:bodyDiv w:val="1"/>
      <w:marLeft w:val="0"/>
      <w:marRight w:val="0"/>
      <w:marTop w:val="0"/>
      <w:marBottom w:val="0"/>
      <w:divBdr>
        <w:top w:val="none" w:sz="0" w:space="0" w:color="auto"/>
        <w:left w:val="none" w:sz="0" w:space="0" w:color="auto"/>
        <w:bottom w:val="none" w:sz="0" w:space="0" w:color="auto"/>
        <w:right w:val="none" w:sz="0" w:space="0" w:color="auto"/>
      </w:divBdr>
    </w:div>
    <w:div w:id="815340348">
      <w:bodyDiv w:val="1"/>
      <w:marLeft w:val="0"/>
      <w:marRight w:val="0"/>
      <w:marTop w:val="0"/>
      <w:marBottom w:val="0"/>
      <w:divBdr>
        <w:top w:val="none" w:sz="0" w:space="0" w:color="auto"/>
        <w:left w:val="none" w:sz="0" w:space="0" w:color="auto"/>
        <w:bottom w:val="none" w:sz="0" w:space="0" w:color="auto"/>
        <w:right w:val="none" w:sz="0" w:space="0" w:color="auto"/>
      </w:divBdr>
    </w:div>
    <w:div w:id="815343996">
      <w:bodyDiv w:val="1"/>
      <w:marLeft w:val="0"/>
      <w:marRight w:val="0"/>
      <w:marTop w:val="0"/>
      <w:marBottom w:val="0"/>
      <w:divBdr>
        <w:top w:val="none" w:sz="0" w:space="0" w:color="auto"/>
        <w:left w:val="none" w:sz="0" w:space="0" w:color="auto"/>
        <w:bottom w:val="none" w:sz="0" w:space="0" w:color="auto"/>
        <w:right w:val="none" w:sz="0" w:space="0" w:color="auto"/>
      </w:divBdr>
      <w:divsChild>
        <w:div w:id="90973992">
          <w:marLeft w:val="0"/>
          <w:marRight w:val="0"/>
          <w:marTop w:val="0"/>
          <w:marBottom w:val="0"/>
          <w:divBdr>
            <w:top w:val="none" w:sz="0" w:space="0" w:color="auto"/>
            <w:left w:val="none" w:sz="0" w:space="0" w:color="auto"/>
            <w:bottom w:val="none" w:sz="0" w:space="0" w:color="auto"/>
            <w:right w:val="none" w:sz="0" w:space="0" w:color="auto"/>
          </w:divBdr>
        </w:div>
        <w:div w:id="566037293">
          <w:marLeft w:val="0"/>
          <w:marRight w:val="0"/>
          <w:marTop w:val="0"/>
          <w:marBottom w:val="0"/>
          <w:divBdr>
            <w:top w:val="none" w:sz="0" w:space="0" w:color="auto"/>
            <w:left w:val="none" w:sz="0" w:space="0" w:color="auto"/>
            <w:bottom w:val="none" w:sz="0" w:space="0" w:color="auto"/>
            <w:right w:val="none" w:sz="0" w:space="0" w:color="auto"/>
          </w:divBdr>
        </w:div>
        <w:div w:id="612052263">
          <w:marLeft w:val="0"/>
          <w:marRight w:val="0"/>
          <w:marTop w:val="0"/>
          <w:marBottom w:val="0"/>
          <w:divBdr>
            <w:top w:val="none" w:sz="0" w:space="0" w:color="auto"/>
            <w:left w:val="none" w:sz="0" w:space="0" w:color="auto"/>
            <w:bottom w:val="none" w:sz="0" w:space="0" w:color="auto"/>
            <w:right w:val="none" w:sz="0" w:space="0" w:color="auto"/>
          </w:divBdr>
        </w:div>
        <w:div w:id="984896297">
          <w:marLeft w:val="0"/>
          <w:marRight w:val="0"/>
          <w:marTop w:val="0"/>
          <w:marBottom w:val="0"/>
          <w:divBdr>
            <w:top w:val="none" w:sz="0" w:space="0" w:color="auto"/>
            <w:left w:val="none" w:sz="0" w:space="0" w:color="auto"/>
            <w:bottom w:val="none" w:sz="0" w:space="0" w:color="auto"/>
            <w:right w:val="none" w:sz="0" w:space="0" w:color="auto"/>
          </w:divBdr>
        </w:div>
        <w:div w:id="1120106970">
          <w:marLeft w:val="0"/>
          <w:marRight w:val="0"/>
          <w:marTop w:val="0"/>
          <w:marBottom w:val="0"/>
          <w:divBdr>
            <w:top w:val="none" w:sz="0" w:space="0" w:color="auto"/>
            <w:left w:val="none" w:sz="0" w:space="0" w:color="auto"/>
            <w:bottom w:val="none" w:sz="0" w:space="0" w:color="auto"/>
            <w:right w:val="none" w:sz="0" w:space="0" w:color="auto"/>
          </w:divBdr>
        </w:div>
        <w:div w:id="1193691251">
          <w:marLeft w:val="0"/>
          <w:marRight w:val="0"/>
          <w:marTop w:val="0"/>
          <w:marBottom w:val="0"/>
          <w:divBdr>
            <w:top w:val="none" w:sz="0" w:space="0" w:color="auto"/>
            <w:left w:val="none" w:sz="0" w:space="0" w:color="auto"/>
            <w:bottom w:val="none" w:sz="0" w:space="0" w:color="auto"/>
            <w:right w:val="none" w:sz="0" w:space="0" w:color="auto"/>
          </w:divBdr>
        </w:div>
        <w:div w:id="1205142547">
          <w:marLeft w:val="0"/>
          <w:marRight w:val="0"/>
          <w:marTop w:val="0"/>
          <w:marBottom w:val="0"/>
          <w:divBdr>
            <w:top w:val="none" w:sz="0" w:space="0" w:color="auto"/>
            <w:left w:val="none" w:sz="0" w:space="0" w:color="auto"/>
            <w:bottom w:val="none" w:sz="0" w:space="0" w:color="auto"/>
            <w:right w:val="none" w:sz="0" w:space="0" w:color="auto"/>
          </w:divBdr>
        </w:div>
        <w:div w:id="1214079865">
          <w:marLeft w:val="0"/>
          <w:marRight w:val="0"/>
          <w:marTop w:val="0"/>
          <w:marBottom w:val="0"/>
          <w:divBdr>
            <w:top w:val="none" w:sz="0" w:space="0" w:color="auto"/>
            <w:left w:val="none" w:sz="0" w:space="0" w:color="auto"/>
            <w:bottom w:val="none" w:sz="0" w:space="0" w:color="auto"/>
            <w:right w:val="none" w:sz="0" w:space="0" w:color="auto"/>
          </w:divBdr>
        </w:div>
        <w:div w:id="1253320769">
          <w:marLeft w:val="0"/>
          <w:marRight w:val="0"/>
          <w:marTop w:val="0"/>
          <w:marBottom w:val="0"/>
          <w:divBdr>
            <w:top w:val="none" w:sz="0" w:space="0" w:color="auto"/>
            <w:left w:val="none" w:sz="0" w:space="0" w:color="auto"/>
            <w:bottom w:val="none" w:sz="0" w:space="0" w:color="auto"/>
            <w:right w:val="none" w:sz="0" w:space="0" w:color="auto"/>
          </w:divBdr>
        </w:div>
        <w:div w:id="1256741376">
          <w:marLeft w:val="0"/>
          <w:marRight w:val="0"/>
          <w:marTop w:val="0"/>
          <w:marBottom w:val="0"/>
          <w:divBdr>
            <w:top w:val="none" w:sz="0" w:space="0" w:color="auto"/>
            <w:left w:val="none" w:sz="0" w:space="0" w:color="auto"/>
            <w:bottom w:val="none" w:sz="0" w:space="0" w:color="auto"/>
            <w:right w:val="none" w:sz="0" w:space="0" w:color="auto"/>
          </w:divBdr>
        </w:div>
        <w:div w:id="1261915624">
          <w:marLeft w:val="0"/>
          <w:marRight w:val="0"/>
          <w:marTop w:val="0"/>
          <w:marBottom w:val="0"/>
          <w:divBdr>
            <w:top w:val="none" w:sz="0" w:space="0" w:color="auto"/>
            <w:left w:val="none" w:sz="0" w:space="0" w:color="auto"/>
            <w:bottom w:val="none" w:sz="0" w:space="0" w:color="auto"/>
            <w:right w:val="none" w:sz="0" w:space="0" w:color="auto"/>
          </w:divBdr>
        </w:div>
        <w:div w:id="1326788986">
          <w:marLeft w:val="0"/>
          <w:marRight w:val="0"/>
          <w:marTop w:val="0"/>
          <w:marBottom w:val="0"/>
          <w:divBdr>
            <w:top w:val="none" w:sz="0" w:space="0" w:color="auto"/>
            <w:left w:val="none" w:sz="0" w:space="0" w:color="auto"/>
            <w:bottom w:val="none" w:sz="0" w:space="0" w:color="auto"/>
            <w:right w:val="none" w:sz="0" w:space="0" w:color="auto"/>
          </w:divBdr>
        </w:div>
        <w:div w:id="1618102592">
          <w:marLeft w:val="0"/>
          <w:marRight w:val="0"/>
          <w:marTop w:val="0"/>
          <w:marBottom w:val="0"/>
          <w:divBdr>
            <w:top w:val="none" w:sz="0" w:space="0" w:color="auto"/>
            <w:left w:val="none" w:sz="0" w:space="0" w:color="auto"/>
            <w:bottom w:val="none" w:sz="0" w:space="0" w:color="auto"/>
            <w:right w:val="none" w:sz="0" w:space="0" w:color="auto"/>
          </w:divBdr>
        </w:div>
        <w:div w:id="1697464920">
          <w:marLeft w:val="0"/>
          <w:marRight w:val="0"/>
          <w:marTop w:val="0"/>
          <w:marBottom w:val="0"/>
          <w:divBdr>
            <w:top w:val="none" w:sz="0" w:space="0" w:color="auto"/>
            <w:left w:val="none" w:sz="0" w:space="0" w:color="auto"/>
            <w:bottom w:val="none" w:sz="0" w:space="0" w:color="auto"/>
            <w:right w:val="none" w:sz="0" w:space="0" w:color="auto"/>
          </w:divBdr>
        </w:div>
        <w:div w:id="1974208799">
          <w:marLeft w:val="0"/>
          <w:marRight w:val="0"/>
          <w:marTop w:val="0"/>
          <w:marBottom w:val="0"/>
          <w:divBdr>
            <w:top w:val="none" w:sz="0" w:space="0" w:color="auto"/>
            <w:left w:val="none" w:sz="0" w:space="0" w:color="auto"/>
            <w:bottom w:val="none" w:sz="0" w:space="0" w:color="auto"/>
            <w:right w:val="none" w:sz="0" w:space="0" w:color="auto"/>
          </w:divBdr>
        </w:div>
        <w:div w:id="2075352295">
          <w:marLeft w:val="0"/>
          <w:marRight w:val="0"/>
          <w:marTop w:val="0"/>
          <w:marBottom w:val="0"/>
          <w:divBdr>
            <w:top w:val="none" w:sz="0" w:space="0" w:color="auto"/>
            <w:left w:val="none" w:sz="0" w:space="0" w:color="auto"/>
            <w:bottom w:val="none" w:sz="0" w:space="0" w:color="auto"/>
            <w:right w:val="none" w:sz="0" w:space="0" w:color="auto"/>
          </w:divBdr>
        </w:div>
      </w:divsChild>
    </w:div>
    <w:div w:id="821043494">
      <w:bodyDiv w:val="1"/>
      <w:marLeft w:val="0"/>
      <w:marRight w:val="0"/>
      <w:marTop w:val="0"/>
      <w:marBottom w:val="0"/>
      <w:divBdr>
        <w:top w:val="none" w:sz="0" w:space="0" w:color="auto"/>
        <w:left w:val="none" w:sz="0" w:space="0" w:color="auto"/>
        <w:bottom w:val="none" w:sz="0" w:space="0" w:color="auto"/>
        <w:right w:val="none" w:sz="0" w:space="0" w:color="auto"/>
      </w:divBdr>
    </w:div>
    <w:div w:id="822087315">
      <w:bodyDiv w:val="1"/>
      <w:marLeft w:val="0"/>
      <w:marRight w:val="0"/>
      <w:marTop w:val="0"/>
      <w:marBottom w:val="0"/>
      <w:divBdr>
        <w:top w:val="none" w:sz="0" w:space="0" w:color="auto"/>
        <w:left w:val="none" w:sz="0" w:space="0" w:color="auto"/>
        <w:bottom w:val="none" w:sz="0" w:space="0" w:color="auto"/>
        <w:right w:val="none" w:sz="0" w:space="0" w:color="auto"/>
      </w:divBdr>
    </w:div>
    <w:div w:id="825976386">
      <w:bodyDiv w:val="1"/>
      <w:marLeft w:val="0"/>
      <w:marRight w:val="0"/>
      <w:marTop w:val="0"/>
      <w:marBottom w:val="0"/>
      <w:divBdr>
        <w:top w:val="none" w:sz="0" w:space="0" w:color="auto"/>
        <w:left w:val="none" w:sz="0" w:space="0" w:color="auto"/>
        <w:bottom w:val="none" w:sz="0" w:space="0" w:color="auto"/>
        <w:right w:val="none" w:sz="0" w:space="0" w:color="auto"/>
      </w:divBdr>
    </w:div>
    <w:div w:id="826559322">
      <w:bodyDiv w:val="1"/>
      <w:marLeft w:val="0"/>
      <w:marRight w:val="0"/>
      <w:marTop w:val="0"/>
      <w:marBottom w:val="0"/>
      <w:divBdr>
        <w:top w:val="none" w:sz="0" w:space="0" w:color="auto"/>
        <w:left w:val="none" w:sz="0" w:space="0" w:color="auto"/>
        <w:bottom w:val="none" w:sz="0" w:space="0" w:color="auto"/>
        <w:right w:val="none" w:sz="0" w:space="0" w:color="auto"/>
      </w:divBdr>
      <w:divsChild>
        <w:div w:id="1275674169">
          <w:marLeft w:val="0"/>
          <w:marRight w:val="0"/>
          <w:marTop w:val="0"/>
          <w:marBottom w:val="0"/>
          <w:divBdr>
            <w:top w:val="none" w:sz="0" w:space="0" w:color="auto"/>
            <w:left w:val="none" w:sz="0" w:space="0" w:color="auto"/>
            <w:bottom w:val="none" w:sz="0" w:space="0" w:color="auto"/>
            <w:right w:val="none" w:sz="0" w:space="0" w:color="auto"/>
          </w:divBdr>
          <w:divsChild>
            <w:div w:id="399137156">
              <w:marLeft w:val="0"/>
              <w:marRight w:val="0"/>
              <w:marTop w:val="411"/>
              <w:marBottom w:val="0"/>
              <w:divBdr>
                <w:top w:val="none" w:sz="0" w:space="0" w:color="auto"/>
                <w:left w:val="none" w:sz="0" w:space="0" w:color="auto"/>
                <w:bottom w:val="none" w:sz="0" w:space="0" w:color="auto"/>
                <w:right w:val="none" w:sz="0" w:space="0" w:color="auto"/>
              </w:divBdr>
              <w:divsChild>
                <w:div w:id="2094085755">
                  <w:marLeft w:val="0"/>
                  <w:marRight w:val="0"/>
                  <w:marTop w:val="0"/>
                  <w:marBottom w:val="0"/>
                  <w:divBdr>
                    <w:top w:val="none" w:sz="0" w:space="0" w:color="auto"/>
                    <w:left w:val="none" w:sz="0" w:space="0" w:color="auto"/>
                    <w:bottom w:val="none" w:sz="0" w:space="0" w:color="auto"/>
                    <w:right w:val="none" w:sz="0" w:space="0" w:color="auto"/>
                  </w:divBdr>
                  <w:divsChild>
                    <w:div w:id="478500990">
                      <w:marLeft w:val="79"/>
                      <w:marRight w:val="79"/>
                      <w:marTop w:val="0"/>
                      <w:marBottom w:val="0"/>
                      <w:divBdr>
                        <w:top w:val="none" w:sz="0" w:space="0" w:color="auto"/>
                        <w:left w:val="none" w:sz="0" w:space="0" w:color="auto"/>
                        <w:bottom w:val="none" w:sz="0" w:space="0" w:color="auto"/>
                        <w:right w:val="none" w:sz="0" w:space="0" w:color="auto"/>
                      </w:divBdr>
                      <w:divsChild>
                        <w:div w:id="1333528510">
                          <w:marLeft w:val="0"/>
                          <w:marRight w:val="0"/>
                          <w:marTop w:val="0"/>
                          <w:marBottom w:val="0"/>
                          <w:divBdr>
                            <w:top w:val="dashed" w:sz="6" w:space="0" w:color="DDDDDD"/>
                            <w:left w:val="none" w:sz="0" w:space="0" w:color="auto"/>
                            <w:bottom w:val="none" w:sz="0" w:space="0" w:color="auto"/>
                            <w:right w:val="none" w:sz="0" w:space="0" w:color="auto"/>
                          </w:divBdr>
                          <w:divsChild>
                            <w:div w:id="623386665">
                              <w:marLeft w:val="0"/>
                              <w:marRight w:val="0"/>
                              <w:marTop w:val="0"/>
                              <w:marBottom w:val="0"/>
                              <w:divBdr>
                                <w:top w:val="none" w:sz="0" w:space="0" w:color="auto"/>
                                <w:left w:val="none" w:sz="0" w:space="0" w:color="auto"/>
                                <w:bottom w:val="none" w:sz="0" w:space="0" w:color="auto"/>
                                <w:right w:val="none" w:sz="0" w:space="0" w:color="auto"/>
                              </w:divBdr>
                              <w:divsChild>
                                <w:div w:id="336032530">
                                  <w:marLeft w:val="0"/>
                                  <w:marRight w:val="0"/>
                                  <w:marTop w:val="79"/>
                                  <w:marBottom w:val="79"/>
                                  <w:divBdr>
                                    <w:top w:val="none" w:sz="0" w:space="0" w:color="auto"/>
                                    <w:left w:val="none" w:sz="0" w:space="0" w:color="auto"/>
                                    <w:bottom w:val="none" w:sz="0" w:space="0" w:color="auto"/>
                                    <w:right w:val="none" w:sz="0" w:space="0" w:color="auto"/>
                                  </w:divBdr>
                                  <w:divsChild>
                                    <w:div w:id="514422472">
                                      <w:marLeft w:val="0"/>
                                      <w:marRight w:val="0"/>
                                      <w:marTop w:val="0"/>
                                      <w:marBottom w:val="0"/>
                                      <w:divBdr>
                                        <w:top w:val="none" w:sz="0" w:space="0" w:color="auto"/>
                                        <w:left w:val="none" w:sz="0" w:space="0" w:color="auto"/>
                                        <w:bottom w:val="none" w:sz="0" w:space="0" w:color="auto"/>
                                        <w:right w:val="none" w:sz="0" w:space="0" w:color="auto"/>
                                      </w:divBdr>
                                      <w:divsChild>
                                        <w:div w:id="1980307368">
                                          <w:marLeft w:val="554"/>
                                          <w:marRight w:val="0"/>
                                          <w:marTop w:val="0"/>
                                          <w:marBottom w:val="0"/>
                                          <w:divBdr>
                                            <w:top w:val="none" w:sz="0" w:space="0" w:color="auto"/>
                                            <w:left w:val="none" w:sz="0" w:space="0" w:color="auto"/>
                                            <w:bottom w:val="none" w:sz="0" w:space="0" w:color="auto"/>
                                            <w:right w:val="none" w:sz="0" w:space="0" w:color="auto"/>
                                          </w:divBdr>
                                          <w:divsChild>
                                            <w:div w:id="100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8329604">
      <w:bodyDiv w:val="1"/>
      <w:marLeft w:val="0"/>
      <w:marRight w:val="0"/>
      <w:marTop w:val="0"/>
      <w:marBottom w:val="0"/>
      <w:divBdr>
        <w:top w:val="none" w:sz="0" w:space="0" w:color="auto"/>
        <w:left w:val="none" w:sz="0" w:space="0" w:color="auto"/>
        <w:bottom w:val="none" w:sz="0" w:space="0" w:color="auto"/>
        <w:right w:val="none" w:sz="0" w:space="0" w:color="auto"/>
      </w:divBdr>
    </w:div>
    <w:div w:id="832794604">
      <w:bodyDiv w:val="1"/>
      <w:marLeft w:val="0"/>
      <w:marRight w:val="0"/>
      <w:marTop w:val="0"/>
      <w:marBottom w:val="0"/>
      <w:divBdr>
        <w:top w:val="none" w:sz="0" w:space="0" w:color="auto"/>
        <w:left w:val="none" w:sz="0" w:space="0" w:color="auto"/>
        <w:bottom w:val="none" w:sz="0" w:space="0" w:color="auto"/>
        <w:right w:val="none" w:sz="0" w:space="0" w:color="auto"/>
      </w:divBdr>
    </w:div>
    <w:div w:id="836457524">
      <w:bodyDiv w:val="1"/>
      <w:marLeft w:val="0"/>
      <w:marRight w:val="0"/>
      <w:marTop w:val="0"/>
      <w:marBottom w:val="0"/>
      <w:divBdr>
        <w:top w:val="none" w:sz="0" w:space="0" w:color="auto"/>
        <w:left w:val="none" w:sz="0" w:space="0" w:color="auto"/>
        <w:bottom w:val="none" w:sz="0" w:space="0" w:color="auto"/>
        <w:right w:val="none" w:sz="0" w:space="0" w:color="auto"/>
      </w:divBdr>
    </w:div>
    <w:div w:id="837422223">
      <w:bodyDiv w:val="1"/>
      <w:marLeft w:val="0"/>
      <w:marRight w:val="0"/>
      <w:marTop w:val="0"/>
      <w:marBottom w:val="0"/>
      <w:divBdr>
        <w:top w:val="none" w:sz="0" w:space="0" w:color="auto"/>
        <w:left w:val="none" w:sz="0" w:space="0" w:color="auto"/>
        <w:bottom w:val="none" w:sz="0" w:space="0" w:color="auto"/>
        <w:right w:val="none" w:sz="0" w:space="0" w:color="auto"/>
      </w:divBdr>
    </w:div>
    <w:div w:id="840700884">
      <w:bodyDiv w:val="1"/>
      <w:marLeft w:val="0"/>
      <w:marRight w:val="0"/>
      <w:marTop w:val="0"/>
      <w:marBottom w:val="0"/>
      <w:divBdr>
        <w:top w:val="none" w:sz="0" w:space="0" w:color="auto"/>
        <w:left w:val="none" w:sz="0" w:space="0" w:color="auto"/>
        <w:bottom w:val="none" w:sz="0" w:space="0" w:color="auto"/>
        <w:right w:val="none" w:sz="0" w:space="0" w:color="auto"/>
      </w:divBdr>
    </w:div>
    <w:div w:id="846285386">
      <w:bodyDiv w:val="1"/>
      <w:marLeft w:val="0"/>
      <w:marRight w:val="0"/>
      <w:marTop w:val="0"/>
      <w:marBottom w:val="0"/>
      <w:divBdr>
        <w:top w:val="none" w:sz="0" w:space="0" w:color="auto"/>
        <w:left w:val="none" w:sz="0" w:space="0" w:color="auto"/>
        <w:bottom w:val="none" w:sz="0" w:space="0" w:color="auto"/>
        <w:right w:val="none" w:sz="0" w:space="0" w:color="auto"/>
      </w:divBdr>
    </w:div>
    <w:div w:id="848258140">
      <w:bodyDiv w:val="1"/>
      <w:marLeft w:val="0"/>
      <w:marRight w:val="0"/>
      <w:marTop w:val="0"/>
      <w:marBottom w:val="0"/>
      <w:divBdr>
        <w:top w:val="none" w:sz="0" w:space="0" w:color="auto"/>
        <w:left w:val="none" w:sz="0" w:space="0" w:color="auto"/>
        <w:bottom w:val="none" w:sz="0" w:space="0" w:color="auto"/>
        <w:right w:val="none" w:sz="0" w:space="0" w:color="auto"/>
      </w:divBdr>
    </w:div>
    <w:div w:id="853416535">
      <w:bodyDiv w:val="1"/>
      <w:marLeft w:val="0"/>
      <w:marRight w:val="0"/>
      <w:marTop w:val="0"/>
      <w:marBottom w:val="0"/>
      <w:divBdr>
        <w:top w:val="none" w:sz="0" w:space="0" w:color="auto"/>
        <w:left w:val="none" w:sz="0" w:space="0" w:color="auto"/>
        <w:bottom w:val="none" w:sz="0" w:space="0" w:color="auto"/>
        <w:right w:val="none" w:sz="0" w:space="0" w:color="auto"/>
      </w:divBdr>
    </w:div>
    <w:div w:id="854461312">
      <w:bodyDiv w:val="1"/>
      <w:marLeft w:val="0"/>
      <w:marRight w:val="0"/>
      <w:marTop w:val="0"/>
      <w:marBottom w:val="0"/>
      <w:divBdr>
        <w:top w:val="none" w:sz="0" w:space="0" w:color="auto"/>
        <w:left w:val="none" w:sz="0" w:space="0" w:color="auto"/>
        <w:bottom w:val="none" w:sz="0" w:space="0" w:color="auto"/>
        <w:right w:val="none" w:sz="0" w:space="0" w:color="auto"/>
      </w:divBdr>
      <w:divsChild>
        <w:div w:id="1415275084">
          <w:marLeft w:val="0"/>
          <w:marRight w:val="0"/>
          <w:marTop w:val="0"/>
          <w:marBottom w:val="0"/>
          <w:divBdr>
            <w:top w:val="none" w:sz="0" w:space="0" w:color="auto"/>
            <w:left w:val="none" w:sz="0" w:space="0" w:color="auto"/>
            <w:bottom w:val="none" w:sz="0" w:space="0" w:color="auto"/>
            <w:right w:val="none" w:sz="0" w:space="0" w:color="auto"/>
          </w:divBdr>
          <w:divsChild>
            <w:div w:id="599948659">
              <w:marLeft w:val="0"/>
              <w:marRight w:val="0"/>
              <w:marTop w:val="411"/>
              <w:marBottom w:val="0"/>
              <w:divBdr>
                <w:top w:val="none" w:sz="0" w:space="0" w:color="auto"/>
                <w:left w:val="none" w:sz="0" w:space="0" w:color="auto"/>
                <w:bottom w:val="none" w:sz="0" w:space="0" w:color="auto"/>
                <w:right w:val="none" w:sz="0" w:space="0" w:color="auto"/>
              </w:divBdr>
              <w:divsChild>
                <w:div w:id="103691415">
                  <w:marLeft w:val="0"/>
                  <w:marRight w:val="0"/>
                  <w:marTop w:val="0"/>
                  <w:marBottom w:val="0"/>
                  <w:divBdr>
                    <w:top w:val="none" w:sz="0" w:space="0" w:color="auto"/>
                    <w:left w:val="none" w:sz="0" w:space="0" w:color="auto"/>
                    <w:bottom w:val="none" w:sz="0" w:space="0" w:color="auto"/>
                    <w:right w:val="none" w:sz="0" w:space="0" w:color="auto"/>
                  </w:divBdr>
                  <w:divsChild>
                    <w:div w:id="1563440172">
                      <w:marLeft w:val="79"/>
                      <w:marRight w:val="79"/>
                      <w:marTop w:val="0"/>
                      <w:marBottom w:val="0"/>
                      <w:divBdr>
                        <w:top w:val="none" w:sz="0" w:space="0" w:color="auto"/>
                        <w:left w:val="none" w:sz="0" w:space="0" w:color="auto"/>
                        <w:bottom w:val="none" w:sz="0" w:space="0" w:color="auto"/>
                        <w:right w:val="none" w:sz="0" w:space="0" w:color="auto"/>
                      </w:divBdr>
                      <w:divsChild>
                        <w:div w:id="1641616234">
                          <w:marLeft w:val="0"/>
                          <w:marRight w:val="0"/>
                          <w:marTop w:val="0"/>
                          <w:marBottom w:val="0"/>
                          <w:divBdr>
                            <w:top w:val="dashed" w:sz="6" w:space="0" w:color="DDDDDD"/>
                            <w:left w:val="none" w:sz="0" w:space="0" w:color="auto"/>
                            <w:bottom w:val="none" w:sz="0" w:space="0" w:color="auto"/>
                            <w:right w:val="none" w:sz="0" w:space="0" w:color="auto"/>
                          </w:divBdr>
                          <w:divsChild>
                            <w:div w:id="586160015">
                              <w:marLeft w:val="0"/>
                              <w:marRight w:val="0"/>
                              <w:marTop w:val="0"/>
                              <w:marBottom w:val="0"/>
                              <w:divBdr>
                                <w:top w:val="none" w:sz="0" w:space="0" w:color="auto"/>
                                <w:left w:val="none" w:sz="0" w:space="0" w:color="auto"/>
                                <w:bottom w:val="none" w:sz="0" w:space="0" w:color="auto"/>
                                <w:right w:val="none" w:sz="0" w:space="0" w:color="auto"/>
                              </w:divBdr>
                              <w:divsChild>
                                <w:div w:id="399181755">
                                  <w:marLeft w:val="0"/>
                                  <w:marRight w:val="0"/>
                                  <w:marTop w:val="79"/>
                                  <w:marBottom w:val="79"/>
                                  <w:divBdr>
                                    <w:top w:val="none" w:sz="0" w:space="0" w:color="auto"/>
                                    <w:left w:val="none" w:sz="0" w:space="0" w:color="auto"/>
                                    <w:bottom w:val="none" w:sz="0" w:space="0" w:color="auto"/>
                                    <w:right w:val="none" w:sz="0" w:space="0" w:color="auto"/>
                                  </w:divBdr>
                                  <w:divsChild>
                                    <w:div w:id="1072393871">
                                      <w:marLeft w:val="0"/>
                                      <w:marRight w:val="0"/>
                                      <w:marTop w:val="0"/>
                                      <w:marBottom w:val="0"/>
                                      <w:divBdr>
                                        <w:top w:val="none" w:sz="0" w:space="0" w:color="auto"/>
                                        <w:left w:val="none" w:sz="0" w:space="0" w:color="auto"/>
                                        <w:bottom w:val="none" w:sz="0" w:space="0" w:color="auto"/>
                                        <w:right w:val="none" w:sz="0" w:space="0" w:color="auto"/>
                                      </w:divBdr>
                                      <w:divsChild>
                                        <w:div w:id="2046370483">
                                          <w:marLeft w:val="554"/>
                                          <w:marRight w:val="0"/>
                                          <w:marTop w:val="0"/>
                                          <w:marBottom w:val="0"/>
                                          <w:divBdr>
                                            <w:top w:val="none" w:sz="0" w:space="0" w:color="auto"/>
                                            <w:left w:val="none" w:sz="0" w:space="0" w:color="auto"/>
                                            <w:bottom w:val="none" w:sz="0" w:space="0" w:color="auto"/>
                                            <w:right w:val="none" w:sz="0" w:space="0" w:color="auto"/>
                                          </w:divBdr>
                                          <w:divsChild>
                                            <w:div w:id="25667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5535629">
      <w:bodyDiv w:val="1"/>
      <w:marLeft w:val="0"/>
      <w:marRight w:val="0"/>
      <w:marTop w:val="0"/>
      <w:marBottom w:val="0"/>
      <w:divBdr>
        <w:top w:val="none" w:sz="0" w:space="0" w:color="auto"/>
        <w:left w:val="none" w:sz="0" w:space="0" w:color="auto"/>
        <w:bottom w:val="none" w:sz="0" w:space="0" w:color="auto"/>
        <w:right w:val="none" w:sz="0" w:space="0" w:color="auto"/>
      </w:divBdr>
    </w:div>
    <w:div w:id="859196623">
      <w:bodyDiv w:val="1"/>
      <w:marLeft w:val="0"/>
      <w:marRight w:val="0"/>
      <w:marTop w:val="0"/>
      <w:marBottom w:val="0"/>
      <w:divBdr>
        <w:top w:val="none" w:sz="0" w:space="0" w:color="auto"/>
        <w:left w:val="none" w:sz="0" w:space="0" w:color="auto"/>
        <w:bottom w:val="none" w:sz="0" w:space="0" w:color="auto"/>
        <w:right w:val="none" w:sz="0" w:space="0" w:color="auto"/>
      </w:divBdr>
      <w:divsChild>
        <w:div w:id="1293053114">
          <w:marLeft w:val="0"/>
          <w:marRight w:val="0"/>
          <w:marTop w:val="0"/>
          <w:marBottom w:val="0"/>
          <w:divBdr>
            <w:top w:val="none" w:sz="0" w:space="0" w:color="auto"/>
            <w:left w:val="none" w:sz="0" w:space="0" w:color="auto"/>
            <w:bottom w:val="none" w:sz="0" w:space="0" w:color="auto"/>
            <w:right w:val="none" w:sz="0" w:space="0" w:color="auto"/>
          </w:divBdr>
          <w:divsChild>
            <w:div w:id="389111273">
              <w:marLeft w:val="0"/>
              <w:marRight w:val="0"/>
              <w:marTop w:val="411"/>
              <w:marBottom w:val="0"/>
              <w:divBdr>
                <w:top w:val="none" w:sz="0" w:space="0" w:color="auto"/>
                <w:left w:val="none" w:sz="0" w:space="0" w:color="auto"/>
                <w:bottom w:val="none" w:sz="0" w:space="0" w:color="auto"/>
                <w:right w:val="none" w:sz="0" w:space="0" w:color="auto"/>
              </w:divBdr>
              <w:divsChild>
                <w:div w:id="1782064808">
                  <w:marLeft w:val="0"/>
                  <w:marRight w:val="0"/>
                  <w:marTop w:val="0"/>
                  <w:marBottom w:val="0"/>
                  <w:divBdr>
                    <w:top w:val="none" w:sz="0" w:space="0" w:color="auto"/>
                    <w:left w:val="none" w:sz="0" w:space="0" w:color="auto"/>
                    <w:bottom w:val="none" w:sz="0" w:space="0" w:color="auto"/>
                    <w:right w:val="none" w:sz="0" w:space="0" w:color="auto"/>
                  </w:divBdr>
                  <w:divsChild>
                    <w:div w:id="1887907609">
                      <w:marLeft w:val="79"/>
                      <w:marRight w:val="79"/>
                      <w:marTop w:val="0"/>
                      <w:marBottom w:val="0"/>
                      <w:divBdr>
                        <w:top w:val="none" w:sz="0" w:space="0" w:color="auto"/>
                        <w:left w:val="none" w:sz="0" w:space="0" w:color="auto"/>
                        <w:bottom w:val="none" w:sz="0" w:space="0" w:color="auto"/>
                        <w:right w:val="none" w:sz="0" w:space="0" w:color="auto"/>
                      </w:divBdr>
                      <w:divsChild>
                        <w:div w:id="859471113">
                          <w:marLeft w:val="0"/>
                          <w:marRight w:val="0"/>
                          <w:marTop w:val="0"/>
                          <w:marBottom w:val="0"/>
                          <w:divBdr>
                            <w:top w:val="dashed" w:sz="6" w:space="0" w:color="DDDDDD"/>
                            <w:left w:val="none" w:sz="0" w:space="0" w:color="auto"/>
                            <w:bottom w:val="none" w:sz="0" w:space="0" w:color="auto"/>
                            <w:right w:val="none" w:sz="0" w:space="0" w:color="auto"/>
                          </w:divBdr>
                          <w:divsChild>
                            <w:div w:id="279991293">
                              <w:marLeft w:val="0"/>
                              <w:marRight w:val="0"/>
                              <w:marTop w:val="0"/>
                              <w:marBottom w:val="0"/>
                              <w:divBdr>
                                <w:top w:val="none" w:sz="0" w:space="0" w:color="auto"/>
                                <w:left w:val="none" w:sz="0" w:space="0" w:color="auto"/>
                                <w:bottom w:val="none" w:sz="0" w:space="0" w:color="auto"/>
                                <w:right w:val="none" w:sz="0" w:space="0" w:color="auto"/>
                              </w:divBdr>
                              <w:divsChild>
                                <w:div w:id="365985207">
                                  <w:marLeft w:val="0"/>
                                  <w:marRight w:val="0"/>
                                  <w:marTop w:val="79"/>
                                  <w:marBottom w:val="79"/>
                                  <w:divBdr>
                                    <w:top w:val="none" w:sz="0" w:space="0" w:color="auto"/>
                                    <w:left w:val="none" w:sz="0" w:space="0" w:color="auto"/>
                                    <w:bottom w:val="none" w:sz="0" w:space="0" w:color="auto"/>
                                    <w:right w:val="none" w:sz="0" w:space="0" w:color="auto"/>
                                  </w:divBdr>
                                  <w:divsChild>
                                    <w:div w:id="748694975">
                                      <w:marLeft w:val="0"/>
                                      <w:marRight w:val="0"/>
                                      <w:marTop w:val="0"/>
                                      <w:marBottom w:val="0"/>
                                      <w:divBdr>
                                        <w:top w:val="none" w:sz="0" w:space="0" w:color="auto"/>
                                        <w:left w:val="none" w:sz="0" w:space="0" w:color="auto"/>
                                        <w:bottom w:val="none" w:sz="0" w:space="0" w:color="auto"/>
                                        <w:right w:val="none" w:sz="0" w:space="0" w:color="auto"/>
                                      </w:divBdr>
                                      <w:divsChild>
                                        <w:div w:id="1586189612">
                                          <w:marLeft w:val="554"/>
                                          <w:marRight w:val="0"/>
                                          <w:marTop w:val="0"/>
                                          <w:marBottom w:val="0"/>
                                          <w:divBdr>
                                            <w:top w:val="none" w:sz="0" w:space="0" w:color="auto"/>
                                            <w:left w:val="none" w:sz="0" w:space="0" w:color="auto"/>
                                            <w:bottom w:val="none" w:sz="0" w:space="0" w:color="auto"/>
                                            <w:right w:val="none" w:sz="0" w:space="0" w:color="auto"/>
                                          </w:divBdr>
                                          <w:divsChild>
                                            <w:div w:id="32686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1093035">
      <w:bodyDiv w:val="1"/>
      <w:marLeft w:val="0"/>
      <w:marRight w:val="0"/>
      <w:marTop w:val="0"/>
      <w:marBottom w:val="0"/>
      <w:divBdr>
        <w:top w:val="none" w:sz="0" w:space="0" w:color="auto"/>
        <w:left w:val="none" w:sz="0" w:space="0" w:color="auto"/>
        <w:bottom w:val="none" w:sz="0" w:space="0" w:color="auto"/>
        <w:right w:val="none" w:sz="0" w:space="0" w:color="auto"/>
      </w:divBdr>
    </w:div>
    <w:div w:id="865753884">
      <w:bodyDiv w:val="1"/>
      <w:marLeft w:val="0"/>
      <w:marRight w:val="0"/>
      <w:marTop w:val="0"/>
      <w:marBottom w:val="0"/>
      <w:divBdr>
        <w:top w:val="none" w:sz="0" w:space="0" w:color="auto"/>
        <w:left w:val="none" w:sz="0" w:space="0" w:color="auto"/>
        <w:bottom w:val="none" w:sz="0" w:space="0" w:color="auto"/>
        <w:right w:val="none" w:sz="0" w:space="0" w:color="auto"/>
      </w:divBdr>
    </w:div>
    <w:div w:id="865944435">
      <w:bodyDiv w:val="1"/>
      <w:marLeft w:val="0"/>
      <w:marRight w:val="0"/>
      <w:marTop w:val="0"/>
      <w:marBottom w:val="0"/>
      <w:divBdr>
        <w:top w:val="none" w:sz="0" w:space="0" w:color="auto"/>
        <w:left w:val="none" w:sz="0" w:space="0" w:color="auto"/>
        <w:bottom w:val="none" w:sz="0" w:space="0" w:color="auto"/>
        <w:right w:val="none" w:sz="0" w:space="0" w:color="auto"/>
      </w:divBdr>
    </w:div>
    <w:div w:id="868490416">
      <w:bodyDiv w:val="1"/>
      <w:marLeft w:val="0"/>
      <w:marRight w:val="0"/>
      <w:marTop w:val="0"/>
      <w:marBottom w:val="0"/>
      <w:divBdr>
        <w:top w:val="none" w:sz="0" w:space="0" w:color="auto"/>
        <w:left w:val="none" w:sz="0" w:space="0" w:color="auto"/>
        <w:bottom w:val="none" w:sz="0" w:space="0" w:color="auto"/>
        <w:right w:val="none" w:sz="0" w:space="0" w:color="auto"/>
      </w:divBdr>
    </w:div>
    <w:div w:id="869340689">
      <w:bodyDiv w:val="1"/>
      <w:marLeft w:val="0"/>
      <w:marRight w:val="0"/>
      <w:marTop w:val="0"/>
      <w:marBottom w:val="0"/>
      <w:divBdr>
        <w:top w:val="none" w:sz="0" w:space="0" w:color="auto"/>
        <w:left w:val="none" w:sz="0" w:space="0" w:color="auto"/>
        <w:bottom w:val="none" w:sz="0" w:space="0" w:color="auto"/>
        <w:right w:val="none" w:sz="0" w:space="0" w:color="auto"/>
      </w:divBdr>
    </w:div>
    <w:div w:id="874196118">
      <w:bodyDiv w:val="1"/>
      <w:marLeft w:val="0"/>
      <w:marRight w:val="0"/>
      <w:marTop w:val="0"/>
      <w:marBottom w:val="0"/>
      <w:divBdr>
        <w:top w:val="none" w:sz="0" w:space="0" w:color="auto"/>
        <w:left w:val="none" w:sz="0" w:space="0" w:color="auto"/>
        <w:bottom w:val="none" w:sz="0" w:space="0" w:color="auto"/>
        <w:right w:val="none" w:sz="0" w:space="0" w:color="auto"/>
      </w:divBdr>
    </w:div>
    <w:div w:id="874342633">
      <w:bodyDiv w:val="1"/>
      <w:marLeft w:val="0"/>
      <w:marRight w:val="0"/>
      <w:marTop w:val="0"/>
      <w:marBottom w:val="0"/>
      <w:divBdr>
        <w:top w:val="none" w:sz="0" w:space="0" w:color="auto"/>
        <w:left w:val="none" w:sz="0" w:space="0" w:color="auto"/>
        <w:bottom w:val="none" w:sz="0" w:space="0" w:color="auto"/>
        <w:right w:val="none" w:sz="0" w:space="0" w:color="auto"/>
      </w:divBdr>
    </w:div>
    <w:div w:id="882208736">
      <w:bodyDiv w:val="1"/>
      <w:marLeft w:val="0"/>
      <w:marRight w:val="0"/>
      <w:marTop w:val="0"/>
      <w:marBottom w:val="0"/>
      <w:divBdr>
        <w:top w:val="none" w:sz="0" w:space="0" w:color="auto"/>
        <w:left w:val="none" w:sz="0" w:space="0" w:color="auto"/>
        <w:bottom w:val="none" w:sz="0" w:space="0" w:color="auto"/>
        <w:right w:val="none" w:sz="0" w:space="0" w:color="auto"/>
      </w:divBdr>
    </w:div>
    <w:div w:id="886717898">
      <w:bodyDiv w:val="1"/>
      <w:marLeft w:val="0"/>
      <w:marRight w:val="0"/>
      <w:marTop w:val="0"/>
      <w:marBottom w:val="0"/>
      <w:divBdr>
        <w:top w:val="none" w:sz="0" w:space="0" w:color="auto"/>
        <w:left w:val="none" w:sz="0" w:space="0" w:color="auto"/>
        <w:bottom w:val="none" w:sz="0" w:space="0" w:color="auto"/>
        <w:right w:val="none" w:sz="0" w:space="0" w:color="auto"/>
      </w:divBdr>
    </w:div>
    <w:div w:id="891579114">
      <w:bodyDiv w:val="1"/>
      <w:marLeft w:val="0"/>
      <w:marRight w:val="0"/>
      <w:marTop w:val="0"/>
      <w:marBottom w:val="0"/>
      <w:divBdr>
        <w:top w:val="none" w:sz="0" w:space="0" w:color="auto"/>
        <w:left w:val="none" w:sz="0" w:space="0" w:color="auto"/>
        <w:bottom w:val="none" w:sz="0" w:space="0" w:color="auto"/>
        <w:right w:val="none" w:sz="0" w:space="0" w:color="auto"/>
      </w:divBdr>
    </w:div>
    <w:div w:id="895819438">
      <w:bodyDiv w:val="1"/>
      <w:marLeft w:val="0"/>
      <w:marRight w:val="0"/>
      <w:marTop w:val="0"/>
      <w:marBottom w:val="0"/>
      <w:divBdr>
        <w:top w:val="none" w:sz="0" w:space="0" w:color="auto"/>
        <w:left w:val="none" w:sz="0" w:space="0" w:color="auto"/>
        <w:bottom w:val="none" w:sz="0" w:space="0" w:color="auto"/>
        <w:right w:val="none" w:sz="0" w:space="0" w:color="auto"/>
      </w:divBdr>
      <w:divsChild>
        <w:div w:id="1909682282">
          <w:marLeft w:val="0"/>
          <w:marRight w:val="0"/>
          <w:marTop w:val="0"/>
          <w:marBottom w:val="0"/>
          <w:divBdr>
            <w:top w:val="none" w:sz="0" w:space="0" w:color="auto"/>
            <w:left w:val="none" w:sz="0" w:space="0" w:color="auto"/>
            <w:bottom w:val="none" w:sz="0" w:space="0" w:color="auto"/>
            <w:right w:val="none" w:sz="0" w:space="0" w:color="auto"/>
          </w:divBdr>
          <w:divsChild>
            <w:div w:id="1744182390">
              <w:marLeft w:val="0"/>
              <w:marRight w:val="0"/>
              <w:marTop w:val="411"/>
              <w:marBottom w:val="0"/>
              <w:divBdr>
                <w:top w:val="none" w:sz="0" w:space="0" w:color="auto"/>
                <w:left w:val="none" w:sz="0" w:space="0" w:color="auto"/>
                <w:bottom w:val="none" w:sz="0" w:space="0" w:color="auto"/>
                <w:right w:val="none" w:sz="0" w:space="0" w:color="auto"/>
              </w:divBdr>
              <w:divsChild>
                <w:div w:id="781804477">
                  <w:marLeft w:val="0"/>
                  <w:marRight w:val="0"/>
                  <w:marTop w:val="0"/>
                  <w:marBottom w:val="0"/>
                  <w:divBdr>
                    <w:top w:val="none" w:sz="0" w:space="0" w:color="auto"/>
                    <w:left w:val="none" w:sz="0" w:space="0" w:color="auto"/>
                    <w:bottom w:val="none" w:sz="0" w:space="0" w:color="auto"/>
                    <w:right w:val="none" w:sz="0" w:space="0" w:color="auto"/>
                  </w:divBdr>
                  <w:divsChild>
                    <w:div w:id="300382217">
                      <w:marLeft w:val="79"/>
                      <w:marRight w:val="79"/>
                      <w:marTop w:val="0"/>
                      <w:marBottom w:val="0"/>
                      <w:divBdr>
                        <w:top w:val="none" w:sz="0" w:space="0" w:color="auto"/>
                        <w:left w:val="none" w:sz="0" w:space="0" w:color="auto"/>
                        <w:bottom w:val="none" w:sz="0" w:space="0" w:color="auto"/>
                        <w:right w:val="none" w:sz="0" w:space="0" w:color="auto"/>
                      </w:divBdr>
                      <w:divsChild>
                        <w:div w:id="1706559092">
                          <w:marLeft w:val="0"/>
                          <w:marRight w:val="0"/>
                          <w:marTop w:val="0"/>
                          <w:marBottom w:val="0"/>
                          <w:divBdr>
                            <w:top w:val="dashed" w:sz="6" w:space="0" w:color="DDDDDD"/>
                            <w:left w:val="none" w:sz="0" w:space="0" w:color="auto"/>
                            <w:bottom w:val="none" w:sz="0" w:space="0" w:color="auto"/>
                            <w:right w:val="none" w:sz="0" w:space="0" w:color="auto"/>
                          </w:divBdr>
                          <w:divsChild>
                            <w:div w:id="1212039869">
                              <w:marLeft w:val="0"/>
                              <w:marRight w:val="0"/>
                              <w:marTop w:val="0"/>
                              <w:marBottom w:val="0"/>
                              <w:divBdr>
                                <w:top w:val="none" w:sz="0" w:space="0" w:color="auto"/>
                                <w:left w:val="none" w:sz="0" w:space="0" w:color="auto"/>
                                <w:bottom w:val="none" w:sz="0" w:space="0" w:color="auto"/>
                                <w:right w:val="none" w:sz="0" w:space="0" w:color="auto"/>
                              </w:divBdr>
                              <w:divsChild>
                                <w:div w:id="1953440776">
                                  <w:marLeft w:val="0"/>
                                  <w:marRight w:val="0"/>
                                  <w:marTop w:val="79"/>
                                  <w:marBottom w:val="79"/>
                                  <w:divBdr>
                                    <w:top w:val="none" w:sz="0" w:space="0" w:color="auto"/>
                                    <w:left w:val="none" w:sz="0" w:space="0" w:color="auto"/>
                                    <w:bottom w:val="none" w:sz="0" w:space="0" w:color="auto"/>
                                    <w:right w:val="none" w:sz="0" w:space="0" w:color="auto"/>
                                  </w:divBdr>
                                  <w:divsChild>
                                    <w:div w:id="97533732">
                                      <w:marLeft w:val="0"/>
                                      <w:marRight w:val="0"/>
                                      <w:marTop w:val="0"/>
                                      <w:marBottom w:val="0"/>
                                      <w:divBdr>
                                        <w:top w:val="none" w:sz="0" w:space="0" w:color="auto"/>
                                        <w:left w:val="none" w:sz="0" w:space="0" w:color="auto"/>
                                        <w:bottom w:val="none" w:sz="0" w:space="0" w:color="auto"/>
                                        <w:right w:val="none" w:sz="0" w:space="0" w:color="auto"/>
                                      </w:divBdr>
                                      <w:divsChild>
                                        <w:div w:id="164587584">
                                          <w:marLeft w:val="554"/>
                                          <w:marRight w:val="0"/>
                                          <w:marTop w:val="0"/>
                                          <w:marBottom w:val="0"/>
                                          <w:divBdr>
                                            <w:top w:val="none" w:sz="0" w:space="0" w:color="auto"/>
                                            <w:left w:val="none" w:sz="0" w:space="0" w:color="auto"/>
                                            <w:bottom w:val="none" w:sz="0" w:space="0" w:color="auto"/>
                                            <w:right w:val="none" w:sz="0" w:space="0" w:color="auto"/>
                                          </w:divBdr>
                                          <w:divsChild>
                                            <w:div w:id="6731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2982712">
      <w:bodyDiv w:val="1"/>
      <w:marLeft w:val="0"/>
      <w:marRight w:val="0"/>
      <w:marTop w:val="0"/>
      <w:marBottom w:val="0"/>
      <w:divBdr>
        <w:top w:val="none" w:sz="0" w:space="0" w:color="auto"/>
        <w:left w:val="none" w:sz="0" w:space="0" w:color="auto"/>
        <w:bottom w:val="none" w:sz="0" w:space="0" w:color="auto"/>
        <w:right w:val="none" w:sz="0" w:space="0" w:color="auto"/>
      </w:divBdr>
    </w:div>
    <w:div w:id="908081538">
      <w:bodyDiv w:val="1"/>
      <w:marLeft w:val="0"/>
      <w:marRight w:val="0"/>
      <w:marTop w:val="0"/>
      <w:marBottom w:val="0"/>
      <w:divBdr>
        <w:top w:val="none" w:sz="0" w:space="0" w:color="auto"/>
        <w:left w:val="none" w:sz="0" w:space="0" w:color="auto"/>
        <w:bottom w:val="none" w:sz="0" w:space="0" w:color="auto"/>
        <w:right w:val="none" w:sz="0" w:space="0" w:color="auto"/>
      </w:divBdr>
    </w:div>
    <w:div w:id="909924679">
      <w:bodyDiv w:val="1"/>
      <w:marLeft w:val="0"/>
      <w:marRight w:val="0"/>
      <w:marTop w:val="0"/>
      <w:marBottom w:val="0"/>
      <w:divBdr>
        <w:top w:val="none" w:sz="0" w:space="0" w:color="auto"/>
        <w:left w:val="none" w:sz="0" w:space="0" w:color="auto"/>
        <w:bottom w:val="none" w:sz="0" w:space="0" w:color="auto"/>
        <w:right w:val="none" w:sz="0" w:space="0" w:color="auto"/>
      </w:divBdr>
    </w:div>
    <w:div w:id="910391109">
      <w:bodyDiv w:val="1"/>
      <w:marLeft w:val="0"/>
      <w:marRight w:val="0"/>
      <w:marTop w:val="0"/>
      <w:marBottom w:val="0"/>
      <w:divBdr>
        <w:top w:val="none" w:sz="0" w:space="0" w:color="auto"/>
        <w:left w:val="none" w:sz="0" w:space="0" w:color="auto"/>
        <w:bottom w:val="none" w:sz="0" w:space="0" w:color="auto"/>
        <w:right w:val="none" w:sz="0" w:space="0" w:color="auto"/>
      </w:divBdr>
    </w:div>
    <w:div w:id="914632954">
      <w:bodyDiv w:val="1"/>
      <w:marLeft w:val="0"/>
      <w:marRight w:val="0"/>
      <w:marTop w:val="0"/>
      <w:marBottom w:val="0"/>
      <w:divBdr>
        <w:top w:val="none" w:sz="0" w:space="0" w:color="auto"/>
        <w:left w:val="none" w:sz="0" w:space="0" w:color="auto"/>
        <w:bottom w:val="none" w:sz="0" w:space="0" w:color="auto"/>
        <w:right w:val="none" w:sz="0" w:space="0" w:color="auto"/>
      </w:divBdr>
      <w:divsChild>
        <w:div w:id="239876758">
          <w:marLeft w:val="0"/>
          <w:marRight w:val="0"/>
          <w:marTop w:val="0"/>
          <w:marBottom w:val="0"/>
          <w:divBdr>
            <w:top w:val="none" w:sz="0" w:space="0" w:color="auto"/>
            <w:left w:val="none" w:sz="0" w:space="0" w:color="auto"/>
            <w:bottom w:val="none" w:sz="0" w:space="0" w:color="auto"/>
            <w:right w:val="none" w:sz="0" w:space="0" w:color="auto"/>
          </w:divBdr>
        </w:div>
      </w:divsChild>
    </w:div>
    <w:div w:id="918365346">
      <w:bodyDiv w:val="1"/>
      <w:marLeft w:val="0"/>
      <w:marRight w:val="0"/>
      <w:marTop w:val="0"/>
      <w:marBottom w:val="0"/>
      <w:divBdr>
        <w:top w:val="none" w:sz="0" w:space="0" w:color="auto"/>
        <w:left w:val="none" w:sz="0" w:space="0" w:color="auto"/>
        <w:bottom w:val="none" w:sz="0" w:space="0" w:color="auto"/>
        <w:right w:val="none" w:sz="0" w:space="0" w:color="auto"/>
      </w:divBdr>
    </w:div>
    <w:div w:id="919870621">
      <w:bodyDiv w:val="1"/>
      <w:marLeft w:val="0"/>
      <w:marRight w:val="0"/>
      <w:marTop w:val="0"/>
      <w:marBottom w:val="0"/>
      <w:divBdr>
        <w:top w:val="none" w:sz="0" w:space="0" w:color="auto"/>
        <w:left w:val="none" w:sz="0" w:space="0" w:color="auto"/>
        <w:bottom w:val="none" w:sz="0" w:space="0" w:color="auto"/>
        <w:right w:val="none" w:sz="0" w:space="0" w:color="auto"/>
      </w:divBdr>
    </w:div>
    <w:div w:id="920139793">
      <w:bodyDiv w:val="1"/>
      <w:marLeft w:val="0"/>
      <w:marRight w:val="0"/>
      <w:marTop w:val="0"/>
      <w:marBottom w:val="0"/>
      <w:divBdr>
        <w:top w:val="none" w:sz="0" w:space="0" w:color="auto"/>
        <w:left w:val="none" w:sz="0" w:space="0" w:color="auto"/>
        <w:bottom w:val="none" w:sz="0" w:space="0" w:color="auto"/>
        <w:right w:val="none" w:sz="0" w:space="0" w:color="auto"/>
      </w:divBdr>
    </w:div>
    <w:div w:id="928123901">
      <w:bodyDiv w:val="1"/>
      <w:marLeft w:val="0"/>
      <w:marRight w:val="0"/>
      <w:marTop w:val="0"/>
      <w:marBottom w:val="0"/>
      <w:divBdr>
        <w:top w:val="none" w:sz="0" w:space="0" w:color="auto"/>
        <w:left w:val="none" w:sz="0" w:space="0" w:color="auto"/>
        <w:bottom w:val="none" w:sz="0" w:space="0" w:color="auto"/>
        <w:right w:val="none" w:sz="0" w:space="0" w:color="auto"/>
      </w:divBdr>
    </w:div>
    <w:div w:id="928544377">
      <w:bodyDiv w:val="1"/>
      <w:marLeft w:val="0"/>
      <w:marRight w:val="0"/>
      <w:marTop w:val="0"/>
      <w:marBottom w:val="0"/>
      <w:divBdr>
        <w:top w:val="none" w:sz="0" w:space="0" w:color="auto"/>
        <w:left w:val="none" w:sz="0" w:space="0" w:color="auto"/>
        <w:bottom w:val="none" w:sz="0" w:space="0" w:color="auto"/>
        <w:right w:val="none" w:sz="0" w:space="0" w:color="auto"/>
      </w:divBdr>
    </w:div>
    <w:div w:id="932974705">
      <w:bodyDiv w:val="1"/>
      <w:marLeft w:val="0"/>
      <w:marRight w:val="0"/>
      <w:marTop w:val="0"/>
      <w:marBottom w:val="0"/>
      <w:divBdr>
        <w:top w:val="none" w:sz="0" w:space="0" w:color="auto"/>
        <w:left w:val="none" w:sz="0" w:space="0" w:color="auto"/>
        <w:bottom w:val="none" w:sz="0" w:space="0" w:color="auto"/>
        <w:right w:val="none" w:sz="0" w:space="0" w:color="auto"/>
      </w:divBdr>
    </w:div>
    <w:div w:id="935017423">
      <w:bodyDiv w:val="1"/>
      <w:marLeft w:val="0"/>
      <w:marRight w:val="0"/>
      <w:marTop w:val="0"/>
      <w:marBottom w:val="0"/>
      <w:divBdr>
        <w:top w:val="none" w:sz="0" w:space="0" w:color="auto"/>
        <w:left w:val="none" w:sz="0" w:space="0" w:color="auto"/>
        <w:bottom w:val="none" w:sz="0" w:space="0" w:color="auto"/>
        <w:right w:val="none" w:sz="0" w:space="0" w:color="auto"/>
      </w:divBdr>
      <w:divsChild>
        <w:div w:id="1576934306">
          <w:marLeft w:val="475"/>
          <w:marRight w:val="0"/>
          <w:marTop w:val="0"/>
          <w:marBottom w:val="0"/>
          <w:divBdr>
            <w:top w:val="none" w:sz="0" w:space="0" w:color="auto"/>
            <w:left w:val="none" w:sz="0" w:space="0" w:color="auto"/>
            <w:bottom w:val="none" w:sz="0" w:space="0" w:color="auto"/>
            <w:right w:val="none" w:sz="0" w:space="0" w:color="auto"/>
          </w:divBdr>
        </w:div>
        <w:div w:id="1862893539">
          <w:marLeft w:val="475"/>
          <w:marRight w:val="0"/>
          <w:marTop w:val="0"/>
          <w:marBottom w:val="0"/>
          <w:divBdr>
            <w:top w:val="none" w:sz="0" w:space="0" w:color="auto"/>
            <w:left w:val="none" w:sz="0" w:space="0" w:color="auto"/>
            <w:bottom w:val="none" w:sz="0" w:space="0" w:color="auto"/>
            <w:right w:val="none" w:sz="0" w:space="0" w:color="auto"/>
          </w:divBdr>
        </w:div>
      </w:divsChild>
    </w:div>
    <w:div w:id="937252513">
      <w:bodyDiv w:val="1"/>
      <w:marLeft w:val="0"/>
      <w:marRight w:val="0"/>
      <w:marTop w:val="0"/>
      <w:marBottom w:val="0"/>
      <w:divBdr>
        <w:top w:val="none" w:sz="0" w:space="0" w:color="auto"/>
        <w:left w:val="none" w:sz="0" w:space="0" w:color="auto"/>
        <w:bottom w:val="none" w:sz="0" w:space="0" w:color="auto"/>
        <w:right w:val="none" w:sz="0" w:space="0" w:color="auto"/>
      </w:divBdr>
    </w:div>
    <w:div w:id="938875274">
      <w:bodyDiv w:val="1"/>
      <w:marLeft w:val="0"/>
      <w:marRight w:val="0"/>
      <w:marTop w:val="0"/>
      <w:marBottom w:val="0"/>
      <w:divBdr>
        <w:top w:val="none" w:sz="0" w:space="0" w:color="auto"/>
        <w:left w:val="none" w:sz="0" w:space="0" w:color="auto"/>
        <w:bottom w:val="none" w:sz="0" w:space="0" w:color="auto"/>
        <w:right w:val="none" w:sz="0" w:space="0" w:color="auto"/>
      </w:divBdr>
    </w:div>
    <w:div w:id="944770453">
      <w:bodyDiv w:val="1"/>
      <w:marLeft w:val="0"/>
      <w:marRight w:val="0"/>
      <w:marTop w:val="0"/>
      <w:marBottom w:val="0"/>
      <w:divBdr>
        <w:top w:val="none" w:sz="0" w:space="0" w:color="auto"/>
        <w:left w:val="none" w:sz="0" w:space="0" w:color="auto"/>
        <w:bottom w:val="none" w:sz="0" w:space="0" w:color="auto"/>
        <w:right w:val="none" w:sz="0" w:space="0" w:color="auto"/>
      </w:divBdr>
    </w:div>
    <w:div w:id="945045196">
      <w:bodyDiv w:val="1"/>
      <w:marLeft w:val="0"/>
      <w:marRight w:val="0"/>
      <w:marTop w:val="0"/>
      <w:marBottom w:val="0"/>
      <w:divBdr>
        <w:top w:val="none" w:sz="0" w:space="0" w:color="auto"/>
        <w:left w:val="none" w:sz="0" w:space="0" w:color="auto"/>
        <w:bottom w:val="none" w:sz="0" w:space="0" w:color="auto"/>
        <w:right w:val="none" w:sz="0" w:space="0" w:color="auto"/>
      </w:divBdr>
      <w:divsChild>
        <w:div w:id="1175000067">
          <w:marLeft w:val="0"/>
          <w:marRight w:val="0"/>
          <w:marTop w:val="0"/>
          <w:marBottom w:val="0"/>
          <w:divBdr>
            <w:top w:val="none" w:sz="0" w:space="0" w:color="auto"/>
            <w:left w:val="none" w:sz="0" w:space="0" w:color="auto"/>
            <w:bottom w:val="none" w:sz="0" w:space="0" w:color="auto"/>
            <w:right w:val="none" w:sz="0" w:space="0" w:color="auto"/>
          </w:divBdr>
          <w:divsChild>
            <w:div w:id="1748259724">
              <w:marLeft w:val="0"/>
              <w:marRight w:val="0"/>
              <w:marTop w:val="411"/>
              <w:marBottom w:val="0"/>
              <w:divBdr>
                <w:top w:val="none" w:sz="0" w:space="0" w:color="auto"/>
                <w:left w:val="none" w:sz="0" w:space="0" w:color="auto"/>
                <w:bottom w:val="none" w:sz="0" w:space="0" w:color="auto"/>
                <w:right w:val="none" w:sz="0" w:space="0" w:color="auto"/>
              </w:divBdr>
              <w:divsChild>
                <w:div w:id="632441170">
                  <w:marLeft w:val="0"/>
                  <w:marRight w:val="0"/>
                  <w:marTop w:val="0"/>
                  <w:marBottom w:val="0"/>
                  <w:divBdr>
                    <w:top w:val="none" w:sz="0" w:space="0" w:color="auto"/>
                    <w:left w:val="none" w:sz="0" w:space="0" w:color="auto"/>
                    <w:bottom w:val="none" w:sz="0" w:space="0" w:color="auto"/>
                    <w:right w:val="none" w:sz="0" w:space="0" w:color="auto"/>
                  </w:divBdr>
                  <w:divsChild>
                    <w:div w:id="1633514672">
                      <w:marLeft w:val="79"/>
                      <w:marRight w:val="79"/>
                      <w:marTop w:val="0"/>
                      <w:marBottom w:val="0"/>
                      <w:divBdr>
                        <w:top w:val="none" w:sz="0" w:space="0" w:color="auto"/>
                        <w:left w:val="none" w:sz="0" w:space="0" w:color="auto"/>
                        <w:bottom w:val="none" w:sz="0" w:space="0" w:color="auto"/>
                        <w:right w:val="none" w:sz="0" w:space="0" w:color="auto"/>
                      </w:divBdr>
                      <w:divsChild>
                        <w:div w:id="1110785654">
                          <w:marLeft w:val="0"/>
                          <w:marRight w:val="0"/>
                          <w:marTop w:val="0"/>
                          <w:marBottom w:val="0"/>
                          <w:divBdr>
                            <w:top w:val="dashed" w:sz="6" w:space="0" w:color="DDDDDD"/>
                            <w:left w:val="none" w:sz="0" w:space="0" w:color="auto"/>
                            <w:bottom w:val="none" w:sz="0" w:space="0" w:color="auto"/>
                            <w:right w:val="none" w:sz="0" w:space="0" w:color="auto"/>
                          </w:divBdr>
                          <w:divsChild>
                            <w:div w:id="58135024">
                              <w:marLeft w:val="0"/>
                              <w:marRight w:val="0"/>
                              <w:marTop w:val="0"/>
                              <w:marBottom w:val="0"/>
                              <w:divBdr>
                                <w:top w:val="none" w:sz="0" w:space="0" w:color="auto"/>
                                <w:left w:val="none" w:sz="0" w:space="0" w:color="auto"/>
                                <w:bottom w:val="none" w:sz="0" w:space="0" w:color="auto"/>
                                <w:right w:val="none" w:sz="0" w:space="0" w:color="auto"/>
                              </w:divBdr>
                              <w:divsChild>
                                <w:div w:id="318075492">
                                  <w:marLeft w:val="0"/>
                                  <w:marRight w:val="0"/>
                                  <w:marTop w:val="79"/>
                                  <w:marBottom w:val="79"/>
                                  <w:divBdr>
                                    <w:top w:val="none" w:sz="0" w:space="0" w:color="auto"/>
                                    <w:left w:val="none" w:sz="0" w:space="0" w:color="auto"/>
                                    <w:bottom w:val="none" w:sz="0" w:space="0" w:color="auto"/>
                                    <w:right w:val="none" w:sz="0" w:space="0" w:color="auto"/>
                                  </w:divBdr>
                                  <w:divsChild>
                                    <w:div w:id="335349617">
                                      <w:marLeft w:val="0"/>
                                      <w:marRight w:val="0"/>
                                      <w:marTop w:val="0"/>
                                      <w:marBottom w:val="0"/>
                                      <w:divBdr>
                                        <w:top w:val="none" w:sz="0" w:space="0" w:color="auto"/>
                                        <w:left w:val="none" w:sz="0" w:space="0" w:color="auto"/>
                                        <w:bottom w:val="none" w:sz="0" w:space="0" w:color="auto"/>
                                        <w:right w:val="none" w:sz="0" w:space="0" w:color="auto"/>
                                      </w:divBdr>
                                      <w:divsChild>
                                        <w:div w:id="1801024684">
                                          <w:marLeft w:val="554"/>
                                          <w:marRight w:val="0"/>
                                          <w:marTop w:val="0"/>
                                          <w:marBottom w:val="0"/>
                                          <w:divBdr>
                                            <w:top w:val="none" w:sz="0" w:space="0" w:color="auto"/>
                                            <w:left w:val="none" w:sz="0" w:space="0" w:color="auto"/>
                                            <w:bottom w:val="none" w:sz="0" w:space="0" w:color="auto"/>
                                            <w:right w:val="none" w:sz="0" w:space="0" w:color="auto"/>
                                          </w:divBdr>
                                          <w:divsChild>
                                            <w:div w:id="79752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5847703">
      <w:bodyDiv w:val="1"/>
      <w:marLeft w:val="0"/>
      <w:marRight w:val="0"/>
      <w:marTop w:val="0"/>
      <w:marBottom w:val="0"/>
      <w:divBdr>
        <w:top w:val="none" w:sz="0" w:space="0" w:color="auto"/>
        <w:left w:val="none" w:sz="0" w:space="0" w:color="auto"/>
        <w:bottom w:val="none" w:sz="0" w:space="0" w:color="auto"/>
        <w:right w:val="none" w:sz="0" w:space="0" w:color="auto"/>
      </w:divBdr>
    </w:div>
    <w:div w:id="946542383">
      <w:bodyDiv w:val="1"/>
      <w:marLeft w:val="0"/>
      <w:marRight w:val="0"/>
      <w:marTop w:val="0"/>
      <w:marBottom w:val="0"/>
      <w:divBdr>
        <w:top w:val="none" w:sz="0" w:space="0" w:color="auto"/>
        <w:left w:val="none" w:sz="0" w:space="0" w:color="auto"/>
        <w:bottom w:val="none" w:sz="0" w:space="0" w:color="auto"/>
        <w:right w:val="none" w:sz="0" w:space="0" w:color="auto"/>
      </w:divBdr>
    </w:div>
    <w:div w:id="948048836">
      <w:bodyDiv w:val="1"/>
      <w:marLeft w:val="0"/>
      <w:marRight w:val="0"/>
      <w:marTop w:val="0"/>
      <w:marBottom w:val="0"/>
      <w:divBdr>
        <w:top w:val="none" w:sz="0" w:space="0" w:color="auto"/>
        <w:left w:val="none" w:sz="0" w:space="0" w:color="auto"/>
        <w:bottom w:val="none" w:sz="0" w:space="0" w:color="auto"/>
        <w:right w:val="none" w:sz="0" w:space="0" w:color="auto"/>
      </w:divBdr>
    </w:div>
    <w:div w:id="948246670">
      <w:bodyDiv w:val="1"/>
      <w:marLeft w:val="0"/>
      <w:marRight w:val="0"/>
      <w:marTop w:val="0"/>
      <w:marBottom w:val="0"/>
      <w:divBdr>
        <w:top w:val="none" w:sz="0" w:space="0" w:color="auto"/>
        <w:left w:val="none" w:sz="0" w:space="0" w:color="auto"/>
        <w:bottom w:val="none" w:sz="0" w:space="0" w:color="auto"/>
        <w:right w:val="none" w:sz="0" w:space="0" w:color="auto"/>
      </w:divBdr>
    </w:div>
    <w:div w:id="955717476">
      <w:bodyDiv w:val="1"/>
      <w:marLeft w:val="0"/>
      <w:marRight w:val="0"/>
      <w:marTop w:val="0"/>
      <w:marBottom w:val="0"/>
      <w:divBdr>
        <w:top w:val="none" w:sz="0" w:space="0" w:color="auto"/>
        <w:left w:val="none" w:sz="0" w:space="0" w:color="auto"/>
        <w:bottom w:val="none" w:sz="0" w:space="0" w:color="auto"/>
        <w:right w:val="none" w:sz="0" w:space="0" w:color="auto"/>
      </w:divBdr>
    </w:div>
    <w:div w:id="957101437">
      <w:bodyDiv w:val="1"/>
      <w:marLeft w:val="0"/>
      <w:marRight w:val="0"/>
      <w:marTop w:val="0"/>
      <w:marBottom w:val="0"/>
      <w:divBdr>
        <w:top w:val="none" w:sz="0" w:space="0" w:color="auto"/>
        <w:left w:val="none" w:sz="0" w:space="0" w:color="auto"/>
        <w:bottom w:val="none" w:sz="0" w:space="0" w:color="auto"/>
        <w:right w:val="none" w:sz="0" w:space="0" w:color="auto"/>
      </w:divBdr>
    </w:div>
    <w:div w:id="960841559">
      <w:bodyDiv w:val="1"/>
      <w:marLeft w:val="0"/>
      <w:marRight w:val="0"/>
      <w:marTop w:val="0"/>
      <w:marBottom w:val="0"/>
      <w:divBdr>
        <w:top w:val="none" w:sz="0" w:space="0" w:color="auto"/>
        <w:left w:val="none" w:sz="0" w:space="0" w:color="auto"/>
        <w:bottom w:val="none" w:sz="0" w:space="0" w:color="auto"/>
        <w:right w:val="none" w:sz="0" w:space="0" w:color="auto"/>
      </w:divBdr>
    </w:div>
    <w:div w:id="961693866">
      <w:bodyDiv w:val="1"/>
      <w:marLeft w:val="0"/>
      <w:marRight w:val="0"/>
      <w:marTop w:val="0"/>
      <w:marBottom w:val="0"/>
      <w:divBdr>
        <w:top w:val="none" w:sz="0" w:space="0" w:color="auto"/>
        <w:left w:val="none" w:sz="0" w:space="0" w:color="auto"/>
        <w:bottom w:val="none" w:sz="0" w:space="0" w:color="auto"/>
        <w:right w:val="none" w:sz="0" w:space="0" w:color="auto"/>
      </w:divBdr>
    </w:div>
    <w:div w:id="965895925">
      <w:bodyDiv w:val="1"/>
      <w:marLeft w:val="0"/>
      <w:marRight w:val="0"/>
      <w:marTop w:val="0"/>
      <w:marBottom w:val="0"/>
      <w:divBdr>
        <w:top w:val="none" w:sz="0" w:space="0" w:color="auto"/>
        <w:left w:val="none" w:sz="0" w:space="0" w:color="auto"/>
        <w:bottom w:val="none" w:sz="0" w:space="0" w:color="auto"/>
        <w:right w:val="none" w:sz="0" w:space="0" w:color="auto"/>
      </w:divBdr>
      <w:divsChild>
        <w:div w:id="1177233833">
          <w:marLeft w:val="0"/>
          <w:marRight w:val="0"/>
          <w:marTop w:val="0"/>
          <w:marBottom w:val="0"/>
          <w:divBdr>
            <w:top w:val="none" w:sz="0" w:space="0" w:color="auto"/>
            <w:left w:val="none" w:sz="0" w:space="0" w:color="auto"/>
            <w:bottom w:val="none" w:sz="0" w:space="0" w:color="auto"/>
            <w:right w:val="none" w:sz="0" w:space="0" w:color="auto"/>
          </w:divBdr>
        </w:div>
      </w:divsChild>
    </w:div>
    <w:div w:id="967318352">
      <w:bodyDiv w:val="1"/>
      <w:marLeft w:val="0"/>
      <w:marRight w:val="0"/>
      <w:marTop w:val="0"/>
      <w:marBottom w:val="0"/>
      <w:divBdr>
        <w:top w:val="none" w:sz="0" w:space="0" w:color="auto"/>
        <w:left w:val="none" w:sz="0" w:space="0" w:color="auto"/>
        <w:bottom w:val="none" w:sz="0" w:space="0" w:color="auto"/>
        <w:right w:val="none" w:sz="0" w:space="0" w:color="auto"/>
      </w:divBdr>
    </w:div>
    <w:div w:id="969440360">
      <w:bodyDiv w:val="1"/>
      <w:marLeft w:val="0"/>
      <w:marRight w:val="0"/>
      <w:marTop w:val="0"/>
      <w:marBottom w:val="0"/>
      <w:divBdr>
        <w:top w:val="none" w:sz="0" w:space="0" w:color="auto"/>
        <w:left w:val="none" w:sz="0" w:space="0" w:color="auto"/>
        <w:bottom w:val="none" w:sz="0" w:space="0" w:color="auto"/>
        <w:right w:val="none" w:sz="0" w:space="0" w:color="auto"/>
      </w:divBdr>
    </w:div>
    <w:div w:id="970280435">
      <w:bodyDiv w:val="1"/>
      <w:marLeft w:val="0"/>
      <w:marRight w:val="0"/>
      <w:marTop w:val="0"/>
      <w:marBottom w:val="0"/>
      <w:divBdr>
        <w:top w:val="none" w:sz="0" w:space="0" w:color="auto"/>
        <w:left w:val="none" w:sz="0" w:space="0" w:color="auto"/>
        <w:bottom w:val="none" w:sz="0" w:space="0" w:color="auto"/>
        <w:right w:val="none" w:sz="0" w:space="0" w:color="auto"/>
      </w:divBdr>
    </w:div>
    <w:div w:id="974683003">
      <w:bodyDiv w:val="1"/>
      <w:marLeft w:val="0"/>
      <w:marRight w:val="0"/>
      <w:marTop w:val="0"/>
      <w:marBottom w:val="0"/>
      <w:divBdr>
        <w:top w:val="none" w:sz="0" w:space="0" w:color="auto"/>
        <w:left w:val="none" w:sz="0" w:space="0" w:color="auto"/>
        <w:bottom w:val="none" w:sz="0" w:space="0" w:color="auto"/>
        <w:right w:val="none" w:sz="0" w:space="0" w:color="auto"/>
      </w:divBdr>
    </w:div>
    <w:div w:id="977301517">
      <w:bodyDiv w:val="1"/>
      <w:marLeft w:val="0"/>
      <w:marRight w:val="0"/>
      <w:marTop w:val="0"/>
      <w:marBottom w:val="0"/>
      <w:divBdr>
        <w:top w:val="none" w:sz="0" w:space="0" w:color="auto"/>
        <w:left w:val="none" w:sz="0" w:space="0" w:color="auto"/>
        <w:bottom w:val="none" w:sz="0" w:space="0" w:color="auto"/>
        <w:right w:val="none" w:sz="0" w:space="0" w:color="auto"/>
      </w:divBdr>
    </w:div>
    <w:div w:id="977340366">
      <w:bodyDiv w:val="1"/>
      <w:marLeft w:val="0"/>
      <w:marRight w:val="0"/>
      <w:marTop w:val="0"/>
      <w:marBottom w:val="0"/>
      <w:divBdr>
        <w:top w:val="none" w:sz="0" w:space="0" w:color="auto"/>
        <w:left w:val="none" w:sz="0" w:space="0" w:color="auto"/>
        <w:bottom w:val="none" w:sz="0" w:space="0" w:color="auto"/>
        <w:right w:val="none" w:sz="0" w:space="0" w:color="auto"/>
      </w:divBdr>
    </w:div>
    <w:div w:id="983584568">
      <w:bodyDiv w:val="1"/>
      <w:marLeft w:val="0"/>
      <w:marRight w:val="0"/>
      <w:marTop w:val="0"/>
      <w:marBottom w:val="0"/>
      <w:divBdr>
        <w:top w:val="none" w:sz="0" w:space="0" w:color="auto"/>
        <w:left w:val="none" w:sz="0" w:space="0" w:color="auto"/>
        <w:bottom w:val="none" w:sz="0" w:space="0" w:color="auto"/>
        <w:right w:val="none" w:sz="0" w:space="0" w:color="auto"/>
      </w:divBdr>
    </w:div>
    <w:div w:id="988097717">
      <w:bodyDiv w:val="1"/>
      <w:marLeft w:val="0"/>
      <w:marRight w:val="0"/>
      <w:marTop w:val="0"/>
      <w:marBottom w:val="0"/>
      <w:divBdr>
        <w:top w:val="none" w:sz="0" w:space="0" w:color="auto"/>
        <w:left w:val="none" w:sz="0" w:space="0" w:color="auto"/>
        <w:bottom w:val="none" w:sz="0" w:space="0" w:color="auto"/>
        <w:right w:val="none" w:sz="0" w:space="0" w:color="auto"/>
      </w:divBdr>
    </w:div>
    <w:div w:id="994840470">
      <w:bodyDiv w:val="1"/>
      <w:marLeft w:val="0"/>
      <w:marRight w:val="0"/>
      <w:marTop w:val="0"/>
      <w:marBottom w:val="0"/>
      <w:divBdr>
        <w:top w:val="none" w:sz="0" w:space="0" w:color="auto"/>
        <w:left w:val="none" w:sz="0" w:space="0" w:color="auto"/>
        <w:bottom w:val="none" w:sz="0" w:space="0" w:color="auto"/>
        <w:right w:val="none" w:sz="0" w:space="0" w:color="auto"/>
      </w:divBdr>
    </w:div>
    <w:div w:id="998382854">
      <w:bodyDiv w:val="1"/>
      <w:marLeft w:val="0"/>
      <w:marRight w:val="0"/>
      <w:marTop w:val="0"/>
      <w:marBottom w:val="0"/>
      <w:divBdr>
        <w:top w:val="none" w:sz="0" w:space="0" w:color="auto"/>
        <w:left w:val="none" w:sz="0" w:space="0" w:color="auto"/>
        <w:bottom w:val="none" w:sz="0" w:space="0" w:color="auto"/>
        <w:right w:val="none" w:sz="0" w:space="0" w:color="auto"/>
      </w:divBdr>
    </w:div>
    <w:div w:id="1010571030">
      <w:bodyDiv w:val="1"/>
      <w:marLeft w:val="0"/>
      <w:marRight w:val="0"/>
      <w:marTop w:val="0"/>
      <w:marBottom w:val="0"/>
      <w:divBdr>
        <w:top w:val="none" w:sz="0" w:space="0" w:color="auto"/>
        <w:left w:val="none" w:sz="0" w:space="0" w:color="auto"/>
        <w:bottom w:val="none" w:sz="0" w:space="0" w:color="auto"/>
        <w:right w:val="none" w:sz="0" w:space="0" w:color="auto"/>
      </w:divBdr>
    </w:div>
    <w:div w:id="1013267174">
      <w:bodyDiv w:val="1"/>
      <w:marLeft w:val="0"/>
      <w:marRight w:val="0"/>
      <w:marTop w:val="0"/>
      <w:marBottom w:val="0"/>
      <w:divBdr>
        <w:top w:val="none" w:sz="0" w:space="0" w:color="auto"/>
        <w:left w:val="none" w:sz="0" w:space="0" w:color="auto"/>
        <w:bottom w:val="none" w:sz="0" w:space="0" w:color="auto"/>
        <w:right w:val="none" w:sz="0" w:space="0" w:color="auto"/>
      </w:divBdr>
      <w:divsChild>
        <w:div w:id="1682008753">
          <w:marLeft w:val="0"/>
          <w:marRight w:val="0"/>
          <w:marTop w:val="0"/>
          <w:marBottom w:val="0"/>
          <w:divBdr>
            <w:top w:val="none" w:sz="0" w:space="0" w:color="auto"/>
            <w:left w:val="none" w:sz="0" w:space="0" w:color="auto"/>
            <w:bottom w:val="none" w:sz="0" w:space="0" w:color="auto"/>
            <w:right w:val="none" w:sz="0" w:space="0" w:color="auto"/>
          </w:divBdr>
          <w:divsChild>
            <w:div w:id="2013602901">
              <w:marLeft w:val="0"/>
              <w:marRight w:val="0"/>
              <w:marTop w:val="0"/>
              <w:marBottom w:val="0"/>
              <w:divBdr>
                <w:top w:val="none" w:sz="0" w:space="0" w:color="auto"/>
                <w:left w:val="none" w:sz="0" w:space="0" w:color="auto"/>
                <w:bottom w:val="none" w:sz="0" w:space="0" w:color="auto"/>
                <w:right w:val="none" w:sz="0" w:space="0" w:color="auto"/>
              </w:divBdr>
              <w:divsChild>
                <w:div w:id="500118101">
                  <w:marLeft w:val="0"/>
                  <w:marRight w:val="0"/>
                  <w:marTop w:val="0"/>
                  <w:marBottom w:val="0"/>
                  <w:divBdr>
                    <w:top w:val="none" w:sz="0" w:space="0" w:color="auto"/>
                    <w:left w:val="none" w:sz="0" w:space="0" w:color="auto"/>
                    <w:bottom w:val="none" w:sz="0" w:space="0" w:color="auto"/>
                    <w:right w:val="none" w:sz="0" w:space="0" w:color="auto"/>
                  </w:divBdr>
                  <w:divsChild>
                    <w:div w:id="182655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076254">
      <w:bodyDiv w:val="1"/>
      <w:marLeft w:val="0"/>
      <w:marRight w:val="0"/>
      <w:marTop w:val="0"/>
      <w:marBottom w:val="0"/>
      <w:divBdr>
        <w:top w:val="none" w:sz="0" w:space="0" w:color="auto"/>
        <w:left w:val="none" w:sz="0" w:space="0" w:color="auto"/>
        <w:bottom w:val="none" w:sz="0" w:space="0" w:color="auto"/>
        <w:right w:val="none" w:sz="0" w:space="0" w:color="auto"/>
      </w:divBdr>
    </w:div>
    <w:div w:id="1020863034">
      <w:bodyDiv w:val="1"/>
      <w:marLeft w:val="0"/>
      <w:marRight w:val="0"/>
      <w:marTop w:val="0"/>
      <w:marBottom w:val="0"/>
      <w:divBdr>
        <w:top w:val="none" w:sz="0" w:space="0" w:color="auto"/>
        <w:left w:val="none" w:sz="0" w:space="0" w:color="auto"/>
        <w:bottom w:val="none" w:sz="0" w:space="0" w:color="auto"/>
        <w:right w:val="none" w:sz="0" w:space="0" w:color="auto"/>
      </w:divBdr>
      <w:divsChild>
        <w:div w:id="872307504">
          <w:marLeft w:val="0"/>
          <w:marRight w:val="0"/>
          <w:marTop w:val="0"/>
          <w:marBottom w:val="150"/>
          <w:divBdr>
            <w:top w:val="none" w:sz="0" w:space="0" w:color="auto"/>
            <w:left w:val="none" w:sz="0" w:space="0" w:color="auto"/>
            <w:bottom w:val="none" w:sz="0" w:space="0" w:color="auto"/>
            <w:right w:val="none" w:sz="0" w:space="0" w:color="auto"/>
          </w:divBdr>
        </w:div>
        <w:div w:id="1642691024">
          <w:marLeft w:val="0"/>
          <w:marRight w:val="0"/>
          <w:marTop w:val="0"/>
          <w:marBottom w:val="150"/>
          <w:divBdr>
            <w:top w:val="none" w:sz="0" w:space="0" w:color="auto"/>
            <w:left w:val="none" w:sz="0" w:space="0" w:color="auto"/>
            <w:bottom w:val="none" w:sz="0" w:space="0" w:color="auto"/>
            <w:right w:val="none" w:sz="0" w:space="0" w:color="auto"/>
          </w:divBdr>
        </w:div>
        <w:div w:id="981933199">
          <w:marLeft w:val="0"/>
          <w:marRight w:val="0"/>
          <w:marTop w:val="0"/>
          <w:marBottom w:val="150"/>
          <w:divBdr>
            <w:top w:val="none" w:sz="0" w:space="0" w:color="auto"/>
            <w:left w:val="none" w:sz="0" w:space="0" w:color="auto"/>
            <w:bottom w:val="none" w:sz="0" w:space="0" w:color="auto"/>
            <w:right w:val="none" w:sz="0" w:space="0" w:color="auto"/>
          </w:divBdr>
        </w:div>
      </w:divsChild>
    </w:div>
    <w:div w:id="1023942507">
      <w:bodyDiv w:val="1"/>
      <w:marLeft w:val="0"/>
      <w:marRight w:val="0"/>
      <w:marTop w:val="0"/>
      <w:marBottom w:val="0"/>
      <w:divBdr>
        <w:top w:val="none" w:sz="0" w:space="0" w:color="auto"/>
        <w:left w:val="none" w:sz="0" w:space="0" w:color="auto"/>
        <w:bottom w:val="none" w:sz="0" w:space="0" w:color="auto"/>
        <w:right w:val="none" w:sz="0" w:space="0" w:color="auto"/>
      </w:divBdr>
    </w:div>
    <w:div w:id="1024598015">
      <w:bodyDiv w:val="1"/>
      <w:marLeft w:val="0"/>
      <w:marRight w:val="0"/>
      <w:marTop w:val="0"/>
      <w:marBottom w:val="0"/>
      <w:divBdr>
        <w:top w:val="none" w:sz="0" w:space="0" w:color="auto"/>
        <w:left w:val="none" w:sz="0" w:space="0" w:color="auto"/>
        <w:bottom w:val="none" w:sz="0" w:space="0" w:color="auto"/>
        <w:right w:val="none" w:sz="0" w:space="0" w:color="auto"/>
      </w:divBdr>
    </w:div>
    <w:div w:id="1026518442">
      <w:bodyDiv w:val="1"/>
      <w:marLeft w:val="0"/>
      <w:marRight w:val="0"/>
      <w:marTop w:val="0"/>
      <w:marBottom w:val="0"/>
      <w:divBdr>
        <w:top w:val="none" w:sz="0" w:space="0" w:color="auto"/>
        <w:left w:val="none" w:sz="0" w:space="0" w:color="auto"/>
        <w:bottom w:val="none" w:sz="0" w:space="0" w:color="auto"/>
        <w:right w:val="none" w:sz="0" w:space="0" w:color="auto"/>
      </w:divBdr>
    </w:div>
    <w:div w:id="1027412181">
      <w:bodyDiv w:val="1"/>
      <w:marLeft w:val="0"/>
      <w:marRight w:val="0"/>
      <w:marTop w:val="0"/>
      <w:marBottom w:val="0"/>
      <w:divBdr>
        <w:top w:val="none" w:sz="0" w:space="0" w:color="auto"/>
        <w:left w:val="none" w:sz="0" w:space="0" w:color="auto"/>
        <w:bottom w:val="none" w:sz="0" w:space="0" w:color="auto"/>
        <w:right w:val="none" w:sz="0" w:space="0" w:color="auto"/>
      </w:divBdr>
    </w:div>
    <w:div w:id="1030960299">
      <w:bodyDiv w:val="1"/>
      <w:marLeft w:val="0"/>
      <w:marRight w:val="0"/>
      <w:marTop w:val="0"/>
      <w:marBottom w:val="0"/>
      <w:divBdr>
        <w:top w:val="none" w:sz="0" w:space="0" w:color="auto"/>
        <w:left w:val="none" w:sz="0" w:space="0" w:color="auto"/>
        <w:bottom w:val="none" w:sz="0" w:space="0" w:color="auto"/>
        <w:right w:val="none" w:sz="0" w:space="0" w:color="auto"/>
      </w:divBdr>
    </w:div>
    <w:div w:id="1034623194">
      <w:bodyDiv w:val="1"/>
      <w:marLeft w:val="0"/>
      <w:marRight w:val="0"/>
      <w:marTop w:val="0"/>
      <w:marBottom w:val="0"/>
      <w:divBdr>
        <w:top w:val="none" w:sz="0" w:space="0" w:color="auto"/>
        <w:left w:val="none" w:sz="0" w:space="0" w:color="auto"/>
        <w:bottom w:val="none" w:sz="0" w:space="0" w:color="auto"/>
        <w:right w:val="none" w:sz="0" w:space="0" w:color="auto"/>
      </w:divBdr>
    </w:div>
    <w:div w:id="1035737441">
      <w:bodyDiv w:val="1"/>
      <w:marLeft w:val="0"/>
      <w:marRight w:val="0"/>
      <w:marTop w:val="0"/>
      <w:marBottom w:val="0"/>
      <w:divBdr>
        <w:top w:val="none" w:sz="0" w:space="0" w:color="auto"/>
        <w:left w:val="none" w:sz="0" w:space="0" w:color="auto"/>
        <w:bottom w:val="none" w:sz="0" w:space="0" w:color="auto"/>
        <w:right w:val="none" w:sz="0" w:space="0" w:color="auto"/>
      </w:divBdr>
    </w:div>
    <w:div w:id="1036001307">
      <w:bodyDiv w:val="1"/>
      <w:marLeft w:val="0"/>
      <w:marRight w:val="0"/>
      <w:marTop w:val="0"/>
      <w:marBottom w:val="0"/>
      <w:divBdr>
        <w:top w:val="none" w:sz="0" w:space="0" w:color="auto"/>
        <w:left w:val="none" w:sz="0" w:space="0" w:color="auto"/>
        <w:bottom w:val="none" w:sz="0" w:space="0" w:color="auto"/>
        <w:right w:val="none" w:sz="0" w:space="0" w:color="auto"/>
      </w:divBdr>
    </w:div>
    <w:div w:id="1038626755">
      <w:bodyDiv w:val="1"/>
      <w:marLeft w:val="0"/>
      <w:marRight w:val="0"/>
      <w:marTop w:val="0"/>
      <w:marBottom w:val="0"/>
      <w:divBdr>
        <w:top w:val="none" w:sz="0" w:space="0" w:color="auto"/>
        <w:left w:val="none" w:sz="0" w:space="0" w:color="auto"/>
        <w:bottom w:val="none" w:sz="0" w:space="0" w:color="auto"/>
        <w:right w:val="none" w:sz="0" w:space="0" w:color="auto"/>
      </w:divBdr>
    </w:div>
    <w:div w:id="1043602443">
      <w:bodyDiv w:val="1"/>
      <w:marLeft w:val="0"/>
      <w:marRight w:val="0"/>
      <w:marTop w:val="0"/>
      <w:marBottom w:val="0"/>
      <w:divBdr>
        <w:top w:val="none" w:sz="0" w:space="0" w:color="auto"/>
        <w:left w:val="none" w:sz="0" w:space="0" w:color="auto"/>
        <w:bottom w:val="none" w:sz="0" w:space="0" w:color="auto"/>
        <w:right w:val="none" w:sz="0" w:space="0" w:color="auto"/>
      </w:divBdr>
    </w:div>
    <w:div w:id="1043746955">
      <w:bodyDiv w:val="1"/>
      <w:marLeft w:val="0"/>
      <w:marRight w:val="0"/>
      <w:marTop w:val="0"/>
      <w:marBottom w:val="0"/>
      <w:divBdr>
        <w:top w:val="none" w:sz="0" w:space="0" w:color="auto"/>
        <w:left w:val="none" w:sz="0" w:space="0" w:color="auto"/>
        <w:bottom w:val="none" w:sz="0" w:space="0" w:color="auto"/>
        <w:right w:val="none" w:sz="0" w:space="0" w:color="auto"/>
      </w:divBdr>
      <w:divsChild>
        <w:div w:id="108623665">
          <w:marLeft w:val="0"/>
          <w:marRight w:val="0"/>
          <w:marTop w:val="0"/>
          <w:marBottom w:val="0"/>
          <w:divBdr>
            <w:top w:val="none" w:sz="0" w:space="0" w:color="auto"/>
            <w:left w:val="none" w:sz="0" w:space="0" w:color="auto"/>
            <w:bottom w:val="none" w:sz="0" w:space="0" w:color="auto"/>
            <w:right w:val="none" w:sz="0" w:space="0" w:color="auto"/>
          </w:divBdr>
          <w:divsChild>
            <w:div w:id="685987436">
              <w:marLeft w:val="0"/>
              <w:marRight w:val="0"/>
              <w:marTop w:val="411"/>
              <w:marBottom w:val="0"/>
              <w:divBdr>
                <w:top w:val="none" w:sz="0" w:space="0" w:color="auto"/>
                <w:left w:val="none" w:sz="0" w:space="0" w:color="auto"/>
                <w:bottom w:val="none" w:sz="0" w:space="0" w:color="auto"/>
                <w:right w:val="none" w:sz="0" w:space="0" w:color="auto"/>
              </w:divBdr>
              <w:divsChild>
                <w:div w:id="1496604459">
                  <w:marLeft w:val="0"/>
                  <w:marRight w:val="0"/>
                  <w:marTop w:val="0"/>
                  <w:marBottom w:val="0"/>
                  <w:divBdr>
                    <w:top w:val="none" w:sz="0" w:space="0" w:color="auto"/>
                    <w:left w:val="none" w:sz="0" w:space="0" w:color="auto"/>
                    <w:bottom w:val="none" w:sz="0" w:space="0" w:color="auto"/>
                    <w:right w:val="none" w:sz="0" w:space="0" w:color="auto"/>
                  </w:divBdr>
                  <w:divsChild>
                    <w:div w:id="1654482980">
                      <w:marLeft w:val="79"/>
                      <w:marRight w:val="79"/>
                      <w:marTop w:val="0"/>
                      <w:marBottom w:val="0"/>
                      <w:divBdr>
                        <w:top w:val="none" w:sz="0" w:space="0" w:color="auto"/>
                        <w:left w:val="none" w:sz="0" w:space="0" w:color="auto"/>
                        <w:bottom w:val="none" w:sz="0" w:space="0" w:color="auto"/>
                        <w:right w:val="none" w:sz="0" w:space="0" w:color="auto"/>
                      </w:divBdr>
                      <w:divsChild>
                        <w:div w:id="1932811750">
                          <w:marLeft w:val="0"/>
                          <w:marRight w:val="0"/>
                          <w:marTop w:val="0"/>
                          <w:marBottom w:val="0"/>
                          <w:divBdr>
                            <w:top w:val="dashed" w:sz="6" w:space="0" w:color="DDDDDD"/>
                            <w:left w:val="none" w:sz="0" w:space="0" w:color="auto"/>
                            <w:bottom w:val="none" w:sz="0" w:space="0" w:color="auto"/>
                            <w:right w:val="none" w:sz="0" w:space="0" w:color="auto"/>
                          </w:divBdr>
                          <w:divsChild>
                            <w:div w:id="237717622">
                              <w:marLeft w:val="0"/>
                              <w:marRight w:val="0"/>
                              <w:marTop w:val="0"/>
                              <w:marBottom w:val="0"/>
                              <w:divBdr>
                                <w:top w:val="none" w:sz="0" w:space="0" w:color="auto"/>
                                <w:left w:val="none" w:sz="0" w:space="0" w:color="auto"/>
                                <w:bottom w:val="none" w:sz="0" w:space="0" w:color="auto"/>
                                <w:right w:val="none" w:sz="0" w:space="0" w:color="auto"/>
                              </w:divBdr>
                              <w:divsChild>
                                <w:div w:id="434833816">
                                  <w:marLeft w:val="0"/>
                                  <w:marRight w:val="0"/>
                                  <w:marTop w:val="79"/>
                                  <w:marBottom w:val="79"/>
                                  <w:divBdr>
                                    <w:top w:val="none" w:sz="0" w:space="0" w:color="auto"/>
                                    <w:left w:val="none" w:sz="0" w:space="0" w:color="auto"/>
                                    <w:bottom w:val="none" w:sz="0" w:space="0" w:color="auto"/>
                                    <w:right w:val="none" w:sz="0" w:space="0" w:color="auto"/>
                                  </w:divBdr>
                                  <w:divsChild>
                                    <w:div w:id="2066640170">
                                      <w:marLeft w:val="0"/>
                                      <w:marRight w:val="0"/>
                                      <w:marTop w:val="0"/>
                                      <w:marBottom w:val="0"/>
                                      <w:divBdr>
                                        <w:top w:val="none" w:sz="0" w:space="0" w:color="auto"/>
                                        <w:left w:val="none" w:sz="0" w:space="0" w:color="auto"/>
                                        <w:bottom w:val="none" w:sz="0" w:space="0" w:color="auto"/>
                                        <w:right w:val="none" w:sz="0" w:space="0" w:color="auto"/>
                                      </w:divBdr>
                                      <w:divsChild>
                                        <w:div w:id="1192762376">
                                          <w:marLeft w:val="554"/>
                                          <w:marRight w:val="0"/>
                                          <w:marTop w:val="0"/>
                                          <w:marBottom w:val="0"/>
                                          <w:divBdr>
                                            <w:top w:val="none" w:sz="0" w:space="0" w:color="auto"/>
                                            <w:left w:val="none" w:sz="0" w:space="0" w:color="auto"/>
                                            <w:bottom w:val="none" w:sz="0" w:space="0" w:color="auto"/>
                                            <w:right w:val="none" w:sz="0" w:space="0" w:color="auto"/>
                                          </w:divBdr>
                                          <w:divsChild>
                                            <w:div w:id="44415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5375880">
      <w:bodyDiv w:val="1"/>
      <w:marLeft w:val="0"/>
      <w:marRight w:val="0"/>
      <w:marTop w:val="0"/>
      <w:marBottom w:val="0"/>
      <w:divBdr>
        <w:top w:val="none" w:sz="0" w:space="0" w:color="auto"/>
        <w:left w:val="none" w:sz="0" w:space="0" w:color="auto"/>
        <w:bottom w:val="none" w:sz="0" w:space="0" w:color="auto"/>
        <w:right w:val="none" w:sz="0" w:space="0" w:color="auto"/>
      </w:divBdr>
      <w:divsChild>
        <w:div w:id="1382096556">
          <w:marLeft w:val="0"/>
          <w:marRight w:val="0"/>
          <w:marTop w:val="0"/>
          <w:marBottom w:val="0"/>
          <w:divBdr>
            <w:top w:val="none" w:sz="0" w:space="0" w:color="auto"/>
            <w:left w:val="none" w:sz="0" w:space="0" w:color="auto"/>
            <w:bottom w:val="none" w:sz="0" w:space="0" w:color="auto"/>
            <w:right w:val="none" w:sz="0" w:space="0" w:color="auto"/>
          </w:divBdr>
          <w:divsChild>
            <w:div w:id="1449397591">
              <w:marLeft w:val="0"/>
              <w:marRight w:val="0"/>
              <w:marTop w:val="0"/>
              <w:marBottom w:val="0"/>
              <w:divBdr>
                <w:top w:val="none" w:sz="0" w:space="0" w:color="auto"/>
                <w:left w:val="none" w:sz="0" w:space="0" w:color="auto"/>
                <w:bottom w:val="none" w:sz="0" w:space="0" w:color="auto"/>
                <w:right w:val="none" w:sz="0" w:space="0" w:color="auto"/>
              </w:divBdr>
              <w:divsChild>
                <w:div w:id="11850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87741">
      <w:bodyDiv w:val="1"/>
      <w:marLeft w:val="0"/>
      <w:marRight w:val="0"/>
      <w:marTop w:val="0"/>
      <w:marBottom w:val="0"/>
      <w:divBdr>
        <w:top w:val="none" w:sz="0" w:space="0" w:color="auto"/>
        <w:left w:val="none" w:sz="0" w:space="0" w:color="auto"/>
        <w:bottom w:val="none" w:sz="0" w:space="0" w:color="auto"/>
        <w:right w:val="none" w:sz="0" w:space="0" w:color="auto"/>
      </w:divBdr>
      <w:divsChild>
        <w:div w:id="581184461">
          <w:marLeft w:val="0"/>
          <w:marRight w:val="0"/>
          <w:marTop w:val="0"/>
          <w:marBottom w:val="0"/>
          <w:divBdr>
            <w:top w:val="none" w:sz="0" w:space="0" w:color="auto"/>
            <w:left w:val="none" w:sz="0" w:space="0" w:color="auto"/>
            <w:bottom w:val="none" w:sz="0" w:space="0" w:color="auto"/>
            <w:right w:val="none" w:sz="0" w:space="0" w:color="auto"/>
          </w:divBdr>
          <w:divsChild>
            <w:div w:id="1941329928">
              <w:marLeft w:val="0"/>
              <w:marRight w:val="0"/>
              <w:marTop w:val="0"/>
              <w:marBottom w:val="0"/>
              <w:divBdr>
                <w:top w:val="none" w:sz="0" w:space="0" w:color="auto"/>
                <w:left w:val="none" w:sz="0" w:space="0" w:color="auto"/>
                <w:bottom w:val="none" w:sz="0" w:space="0" w:color="auto"/>
                <w:right w:val="none" w:sz="0" w:space="0" w:color="auto"/>
              </w:divBdr>
              <w:divsChild>
                <w:div w:id="371658519">
                  <w:marLeft w:val="0"/>
                  <w:marRight w:val="0"/>
                  <w:marTop w:val="0"/>
                  <w:marBottom w:val="0"/>
                  <w:divBdr>
                    <w:top w:val="none" w:sz="0" w:space="0" w:color="auto"/>
                    <w:left w:val="none" w:sz="0" w:space="0" w:color="auto"/>
                    <w:bottom w:val="none" w:sz="0" w:space="0" w:color="auto"/>
                    <w:right w:val="none" w:sz="0" w:space="0" w:color="auto"/>
                  </w:divBdr>
                </w:div>
              </w:divsChild>
            </w:div>
            <w:div w:id="1654724480">
              <w:marLeft w:val="0"/>
              <w:marRight w:val="0"/>
              <w:marTop w:val="0"/>
              <w:marBottom w:val="0"/>
              <w:divBdr>
                <w:top w:val="none" w:sz="0" w:space="0" w:color="auto"/>
                <w:left w:val="none" w:sz="0" w:space="0" w:color="auto"/>
                <w:bottom w:val="none" w:sz="0" w:space="0" w:color="auto"/>
                <w:right w:val="none" w:sz="0" w:space="0" w:color="auto"/>
              </w:divBdr>
              <w:divsChild>
                <w:div w:id="137908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87976">
          <w:marLeft w:val="0"/>
          <w:marRight w:val="0"/>
          <w:marTop w:val="0"/>
          <w:marBottom w:val="0"/>
          <w:divBdr>
            <w:top w:val="none" w:sz="0" w:space="0" w:color="auto"/>
            <w:left w:val="none" w:sz="0" w:space="0" w:color="auto"/>
            <w:bottom w:val="none" w:sz="0" w:space="0" w:color="auto"/>
            <w:right w:val="none" w:sz="0" w:space="0" w:color="auto"/>
          </w:divBdr>
          <w:divsChild>
            <w:div w:id="1885365077">
              <w:marLeft w:val="0"/>
              <w:marRight w:val="0"/>
              <w:marTop w:val="0"/>
              <w:marBottom w:val="0"/>
              <w:divBdr>
                <w:top w:val="none" w:sz="0" w:space="0" w:color="auto"/>
                <w:left w:val="none" w:sz="0" w:space="0" w:color="auto"/>
                <w:bottom w:val="none" w:sz="0" w:space="0" w:color="auto"/>
                <w:right w:val="none" w:sz="0" w:space="0" w:color="auto"/>
              </w:divBdr>
              <w:divsChild>
                <w:div w:id="1626698232">
                  <w:marLeft w:val="0"/>
                  <w:marRight w:val="0"/>
                  <w:marTop w:val="0"/>
                  <w:marBottom w:val="0"/>
                  <w:divBdr>
                    <w:top w:val="none" w:sz="0" w:space="0" w:color="auto"/>
                    <w:left w:val="none" w:sz="0" w:space="0" w:color="auto"/>
                    <w:bottom w:val="none" w:sz="0" w:space="0" w:color="auto"/>
                    <w:right w:val="none" w:sz="0" w:space="0" w:color="auto"/>
                  </w:divBdr>
                </w:div>
              </w:divsChild>
            </w:div>
            <w:div w:id="520247919">
              <w:marLeft w:val="0"/>
              <w:marRight w:val="0"/>
              <w:marTop w:val="0"/>
              <w:marBottom w:val="0"/>
              <w:divBdr>
                <w:top w:val="none" w:sz="0" w:space="0" w:color="auto"/>
                <w:left w:val="none" w:sz="0" w:space="0" w:color="auto"/>
                <w:bottom w:val="none" w:sz="0" w:space="0" w:color="auto"/>
                <w:right w:val="none" w:sz="0" w:space="0" w:color="auto"/>
              </w:divBdr>
              <w:divsChild>
                <w:div w:id="208910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039142">
      <w:bodyDiv w:val="1"/>
      <w:marLeft w:val="0"/>
      <w:marRight w:val="0"/>
      <w:marTop w:val="0"/>
      <w:marBottom w:val="0"/>
      <w:divBdr>
        <w:top w:val="none" w:sz="0" w:space="0" w:color="auto"/>
        <w:left w:val="none" w:sz="0" w:space="0" w:color="auto"/>
        <w:bottom w:val="none" w:sz="0" w:space="0" w:color="auto"/>
        <w:right w:val="none" w:sz="0" w:space="0" w:color="auto"/>
      </w:divBdr>
      <w:divsChild>
        <w:div w:id="1056705788">
          <w:marLeft w:val="0"/>
          <w:marRight w:val="0"/>
          <w:marTop w:val="0"/>
          <w:marBottom w:val="0"/>
          <w:divBdr>
            <w:top w:val="none" w:sz="0" w:space="0" w:color="auto"/>
            <w:left w:val="none" w:sz="0" w:space="0" w:color="auto"/>
            <w:bottom w:val="none" w:sz="0" w:space="0" w:color="auto"/>
            <w:right w:val="none" w:sz="0" w:space="0" w:color="auto"/>
          </w:divBdr>
        </w:div>
      </w:divsChild>
    </w:div>
    <w:div w:id="1053164345">
      <w:bodyDiv w:val="1"/>
      <w:marLeft w:val="0"/>
      <w:marRight w:val="0"/>
      <w:marTop w:val="0"/>
      <w:marBottom w:val="0"/>
      <w:divBdr>
        <w:top w:val="none" w:sz="0" w:space="0" w:color="auto"/>
        <w:left w:val="none" w:sz="0" w:space="0" w:color="auto"/>
        <w:bottom w:val="none" w:sz="0" w:space="0" w:color="auto"/>
        <w:right w:val="none" w:sz="0" w:space="0" w:color="auto"/>
      </w:divBdr>
    </w:div>
    <w:div w:id="1057317237">
      <w:bodyDiv w:val="1"/>
      <w:marLeft w:val="0"/>
      <w:marRight w:val="0"/>
      <w:marTop w:val="0"/>
      <w:marBottom w:val="0"/>
      <w:divBdr>
        <w:top w:val="none" w:sz="0" w:space="0" w:color="auto"/>
        <w:left w:val="none" w:sz="0" w:space="0" w:color="auto"/>
        <w:bottom w:val="none" w:sz="0" w:space="0" w:color="auto"/>
        <w:right w:val="none" w:sz="0" w:space="0" w:color="auto"/>
      </w:divBdr>
    </w:div>
    <w:div w:id="1068722257">
      <w:bodyDiv w:val="1"/>
      <w:marLeft w:val="0"/>
      <w:marRight w:val="0"/>
      <w:marTop w:val="0"/>
      <w:marBottom w:val="0"/>
      <w:divBdr>
        <w:top w:val="none" w:sz="0" w:space="0" w:color="auto"/>
        <w:left w:val="none" w:sz="0" w:space="0" w:color="auto"/>
        <w:bottom w:val="none" w:sz="0" w:space="0" w:color="auto"/>
        <w:right w:val="none" w:sz="0" w:space="0" w:color="auto"/>
      </w:divBdr>
    </w:div>
    <w:div w:id="1071080038">
      <w:bodyDiv w:val="1"/>
      <w:marLeft w:val="0"/>
      <w:marRight w:val="0"/>
      <w:marTop w:val="0"/>
      <w:marBottom w:val="0"/>
      <w:divBdr>
        <w:top w:val="none" w:sz="0" w:space="0" w:color="auto"/>
        <w:left w:val="none" w:sz="0" w:space="0" w:color="auto"/>
        <w:bottom w:val="none" w:sz="0" w:space="0" w:color="auto"/>
        <w:right w:val="none" w:sz="0" w:space="0" w:color="auto"/>
      </w:divBdr>
      <w:divsChild>
        <w:div w:id="274991439">
          <w:marLeft w:val="0"/>
          <w:marRight w:val="0"/>
          <w:marTop w:val="0"/>
          <w:marBottom w:val="0"/>
          <w:divBdr>
            <w:top w:val="none" w:sz="0" w:space="0" w:color="auto"/>
            <w:left w:val="none" w:sz="0" w:space="0" w:color="auto"/>
            <w:bottom w:val="none" w:sz="0" w:space="0" w:color="auto"/>
            <w:right w:val="none" w:sz="0" w:space="0" w:color="auto"/>
          </w:divBdr>
        </w:div>
        <w:div w:id="862013643">
          <w:marLeft w:val="0"/>
          <w:marRight w:val="0"/>
          <w:marTop w:val="0"/>
          <w:marBottom w:val="0"/>
          <w:divBdr>
            <w:top w:val="none" w:sz="0" w:space="0" w:color="auto"/>
            <w:left w:val="none" w:sz="0" w:space="0" w:color="auto"/>
            <w:bottom w:val="none" w:sz="0" w:space="0" w:color="auto"/>
            <w:right w:val="none" w:sz="0" w:space="0" w:color="auto"/>
          </w:divBdr>
        </w:div>
        <w:div w:id="1116175996">
          <w:marLeft w:val="0"/>
          <w:marRight w:val="0"/>
          <w:marTop w:val="0"/>
          <w:marBottom w:val="0"/>
          <w:divBdr>
            <w:top w:val="none" w:sz="0" w:space="0" w:color="auto"/>
            <w:left w:val="none" w:sz="0" w:space="0" w:color="auto"/>
            <w:bottom w:val="none" w:sz="0" w:space="0" w:color="auto"/>
            <w:right w:val="none" w:sz="0" w:space="0" w:color="auto"/>
          </w:divBdr>
        </w:div>
        <w:div w:id="2109882411">
          <w:marLeft w:val="0"/>
          <w:marRight w:val="0"/>
          <w:marTop w:val="0"/>
          <w:marBottom w:val="0"/>
          <w:divBdr>
            <w:top w:val="none" w:sz="0" w:space="0" w:color="auto"/>
            <w:left w:val="none" w:sz="0" w:space="0" w:color="auto"/>
            <w:bottom w:val="none" w:sz="0" w:space="0" w:color="auto"/>
            <w:right w:val="none" w:sz="0" w:space="0" w:color="auto"/>
          </w:divBdr>
        </w:div>
      </w:divsChild>
    </w:div>
    <w:div w:id="1074206989">
      <w:bodyDiv w:val="1"/>
      <w:marLeft w:val="0"/>
      <w:marRight w:val="0"/>
      <w:marTop w:val="0"/>
      <w:marBottom w:val="0"/>
      <w:divBdr>
        <w:top w:val="none" w:sz="0" w:space="0" w:color="auto"/>
        <w:left w:val="none" w:sz="0" w:space="0" w:color="auto"/>
        <w:bottom w:val="none" w:sz="0" w:space="0" w:color="auto"/>
        <w:right w:val="none" w:sz="0" w:space="0" w:color="auto"/>
      </w:divBdr>
    </w:div>
    <w:div w:id="1076123870">
      <w:bodyDiv w:val="1"/>
      <w:marLeft w:val="0"/>
      <w:marRight w:val="0"/>
      <w:marTop w:val="0"/>
      <w:marBottom w:val="0"/>
      <w:divBdr>
        <w:top w:val="none" w:sz="0" w:space="0" w:color="auto"/>
        <w:left w:val="none" w:sz="0" w:space="0" w:color="auto"/>
        <w:bottom w:val="none" w:sz="0" w:space="0" w:color="auto"/>
        <w:right w:val="none" w:sz="0" w:space="0" w:color="auto"/>
      </w:divBdr>
    </w:div>
    <w:div w:id="1078332194">
      <w:bodyDiv w:val="1"/>
      <w:marLeft w:val="0"/>
      <w:marRight w:val="0"/>
      <w:marTop w:val="0"/>
      <w:marBottom w:val="0"/>
      <w:divBdr>
        <w:top w:val="none" w:sz="0" w:space="0" w:color="auto"/>
        <w:left w:val="none" w:sz="0" w:space="0" w:color="auto"/>
        <w:bottom w:val="none" w:sz="0" w:space="0" w:color="auto"/>
        <w:right w:val="none" w:sz="0" w:space="0" w:color="auto"/>
      </w:divBdr>
    </w:div>
    <w:div w:id="1088040369">
      <w:bodyDiv w:val="1"/>
      <w:marLeft w:val="0"/>
      <w:marRight w:val="0"/>
      <w:marTop w:val="0"/>
      <w:marBottom w:val="0"/>
      <w:divBdr>
        <w:top w:val="none" w:sz="0" w:space="0" w:color="auto"/>
        <w:left w:val="none" w:sz="0" w:space="0" w:color="auto"/>
        <w:bottom w:val="none" w:sz="0" w:space="0" w:color="auto"/>
        <w:right w:val="none" w:sz="0" w:space="0" w:color="auto"/>
      </w:divBdr>
    </w:div>
    <w:div w:id="1089741496">
      <w:bodyDiv w:val="1"/>
      <w:marLeft w:val="0"/>
      <w:marRight w:val="0"/>
      <w:marTop w:val="0"/>
      <w:marBottom w:val="0"/>
      <w:divBdr>
        <w:top w:val="none" w:sz="0" w:space="0" w:color="auto"/>
        <w:left w:val="none" w:sz="0" w:space="0" w:color="auto"/>
        <w:bottom w:val="none" w:sz="0" w:space="0" w:color="auto"/>
        <w:right w:val="none" w:sz="0" w:space="0" w:color="auto"/>
      </w:divBdr>
    </w:div>
    <w:div w:id="1094522027">
      <w:bodyDiv w:val="1"/>
      <w:marLeft w:val="0"/>
      <w:marRight w:val="0"/>
      <w:marTop w:val="0"/>
      <w:marBottom w:val="0"/>
      <w:divBdr>
        <w:top w:val="none" w:sz="0" w:space="0" w:color="auto"/>
        <w:left w:val="none" w:sz="0" w:space="0" w:color="auto"/>
        <w:bottom w:val="none" w:sz="0" w:space="0" w:color="auto"/>
        <w:right w:val="none" w:sz="0" w:space="0" w:color="auto"/>
      </w:divBdr>
    </w:div>
    <w:div w:id="1095327437">
      <w:bodyDiv w:val="1"/>
      <w:marLeft w:val="0"/>
      <w:marRight w:val="0"/>
      <w:marTop w:val="0"/>
      <w:marBottom w:val="0"/>
      <w:divBdr>
        <w:top w:val="none" w:sz="0" w:space="0" w:color="auto"/>
        <w:left w:val="none" w:sz="0" w:space="0" w:color="auto"/>
        <w:bottom w:val="none" w:sz="0" w:space="0" w:color="auto"/>
        <w:right w:val="none" w:sz="0" w:space="0" w:color="auto"/>
      </w:divBdr>
      <w:divsChild>
        <w:div w:id="912081446">
          <w:marLeft w:val="0"/>
          <w:marRight w:val="0"/>
          <w:marTop w:val="0"/>
          <w:marBottom w:val="0"/>
          <w:divBdr>
            <w:top w:val="none" w:sz="0" w:space="0" w:color="auto"/>
            <w:left w:val="none" w:sz="0" w:space="0" w:color="auto"/>
            <w:bottom w:val="none" w:sz="0" w:space="0" w:color="auto"/>
            <w:right w:val="none" w:sz="0" w:space="0" w:color="auto"/>
          </w:divBdr>
          <w:divsChild>
            <w:div w:id="1427992849">
              <w:marLeft w:val="0"/>
              <w:marRight w:val="0"/>
              <w:marTop w:val="0"/>
              <w:marBottom w:val="0"/>
              <w:divBdr>
                <w:top w:val="none" w:sz="0" w:space="0" w:color="auto"/>
                <w:left w:val="none" w:sz="0" w:space="0" w:color="auto"/>
                <w:bottom w:val="none" w:sz="0" w:space="0" w:color="auto"/>
                <w:right w:val="none" w:sz="0" w:space="0" w:color="auto"/>
              </w:divBdr>
              <w:divsChild>
                <w:div w:id="132049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590109">
      <w:bodyDiv w:val="1"/>
      <w:marLeft w:val="0"/>
      <w:marRight w:val="0"/>
      <w:marTop w:val="0"/>
      <w:marBottom w:val="0"/>
      <w:divBdr>
        <w:top w:val="none" w:sz="0" w:space="0" w:color="auto"/>
        <w:left w:val="none" w:sz="0" w:space="0" w:color="auto"/>
        <w:bottom w:val="none" w:sz="0" w:space="0" w:color="auto"/>
        <w:right w:val="none" w:sz="0" w:space="0" w:color="auto"/>
      </w:divBdr>
    </w:div>
    <w:div w:id="1097601832">
      <w:bodyDiv w:val="1"/>
      <w:marLeft w:val="0"/>
      <w:marRight w:val="0"/>
      <w:marTop w:val="0"/>
      <w:marBottom w:val="0"/>
      <w:divBdr>
        <w:top w:val="none" w:sz="0" w:space="0" w:color="auto"/>
        <w:left w:val="none" w:sz="0" w:space="0" w:color="auto"/>
        <w:bottom w:val="none" w:sz="0" w:space="0" w:color="auto"/>
        <w:right w:val="none" w:sz="0" w:space="0" w:color="auto"/>
      </w:divBdr>
      <w:divsChild>
        <w:div w:id="586041318">
          <w:marLeft w:val="0"/>
          <w:marRight w:val="0"/>
          <w:marTop w:val="0"/>
          <w:marBottom w:val="0"/>
          <w:divBdr>
            <w:top w:val="none" w:sz="0" w:space="0" w:color="auto"/>
            <w:left w:val="none" w:sz="0" w:space="0" w:color="auto"/>
            <w:bottom w:val="none" w:sz="0" w:space="0" w:color="auto"/>
            <w:right w:val="none" w:sz="0" w:space="0" w:color="auto"/>
          </w:divBdr>
        </w:div>
        <w:div w:id="731579514">
          <w:marLeft w:val="0"/>
          <w:marRight w:val="0"/>
          <w:marTop w:val="0"/>
          <w:marBottom w:val="0"/>
          <w:divBdr>
            <w:top w:val="none" w:sz="0" w:space="0" w:color="auto"/>
            <w:left w:val="none" w:sz="0" w:space="0" w:color="auto"/>
            <w:bottom w:val="none" w:sz="0" w:space="0" w:color="auto"/>
            <w:right w:val="none" w:sz="0" w:space="0" w:color="auto"/>
          </w:divBdr>
        </w:div>
        <w:div w:id="1800302504">
          <w:marLeft w:val="0"/>
          <w:marRight w:val="0"/>
          <w:marTop w:val="0"/>
          <w:marBottom w:val="0"/>
          <w:divBdr>
            <w:top w:val="none" w:sz="0" w:space="0" w:color="auto"/>
            <w:left w:val="none" w:sz="0" w:space="0" w:color="auto"/>
            <w:bottom w:val="none" w:sz="0" w:space="0" w:color="auto"/>
            <w:right w:val="none" w:sz="0" w:space="0" w:color="auto"/>
          </w:divBdr>
        </w:div>
      </w:divsChild>
    </w:div>
    <w:div w:id="1100835899">
      <w:bodyDiv w:val="1"/>
      <w:marLeft w:val="0"/>
      <w:marRight w:val="0"/>
      <w:marTop w:val="0"/>
      <w:marBottom w:val="0"/>
      <w:divBdr>
        <w:top w:val="none" w:sz="0" w:space="0" w:color="auto"/>
        <w:left w:val="none" w:sz="0" w:space="0" w:color="auto"/>
        <w:bottom w:val="none" w:sz="0" w:space="0" w:color="auto"/>
        <w:right w:val="none" w:sz="0" w:space="0" w:color="auto"/>
      </w:divBdr>
    </w:div>
    <w:div w:id="1103646455">
      <w:bodyDiv w:val="1"/>
      <w:marLeft w:val="0"/>
      <w:marRight w:val="0"/>
      <w:marTop w:val="0"/>
      <w:marBottom w:val="0"/>
      <w:divBdr>
        <w:top w:val="none" w:sz="0" w:space="0" w:color="auto"/>
        <w:left w:val="none" w:sz="0" w:space="0" w:color="auto"/>
        <w:bottom w:val="none" w:sz="0" w:space="0" w:color="auto"/>
        <w:right w:val="none" w:sz="0" w:space="0" w:color="auto"/>
      </w:divBdr>
      <w:divsChild>
        <w:div w:id="1027099041">
          <w:marLeft w:val="0"/>
          <w:marRight w:val="0"/>
          <w:marTop w:val="0"/>
          <w:marBottom w:val="0"/>
          <w:divBdr>
            <w:top w:val="none" w:sz="0" w:space="0" w:color="auto"/>
            <w:left w:val="none" w:sz="0" w:space="0" w:color="auto"/>
            <w:bottom w:val="none" w:sz="0" w:space="0" w:color="auto"/>
            <w:right w:val="none" w:sz="0" w:space="0" w:color="auto"/>
          </w:divBdr>
          <w:divsChild>
            <w:div w:id="820345112">
              <w:marLeft w:val="0"/>
              <w:marRight w:val="0"/>
              <w:marTop w:val="411"/>
              <w:marBottom w:val="0"/>
              <w:divBdr>
                <w:top w:val="none" w:sz="0" w:space="0" w:color="auto"/>
                <w:left w:val="none" w:sz="0" w:space="0" w:color="auto"/>
                <w:bottom w:val="none" w:sz="0" w:space="0" w:color="auto"/>
                <w:right w:val="none" w:sz="0" w:space="0" w:color="auto"/>
              </w:divBdr>
              <w:divsChild>
                <w:div w:id="1945383163">
                  <w:marLeft w:val="0"/>
                  <w:marRight w:val="0"/>
                  <w:marTop w:val="0"/>
                  <w:marBottom w:val="0"/>
                  <w:divBdr>
                    <w:top w:val="none" w:sz="0" w:space="0" w:color="auto"/>
                    <w:left w:val="none" w:sz="0" w:space="0" w:color="auto"/>
                    <w:bottom w:val="none" w:sz="0" w:space="0" w:color="auto"/>
                    <w:right w:val="none" w:sz="0" w:space="0" w:color="auto"/>
                  </w:divBdr>
                  <w:divsChild>
                    <w:div w:id="881088731">
                      <w:marLeft w:val="79"/>
                      <w:marRight w:val="79"/>
                      <w:marTop w:val="0"/>
                      <w:marBottom w:val="0"/>
                      <w:divBdr>
                        <w:top w:val="none" w:sz="0" w:space="0" w:color="auto"/>
                        <w:left w:val="none" w:sz="0" w:space="0" w:color="auto"/>
                        <w:bottom w:val="none" w:sz="0" w:space="0" w:color="auto"/>
                        <w:right w:val="none" w:sz="0" w:space="0" w:color="auto"/>
                      </w:divBdr>
                      <w:divsChild>
                        <w:div w:id="2060089611">
                          <w:marLeft w:val="0"/>
                          <w:marRight w:val="0"/>
                          <w:marTop w:val="0"/>
                          <w:marBottom w:val="0"/>
                          <w:divBdr>
                            <w:top w:val="dashed" w:sz="6" w:space="0" w:color="DDDDDD"/>
                            <w:left w:val="none" w:sz="0" w:space="0" w:color="auto"/>
                            <w:bottom w:val="none" w:sz="0" w:space="0" w:color="auto"/>
                            <w:right w:val="none" w:sz="0" w:space="0" w:color="auto"/>
                          </w:divBdr>
                          <w:divsChild>
                            <w:div w:id="1311711891">
                              <w:marLeft w:val="0"/>
                              <w:marRight w:val="0"/>
                              <w:marTop w:val="0"/>
                              <w:marBottom w:val="0"/>
                              <w:divBdr>
                                <w:top w:val="none" w:sz="0" w:space="0" w:color="auto"/>
                                <w:left w:val="none" w:sz="0" w:space="0" w:color="auto"/>
                                <w:bottom w:val="none" w:sz="0" w:space="0" w:color="auto"/>
                                <w:right w:val="none" w:sz="0" w:space="0" w:color="auto"/>
                              </w:divBdr>
                              <w:divsChild>
                                <w:div w:id="1771856194">
                                  <w:marLeft w:val="0"/>
                                  <w:marRight w:val="0"/>
                                  <w:marTop w:val="79"/>
                                  <w:marBottom w:val="79"/>
                                  <w:divBdr>
                                    <w:top w:val="none" w:sz="0" w:space="0" w:color="auto"/>
                                    <w:left w:val="none" w:sz="0" w:space="0" w:color="auto"/>
                                    <w:bottom w:val="none" w:sz="0" w:space="0" w:color="auto"/>
                                    <w:right w:val="none" w:sz="0" w:space="0" w:color="auto"/>
                                  </w:divBdr>
                                  <w:divsChild>
                                    <w:div w:id="550965956">
                                      <w:marLeft w:val="0"/>
                                      <w:marRight w:val="0"/>
                                      <w:marTop w:val="0"/>
                                      <w:marBottom w:val="0"/>
                                      <w:divBdr>
                                        <w:top w:val="none" w:sz="0" w:space="0" w:color="auto"/>
                                        <w:left w:val="none" w:sz="0" w:space="0" w:color="auto"/>
                                        <w:bottom w:val="none" w:sz="0" w:space="0" w:color="auto"/>
                                        <w:right w:val="none" w:sz="0" w:space="0" w:color="auto"/>
                                      </w:divBdr>
                                      <w:divsChild>
                                        <w:div w:id="1815830622">
                                          <w:marLeft w:val="554"/>
                                          <w:marRight w:val="0"/>
                                          <w:marTop w:val="0"/>
                                          <w:marBottom w:val="0"/>
                                          <w:divBdr>
                                            <w:top w:val="none" w:sz="0" w:space="0" w:color="auto"/>
                                            <w:left w:val="none" w:sz="0" w:space="0" w:color="auto"/>
                                            <w:bottom w:val="none" w:sz="0" w:space="0" w:color="auto"/>
                                            <w:right w:val="none" w:sz="0" w:space="0" w:color="auto"/>
                                          </w:divBdr>
                                          <w:divsChild>
                                            <w:div w:id="27992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8356501">
      <w:bodyDiv w:val="1"/>
      <w:marLeft w:val="0"/>
      <w:marRight w:val="0"/>
      <w:marTop w:val="0"/>
      <w:marBottom w:val="0"/>
      <w:divBdr>
        <w:top w:val="none" w:sz="0" w:space="0" w:color="auto"/>
        <w:left w:val="none" w:sz="0" w:space="0" w:color="auto"/>
        <w:bottom w:val="none" w:sz="0" w:space="0" w:color="auto"/>
        <w:right w:val="none" w:sz="0" w:space="0" w:color="auto"/>
      </w:divBdr>
      <w:divsChild>
        <w:div w:id="1371489997">
          <w:marLeft w:val="0"/>
          <w:marRight w:val="0"/>
          <w:marTop w:val="0"/>
          <w:marBottom w:val="0"/>
          <w:divBdr>
            <w:top w:val="none" w:sz="0" w:space="0" w:color="auto"/>
            <w:left w:val="none" w:sz="0" w:space="0" w:color="auto"/>
            <w:bottom w:val="none" w:sz="0" w:space="0" w:color="auto"/>
            <w:right w:val="none" w:sz="0" w:space="0" w:color="auto"/>
          </w:divBdr>
          <w:divsChild>
            <w:div w:id="783381648">
              <w:marLeft w:val="0"/>
              <w:marRight w:val="0"/>
              <w:marTop w:val="0"/>
              <w:marBottom w:val="0"/>
              <w:divBdr>
                <w:top w:val="none" w:sz="0" w:space="0" w:color="auto"/>
                <w:left w:val="none" w:sz="0" w:space="0" w:color="auto"/>
                <w:bottom w:val="none" w:sz="0" w:space="0" w:color="auto"/>
                <w:right w:val="none" w:sz="0" w:space="0" w:color="auto"/>
              </w:divBdr>
              <w:divsChild>
                <w:div w:id="1850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201559">
      <w:bodyDiv w:val="1"/>
      <w:marLeft w:val="0"/>
      <w:marRight w:val="0"/>
      <w:marTop w:val="0"/>
      <w:marBottom w:val="0"/>
      <w:divBdr>
        <w:top w:val="none" w:sz="0" w:space="0" w:color="auto"/>
        <w:left w:val="none" w:sz="0" w:space="0" w:color="auto"/>
        <w:bottom w:val="none" w:sz="0" w:space="0" w:color="auto"/>
        <w:right w:val="none" w:sz="0" w:space="0" w:color="auto"/>
      </w:divBdr>
    </w:div>
    <w:div w:id="1113016123">
      <w:bodyDiv w:val="1"/>
      <w:marLeft w:val="0"/>
      <w:marRight w:val="0"/>
      <w:marTop w:val="0"/>
      <w:marBottom w:val="0"/>
      <w:divBdr>
        <w:top w:val="none" w:sz="0" w:space="0" w:color="auto"/>
        <w:left w:val="none" w:sz="0" w:space="0" w:color="auto"/>
        <w:bottom w:val="none" w:sz="0" w:space="0" w:color="auto"/>
        <w:right w:val="none" w:sz="0" w:space="0" w:color="auto"/>
      </w:divBdr>
    </w:div>
    <w:div w:id="1113088549">
      <w:bodyDiv w:val="1"/>
      <w:marLeft w:val="0"/>
      <w:marRight w:val="0"/>
      <w:marTop w:val="0"/>
      <w:marBottom w:val="0"/>
      <w:divBdr>
        <w:top w:val="none" w:sz="0" w:space="0" w:color="auto"/>
        <w:left w:val="none" w:sz="0" w:space="0" w:color="auto"/>
        <w:bottom w:val="none" w:sz="0" w:space="0" w:color="auto"/>
        <w:right w:val="none" w:sz="0" w:space="0" w:color="auto"/>
      </w:divBdr>
    </w:div>
    <w:div w:id="1114524243">
      <w:bodyDiv w:val="1"/>
      <w:marLeft w:val="0"/>
      <w:marRight w:val="0"/>
      <w:marTop w:val="0"/>
      <w:marBottom w:val="0"/>
      <w:divBdr>
        <w:top w:val="none" w:sz="0" w:space="0" w:color="auto"/>
        <w:left w:val="none" w:sz="0" w:space="0" w:color="auto"/>
        <w:bottom w:val="none" w:sz="0" w:space="0" w:color="auto"/>
        <w:right w:val="none" w:sz="0" w:space="0" w:color="auto"/>
      </w:divBdr>
    </w:div>
    <w:div w:id="1117137875">
      <w:bodyDiv w:val="1"/>
      <w:marLeft w:val="0"/>
      <w:marRight w:val="0"/>
      <w:marTop w:val="0"/>
      <w:marBottom w:val="0"/>
      <w:divBdr>
        <w:top w:val="none" w:sz="0" w:space="0" w:color="auto"/>
        <w:left w:val="none" w:sz="0" w:space="0" w:color="auto"/>
        <w:bottom w:val="none" w:sz="0" w:space="0" w:color="auto"/>
        <w:right w:val="none" w:sz="0" w:space="0" w:color="auto"/>
      </w:divBdr>
      <w:divsChild>
        <w:div w:id="394280499">
          <w:marLeft w:val="0"/>
          <w:marRight w:val="0"/>
          <w:marTop w:val="0"/>
          <w:marBottom w:val="0"/>
          <w:divBdr>
            <w:top w:val="none" w:sz="0" w:space="0" w:color="auto"/>
            <w:left w:val="none" w:sz="0" w:space="0" w:color="auto"/>
            <w:bottom w:val="none" w:sz="0" w:space="0" w:color="auto"/>
            <w:right w:val="none" w:sz="0" w:space="0" w:color="auto"/>
          </w:divBdr>
          <w:divsChild>
            <w:div w:id="589434074">
              <w:marLeft w:val="0"/>
              <w:marRight w:val="0"/>
              <w:marTop w:val="0"/>
              <w:marBottom w:val="0"/>
              <w:divBdr>
                <w:top w:val="none" w:sz="0" w:space="0" w:color="auto"/>
                <w:left w:val="none" w:sz="0" w:space="0" w:color="auto"/>
                <w:bottom w:val="none" w:sz="0" w:space="0" w:color="auto"/>
                <w:right w:val="none" w:sz="0" w:space="0" w:color="auto"/>
              </w:divBdr>
              <w:divsChild>
                <w:div w:id="12780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687461">
      <w:bodyDiv w:val="1"/>
      <w:marLeft w:val="0"/>
      <w:marRight w:val="0"/>
      <w:marTop w:val="0"/>
      <w:marBottom w:val="0"/>
      <w:divBdr>
        <w:top w:val="none" w:sz="0" w:space="0" w:color="auto"/>
        <w:left w:val="none" w:sz="0" w:space="0" w:color="auto"/>
        <w:bottom w:val="none" w:sz="0" w:space="0" w:color="auto"/>
        <w:right w:val="none" w:sz="0" w:space="0" w:color="auto"/>
      </w:divBdr>
    </w:div>
    <w:div w:id="1130585831">
      <w:bodyDiv w:val="1"/>
      <w:marLeft w:val="0"/>
      <w:marRight w:val="0"/>
      <w:marTop w:val="0"/>
      <w:marBottom w:val="0"/>
      <w:divBdr>
        <w:top w:val="none" w:sz="0" w:space="0" w:color="auto"/>
        <w:left w:val="none" w:sz="0" w:space="0" w:color="auto"/>
        <w:bottom w:val="none" w:sz="0" w:space="0" w:color="auto"/>
        <w:right w:val="none" w:sz="0" w:space="0" w:color="auto"/>
      </w:divBdr>
    </w:div>
    <w:div w:id="1131023174">
      <w:bodyDiv w:val="1"/>
      <w:marLeft w:val="0"/>
      <w:marRight w:val="0"/>
      <w:marTop w:val="0"/>
      <w:marBottom w:val="0"/>
      <w:divBdr>
        <w:top w:val="none" w:sz="0" w:space="0" w:color="auto"/>
        <w:left w:val="none" w:sz="0" w:space="0" w:color="auto"/>
        <w:bottom w:val="none" w:sz="0" w:space="0" w:color="auto"/>
        <w:right w:val="none" w:sz="0" w:space="0" w:color="auto"/>
      </w:divBdr>
      <w:divsChild>
        <w:div w:id="488718442">
          <w:marLeft w:val="0"/>
          <w:marRight w:val="0"/>
          <w:marTop w:val="0"/>
          <w:marBottom w:val="0"/>
          <w:divBdr>
            <w:top w:val="none" w:sz="0" w:space="0" w:color="auto"/>
            <w:left w:val="none" w:sz="0" w:space="0" w:color="auto"/>
            <w:bottom w:val="none" w:sz="0" w:space="0" w:color="auto"/>
            <w:right w:val="none" w:sz="0" w:space="0" w:color="auto"/>
          </w:divBdr>
        </w:div>
        <w:div w:id="1201354745">
          <w:marLeft w:val="0"/>
          <w:marRight w:val="0"/>
          <w:marTop w:val="0"/>
          <w:marBottom w:val="0"/>
          <w:divBdr>
            <w:top w:val="none" w:sz="0" w:space="0" w:color="auto"/>
            <w:left w:val="none" w:sz="0" w:space="0" w:color="auto"/>
            <w:bottom w:val="none" w:sz="0" w:space="0" w:color="auto"/>
            <w:right w:val="none" w:sz="0" w:space="0" w:color="auto"/>
          </w:divBdr>
        </w:div>
        <w:div w:id="1237931449">
          <w:marLeft w:val="0"/>
          <w:marRight w:val="0"/>
          <w:marTop w:val="0"/>
          <w:marBottom w:val="0"/>
          <w:divBdr>
            <w:top w:val="none" w:sz="0" w:space="0" w:color="auto"/>
            <w:left w:val="none" w:sz="0" w:space="0" w:color="auto"/>
            <w:bottom w:val="none" w:sz="0" w:space="0" w:color="auto"/>
            <w:right w:val="none" w:sz="0" w:space="0" w:color="auto"/>
          </w:divBdr>
        </w:div>
        <w:div w:id="1409381203">
          <w:marLeft w:val="0"/>
          <w:marRight w:val="0"/>
          <w:marTop w:val="0"/>
          <w:marBottom w:val="0"/>
          <w:divBdr>
            <w:top w:val="none" w:sz="0" w:space="0" w:color="auto"/>
            <w:left w:val="none" w:sz="0" w:space="0" w:color="auto"/>
            <w:bottom w:val="none" w:sz="0" w:space="0" w:color="auto"/>
            <w:right w:val="none" w:sz="0" w:space="0" w:color="auto"/>
          </w:divBdr>
        </w:div>
        <w:div w:id="1430469381">
          <w:marLeft w:val="0"/>
          <w:marRight w:val="0"/>
          <w:marTop w:val="0"/>
          <w:marBottom w:val="0"/>
          <w:divBdr>
            <w:top w:val="none" w:sz="0" w:space="0" w:color="auto"/>
            <w:left w:val="none" w:sz="0" w:space="0" w:color="auto"/>
            <w:bottom w:val="none" w:sz="0" w:space="0" w:color="auto"/>
            <w:right w:val="none" w:sz="0" w:space="0" w:color="auto"/>
          </w:divBdr>
        </w:div>
        <w:div w:id="1436706751">
          <w:marLeft w:val="0"/>
          <w:marRight w:val="0"/>
          <w:marTop w:val="0"/>
          <w:marBottom w:val="0"/>
          <w:divBdr>
            <w:top w:val="none" w:sz="0" w:space="0" w:color="auto"/>
            <w:left w:val="none" w:sz="0" w:space="0" w:color="auto"/>
            <w:bottom w:val="none" w:sz="0" w:space="0" w:color="auto"/>
            <w:right w:val="none" w:sz="0" w:space="0" w:color="auto"/>
          </w:divBdr>
        </w:div>
      </w:divsChild>
    </w:div>
    <w:div w:id="1135758829">
      <w:bodyDiv w:val="1"/>
      <w:marLeft w:val="0"/>
      <w:marRight w:val="0"/>
      <w:marTop w:val="0"/>
      <w:marBottom w:val="0"/>
      <w:divBdr>
        <w:top w:val="none" w:sz="0" w:space="0" w:color="auto"/>
        <w:left w:val="none" w:sz="0" w:space="0" w:color="auto"/>
        <w:bottom w:val="none" w:sz="0" w:space="0" w:color="auto"/>
        <w:right w:val="none" w:sz="0" w:space="0" w:color="auto"/>
      </w:divBdr>
    </w:div>
    <w:div w:id="1139037244">
      <w:bodyDiv w:val="1"/>
      <w:marLeft w:val="0"/>
      <w:marRight w:val="0"/>
      <w:marTop w:val="0"/>
      <w:marBottom w:val="0"/>
      <w:divBdr>
        <w:top w:val="none" w:sz="0" w:space="0" w:color="auto"/>
        <w:left w:val="none" w:sz="0" w:space="0" w:color="auto"/>
        <w:bottom w:val="none" w:sz="0" w:space="0" w:color="auto"/>
        <w:right w:val="none" w:sz="0" w:space="0" w:color="auto"/>
      </w:divBdr>
      <w:divsChild>
        <w:div w:id="1452090993">
          <w:marLeft w:val="0"/>
          <w:marRight w:val="0"/>
          <w:marTop w:val="0"/>
          <w:marBottom w:val="0"/>
          <w:divBdr>
            <w:top w:val="none" w:sz="0" w:space="0" w:color="auto"/>
            <w:left w:val="none" w:sz="0" w:space="0" w:color="auto"/>
            <w:bottom w:val="none" w:sz="0" w:space="0" w:color="auto"/>
            <w:right w:val="none" w:sz="0" w:space="0" w:color="auto"/>
          </w:divBdr>
          <w:divsChild>
            <w:div w:id="1135222365">
              <w:marLeft w:val="0"/>
              <w:marRight w:val="0"/>
              <w:marTop w:val="411"/>
              <w:marBottom w:val="0"/>
              <w:divBdr>
                <w:top w:val="none" w:sz="0" w:space="0" w:color="auto"/>
                <w:left w:val="none" w:sz="0" w:space="0" w:color="auto"/>
                <w:bottom w:val="none" w:sz="0" w:space="0" w:color="auto"/>
                <w:right w:val="none" w:sz="0" w:space="0" w:color="auto"/>
              </w:divBdr>
              <w:divsChild>
                <w:div w:id="502596887">
                  <w:marLeft w:val="0"/>
                  <w:marRight w:val="0"/>
                  <w:marTop w:val="0"/>
                  <w:marBottom w:val="0"/>
                  <w:divBdr>
                    <w:top w:val="none" w:sz="0" w:space="0" w:color="auto"/>
                    <w:left w:val="none" w:sz="0" w:space="0" w:color="auto"/>
                    <w:bottom w:val="none" w:sz="0" w:space="0" w:color="auto"/>
                    <w:right w:val="none" w:sz="0" w:space="0" w:color="auto"/>
                  </w:divBdr>
                  <w:divsChild>
                    <w:div w:id="434249037">
                      <w:marLeft w:val="79"/>
                      <w:marRight w:val="79"/>
                      <w:marTop w:val="0"/>
                      <w:marBottom w:val="0"/>
                      <w:divBdr>
                        <w:top w:val="none" w:sz="0" w:space="0" w:color="auto"/>
                        <w:left w:val="none" w:sz="0" w:space="0" w:color="auto"/>
                        <w:bottom w:val="none" w:sz="0" w:space="0" w:color="auto"/>
                        <w:right w:val="none" w:sz="0" w:space="0" w:color="auto"/>
                      </w:divBdr>
                      <w:divsChild>
                        <w:div w:id="855965817">
                          <w:marLeft w:val="0"/>
                          <w:marRight w:val="0"/>
                          <w:marTop w:val="0"/>
                          <w:marBottom w:val="0"/>
                          <w:divBdr>
                            <w:top w:val="dashed" w:sz="6" w:space="0" w:color="DDDDDD"/>
                            <w:left w:val="none" w:sz="0" w:space="0" w:color="auto"/>
                            <w:bottom w:val="none" w:sz="0" w:space="0" w:color="auto"/>
                            <w:right w:val="none" w:sz="0" w:space="0" w:color="auto"/>
                          </w:divBdr>
                          <w:divsChild>
                            <w:div w:id="1645158066">
                              <w:marLeft w:val="0"/>
                              <w:marRight w:val="0"/>
                              <w:marTop w:val="0"/>
                              <w:marBottom w:val="0"/>
                              <w:divBdr>
                                <w:top w:val="none" w:sz="0" w:space="0" w:color="auto"/>
                                <w:left w:val="none" w:sz="0" w:space="0" w:color="auto"/>
                                <w:bottom w:val="none" w:sz="0" w:space="0" w:color="auto"/>
                                <w:right w:val="none" w:sz="0" w:space="0" w:color="auto"/>
                              </w:divBdr>
                              <w:divsChild>
                                <w:div w:id="1405880580">
                                  <w:marLeft w:val="0"/>
                                  <w:marRight w:val="0"/>
                                  <w:marTop w:val="79"/>
                                  <w:marBottom w:val="79"/>
                                  <w:divBdr>
                                    <w:top w:val="none" w:sz="0" w:space="0" w:color="auto"/>
                                    <w:left w:val="none" w:sz="0" w:space="0" w:color="auto"/>
                                    <w:bottom w:val="none" w:sz="0" w:space="0" w:color="auto"/>
                                    <w:right w:val="none" w:sz="0" w:space="0" w:color="auto"/>
                                  </w:divBdr>
                                  <w:divsChild>
                                    <w:div w:id="1011952031">
                                      <w:marLeft w:val="0"/>
                                      <w:marRight w:val="0"/>
                                      <w:marTop w:val="0"/>
                                      <w:marBottom w:val="0"/>
                                      <w:divBdr>
                                        <w:top w:val="none" w:sz="0" w:space="0" w:color="auto"/>
                                        <w:left w:val="none" w:sz="0" w:space="0" w:color="auto"/>
                                        <w:bottom w:val="none" w:sz="0" w:space="0" w:color="auto"/>
                                        <w:right w:val="none" w:sz="0" w:space="0" w:color="auto"/>
                                      </w:divBdr>
                                      <w:divsChild>
                                        <w:div w:id="2026900566">
                                          <w:marLeft w:val="554"/>
                                          <w:marRight w:val="0"/>
                                          <w:marTop w:val="0"/>
                                          <w:marBottom w:val="0"/>
                                          <w:divBdr>
                                            <w:top w:val="none" w:sz="0" w:space="0" w:color="auto"/>
                                            <w:left w:val="none" w:sz="0" w:space="0" w:color="auto"/>
                                            <w:bottom w:val="none" w:sz="0" w:space="0" w:color="auto"/>
                                            <w:right w:val="none" w:sz="0" w:space="0" w:color="auto"/>
                                          </w:divBdr>
                                          <w:divsChild>
                                            <w:div w:id="126642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1673287">
      <w:bodyDiv w:val="1"/>
      <w:marLeft w:val="0"/>
      <w:marRight w:val="0"/>
      <w:marTop w:val="0"/>
      <w:marBottom w:val="0"/>
      <w:divBdr>
        <w:top w:val="none" w:sz="0" w:space="0" w:color="auto"/>
        <w:left w:val="none" w:sz="0" w:space="0" w:color="auto"/>
        <w:bottom w:val="none" w:sz="0" w:space="0" w:color="auto"/>
        <w:right w:val="none" w:sz="0" w:space="0" w:color="auto"/>
      </w:divBdr>
    </w:div>
    <w:div w:id="1155756032">
      <w:bodyDiv w:val="1"/>
      <w:marLeft w:val="0"/>
      <w:marRight w:val="0"/>
      <w:marTop w:val="0"/>
      <w:marBottom w:val="0"/>
      <w:divBdr>
        <w:top w:val="none" w:sz="0" w:space="0" w:color="auto"/>
        <w:left w:val="none" w:sz="0" w:space="0" w:color="auto"/>
        <w:bottom w:val="none" w:sz="0" w:space="0" w:color="auto"/>
        <w:right w:val="none" w:sz="0" w:space="0" w:color="auto"/>
      </w:divBdr>
    </w:div>
    <w:div w:id="1160847939">
      <w:bodyDiv w:val="1"/>
      <w:marLeft w:val="0"/>
      <w:marRight w:val="0"/>
      <w:marTop w:val="0"/>
      <w:marBottom w:val="0"/>
      <w:divBdr>
        <w:top w:val="none" w:sz="0" w:space="0" w:color="auto"/>
        <w:left w:val="none" w:sz="0" w:space="0" w:color="auto"/>
        <w:bottom w:val="none" w:sz="0" w:space="0" w:color="auto"/>
        <w:right w:val="none" w:sz="0" w:space="0" w:color="auto"/>
      </w:divBdr>
    </w:div>
    <w:div w:id="1162312828">
      <w:bodyDiv w:val="1"/>
      <w:marLeft w:val="0"/>
      <w:marRight w:val="0"/>
      <w:marTop w:val="0"/>
      <w:marBottom w:val="0"/>
      <w:divBdr>
        <w:top w:val="none" w:sz="0" w:space="0" w:color="auto"/>
        <w:left w:val="none" w:sz="0" w:space="0" w:color="auto"/>
        <w:bottom w:val="none" w:sz="0" w:space="0" w:color="auto"/>
        <w:right w:val="none" w:sz="0" w:space="0" w:color="auto"/>
      </w:divBdr>
    </w:div>
    <w:div w:id="1165197039">
      <w:bodyDiv w:val="1"/>
      <w:marLeft w:val="0"/>
      <w:marRight w:val="0"/>
      <w:marTop w:val="0"/>
      <w:marBottom w:val="0"/>
      <w:divBdr>
        <w:top w:val="none" w:sz="0" w:space="0" w:color="auto"/>
        <w:left w:val="none" w:sz="0" w:space="0" w:color="auto"/>
        <w:bottom w:val="none" w:sz="0" w:space="0" w:color="auto"/>
        <w:right w:val="none" w:sz="0" w:space="0" w:color="auto"/>
      </w:divBdr>
    </w:div>
    <w:div w:id="1165366205">
      <w:bodyDiv w:val="1"/>
      <w:marLeft w:val="0"/>
      <w:marRight w:val="0"/>
      <w:marTop w:val="0"/>
      <w:marBottom w:val="0"/>
      <w:divBdr>
        <w:top w:val="none" w:sz="0" w:space="0" w:color="auto"/>
        <w:left w:val="none" w:sz="0" w:space="0" w:color="auto"/>
        <w:bottom w:val="none" w:sz="0" w:space="0" w:color="auto"/>
        <w:right w:val="none" w:sz="0" w:space="0" w:color="auto"/>
      </w:divBdr>
      <w:divsChild>
        <w:div w:id="1677224535">
          <w:marLeft w:val="0"/>
          <w:marRight w:val="0"/>
          <w:marTop w:val="0"/>
          <w:marBottom w:val="0"/>
          <w:divBdr>
            <w:top w:val="none" w:sz="0" w:space="0" w:color="auto"/>
            <w:left w:val="none" w:sz="0" w:space="0" w:color="auto"/>
            <w:bottom w:val="none" w:sz="0" w:space="0" w:color="auto"/>
            <w:right w:val="none" w:sz="0" w:space="0" w:color="auto"/>
          </w:divBdr>
        </w:div>
      </w:divsChild>
    </w:div>
    <w:div w:id="1169251145">
      <w:bodyDiv w:val="1"/>
      <w:marLeft w:val="0"/>
      <w:marRight w:val="0"/>
      <w:marTop w:val="0"/>
      <w:marBottom w:val="0"/>
      <w:divBdr>
        <w:top w:val="none" w:sz="0" w:space="0" w:color="auto"/>
        <w:left w:val="none" w:sz="0" w:space="0" w:color="auto"/>
        <w:bottom w:val="none" w:sz="0" w:space="0" w:color="auto"/>
        <w:right w:val="none" w:sz="0" w:space="0" w:color="auto"/>
      </w:divBdr>
    </w:div>
    <w:div w:id="1179537259">
      <w:bodyDiv w:val="1"/>
      <w:marLeft w:val="0"/>
      <w:marRight w:val="0"/>
      <w:marTop w:val="0"/>
      <w:marBottom w:val="0"/>
      <w:divBdr>
        <w:top w:val="none" w:sz="0" w:space="0" w:color="auto"/>
        <w:left w:val="none" w:sz="0" w:space="0" w:color="auto"/>
        <w:bottom w:val="none" w:sz="0" w:space="0" w:color="auto"/>
        <w:right w:val="none" w:sz="0" w:space="0" w:color="auto"/>
      </w:divBdr>
    </w:div>
    <w:div w:id="1184174800">
      <w:bodyDiv w:val="1"/>
      <w:marLeft w:val="0"/>
      <w:marRight w:val="0"/>
      <w:marTop w:val="0"/>
      <w:marBottom w:val="0"/>
      <w:divBdr>
        <w:top w:val="none" w:sz="0" w:space="0" w:color="auto"/>
        <w:left w:val="none" w:sz="0" w:space="0" w:color="auto"/>
        <w:bottom w:val="none" w:sz="0" w:space="0" w:color="auto"/>
        <w:right w:val="none" w:sz="0" w:space="0" w:color="auto"/>
      </w:divBdr>
      <w:divsChild>
        <w:div w:id="1237400769">
          <w:marLeft w:val="0"/>
          <w:marRight w:val="0"/>
          <w:marTop w:val="0"/>
          <w:marBottom w:val="0"/>
          <w:divBdr>
            <w:top w:val="none" w:sz="0" w:space="0" w:color="auto"/>
            <w:left w:val="none" w:sz="0" w:space="0" w:color="auto"/>
            <w:bottom w:val="none" w:sz="0" w:space="0" w:color="auto"/>
            <w:right w:val="none" w:sz="0" w:space="0" w:color="auto"/>
          </w:divBdr>
          <w:divsChild>
            <w:div w:id="409273610">
              <w:marLeft w:val="0"/>
              <w:marRight w:val="0"/>
              <w:marTop w:val="411"/>
              <w:marBottom w:val="0"/>
              <w:divBdr>
                <w:top w:val="none" w:sz="0" w:space="0" w:color="auto"/>
                <w:left w:val="none" w:sz="0" w:space="0" w:color="auto"/>
                <w:bottom w:val="none" w:sz="0" w:space="0" w:color="auto"/>
                <w:right w:val="none" w:sz="0" w:space="0" w:color="auto"/>
              </w:divBdr>
              <w:divsChild>
                <w:div w:id="277875900">
                  <w:marLeft w:val="0"/>
                  <w:marRight w:val="0"/>
                  <w:marTop w:val="0"/>
                  <w:marBottom w:val="0"/>
                  <w:divBdr>
                    <w:top w:val="none" w:sz="0" w:space="0" w:color="auto"/>
                    <w:left w:val="none" w:sz="0" w:space="0" w:color="auto"/>
                    <w:bottom w:val="none" w:sz="0" w:space="0" w:color="auto"/>
                    <w:right w:val="none" w:sz="0" w:space="0" w:color="auto"/>
                  </w:divBdr>
                  <w:divsChild>
                    <w:div w:id="41366982">
                      <w:marLeft w:val="79"/>
                      <w:marRight w:val="79"/>
                      <w:marTop w:val="0"/>
                      <w:marBottom w:val="0"/>
                      <w:divBdr>
                        <w:top w:val="none" w:sz="0" w:space="0" w:color="auto"/>
                        <w:left w:val="none" w:sz="0" w:space="0" w:color="auto"/>
                        <w:bottom w:val="none" w:sz="0" w:space="0" w:color="auto"/>
                        <w:right w:val="none" w:sz="0" w:space="0" w:color="auto"/>
                      </w:divBdr>
                      <w:divsChild>
                        <w:div w:id="362023980">
                          <w:marLeft w:val="0"/>
                          <w:marRight w:val="0"/>
                          <w:marTop w:val="0"/>
                          <w:marBottom w:val="0"/>
                          <w:divBdr>
                            <w:top w:val="dashed" w:sz="6" w:space="0" w:color="DDDDDD"/>
                            <w:left w:val="none" w:sz="0" w:space="0" w:color="auto"/>
                            <w:bottom w:val="none" w:sz="0" w:space="0" w:color="auto"/>
                            <w:right w:val="none" w:sz="0" w:space="0" w:color="auto"/>
                          </w:divBdr>
                          <w:divsChild>
                            <w:div w:id="360982821">
                              <w:marLeft w:val="0"/>
                              <w:marRight w:val="0"/>
                              <w:marTop w:val="0"/>
                              <w:marBottom w:val="0"/>
                              <w:divBdr>
                                <w:top w:val="none" w:sz="0" w:space="0" w:color="auto"/>
                                <w:left w:val="none" w:sz="0" w:space="0" w:color="auto"/>
                                <w:bottom w:val="none" w:sz="0" w:space="0" w:color="auto"/>
                                <w:right w:val="none" w:sz="0" w:space="0" w:color="auto"/>
                              </w:divBdr>
                              <w:divsChild>
                                <w:div w:id="889224765">
                                  <w:marLeft w:val="0"/>
                                  <w:marRight w:val="0"/>
                                  <w:marTop w:val="79"/>
                                  <w:marBottom w:val="79"/>
                                  <w:divBdr>
                                    <w:top w:val="none" w:sz="0" w:space="0" w:color="auto"/>
                                    <w:left w:val="none" w:sz="0" w:space="0" w:color="auto"/>
                                    <w:bottom w:val="none" w:sz="0" w:space="0" w:color="auto"/>
                                    <w:right w:val="none" w:sz="0" w:space="0" w:color="auto"/>
                                  </w:divBdr>
                                  <w:divsChild>
                                    <w:div w:id="742217108">
                                      <w:marLeft w:val="0"/>
                                      <w:marRight w:val="0"/>
                                      <w:marTop w:val="0"/>
                                      <w:marBottom w:val="0"/>
                                      <w:divBdr>
                                        <w:top w:val="none" w:sz="0" w:space="0" w:color="auto"/>
                                        <w:left w:val="none" w:sz="0" w:space="0" w:color="auto"/>
                                        <w:bottom w:val="none" w:sz="0" w:space="0" w:color="auto"/>
                                        <w:right w:val="none" w:sz="0" w:space="0" w:color="auto"/>
                                      </w:divBdr>
                                      <w:divsChild>
                                        <w:div w:id="1155606188">
                                          <w:marLeft w:val="554"/>
                                          <w:marRight w:val="0"/>
                                          <w:marTop w:val="0"/>
                                          <w:marBottom w:val="0"/>
                                          <w:divBdr>
                                            <w:top w:val="none" w:sz="0" w:space="0" w:color="auto"/>
                                            <w:left w:val="none" w:sz="0" w:space="0" w:color="auto"/>
                                            <w:bottom w:val="none" w:sz="0" w:space="0" w:color="auto"/>
                                            <w:right w:val="none" w:sz="0" w:space="0" w:color="auto"/>
                                          </w:divBdr>
                                          <w:divsChild>
                                            <w:div w:id="163941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4810590">
      <w:bodyDiv w:val="1"/>
      <w:marLeft w:val="0"/>
      <w:marRight w:val="0"/>
      <w:marTop w:val="0"/>
      <w:marBottom w:val="0"/>
      <w:divBdr>
        <w:top w:val="none" w:sz="0" w:space="0" w:color="auto"/>
        <w:left w:val="none" w:sz="0" w:space="0" w:color="auto"/>
        <w:bottom w:val="none" w:sz="0" w:space="0" w:color="auto"/>
        <w:right w:val="none" w:sz="0" w:space="0" w:color="auto"/>
      </w:divBdr>
    </w:div>
    <w:div w:id="1194920598">
      <w:bodyDiv w:val="1"/>
      <w:marLeft w:val="0"/>
      <w:marRight w:val="0"/>
      <w:marTop w:val="0"/>
      <w:marBottom w:val="0"/>
      <w:divBdr>
        <w:top w:val="none" w:sz="0" w:space="0" w:color="auto"/>
        <w:left w:val="none" w:sz="0" w:space="0" w:color="auto"/>
        <w:bottom w:val="none" w:sz="0" w:space="0" w:color="auto"/>
        <w:right w:val="none" w:sz="0" w:space="0" w:color="auto"/>
      </w:divBdr>
    </w:div>
    <w:div w:id="1198738079">
      <w:bodyDiv w:val="1"/>
      <w:marLeft w:val="0"/>
      <w:marRight w:val="0"/>
      <w:marTop w:val="0"/>
      <w:marBottom w:val="0"/>
      <w:divBdr>
        <w:top w:val="none" w:sz="0" w:space="0" w:color="auto"/>
        <w:left w:val="none" w:sz="0" w:space="0" w:color="auto"/>
        <w:bottom w:val="none" w:sz="0" w:space="0" w:color="auto"/>
        <w:right w:val="none" w:sz="0" w:space="0" w:color="auto"/>
      </w:divBdr>
    </w:div>
    <w:div w:id="1199316606">
      <w:bodyDiv w:val="1"/>
      <w:marLeft w:val="0"/>
      <w:marRight w:val="0"/>
      <w:marTop w:val="0"/>
      <w:marBottom w:val="0"/>
      <w:divBdr>
        <w:top w:val="none" w:sz="0" w:space="0" w:color="auto"/>
        <w:left w:val="none" w:sz="0" w:space="0" w:color="auto"/>
        <w:bottom w:val="none" w:sz="0" w:space="0" w:color="auto"/>
        <w:right w:val="none" w:sz="0" w:space="0" w:color="auto"/>
      </w:divBdr>
    </w:div>
    <w:div w:id="1204174030">
      <w:bodyDiv w:val="1"/>
      <w:marLeft w:val="0"/>
      <w:marRight w:val="0"/>
      <w:marTop w:val="0"/>
      <w:marBottom w:val="0"/>
      <w:divBdr>
        <w:top w:val="none" w:sz="0" w:space="0" w:color="auto"/>
        <w:left w:val="none" w:sz="0" w:space="0" w:color="auto"/>
        <w:bottom w:val="none" w:sz="0" w:space="0" w:color="auto"/>
        <w:right w:val="none" w:sz="0" w:space="0" w:color="auto"/>
      </w:divBdr>
    </w:div>
    <w:div w:id="1204707623">
      <w:bodyDiv w:val="1"/>
      <w:marLeft w:val="0"/>
      <w:marRight w:val="0"/>
      <w:marTop w:val="0"/>
      <w:marBottom w:val="0"/>
      <w:divBdr>
        <w:top w:val="none" w:sz="0" w:space="0" w:color="auto"/>
        <w:left w:val="none" w:sz="0" w:space="0" w:color="auto"/>
        <w:bottom w:val="none" w:sz="0" w:space="0" w:color="auto"/>
        <w:right w:val="none" w:sz="0" w:space="0" w:color="auto"/>
      </w:divBdr>
    </w:div>
    <w:div w:id="1207336411">
      <w:bodyDiv w:val="1"/>
      <w:marLeft w:val="0"/>
      <w:marRight w:val="0"/>
      <w:marTop w:val="0"/>
      <w:marBottom w:val="0"/>
      <w:divBdr>
        <w:top w:val="none" w:sz="0" w:space="0" w:color="auto"/>
        <w:left w:val="none" w:sz="0" w:space="0" w:color="auto"/>
        <w:bottom w:val="none" w:sz="0" w:space="0" w:color="auto"/>
        <w:right w:val="none" w:sz="0" w:space="0" w:color="auto"/>
      </w:divBdr>
    </w:div>
    <w:div w:id="1208101107">
      <w:bodyDiv w:val="1"/>
      <w:marLeft w:val="0"/>
      <w:marRight w:val="0"/>
      <w:marTop w:val="0"/>
      <w:marBottom w:val="0"/>
      <w:divBdr>
        <w:top w:val="none" w:sz="0" w:space="0" w:color="auto"/>
        <w:left w:val="none" w:sz="0" w:space="0" w:color="auto"/>
        <w:bottom w:val="none" w:sz="0" w:space="0" w:color="auto"/>
        <w:right w:val="none" w:sz="0" w:space="0" w:color="auto"/>
      </w:divBdr>
    </w:div>
    <w:div w:id="1217932150">
      <w:bodyDiv w:val="1"/>
      <w:marLeft w:val="0"/>
      <w:marRight w:val="0"/>
      <w:marTop w:val="0"/>
      <w:marBottom w:val="0"/>
      <w:divBdr>
        <w:top w:val="none" w:sz="0" w:space="0" w:color="auto"/>
        <w:left w:val="none" w:sz="0" w:space="0" w:color="auto"/>
        <w:bottom w:val="none" w:sz="0" w:space="0" w:color="auto"/>
        <w:right w:val="none" w:sz="0" w:space="0" w:color="auto"/>
      </w:divBdr>
    </w:div>
    <w:div w:id="1219517460">
      <w:bodyDiv w:val="1"/>
      <w:marLeft w:val="0"/>
      <w:marRight w:val="0"/>
      <w:marTop w:val="0"/>
      <w:marBottom w:val="0"/>
      <w:divBdr>
        <w:top w:val="none" w:sz="0" w:space="0" w:color="auto"/>
        <w:left w:val="none" w:sz="0" w:space="0" w:color="auto"/>
        <w:bottom w:val="none" w:sz="0" w:space="0" w:color="auto"/>
        <w:right w:val="none" w:sz="0" w:space="0" w:color="auto"/>
      </w:divBdr>
      <w:divsChild>
        <w:div w:id="1022781853">
          <w:marLeft w:val="0"/>
          <w:marRight w:val="0"/>
          <w:marTop w:val="0"/>
          <w:marBottom w:val="0"/>
          <w:divBdr>
            <w:top w:val="none" w:sz="0" w:space="0" w:color="auto"/>
            <w:left w:val="none" w:sz="0" w:space="0" w:color="auto"/>
            <w:bottom w:val="none" w:sz="0" w:space="0" w:color="auto"/>
            <w:right w:val="none" w:sz="0" w:space="0" w:color="auto"/>
          </w:divBdr>
        </w:div>
      </w:divsChild>
    </w:div>
    <w:div w:id="1223326884">
      <w:bodyDiv w:val="1"/>
      <w:marLeft w:val="0"/>
      <w:marRight w:val="0"/>
      <w:marTop w:val="0"/>
      <w:marBottom w:val="0"/>
      <w:divBdr>
        <w:top w:val="none" w:sz="0" w:space="0" w:color="auto"/>
        <w:left w:val="none" w:sz="0" w:space="0" w:color="auto"/>
        <w:bottom w:val="none" w:sz="0" w:space="0" w:color="auto"/>
        <w:right w:val="none" w:sz="0" w:space="0" w:color="auto"/>
      </w:divBdr>
    </w:div>
    <w:div w:id="1224296331">
      <w:bodyDiv w:val="1"/>
      <w:marLeft w:val="0"/>
      <w:marRight w:val="0"/>
      <w:marTop w:val="0"/>
      <w:marBottom w:val="0"/>
      <w:divBdr>
        <w:top w:val="none" w:sz="0" w:space="0" w:color="auto"/>
        <w:left w:val="none" w:sz="0" w:space="0" w:color="auto"/>
        <w:bottom w:val="none" w:sz="0" w:space="0" w:color="auto"/>
        <w:right w:val="none" w:sz="0" w:space="0" w:color="auto"/>
      </w:divBdr>
    </w:div>
    <w:div w:id="1227259230">
      <w:bodyDiv w:val="1"/>
      <w:marLeft w:val="0"/>
      <w:marRight w:val="0"/>
      <w:marTop w:val="0"/>
      <w:marBottom w:val="0"/>
      <w:divBdr>
        <w:top w:val="none" w:sz="0" w:space="0" w:color="auto"/>
        <w:left w:val="none" w:sz="0" w:space="0" w:color="auto"/>
        <w:bottom w:val="none" w:sz="0" w:space="0" w:color="auto"/>
        <w:right w:val="none" w:sz="0" w:space="0" w:color="auto"/>
      </w:divBdr>
    </w:div>
    <w:div w:id="1245917995">
      <w:bodyDiv w:val="1"/>
      <w:marLeft w:val="0"/>
      <w:marRight w:val="0"/>
      <w:marTop w:val="0"/>
      <w:marBottom w:val="0"/>
      <w:divBdr>
        <w:top w:val="none" w:sz="0" w:space="0" w:color="auto"/>
        <w:left w:val="none" w:sz="0" w:space="0" w:color="auto"/>
        <w:bottom w:val="none" w:sz="0" w:space="0" w:color="auto"/>
        <w:right w:val="none" w:sz="0" w:space="0" w:color="auto"/>
      </w:divBdr>
    </w:div>
    <w:div w:id="1249998460">
      <w:bodyDiv w:val="1"/>
      <w:marLeft w:val="0"/>
      <w:marRight w:val="0"/>
      <w:marTop w:val="0"/>
      <w:marBottom w:val="0"/>
      <w:divBdr>
        <w:top w:val="none" w:sz="0" w:space="0" w:color="auto"/>
        <w:left w:val="none" w:sz="0" w:space="0" w:color="auto"/>
        <w:bottom w:val="none" w:sz="0" w:space="0" w:color="auto"/>
        <w:right w:val="none" w:sz="0" w:space="0" w:color="auto"/>
      </w:divBdr>
    </w:div>
    <w:div w:id="1254435202">
      <w:bodyDiv w:val="1"/>
      <w:marLeft w:val="0"/>
      <w:marRight w:val="0"/>
      <w:marTop w:val="0"/>
      <w:marBottom w:val="0"/>
      <w:divBdr>
        <w:top w:val="none" w:sz="0" w:space="0" w:color="auto"/>
        <w:left w:val="none" w:sz="0" w:space="0" w:color="auto"/>
        <w:bottom w:val="none" w:sz="0" w:space="0" w:color="auto"/>
        <w:right w:val="none" w:sz="0" w:space="0" w:color="auto"/>
      </w:divBdr>
      <w:divsChild>
        <w:div w:id="270475706">
          <w:marLeft w:val="0"/>
          <w:marRight w:val="0"/>
          <w:marTop w:val="0"/>
          <w:marBottom w:val="0"/>
          <w:divBdr>
            <w:top w:val="none" w:sz="0" w:space="0" w:color="auto"/>
            <w:left w:val="none" w:sz="0" w:space="0" w:color="auto"/>
            <w:bottom w:val="none" w:sz="0" w:space="0" w:color="auto"/>
            <w:right w:val="none" w:sz="0" w:space="0" w:color="auto"/>
          </w:divBdr>
        </w:div>
        <w:div w:id="775953060">
          <w:marLeft w:val="0"/>
          <w:marRight w:val="0"/>
          <w:marTop w:val="0"/>
          <w:marBottom w:val="0"/>
          <w:divBdr>
            <w:top w:val="none" w:sz="0" w:space="0" w:color="auto"/>
            <w:left w:val="none" w:sz="0" w:space="0" w:color="auto"/>
            <w:bottom w:val="none" w:sz="0" w:space="0" w:color="auto"/>
            <w:right w:val="none" w:sz="0" w:space="0" w:color="auto"/>
          </w:divBdr>
        </w:div>
        <w:div w:id="1364408019">
          <w:marLeft w:val="0"/>
          <w:marRight w:val="0"/>
          <w:marTop w:val="0"/>
          <w:marBottom w:val="0"/>
          <w:divBdr>
            <w:top w:val="none" w:sz="0" w:space="0" w:color="auto"/>
            <w:left w:val="none" w:sz="0" w:space="0" w:color="auto"/>
            <w:bottom w:val="none" w:sz="0" w:space="0" w:color="auto"/>
            <w:right w:val="none" w:sz="0" w:space="0" w:color="auto"/>
          </w:divBdr>
        </w:div>
        <w:div w:id="1691881348">
          <w:marLeft w:val="0"/>
          <w:marRight w:val="0"/>
          <w:marTop w:val="0"/>
          <w:marBottom w:val="0"/>
          <w:divBdr>
            <w:top w:val="none" w:sz="0" w:space="0" w:color="auto"/>
            <w:left w:val="none" w:sz="0" w:space="0" w:color="auto"/>
            <w:bottom w:val="none" w:sz="0" w:space="0" w:color="auto"/>
            <w:right w:val="none" w:sz="0" w:space="0" w:color="auto"/>
          </w:divBdr>
        </w:div>
      </w:divsChild>
    </w:div>
    <w:div w:id="1256329665">
      <w:bodyDiv w:val="1"/>
      <w:marLeft w:val="0"/>
      <w:marRight w:val="0"/>
      <w:marTop w:val="0"/>
      <w:marBottom w:val="0"/>
      <w:divBdr>
        <w:top w:val="none" w:sz="0" w:space="0" w:color="auto"/>
        <w:left w:val="none" w:sz="0" w:space="0" w:color="auto"/>
        <w:bottom w:val="none" w:sz="0" w:space="0" w:color="auto"/>
        <w:right w:val="none" w:sz="0" w:space="0" w:color="auto"/>
      </w:divBdr>
      <w:divsChild>
        <w:div w:id="864098825">
          <w:marLeft w:val="547"/>
          <w:marRight w:val="0"/>
          <w:marTop w:val="77"/>
          <w:marBottom w:val="0"/>
          <w:divBdr>
            <w:top w:val="none" w:sz="0" w:space="0" w:color="auto"/>
            <w:left w:val="none" w:sz="0" w:space="0" w:color="auto"/>
            <w:bottom w:val="none" w:sz="0" w:space="0" w:color="auto"/>
            <w:right w:val="none" w:sz="0" w:space="0" w:color="auto"/>
          </w:divBdr>
        </w:div>
      </w:divsChild>
    </w:div>
    <w:div w:id="1260018378">
      <w:bodyDiv w:val="1"/>
      <w:marLeft w:val="0"/>
      <w:marRight w:val="0"/>
      <w:marTop w:val="0"/>
      <w:marBottom w:val="0"/>
      <w:divBdr>
        <w:top w:val="none" w:sz="0" w:space="0" w:color="auto"/>
        <w:left w:val="none" w:sz="0" w:space="0" w:color="auto"/>
        <w:bottom w:val="none" w:sz="0" w:space="0" w:color="auto"/>
        <w:right w:val="none" w:sz="0" w:space="0" w:color="auto"/>
      </w:divBdr>
    </w:div>
    <w:div w:id="1260412968">
      <w:bodyDiv w:val="1"/>
      <w:marLeft w:val="0"/>
      <w:marRight w:val="0"/>
      <w:marTop w:val="0"/>
      <w:marBottom w:val="0"/>
      <w:divBdr>
        <w:top w:val="none" w:sz="0" w:space="0" w:color="auto"/>
        <w:left w:val="none" w:sz="0" w:space="0" w:color="auto"/>
        <w:bottom w:val="none" w:sz="0" w:space="0" w:color="auto"/>
        <w:right w:val="none" w:sz="0" w:space="0" w:color="auto"/>
      </w:divBdr>
    </w:div>
    <w:div w:id="1263103207">
      <w:bodyDiv w:val="1"/>
      <w:marLeft w:val="0"/>
      <w:marRight w:val="0"/>
      <w:marTop w:val="0"/>
      <w:marBottom w:val="0"/>
      <w:divBdr>
        <w:top w:val="none" w:sz="0" w:space="0" w:color="auto"/>
        <w:left w:val="none" w:sz="0" w:space="0" w:color="auto"/>
        <w:bottom w:val="none" w:sz="0" w:space="0" w:color="auto"/>
        <w:right w:val="none" w:sz="0" w:space="0" w:color="auto"/>
      </w:divBdr>
    </w:div>
    <w:div w:id="1266504302">
      <w:bodyDiv w:val="1"/>
      <w:marLeft w:val="0"/>
      <w:marRight w:val="0"/>
      <w:marTop w:val="0"/>
      <w:marBottom w:val="0"/>
      <w:divBdr>
        <w:top w:val="none" w:sz="0" w:space="0" w:color="auto"/>
        <w:left w:val="none" w:sz="0" w:space="0" w:color="auto"/>
        <w:bottom w:val="none" w:sz="0" w:space="0" w:color="auto"/>
        <w:right w:val="none" w:sz="0" w:space="0" w:color="auto"/>
      </w:divBdr>
    </w:div>
    <w:div w:id="1268199565">
      <w:bodyDiv w:val="1"/>
      <w:marLeft w:val="0"/>
      <w:marRight w:val="0"/>
      <w:marTop w:val="0"/>
      <w:marBottom w:val="0"/>
      <w:divBdr>
        <w:top w:val="none" w:sz="0" w:space="0" w:color="auto"/>
        <w:left w:val="none" w:sz="0" w:space="0" w:color="auto"/>
        <w:bottom w:val="none" w:sz="0" w:space="0" w:color="auto"/>
        <w:right w:val="none" w:sz="0" w:space="0" w:color="auto"/>
      </w:divBdr>
    </w:div>
    <w:div w:id="1269122670">
      <w:bodyDiv w:val="1"/>
      <w:marLeft w:val="0"/>
      <w:marRight w:val="0"/>
      <w:marTop w:val="0"/>
      <w:marBottom w:val="0"/>
      <w:divBdr>
        <w:top w:val="none" w:sz="0" w:space="0" w:color="auto"/>
        <w:left w:val="none" w:sz="0" w:space="0" w:color="auto"/>
        <w:bottom w:val="none" w:sz="0" w:space="0" w:color="auto"/>
        <w:right w:val="none" w:sz="0" w:space="0" w:color="auto"/>
      </w:divBdr>
    </w:div>
    <w:div w:id="1269699479">
      <w:bodyDiv w:val="1"/>
      <w:marLeft w:val="0"/>
      <w:marRight w:val="0"/>
      <w:marTop w:val="0"/>
      <w:marBottom w:val="0"/>
      <w:divBdr>
        <w:top w:val="none" w:sz="0" w:space="0" w:color="auto"/>
        <w:left w:val="none" w:sz="0" w:space="0" w:color="auto"/>
        <w:bottom w:val="none" w:sz="0" w:space="0" w:color="auto"/>
        <w:right w:val="none" w:sz="0" w:space="0" w:color="auto"/>
      </w:divBdr>
    </w:div>
    <w:div w:id="1272517497">
      <w:bodyDiv w:val="1"/>
      <w:marLeft w:val="0"/>
      <w:marRight w:val="0"/>
      <w:marTop w:val="0"/>
      <w:marBottom w:val="0"/>
      <w:divBdr>
        <w:top w:val="none" w:sz="0" w:space="0" w:color="auto"/>
        <w:left w:val="none" w:sz="0" w:space="0" w:color="auto"/>
        <w:bottom w:val="none" w:sz="0" w:space="0" w:color="auto"/>
        <w:right w:val="none" w:sz="0" w:space="0" w:color="auto"/>
      </w:divBdr>
    </w:div>
    <w:div w:id="1276593647">
      <w:bodyDiv w:val="1"/>
      <w:marLeft w:val="0"/>
      <w:marRight w:val="0"/>
      <w:marTop w:val="0"/>
      <w:marBottom w:val="0"/>
      <w:divBdr>
        <w:top w:val="none" w:sz="0" w:space="0" w:color="auto"/>
        <w:left w:val="none" w:sz="0" w:space="0" w:color="auto"/>
        <w:bottom w:val="none" w:sz="0" w:space="0" w:color="auto"/>
        <w:right w:val="none" w:sz="0" w:space="0" w:color="auto"/>
      </w:divBdr>
    </w:div>
    <w:div w:id="1276669809">
      <w:bodyDiv w:val="1"/>
      <w:marLeft w:val="0"/>
      <w:marRight w:val="0"/>
      <w:marTop w:val="0"/>
      <w:marBottom w:val="0"/>
      <w:divBdr>
        <w:top w:val="none" w:sz="0" w:space="0" w:color="auto"/>
        <w:left w:val="none" w:sz="0" w:space="0" w:color="auto"/>
        <w:bottom w:val="none" w:sz="0" w:space="0" w:color="auto"/>
        <w:right w:val="none" w:sz="0" w:space="0" w:color="auto"/>
      </w:divBdr>
    </w:div>
    <w:div w:id="1277105582">
      <w:bodyDiv w:val="1"/>
      <w:marLeft w:val="0"/>
      <w:marRight w:val="0"/>
      <w:marTop w:val="0"/>
      <w:marBottom w:val="0"/>
      <w:divBdr>
        <w:top w:val="none" w:sz="0" w:space="0" w:color="auto"/>
        <w:left w:val="none" w:sz="0" w:space="0" w:color="auto"/>
        <w:bottom w:val="none" w:sz="0" w:space="0" w:color="auto"/>
        <w:right w:val="none" w:sz="0" w:space="0" w:color="auto"/>
      </w:divBdr>
    </w:div>
    <w:div w:id="1284724316">
      <w:bodyDiv w:val="1"/>
      <w:marLeft w:val="0"/>
      <w:marRight w:val="0"/>
      <w:marTop w:val="0"/>
      <w:marBottom w:val="0"/>
      <w:divBdr>
        <w:top w:val="none" w:sz="0" w:space="0" w:color="auto"/>
        <w:left w:val="none" w:sz="0" w:space="0" w:color="auto"/>
        <w:bottom w:val="none" w:sz="0" w:space="0" w:color="auto"/>
        <w:right w:val="none" w:sz="0" w:space="0" w:color="auto"/>
      </w:divBdr>
    </w:div>
    <w:div w:id="1286698144">
      <w:bodyDiv w:val="1"/>
      <w:marLeft w:val="0"/>
      <w:marRight w:val="0"/>
      <w:marTop w:val="0"/>
      <w:marBottom w:val="0"/>
      <w:divBdr>
        <w:top w:val="none" w:sz="0" w:space="0" w:color="auto"/>
        <w:left w:val="none" w:sz="0" w:space="0" w:color="auto"/>
        <w:bottom w:val="none" w:sz="0" w:space="0" w:color="auto"/>
        <w:right w:val="none" w:sz="0" w:space="0" w:color="auto"/>
      </w:divBdr>
      <w:divsChild>
        <w:div w:id="301616035">
          <w:marLeft w:val="0"/>
          <w:marRight w:val="0"/>
          <w:marTop w:val="0"/>
          <w:marBottom w:val="0"/>
          <w:divBdr>
            <w:top w:val="none" w:sz="0" w:space="0" w:color="auto"/>
            <w:left w:val="none" w:sz="0" w:space="0" w:color="auto"/>
            <w:bottom w:val="none" w:sz="0" w:space="0" w:color="auto"/>
            <w:right w:val="none" w:sz="0" w:space="0" w:color="auto"/>
          </w:divBdr>
          <w:divsChild>
            <w:div w:id="236793146">
              <w:marLeft w:val="0"/>
              <w:marRight w:val="0"/>
              <w:marTop w:val="15"/>
              <w:marBottom w:val="0"/>
              <w:divBdr>
                <w:top w:val="none" w:sz="0" w:space="0" w:color="auto"/>
                <w:left w:val="none" w:sz="0" w:space="0" w:color="auto"/>
                <w:bottom w:val="none" w:sz="0" w:space="0" w:color="auto"/>
                <w:right w:val="none" w:sz="0" w:space="0" w:color="auto"/>
              </w:divBdr>
              <w:divsChild>
                <w:div w:id="1485898562">
                  <w:marLeft w:val="0"/>
                  <w:marRight w:val="0"/>
                  <w:marTop w:val="0"/>
                  <w:marBottom w:val="0"/>
                  <w:divBdr>
                    <w:top w:val="none" w:sz="0" w:space="0" w:color="auto"/>
                    <w:left w:val="single" w:sz="6" w:space="0" w:color="B5B5B5"/>
                    <w:bottom w:val="none" w:sz="0" w:space="0" w:color="auto"/>
                    <w:right w:val="single" w:sz="6" w:space="0" w:color="B5B5B5"/>
                  </w:divBdr>
                  <w:divsChild>
                    <w:div w:id="968435610">
                      <w:marLeft w:val="75"/>
                      <w:marRight w:val="75"/>
                      <w:marTop w:val="0"/>
                      <w:marBottom w:val="0"/>
                      <w:divBdr>
                        <w:top w:val="none" w:sz="0" w:space="0" w:color="auto"/>
                        <w:left w:val="none" w:sz="0" w:space="0" w:color="auto"/>
                        <w:bottom w:val="none" w:sz="0" w:space="0" w:color="auto"/>
                        <w:right w:val="none" w:sz="0" w:space="0" w:color="auto"/>
                      </w:divBdr>
                      <w:divsChild>
                        <w:div w:id="695932000">
                          <w:marLeft w:val="0"/>
                          <w:marRight w:val="0"/>
                          <w:marTop w:val="0"/>
                          <w:marBottom w:val="0"/>
                          <w:divBdr>
                            <w:top w:val="dotted" w:sz="6" w:space="0" w:color="B5B5B5"/>
                            <w:left w:val="none" w:sz="0" w:space="0" w:color="auto"/>
                            <w:bottom w:val="none" w:sz="0" w:space="0" w:color="auto"/>
                            <w:right w:val="none" w:sz="0" w:space="0" w:color="auto"/>
                          </w:divBdr>
                          <w:divsChild>
                            <w:div w:id="822507990">
                              <w:marLeft w:val="0"/>
                              <w:marRight w:val="0"/>
                              <w:marTop w:val="75"/>
                              <w:marBottom w:val="0"/>
                              <w:divBdr>
                                <w:top w:val="none" w:sz="0" w:space="0" w:color="auto"/>
                                <w:left w:val="none" w:sz="0" w:space="0" w:color="auto"/>
                                <w:bottom w:val="none" w:sz="0" w:space="0" w:color="auto"/>
                                <w:right w:val="none" w:sz="0" w:space="0" w:color="auto"/>
                              </w:divBdr>
                              <w:divsChild>
                                <w:div w:id="180123594">
                                  <w:marLeft w:val="0"/>
                                  <w:marRight w:val="0"/>
                                  <w:marTop w:val="0"/>
                                  <w:marBottom w:val="0"/>
                                  <w:divBdr>
                                    <w:top w:val="none" w:sz="0" w:space="0" w:color="auto"/>
                                    <w:left w:val="none" w:sz="0" w:space="0" w:color="auto"/>
                                    <w:bottom w:val="none" w:sz="0" w:space="0" w:color="auto"/>
                                    <w:right w:val="none" w:sz="0" w:space="0" w:color="auto"/>
                                  </w:divBdr>
                                  <w:divsChild>
                                    <w:div w:id="783422642">
                                      <w:marLeft w:val="0"/>
                                      <w:marRight w:val="0"/>
                                      <w:marTop w:val="0"/>
                                      <w:marBottom w:val="0"/>
                                      <w:divBdr>
                                        <w:top w:val="none" w:sz="0" w:space="0" w:color="auto"/>
                                        <w:left w:val="none" w:sz="0" w:space="0" w:color="auto"/>
                                        <w:bottom w:val="none" w:sz="0" w:space="0" w:color="auto"/>
                                        <w:right w:val="none" w:sz="0" w:space="0" w:color="auto"/>
                                      </w:divBdr>
                                      <w:divsChild>
                                        <w:div w:id="1265841260">
                                          <w:marLeft w:val="525"/>
                                          <w:marRight w:val="0"/>
                                          <w:marTop w:val="0"/>
                                          <w:marBottom w:val="0"/>
                                          <w:divBdr>
                                            <w:top w:val="none" w:sz="0" w:space="0" w:color="auto"/>
                                            <w:left w:val="none" w:sz="0" w:space="0" w:color="auto"/>
                                            <w:bottom w:val="none" w:sz="0" w:space="0" w:color="auto"/>
                                            <w:right w:val="none" w:sz="0" w:space="0" w:color="auto"/>
                                          </w:divBdr>
                                          <w:divsChild>
                                            <w:div w:id="1524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9168527">
      <w:bodyDiv w:val="1"/>
      <w:marLeft w:val="0"/>
      <w:marRight w:val="0"/>
      <w:marTop w:val="0"/>
      <w:marBottom w:val="0"/>
      <w:divBdr>
        <w:top w:val="none" w:sz="0" w:space="0" w:color="auto"/>
        <w:left w:val="none" w:sz="0" w:space="0" w:color="auto"/>
        <w:bottom w:val="none" w:sz="0" w:space="0" w:color="auto"/>
        <w:right w:val="none" w:sz="0" w:space="0" w:color="auto"/>
      </w:divBdr>
    </w:div>
    <w:div w:id="1290621851">
      <w:bodyDiv w:val="1"/>
      <w:marLeft w:val="0"/>
      <w:marRight w:val="0"/>
      <w:marTop w:val="0"/>
      <w:marBottom w:val="0"/>
      <w:divBdr>
        <w:top w:val="none" w:sz="0" w:space="0" w:color="auto"/>
        <w:left w:val="none" w:sz="0" w:space="0" w:color="auto"/>
        <w:bottom w:val="none" w:sz="0" w:space="0" w:color="auto"/>
        <w:right w:val="none" w:sz="0" w:space="0" w:color="auto"/>
      </w:divBdr>
    </w:div>
    <w:div w:id="1291086981">
      <w:bodyDiv w:val="1"/>
      <w:marLeft w:val="0"/>
      <w:marRight w:val="0"/>
      <w:marTop w:val="0"/>
      <w:marBottom w:val="0"/>
      <w:divBdr>
        <w:top w:val="none" w:sz="0" w:space="0" w:color="auto"/>
        <w:left w:val="none" w:sz="0" w:space="0" w:color="auto"/>
        <w:bottom w:val="none" w:sz="0" w:space="0" w:color="auto"/>
        <w:right w:val="none" w:sz="0" w:space="0" w:color="auto"/>
      </w:divBdr>
    </w:div>
    <w:div w:id="1298532913">
      <w:bodyDiv w:val="1"/>
      <w:marLeft w:val="0"/>
      <w:marRight w:val="0"/>
      <w:marTop w:val="0"/>
      <w:marBottom w:val="0"/>
      <w:divBdr>
        <w:top w:val="none" w:sz="0" w:space="0" w:color="auto"/>
        <w:left w:val="none" w:sz="0" w:space="0" w:color="auto"/>
        <w:bottom w:val="none" w:sz="0" w:space="0" w:color="auto"/>
        <w:right w:val="none" w:sz="0" w:space="0" w:color="auto"/>
      </w:divBdr>
    </w:div>
    <w:div w:id="1302886999">
      <w:bodyDiv w:val="1"/>
      <w:marLeft w:val="0"/>
      <w:marRight w:val="0"/>
      <w:marTop w:val="0"/>
      <w:marBottom w:val="0"/>
      <w:divBdr>
        <w:top w:val="none" w:sz="0" w:space="0" w:color="auto"/>
        <w:left w:val="none" w:sz="0" w:space="0" w:color="auto"/>
        <w:bottom w:val="none" w:sz="0" w:space="0" w:color="auto"/>
        <w:right w:val="none" w:sz="0" w:space="0" w:color="auto"/>
      </w:divBdr>
      <w:divsChild>
        <w:div w:id="1405026459">
          <w:marLeft w:val="0"/>
          <w:marRight w:val="0"/>
          <w:marTop w:val="0"/>
          <w:marBottom w:val="0"/>
          <w:divBdr>
            <w:top w:val="none" w:sz="0" w:space="0" w:color="auto"/>
            <w:left w:val="none" w:sz="0" w:space="0" w:color="auto"/>
            <w:bottom w:val="none" w:sz="0" w:space="0" w:color="auto"/>
            <w:right w:val="none" w:sz="0" w:space="0" w:color="auto"/>
          </w:divBdr>
          <w:divsChild>
            <w:div w:id="1780953587">
              <w:marLeft w:val="0"/>
              <w:marRight w:val="0"/>
              <w:marTop w:val="411"/>
              <w:marBottom w:val="0"/>
              <w:divBdr>
                <w:top w:val="none" w:sz="0" w:space="0" w:color="auto"/>
                <w:left w:val="none" w:sz="0" w:space="0" w:color="auto"/>
                <w:bottom w:val="none" w:sz="0" w:space="0" w:color="auto"/>
                <w:right w:val="none" w:sz="0" w:space="0" w:color="auto"/>
              </w:divBdr>
              <w:divsChild>
                <w:div w:id="24259940">
                  <w:marLeft w:val="0"/>
                  <w:marRight w:val="0"/>
                  <w:marTop w:val="0"/>
                  <w:marBottom w:val="0"/>
                  <w:divBdr>
                    <w:top w:val="none" w:sz="0" w:space="0" w:color="auto"/>
                    <w:left w:val="none" w:sz="0" w:space="0" w:color="auto"/>
                    <w:bottom w:val="none" w:sz="0" w:space="0" w:color="auto"/>
                    <w:right w:val="none" w:sz="0" w:space="0" w:color="auto"/>
                  </w:divBdr>
                  <w:divsChild>
                    <w:div w:id="1750151785">
                      <w:marLeft w:val="79"/>
                      <w:marRight w:val="79"/>
                      <w:marTop w:val="0"/>
                      <w:marBottom w:val="0"/>
                      <w:divBdr>
                        <w:top w:val="none" w:sz="0" w:space="0" w:color="auto"/>
                        <w:left w:val="none" w:sz="0" w:space="0" w:color="auto"/>
                        <w:bottom w:val="none" w:sz="0" w:space="0" w:color="auto"/>
                        <w:right w:val="none" w:sz="0" w:space="0" w:color="auto"/>
                      </w:divBdr>
                      <w:divsChild>
                        <w:div w:id="2106881855">
                          <w:marLeft w:val="0"/>
                          <w:marRight w:val="0"/>
                          <w:marTop w:val="0"/>
                          <w:marBottom w:val="0"/>
                          <w:divBdr>
                            <w:top w:val="dashed" w:sz="6" w:space="0" w:color="DDDDDD"/>
                            <w:left w:val="none" w:sz="0" w:space="0" w:color="auto"/>
                            <w:bottom w:val="none" w:sz="0" w:space="0" w:color="auto"/>
                            <w:right w:val="none" w:sz="0" w:space="0" w:color="auto"/>
                          </w:divBdr>
                          <w:divsChild>
                            <w:div w:id="805976228">
                              <w:marLeft w:val="0"/>
                              <w:marRight w:val="0"/>
                              <w:marTop w:val="0"/>
                              <w:marBottom w:val="0"/>
                              <w:divBdr>
                                <w:top w:val="none" w:sz="0" w:space="0" w:color="auto"/>
                                <w:left w:val="none" w:sz="0" w:space="0" w:color="auto"/>
                                <w:bottom w:val="none" w:sz="0" w:space="0" w:color="auto"/>
                                <w:right w:val="none" w:sz="0" w:space="0" w:color="auto"/>
                              </w:divBdr>
                              <w:divsChild>
                                <w:div w:id="957221783">
                                  <w:marLeft w:val="0"/>
                                  <w:marRight w:val="0"/>
                                  <w:marTop w:val="79"/>
                                  <w:marBottom w:val="79"/>
                                  <w:divBdr>
                                    <w:top w:val="none" w:sz="0" w:space="0" w:color="auto"/>
                                    <w:left w:val="none" w:sz="0" w:space="0" w:color="auto"/>
                                    <w:bottom w:val="none" w:sz="0" w:space="0" w:color="auto"/>
                                    <w:right w:val="none" w:sz="0" w:space="0" w:color="auto"/>
                                  </w:divBdr>
                                  <w:divsChild>
                                    <w:div w:id="893275793">
                                      <w:marLeft w:val="0"/>
                                      <w:marRight w:val="0"/>
                                      <w:marTop w:val="0"/>
                                      <w:marBottom w:val="0"/>
                                      <w:divBdr>
                                        <w:top w:val="none" w:sz="0" w:space="0" w:color="auto"/>
                                        <w:left w:val="none" w:sz="0" w:space="0" w:color="auto"/>
                                        <w:bottom w:val="none" w:sz="0" w:space="0" w:color="auto"/>
                                        <w:right w:val="none" w:sz="0" w:space="0" w:color="auto"/>
                                      </w:divBdr>
                                      <w:divsChild>
                                        <w:div w:id="652952005">
                                          <w:marLeft w:val="554"/>
                                          <w:marRight w:val="0"/>
                                          <w:marTop w:val="0"/>
                                          <w:marBottom w:val="0"/>
                                          <w:divBdr>
                                            <w:top w:val="none" w:sz="0" w:space="0" w:color="auto"/>
                                            <w:left w:val="none" w:sz="0" w:space="0" w:color="auto"/>
                                            <w:bottom w:val="none" w:sz="0" w:space="0" w:color="auto"/>
                                            <w:right w:val="none" w:sz="0" w:space="0" w:color="auto"/>
                                          </w:divBdr>
                                          <w:divsChild>
                                            <w:div w:id="18320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2058210">
      <w:bodyDiv w:val="1"/>
      <w:marLeft w:val="0"/>
      <w:marRight w:val="0"/>
      <w:marTop w:val="0"/>
      <w:marBottom w:val="0"/>
      <w:divBdr>
        <w:top w:val="none" w:sz="0" w:space="0" w:color="auto"/>
        <w:left w:val="none" w:sz="0" w:space="0" w:color="auto"/>
        <w:bottom w:val="none" w:sz="0" w:space="0" w:color="auto"/>
        <w:right w:val="none" w:sz="0" w:space="0" w:color="auto"/>
      </w:divBdr>
      <w:divsChild>
        <w:div w:id="2016878176">
          <w:marLeft w:val="0"/>
          <w:marRight w:val="0"/>
          <w:marTop w:val="0"/>
          <w:marBottom w:val="0"/>
          <w:divBdr>
            <w:top w:val="none" w:sz="0" w:space="0" w:color="auto"/>
            <w:left w:val="none" w:sz="0" w:space="0" w:color="auto"/>
            <w:bottom w:val="none" w:sz="0" w:space="0" w:color="auto"/>
            <w:right w:val="none" w:sz="0" w:space="0" w:color="auto"/>
          </w:divBdr>
          <w:divsChild>
            <w:div w:id="1596741861">
              <w:marLeft w:val="0"/>
              <w:marRight w:val="0"/>
              <w:marTop w:val="411"/>
              <w:marBottom w:val="0"/>
              <w:divBdr>
                <w:top w:val="none" w:sz="0" w:space="0" w:color="auto"/>
                <w:left w:val="none" w:sz="0" w:space="0" w:color="auto"/>
                <w:bottom w:val="none" w:sz="0" w:space="0" w:color="auto"/>
                <w:right w:val="none" w:sz="0" w:space="0" w:color="auto"/>
              </w:divBdr>
              <w:divsChild>
                <w:div w:id="1817411365">
                  <w:marLeft w:val="0"/>
                  <w:marRight w:val="0"/>
                  <w:marTop w:val="0"/>
                  <w:marBottom w:val="0"/>
                  <w:divBdr>
                    <w:top w:val="none" w:sz="0" w:space="0" w:color="auto"/>
                    <w:left w:val="none" w:sz="0" w:space="0" w:color="auto"/>
                    <w:bottom w:val="none" w:sz="0" w:space="0" w:color="auto"/>
                    <w:right w:val="none" w:sz="0" w:space="0" w:color="auto"/>
                  </w:divBdr>
                  <w:divsChild>
                    <w:div w:id="858198564">
                      <w:marLeft w:val="79"/>
                      <w:marRight w:val="79"/>
                      <w:marTop w:val="0"/>
                      <w:marBottom w:val="0"/>
                      <w:divBdr>
                        <w:top w:val="none" w:sz="0" w:space="0" w:color="auto"/>
                        <w:left w:val="none" w:sz="0" w:space="0" w:color="auto"/>
                        <w:bottom w:val="none" w:sz="0" w:space="0" w:color="auto"/>
                        <w:right w:val="none" w:sz="0" w:space="0" w:color="auto"/>
                      </w:divBdr>
                      <w:divsChild>
                        <w:div w:id="1450389188">
                          <w:marLeft w:val="0"/>
                          <w:marRight w:val="0"/>
                          <w:marTop w:val="0"/>
                          <w:marBottom w:val="0"/>
                          <w:divBdr>
                            <w:top w:val="dashed" w:sz="6" w:space="0" w:color="DDDDDD"/>
                            <w:left w:val="none" w:sz="0" w:space="0" w:color="auto"/>
                            <w:bottom w:val="none" w:sz="0" w:space="0" w:color="auto"/>
                            <w:right w:val="none" w:sz="0" w:space="0" w:color="auto"/>
                          </w:divBdr>
                          <w:divsChild>
                            <w:div w:id="456610020">
                              <w:marLeft w:val="0"/>
                              <w:marRight w:val="0"/>
                              <w:marTop w:val="0"/>
                              <w:marBottom w:val="0"/>
                              <w:divBdr>
                                <w:top w:val="none" w:sz="0" w:space="0" w:color="auto"/>
                                <w:left w:val="none" w:sz="0" w:space="0" w:color="auto"/>
                                <w:bottom w:val="none" w:sz="0" w:space="0" w:color="auto"/>
                                <w:right w:val="none" w:sz="0" w:space="0" w:color="auto"/>
                              </w:divBdr>
                              <w:divsChild>
                                <w:div w:id="1366248327">
                                  <w:marLeft w:val="0"/>
                                  <w:marRight w:val="0"/>
                                  <w:marTop w:val="79"/>
                                  <w:marBottom w:val="79"/>
                                  <w:divBdr>
                                    <w:top w:val="none" w:sz="0" w:space="0" w:color="auto"/>
                                    <w:left w:val="none" w:sz="0" w:space="0" w:color="auto"/>
                                    <w:bottom w:val="none" w:sz="0" w:space="0" w:color="auto"/>
                                    <w:right w:val="none" w:sz="0" w:space="0" w:color="auto"/>
                                  </w:divBdr>
                                  <w:divsChild>
                                    <w:div w:id="115562070">
                                      <w:marLeft w:val="0"/>
                                      <w:marRight w:val="0"/>
                                      <w:marTop w:val="0"/>
                                      <w:marBottom w:val="0"/>
                                      <w:divBdr>
                                        <w:top w:val="none" w:sz="0" w:space="0" w:color="auto"/>
                                        <w:left w:val="none" w:sz="0" w:space="0" w:color="auto"/>
                                        <w:bottom w:val="none" w:sz="0" w:space="0" w:color="auto"/>
                                        <w:right w:val="none" w:sz="0" w:space="0" w:color="auto"/>
                                      </w:divBdr>
                                      <w:divsChild>
                                        <w:div w:id="2086104645">
                                          <w:marLeft w:val="554"/>
                                          <w:marRight w:val="0"/>
                                          <w:marTop w:val="0"/>
                                          <w:marBottom w:val="0"/>
                                          <w:divBdr>
                                            <w:top w:val="none" w:sz="0" w:space="0" w:color="auto"/>
                                            <w:left w:val="none" w:sz="0" w:space="0" w:color="auto"/>
                                            <w:bottom w:val="none" w:sz="0" w:space="0" w:color="auto"/>
                                            <w:right w:val="none" w:sz="0" w:space="0" w:color="auto"/>
                                          </w:divBdr>
                                          <w:divsChild>
                                            <w:div w:id="64647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3413766">
      <w:bodyDiv w:val="1"/>
      <w:marLeft w:val="0"/>
      <w:marRight w:val="0"/>
      <w:marTop w:val="0"/>
      <w:marBottom w:val="0"/>
      <w:divBdr>
        <w:top w:val="none" w:sz="0" w:space="0" w:color="auto"/>
        <w:left w:val="none" w:sz="0" w:space="0" w:color="auto"/>
        <w:bottom w:val="none" w:sz="0" w:space="0" w:color="auto"/>
        <w:right w:val="none" w:sz="0" w:space="0" w:color="auto"/>
      </w:divBdr>
    </w:div>
    <w:div w:id="1316301552">
      <w:bodyDiv w:val="1"/>
      <w:marLeft w:val="0"/>
      <w:marRight w:val="0"/>
      <w:marTop w:val="0"/>
      <w:marBottom w:val="0"/>
      <w:divBdr>
        <w:top w:val="none" w:sz="0" w:space="0" w:color="auto"/>
        <w:left w:val="none" w:sz="0" w:space="0" w:color="auto"/>
        <w:bottom w:val="none" w:sz="0" w:space="0" w:color="auto"/>
        <w:right w:val="none" w:sz="0" w:space="0" w:color="auto"/>
      </w:divBdr>
    </w:div>
    <w:div w:id="1316378710">
      <w:bodyDiv w:val="1"/>
      <w:marLeft w:val="0"/>
      <w:marRight w:val="0"/>
      <w:marTop w:val="0"/>
      <w:marBottom w:val="0"/>
      <w:divBdr>
        <w:top w:val="none" w:sz="0" w:space="0" w:color="auto"/>
        <w:left w:val="none" w:sz="0" w:space="0" w:color="auto"/>
        <w:bottom w:val="none" w:sz="0" w:space="0" w:color="auto"/>
        <w:right w:val="none" w:sz="0" w:space="0" w:color="auto"/>
      </w:divBdr>
    </w:div>
    <w:div w:id="1318341231">
      <w:bodyDiv w:val="1"/>
      <w:marLeft w:val="0"/>
      <w:marRight w:val="0"/>
      <w:marTop w:val="0"/>
      <w:marBottom w:val="0"/>
      <w:divBdr>
        <w:top w:val="none" w:sz="0" w:space="0" w:color="auto"/>
        <w:left w:val="none" w:sz="0" w:space="0" w:color="auto"/>
        <w:bottom w:val="none" w:sz="0" w:space="0" w:color="auto"/>
        <w:right w:val="none" w:sz="0" w:space="0" w:color="auto"/>
      </w:divBdr>
    </w:div>
    <w:div w:id="1323267268">
      <w:bodyDiv w:val="1"/>
      <w:marLeft w:val="0"/>
      <w:marRight w:val="0"/>
      <w:marTop w:val="0"/>
      <w:marBottom w:val="0"/>
      <w:divBdr>
        <w:top w:val="none" w:sz="0" w:space="0" w:color="auto"/>
        <w:left w:val="none" w:sz="0" w:space="0" w:color="auto"/>
        <w:bottom w:val="none" w:sz="0" w:space="0" w:color="auto"/>
        <w:right w:val="none" w:sz="0" w:space="0" w:color="auto"/>
      </w:divBdr>
    </w:div>
    <w:div w:id="1326124698">
      <w:bodyDiv w:val="1"/>
      <w:marLeft w:val="0"/>
      <w:marRight w:val="0"/>
      <w:marTop w:val="0"/>
      <w:marBottom w:val="0"/>
      <w:divBdr>
        <w:top w:val="none" w:sz="0" w:space="0" w:color="auto"/>
        <w:left w:val="none" w:sz="0" w:space="0" w:color="auto"/>
        <w:bottom w:val="none" w:sz="0" w:space="0" w:color="auto"/>
        <w:right w:val="none" w:sz="0" w:space="0" w:color="auto"/>
      </w:divBdr>
    </w:div>
    <w:div w:id="1326665173">
      <w:bodyDiv w:val="1"/>
      <w:marLeft w:val="0"/>
      <w:marRight w:val="0"/>
      <w:marTop w:val="0"/>
      <w:marBottom w:val="0"/>
      <w:divBdr>
        <w:top w:val="none" w:sz="0" w:space="0" w:color="auto"/>
        <w:left w:val="none" w:sz="0" w:space="0" w:color="auto"/>
        <w:bottom w:val="none" w:sz="0" w:space="0" w:color="auto"/>
        <w:right w:val="none" w:sz="0" w:space="0" w:color="auto"/>
      </w:divBdr>
    </w:div>
    <w:div w:id="1329284458">
      <w:bodyDiv w:val="1"/>
      <w:marLeft w:val="0"/>
      <w:marRight w:val="0"/>
      <w:marTop w:val="0"/>
      <w:marBottom w:val="0"/>
      <w:divBdr>
        <w:top w:val="none" w:sz="0" w:space="0" w:color="auto"/>
        <w:left w:val="none" w:sz="0" w:space="0" w:color="auto"/>
        <w:bottom w:val="none" w:sz="0" w:space="0" w:color="auto"/>
        <w:right w:val="none" w:sz="0" w:space="0" w:color="auto"/>
      </w:divBdr>
    </w:div>
    <w:div w:id="1340233167">
      <w:bodyDiv w:val="1"/>
      <w:marLeft w:val="0"/>
      <w:marRight w:val="0"/>
      <w:marTop w:val="0"/>
      <w:marBottom w:val="0"/>
      <w:divBdr>
        <w:top w:val="none" w:sz="0" w:space="0" w:color="auto"/>
        <w:left w:val="none" w:sz="0" w:space="0" w:color="auto"/>
        <w:bottom w:val="none" w:sz="0" w:space="0" w:color="auto"/>
        <w:right w:val="none" w:sz="0" w:space="0" w:color="auto"/>
      </w:divBdr>
    </w:div>
    <w:div w:id="1341812071">
      <w:bodyDiv w:val="1"/>
      <w:marLeft w:val="0"/>
      <w:marRight w:val="0"/>
      <w:marTop w:val="0"/>
      <w:marBottom w:val="0"/>
      <w:divBdr>
        <w:top w:val="none" w:sz="0" w:space="0" w:color="auto"/>
        <w:left w:val="none" w:sz="0" w:space="0" w:color="auto"/>
        <w:bottom w:val="none" w:sz="0" w:space="0" w:color="auto"/>
        <w:right w:val="none" w:sz="0" w:space="0" w:color="auto"/>
      </w:divBdr>
    </w:div>
    <w:div w:id="1344896901">
      <w:bodyDiv w:val="1"/>
      <w:marLeft w:val="0"/>
      <w:marRight w:val="0"/>
      <w:marTop w:val="0"/>
      <w:marBottom w:val="0"/>
      <w:divBdr>
        <w:top w:val="none" w:sz="0" w:space="0" w:color="auto"/>
        <w:left w:val="none" w:sz="0" w:space="0" w:color="auto"/>
        <w:bottom w:val="none" w:sz="0" w:space="0" w:color="auto"/>
        <w:right w:val="none" w:sz="0" w:space="0" w:color="auto"/>
      </w:divBdr>
    </w:div>
    <w:div w:id="1349599553">
      <w:bodyDiv w:val="1"/>
      <w:marLeft w:val="0"/>
      <w:marRight w:val="0"/>
      <w:marTop w:val="0"/>
      <w:marBottom w:val="0"/>
      <w:divBdr>
        <w:top w:val="none" w:sz="0" w:space="0" w:color="auto"/>
        <w:left w:val="none" w:sz="0" w:space="0" w:color="auto"/>
        <w:bottom w:val="none" w:sz="0" w:space="0" w:color="auto"/>
        <w:right w:val="none" w:sz="0" w:space="0" w:color="auto"/>
      </w:divBdr>
    </w:div>
    <w:div w:id="1352609059">
      <w:bodyDiv w:val="1"/>
      <w:marLeft w:val="0"/>
      <w:marRight w:val="0"/>
      <w:marTop w:val="0"/>
      <w:marBottom w:val="0"/>
      <w:divBdr>
        <w:top w:val="none" w:sz="0" w:space="0" w:color="auto"/>
        <w:left w:val="none" w:sz="0" w:space="0" w:color="auto"/>
        <w:bottom w:val="none" w:sz="0" w:space="0" w:color="auto"/>
        <w:right w:val="none" w:sz="0" w:space="0" w:color="auto"/>
      </w:divBdr>
    </w:div>
    <w:div w:id="1357151565">
      <w:bodyDiv w:val="1"/>
      <w:marLeft w:val="0"/>
      <w:marRight w:val="0"/>
      <w:marTop w:val="0"/>
      <w:marBottom w:val="0"/>
      <w:divBdr>
        <w:top w:val="none" w:sz="0" w:space="0" w:color="auto"/>
        <w:left w:val="none" w:sz="0" w:space="0" w:color="auto"/>
        <w:bottom w:val="none" w:sz="0" w:space="0" w:color="auto"/>
        <w:right w:val="none" w:sz="0" w:space="0" w:color="auto"/>
      </w:divBdr>
    </w:div>
    <w:div w:id="1360624800">
      <w:bodyDiv w:val="1"/>
      <w:marLeft w:val="0"/>
      <w:marRight w:val="0"/>
      <w:marTop w:val="0"/>
      <w:marBottom w:val="0"/>
      <w:divBdr>
        <w:top w:val="none" w:sz="0" w:space="0" w:color="auto"/>
        <w:left w:val="none" w:sz="0" w:space="0" w:color="auto"/>
        <w:bottom w:val="none" w:sz="0" w:space="0" w:color="auto"/>
        <w:right w:val="none" w:sz="0" w:space="0" w:color="auto"/>
      </w:divBdr>
    </w:div>
    <w:div w:id="1363164090">
      <w:bodyDiv w:val="1"/>
      <w:marLeft w:val="0"/>
      <w:marRight w:val="0"/>
      <w:marTop w:val="0"/>
      <w:marBottom w:val="0"/>
      <w:divBdr>
        <w:top w:val="none" w:sz="0" w:space="0" w:color="auto"/>
        <w:left w:val="none" w:sz="0" w:space="0" w:color="auto"/>
        <w:bottom w:val="none" w:sz="0" w:space="0" w:color="auto"/>
        <w:right w:val="none" w:sz="0" w:space="0" w:color="auto"/>
      </w:divBdr>
    </w:div>
    <w:div w:id="1368876346">
      <w:bodyDiv w:val="1"/>
      <w:marLeft w:val="0"/>
      <w:marRight w:val="0"/>
      <w:marTop w:val="0"/>
      <w:marBottom w:val="0"/>
      <w:divBdr>
        <w:top w:val="none" w:sz="0" w:space="0" w:color="auto"/>
        <w:left w:val="none" w:sz="0" w:space="0" w:color="auto"/>
        <w:bottom w:val="none" w:sz="0" w:space="0" w:color="auto"/>
        <w:right w:val="none" w:sz="0" w:space="0" w:color="auto"/>
      </w:divBdr>
    </w:div>
    <w:div w:id="1369255102">
      <w:bodyDiv w:val="1"/>
      <w:marLeft w:val="0"/>
      <w:marRight w:val="0"/>
      <w:marTop w:val="0"/>
      <w:marBottom w:val="0"/>
      <w:divBdr>
        <w:top w:val="none" w:sz="0" w:space="0" w:color="auto"/>
        <w:left w:val="none" w:sz="0" w:space="0" w:color="auto"/>
        <w:bottom w:val="none" w:sz="0" w:space="0" w:color="auto"/>
        <w:right w:val="none" w:sz="0" w:space="0" w:color="auto"/>
      </w:divBdr>
      <w:divsChild>
        <w:div w:id="253516965">
          <w:marLeft w:val="0"/>
          <w:marRight w:val="0"/>
          <w:marTop w:val="0"/>
          <w:marBottom w:val="0"/>
          <w:divBdr>
            <w:top w:val="none" w:sz="0" w:space="0" w:color="auto"/>
            <w:left w:val="none" w:sz="0" w:space="0" w:color="auto"/>
            <w:bottom w:val="none" w:sz="0" w:space="0" w:color="auto"/>
            <w:right w:val="none" w:sz="0" w:space="0" w:color="auto"/>
          </w:divBdr>
        </w:div>
      </w:divsChild>
    </w:div>
    <w:div w:id="1369451187">
      <w:bodyDiv w:val="1"/>
      <w:marLeft w:val="0"/>
      <w:marRight w:val="0"/>
      <w:marTop w:val="0"/>
      <w:marBottom w:val="0"/>
      <w:divBdr>
        <w:top w:val="none" w:sz="0" w:space="0" w:color="auto"/>
        <w:left w:val="none" w:sz="0" w:space="0" w:color="auto"/>
        <w:bottom w:val="none" w:sz="0" w:space="0" w:color="auto"/>
        <w:right w:val="none" w:sz="0" w:space="0" w:color="auto"/>
      </w:divBdr>
    </w:div>
    <w:div w:id="1369599600">
      <w:bodyDiv w:val="1"/>
      <w:marLeft w:val="0"/>
      <w:marRight w:val="0"/>
      <w:marTop w:val="0"/>
      <w:marBottom w:val="0"/>
      <w:divBdr>
        <w:top w:val="none" w:sz="0" w:space="0" w:color="auto"/>
        <w:left w:val="none" w:sz="0" w:space="0" w:color="auto"/>
        <w:bottom w:val="none" w:sz="0" w:space="0" w:color="auto"/>
        <w:right w:val="none" w:sz="0" w:space="0" w:color="auto"/>
      </w:divBdr>
    </w:div>
    <w:div w:id="1372075893">
      <w:bodyDiv w:val="1"/>
      <w:marLeft w:val="0"/>
      <w:marRight w:val="0"/>
      <w:marTop w:val="0"/>
      <w:marBottom w:val="0"/>
      <w:divBdr>
        <w:top w:val="none" w:sz="0" w:space="0" w:color="auto"/>
        <w:left w:val="none" w:sz="0" w:space="0" w:color="auto"/>
        <w:bottom w:val="none" w:sz="0" w:space="0" w:color="auto"/>
        <w:right w:val="none" w:sz="0" w:space="0" w:color="auto"/>
      </w:divBdr>
    </w:div>
    <w:div w:id="1375080045">
      <w:bodyDiv w:val="1"/>
      <w:marLeft w:val="0"/>
      <w:marRight w:val="0"/>
      <w:marTop w:val="0"/>
      <w:marBottom w:val="0"/>
      <w:divBdr>
        <w:top w:val="none" w:sz="0" w:space="0" w:color="auto"/>
        <w:left w:val="none" w:sz="0" w:space="0" w:color="auto"/>
        <w:bottom w:val="none" w:sz="0" w:space="0" w:color="auto"/>
        <w:right w:val="none" w:sz="0" w:space="0" w:color="auto"/>
      </w:divBdr>
    </w:div>
    <w:div w:id="1385256411">
      <w:bodyDiv w:val="1"/>
      <w:marLeft w:val="0"/>
      <w:marRight w:val="0"/>
      <w:marTop w:val="0"/>
      <w:marBottom w:val="0"/>
      <w:divBdr>
        <w:top w:val="none" w:sz="0" w:space="0" w:color="auto"/>
        <w:left w:val="none" w:sz="0" w:space="0" w:color="auto"/>
        <w:bottom w:val="none" w:sz="0" w:space="0" w:color="auto"/>
        <w:right w:val="none" w:sz="0" w:space="0" w:color="auto"/>
      </w:divBdr>
    </w:div>
    <w:div w:id="1387796938">
      <w:bodyDiv w:val="1"/>
      <w:marLeft w:val="0"/>
      <w:marRight w:val="0"/>
      <w:marTop w:val="0"/>
      <w:marBottom w:val="0"/>
      <w:divBdr>
        <w:top w:val="none" w:sz="0" w:space="0" w:color="auto"/>
        <w:left w:val="none" w:sz="0" w:space="0" w:color="auto"/>
        <w:bottom w:val="none" w:sz="0" w:space="0" w:color="auto"/>
        <w:right w:val="none" w:sz="0" w:space="0" w:color="auto"/>
      </w:divBdr>
      <w:divsChild>
        <w:div w:id="2123957444">
          <w:marLeft w:val="0"/>
          <w:marRight w:val="0"/>
          <w:marTop w:val="0"/>
          <w:marBottom w:val="0"/>
          <w:divBdr>
            <w:top w:val="none" w:sz="0" w:space="0" w:color="auto"/>
            <w:left w:val="none" w:sz="0" w:space="0" w:color="auto"/>
            <w:bottom w:val="none" w:sz="0" w:space="0" w:color="auto"/>
            <w:right w:val="none" w:sz="0" w:space="0" w:color="auto"/>
          </w:divBdr>
          <w:divsChild>
            <w:div w:id="104930189">
              <w:marLeft w:val="0"/>
              <w:marRight w:val="0"/>
              <w:marTop w:val="15"/>
              <w:marBottom w:val="0"/>
              <w:divBdr>
                <w:top w:val="none" w:sz="0" w:space="0" w:color="auto"/>
                <w:left w:val="none" w:sz="0" w:space="0" w:color="auto"/>
                <w:bottom w:val="none" w:sz="0" w:space="0" w:color="auto"/>
                <w:right w:val="none" w:sz="0" w:space="0" w:color="auto"/>
              </w:divBdr>
              <w:divsChild>
                <w:div w:id="1325741417">
                  <w:marLeft w:val="0"/>
                  <w:marRight w:val="0"/>
                  <w:marTop w:val="0"/>
                  <w:marBottom w:val="0"/>
                  <w:divBdr>
                    <w:top w:val="none" w:sz="0" w:space="0" w:color="auto"/>
                    <w:left w:val="single" w:sz="6" w:space="0" w:color="B5B5B5"/>
                    <w:bottom w:val="none" w:sz="0" w:space="0" w:color="auto"/>
                    <w:right w:val="single" w:sz="6" w:space="0" w:color="B5B5B5"/>
                  </w:divBdr>
                  <w:divsChild>
                    <w:div w:id="1704014500">
                      <w:marLeft w:val="75"/>
                      <w:marRight w:val="75"/>
                      <w:marTop w:val="0"/>
                      <w:marBottom w:val="0"/>
                      <w:divBdr>
                        <w:top w:val="none" w:sz="0" w:space="0" w:color="auto"/>
                        <w:left w:val="none" w:sz="0" w:space="0" w:color="auto"/>
                        <w:bottom w:val="none" w:sz="0" w:space="0" w:color="auto"/>
                        <w:right w:val="none" w:sz="0" w:space="0" w:color="auto"/>
                      </w:divBdr>
                      <w:divsChild>
                        <w:div w:id="681123601">
                          <w:marLeft w:val="0"/>
                          <w:marRight w:val="0"/>
                          <w:marTop w:val="0"/>
                          <w:marBottom w:val="0"/>
                          <w:divBdr>
                            <w:top w:val="dotted" w:sz="6" w:space="0" w:color="B5B5B5"/>
                            <w:left w:val="none" w:sz="0" w:space="0" w:color="auto"/>
                            <w:bottom w:val="none" w:sz="0" w:space="0" w:color="auto"/>
                            <w:right w:val="none" w:sz="0" w:space="0" w:color="auto"/>
                          </w:divBdr>
                          <w:divsChild>
                            <w:div w:id="1371683505">
                              <w:marLeft w:val="0"/>
                              <w:marRight w:val="0"/>
                              <w:marTop w:val="75"/>
                              <w:marBottom w:val="0"/>
                              <w:divBdr>
                                <w:top w:val="none" w:sz="0" w:space="0" w:color="auto"/>
                                <w:left w:val="none" w:sz="0" w:space="0" w:color="auto"/>
                                <w:bottom w:val="none" w:sz="0" w:space="0" w:color="auto"/>
                                <w:right w:val="none" w:sz="0" w:space="0" w:color="auto"/>
                              </w:divBdr>
                              <w:divsChild>
                                <w:div w:id="239363852">
                                  <w:marLeft w:val="0"/>
                                  <w:marRight w:val="0"/>
                                  <w:marTop w:val="0"/>
                                  <w:marBottom w:val="0"/>
                                  <w:divBdr>
                                    <w:top w:val="none" w:sz="0" w:space="0" w:color="auto"/>
                                    <w:left w:val="none" w:sz="0" w:space="0" w:color="auto"/>
                                    <w:bottom w:val="none" w:sz="0" w:space="0" w:color="auto"/>
                                    <w:right w:val="none" w:sz="0" w:space="0" w:color="auto"/>
                                  </w:divBdr>
                                  <w:divsChild>
                                    <w:div w:id="952631440">
                                      <w:marLeft w:val="0"/>
                                      <w:marRight w:val="0"/>
                                      <w:marTop w:val="0"/>
                                      <w:marBottom w:val="0"/>
                                      <w:divBdr>
                                        <w:top w:val="none" w:sz="0" w:space="0" w:color="auto"/>
                                        <w:left w:val="none" w:sz="0" w:space="0" w:color="auto"/>
                                        <w:bottom w:val="none" w:sz="0" w:space="0" w:color="auto"/>
                                        <w:right w:val="none" w:sz="0" w:space="0" w:color="auto"/>
                                      </w:divBdr>
                                      <w:divsChild>
                                        <w:div w:id="1548178319">
                                          <w:marLeft w:val="525"/>
                                          <w:marRight w:val="0"/>
                                          <w:marTop w:val="0"/>
                                          <w:marBottom w:val="0"/>
                                          <w:divBdr>
                                            <w:top w:val="none" w:sz="0" w:space="0" w:color="auto"/>
                                            <w:left w:val="none" w:sz="0" w:space="0" w:color="auto"/>
                                            <w:bottom w:val="none" w:sz="0" w:space="0" w:color="auto"/>
                                            <w:right w:val="none" w:sz="0" w:space="0" w:color="auto"/>
                                          </w:divBdr>
                                          <w:divsChild>
                                            <w:div w:id="51565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0879379">
      <w:bodyDiv w:val="1"/>
      <w:marLeft w:val="0"/>
      <w:marRight w:val="0"/>
      <w:marTop w:val="0"/>
      <w:marBottom w:val="0"/>
      <w:divBdr>
        <w:top w:val="none" w:sz="0" w:space="0" w:color="auto"/>
        <w:left w:val="none" w:sz="0" w:space="0" w:color="auto"/>
        <w:bottom w:val="none" w:sz="0" w:space="0" w:color="auto"/>
        <w:right w:val="none" w:sz="0" w:space="0" w:color="auto"/>
      </w:divBdr>
      <w:divsChild>
        <w:div w:id="469638598">
          <w:marLeft w:val="0"/>
          <w:marRight w:val="0"/>
          <w:marTop w:val="0"/>
          <w:marBottom w:val="0"/>
          <w:divBdr>
            <w:top w:val="none" w:sz="0" w:space="0" w:color="auto"/>
            <w:left w:val="none" w:sz="0" w:space="0" w:color="auto"/>
            <w:bottom w:val="none" w:sz="0" w:space="0" w:color="auto"/>
            <w:right w:val="none" w:sz="0" w:space="0" w:color="auto"/>
          </w:divBdr>
          <w:divsChild>
            <w:div w:id="1089621712">
              <w:marLeft w:val="0"/>
              <w:marRight w:val="0"/>
              <w:marTop w:val="411"/>
              <w:marBottom w:val="0"/>
              <w:divBdr>
                <w:top w:val="none" w:sz="0" w:space="0" w:color="auto"/>
                <w:left w:val="none" w:sz="0" w:space="0" w:color="auto"/>
                <w:bottom w:val="none" w:sz="0" w:space="0" w:color="auto"/>
                <w:right w:val="none" w:sz="0" w:space="0" w:color="auto"/>
              </w:divBdr>
              <w:divsChild>
                <w:div w:id="380596350">
                  <w:marLeft w:val="0"/>
                  <w:marRight w:val="0"/>
                  <w:marTop w:val="0"/>
                  <w:marBottom w:val="0"/>
                  <w:divBdr>
                    <w:top w:val="none" w:sz="0" w:space="0" w:color="auto"/>
                    <w:left w:val="none" w:sz="0" w:space="0" w:color="auto"/>
                    <w:bottom w:val="none" w:sz="0" w:space="0" w:color="auto"/>
                    <w:right w:val="none" w:sz="0" w:space="0" w:color="auto"/>
                  </w:divBdr>
                  <w:divsChild>
                    <w:div w:id="775713964">
                      <w:marLeft w:val="79"/>
                      <w:marRight w:val="79"/>
                      <w:marTop w:val="0"/>
                      <w:marBottom w:val="0"/>
                      <w:divBdr>
                        <w:top w:val="none" w:sz="0" w:space="0" w:color="auto"/>
                        <w:left w:val="none" w:sz="0" w:space="0" w:color="auto"/>
                        <w:bottom w:val="none" w:sz="0" w:space="0" w:color="auto"/>
                        <w:right w:val="none" w:sz="0" w:space="0" w:color="auto"/>
                      </w:divBdr>
                      <w:divsChild>
                        <w:div w:id="1621262049">
                          <w:marLeft w:val="0"/>
                          <w:marRight w:val="0"/>
                          <w:marTop w:val="0"/>
                          <w:marBottom w:val="0"/>
                          <w:divBdr>
                            <w:top w:val="dashed" w:sz="6" w:space="0" w:color="DDDDDD"/>
                            <w:left w:val="none" w:sz="0" w:space="0" w:color="auto"/>
                            <w:bottom w:val="none" w:sz="0" w:space="0" w:color="auto"/>
                            <w:right w:val="none" w:sz="0" w:space="0" w:color="auto"/>
                          </w:divBdr>
                          <w:divsChild>
                            <w:div w:id="1892301507">
                              <w:marLeft w:val="0"/>
                              <w:marRight w:val="0"/>
                              <w:marTop w:val="0"/>
                              <w:marBottom w:val="0"/>
                              <w:divBdr>
                                <w:top w:val="none" w:sz="0" w:space="0" w:color="auto"/>
                                <w:left w:val="none" w:sz="0" w:space="0" w:color="auto"/>
                                <w:bottom w:val="none" w:sz="0" w:space="0" w:color="auto"/>
                                <w:right w:val="none" w:sz="0" w:space="0" w:color="auto"/>
                              </w:divBdr>
                              <w:divsChild>
                                <w:div w:id="1982731885">
                                  <w:marLeft w:val="0"/>
                                  <w:marRight w:val="0"/>
                                  <w:marTop w:val="79"/>
                                  <w:marBottom w:val="79"/>
                                  <w:divBdr>
                                    <w:top w:val="none" w:sz="0" w:space="0" w:color="auto"/>
                                    <w:left w:val="none" w:sz="0" w:space="0" w:color="auto"/>
                                    <w:bottom w:val="none" w:sz="0" w:space="0" w:color="auto"/>
                                    <w:right w:val="none" w:sz="0" w:space="0" w:color="auto"/>
                                  </w:divBdr>
                                  <w:divsChild>
                                    <w:div w:id="1225917824">
                                      <w:marLeft w:val="0"/>
                                      <w:marRight w:val="0"/>
                                      <w:marTop w:val="0"/>
                                      <w:marBottom w:val="0"/>
                                      <w:divBdr>
                                        <w:top w:val="none" w:sz="0" w:space="0" w:color="auto"/>
                                        <w:left w:val="none" w:sz="0" w:space="0" w:color="auto"/>
                                        <w:bottom w:val="none" w:sz="0" w:space="0" w:color="auto"/>
                                        <w:right w:val="none" w:sz="0" w:space="0" w:color="auto"/>
                                      </w:divBdr>
                                      <w:divsChild>
                                        <w:div w:id="1693410630">
                                          <w:marLeft w:val="554"/>
                                          <w:marRight w:val="0"/>
                                          <w:marTop w:val="0"/>
                                          <w:marBottom w:val="0"/>
                                          <w:divBdr>
                                            <w:top w:val="none" w:sz="0" w:space="0" w:color="auto"/>
                                            <w:left w:val="none" w:sz="0" w:space="0" w:color="auto"/>
                                            <w:bottom w:val="none" w:sz="0" w:space="0" w:color="auto"/>
                                            <w:right w:val="none" w:sz="0" w:space="0" w:color="auto"/>
                                          </w:divBdr>
                                          <w:divsChild>
                                            <w:div w:id="124191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2968421">
      <w:bodyDiv w:val="1"/>
      <w:marLeft w:val="0"/>
      <w:marRight w:val="0"/>
      <w:marTop w:val="0"/>
      <w:marBottom w:val="0"/>
      <w:divBdr>
        <w:top w:val="none" w:sz="0" w:space="0" w:color="auto"/>
        <w:left w:val="none" w:sz="0" w:space="0" w:color="auto"/>
        <w:bottom w:val="none" w:sz="0" w:space="0" w:color="auto"/>
        <w:right w:val="none" w:sz="0" w:space="0" w:color="auto"/>
      </w:divBdr>
    </w:div>
    <w:div w:id="1393037007">
      <w:bodyDiv w:val="1"/>
      <w:marLeft w:val="0"/>
      <w:marRight w:val="0"/>
      <w:marTop w:val="0"/>
      <w:marBottom w:val="0"/>
      <w:divBdr>
        <w:top w:val="none" w:sz="0" w:space="0" w:color="auto"/>
        <w:left w:val="none" w:sz="0" w:space="0" w:color="auto"/>
        <w:bottom w:val="none" w:sz="0" w:space="0" w:color="auto"/>
        <w:right w:val="none" w:sz="0" w:space="0" w:color="auto"/>
      </w:divBdr>
    </w:div>
    <w:div w:id="1398093611">
      <w:bodyDiv w:val="1"/>
      <w:marLeft w:val="0"/>
      <w:marRight w:val="0"/>
      <w:marTop w:val="0"/>
      <w:marBottom w:val="0"/>
      <w:divBdr>
        <w:top w:val="none" w:sz="0" w:space="0" w:color="auto"/>
        <w:left w:val="none" w:sz="0" w:space="0" w:color="auto"/>
        <w:bottom w:val="none" w:sz="0" w:space="0" w:color="auto"/>
        <w:right w:val="none" w:sz="0" w:space="0" w:color="auto"/>
      </w:divBdr>
      <w:divsChild>
        <w:div w:id="220021510">
          <w:marLeft w:val="0"/>
          <w:marRight w:val="0"/>
          <w:marTop w:val="0"/>
          <w:marBottom w:val="0"/>
          <w:divBdr>
            <w:top w:val="none" w:sz="0" w:space="0" w:color="auto"/>
            <w:left w:val="none" w:sz="0" w:space="0" w:color="auto"/>
            <w:bottom w:val="none" w:sz="0" w:space="0" w:color="auto"/>
            <w:right w:val="none" w:sz="0" w:space="0" w:color="auto"/>
          </w:divBdr>
          <w:divsChild>
            <w:div w:id="1606574437">
              <w:marLeft w:val="0"/>
              <w:marRight w:val="0"/>
              <w:marTop w:val="0"/>
              <w:marBottom w:val="0"/>
              <w:divBdr>
                <w:top w:val="none" w:sz="0" w:space="0" w:color="auto"/>
                <w:left w:val="none" w:sz="0" w:space="0" w:color="auto"/>
                <w:bottom w:val="none" w:sz="0" w:space="0" w:color="auto"/>
                <w:right w:val="none" w:sz="0" w:space="0" w:color="auto"/>
              </w:divBdr>
              <w:divsChild>
                <w:div w:id="1075009501">
                  <w:marLeft w:val="0"/>
                  <w:marRight w:val="0"/>
                  <w:marTop w:val="0"/>
                  <w:marBottom w:val="0"/>
                  <w:divBdr>
                    <w:top w:val="none" w:sz="0" w:space="0" w:color="auto"/>
                    <w:left w:val="none" w:sz="0" w:space="0" w:color="auto"/>
                    <w:bottom w:val="none" w:sz="0" w:space="0" w:color="auto"/>
                    <w:right w:val="none" w:sz="0" w:space="0" w:color="auto"/>
                  </w:divBdr>
                  <w:divsChild>
                    <w:div w:id="1554078341">
                      <w:marLeft w:val="0"/>
                      <w:marRight w:val="0"/>
                      <w:marTop w:val="0"/>
                      <w:marBottom w:val="0"/>
                      <w:divBdr>
                        <w:top w:val="none" w:sz="0" w:space="0" w:color="auto"/>
                        <w:left w:val="none" w:sz="0" w:space="0" w:color="auto"/>
                        <w:bottom w:val="none" w:sz="0" w:space="0" w:color="auto"/>
                        <w:right w:val="none" w:sz="0" w:space="0" w:color="auto"/>
                      </w:divBdr>
                      <w:divsChild>
                        <w:div w:id="177166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241439">
      <w:bodyDiv w:val="1"/>
      <w:marLeft w:val="0"/>
      <w:marRight w:val="0"/>
      <w:marTop w:val="0"/>
      <w:marBottom w:val="0"/>
      <w:divBdr>
        <w:top w:val="none" w:sz="0" w:space="0" w:color="auto"/>
        <w:left w:val="none" w:sz="0" w:space="0" w:color="auto"/>
        <w:bottom w:val="none" w:sz="0" w:space="0" w:color="auto"/>
        <w:right w:val="none" w:sz="0" w:space="0" w:color="auto"/>
      </w:divBdr>
    </w:div>
    <w:div w:id="1408267126">
      <w:bodyDiv w:val="1"/>
      <w:marLeft w:val="0"/>
      <w:marRight w:val="0"/>
      <w:marTop w:val="0"/>
      <w:marBottom w:val="0"/>
      <w:divBdr>
        <w:top w:val="none" w:sz="0" w:space="0" w:color="auto"/>
        <w:left w:val="none" w:sz="0" w:space="0" w:color="auto"/>
        <w:bottom w:val="none" w:sz="0" w:space="0" w:color="auto"/>
        <w:right w:val="none" w:sz="0" w:space="0" w:color="auto"/>
      </w:divBdr>
    </w:div>
    <w:div w:id="1415978360">
      <w:bodyDiv w:val="1"/>
      <w:marLeft w:val="0"/>
      <w:marRight w:val="0"/>
      <w:marTop w:val="0"/>
      <w:marBottom w:val="0"/>
      <w:divBdr>
        <w:top w:val="none" w:sz="0" w:space="0" w:color="auto"/>
        <w:left w:val="none" w:sz="0" w:space="0" w:color="auto"/>
        <w:bottom w:val="none" w:sz="0" w:space="0" w:color="auto"/>
        <w:right w:val="none" w:sz="0" w:space="0" w:color="auto"/>
      </w:divBdr>
    </w:div>
    <w:div w:id="1416708010">
      <w:bodyDiv w:val="1"/>
      <w:marLeft w:val="0"/>
      <w:marRight w:val="0"/>
      <w:marTop w:val="0"/>
      <w:marBottom w:val="0"/>
      <w:divBdr>
        <w:top w:val="none" w:sz="0" w:space="0" w:color="auto"/>
        <w:left w:val="none" w:sz="0" w:space="0" w:color="auto"/>
        <w:bottom w:val="none" w:sz="0" w:space="0" w:color="auto"/>
        <w:right w:val="none" w:sz="0" w:space="0" w:color="auto"/>
      </w:divBdr>
    </w:div>
    <w:div w:id="1421214969">
      <w:bodyDiv w:val="1"/>
      <w:marLeft w:val="0"/>
      <w:marRight w:val="0"/>
      <w:marTop w:val="0"/>
      <w:marBottom w:val="0"/>
      <w:divBdr>
        <w:top w:val="none" w:sz="0" w:space="0" w:color="auto"/>
        <w:left w:val="none" w:sz="0" w:space="0" w:color="auto"/>
        <w:bottom w:val="none" w:sz="0" w:space="0" w:color="auto"/>
        <w:right w:val="none" w:sz="0" w:space="0" w:color="auto"/>
      </w:divBdr>
    </w:div>
    <w:div w:id="1424105582">
      <w:bodyDiv w:val="1"/>
      <w:marLeft w:val="0"/>
      <w:marRight w:val="0"/>
      <w:marTop w:val="0"/>
      <w:marBottom w:val="0"/>
      <w:divBdr>
        <w:top w:val="none" w:sz="0" w:space="0" w:color="auto"/>
        <w:left w:val="none" w:sz="0" w:space="0" w:color="auto"/>
        <w:bottom w:val="none" w:sz="0" w:space="0" w:color="auto"/>
        <w:right w:val="none" w:sz="0" w:space="0" w:color="auto"/>
      </w:divBdr>
    </w:div>
    <w:div w:id="1427266176">
      <w:bodyDiv w:val="1"/>
      <w:marLeft w:val="0"/>
      <w:marRight w:val="0"/>
      <w:marTop w:val="0"/>
      <w:marBottom w:val="0"/>
      <w:divBdr>
        <w:top w:val="none" w:sz="0" w:space="0" w:color="auto"/>
        <w:left w:val="none" w:sz="0" w:space="0" w:color="auto"/>
        <w:bottom w:val="none" w:sz="0" w:space="0" w:color="auto"/>
        <w:right w:val="none" w:sz="0" w:space="0" w:color="auto"/>
      </w:divBdr>
    </w:div>
    <w:div w:id="1437826805">
      <w:bodyDiv w:val="1"/>
      <w:marLeft w:val="0"/>
      <w:marRight w:val="0"/>
      <w:marTop w:val="0"/>
      <w:marBottom w:val="0"/>
      <w:divBdr>
        <w:top w:val="none" w:sz="0" w:space="0" w:color="auto"/>
        <w:left w:val="none" w:sz="0" w:space="0" w:color="auto"/>
        <w:bottom w:val="none" w:sz="0" w:space="0" w:color="auto"/>
        <w:right w:val="none" w:sz="0" w:space="0" w:color="auto"/>
      </w:divBdr>
    </w:div>
    <w:div w:id="1438141651">
      <w:bodyDiv w:val="1"/>
      <w:marLeft w:val="0"/>
      <w:marRight w:val="0"/>
      <w:marTop w:val="0"/>
      <w:marBottom w:val="0"/>
      <w:divBdr>
        <w:top w:val="none" w:sz="0" w:space="0" w:color="auto"/>
        <w:left w:val="none" w:sz="0" w:space="0" w:color="auto"/>
        <w:bottom w:val="none" w:sz="0" w:space="0" w:color="auto"/>
        <w:right w:val="none" w:sz="0" w:space="0" w:color="auto"/>
      </w:divBdr>
    </w:div>
    <w:div w:id="1440880848">
      <w:bodyDiv w:val="1"/>
      <w:marLeft w:val="0"/>
      <w:marRight w:val="0"/>
      <w:marTop w:val="0"/>
      <w:marBottom w:val="0"/>
      <w:divBdr>
        <w:top w:val="none" w:sz="0" w:space="0" w:color="auto"/>
        <w:left w:val="none" w:sz="0" w:space="0" w:color="auto"/>
        <w:bottom w:val="none" w:sz="0" w:space="0" w:color="auto"/>
        <w:right w:val="none" w:sz="0" w:space="0" w:color="auto"/>
      </w:divBdr>
      <w:divsChild>
        <w:div w:id="1349991323">
          <w:marLeft w:val="0"/>
          <w:marRight w:val="0"/>
          <w:marTop w:val="0"/>
          <w:marBottom w:val="0"/>
          <w:divBdr>
            <w:top w:val="none" w:sz="0" w:space="0" w:color="auto"/>
            <w:left w:val="none" w:sz="0" w:space="0" w:color="auto"/>
            <w:bottom w:val="none" w:sz="0" w:space="0" w:color="auto"/>
            <w:right w:val="none" w:sz="0" w:space="0" w:color="auto"/>
          </w:divBdr>
        </w:div>
      </w:divsChild>
    </w:div>
    <w:div w:id="1450276256">
      <w:bodyDiv w:val="1"/>
      <w:marLeft w:val="0"/>
      <w:marRight w:val="0"/>
      <w:marTop w:val="0"/>
      <w:marBottom w:val="0"/>
      <w:divBdr>
        <w:top w:val="none" w:sz="0" w:space="0" w:color="auto"/>
        <w:left w:val="none" w:sz="0" w:space="0" w:color="auto"/>
        <w:bottom w:val="none" w:sz="0" w:space="0" w:color="auto"/>
        <w:right w:val="none" w:sz="0" w:space="0" w:color="auto"/>
      </w:divBdr>
      <w:divsChild>
        <w:div w:id="606620366">
          <w:marLeft w:val="0"/>
          <w:marRight w:val="0"/>
          <w:marTop w:val="0"/>
          <w:marBottom w:val="0"/>
          <w:divBdr>
            <w:top w:val="none" w:sz="0" w:space="0" w:color="auto"/>
            <w:left w:val="none" w:sz="0" w:space="0" w:color="auto"/>
            <w:bottom w:val="none" w:sz="0" w:space="0" w:color="auto"/>
            <w:right w:val="none" w:sz="0" w:space="0" w:color="auto"/>
          </w:divBdr>
          <w:divsChild>
            <w:div w:id="1794207599">
              <w:marLeft w:val="0"/>
              <w:marRight w:val="0"/>
              <w:marTop w:val="15"/>
              <w:marBottom w:val="0"/>
              <w:divBdr>
                <w:top w:val="none" w:sz="0" w:space="0" w:color="auto"/>
                <w:left w:val="none" w:sz="0" w:space="0" w:color="auto"/>
                <w:bottom w:val="none" w:sz="0" w:space="0" w:color="auto"/>
                <w:right w:val="none" w:sz="0" w:space="0" w:color="auto"/>
              </w:divBdr>
              <w:divsChild>
                <w:div w:id="1792359224">
                  <w:marLeft w:val="0"/>
                  <w:marRight w:val="0"/>
                  <w:marTop w:val="0"/>
                  <w:marBottom w:val="0"/>
                  <w:divBdr>
                    <w:top w:val="none" w:sz="0" w:space="0" w:color="auto"/>
                    <w:left w:val="single" w:sz="6" w:space="0" w:color="B5B5B5"/>
                    <w:bottom w:val="none" w:sz="0" w:space="0" w:color="auto"/>
                    <w:right w:val="single" w:sz="6" w:space="0" w:color="B5B5B5"/>
                  </w:divBdr>
                  <w:divsChild>
                    <w:div w:id="106655468">
                      <w:marLeft w:val="75"/>
                      <w:marRight w:val="75"/>
                      <w:marTop w:val="0"/>
                      <w:marBottom w:val="0"/>
                      <w:divBdr>
                        <w:top w:val="none" w:sz="0" w:space="0" w:color="auto"/>
                        <w:left w:val="none" w:sz="0" w:space="0" w:color="auto"/>
                        <w:bottom w:val="none" w:sz="0" w:space="0" w:color="auto"/>
                        <w:right w:val="none" w:sz="0" w:space="0" w:color="auto"/>
                      </w:divBdr>
                      <w:divsChild>
                        <w:div w:id="270206683">
                          <w:marLeft w:val="0"/>
                          <w:marRight w:val="0"/>
                          <w:marTop w:val="0"/>
                          <w:marBottom w:val="0"/>
                          <w:divBdr>
                            <w:top w:val="dotted" w:sz="6" w:space="0" w:color="B5B5B5"/>
                            <w:left w:val="none" w:sz="0" w:space="0" w:color="auto"/>
                            <w:bottom w:val="none" w:sz="0" w:space="0" w:color="auto"/>
                            <w:right w:val="none" w:sz="0" w:space="0" w:color="auto"/>
                          </w:divBdr>
                          <w:divsChild>
                            <w:div w:id="1095706043">
                              <w:marLeft w:val="0"/>
                              <w:marRight w:val="0"/>
                              <w:marTop w:val="75"/>
                              <w:marBottom w:val="0"/>
                              <w:divBdr>
                                <w:top w:val="none" w:sz="0" w:space="0" w:color="auto"/>
                                <w:left w:val="none" w:sz="0" w:space="0" w:color="auto"/>
                                <w:bottom w:val="none" w:sz="0" w:space="0" w:color="auto"/>
                                <w:right w:val="none" w:sz="0" w:space="0" w:color="auto"/>
                              </w:divBdr>
                              <w:divsChild>
                                <w:div w:id="881594514">
                                  <w:marLeft w:val="0"/>
                                  <w:marRight w:val="0"/>
                                  <w:marTop w:val="0"/>
                                  <w:marBottom w:val="0"/>
                                  <w:divBdr>
                                    <w:top w:val="none" w:sz="0" w:space="0" w:color="auto"/>
                                    <w:left w:val="none" w:sz="0" w:space="0" w:color="auto"/>
                                    <w:bottom w:val="none" w:sz="0" w:space="0" w:color="auto"/>
                                    <w:right w:val="none" w:sz="0" w:space="0" w:color="auto"/>
                                  </w:divBdr>
                                  <w:divsChild>
                                    <w:div w:id="801113990">
                                      <w:marLeft w:val="0"/>
                                      <w:marRight w:val="0"/>
                                      <w:marTop w:val="0"/>
                                      <w:marBottom w:val="0"/>
                                      <w:divBdr>
                                        <w:top w:val="none" w:sz="0" w:space="0" w:color="auto"/>
                                        <w:left w:val="none" w:sz="0" w:space="0" w:color="auto"/>
                                        <w:bottom w:val="none" w:sz="0" w:space="0" w:color="auto"/>
                                        <w:right w:val="none" w:sz="0" w:space="0" w:color="auto"/>
                                      </w:divBdr>
                                      <w:divsChild>
                                        <w:div w:id="1862627791">
                                          <w:marLeft w:val="525"/>
                                          <w:marRight w:val="0"/>
                                          <w:marTop w:val="0"/>
                                          <w:marBottom w:val="0"/>
                                          <w:divBdr>
                                            <w:top w:val="none" w:sz="0" w:space="0" w:color="auto"/>
                                            <w:left w:val="none" w:sz="0" w:space="0" w:color="auto"/>
                                            <w:bottom w:val="none" w:sz="0" w:space="0" w:color="auto"/>
                                            <w:right w:val="none" w:sz="0" w:space="0" w:color="auto"/>
                                          </w:divBdr>
                                          <w:divsChild>
                                            <w:div w:id="16399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1777838">
      <w:bodyDiv w:val="1"/>
      <w:marLeft w:val="0"/>
      <w:marRight w:val="0"/>
      <w:marTop w:val="0"/>
      <w:marBottom w:val="0"/>
      <w:divBdr>
        <w:top w:val="none" w:sz="0" w:space="0" w:color="auto"/>
        <w:left w:val="none" w:sz="0" w:space="0" w:color="auto"/>
        <w:bottom w:val="none" w:sz="0" w:space="0" w:color="auto"/>
        <w:right w:val="none" w:sz="0" w:space="0" w:color="auto"/>
      </w:divBdr>
    </w:div>
    <w:div w:id="1451826524">
      <w:bodyDiv w:val="1"/>
      <w:marLeft w:val="0"/>
      <w:marRight w:val="0"/>
      <w:marTop w:val="0"/>
      <w:marBottom w:val="0"/>
      <w:divBdr>
        <w:top w:val="none" w:sz="0" w:space="0" w:color="auto"/>
        <w:left w:val="none" w:sz="0" w:space="0" w:color="auto"/>
        <w:bottom w:val="none" w:sz="0" w:space="0" w:color="auto"/>
        <w:right w:val="none" w:sz="0" w:space="0" w:color="auto"/>
      </w:divBdr>
      <w:divsChild>
        <w:div w:id="1198784774">
          <w:marLeft w:val="0"/>
          <w:marRight w:val="0"/>
          <w:marTop w:val="0"/>
          <w:marBottom w:val="0"/>
          <w:divBdr>
            <w:top w:val="none" w:sz="0" w:space="0" w:color="auto"/>
            <w:left w:val="none" w:sz="0" w:space="0" w:color="auto"/>
            <w:bottom w:val="none" w:sz="0" w:space="0" w:color="auto"/>
            <w:right w:val="none" w:sz="0" w:space="0" w:color="auto"/>
          </w:divBdr>
          <w:divsChild>
            <w:div w:id="570774342">
              <w:marLeft w:val="0"/>
              <w:marRight w:val="0"/>
              <w:marTop w:val="411"/>
              <w:marBottom w:val="0"/>
              <w:divBdr>
                <w:top w:val="none" w:sz="0" w:space="0" w:color="auto"/>
                <w:left w:val="none" w:sz="0" w:space="0" w:color="auto"/>
                <w:bottom w:val="none" w:sz="0" w:space="0" w:color="auto"/>
                <w:right w:val="none" w:sz="0" w:space="0" w:color="auto"/>
              </w:divBdr>
              <w:divsChild>
                <w:div w:id="158622948">
                  <w:marLeft w:val="0"/>
                  <w:marRight w:val="0"/>
                  <w:marTop w:val="0"/>
                  <w:marBottom w:val="0"/>
                  <w:divBdr>
                    <w:top w:val="none" w:sz="0" w:space="0" w:color="auto"/>
                    <w:left w:val="none" w:sz="0" w:space="0" w:color="auto"/>
                    <w:bottom w:val="none" w:sz="0" w:space="0" w:color="auto"/>
                    <w:right w:val="none" w:sz="0" w:space="0" w:color="auto"/>
                  </w:divBdr>
                  <w:divsChild>
                    <w:div w:id="65614665">
                      <w:marLeft w:val="79"/>
                      <w:marRight w:val="79"/>
                      <w:marTop w:val="0"/>
                      <w:marBottom w:val="0"/>
                      <w:divBdr>
                        <w:top w:val="none" w:sz="0" w:space="0" w:color="auto"/>
                        <w:left w:val="none" w:sz="0" w:space="0" w:color="auto"/>
                        <w:bottom w:val="none" w:sz="0" w:space="0" w:color="auto"/>
                        <w:right w:val="none" w:sz="0" w:space="0" w:color="auto"/>
                      </w:divBdr>
                      <w:divsChild>
                        <w:div w:id="20129835">
                          <w:marLeft w:val="0"/>
                          <w:marRight w:val="0"/>
                          <w:marTop w:val="0"/>
                          <w:marBottom w:val="0"/>
                          <w:divBdr>
                            <w:top w:val="dashed" w:sz="6" w:space="0" w:color="DDDDDD"/>
                            <w:left w:val="none" w:sz="0" w:space="0" w:color="auto"/>
                            <w:bottom w:val="none" w:sz="0" w:space="0" w:color="auto"/>
                            <w:right w:val="none" w:sz="0" w:space="0" w:color="auto"/>
                          </w:divBdr>
                          <w:divsChild>
                            <w:div w:id="1931770091">
                              <w:marLeft w:val="0"/>
                              <w:marRight w:val="0"/>
                              <w:marTop w:val="0"/>
                              <w:marBottom w:val="0"/>
                              <w:divBdr>
                                <w:top w:val="none" w:sz="0" w:space="0" w:color="auto"/>
                                <w:left w:val="none" w:sz="0" w:space="0" w:color="auto"/>
                                <w:bottom w:val="none" w:sz="0" w:space="0" w:color="auto"/>
                                <w:right w:val="none" w:sz="0" w:space="0" w:color="auto"/>
                              </w:divBdr>
                              <w:divsChild>
                                <w:div w:id="1083647502">
                                  <w:marLeft w:val="0"/>
                                  <w:marRight w:val="0"/>
                                  <w:marTop w:val="79"/>
                                  <w:marBottom w:val="79"/>
                                  <w:divBdr>
                                    <w:top w:val="none" w:sz="0" w:space="0" w:color="auto"/>
                                    <w:left w:val="none" w:sz="0" w:space="0" w:color="auto"/>
                                    <w:bottom w:val="none" w:sz="0" w:space="0" w:color="auto"/>
                                    <w:right w:val="none" w:sz="0" w:space="0" w:color="auto"/>
                                  </w:divBdr>
                                  <w:divsChild>
                                    <w:div w:id="862551804">
                                      <w:marLeft w:val="0"/>
                                      <w:marRight w:val="0"/>
                                      <w:marTop w:val="0"/>
                                      <w:marBottom w:val="0"/>
                                      <w:divBdr>
                                        <w:top w:val="none" w:sz="0" w:space="0" w:color="auto"/>
                                        <w:left w:val="none" w:sz="0" w:space="0" w:color="auto"/>
                                        <w:bottom w:val="none" w:sz="0" w:space="0" w:color="auto"/>
                                        <w:right w:val="none" w:sz="0" w:space="0" w:color="auto"/>
                                      </w:divBdr>
                                      <w:divsChild>
                                        <w:div w:id="942151403">
                                          <w:marLeft w:val="554"/>
                                          <w:marRight w:val="0"/>
                                          <w:marTop w:val="0"/>
                                          <w:marBottom w:val="0"/>
                                          <w:divBdr>
                                            <w:top w:val="none" w:sz="0" w:space="0" w:color="auto"/>
                                            <w:left w:val="none" w:sz="0" w:space="0" w:color="auto"/>
                                            <w:bottom w:val="none" w:sz="0" w:space="0" w:color="auto"/>
                                            <w:right w:val="none" w:sz="0" w:space="0" w:color="auto"/>
                                          </w:divBdr>
                                          <w:divsChild>
                                            <w:div w:id="151587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3402595">
      <w:bodyDiv w:val="1"/>
      <w:marLeft w:val="0"/>
      <w:marRight w:val="0"/>
      <w:marTop w:val="0"/>
      <w:marBottom w:val="0"/>
      <w:divBdr>
        <w:top w:val="none" w:sz="0" w:space="0" w:color="auto"/>
        <w:left w:val="none" w:sz="0" w:space="0" w:color="auto"/>
        <w:bottom w:val="none" w:sz="0" w:space="0" w:color="auto"/>
        <w:right w:val="none" w:sz="0" w:space="0" w:color="auto"/>
      </w:divBdr>
    </w:div>
    <w:div w:id="1453939355">
      <w:bodyDiv w:val="1"/>
      <w:marLeft w:val="0"/>
      <w:marRight w:val="0"/>
      <w:marTop w:val="0"/>
      <w:marBottom w:val="0"/>
      <w:divBdr>
        <w:top w:val="none" w:sz="0" w:space="0" w:color="auto"/>
        <w:left w:val="none" w:sz="0" w:space="0" w:color="auto"/>
        <w:bottom w:val="none" w:sz="0" w:space="0" w:color="auto"/>
        <w:right w:val="none" w:sz="0" w:space="0" w:color="auto"/>
      </w:divBdr>
      <w:divsChild>
        <w:div w:id="251939137">
          <w:marLeft w:val="446"/>
          <w:marRight w:val="0"/>
          <w:marTop w:val="0"/>
          <w:marBottom w:val="120"/>
          <w:divBdr>
            <w:top w:val="none" w:sz="0" w:space="0" w:color="auto"/>
            <w:left w:val="none" w:sz="0" w:space="0" w:color="auto"/>
            <w:bottom w:val="none" w:sz="0" w:space="0" w:color="auto"/>
            <w:right w:val="none" w:sz="0" w:space="0" w:color="auto"/>
          </w:divBdr>
        </w:div>
      </w:divsChild>
    </w:div>
    <w:div w:id="1455562275">
      <w:bodyDiv w:val="1"/>
      <w:marLeft w:val="0"/>
      <w:marRight w:val="0"/>
      <w:marTop w:val="0"/>
      <w:marBottom w:val="0"/>
      <w:divBdr>
        <w:top w:val="none" w:sz="0" w:space="0" w:color="auto"/>
        <w:left w:val="none" w:sz="0" w:space="0" w:color="auto"/>
        <w:bottom w:val="none" w:sz="0" w:space="0" w:color="auto"/>
        <w:right w:val="none" w:sz="0" w:space="0" w:color="auto"/>
      </w:divBdr>
    </w:div>
    <w:div w:id="1457601610">
      <w:bodyDiv w:val="1"/>
      <w:marLeft w:val="0"/>
      <w:marRight w:val="0"/>
      <w:marTop w:val="0"/>
      <w:marBottom w:val="0"/>
      <w:divBdr>
        <w:top w:val="none" w:sz="0" w:space="0" w:color="auto"/>
        <w:left w:val="none" w:sz="0" w:space="0" w:color="auto"/>
        <w:bottom w:val="none" w:sz="0" w:space="0" w:color="auto"/>
        <w:right w:val="none" w:sz="0" w:space="0" w:color="auto"/>
      </w:divBdr>
    </w:div>
    <w:div w:id="1463423764">
      <w:bodyDiv w:val="1"/>
      <w:marLeft w:val="0"/>
      <w:marRight w:val="0"/>
      <w:marTop w:val="0"/>
      <w:marBottom w:val="0"/>
      <w:divBdr>
        <w:top w:val="none" w:sz="0" w:space="0" w:color="auto"/>
        <w:left w:val="none" w:sz="0" w:space="0" w:color="auto"/>
        <w:bottom w:val="none" w:sz="0" w:space="0" w:color="auto"/>
        <w:right w:val="none" w:sz="0" w:space="0" w:color="auto"/>
      </w:divBdr>
    </w:div>
    <w:div w:id="1464033765">
      <w:bodyDiv w:val="1"/>
      <w:marLeft w:val="0"/>
      <w:marRight w:val="0"/>
      <w:marTop w:val="0"/>
      <w:marBottom w:val="0"/>
      <w:divBdr>
        <w:top w:val="none" w:sz="0" w:space="0" w:color="auto"/>
        <w:left w:val="none" w:sz="0" w:space="0" w:color="auto"/>
        <w:bottom w:val="none" w:sz="0" w:space="0" w:color="auto"/>
        <w:right w:val="none" w:sz="0" w:space="0" w:color="auto"/>
      </w:divBdr>
    </w:div>
    <w:div w:id="1471942805">
      <w:bodyDiv w:val="1"/>
      <w:marLeft w:val="0"/>
      <w:marRight w:val="0"/>
      <w:marTop w:val="0"/>
      <w:marBottom w:val="0"/>
      <w:divBdr>
        <w:top w:val="none" w:sz="0" w:space="0" w:color="auto"/>
        <w:left w:val="none" w:sz="0" w:space="0" w:color="auto"/>
        <w:bottom w:val="none" w:sz="0" w:space="0" w:color="auto"/>
        <w:right w:val="none" w:sz="0" w:space="0" w:color="auto"/>
      </w:divBdr>
      <w:divsChild>
        <w:div w:id="1802268065">
          <w:marLeft w:val="0"/>
          <w:marRight w:val="0"/>
          <w:marTop w:val="0"/>
          <w:marBottom w:val="0"/>
          <w:divBdr>
            <w:top w:val="none" w:sz="0" w:space="0" w:color="auto"/>
            <w:left w:val="none" w:sz="0" w:space="0" w:color="auto"/>
            <w:bottom w:val="none" w:sz="0" w:space="0" w:color="auto"/>
            <w:right w:val="none" w:sz="0" w:space="0" w:color="auto"/>
          </w:divBdr>
          <w:divsChild>
            <w:div w:id="744110160">
              <w:marLeft w:val="0"/>
              <w:marRight w:val="0"/>
              <w:marTop w:val="411"/>
              <w:marBottom w:val="0"/>
              <w:divBdr>
                <w:top w:val="none" w:sz="0" w:space="0" w:color="auto"/>
                <w:left w:val="none" w:sz="0" w:space="0" w:color="auto"/>
                <w:bottom w:val="none" w:sz="0" w:space="0" w:color="auto"/>
                <w:right w:val="none" w:sz="0" w:space="0" w:color="auto"/>
              </w:divBdr>
              <w:divsChild>
                <w:div w:id="319581009">
                  <w:marLeft w:val="0"/>
                  <w:marRight w:val="0"/>
                  <w:marTop w:val="0"/>
                  <w:marBottom w:val="0"/>
                  <w:divBdr>
                    <w:top w:val="none" w:sz="0" w:space="0" w:color="auto"/>
                    <w:left w:val="none" w:sz="0" w:space="0" w:color="auto"/>
                    <w:bottom w:val="none" w:sz="0" w:space="0" w:color="auto"/>
                    <w:right w:val="none" w:sz="0" w:space="0" w:color="auto"/>
                  </w:divBdr>
                  <w:divsChild>
                    <w:div w:id="393432700">
                      <w:marLeft w:val="79"/>
                      <w:marRight w:val="79"/>
                      <w:marTop w:val="0"/>
                      <w:marBottom w:val="0"/>
                      <w:divBdr>
                        <w:top w:val="none" w:sz="0" w:space="0" w:color="auto"/>
                        <w:left w:val="none" w:sz="0" w:space="0" w:color="auto"/>
                        <w:bottom w:val="none" w:sz="0" w:space="0" w:color="auto"/>
                        <w:right w:val="none" w:sz="0" w:space="0" w:color="auto"/>
                      </w:divBdr>
                      <w:divsChild>
                        <w:div w:id="76557803">
                          <w:marLeft w:val="0"/>
                          <w:marRight w:val="0"/>
                          <w:marTop w:val="0"/>
                          <w:marBottom w:val="0"/>
                          <w:divBdr>
                            <w:top w:val="dashed" w:sz="6" w:space="0" w:color="DDDDDD"/>
                            <w:left w:val="none" w:sz="0" w:space="0" w:color="auto"/>
                            <w:bottom w:val="none" w:sz="0" w:space="0" w:color="auto"/>
                            <w:right w:val="none" w:sz="0" w:space="0" w:color="auto"/>
                          </w:divBdr>
                          <w:divsChild>
                            <w:div w:id="32585231">
                              <w:marLeft w:val="0"/>
                              <w:marRight w:val="0"/>
                              <w:marTop w:val="0"/>
                              <w:marBottom w:val="0"/>
                              <w:divBdr>
                                <w:top w:val="none" w:sz="0" w:space="0" w:color="auto"/>
                                <w:left w:val="none" w:sz="0" w:space="0" w:color="auto"/>
                                <w:bottom w:val="none" w:sz="0" w:space="0" w:color="auto"/>
                                <w:right w:val="none" w:sz="0" w:space="0" w:color="auto"/>
                              </w:divBdr>
                              <w:divsChild>
                                <w:div w:id="664435577">
                                  <w:marLeft w:val="0"/>
                                  <w:marRight w:val="0"/>
                                  <w:marTop w:val="79"/>
                                  <w:marBottom w:val="79"/>
                                  <w:divBdr>
                                    <w:top w:val="none" w:sz="0" w:space="0" w:color="auto"/>
                                    <w:left w:val="none" w:sz="0" w:space="0" w:color="auto"/>
                                    <w:bottom w:val="none" w:sz="0" w:space="0" w:color="auto"/>
                                    <w:right w:val="none" w:sz="0" w:space="0" w:color="auto"/>
                                  </w:divBdr>
                                  <w:divsChild>
                                    <w:div w:id="218396201">
                                      <w:marLeft w:val="0"/>
                                      <w:marRight w:val="0"/>
                                      <w:marTop w:val="0"/>
                                      <w:marBottom w:val="0"/>
                                      <w:divBdr>
                                        <w:top w:val="none" w:sz="0" w:space="0" w:color="auto"/>
                                        <w:left w:val="none" w:sz="0" w:space="0" w:color="auto"/>
                                        <w:bottom w:val="none" w:sz="0" w:space="0" w:color="auto"/>
                                        <w:right w:val="none" w:sz="0" w:space="0" w:color="auto"/>
                                      </w:divBdr>
                                      <w:divsChild>
                                        <w:div w:id="1679578862">
                                          <w:marLeft w:val="554"/>
                                          <w:marRight w:val="0"/>
                                          <w:marTop w:val="0"/>
                                          <w:marBottom w:val="0"/>
                                          <w:divBdr>
                                            <w:top w:val="none" w:sz="0" w:space="0" w:color="auto"/>
                                            <w:left w:val="none" w:sz="0" w:space="0" w:color="auto"/>
                                            <w:bottom w:val="none" w:sz="0" w:space="0" w:color="auto"/>
                                            <w:right w:val="none" w:sz="0" w:space="0" w:color="auto"/>
                                          </w:divBdr>
                                          <w:divsChild>
                                            <w:div w:id="178318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9152895">
      <w:bodyDiv w:val="1"/>
      <w:marLeft w:val="0"/>
      <w:marRight w:val="0"/>
      <w:marTop w:val="0"/>
      <w:marBottom w:val="0"/>
      <w:divBdr>
        <w:top w:val="none" w:sz="0" w:space="0" w:color="auto"/>
        <w:left w:val="none" w:sz="0" w:space="0" w:color="auto"/>
        <w:bottom w:val="none" w:sz="0" w:space="0" w:color="auto"/>
        <w:right w:val="none" w:sz="0" w:space="0" w:color="auto"/>
      </w:divBdr>
    </w:div>
    <w:div w:id="1480227820">
      <w:bodyDiv w:val="1"/>
      <w:marLeft w:val="0"/>
      <w:marRight w:val="0"/>
      <w:marTop w:val="0"/>
      <w:marBottom w:val="0"/>
      <w:divBdr>
        <w:top w:val="none" w:sz="0" w:space="0" w:color="auto"/>
        <w:left w:val="none" w:sz="0" w:space="0" w:color="auto"/>
        <w:bottom w:val="none" w:sz="0" w:space="0" w:color="auto"/>
        <w:right w:val="none" w:sz="0" w:space="0" w:color="auto"/>
      </w:divBdr>
    </w:div>
    <w:div w:id="1487278992">
      <w:bodyDiv w:val="1"/>
      <w:marLeft w:val="0"/>
      <w:marRight w:val="0"/>
      <w:marTop w:val="0"/>
      <w:marBottom w:val="0"/>
      <w:divBdr>
        <w:top w:val="none" w:sz="0" w:space="0" w:color="auto"/>
        <w:left w:val="none" w:sz="0" w:space="0" w:color="auto"/>
        <w:bottom w:val="none" w:sz="0" w:space="0" w:color="auto"/>
        <w:right w:val="none" w:sz="0" w:space="0" w:color="auto"/>
      </w:divBdr>
      <w:divsChild>
        <w:div w:id="2141147941">
          <w:marLeft w:val="0"/>
          <w:marRight w:val="0"/>
          <w:marTop w:val="0"/>
          <w:marBottom w:val="0"/>
          <w:divBdr>
            <w:top w:val="none" w:sz="0" w:space="0" w:color="auto"/>
            <w:left w:val="none" w:sz="0" w:space="0" w:color="auto"/>
            <w:bottom w:val="none" w:sz="0" w:space="0" w:color="auto"/>
            <w:right w:val="none" w:sz="0" w:space="0" w:color="auto"/>
          </w:divBdr>
        </w:div>
      </w:divsChild>
    </w:div>
    <w:div w:id="1494495034">
      <w:bodyDiv w:val="1"/>
      <w:marLeft w:val="0"/>
      <w:marRight w:val="0"/>
      <w:marTop w:val="0"/>
      <w:marBottom w:val="0"/>
      <w:divBdr>
        <w:top w:val="none" w:sz="0" w:space="0" w:color="auto"/>
        <w:left w:val="none" w:sz="0" w:space="0" w:color="auto"/>
        <w:bottom w:val="none" w:sz="0" w:space="0" w:color="auto"/>
        <w:right w:val="none" w:sz="0" w:space="0" w:color="auto"/>
      </w:divBdr>
      <w:divsChild>
        <w:div w:id="753017647">
          <w:marLeft w:val="0"/>
          <w:marRight w:val="0"/>
          <w:marTop w:val="0"/>
          <w:marBottom w:val="0"/>
          <w:divBdr>
            <w:top w:val="none" w:sz="0" w:space="0" w:color="auto"/>
            <w:left w:val="none" w:sz="0" w:space="0" w:color="auto"/>
            <w:bottom w:val="none" w:sz="0" w:space="0" w:color="auto"/>
            <w:right w:val="none" w:sz="0" w:space="0" w:color="auto"/>
          </w:divBdr>
          <w:divsChild>
            <w:div w:id="1015965074">
              <w:marLeft w:val="0"/>
              <w:marRight w:val="0"/>
              <w:marTop w:val="411"/>
              <w:marBottom w:val="0"/>
              <w:divBdr>
                <w:top w:val="none" w:sz="0" w:space="0" w:color="auto"/>
                <w:left w:val="none" w:sz="0" w:space="0" w:color="auto"/>
                <w:bottom w:val="none" w:sz="0" w:space="0" w:color="auto"/>
                <w:right w:val="none" w:sz="0" w:space="0" w:color="auto"/>
              </w:divBdr>
              <w:divsChild>
                <w:div w:id="1214657187">
                  <w:marLeft w:val="0"/>
                  <w:marRight w:val="0"/>
                  <w:marTop w:val="0"/>
                  <w:marBottom w:val="0"/>
                  <w:divBdr>
                    <w:top w:val="none" w:sz="0" w:space="0" w:color="auto"/>
                    <w:left w:val="none" w:sz="0" w:space="0" w:color="auto"/>
                    <w:bottom w:val="none" w:sz="0" w:space="0" w:color="auto"/>
                    <w:right w:val="none" w:sz="0" w:space="0" w:color="auto"/>
                  </w:divBdr>
                  <w:divsChild>
                    <w:div w:id="888034058">
                      <w:marLeft w:val="79"/>
                      <w:marRight w:val="79"/>
                      <w:marTop w:val="0"/>
                      <w:marBottom w:val="0"/>
                      <w:divBdr>
                        <w:top w:val="none" w:sz="0" w:space="0" w:color="auto"/>
                        <w:left w:val="none" w:sz="0" w:space="0" w:color="auto"/>
                        <w:bottom w:val="none" w:sz="0" w:space="0" w:color="auto"/>
                        <w:right w:val="none" w:sz="0" w:space="0" w:color="auto"/>
                      </w:divBdr>
                      <w:divsChild>
                        <w:div w:id="787240877">
                          <w:marLeft w:val="0"/>
                          <w:marRight w:val="0"/>
                          <w:marTop w:val="0"/>
                          <w:marBottom w:val="0"/>
                          <w:divBdr>
                            <w:top w:val="dashed" w:sz="6" w:space="0" w:color="DDDDDD"/>
                            <w:left w:val="none" w:sz="0" w:space="0" w:color="auto"/>
                            <w:bottom w:val="none" w:sz="0" w:space="0" w:color="auto"/>
                            <w:right w:val="none" w:sz="0" w:space="0" w:color="auto"/>
                          </w:divBdr>
                          <w:divsChild>
                            <w:div w:id="534736268">
                              <w:marLeft w:val="0"/>
                              <w:marRight w:val="0"/>
                              <w:marTop w:val="0"/>
                              <w:marBottom w:val="0"/>
                              <w:divBdr>
                                <w:top w:val="none" w:sz="0" w:space="0" w:color="auto"/>
                                <w:left w:val="none" w:sz="0" w:space="0" w:color="auto"/>
                                <w:bottom w:val="none" w:sz="0" w:space="0" w:color="auto"/>
                                <w:right w:val="none" w:sz="0" w:space="0" w:color="auto"/>
                              </w:divBdr>
                              <w:divsChild>
                                <w:div w:id="1045134956">
                                  <w:marLeft w:val="0"/>
                                  <w:marRight w:val="0"/>
                                  <w:marTop w:val="79"/>
                                  <w:marBottom w:val="79"/>
                                  <w:divBdr>
                                    <w:top w:val="none" w:sz="0" w:space="0" w:color="auto"/>
                                    <w:left w:val="none" w:sz="0" w:space="0" w:color="auto"/>
                                    <w:bottom w:val="none" w:sz="0" w:space="0" w:color="auto"/>
                                    <w:right w:val="none" w:sz="0" w:space="0" w:color="auto"/>
                                  </w:divBdr>
                                  <w:divsChild>
                                    <w:div w:id="1872649110">
                                      <w:marLeft w:val="0"/>
                                      <w:marRight w:val="0"/>
                                      <w:marTop w:val="0"/>
                                      <w:marBottom w:val="0"/>
                                      <w:divBdr>
                                        <w:top w:val="none" w:sz="0" w:space="0" w:color="auto"/>
                                        <w:left w:val="none" w:sz="0" w:space="0" w:color="auto"/>
                                        <w:bottom w:val="none" w:sz="0" w:space="0" w:color="auto"/>
                                        <w:right w:val="none" w:sz="0" w:space="0" w:color="auto"/>
                                      </w:divBdr>
                                      <w:divsChild>
                                        <w:div w:id="497506793">
                                          <w:marLeft w:val="554"/>
                                          <w:marRight w:val="0"/>
                                          <w:marTop w:val="0"/>
                                          <w:marBottom w:val="0"/>
                                          <w:divBdr>
                                            <w:top w:val="none" w:sz="0" w:space="0" w:color="auto"/>
                                            <w:left w:val="none" w:sz="0" w:space="0" w:color="auto"/>
                                            <w:bottom w:val="none" w:sz="0" w:space="0" w:color="auto"/>
                                            <w:right w:val="none" w:sz="0" w:space="0" w:color="auto"/>
                                          </w:divBdr>
                                          <w:divsChild>
                                            <w:div w:id="16774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378307">
      <w:bodyDiv w:val="1"/>
      <w:marLeft w:val="0"/>
      <w:marRight w:val="0"/>
      <w:marTop w:val="0"/>
      <w:marBottom w:val="0"/>
      <w:divBdr>
        <w:top w:val="none" w:sz="0" w:space="0" w:color="auto"/>
        <w:left w:val="none" w:sz="0" w:space="0" w:color="auto"/>
        <w:bottom w:val="none" w:sz="0" w:space="0" w:color="auto"/>
        <w:right w:val="none" w:sz="0" w:space="0" w:color="auto"/>
      </w:divBdr>
    </w:div>
    <w:div w:id="1501238143">
      <w:bodyDiv w:val="1"/>
      <w:marLeft w:val="0"/>
      <w:marRight w:val="0"/>
      <w:marTop w:val="0"/>
      <w:marBottom w:val="0"/>
      <w:divBdr>
        <w:top w:val="none" w:sz="0" w:space="0" w:color="auto"/>
        <w:left w:val="none" w:sz="0" w:space="0" w:color="auto"/>
        <w:bottom w:val="none" w:sz="0" w:space="0" w:color="auto"/>
        <w:right w:val="none" w:sz="0" w:space="0" w:color="auto"/>
      </w:divBdr>
    </w:div>
    <w:div w:id="1501432106">
      <w:bodyDiv w:val="1"/>
      <w:marLeft w:val="0"/>
      <w:marRight w:val="0"/>
      <w:marTop w:val="0"/>
      <w:marBottom w:val="0"/>
      <w:divBdr>
        <w:top w:val="none" w:sz="0" w:space="0" w:color="auto"/>
        <w:left w:val="none" w:sz="0" w:space="0" w:color="auto"/>
        <w:bottom w:val="none" w:sz="0" w:space="0" w:color="auto"/>
        <w:right w:val="none" w:sz="0" w:space="0" w:color="auto"/>
      </w:divBdr>
    </w:div>
    <w:div w:id="1501777133">
      <w:bodyDiv w:val="1"/>
      <w:marLeft w:val="0"/>
      <w:marRight w:val="0"/>
      <w:marTop w:val="0"/>
      <w:marBottom w:val="0"/>
      <w:divBdr>
        <w:top w:val="none" w:sz="0" w:space="0" w:color="auto"/>
        <w:left w:val="none" w:sz="0" w:space="0" w:color="auto"/>
        <w:bottom w:val="none" w:sz="0" w:space="0" w:color="auto"/>
        <w:right w:val="none" w:sz="0" w:space="0" w:color="auto"/>
      </w:divBdr>
    </w:div>
    <w:div w:id="1506558358">
      <w:bodyDiv w:val="1"/>
      <w:marLeft w:val="0"/>
      <w:marRight w:val="0"/>
      <w:marTop w:val="0"/>
      <w:marBottom w:val="0"/>
      <w:divBdr>
        <w:top w:val="none" w:sz="0" w:space="0" w:color="auto"/>
        <w:left w:val="none" w:sz="0" w:space="0" w:color="auto"/>
        <w:bottom w:val="none" w:sz="0" w:space="0" w:color="auto"/>
        <w:right w:val="none" w:sz="0" w:space="0" w:color="auto"/>
      </w:divBdr>
    </w:div>
    <w:div w:id="1509248337">
      <w:bodyDiv w:val="1"/>
      <w:marLeft w:val="0"/>
      <w:marRight w:val="0"/>
      <w:marTop w:val="0"/>
      <w:marBottom w:val="0"/>
      <w:divBdr>
        <w:top w:val="none" w:sz="0" w:space="0" w:color="auto"/>
        <w:left w:val="none" w:sz="0" w:space="0" w:color="auto"/>
        <w:bottom w:val="none" w:sz="0" w:space="0" w:color="auto"/>
        <w:right w:val="none" w:sz="0" w:space="0" w:color="auto"/>
      </w:divBdr>
    </w:div>
    <w:div w:id="1511292768">
      <w:bodyDiv w:val="1"/>
      <w:marLeft w:val="0"/>
      <w:marRight w:val="0"/>
      <w:marTop w:val="0"/>
      <w:marBottom w:val="0"/>
      <w:divBdr>
        <w:top w:val="none" w:sz="0" w:space="0" w:color="auto"/>
        <w:left w:val="none" w:sz="0" w:space="0" w:color="auto"/>
        <w:bottom w:val="none" w:sz="0" w:space="0" w:color="auto"/>
        <w:right w:val="none" w:sz="0" w:space="0" w:color="auto"/>
      </w:divBdr>
    </w:div>
    <w:div w:id="1513493785">
      <w:bodyDiv w:val="1"/>
      <w:marLeft w:val="0"/>
      <w:marRight w:val="0"/>
      <w:marTop w:val="0"/>
      <w:marBottom w:val="0"/>
      <w:divBdr>
        <w:top w:val="none" w:sz="0" w:space="0" w:color="auto"/>
        <w:left w:val="none" w:sz="0" w:space="0" w:color="auto"/>
        <w:bottom w:val="none" w:sz="0" w:space="0" w:color="auto"/>
        <w:right w:val="none" w:sz="0" w:space="0" w:color="auto"/>
      </w:divBdr>
    </w:div>
    <w:div w:id="1516069551">
      <w:bodyDiv w:val="1"/>
      <w:marLeft w:val="0"/>
      <w:marRight w:val="0"/>
      <w:marTop w:val="0"/>
      <w:marBottom w:val="0"/>
      <w:divBdr>
        <w:top w:val="none" w:sz="0" w:space="0" w:color="auto"/>
        <w:left w:val="none" w:sz="0" w:space="0" w:color="auto"/>
        <w:bottom w:val="none" w:sz="0" w:space="0" w:color="auto"/>
        <w:right w:val="none" w:sz="0" w:space="0" w:color="auto"/>
      </w:divBdr>
    </w:div>
    <w:div w:id="1519391825">
      <w:bodyDiv w:val="1"/>
      <w:marLeft w:val="0"/>
      <w:marRight w:val="0"/>
      <w:marTop w:val="0"/>
      <w:marBottom w:val="0"/>
      <w:divBdr>
        <w:top w:val="none" w:sz="0" w:space="0" w:color="auto"/>
        <w:left w:val="none" w:sz="0" w:space="0" w:color="auto"/>
        <w:bottom w:val="none" w:sz="0" w:space="0" w:color="auto"/>
        <w:right w:val="none" w:sz="0" w:space="0" w:color="auto"/>
      </w:divBdr>
    </w:div>
    <w:div w:id="1519544502">
      <w:bodyDiv w:val="1"/>
      <w:marLeft w:val="0"/>
      <w:marRight w:val="0"/>
      <w:marTop w:val="0"/>
      <w:marBottom w:val="0"/>
      <w:divBdr>
        <w:top w:val="none" w:sz="0" w:space="0" w:color="auto"/>
        <w:left w:val="none" w:sz="0" w:space="0" w:color="auto"/>
        <w:bottom w:val="none" w:sz="0" w:space="0" w:color="auto"/>
        <w:right w:val="none" w:sz="0" w:space="0" w:color="auto"/>
      </w:divBdr>
    </w:div>
    <w:div w:id="1523515538">
      <w:bodyDiv w:val="1"/>
      <w:marLeft w:val="0"/>
      <w:marRight w:val="0"/>
      <w:marTop w:val="0"/>
      <w:marBottom w:val="0"/>
      <w:divBdr>
        <w:top w:val="none" w:sz="0" w:space="0" w:color="auto"/>
        <w:left w:val="none" w:sz="0" w:space="0" w:color="auto"/>
        <w:bottom w:val="none" w:sz="0" w:space="0" w:color="auto"/>
        <w:right w:val="none" w:sz="0" w:space="0" w:color="auto"/>
      </w:divBdr>
    </w:div>
    <w:div w:id="1524241548">
      <w:bodyDiv w:val="1"/>
      <w:marLeft w:val="0"/>
      <w:marRight w:val="0"/>
      <w:marTop w:val="0"/>
      <w:marBottom w:val="0"/>
      <w:divBdr>
        <w:top w:val="none" w:sz="0" w:space="0" w:color="auto"/>
        <w:left w:val="none" w:sz="0" w:space="0" w:color="auto"/>
        <w:bottom w:val="none" w:sz="0" w:space="0" w:color="auto"/>
        <w:right w:val="none" w:sz="0" w:space="0" w:color="auto"/>
      </w:divBdr>
    </w:div>
    <w:div w:id="1529371480">
      <w:bodyDiv w:val="1"/>
      <w:marLeft w:val="0"/>
      <w:marRight w:val="0"/>
      <w:marTop w:val="0"/>
      <w:marBottom w:val="0"/>
      <w:divBdr>
        <w:top w:val="none" w:sz="0" w:space="0" w:color="auto"/>
        <w:left w:val="none" w:sz="0" w:space="0" w:color="auto"/>
        <w:bottom w:val="none" w:sz="0" w:space="0" w:color="auto"/>
        <w:right w:val="none" w:sz="0" w:space="0" w:color="auto"/>
      </w:divBdr>
      <w:divsChild>
        <w:div w:id="465704110">
          <w:marLeft w:val="0"/>
          <w:marRight w:val="0"/>
          <w:marTop w:val="0"/>
          <w:marBottom w:val="0"/>
          <w:divBdr>
            <w:top w:val="none" w:sz="0" w:space="0" w:color="auto"/>
            <w:left w:val="none" w:sz="0" w:space="0" w:color="auto"/>
            <w:bottom w:val="none" w:sz="0" w:space="0" w:color="auto"/>
            <w:right w:val="none" w:sz="0" w:space="0" w:color="auto"/>
          </w:divBdr>
        </w:div>
      </w:divsChild>
    </w:div>
    <w:div w:id="1533496508">
      <w:bodyDiv w:val="1"/>
      <w:marLeft w:val="0"/>
      <w:marRight w:val="0"/>
      <w:marTop w:val="0"/>
      <w:marBottom w:val="0"/>
      <w:divBdr>
        <w:top w:val="none" w:sz="0" w:space="0" w:color="auto"/>
        <w:left w:val="none" w:sz="0" w:space="0" w:color="auto"/>
        <w:bottom w:val="none" w:sz="0" w:space="0" w:color="auto"/>
        <w:right w:val="none" w:sz="0" w:space="0" w:color="auto"/>
      </w:divBdr>
    </w:div>
    <w:div w:id="1534802073">
      <w:bodyDiv w:val="1"/>
      <w:marLeft w:val="0"/>
      <w:marRight w:val="0"/>
      <w:marTop w:val="0"/>
      <w:marBottom w:val="0"/>
      <w:divBdr>
        <w:top w:val="none" w:sz="0" w:space="0" w:color="auto"/>
        <w:left w:val="none" w:sz="0" w:space="0" w:color="auto"/>
        <w:bottom w:val="none" w:sz="0" w:space="0" w:color="auto"/>
        <w:right w:val="none" w:sz="0" w:space="0" w:color="auto"/>
      </w:divBdr>
    </w:div>
    <w:div w:id="1536771230">
      <w:bodyDiv w:val="1"/>
      <w:marLeft w:val="0"/>
      <w:marRight w:val="0"/>
      <w:marTop w:val="0"/>
      <w:marBottom w:val="0"/>
      <w:divBdr>
        <w:top w:val="none" w:sz="0" w:space="0" w:color="auto"/>
        <w:left w:val="none" w:sz="0" w:space="0" w:color="auto"/>
        <w:bottom w:val="none" w:sz="0" w:space="0" w:color="auto"/>
        <w:right w:val="none" w:sz="0" w:space="0" w:color="auto"/>
      </w:divBdr>
    </w:div>
    <w:div w:id="1540315218">
      <w:bodyDiv w:val="1"/>
      <w:marLeft w:val="0"/>
      <w:marRight w:val="0"/>
      <w:marTop w:val="0"/>
      <w:marBottom w:val="0"/>
      <w:divBdr>
        <w:top w:val="none" w:sz="0" w:space="0" w:color="auto"/>
        <w:left w:val="none" w:sz="0" w:space="0" w:color="auto"/>
        <w:bottom w:val="none" w:sz="0" w:space="0" w:color="auto"/>
        <w:right w:val="none" w:sz="0" w:space="0" w:color="auto"/>
      </w:divBdr>
    </w:div>
    <w:div w:id="1541358217">
      <w:bodyDiv w:val="1"/>
      <w:marLeft w:val="0"/>
      <w:marRight w:val="0"/>
      <w:marTop w:val="0"/>
      <w:marBottom w:val="0"/>
      <w:divBdr>
        <w:top w:val="none" w:sz="0" w:space="0" w:color="auto"/>
        <w:left w:val="none" w:sz="0" w:space="0" w:color="auto"/>
        <w:bottom w:val="none" w:sz="0" w:space="0" w:color="auto"/>
        <w:right w:val="none" w:sz="0" w:space="0" w:color="auto"/>
      </w:divBdr>
    </w:div>
    <w:div w:id="1541480168">
      <w:bodyDiv w:val="1"/>
      <w:marLeft w:val="0"/>
      <w:marRight w:val="0"/>
      <w:marTop w:val="0"/>
      <w:marBottom w:val="0"/>
      <w:divBdr>
        <w:top w:val="none" w:sz="0" w:space="0" w:color="auto"/>
        <w:left w:val="none" w:sz="0" w:space="0" w:color="auto"/>
        <w:bottom w:val="none" w:sz="0" w:space="0" w:color="auto"/>
        <w:right w:val="none" w:sz="0" w:space="0" w:color="auto"/>
      </w:divBdr>
    </w:div>
    <w:div w:id="1542592352">
      <w:bodyDiv w:val="1"/>
      <w:marLeft w:val="0"/>
      <w:marRight w:val="0"/>
      <w:marTop w:val="0"/>
      <w:marBottom w:val="0"/>
      <w:divBdr>
        <w:top w:val="none" w:sz="0" w:space="0" w:color="auto"/>
        <w:left w:val="none" w:sz="0" w:space="0" w:color="auto"/>
        <w:bottom w:val="none" w:sz="0" w:space="0" w:color="auto"/>
        <w:right w:val="none" w:sz="0" w:space="0" w:color="auto"/>
      </w:divBdr>
      <w:divsChild>
        <w:div w:id="685444896">
          <w:marLeft w:val="274"/>
          <w:marRight w:val="0"/>
          <w:marTop w:val="0"/>
          <w:marBottom w:val="0"/>
          <w:divBdr>
            <w:top w:val="none" w:sz="0" w:space="0" w:color="auto"/>
            <w:left w:val="none" w:sz="0" w:space="0" w:color="auto"/>
            <w:bottom w:val="none" w:sz="0" w:space="0" w:color="auto"/>
            <w:right w:val="none" w:sz="0" w:space="0" w:color="auto"/>
          </w:divBdr>
        </w:div>
      </w:divsChild>
    </w:div>
    <w:div w:id="1544099057">
      <w:bodyDiv w:val="1"/>
      <w:marLeft w:val="0"/>
      <w:marRight w:val="0"/>
      <w:marTop w:val="0"/>
      <w:marBottom w:val="0"/>
      <w:divBdr>
        <w:top w:val="none" w:sz="0" w:space="0" w:color="auto"/>
        <w:left w:val="none" w:sz="0" w:space="0" w:color="auto"/>
        <w:bottom w:val="none" w:sz="0" w:space="0" w:color="auto"/>
        <w:right w:val="none" w:sz="0" w:space="0" w:color="auto"/>
      </w:divBdr>
    </w:div>
    <w:div w:id="1544562165">
      <w:bodyDiv w:val="1"/>
      <w:marLeft w:val="0"/>
      <w:marRight w:val="0"/>
      <w:marTop w:val="0"/>
      <w:marBottom w:val="0"/>
      <w:divBdr>
        <w:top w:val="none" w:sz="0" w:space="0" w:color="auto"/>
        <w:left w:val="none" w:sz="0" w:space="0" w:color="auto"/>
        <w:bottom w:val="none" w:sz="0" w:space="0" w:color="auto"/>
        <w:right w:val="none" w:sz="0" w:space="0" w:color="auto"/>
      </w:divBdr>
    </w:div>
    <w:div w:id="1544634606">
      <w:bodyDiv w:val="1"/>
      <w:marLeft w:val="0"/>
      <w:marRight w:val="0"/>
      <w:marTop w:val="0"/>
      <w:marBottom w:val="0"/>
      <w:divBdr>
        <w:top w:val="none" w:sz="0" w:space="0" w:color="auto"/>
        <w:left w:val="none" w:sz="0" w:space="0" w:color="auto"/>
        <w:bottom w:val="none" w:sz="0" w:space="0" w:color="auto"/>
        <w:right w:val="none" w:sz="0" w:space="0" w:color="auto"/>
      </w:divBdr>
      <w:divsChild>
        <w:div w:id="840584436">
          <w:marLeft w:val="0"/>
          <w:marRight w:val="0"/>
          <w:marTop w:val="0"/>
          <w:marBottom w:val="0"/>
          <w:divBdr>
            <w:top w:val="none" w:sz="0" w:space="0" w:color="auto"/>
            <w:left w:val="none" w:sz="0" w:space="0" w:color="auto"/>
            <w:bottom w:val="none" w:sz="0" w:space="0" w:color="auto"/>
            <w:right w:val="none" w:sz="0" w:space="0" w:color="auto"/>
          </w:divBdr>
          <w:divsChild>
            <w:div w:id="1665433510">
              <w:marLeft w:val="0"/>
              <w:marRight w:val="0"/>
              <w:marTop w:val="15"/>
              <w:marBottom w:val="0"/>
              <w:divBdr>
                <w:top w:val="none" w:sz="0" w:space="0" w:color="auto"/>
                <w:left w:val="none" w:sz="0" w:space="0" w:color="auto"/>
                <w:bottom w:val="none" w:sz="0" w:space="0" w:color="auto"/>
                <w:right w:val="none" w:sz="0" w:space="0" w:color="auto"/>
              </w:divBdr>
              <w:divsChild>
                <w:div w:id="1969816125">
                  <w:marLeft w:val="0"/>
                  <w:marRight w:val="0"/>
                  <w:marTop w:val="0"/>
                  <w:marBottom w:val="0"/>
                  <w:divBdr>
                    <w:top w:val="none" w:sz="0" w:space="0" w:color="auto"/>
                    <w:left w:val="single" w:sz="6" w:space="0" w:color="B5B5B5"/>
                    <w:bottom w:val="none" w:sz="0" w:space="0" w:color="auto"/>
                    <w:right w:val="single" w:sz="6" w:space="0" w:color="B5B5B5"/>
                  </w:divBdr>
                  <w:divsChild>
                    <w:div w:id="1758281298">
                      <w:marLeft w:val="75"/>
                      <w:marRight w:val="75"/>
                      <w:marTop w:val="0"/>
                      <w:marBottom w:val="0"/>
                      <w:divBdr>
                        <w:top w:val="none" w:sz="0" w:space="0" w:color="auto"/>
                        <w:left w:val="none" w:sz="0" w:space="0" w:color="auto"/>
                        <w:bottom w:val="none" w:sz="0" w:space="0" w:color="auto"/>
                        <w:right w:val="none" w:sz="0" w:space="0" w:color="auto"/>
                      </w:divBdr>
                      <w:divsChild>
                        <w:div w:id="1763574834">
                          <w:marLeft w:val="0"/>
                          <w:marRight w:val="0"/>
                          <w:marTop w:val="0"/>
                          <w:marBottom w:val="0"/>
                          <w:divBdr>
                            <w:top w:val="dotted" w:sz="6" w:space="0" w:color="B5B5B5"/>
                            <w:left w:val="none" w:sz="0" w:space="0" w:color="auto"/>
                            <w:bottom w:val="none" w:sz="0" w:space="0" w:color="auto"/>
                            <w:right w:val="none" w:sz="0" w:space="0" w:color="auto"/>
                          </w:divBdr>
                          <w:divsChild>
                            <w:div w:id="1024942870">
                              <w:marLeft w:val="0"/>
                              <w:marRight w:val="0"/>
                              <w:marTop w:val="75"/>
                              <w:marBottom w:val="0"/>
                              <w:divBdr>
                                <w:top w:val="none" w:sz="0" w:space="0" w:color="auto"/>
                                <w:left w:val="none" w:sz="0" w:space="0" w:color="auto"/>
                                <w:bottom w:val="none" w:sz="0" w:space="0" w:color="auto"/>
                                <w:right w:val="none" w:sz="0" w:space="0" w:color="auto"/>
                              </w:divBdr>
                              <w:divsChild>
                                <w:div w:id="1484350783">
                                  <w:marLeft w:val="0"/>
                                  <w:marRight w:val="0"/>
                                  <w:marTop w:val="0"/>
                                  <w:marBottom w:val="0"/>
                                  <w:divBdr>
                                    <w:top w:val="none" w:sz="0" w:space="0" w:color="auto"/>
                                    <w:left w:val="none" w:sz="0" w:space="0" w:color="auto"/>
                                    <w:bottom w:val="none" w:sz="0" w:space="0" w:color="auto"/>
                                    <w:right w:val="none" w:sz="0" w:space="0" w:color="auto"/>
                                  </w:divBdr>
                                  <w:divsChild>
                                    <w:div w:id="216742752">
                                      <w:marLeft w:val="0"/>
                                      <w:marRight w:val="0"/>
                                      <w:marTop w:val="0"/>
                                      <w:marBottom w:val="0"/>
                                      <w:divBdr>
                                        <w:top w:val="none" w:sz="0" w:space="0" w:color="auto"/>
                                        <w:left w:val="none" w:sz="0" w:space="0" w:color="auto"/>
                                        <w:bottom w:val="none" w:sz="0" w:space="0" w:color="auto"/>
                                        <w:right w:val="none" w:sz="0" w:space="0" w:color="auto"/>
                                      </w:divBdr>
                                      <w:divsChild>
                                        <w:div w:id="1068183882">
                                          <w:marLeft w:val="525"/>
                                          <w:marRight w:val="0"/>
                                          <w:marTop w:val="0"/>
                                          <w:marBottom w:val="0"/>
                                          <w:divBdr>
                                            <w:top w:val="none" w:sz="0" w:space="0" w:color="auto"/>
                                            <w:left w:val="none" w:sz="0" w:space="0" w:color="auto"/>
                                            <w:bottom w:val="none" w:sz="0" w:space="0" w:color="auto"/>
                                            <w:right w:val="none" w:sz="0" w:space="0" w:color="auto"/>
                                          </w:divBdr>
                                          <w:divsChild>
                                            <w:div w:id="6988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7839444">
      <w:bodyDiv w:val="1"/>
      <w:marLeft w:val="0"/>
      <w:marRight w:val="0"/>
      <w:marTop w:val="0"/>
      <w:marBottom w:val="0"/>
      <w:divBdr>
        <w:top w:val="none" w:sz="0" w:space="0" w:color="auto"/>
        <w:left w:val="none" w:sz="0" w:space="0" w:color="auto"/>
        <w:bottom w:val="none" w:sz="0" w:space="0" w:color="auto"/>
        <w:right w:val="none" w:sz="0" w:space="0" w:color="auto"/>
      </w:divBdr>
    </w:div>
    <w:div w:id="1558391963">
      <w:bodyDiv w:val="1"/>
      <w:marLeft w:val="0"/>
      <w:marRight w:val="0"/>
      <w:marTop w:val="0"/>
      <w:marBottom w:val="0"/>
      <w:divBdr>
        <w:top w:val="none" w:sz="0" w:space="0" w:color="auto"/>
        <w:left w:val="none" w:sz="0" w:space="0" w:color="auto"/>
        <w:bottom w:val="none" w:sz="0" w:space="0" w:color="auto"/>
        <w:right w:val="none" w:sz="0" w:space="0" w:color="auto"/>
      </w:divBdr>
      <w:divsChild>
        <w:div w:id="840121524">
          <w:marLeft w:val="0"/>
          <w:marRight w:val="0"/>
          <w:marTop w:val="0"/>
          <w:marBottom w:val="0"/>
          <w:divBdr>
            <w:top w:val="none" w:sz="0" w:space="0" w:color="auto"/>
            <w:left w:val="none" w:sz="0" w:space="0" w:color="auto"/>
            <w:bottom w:val="none" w:sz="0" w:space="0" w:color="auto"/>
            <w:right w:val="none" w:sz="0" w:space="0" w:color="auto"/>
          </w:divBdr>
        </w:div>
      </w:divsChild>
    </w:div>
    <w:div w:id="1560020945">
      <w:bodyDiv w:val="1"/>
      <w:marLeft w:val="0"/>
      <w:marRight w:val="0"/>
      <w:marTop w:val="0"/>
      <w:marBottom w:val="0"/>
      <w:divBdr>
        <w:top w:val="none" w:sz="0" w:space="0" w:color="auto"/>
        <w:left w:val="none" w:sz="0" w:space="0" w:color="auto"/>
        <w:bottom w:val="none" w:sz="0" w:space="0" w:color="auto"/>
        <w:right w:val="none" w:sz="0" w:space="0" w:color="auto"/>
      </w:divBdr>
    </w:div>
    <w:div w:id="1561554741">
      <w:bodyDiv w:val="1"/>
      <w:marLeft w:val="0"/>
      <w:marRight w:val="0"/>
      <w:marTop w:val="0"/>
      <w:marBottom w:val="0"/>
      <w:divBdr>
        <w:top w:val="none" w:sz="0" w:space="0" w:color="auto"/>
        <w:left w:val="none" w:sz="0" w:space="0" w:color="auto"/>
        <w:bottom w:val="none" w:sz="0" w:space="0" w:color="auto"/>
        <w:right w:val="none" w:sz="0" w:space="0" w:color="auto"/>
      </w:divBdr>
    </w:div>
    <w:div w:id="1562788066">
      <w:bodyDiv w:val="1"/>
      <w:marLeft w:val="0"/>
      <w:marRight w:val="0"/>
      <w:marTop w:val="0"/>
      <w:marBottom w:val="0"/>
      <w:divBdr>
        <w:top w:val="none" w:sz="0" w:space="0" w:color="auto"/>
        <w:left w:val="none" w:sz="0" w:space="0" w:color="auto"/>
        <w:bottom w:val="none" w:sz="0" w:space="0" w:color="auto"/>
        <w:right w:val="none" w:sz="0" w:space="0" w:color="auto"/>
      </w:divBdr>
    </w:div>
    <w:div w:id="1565410751">
      <w:bodyDiv w:val="1"/>
      <w:marLeft w:val="0"/>
      <w:marRight w:val="0"/>
      <w:marTop w:val="0"/>
      <w:marBottom w:val="0"/>
      <w:divBdr>
        <w:top w:val="none" w:sz="0" w:space="0" w:color="auto"/>
        <w:left w:val="none" w:sz="0" w:space="0" w:color="auto"/>
        <w:bottom w:val="none" w:sz="0" w:space="0" w:color="auto"/>
        <w:right w:val="none" w:sz="0" w:space="0" w:color="auto"/>
      </w:divBdr>
    </w:div>
    <w:div w:id="1566723020">
      <w:bodyDiv w:val="1"/>
      <w:marLeft w:val="0"/>
      <w:marRight w:val="0"/>
      <w:marTop w:val="0"/>
      <w:marBottom w:val="0"/>
      <w:divBdr>
        <w:top w:val="none" w:sz="0" w:space="0" w:color="auto"/>
        <w:left w:val="none" w:sz="0" w:space="0" w:color="auto"/>
        <w:bottom w:val="none" w:sz="0" w:space="0" w:color="auto"/>
        <w:right w:val="none" w:sz="0" w:space="0" w:color="auto"/>
      </w:divBdr>
    </w:div>
    <w:div w:id="1572689219">
      <w:bodyDiv w:val="1"/>
      <w:marLeft w:val="0"/>
      <w:marRight w:val="0"/>
      <w:marTop w:val="0"/>
      <w:marBottom w:val="0"/>
      <w:divBdr>
        <w:top w:val="none" w:sz="0" w:space="0" w:color="auto"/>
        <w:left w:val="none" w:sz="0" w:space="0" w:color="auto"/>
        <w:bottom w:val="none" w:sz="0" w:space="0" w:color="auto"/>
        <w:right w:val="none" w:sz="0" w:space="0" w:color="auto"/>
      </w:divBdr>
    </w:div>
    <w:div w:id="1575814858">
      <w:bodyDiv w:val="1"/>
      <w:marLeft w:val="0"/>
      <w:marRight w:val="0"/>
      <w:marTop w:val="0"/>
      <w:marBottom w:val="0"/>
      <w:divBdr>
        <w:top w:val="none" w:sz="0" w:space="0" w:color="auto"/>
        <w:left w:val="none" w:sz="0" w:space="0" w:color="auto"/>
        <w:bottom w:val="none" w:sz="0" w:space="0" w:color="auto"/>
        <w:right w:val="none" w:sz="0" w:space="0" w:color="auto"/>
      </w:divBdr>
    </w:div>
    <w:div w:id="1577012864">
      <w:bodyDiv w:val="1"/>
      <w:marLeft w:val="0"/>
      <w:marRight w:val="0"/>
      <w:marTop w:val="0"/>
      <w:marBottom w:val="0"/>
      <w:divBdr>
        <w:top w:val="none" w:sz="0" w:space="0" w:color="auto"/>
        <w:left w:val="none" w:sz="0" w:space="0" w:color="auto"/>
        <w:bottom w:val="none" w:sz="0" w:space="0" w:color="auto"/>
        <w:right w:val="none" w:sz="0" w:space="0" w:color="auto"/>
      </w:divBdr>
    </w:div>
    <w:div w:id="1577782274">
      <w:bodyDiv w:val="1"/>
      <w:marLeft w:val="0"/>
      <w:marRight w:val="0"/>
      <w:marTop w:val="0"/>
      <w:marBottom w:val="0"/>
      <w:divBdr>
        <w:top w:val="none" w:sz="0" w:space="0" w:color="auto"/>
        <w:left w:val="none" w:sz="0" w:space="0" w:color="auto"/>
        <w:bottom w:val="none" w:sz="0" w:space="0" w:color="auto"/>
        <w:right w:val="none" w:sz="0" w:space="0" w:color="auto"/>
      </w:divBdr>
    </w:div>
    <w:div w:id="1582061178">
      <w:bodyDiv w:val="1"/>
      <w:marLeft w:val="0"/>
      <w:marRight w:val="0"/>
      <w:marTop w:val="0"/>
      <w:marBottom w:val="0"/>
      <w:divBdr>
        <w:top w:val="none" w:sz="0" w:space="0" w:color="auto"/>
        <w:left w:val="none" w:sz="0" w:space="0" w:color="auto"/>
        <w:bottom w:val="none" w:sz="0" w:space="0" w:color="auto"/>
        <w:right w:val="none" w:sz="0" w:space="0" w:color="auto"/>
      </w:divBdr>
    </w:div>
    <w:div w:id="1585992039">
      <w:bodyDiv w:val="1"/>
      <w:marLeft w:val="0"/>
      <w:marRight w:val="0"/>
      <w:marTop w:val="0"/>
      <w:marBottom w:val="0"/>
      <w:divBdr>
        <w:top w:val="none" w:sz="0" w:space="0" w:color="auto"/>
        <w:left w:val="none" w:sz="0" w:space="0" w:color="auto"/>
        <w:bottom w:val="none" w:sz="0" w:space="0" w:color="auto"/>
        <w:right w:val="none" w:sz="0" w:space="0" w:color="auto"/>
      </w:divBdr>
    </w:div>
    <w:div w:id="1586720616">
      <w:bodyDiv w:val="1"/>
      <w:marLeft w:val="0"/>
      <w:marRight w:val="0"/>
      <w:marTop w:val="0"/>
      <w:marBottom w:val="0"/>
      <w:divBdr>
        <w:top w:val="none" w:sz="0" w:space="0" w:color="auto"/>
        <w:left w:val="none" w:sz="0" w:space="0" w:color="auto"/>
        <w:bottom w:val="none" w:sz="0" w:space="0" w:color="auto"/>
        <w:right w:val="none" w:sz="0" w:space="0" w:color="auto"/>
      </w:divBdr>
    </w:div>
    <w:div w:id="1598712578">
      <w:bodyDiv w:val="1"/>
      <w:marLeft w:val="0"/>
      <w:marRight w:val="0"/>
      <w:marTop w:val="0"/>
      <w:marBottom w:val="0"/>
      <w:divBdr>
        <w:top w:val="none" w:sz="0" w:space="0" w:color="auto"/>
        <w:left w:val="none" w:sz="0" w:space="0" w:color="auto"/>
        <w:bottom w:val="none" w:sz="0" w:space="0" w:color="auto"/>
        <w:right w:val="none" w:sz="0" w:space="0" w:color="auto"/>
      </w:divBdr>
    </w:div>
    <w:div w:id="1598978297">
      <w:bodyDiv w:val="1"/>
      <w:marLeft w:val="0"/>
      <w:marRight w:val="0"/>
      <w:marTop w:val="0"/>
      <w:marBottom w:val="0"/>
      <w:divBdr>
        <w:top w:val="none" w:sz="0" w:space="0" w:color="auto"/>
        <w:left w:val="none" w:sz="0" w:space="0" w:color="auto"/>
        <w:bottom w:val="none" w:sz="0" w:space="0" w:color="auto"/>
        <w:right w:val="none" w:sz="0" w:space="0" w:color="auto"/>
      </w:divBdr>
    </w:div>
    <w:div w:id="1600020780">
      <w:bodyDiv w:val="1"/>
      <w:marLeft w:val="0"/>
      <w:marRight w:val="0"/>
      <w:marTop w:val="0"/>
      <w:marBottom w:val="0"/>
      <w:divBdr>
        <w:top w:val="none" w:sz="0" w:space="0" w:color="auto"/>
        <w:left w:val="none" w:sz="0" w:space="0" w:color="auto"/>
        <w:bottom w:val="none" w:sz="0" w:space="0" w:color="auto"/>
        <w:right w:val="none" w:sz="0" w:space="0" w:color="auto"/>
      </w:divBdr>
    </w:div>
    <w:div w:id="1601794266">
      <w:bodyDiv w:val="1"/>
      <w:marLeft w:val="0"/>
      <w:marRight w:val="0"/>
      <w:marTop w:val="0"/>
      <w:marBottom w:val="0"/>
      <w:divBdr>
        <w:top w:val="none" w:sz="0" w:space="0" w:color="auto"/>
        <w:left w:val="none" w:sz="0" w:space="0" w:color="auto"/>
        <w:bottom w:val="none" w:sz="0" w:space="0" w:color="auto"/>
        <w:right w:val="none" w:sz="0" w:space="0" w:color="auto"/>
      </w:divBdr>
    </w:div>
    <w:div w:id="1615400609">
      <w:bodyDiv w:val="1"/>
      <w:marLeft w:val="0"/>
      <w:marRight w:val="0"/>
      <w:marTop w:val="0"/>
      <w:marBottom w:val="0"/>
      <w:divBdr>
        <w:top w:val="none" w:sz="0" w:space="0" w:color="auto"/>
        <w:left w:val="none" w:sz="0" w:space="0" w:color="auto"/>
        <w:bottom w:val="none" w:sz="0" w:space="0" w:color="auto"/>
        <w:right w:val="none" w:sz="0" w:space="0" w:color="auto"/>
      </w:divBdr>
    </w:div>
    <w:div w:id="1618221792">
      <w:bodyDiv w:val="1"/>
      <w:marLeft w:val="0"/>
      <w:marRight w:val="0"/>
      <w:marTop w:val="0"/>
      <w:marBottom w:val="0"/>
      <w:divBdr>
        <w:top w:val="none" w:sz="0" w:space="0" w:color="auto"/>
        <w:left w:val="none" w:sz="0" w:space="0" w:color="auto"/>
        <w:bottom w:val="none" w:sz="0" w:space="0" w:color="auto"/>
        <w:right w:val="none" w:sz="0" w:space="0" w:color="auto"/>
      </w:divBdr>
    </w:div>
    <w:div w:id="1622690471">
      <w:bodyDiv w:val="1"/>
      <w:marLeft w:val="0"/>
      <w:marRight w:val="0"/>
      <w:marTop w:val="0"/>
      <w:marBottom w:val="0"/>
      <w:divBdr>
        <w:top w:val="none" w:sz="0" w:space="0" w:color="auto"/>
        <w:left w:val="none" w:sz="0" w:space="0" w:color="auto"/>
        <w:bottom w:val="none" w:sz="0" w:space="0" w:color="auto"/>
        <w:right w:val="none" w:sz="0" w:space="0" w:color="auto"/>
      </w:divBdr>
    </w:div>
    <w:div w:id="1624534581">
      <w:bodyDiv w:val="1"/>
      <w:marLeft w:val="0"/>
      <w:marRight w:val="0"/>
      <w:marTop w:val="0"/>
      <w:marBottom w:val="0"/>
      <w:divBdr>
        <w:top w:val="none" w:sz="0" w:space="0" w:color="auto"/>
        <w:left w:val="none" w:sz="0" w:space="0" w:color="auto"/>
        <w:bottom w:val="none" w:sz="0" w:space="0" w:color="auto"/>
        <w:right w:val="none" w:sz="0" w:space="0" w:color="auto"/>
      </w:divBdr>
    </w:div>
    <w:div w:id="1626305919">
      <w:bodyDiv w:val="1"/>
      <w:marLeft w:val="0"/>
      <w:marRight w:val="0"/>
      <w:marTop w:val="0"/>
      <w:marBottom w:val="0"/>
      <w:divBdr>
        <w:top w:val="none" w:sz="0" w:space="0" w:color="auto"/>
        <w:left w:val="none" w:sz="0" w:space="0" w:color="auto"/>
        <w:bottom w:val="none" w:sz="0" w:space="0" w:color="auto"/>
        <w:right w:val="none" w:sz="0" w:space="0" w:color="auto"/>
      </w:divBdr>
      <w:divsChild>
        <w:div w:id="1492402403">
          <w:marLeft w:val="0"/>
          <w:marRight w:val="0"/>
          <w:marTop w:val="0"/>
          <w:marBottom w:val="0"/>
          <w:divBdr>
            <w:top w:val="none" w:sz="0" w:space="0" w:color="auto"/>
            <w:left w:val="none" w:sz="0" w:space="0" w:color="auto"/>
            <w:bottom w:val="none" w:sz="0" w:space="0" w:color="auto"/>
            <w:right w:val="none" w:sz="0" w:space="0" w:color="auto"/>
          </w:divBdr>
          <w:divsChild>
            <w:div w:id="1814171831">
              <w:marLeft w:val="0"/>
              <w:marRight w:val="0"/>
              <w:marTop w:val="411"/>
              <w:marBottom w:val="0"/>
              <w:divBdr>
                <w:top w:val="none" w:sz="0" w:space="0" w:color="auto"/>
                <w:left w:val="none" w:sz="0" w:space="0" w:color="auto"/>
                <w:bottom w:val="none" w:sz="0" w:space="0" w:color="auto"/>
                <w:right w:val="none" w:sz="0" w:space="0" w:color="auto"/>
              </w:divBdr>
              <w:divsChild>
                <w:div w:id="551499222">
                  <w:marLeft w:val="0"/>
                  <w:marRight w:val="0"/>
                  <w:marTop w:val="0"/>
                  <w:marBottom w:val="0"/>
                  <w:divBdr>
                    <w:top w:val="none" w:sz="0" w:space="0" w:color="auto"/>
                    <w:left w:val="none" w:sz="0" w:space="0" w:color="auto"/>
                    <w:bottom w:val="none" w:sz="0" w:space="0" w:color="auto"/>
                    <w:right w:val="none" w:sz="0" w:space="0" w:color="auto"/>
                  </w:divBdr>
                  <w:divsChild>
                    <w:div w:id="1570917599">
                      <w:marLeft w:val="79"/>
                      <w:marRight w:val="79"/>
                      <w:marTop w:val="0"/>
                      <w:marBottom w:val="0"/>
                      <w:divBdr>
                        <w:top w:val="none" w:sz="0" w:space="0" w:color="auto"/>
                        <w:left w:val="none" w:sz="0" w:space="0" w:color="auto"/>
                        <w:bottom w:val="none" w:sz="0" w:space="0" w:color="auto"/>
                        <w:right w:val="none" w:sz="0" w:space="0" w:color="auto"/>
                      </w:divBdr>
                      <w:divsChild>
                        <w:div w:id="1270888774">
                          <w:marLeft w:val="0"/>
                          <w:marRight w:val="0"/>
                          <w:marTop w:val="0"/>
                          <w:marBottom w:val="0"/>
                          <w:divBdr>
                            <w:top w:val="dashed" w:sz="6" w:space="0" w:color="DDDDDD"/>
                            <w:left w:val="none" w:sz="0" w:space="0" w:color="auto"/>
                            <w:bottom w:val="none" w:sz="0" w:space="0" w:color="auto"/>
                            <w:right w:val="none" w:sz="0" w:space="0" w:color="auto"/>
                          </w:divBdr>
                          <w:divsChild>
                            <w:div w:id="1874002602">
                              <w:marLeft w:val="0"/>
                              <w:marRight w:val="0"/>
                              <w:marTop w:val="0"/>
                              <w:marBottom w:val="0"/>
                              <w:divBdr>
                                <w:top w:val="none" w:sz="0" w:space="0" w:color="auto"/>
                                <w:left w:val="none" w:sz="0" w:space="0" w:color="auto"/>
                                <w:bottom w:val="none" w:sz="0" w:space="0" w:color="auto"/>
                                <w:right w:val="none" w:sz="0" w:space="0" w:color="auto"/>
                              </w:divBdr>
                              <w:divsChild>
                                <w:div w:id="849371419">
                                  <w:marLeft w:val="0"/>
                                  <w:marRight w:val="0"/>
                                  <w:marTop w:val="79"/>
                                  <w:marBottom w:val="79"/>
                                  <w:divBdr>
                                    <w:top w:val="none" w:sz="0" w:space="0" w:color="auto"/>
                                    <w:left w:val="none" w:sz="0" w:space="0" w:color="auto"/>
                                    <w:bottom w:val="none" w:sz="0" w:space="0" w:color="auto"/>
                                    <w:right w:val="none" w:sz="0" w:space="0" w:color="auto"/>
                                  </w:divBdr>
                                  <w:divsChild>
                                    <w:div w:id="1882476561">
                                      <w:marLeft w:val="0"/>
                                      <w:marRight w:val="0"/>
                                      <w:marTop w:val="0"/>
                                      <w:marBottom w:val="0"/>
                                      <w:divBdr>
                                        <w:top w:val="none" w:sz="0" w:space="0" w:color="auto"/>
                                        <w:left w:val="none" w:sz="0" w:space="0" w:color="auto"/>
                                        <w:bottom w:val="none" w:sz="0" w:space="0" w:color="auto"/>
                                        <w:right w:val="none" w:sz="0" w:space="0" w:color="auto"/>
                                      </w:divBdr>
                                      <w:divsChild>
                                        <w:div w:id="1662460813">
                                          <w:marLeft w:val="554"/>
                                          <w:marRight w:val="0"/>
                                          <w:marTop w:val="0"/>
                                          <w:marBottom w:val="0"/>
                                          <w:divBdr>
                                            <w:top w:val="none" w:sz="0" w:space="0" w:color="auto"/>
                                            <w:left w:val="none" w:sz="0" w:space="0" w:color="auto"/>
                                            <w:bottom w:val="none" w:sz="0" w:space="0" w:color="auto"/>
                                            <w:right w:val="none" w:sz="0" w:space="0" w:color="auto"/>
                                          </w:divBdr>
                                          <w:divsChild>
                                            <w:div w:id="8213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9817315">
      <w:bodyDiv w:val="1"/>
      <w:marLeft w:val="0"/>
      <w:marRight w:val="0"/>
      <w:marTop w:val="0"/>
      <w:marBottom w:val="0"/>
      <w:divBdr>
        <w:top w:val="none" w:sz="0" w:space="0" w:color="auto"/>
        <w:left w:val="none" w:sz="0" w:space="0" w:color="auto"/>
        <w:bottom w:val="none" w:sz="0" w:space="0" w:color="auto"/>
        <w:right w:val="none" w:sz="0" w:space="0" w:color="auto"/>
      </w:divBdr>
      <w:divsChild>
        <w:div w:id="580257435">
          <w:marLeft w:val="0"/>
          <w:marRight w:val="0"/>
          <w:marTop w:val="0"/>
          <w:marBottom w:val="0"/>
          <w:divBdr>
            <w:top w:val="none" w:sz="0" w:space="0" w:color="auto"/>
            <w:left w:val="none" w:sz="0" w:space="0" w:color="auto"/>
            <w:bottom w:val="none" w:sz="0" w:space="0" w:color="auto"/>
            <w:right w:val="none" w:sz="0" w:space="0" w:color="auto"/>
          </w:divBdr>
          <w:divsChild>
            <w:div w:id="1918711426">
              <w:marLeft w:val="0"/>
              <w:marRight w:val="0"/>
              <w:marTop w:val="0"/>
              <w:marBottom w:val="0"/>
              <w:divBdr>
                <w:top w:val="none" w:sz="0" w:space="0" w:color="auto"/>
                <w:left w:val="none" w:sz="0" w:space="0" w:color="auto"/>
                <w:bottom w:val="none" w:sz="0" w:space="0" w:color="auto"/>
                <w:right w:val="none" w:sz="0" w:space="0" w:color="auto"/>
              </w:divBdr>
              <w:divsChild>
                <w:div w:id="1882932942">
                  <w:marLeft w:val="0"/>
                  <w:marRight w:val="0"/>
                  <w:marTop w:val="0"/>
                  <w:marBottom w:val="0"/>
                  <w:divBdr>
                    <w:top w:val="none" w:sz="0" w:space="0" w:color="auto"/>
                    <w:left w:val="none" w:sz="0" w:space="0" w:color="auto"/>
                    <w:bottom w:val="none" w:sz="0" w:space="0" w:color="auto"/>
                    <w:right w:val="none" w:sz="0" w:space="0" w:color="auto"/>
                  </w:divBdr>
                  <w:divsChild>
                    <w:div w:id="434137558">
                      <w:marLeft w:val="0"/>
                      <w:marRight w:val="0"/>
                      <w:marTop w:val="0"/>
                      <w:marBottom w:val="0"/>
                      <w:divBdr>
                        <w:top w:val="single" w:sz="8" w:space="0" w:color="AEAEAE"/>
                        <w:left w:val="single" w:sz="8" w:space="0" w:color="AEAEAE"/>
                        <w:bottom w:val="single" w:sz="8" w:space="0" w:color="AEAEAE"/>
                        <w:right w:val="single" w:sz="8" w:space="0" w:color="AEAEAE"/>
                      </w:divBdr>
                      <w:divsChild>
                        <w:div w:id="1415007682">
                          <w:marLeft w:val="0"/>
                          <w:marRight w:val="0"/>
                          <w:marTop w:val="0"/>
                          <w:marBottom w:val="0"/>
                          <w:divBdr>
                            <w:top w:val="none" w:sz="0" w:space="0" w:color="auto"/>
                            <w:left w:val="none" w:sz="0" w:space="0" w:color="auto"/>
                            <w:bottom w:val="none" w:sz="0" w:space="0" w:color="auto"/>
                            <w:right w:val="none" w:sz="0" w:space="0" w:color="auto"/>
                          </w:divBdr>
                          <w:divsChild>
                            <w:div w:id="967206204">
                              <w:marLeft w:val="0"/>
                              <w:marRight w:val="0"/>
                              <w:marTop w:val="0"/>
                              <w:marBottom w:val="0"/>
                              <w:divBdr>
                                <w:top w:val="none" w:sz="0" w:space="0" w:color="auto"/>
                                <w:left w:val="none" w:sz="0" w:space="0" w:color="auto"/>
                                <w:bottom w:val="none" w:sz="0" w:space="0" w:color="auto"/>
                                <w:right w:val="none" w:sz="0" w:space="0" w:color="auto"/>
                              </w:divBdr>
                              <w:divsChild>
                                <w:div w:id="210044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950366">
      <w:bodyDiv w:val="1"/>
      <w:marLeft w:val="0"/>
      <w:marRight w:val="0"/>
      <w:marTop w:val="0"/>
      <w:marBottom w:val="0"/>
      <w:divBdr>
        <w:top w:val="none" w:sz="0" w:space="0" w:color="auto"/>
        <w:left w:val="none" w:sz="0" w:space="0" w:color="auto"/>
        <w:bottom w:val="none" w:sz="0" w:space="0" w:color="auto"/>
        <w:right w:val="none" w:sz="0" w:space="0" w:color="auto"/>
      </w:divBdr>
      <w:divsChild>
        <w:div w:id="245655662">
          <w:marLeft w:val="0"/>
          <w:marRight w:val="0"/>
          <w:marTop w:val="0"/>
          <w:marBottom w:val="0"/>
          <w:divBdr>
            <w:top w:val="none" w:sz="0" w:space="0" w:color="auto"/>
            <w:left w:val="none" w:sz="0" w:space="0" w:color="auto"/>
            <w:bottom w:val="none" w:sz="0" w:space="0" w:color="auto"/>
            <w:right w:val="none" w:sz="0" w:space="0" w:color="auto"/>
          </w:divBdr>
          <w:divsChild>
            <w:div w:id="1831672781">
              <w:marLeft w:val="0"/>
              <w:marRight w:val="0"/>
              <w:marTop w:val="411"/>
              <w:marBottom w:val="0"/>
              <w:divBdr>
                <w:top w:val="none" w:sz="0" w:space="0" w:color="auto"/>
                <w:left w:val="none" w:sz="0" w:space="0" w:color="auto"/>
                <w:bottom w:val="none" w:sz="0" w:space="0" w:color="auto"/>
                <w:right w:val="none" w:sz="0" w:space="0" w:color="auto"/>
              </w:divBdr>
              <w:divsChild>
                <w:div w:id="1260066527">
                  <w:marLeft w:val="0"/>
                  <w:marRight w:val="0"/>
                  <w:marTop w:val="0"/>
                  <w:marBottom w:val="0"/>
                  <w:divBdr>
                    <w:top w:val="none" w:sz="0" w:space="0" w:color="auto"/>
                    <w:left w:val="none" w:sz="0" w:space="0" w:color="auto"/>
                    <w:bottom w:val="none" w:sz="0" w:space="0" w:color="auto"/>
                    <w:right w:val="none" w:sz="0" w:space="0" w:color="auto"/>
                  </w:divBdr>
                  <w:divsChild>
                    <w:div w:id="1542476250">
                      <w:marLeft w:val="79"/>
                      <w:marRight w:val="79"/>
                      <w:marTop w:val="0"/>
                      <w:marBottom w:val="0"/>
                      <w:divBdr>
                        <w:top w:val="none" w:sz="0" w:space="0" w:color="auto"/>
                        <w:left w:val="none" w:sz="0" w:space="0" w:color="auto"/>
                        <w:bottom w:val="none" w:sz="0" w:space="0" w:color="auto"/>
                        <w:right w:val="none" w:sz="0" w:space="0" w:color="auto"/>
                      </w:divBdr>
                      <w:divsChild>
                        <w:div w:id="780145721">
                          <w:marLeft w:val="0"/>
                          <w:marRight w:val="0"/>
                          <w:marTop w:val="0"/>
                          <w:marBottom w:val="0"/>
                          <w:divBdr>
                            <w:top w:val="dashed" w:sz="6" w:space="0" w:color="DDDDDD"/>
                            <w:left w:val="none" w:sz="0" w:space="0" w:color="auto"/>
                            <w:bottom w:val="none" w:sz="0" w:space="0" w:color="auto"/>
                            <w:right w:val="none" w:sz="0" w:space="0" w:color="auto"/>
                          </w:divBdr>
                          <w:divsChild>
                            <w:div w:id="1302690188">
                              <w:marLeft w:val="0"/>
                              <w:marRight w:val="0"/>
                              <w:marTop w:val="0"/>
                              <w:marBottom w:val="0"/>
                              <w:divBdr>
                                <w:top w:val="none" w:sz="0" w:space="0" w:color="auto"/>
                                <w:left w:val="none" w:sz="0" w:space="0" w:color="auto"/>
                                <w:bottom w:val="none" w:sz="0" w:space="0" w:color="auto"/>
                                <w:right w:val="none" w:sz="0" w:space="0" w:color="auto"/>
                              </w:divBdr>
                              <w:divsChild>
                                <w:div w:id="480661151">
                                  <w:marLeft w:val="0"/>
                                  <w:marRight w:val="0"/>
                                  <w:marTop w:val="79"/>
                                  <w:marBottom w:val="79"/>
                                  <w:divBdr>
                                    <w:top w:val="none" w:sz="0" w:space="0" w:color="auto"/>
                                    <w:left w:val="none" w:sz="0" w:space="0" w:color="auto"/>
                                    <w:bottom w:val="none" w:sz="0" w:space="0" w:color="auto"/>
                                    <w:right w:val="none" w:sz="0" w:space="0" w:color="auto"/>
                                  </w:divBdr>
                                  <w:divsChild>
                                    <w:div w:id="1957444893">
                                      <w:marLeft w:val="0"/>
                                      <w:marRight w:val="0"/>
                                      <w:marTop w:val="0"/>
                                      <w:marBottom w:val="0"/>
                                      <w:divBdr>
                                        <w:top w:val="none" w:sz="0" w:space="0" w:color="auto"/>
                                        <w:left w:val="none" w:sz="0" w:space="0" w:color="auto"/>
                                        <w:bottom w:val="none" w:sz="0" w:space="0" w:color="auto"/>
                                        <w:right w:val="none" w:sz="0" w:space="0" w:color="auto"/>
                                      </w:divBdr>
                                      <w:divsChild>
                                        <w:div w:id="557060380">
                                          <w:marLeft w:val="554"/>
                                          <w:marRight w:val="0"/>
                                          <w:marTop w:val="0"/>
                                          <w:marBottom w:val="0"/>
                                          <w:divBdr>
                                            <w:top w:val="none" w:sz="0" w:space="0" w:color="auto"/>
                                            <w:left w:val="none" w:sz="0" w:space="0" w:color="auto"/>
                                            <w:bottom w:val="none" w:sz="0" w:space="0" w:color="auto"/>
                                            <w:right w:val="none" w:sz="0" w:space="0" w:color="auto"/>
                                          </w:divBdr>
                                          <w:divsChild>
                                            <w:div w:id="17706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8682814">
      <w:bodyDiv w:val="1"/>
      <w:marLeft w:val="0"/>
      <w:marRight w:val="0"/>
      <w:marTop w:val="0"/>
      <w:marBottom w:val="0"/>
      <w:divBdr>
        <w:top w:val="none" w:sz="0" w:space="0" w:color="auto"/>
        <w:left w:val="none" w:sz="0" w:space="0" w:color="auto"/>
        <w:bottom w:val="none" w:sz="0" w:space="0" w:color="auto"/>
        <w:right w:val="none" w:sz="0" w:space="0" w:color="auto"/>
      </w:divBdr>
    </w:div>
    <w:div w:id="1640184533">
      <w:bodyDiv w:val="1"/>
      <w:marLeft w:val="0"/>
      <w:marRight w:val="0"/>
      <w:marTop w:val="0"/>
      <w:marBottom w:val="0"/>
      <w:divBdr>
        <w:top w:val="none" w:sz="0" w:space="0" w:color="auto"/>
        <w:left w:val="none" w:sz="0" w:space="0" w:color="auto"/>
        <w:bottom w:val="none" w:sz="0" w:space="0" w:color="auto"/>
        <w:right w:val="none" w:sz="0" w:space="0" w:color="auto"/>
      </w:divBdr>
      <w:divsChild>
        <w:div w:id="36006214">
          <w:marLeft w:val="0"/>
          <w:marRight w:val="0"/>
          <w:marTop w:val="0"/>
          <w:marBottom w:val="0"/>
          <w:divBdr>
            <w:top w:val="none" w:sz="0" w:space="0" w:color="auto"/>
            <w:left w:val="none" w:sz="0" w:space="0" w:color="auto"/>
            <w:bottom w:val="none" w:sz="0" w:space="0" w:color="auto"/>
            <w:right w:val="none" w:sz="0" w:space="0" w:color="auto"/>
          </w:divBdr>
        </w:div>
        <w:div w:id="1333027016">
          <w:marLeft w:val="0"/>
          <w:marRight w:val="0"/>
          <w:marTop w:val="0"/>
          <w:marBottom w:val="0"/>
          <w:divBdr>
            <w:top w:val="none" w:sz="0" w:space="0" w:color="auto"/>
            <w:left w:val="none" w:sz="0" w:space="0" w:color="auto"/>
            <w:bottom w:val="none" w:sz="0" w:space="0" w:color="auto"/>
            <w:right w:val="none" w:sz="0" w:space="0" w:color="auto"/>
          </w:divBdr>
        </w:div>
        <w:div w:id="10762298">
          <w:marLeft w:val="0"/>
          <w:marRight w:val="0"/>
          <w:marTop w:val="0"/>
          <w:marBottom w:val="0"/>
          <w:divBdr>
            <w:top w:val="none" w:sz="0" w:space="0" w:color="auto"/>
            <w:left w:val="none" w:sz="0" w:space="0" w:color="auto"/>
            <w:bottom w:val="none" w:sz="0" w:space="0" w:color="auto"/>
            <w:right w:val="none" w:sz="0" w:space="0" w:color="auto"/>
          </w:divBdr>
        </w:div>
        <w:div w:id="870187984">
          <w:marLeft w:val="0"/>
          <w:marRight w:val="0"/>
          <w:marTop w:val="0"/>
          <w:marBottom w:val="0"/>
          <w:divBdr>
            <w:top w:val="none" w:sz="0" w:space="0" w:color="auto"/>
            <w:left w:val="none" w:sz="0" w:space="0" w:color="auto"/>
            <w:bottom w:val="none" w:sz="0" w:space="0" w:color="auto"/>
            <w:right w:val="none" w:sz="0" w:space="0" w:color="auto"/>
          </w:divBdr>
        </w:div>
        <w:div w:id="1320033995">
          <w:marLeft w:val="0"/>
          <w:marRight w:val="0"/>
          <w:marTop w:val="0"/>
          <w:marBottom w:val="0"/>
          <w:divBdr>
            <w:top w:val="none" w:sz="0" w:space="0" w:color="auto"/>
            <w:left w:val="none" w:sz="0" w:space="0" w:color="auto"/>
            <w:bottom w:val="none" w:sz="0" w:space="0" w:color="auto"/>
            <w:right w:val="none" w:sz="0" w:space="0" w:color="auto"/>
          </w:divBdr>
        </w:div>
        <w:div w:id="1680037311">
          <w:marLeft w:val="0"/>
          <w:marRight w:val="0"/>
          <w:marTop w:val="0"/>
          <w:marBottom w:val="0"/>
          <w:divBdr>
            <w:top w:val="none" w:sz="0" w:space="0" w:color="auto"/>
            <w:left w:val="none" w:sz="0" w:space="0" w:color="auto"/>
            <w:bottom w:val="none" w:sz="0" w:space="0" w:color="auto"/>
            <w:right w:val="none" w:sz="0" w:space="0" w:color="auto"/>
          </w:divBdr>
        </w:div>
        <w:div w:id="441461446">
          <w:marLeft w:val="0"/>
          <w:marRight w:val="0"/>
          <w:marTop w:val="0"/>
          <w:marBottom w:val="0"/>
          <w:divBdr>
            <w:top w:val="none" w:sz="0" w:space="0" w:color="auto"/>
            <w:left w:val="none" w:sz="0" w:space="0" w:color="auto"/>
            <w:bottom w:val="none" w:sz="0" w:space="0" w:color="auto"/>
            <w:right w:val="none" w:sz="0" w:space="0" w:color="auto"/>
          </w:divBdr>
        </w:div>
        <w:div w:id="2043942939">
          <w:marLeft w:val="0"/>
          <w:marRight w:val="0"/>
          <w:marTop w:val="0"/>
          <w:marBottom w:val="0"/>
          <w:divBdr>
            <w:top w:val="none" w:sz="0" w:space="0" w:color="auto"/>
            <w:left w:val="none" w:sz="0" w:space="0" w:color="auto"/>
            <w:bottom w:val="none" w:sz="0" w:space="0" w:color="auto"/>
            <w:right w:val="none" w:sz="0" w:space="0" w:color="auto"/>
          </w:divBdr>
        </w:div>
        <w:div w:id="1499736292">
          <w:marLeft w:val="0"/>
          <w:marRight w:val="0"/>
          <w:marTop w:val="0"/>
          <w:marBottom w:val="0"/>
          <w:divBdr>
            <w:top w:val="none" w:sz="0" w:space="0" w:color="auto"/>
            <w:left w:val="none" w:sz="0" w:space="0" w:color="auto"/>
            <w:bottom w:val="none" w:sz="0" w:space="0" w:color="auto"/>
            <w:right w:val="none" w:sz="0" w:space="0" w:color="auto"/>
          </w:divBdr>
        </w:div>
        <w:div w:id="1328292086">
          <w:marLeft w:val="0"/>
          <w:marRight w:val="0"/>
          <w:marTop w:val="0"/>
          <w:marBottom w:val="0"/>
          <w:divBdr>
            <w:top w:val="none" w:sz="0" w:space="0" w:color="auto"/>
            <w:left w:val="none" w:sz="0" w:space="0" w:color="auto"/>
            <w:bottom w:val="none" w:sz="0" w:space="0" w:color="auto"/>
            <w:right w:val="none" w:sz="0" w:space="0" w:color="auto"/>
          </w:divBdr>
        </w:div>
      </w:divsChild>
    </w:div>
    <w:div w:id="1641032032">
      <w:bodyDiv w:val="1"/>
      <w:marLeft w:val="0"/>
      <w:marRight w:val="0"/>
      <w:marTop w:val="0"/>
      <w:marBottom w:val="0"/>
      <w:divBdr>
        <w:top w:val="none" w:sz="0" w:space="0" w:color="auto"/>
        <w:left w:val="none" w:sz="0" w:space="0" w:color="auto"/>
        <w:bottom w:val="none" w:sz="0" w:space="0" w:color="auto"/>
        <w:right w:val="none" w:sz="0" w:space="0" w:color="auto"/>
      </w:divBdr>
    </w:div>
    <w:div w:id="1642540628">
      <w:bodyDiv w:val="1"/>
      <w:marLeft w:val="0"/>
      <w:marRight w:val="0"/>
      <w:marTop w:val="0"/>
      <w:marBottom w:val="0"/>
      <w:divBdr>
        <w:top w:val="none" w:sz="0" w:space="0" w:color="auto"/>
        <w:left w:val="none" w:sz="0" w:space="0" w:color="auto"/>
        <w:bottom w:val="none" w:sz="0" w:space="0" w:color="auto"/>
        <w:right w:val="none" w:sz="0" w:space="0" w:color="auto"/>
      </w:divBdr>
    </w:div>
    <w:div w:id="1642882041">
      <w:bodyDiv w:val="1"/>
      <w:marLeft w:val="0"/>
      <w:marRight w:val="0"/>
      <w:marTop w:val="0"/>
      <w:marBottom w:val="0"/>
      <w:divBdr>
        <w:top w:val="none" w:sz="0" w:space="0" w:color="auto"/>
        <w:left w:val="none" w:sz="0" w:space="0" w:color="auto"/>
        <w:bottom w:val="none" w:sz="0" w:space="0" w:color="auto"/>
        <w:right w:val="none" w:sz="0" w:space="0" w:color="auto"/>
      </w:divBdr>
    </w:div>
    <w:div w:id="1643345568">
      <w:bodyDiv w:val="1"/>
      <w:marLeft w:val="0"/>
      <w:marRight w:val="0"/>
      <w:marTop w:val="0"/>
      <w:marBottom w:val="0"/>
      <w:divBdr>
        <w:top w:val="none" w:sz="0" w:space="0" w:color="auto"/>
        <w:left w:val="none" w:sz="0" w:space="0" w:color="auto"/>
        <w:bottom w:val="none" w:sz="0" w:space="0" w:color="auto"/>
        <w:right w:val="none" w:sz="0" w:space="0" w:color="auto"/>
      </w:divBdr>
    </w:div>
    <w:div w:id="1644503385">
      <w:bodyDiv w:val="1"/>
      <w:marLeft w:val="0"/>
      <w:marRight w:val="0"/>
      <w:marTop w:val="0"/>
      <w:marBottom w:val="0"/>
      <w:divBdr>
        <w:top w:val="none" w:sz="0" w:space="0" w:color="auto"/>
        <w:left w:val="none" w:sz="0" w:space="0" w:color="auto"/>
        <w:bottom w:val="none" w:sz="0" w:space="0" w:color="auto"/>
        <w:right w:val="none" w:sz="0" w:space="0" w:color="auto"/>
      </w:divBdr>
      <w:divsChild>
        <w:div w:id="1508866179">
          <w:marLeft w:val="0"/>
          <w:marRight w:val="0"/>
          <w:marTop w:val="0"/>
          <w:marBottom w:val="0"/>
          <w:divBdr>
            <w:top w:val="none" w:sz="0" w:space="0" w:color="auto"/>
            <w:left w:val="none" w:sz="0" w:space="0" w:color="auto"/>
            <w:bottom w:val="none" w:sz="0" w:space="0" w:color="auto"/>
            <w:right w:val="none" w:sz="0" w:space="0" w:color="auto"/>
          </w:divBdr>
          <w:divsChild>
            <w:div w:id="816265419">
              <w:marLeft w:val="0"/>
              <w:marRight w:val="0"/>
              <w:marTop w:val="411"/>
              <w:marBottom w:val="0"/>
              <w:divBdr>
                <w:top w:val="none" w:sz="0" w:space="0" w:color="auto"/>
                <w:left w:val="none" w:sz="0" w:space="0" w:color="auto"/>
                <w:bottom w:val="none" w:sz="0" w:space="0" w:color="auto"/>
                <w:right w:val="none" w:sz="0" w:space="0" w:color="auto"/>
              </w:divBdr>
              <w:divsChild>
                <w:div w:id="1402603645">
                  <w:marLeft w:val="0"/>
                  <w:marRight w:val="0"/>
                  <w:marTop w:val="0"/>
                  <w:marBottom w:val="0"/>
                  <w:divBdr>
                    <w:top w:val="none" w:sz="0" w:space="0" w:color="auto"/>
                    <w:left w:val="none" w:sz="0" w:space="0" w:color="auto"/>
                    <w:bottom w:val="none" w:sz="0" w:space="0" w:color="auto"/>
                    <w:right w:val="none" w:sz="0" w:space="0" w:color="auto"/>
                  </w:divBdr>
                  <w:divsChild>
                    <w:div w:id="272975949">
                      <w:marLeft w:val="79"/>
                      <w:marRight w:val="79"/>
                      <w:marTop w:val="0"/>
                      <w:marBottom w:val="0"/>
                      <w:divBdr>
                        <w:top w:val="none" w:sz="0" w:space="0" w:color="auto"/>
                        <w:left w:val="none" w:sz="0" w:space="0" w:color="auto"/>
                        <w:bottom w:val="none" w:sz="0" w:space="0" w:color="auto"/>
                        <w:right w:val="none" w:sz="0" w:space="0" w:color="auto"/>
                      </w:divBdr>
                      <w:divsChild>
                        <w:div w:id="457383979">
                          <w:marLeft w:val="0"/>
                          <w:marRight w:val="0"/>
                          <w:marTop w:val="0"/>
                          <w:marBottom w:val="0"/>
                          <w:divBdr>
                            <w:top w:val="dashed" w:sz="6" w:space="0" w:color="DDDDDD"/>
                            <w:left w:val="none" w:sz="0" w:space="0" w:color="auto"/>
                            <w:bottom w:val="none" w:sz="0" w:space="0" w:color="auto"/>
                            <w:right w:val="none" w:sz="0" w:space="0" w:color="auto"/>
                          </w:divBdr>
                          <w:divsChild>
                            <w:div w:id="396588945">
                              <w:marLeft w:val="0"/>
                              <w:marRight w:val="0"/>
                              <w:marTop w:val="0"/>
                              <w:marBottom w:val="0"/>
                              <w:divBdr>
                                <w:top w:val="none" w:sz="0" w:space="0" w:color="auto"/>
                                <w:left w:val="none" w:sz="0" w:space="0" w:color="auto"/>
                                <w:bottom w:val="none" w:sz="0" w:space="0" w:color="auto"/>
                                <w:right w:val="none" w:sz="0" w:space="0" w:color="auto"/>
                              </w:divBdr>
                              <w:divsChild>
                                <w:div w:id="1517184324">
                                  <w:marLeft w:val="0"/>
                                  <w:marRight w:val="0"/>
                                  <w:marTop w:val="79"/>
                                  <w:marBottom w:val="79"/>
                                  <w:divBdr>
                                    <w:top w:val="none" w:sz="0" w:space="0" w:color="auto"/>
                                    <w:left w:val="none" w:sz="0" w:space="0" w:color="auto"/>
                                    <w:bottom w:val="none" w:sz="0" w:space="0" w:color="auto"/>
                                    <w:right w:val="none" w:sz="0" w:space="0" w:color="auto"/>
                                  </w:divBdr>
                                  <w:divsChild>
                                    <w:div w:id="704447774">
                                      <w:marLeft w:val="0"/>
                                      <w:marRight w:val="0"/>
                                      <w:marTop w:val="0"/>
                                      <w:marBottom w:val="0"/>
                                      <w:divBdr>
                                        <w:top w:val="none" w:sz="0" w:space="0" w:color="auto"/>
                                        <w:left w:val="none" w:sz="0" w:space="0" w:color="auto"/>
                                        <w:bottom w:val="none" w:sz="0" w:space="0" w:color="auto"/>
                                        <w:right w:val="none" w:sz="0" w:space="0" w:color="auto"/>
                                      </w:divBdr>
                                      <w:divsChild>
                                        <w:div w:id="1712876239">
                                          <w:marLeft w:val="554"/>
                                          <w:marRight w:val="0"/>
                                          <w:marTop w:val="0"/>
                                          <w:marBottom w:val="0"/>
                                          <w:divBdr>
                                            <w:top w:val="none" w:sz="0" w:space="0" w:color="auto"/>
                                            <w:left w:val="none" w:sz="0" w:space="0" w:color="auto"/>
                                            <w:bottom w:val="none" w:sz="0" w:space="0" w:color="auto"/>
                                            <w:right w:val="none" w:sz="0" w:space="0" w:color="auto"/>
                                          </w:divBdr>
                                          <w:divsChild>
                                            <w:div w:id="11978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6927971">
      <w:bodyDiv w:val="1"/>
      <w:marLeft w:val="0"/>
      <w:marRight w:val="0"/>
      <w:marTop w:val="0"/>
      <w:marBottom w:val="0"/>
      <w:divBdr>
        <w:top w:val="none" w:sz="0" w:space="0" w:color="auto"/>
        <w:left w:val="none" w:sz="0" w:space="0" w:color="auto"/>
        <w:bottom w:val="none" w:sz="0" w:space="0" w:color="auto"/>
        <w:right w:val="none" w:sz="0" w:space="0" w:color="auto"/>
      </w:divBdr>
    </w:div>
    <w:div w:id="1653949878">
      <w:bodyDiv w:val="1"/>
      <w:marLeft w:val="0"/>
      <w:marRight w:val="0"/>
      <w:marTop w:val="0"/>
      <w:marBottom w:val="0"/>
      <w:divBdr>
        <w:top w:val="none" w:sz="0" w:space="0" w:color="auto"/>
        <w:left w:val="none" w:sz="0" w:space="0" w:color="auto"/>
        <w:bottom w:val="none" w:sz="0" w:space="0" w:color="auto"/>
        <w:right w:val="none" w:sz="0" w:space="0" w:color="auto"/>
      </w:divBdr>
    </w:div>
    <w:div w:id="1654337633">
      <w:bodyDiv w:val="1"/>
      <w:marLeft w:val="0"/>
      <w:marRight w:val="0"/>
      <w:marTop w:val="0"/>
      <w:marBottom w:val="0"/>
      <w:divBdr>
        <w:top w:val="none" w:sz="0" w:space="0" w:color="auto"/>
        <w:left w:val="none" w:sz="0" w:space="0" w:color="auto"/>
        <w:bottom w:val="none" w:sz="0" w:space="0" w:color="auto"/>
        <w:right w:val="none" w:sz="0" w:space="0" w:color="auto"/>
      </w:divBdr>
    </w:div>
    <w:div w:id="1662538983">
      <w:bodyDiv w:val="1"/>
      <w:marLeft w:val="0"/>
      <w:marRight w:val="0"/>
      <w:marTop w:val="0"/>
      <w:marBottom w:val="0"/>
      <w:divBdr>
        <w:top w:val="none" w:sz="0" w:space="0" w:color="auto"/>
        <w:left w:val="none" w:sz="0" w:space="0" w:color="auto"/>
        <w:bottom w:val="none" w:sz="0" w:space="0" w:color="auto"/>
        <w:right w:val="none" w:sz="0" w:space="0" w:color="auto"/>
      </w:divBdr>
    </w:div>
    <w:div w:id="1673338346">
      <w:bodyDiv w:val="1"/>
      <w:marLeft w:val="0"/>
      <w:marRight w:val="0"/>
      <w:marTop w:val="0"/>
      <w:marBottom w:val="0"/>
      <w:divBdr>
        <w:top w:val="none" w:sz="0" w:space="0" w:color="auto"/>
        <w:left w:val="none" w:sz="0" w:space="0" w:color="auto"/>
        <w:bottom w:val="none" w:sz="0" w:space="0" w:color="auto"/>
        <w:right w:val="none" w:sz="0" w:space="0" w:color="auto"/>
      </w:divBdr>
    </w:div>
    <w:div w:id="1673875444">
      <w:bodyDiv w:val="1"/>
      <w:marLeft w:val="0"/>
      <w:marRight w:val="0"/>
      <w:marTop w:val="0"/>
      <w:marBottom w:val="0"/>
      <w:divBdr>
        <w:top w:val="none" w:sz="0" w:space="0" w:color="auto"/>
        <w:left w:val="none" w:sz="0" w:space="0" w:color="auto"/>
        <w:bottom w:val="none" w:sz="0" w:space="0" w:color="auto"/>
        <w:right w:val="none" w:sz="0" w:space="0" w:color="auto"/>
      </w:divBdr>
    </w:div>
    <w:div w:id="1676612688">
      <w:bodyDiv w:val="1"/>
      <w:marLeft w:val="0"/>
      <w:marRight w:val="0"/>
      <w:marTop w:val="0"/>
      <w:marBottom w:val="0"/>
      <w:divBdr>
        <w:top w:val="none" w:sz="0" w:space="0" w:color="auto"/>
        <w:left w:val="none" w:sz="0" w:space="0" w:color="auto"/>
        <w:bottom w:val="none" w:sz="0" w:space="0" w:color="auto"/>
        <w:right w:val="none" w:sz="0" w:space="0" w:color="auto"/>
      </w:divBdr>
    </w:div>
    <w:div w:id="1676810436">
      <w:bodyDiv w:val="1"/>
      <w:marLeft w:val="0"/>
      <w:marRight w:val="0"/>
      <w:marTop w:val="0"/>
      <w:marBottom w:val="0"/>
      <w:divBdr>
        <w:top w:val="none" w:sz="0" w:space="0" w:color="auto"/>
        <w:left w:val="none" w:sz="0" w:space="0" w:color="auto"/>
        <w:bottom w:val="none" w:sz="0" w:space="0" w:color="auto"/>
        <w:right w:val="none" w:sz="0" w:space="0" w:color="auto"/>
      </w:divBdr>
    </w:div>
    <w:div w:id="1684893443">
      <w:bodyDiv w:val="1"/>
      <w:marLeft w:val="0"/>
      <w:marRight w:val="0"/>
      <w:marTop w:val="0"/>
      <w:marBottom w:val="0"/>
      <w:divBdr>
        <w:top w:val="none" w:sz="0" w:space="0" w:color="auto"/>
        <w:left w:val="none" w:sz="0" w:space="0" w:color="auto"/>
        <w:bottom w:val="none" w:sz="0" w:space="0" w:color="auto"/>
        <w:right w:val="none" w:sz="0" w:space="0" w:color="auto"/>
      </w:divBdr>
    </w:div>
    <w:div w:id="1692342549">
      <w:bodyDiv w:val="1"/>
      <w:marLeft w:val="0"/>
      <w:marRight w:val="0"/>
      <w:marTop w:val="0"/>
      <w:marBottom w:val="0"/>
      <w:divBdr>
        <w:top w:val="none" w:sz="0" w:space="0" w:color="auto"/>
        <w:left w:val="none" w:sz="0" w:space="0" w:color="auto"/>
        <w:bottom w:val="none" w:sz="0" w:space="0" w:color="auto"/>
        <w:right w:val="none" w:sz="0" w:space="0" w:color="auto"/>
      </w:divBdr>
    </w:div>
    <w:div w:id="1695496244">
      <w:bodyDiv w:val="1"/>
      <w:marLeft w:val="0"/>
      <w:marRight w:val="0"/>
      <w:marTop w:val="0"/>
      <w:marBottom w:val="0"/>
      <w:divBdr>
        <w:top w:val="none" w:sz="0" w:space="0" w:color="auto"/>
        <w:left w:val="none" w:sz="0" w:space="0" w:color="auto"/>
        <w:bottom w:val="none" w:sz="0" w:space="0" w:color="auto"/>
        <w:right w:val="none" w:sz="0" w:space="0" w:color="auto"/>
      </w:divBdr>
    </w:div>
    <w:div w:id="1695618161">
      <w:bodyDiv w:val="1"/>
      <w:marLeft w:val="0"/>
      <w:marRight w:val="0"/>
      <w:marTop w:val="0"/>
      <w:marBottom w:val="0"/>
      <w:divBdr>
        <w:top w:val="none" w:sz="0" w:space="0" w:color="auto"/>
        <w:left w:val="none" w:sz="0" w:space="0" w:color="auto"/>
        <w:bottom w:val="none" w:sz="0" w:space="0" w:color="auto"/>
        <w:right w:val="none" w:sz="0" w:space="0" w:color="auto"/>
      </w:divBdr>
    </w:div>
    <w:div w:id="1698771828">
      <w:bodyDiv w:val="1"/>
      <w:marLeft w:val="0"/>
      <w:marRight w:val="0"/>
      <w:marTop w:val="0"/>
      <w:marBottom w:val="0"/>
      <w:divBdr>
        <w:top w:val="none" w:sz="0" w:space="0" w:color="auto"/>
        <w:left w:val="none" w:sz="0" w:space="0" w:color="auto"/>
        <w:bottom w:val="none" w:sz="0" w:space="0" w:color="auto"/>
        <w:right w:val="none" w:sz="0" w:space="0" w:color="auto"/>
      </w:divBdr>
    </w:div>
    <w:div w:id="1708528831">
      <w:bodyDiv w:val="1"/>
      <w:marLeft w:val="0"/>
      <w:marRight w:val="0"/>
      <w:marTop w:val="0"/>
      <w:marBottom w:val="0"/>
      <w:divBdr>
        <w:top w:val="none" w:sz="0" w:space="0" w:color="auto"/>
        <w:left w:val="none" w:sz="0" w:space="0" w:color="auto"/>
        <w:bottom w:val="none" w:sz="0" w:space="0" w:color="auto"/>
        <w:right w:val="none" w:sz="0" w:space="0" w:color="auto"/>
      </w:divBdr>
    </w:div>
    <w:div w:id="1710758141">
      <w:bodyDiv w:val="1"/>
      <w:marLeft w:val="0"/>
      <w:marRight w:val="0"/>
      <w:marTop w:val="0"/>
      <w:marBottom w:val="0"/>
      <w:divBdr>
        <w:top w:val="none" w:sz="0" w:space="0" w:color="auto"/>
        <w:left w:val="none" w:sz="0" w:space="0" w:color="auto"/>
        <w:bottom w:val="none" w:sz="0" w:space="0" w:color="auto"/>
        <w:right w:val="none" w:sz="0" w:space="0" w:color="auto"/>
      </w:divBdr>
    </w:div>
    <w:div w:id="1715541984">
      <w:bodyDiv w:val="1"/>
      <w:marLeft w:val="0"/>
      <w:marRight w:val="0"/>
      <w:marTop w:val="0"/>
      <w:marBottom w:val="0"/>
      <w:divBdr>
        <w:top w:val="none" w:sz="0" w:space="0" w:color="auto"/>
        <w:left w:val="none" w:sz="0" w:space="0" w:color="auto"/>
        <w:bottom w:val="none" w:sz="0" w:space="0" w:color="auto"/>
        <w:right w:val="none" w:sz="0" w:space="0" w:color="auto"/>
      </w:divBdr>
    </w:div>
    <w:div w:id="1718234783">
      <w:bodyDiv w:val="1"/>
      <w:marLeft w:val="0"/>
      <w:marRight w:val="0"/>
      <w:marTop w:val="0"/>
      <w:marBottom w:val="0"/>
      <w:divBdr>
        <w:top w:val="none" w:sz="0" w:space="0" w:color="auto"/>
        <w:left w:val="none" w:sz="0" w:space="0" w:color="auto"/>
        <w:bottom w:val="none" w:sz="0" w:space="0" w:color="auto"/>
        <w:right w:val="none" w:sz="0" w:space="0" w:color="auto"/>
      </w:divBdr>
    </w:div>
    <w:div w:id="1722827669">
      <w:bodyDiv w:val="1"/>
      <w:marLeft w:val="0"/>
      <w:marRight w:val="0"/>
      <w:marTop w:val="0"/>
      <w:marBottom w:val="0"/>
      <w:divBdr>
        <w:top w:val="none" w:sz="0" w:space="0" w:color="auto"/>
        <w:left w:val="none" w:sz="0" w:space="0" w:color="auto"/>
        <w:bottom w:val="none" w:sz="0" w:space="0" w:color="auto"/>
        <w:right w:val="none" w:sz="0" w:space="0" w:color="auto"/>
      </w:divBdr>
    </w:div>
    <w:div w:id="1731416739">
      <w:bodyDiv w:val="1"/>
      <w:marLeft w:val="0"/>
      <w:marRight w:val="0"/>
      <w:marTop w:val="0"/>
      <w:marBottom w:val="0"/>
      <w:divBdr>
        <w:top w:val="none" w:sz="0" w:space="0" w:color="auto"/>
        <w:left w:val="none" w:sz="0" w:space="0" w:color="auto"/>
        <w:bottom w:val="none" w:sz="0" w:space="0" w:color="auto"/>
        <w:right w:val="none" w:sz="0" w:space="0" w:color="auto"/>
      </w:divBdr>
    </w:div>
    <w:div w:id="1731609529">
      <w:bodyDiv w:val="1"/>
      <w:marLeft w:val="0"/>
      <w:marRight w:val="0"/>
      <w:marTop w:val="0"/>
      <w:marBottom w:val="0"/>
      <w:divBdr>
        <w:top w:val="none" w:sz="0" w:space="0" w:color="auto"/>
        <w:left w:val="none" w:sz="0" w:space="0" w:color="auto"/>
        <w:bottom w:val="none" w:sz="0" w:space="0" w:color="auto"/>
        <w:right w:val="none" w:sz="0" w:space="0" w:color="auto"/>
      </w:divBdr>
    </w:div>
    <w:div w:id="1732003543">
      <w:bodyDiv w:val="1"/>
      <w:marLeft w:val="0"/>
      <w:marRight w:val="0"/>
      <w:marTop w:val="0"/>
      <w:marBottom w:val="0"/>
      <w:divBdr>
        <w:top w:val="none" w:sz="0" w:space="0" w:color="auto"/>
        <w:left w:val="none" w:sz="0" w:space="0" w:color="auto"/>
        <w:bottom w:val="none" w:sz="0" w:space="0" w:color="auto"/>
        <w:right w:val="none" w:sz="0" w:space="0" w:color="auto"/>
      </w:divBdr>
      <w:divsChild>
        <w:div w:id="899366750">
          <w:marLeft w:val="0"/>
          <w:marRight w:val="0"/>
          <w:marTop w:val="0"/>
          <w:marBottom w:val="0"/>
          <w:divBdr>
            <w:top w:val="none" w:sz="0" w:space="0" w:color="auto"/>
            <w:left w:val="none" w:sz="0" w:space="0" w:color="auto"/>
            <w:bottom w:val="none" w:sz="0" w:space="0" w:color="auto"/>
            <w:right w:val="none" w:sz="0" w:space="0" w:color="auto"/>
          </w:divBdr>
          <w:divsChild>
            <w:div w:id="210437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99003">
      <w:bodyDiv w:val="1"/>
      <w:marLeft w:val="0"/>
      <w:marRight w:val="0"/>
      <w:marTop w:val="0"/>
      <w:marBottom w:val="0"/>
      <w:divBdr>
        <w:top w:val="none" w:sz="0" w:space="0" w:color="auto"/>
        <w:left w:val="none" w:sz="0" w:space="0" w:color="auto"/>
        <w:bottom w:val="none" w:sz="0" w:space="0" w:color="auto"/>
        <w:right w:val="none" w:sz="0" w:space="0" w:color="auto"/>
      </w:divBdr>
    </w:div>
    <w:div w:id="1740706659">
      <w:bodyDiv w:val="1"/>
      <w:marLeft w:val="0"/>
      <w:marRight w:val="0"/>
      <w:marTop w:val="0"/>
      <w:marBottom w:val="0"/>
      <w:divBdr>
        <w:top w:val="none" w:sz="0" w:space="0" w:color="auto"/>
        <w:left w:val="none" w:sz="0" w:space="0" w:color="auto"/>
        <w:bottom w:val="none" w:sz="0" w:space="0" w:color="auto"/>
        <w:right w:val="none" w:sz="0" w:space="0" w:color="auto"/>
      </w:divBdr>
    </w:div>
    <w:div w:id="1743873323">
      <w:bodyDiv w:val="1"/>
      <w:marLeft w:val="0"/>
      <w:marRight w:val="0"/>
      <w:marTop w:val="0"/>
      <w:marBottom w:val="0"/>
      <w:divBdr>
        <w:top w:val="none" w:sz="0" w:space="0" w:color="auto"/>
        <w:left w:val="none" w:sz="0" w:space="0" w:color="auto"/>
        <w:bottom w:val="none" w:sz="0" w:space="0" w:color="auto"/>
        <w:right w:val="none" w:sz="0" w:space="0" w:color="auto"/>
      </w:divBdr>
    </w:div>
    <w:div w:id="1751544075">
      <w:bodyDiv w:val="1"/>
      <w:marLeft w:val="0"/>
      <w:marRight w:val="0"/>
      <w:marTop w:val="0"/>
      <w:marBottom w:val="0"/>
      <w:divBdr>
        <w:top w:val="none" w:sz="0" w:space="0" w:color="auto"/>
        <w:left w:val="none" w:sz="0" w:space="0" w:color="auto"/>
        <w:bottom w:val="none" w:sz="0" w:space="0" w:color="auto"/>
        <w:right w:val="none" w:sz="0" w:space="0" w:color="auto"/>
      </w:divBdr>
    </w:div>
    <w:div w:id="1753118288">
      <w:bodyDiv w:val="1"/>
      <w:marLeft w:val="0"/>
      <w:marRight w:val="0"/>
      <w:marTop w:val="0"/>
      <w:marBottom w:val="0"/>
      <w:divBdr>
        <w:top w:val="none" w:sz="0" w:space="0" w:color="auto"/>
        <w:left w:val="none" w:sz="0" w:space="0" w:color="auto"/>
        <w:bottom w:val="none" w:sz="0" w:space="0" w:color="auto"/>
        <w:right w:val="none" w:sz="0" w:space="0" w:color="auto"/>
      </w:divBdr>
    </w:div>
    <w:div w:id="1757630916">
      <w:bodyDiv w:val="1"/>
      <w:marLeft w:val="0"/>
      <w:marRight w:val="0"/>
      <w:marTop w:val="0"/>
      <w:marBottom w:val="0"/>
      <w:divBdr>
        <w:top w:val="none" w:sz="0" w:space="0" w:color="auto"/>
        <w:left w:val="none" w:sz="0" w:space="0" w:color="auto"/>
        <w:bottom w:val="none" w:sz="0" w:space="0" w:color="auto"/>
        <w:right w:val="none" w:sz="0" w:space="0" w:color="auto"/>
      </w:divBdr>
      <w:divsChild>
        <w:div w:id="629211419">
          <w:marLeft w:val="0"/>
          <w:marRight w:val="0"/>
          <w:marTop w:val="0"/>
          <w:marBottom w:val="0"/>
          <w:divBdr>
            <w:top w:val="none" w:sz="0" w:space="0" w:color="auto"/>
            <w:left w:val="none" w:sz="0" w:space="0" w:color="auto"/>
            <w:bottom w:val="none" w:sz="0" w:space="0" w:color="auto"/>
            <w:right w:val="none" w:sz="0" w:space="0" w:color="auto"/>
          </w:divBdr>
          <w:divsChild>
            <w:div w:id="1059942896">
              <w:marLeft w:val="0"/>
              <w:marRight w:val="0"/>
              <w:marTop w:val="0"/>
              <w:marBottom w:val="0"/>
              <w:divBdr>
                <w:top w:val="none" w:sz="0" w:space="0" w:color="auto"/>
                <w:left w:val="none" w:sz="0" w:space="0" w:color="auto"/>
                <w:bottom w:val="none" w:sz="0" w:space="0" w:color="auto"/>
                <w:right w:val="none" w:sz="0" w:space="0" w:color="auto"/>
              </w:divBdr>
              <w:divsChild>
                <w:div w:id="1998025247">
                  <w:marLeft w:val="0"/>
                  <w:marRight w:val="0"/>
                  <w:marTop w:val="0"/>
                  <w:marBottom w:val="0"/>
                  <w:divBdr>
                    <w:top w:val="none" w:sz="0" w:space="0" w:color="auto"/>
                    <w:left w:val="none" w:sz="0" w:space="0" w:color="auto"/>
                    <w:bottom w:val="none" w:sz="0" w:space="0" w:color="auto"/>
                    <w:right w:val="none" w:sz="0" w:space="0" w:color="auto"/>
                  </w:divBdr>
                  <w:divsChild>
                    <w:div w:id="553585511">
                      <w:marLeft w:val="0"/>
                      <w:marRight w:val="0"/>
                      <w:marTop w:val="210"/>
                      <w:marBottom w:val="0"/>
                      <w:divBdr>
                        <w:top w:val="none" w:sz="0" w:space="0" w:color="auto"/>
                        <w:left w:val="none" w:sz="0" w:space="0" w:color="auto"/>
                        <w:bottom w:val="none" w:sz="0" w:space="0" w:color="auto"/>
                        <w:right w:val="none" w:sz="0" w:space="0" w:color="auto"/>
                      </w:divBdr>
                      <w:divsChild>
                        <w:div w:id="439036331">
                          <w:marLeft w:val="0"/>
                          <w:marRight w:val="0"/>
                          <w:marTop w:val="0"/>
                          <w:marBottom w:val="0"/>
                          <w:divBdr>
                            <w:top w:val="none" w:sz="0" w:space="0" w:color="auto"/>
                            <w:left w:val="none" w:sz="0" w:space="0" w:color="auto"/>
                            <w:bottom w:val="none" w:sz="0" w:space="0" w:color="auto"/>
                            <w:right w:val="none" w:sz="0" w:space="0" w:color="auto"/>
                          </w:divBdr>
                          <w:divsChild>
                            <w:div w:id="1622150986">
                              <w:marLeft w:val="0"/>
                              <w:marRight w:val="0"/>
                              <w:marTop w:val="0"/>
                              <w:marBottom w:val="0"/>
                              <w:divBdr>
                                <w:top w:val="none" w:sz="0" w:space="0" w:color="auto"/>
                                <w:left w:val="none" w:sz="0" w:space="0" w:color="auto"/>
                                <w:bottom w:val="none" w:sz="0" w:space="0" w:color="auto"/>
                                <w:right w:val="none" w:sz="0" w:space="0" w:color="auto"/>
                              </w:divBdr>
                              <w:divsChild>
                                <w:div w:id="546724930">
                                  <w:marLeft w:val="0"/>
                                  <w:marRight w:val="0"/>
                                  <w:marTop w:val="0"/>
                                  <w:marBottom w:val="0"/>
                                  <w:divBdr>
                                    <w:top w:val="none" w:sz="0" w:space="0" w:color="auto"/>
                                    <w:left w:val="none" w:sz="0" w:space="0" w:color="auto"/>
                                    <w:bottom w:val="none" w:sz="0" w:space="0" w:color="auto"/>
                                    <w:right w:val="none" w:sz="0" w:space="0" w:color="auto"/>
                                  </w:divBdr>
                                  <w:divsChild>
                                    <w:div w:id="18650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7895242">
      <w:bodyDiv w:val="1"/>
      <w:marLeft w:val="0"/>
      <w:marRight w:val="0"/>
      <w:marTop w:val="0"/>
      <w:marBottom w:val="0"/>
      <w:divBdr>
        <w:top w:val="none" w:sz="0" w:space="0" w:color="auto"/>
        <w:left w:val="none" w:sz="0" w:space="0" w:color="auto"/>
        <w:bottom w:val="none" w:sz="0" w:space="0" w:color="auto"/>
        <w:right w:val="none" w:sz="0" w:space="0" w:color="auto"/>
      </w:divBdr>
    </w:div>
    <w:div w:id="1763527335">
      <w:bodyDiv w:val="1"/>
      <w:marLeft w:val="0"/>
      <w:marRight w:val="0"/>
      <w:marTop w:val="0"/>
      <w:marBottom w:val="0"/>
      <w:divBdr>
        <w:top w:val="none" w:sz="0" w:space="0" w:color="auto"/>
        <w:left w:val="none" w:sz="0" w:space="0" w:color="auto"/>
        <w:bottom w:val="none" w:sz="0" w:space="0" w:color="auto"/>
        <w:right w:val="none" w:sz="0" w:space="0" w:color="auto"/>
      </w:divBdr>
    </w:div>
    <w:div w:id="1766222929">
      <w:bodyDiv w:val="1"/>
      <w:marLeft w:val="0"/>
      <w:marRight w:val="0"/>
      <w:marTop w:val="0"/>
      <w:marBottom w:val="0"/>
      <w:divBdr>
        <w:top w:val="none" w:sz="0" w:space="0" w:color="auto"/>
        <w:left w:val="none" w:sz="0" w:space="0" w:color="auto"/>
        <w:bottom w:val="none" w:sz="0" w:space="0" w:color="auto"/>
        <w:right w:val="none" w:sz="0" w:space="0" w:color="auto"/>
      </w:divBdr>
    </w:div>
    <w:div w:id="1769350306">
      <w:bodyDiv w:val="1"/>
      <w:marLeft w:val="0"/>
      <w:marRight w:val="0"/>
      <w:marTop w:val="0"/>
      <w:marBottom w:val="0"/>
      <w:divBdr>
        <w:top w:val="none" w:sz="0" w:space="0" w:color="auto"/>
        <w:left w:val="none" w:sz="0" w:space="0" w:color="auto"/>
        <w:bottom w:val="none" w:sz="0" w:space="0" w:color="auto"/>
        <w:right w:val="none" w:sz="0" w:space="0" w:color="auto"/>
      </w:divBdr>
    </w:div>
    <w:div w:id="1774401327">
      <w:bodyDiv w:val="1"/>
      <w:marLeft w:val="0"/>
      <w:marRight w:val="0"/>
      <w:marTop w:val="0"/>
      <w:marBottom w:val="0"/>
      <w:divBdr>
        <w:top w:val="none" w:sz="0" w:space="0" w:color="auto"/>
        <w:left w:val="none" w:sz="0" w:space="0" w:color="auto"/>
        <w:bottom w:val="none" w:sz="0" w:space="0" w:color="auto"/>
        <w:right w:val="none" w:sz="0" w:space="0" w:color="auto"/>
      </w:divBdr>
    </w:div>
    <w:div w:id="1780564659">
      <w:bodyDiv w:val="1"/>
      <w:marLeft w:val="0"/>
      <w:marRight w:val="0"/>
      <w:marTop w:val="0"/>
      <w:marBottom w:val="0"/>
      <w:divBdr>
        <w:top w:val="none" w:sz="0" w:space="0" w:color="auto"/>
        <w:left w:val="none" w:sz="0" w:space="0" w:color="auto"/>
        <w:bottom w:val="none" w:sz="0" w:space="0" w:color="auto"/>
        <w:right w:val="none" w:sz="0" w:space="0" w:color="auto"/>
      </w:divBdr>
    </w:div>
    <w:div w:id="1782450330">
      <w:bodyDiv w:val="1"/>
      <w:marLeft w:val="0"/>
      <w:marRight w:val="0"/>
      <w:marTop w:val="0"/>
      <w:marBottom w:val="0"/>
      <w:divBdr>
        <w:top w:val="none" w:sz="0" w:space="0" w:color="auto"/>
        <w:left w:val="none" w:sz="0" w:space="0" w:color="auto"/>
        <w:bottom w:val="none" w:sz="0" w:space="0" w:color="auto"/>
        <w:right w:val="none" w:sz="0" w:space="0" w:color="auto"/>
      </w:divBdr>
    </w:div>
    <w:div w:id="1783185912">
      <w:bodyDiv w:val="1"/>
      <w:marLeft w:val="0"/>
      <w:marRight w:val="0"/>
      <w:marTop w:val="0"/>
      <w:marBottom w:val="0"/>
      <w:divBdr>
        <w:top w:val="none" w:sz="0" w:space="0" w:color="auto"/>
        <w:left w:val="none" w:sz="0" w:space="0" w:color="auto"/>
        <w:bottom w:val="none" w:sz="0" w:space="0" w:color="auto"/>
        <w:right w:val="none" w:sz="0" w:space="0" w:color="auto"/>
      </w:divBdr>
    </w:div>
    <w:div w:id="1783190172">
      <w:bodyDiv w:val="1"/>
      <w:marLeft w:val="0"/>
      <w:marRight w:val="0"/>
      <w:marTop w:val="0"/>
      <w:marBottom w:val="0"/>
      <w:divBdr>
        <w:top w:val="none" w:sz="0" w:space="0" w:color="auto"/>
        <w:left w:val="none" w:sz="0" w:space="0" w:color="auto"/>
        <w:bottom w:val="none" w:sz="0" w:space="0" w:color="auto"/>
        <w:right w:val="none" w:sz="0" w:space="0" w:color="auto"/>
      </w:divBdr>
    </w:div>
    <w:div w:id="1787892989">
      <w:bodyDiv w:val="1"/>
      <w:marLeft w:val="0"/>
      <w:marRight w:val="0"/>
      <w:marTop w:val="0"/>
      <w:marBottom w:val="0"/>
      <w:divBdr>
        <w:top w:val="none" w:sz="0" w:space="0" w:color="auto"/>
        <w:left w:val="none" w:sz="0" w:space="0" w:color="auto"/>
        <w:bottom w:val="none" w:sz="0" w:space="0" w:color="auto"/>
        <w:right w:val="none" w:sz="0" w:space="0" w:color="auto"/>
      </w:divBdr>
      <w:divsChild>
        <w:div w:id="770855427">
          <w:marLeft w:val="562"/>
          <w:marRight w:val="0"/>
          <w:marTop w:val="0"/>
          <w:marBottom w:val="0"/>
          <w:divBdr>
            <w:top w:val="none" w:sz="0" w:space="0" w:color="auto"/>
            <w:left w:val="none" w:sz="0" w:space="0" w:color="auto"/>
            <w:bottom w:val="none" w:sz="0" w:space="0" w:color="auto"/>
            <w:right w:val="none" w:sz="0" w:space="0" w:color="auto"/>
          </w:divBdr>
        </w:div>
      </w:divsChild>
    </w:div>
    <w:div w:id="1793474620">
      <w:bodyDiv w:val="1"/>
      <w:marLeft w:val="0"/>
      <w:marRight w:val="0"/>
      <w:marTop w:val="0"/>
      <w:marBottom w:val="0"/>
      <w:divBdr>
        <w:top w:val="none" w:sz="0" w:space="0" w:color="auto"/>
        <w:left w:val="none" w:sz="0" w:space="0" w:color="auto"/>
        <w:bottom w:val="none" w:sz="0" w:space="0" w:color="auto"/>
        <w:right w:val="none" w:sz="0" w:space="0" w:color="auto"/>
      </w:divBdr>
    </w:div>
    <w:div w:id="1796873509">
      <w:bodyDiv w:val="1"/>
      <w:marLeft w:val="0"/>
      <w:marRight w:val="0"/>
      <w:marTop w:val="0"/>
      <w:marBottom w:val="0"/>
      <w:divBdr>
        <w:top w:val="none" w:sz="0" w:space="0" w:color="auto"/>
        <w:left w:val="none" w:sz="0" w:space="0" w:color="auto"/>
        <w:bottom w:val="none" w:sz="0" w:space="0" w:color="auto"/>
        <w:right w:val="none" w:sz="0" w:space="0" w:color="auto"/>
      </w:divBdr>
    </w:div>
    <w:div w:id="1798335844">
      <w:bodyDiv w:val="1"/>
      <w:marLeft w:val="0"/>
      <w:marRight w:val="0"/>
      <w:marTop w:val="0"/>
      <w:marBottom w:val="0"/>
      <w:divBdr>
        <w:top w:val="none" w:sz="0" w:space="0" w:color="auto"/>
        <w:left w:val="none" w:sz="0" w:space="0" w:color="auto"/>
        <w:bottom w:val="none" w:sz="0" w:space="0" w:color="auto"/>
        <w:right w:val="none" w:sz="0" w:space="0" w:color="auto"/>
      </w:divBdr>
    </w:div>
    <w:div w:id="1800799563">
      <w:bodyDiv w:val="1"/>
      <w:marLeft w:val="0"/>
      <w:marRight w:val="0"/>
      <w:marTop w:val="0"/>
      <w:marBottom w:val="0"/>
      <w:divBdr>
        <w:top w:val="none" w:sz="0" w:space="0" w:color="auto"/>
        <w:left w:val="none" w:sz="0" w:space="0" w:color="auto"/>
        <w:bottom w:val="none" w:sz="0" w:space="0" w:color="auto"/>
        <w:right w:val="none" w:sz="0" w:space="0" w:color="auto"/>
      </w:divBdr>
      <w:divsChild>
        <w:div w:id="1719473090">
          <w:marLeft w:val="750"/>
          <w:marRight w:val="750"/>
          <w:marTop w:val="195"/>
          <w:marBottom w:val="180"/>
          <w:divBdr>
            <w:top w:val="none" w:sz="0" w:space="0" w:color="auto"/>
            <w:left w:val="none" w:sz="0" w:space="0" w:color="auto"/>
            <w:bottom w:val="none" w:sz="0" w:space="0" w:color="auto"/>
            <w:right w:val="none" w:sz="0" w:space="0" w:color="auto"/>
          </w:divBdr>
          <w:divsChild>
            <w:div w:id="664281336">
              <w:marLeft w:val="0"/>
              <w:marRight w:val="0"/>
              <w:marTop w:val="0"/>
              <w:marBottom w:val="195"/>
              <w:divBdr>
                <w:top w:val="none" w:sz="0" w:space="0" w:color="auto"/>
                <w:left w:val="none" w:sz="0" w:space="0" w:color="auto"/>
                <w:bottom w:val="none" w:sz="0" w:space="0" w:color="auto"/>
                <w:right w:val="none" w:sz="0" w:space="0" w:color="auto"/>
              </w:divBdr>
            </w:div>
          </w:divsChild>
        </w:div>
        <w:div w:id="178737257">
          <w:marLeft w:val="0"/>
          <w:marRight w:val="0"/>
          <w:marTop w:val="0"/>
          <w:marBottom w:val="0"/>
          <w:divBdr>
            <w:top w:val="none" w:sz="0" w:space="0" w:color="auto"/>
            <w:left w:val="none" w:sz="0" w:space="0" w:color="auto"/>
            <w:bottom w:val="none" w:sz="0" w:space="0" w:color="auto"/>
            <w:right w:val="none" w:sz="0" w:space="0" w:color="auto"/>
          </w:divBdr>
        </w:div>
      </w:divsChild>
    </w:div>
    <w:div w:id="1803961464">
      <w:bodyDiv w:val="1"/>
      <w:marLeft w:val="0"/>
      <w:marRight w:val="0"/>
      <w:marTop w:val="0"/>
      <w:marBottom w:val="0"/>
      <w:divBdr>
        <w:top w:val="none" w:sz="0" w:space="0" w:color="auto"/>
        <w:left w:val="none" w:sz="0" w:space="0" w:color="auto"/>
        <w:bottom w:val="none" w:sz="0" w:space="0" w:color="auto"/>
        <w:right w:val="none" w:sz="0" w:space="0" w:color="auto"/>
      </w:divBdr>
    </w:div>
    <w:div w:id="1805125341">
      <w:bodyDiv w:val="1"/>
      <w:marLeft w:val="0"/>
      <w:marRight w:val="0"/>
      <w:marTop w:val="0"/>
      <w:marBottom w:val="0"/>
      <w:divBdr>
        <w:top w:val="none" w:sz="0" w:space="0" w:color="auto"/>
        <w:left w:val="none" w:sz="0" w:space="0" w:color="auto"/>
        <w:bottom w:val="none" w:sz="0" w:space="0" w:color="auto"/>
        <w:right w:val="none" w:sz="0" w:space="0" w:color="auto"/>
      </w:divBdr>
    </w:div>
    <w:div w:id="1807166596">
      <w:bodyDiv w:val="1"/>
      <w:marLeft w:val="0"/>
      <w:marRight w:val="0"/>
      <w:marTop w:val="0"/>
      <w:marBottom w:val="0"/>
      <w:divBdr>
        <w:top w:val="none" w:sz="0" w:space="0" w:color="auto"/>
        <w:left w:val="none" w:sz="0" w:space="0" w:color="auto"/>
        <w:bottom w:val="none" w:sz="0" w:space="0" w:color="auto"/>
        <w:right w:val="none" w:sz="0" w:space="0" w:color="auto"/>
      </w:divBdr>
    </w:div>
    <w:div w:id="1809206470">
      <w:bodyDiv w:val="1"/>
      <w:marLeft w:val="0"/>
      <w:marRight w:val="0"/>
      <w:marTop w:val="0"/>
      <w:marBottom w:val="0"/>
      <w:divBdr>
        <w:top w:val="none" w:sz="0" w:space="0" w:color="auto"/>
        <w:left w:val="none" w:sz="0" w:space="0" w:color="auto"/>
        <w:bottom w:val="none" w:sz="0" w:space="0" w:color="auto"/>
        <w:right w:val="none" w:sz="0" w:space="0" w:color="auto"/>
      </w:divBdr>
    </w:div>
    <w:div w:id="1825585891">
      <w:bodyDiv w:val="1"/>
      <w:marLeft w:val="0"/>
      <w:marRight w:val="0"/>
      <w:marTop w:val="0"/>
      <w:marBottom w:val="0"/>
      <w:divBdr>
        <w:top w:val="none" w:sz="0" w:space="0" w:color="auto"/>
        <w:left w:val="none" w:sz="0" w:space="0" w:color="auto"/>
        <w:bottom w:val="none" w:sz="0" w:space="0" w:color="auto"/>
        <w:right w:val="none" w:sz="0" w:space="0" w:color="auto"/>
      </w:divBdr>
    </w:div>
    <w:div w:id="1827044138">
      <w:bodyDiv w:val="1"/>
      <w:marLeft w:val="0"/>
      <w:marRight w:val="0"/>
      <w:marTop w:val="0"/>
      <w:marBottom w:val="0"/>
      <w:divBdr>
        <w:top w:val="none" w:sz="0" w:space="0" w:color="auto"/>
        <w:left w:val="none" w:sz="0" w:space="0" w:color="auto"/>
        <w:bottom w:val="none" w:sz="0" w:space="0" w:color="auto"/>
        <w:right w:val="none" w:sz="0" w:space="0" w:color="auto"/>
      </w:divBdr>
      <w:divsChild>
        <w:div w:id="1990936054">
          <w:marLeft w:val="0"/>
          <w:marRight w:val="0"/>
          <w:marTop w:val="0"/>
          <w:marBottom w:val="0"/>
          <w:divBdr>
            <w:top w:val="none" w:sz="0" w:space="0" w:color="auto"/>
            <w:left w:val="none" w:sz="0" w:space="0" w:color="auto"/>
            <w:bottom w:val="none" w:sz="0" w:space="0" w:color="auto"/>
            <w:right w:val="none" w:sz="0" w:space="0" w:color="auto"/>
          </w:divBdr>
        </w:div>
      </w:divsChild>
    </w:div>
    <w:div w:id="1829784661">
      <w:bodyDiv w:val="1"/>
      <w:marLeft w:val="0"/>
      <w:marRight w:val="0"/>
      <w:marTop w:val="0"/>
      <w:marBottom w:val="0"/>
      <w:divBdr>
        <w:top w:val="none" w:sz="0" w:space="0" w:color="auto"/>
        <w:left w:val="none" w:sz="0" w:space="0" w:color="auto"/>
        <w:bottom w:val="none" w:sz="0" w:space="0" w:color="auto"/>
        <w:right w:val="none" w:sz="0" w:space="0" w:color="auto"/>
      </w:divBdr>
    </w:div>
    <w:div w:id="1830098675">
      <w:bodyDiv w:val="1"/>
      <w:marLeft w:val="0"/>
      <w:marRight w:val="0"/>
      <w:marTop w:val="0"/>
      <w:marBottom w:val="0"/>
      <w:divBdr>
        <w:top w:val="none" w:sz="0" w:space="0" w:color="auto"/>
        <w:left w:val="none" w:sz="0" w:space="0" w:color="auto"/>
        <w:bottom w:val="none" w:sz="0" w:space="0" w:color="auto"/>
        <w:right w:val="none" w:sz="0" w:space="0" w:color="auto"/>
      </w:divBdr>
    </w:div>
    <w:div w:id="1831091492">
      <w:bodyDiv w:val="1"/>
      <w:marLeft w:val="0"/>
      <w:marRight w:val="0"/>
      <w:marTop w:val="0"/>
      <w:marBottom w:val="0"/>
      <w:divBdr>
        <w:top w:val="none" w:sz="0" w:space="0" w:color="auto"/>
        <w:left w:val="none" w:sz="0" w:space="0" w:color="auto"/>
        <w:bottom w:val="none" w:sz="0" w:space="0" w:color="auto"/>
        <w:right w:val="none" w:sz="0" w:space="0" w:color="auto"/>
      </w:divBdr>
    </w:div>
    <w:div w:id="1832943167">
      <w:bodyDiv w:val="1"/>
      <w:marLeft w:val="0"/>
      <w:marRight w:val="0"/>
      <w:marTop w:val="0"/>
      <w:marBottom w:val="0"/>
      <w:divBdr>
        <w:top w:val="none" w:sz="0" w:space="0" w:color="auto"/>
        <w:left w:val="none" w:sz="0" w:space="0" w:color="auto"/>
        <w:bottom w:val="none" w:sz="0" w:space="0" w:color="auto"/>
        <w:right w:val="none" w:sz="0" w:space="0" w:color="auto"/>
      </w:divBdr>
    </w:div>
    <w:div w:id="1835686948">
      <w:bodyDiv w:val="1"/>
      <w:marLeft w:val="0"/>
      <w:marRight w:val="0"/>
      <w:marTop w:val="0"/>
      <w:marBottom w:val="0"/>
      <w:divBdr>
        <w:top w:val="none" w:sz="0" w:space="0" w:color="auto"/>
        <w:left w:val="none" w:sz="0" w:space="0" w:color="auto"/>
        <w:bottom w:val="none" w:sz="0" w:space="0" w:color="auto"/>
        <w:right w:val="none" w:sz="0" w:space="0" w:color="auto"/>
      </w:divBdr>
    </w:div>
    <w:div w:id="1840997332">
      <w:bodyDiv w:val="1"/>
      <w:marLeft w:val="0"/>
      <w:marRight w:val="0"/>
      <w:marTop w:val="0"/>
      <w:marBottom w:val="0"/>
      <w:divBdr>
        <w:top w:val="none" w:sz="0" w:space="0" w:color="auto"/>
        <w:left w:val="none" w:sz="0" w:space="0" w:color="auto"/>
        <w:bottom w:val="none" w:sz="0" w:space="0" w:color="auto"/>
        <w:right w:val="none" w:sz="0" w:space="0" w:color="auto"/>
      </w:divBdr>
      <w:divsChild>
        <w:div w:id="1308169627">
          <w:marLeft w:val="0"/>
          <w:marRight w:val="0"/>
          <w:marTop w:val="0"/>
          <w:marBottom w:val="0"/>
          <w:divBdr>
            <w:top w:val="none" w:sz="0" w:space="0" w:color="auto"/>
            <w:left w:val="none" w:sz="0" w:space="0" w:color="auto"/>
            <w:bottom w:val="none" w:sz="0" w:space="0" w:color="auto"/>
            <w:right w:val="none" w:sz="0" w:space="0" w:color="auto"/>
          </w:divBdr>
          <w:divsChild>
            <w:div w:id="1950235100">
              <w:marLeft w:val="0"/>
              <w:marRight w:val="0"/>
              <w:marTop w:val="411"/>
              <w:marBottom w:val="0"/>
              <w:divBdr>
                <w:top w:val="none" w:sz="0" w:space="0" w:color="auto"/>
                <w:left w:val="none" w:sz="0" w:space="0" w:color="auto"/>
                <w:bottom w:val="none" w:sz="0" w:space="0" w:color="auto"/>
                <w:right w:val="none" w:sz="0" w:space="0" w:color="auto"/>
              </w:divBdr>
              <w:divsChild>
                <w:div w:id="1530266173">
                  <w:marLeft w:val="0"/>
                  <w:marRight w:val="0"/>
                  <w:marTop w:val="0"/>
                  <w:marBottom w:val="0"/>
                  <w:divBdr>
                    <w:top w:val="none" w:sz="0" w:space="0" w:color="auto"/>
                    <w:left w:val="none" w:sz="0" w:space="0" w:color="auto"/>
                    <w:bottom w:val="none" w:sz="0" w:space="0" w:color="auto"/>
                    <w:right w:val="none" w:sz="0" w:space="0" w:color="auto"/>
                  </w:divBdr>
                  <w:divsChild>
                    <w:div w:id="260378497">
                      <w:marLeft w:val="79"/>
                      <w:marRight w:val="79"/>
                      <w:marTop w:val="0"/>
                      <w:marBottom w:val="0"/>
                      <w:divBdr>
                        <w:top w:val="none" w:sz="0" w:space="0" w:color="auto"/>
                        <w:left w:val="none" w:sz="0" w:space="0" w:color="auto"/>
                        <w:bottom w:val="none" w:sz="0" w:space="0" w:color="auto"/>
                        <w:right w:val="none" w:sz="0" w:space="0" w:color="auto"/>
                      </w:divBdr>
                      <w:divsChild>
                        <w:div w:id="1048070610">
                          <w:marLeft w:val="0"/>
                          <w:marRight w:val="0"/>
                          <w:marTop w:val="0"/>
                          <w:marBottom w:val="0"/>
                          <w:divBdr>
                            <w:top w:val="dashed" w:sz="6" w:space="0" w:color="DDDDDD"/>
                            <w:left w:val="none" w:sz="0" w:space="0" w:color="auto"/>
                            <w:bottom w:val="none" w:sz="0" w:space="0" w:color="auto"/>
                            <w:right w:val="none" w:sz="0" w:space="0" w:color="auto"/>
                          </w:divBdr>
                          <w:divsChild>
                            <w:div w:id="2013796876">
                              <w:marLeft w:val="0"/>
                              <w:marRight w:val="0"/>
                              <w:marTop w:val="0"/>
                              <w:marBottom w:val="0"/>
                              <w:divBdr>
                                <w:top w:val="none" w:sz="0" w:space="0" w:color="auto"/>
                                <w:left w:val="none" w:sz="0" w:space="0" w:color="auto"/>
                                <w:bottom w:val="none" w:sz="0" w:space="0" w:color="auto"/>
                                <w:right w:val="none" w:sz="0" w:space="0" w:color="auto"/>
                              </w:divBdr>
                              <w:divsChild>
                                <w:div w:id="639530692">
                                  <w:marLeft w:val="0"/>
                                  <w:marRight w:val="0"/>
                                  <w:marTop w:val="79"/>
                                  <w:marBottom w:val="79"/>
                                  <w:divBdr>
                                    <w:top w:val="none" w:sz="0" w:space="0" w:color="auto"/>
                                    <w:left w:val="none" w:sz="0" w:space="0" w:color="auto"/>
                                    <w:bottom w:val="none" w:sz="0" w:space="0" w:color="auto"/>
                                    <w:right w:val="none" w:sz="0" w:space="0" w:color="auto"/>
                                  </w:divBdr>
                                  <w:divsChild>
                                    <w:div w:id="1794789169">
                                      <w:marLeft w:val="0"/>
                                      <w:marRight w:val="0"/>
                                      <w:marTop w:val="0"/>
                                      <w:marBottom w:val="0"/>
                                      <w:divBdr>
                                        <w:top w:val="none" w:sz="0" w:space="0" w:color="auto"/>
                                        <w:left w:val="none" w:sz="0" w:space="0" w:color="auto"/>
                                        <w:bottom w:val="none" w:sz="0" w:space="0" w:color="auto"/>
                                        <w:right w:val="none" w:sz="0" w:space="0" w:color="auto"/>
                                      </w:divBdr>
                                      <w:divsChild>
                                        <w:div w:id="377247409">
                                          <w:marLeft w:val="554"/>
                                          <w:marRight w:val="0"/>
                                          <w:marTop w:val="0"/>
                                          <w:marBottom w:val="0"/>
                                          <w:divBdr>
                                            <w:top w:val="none" w:sz="0" w:space="0" w:color="auto"/>
                                            <w:left w:val="none" w:sz="0" w:space="0" w:color="auto"/>
                                            <w:bottom w:val="none" w:sz="0" w:space="0" w:color="auto"/>
                                            <w:right w:val="none" w:sz="0" w:space="0" w:color="auto"/>
                                          </w:divBdr>
                                          <w:divsChild>
                                            <w:div w:id="33295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4858323">
      <w:bodyDiv w:val="1"/>
      <w:marLeft w:val="0"/>
      <w:marRight w:val="0"/>
      <w:marTop w:val="0"/>
      <w:marBottom w:val="0"/>
      <w:divBdr>
        <w:top w:val="none" w:sz="0" w:space="0" w:color="auto"/>
        <w:left w:val="none" w:sz="0" w:space="0" w:color="auto"/>
        <w:bottom w:val="none" w:sz="0" w:space="0" w:color="auto"/>
        <w:right w:val="none" w:sz="0" w:space="0" w:color="auto"/>
      </w:divBdr>
    </w:div>
    <w:div w:id="1844931253">
      <w:bodyDiv w:val="1"/>
      <w:marLeft w:val="0"/>
      <w:marRight w:val="0"/>
      <w:marTop w:val="0"/>
      <w:marBottom w:val="0"/>
      <w:divBdr>
        <w:top w:val="none" w:sz="0" w:space="0" w:color="auto"/>
        <w:left w:val="none" w:sz="0" w:space="0" w:color="auto"/>
        <w:bottom w:val="none" w:sz="0" w:space="0" w:color="auto"/>
        <w:right w:val="none" w:sz="0" w:space="0" w:color="auto"/>
      </w:divBdr>
    </w:div>
    <w:div w:id="1849173129">
      <w:bodyDiv w:val="1"/>
      <w:marLeft w:val="0"/>
      <w:marRight w:val="0"/>
      <w:marTop w:val="0"/>
      <w:marBottom w:val="0"/>
      <w:divBdr>
        <w:top w:val="none" w:sz="0" w:space="0" w:color="auto"/>
        <w:left w:val="none" w:sz="0" w:space="0" w:color="auto"/>
        <w:bottom w:val="none" w:sz="0" w:space="0" w:color="auto"/>
        <w:right w:val="none" w:sz="0" w:space="0" w:color="auto"/>
      </w:divBdr>
      <w:divsChild>
        <w:div w:id="1049037277">
          <w:marLeft w:val="0"/>
          <w:marRight w:val="0"/>
          <w:marTop w:val="0"/>
          <w:marBottom w:val="0"/>
          <w:divBdr>
            <w:top w:val="none" w:sz="0" w:space="0" w:color="auto"/>
            <w:left w:val="none" w:sz="0" w:space="0" w:color="auto"/>
            <w:bottom w:val="none" w:sz="0" w:space="0" w:color="auto"/>
            <w:right w:val="none" w:sz="0" w:space="0" w:color="auto"/>
          </w:divBdr>
          <w:divsChild>
            <w:div w:id="62920595">
              <w:marLeft w:val="0"/>
              <w:marRight w:val="0"/>
              <w:marTop w:val="0"/>
              <w:marBottom w:val="0"/>
              <w:divBdr>
                <w:top w:val="none" w:sz="0" w:space="0" w:color="auto"/>
                <w:left w:val="none" w:sz="0" w:space="0" w:color="auto"/>
                <w:bottom w:val="none" w:sz="0" w:space="0" w:color="auto"/>
                <w:right w:val="none" w:sz="0" w:space="0" w:color="auto"/>
              </w:divBdr>
              <w:divsChild>
                <w:div w:id="1128666984">
                  <w:marLeft w:val="0"/>
                  <w:marRight w:val="0"/>
                  <w:marTop w:val="0"/>
                  <w:marBottom w:val="0"/>
                  <w:divBdr>
                    <w:top w:val="none" w:sz="0" w:space="0" w:color="auto"/>
                    <w:left w:val="none" w:sz="0" w:space="0" w:color="auto"/>
                    <w:bottom w:val="none" w:sz="0" w:space="0" w:color="auto"/>
                    <w:right w:val="none" w:sz="0" w:space="0" w:color="auto"/>
                  </w:divBdr>
                </w:div>
              </w:divsChild>
            </w:div>
            <w:div w:id="1497383008">
              <w:marLeft w:val="0"/>
              <w:marRight w:val="0"/>
              <w:marTop w:val="0"/>
              <w:marBottom w:val="0"/>
              <w:divBdr>
                <w:top w:val="none" w:sz="0" w:space="0" w:color="auto"/>
                <w:left w:val="none" w:sz="0" w:space="0" w:color="auto"/>
                <w:bottom w:val="none" w:sz="0" w:space="0" w:color="auto"/>
                <w:right w:val="none" w:sz="0" w:space="0" w:color="auto"/>
              </w:divBdr>
              <w:divsChild>
                <w:div w:id="4911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3732">
          <w:marLeft w:val="0"/>
          <w:marRight w:val="0"/>
          <w:marTop w:val="0"/>
          <w:marBottom w:val="0"/>
          <w:divBdr>
            <w:top w:val="none" w:sz="0" w:space="0" w:color="auto"/>
            <w:left w:val="none" w:sz="0" w:space="0" w:color="auto"/>
            <w:bottom w:val="none" w:sz="0" w:space="0" w:color="auto"/>
            <w:right w:val="none" w:sz="0" w:space="0" w:color="auto"/>
          </w:divBdr>
          <w:divsChild>
            <w:div w:id="513810975">
              <w:marLeft w:val="0"/>
              <w:marRight w:val="0"/>
              <w:marTop w:val="0"/>
              <w:marBottom w:val="0"/>
              <w:divBdr>
                <w:top w:val="none" w:sz="0" w:space="0" w:color="auto"/>
                <w:left w:val="none" w:sz="0" w:space="0" w:color="auto"/>
                <w:bottom w:val="none" w:sz="0" w:space="0" w:color="auto"/>
                <w:right w:val="none" w:sz="0" w:space="0" w:color="auto"/>
              </w:divBdr>
              <w:divsChild>
                <w:div w:id="211978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637644">
      <w:bodyDiv w:val="1"/>
      <w:marLeft w:val="0"/>
      <w:marRight w:val="0"/>
      <w:marTop w:val="0"/>
      <w:marBottom w:val="0"/>
      <w:divBdr>
        <w:top w:val="none" w:sz="0" w:space="0" w:color="auto"/>
        <w:left w:val="none" w:sz="0" w:space="0" w:color="auto"/>
        <w:bottom w:val="none" w:sz="0" w:space="0" w:color="auto"/>
        <w:right w:val="none" w:sz="0" w:space="0" w:color="auto"/>
      </w:divBdr>
    </w:div>
    <w:div w:id="1851525316">
      <w:bodyDiv w:val="1"/>
      <w:marLeft w:val="0"/>
      <w:marRight w:val="0"/>
      <w:marTop w:val="0"/>
      <w:marBottom w:val="0"/>
      <w:divBdr>
        <w:top w:val="none" w:sz="0" w:space="0" w:color="auto"/>
        <w:left w:val="none" w:sz="0" w:space="0" w:color="auto"/>
        <w:bottom w:val="none" w:sz="0" w:space="0" w:color="auto"/>
        <w:right w:val="none" w:sz="0" w:space="0" w:color="auto"/>
      </w:divBdr>
    </w:div>
    <w:div w:id="1851985941">
      <w:bodyDiv w:val="1"/>
      <w:marLeft w:val="0"/>
      <w:marRight w:val="0"/>
      <w:marTop w:val="0"/>
      <w:marBottom w:val="0"/>
      <w:divBdr>
        <w:top w:val="none" w:sz="0" w:space="0" w:color="auto"/>
        <w:left w:val="none" w:sz="0" w:space="0" w:color="auto"/>
        <w:bottom w:val="none" w:sz="0" w:space="0" w:color="auto"/>
        <w:right w:val="none" w:sz="0" w:space="0" w:color="auto"/>
      </w:divBdr>
    </w:div>
    <w:div w:id="1857109248">
      <w:bodyDiv w:val="1"/>
      <w:marLeft w:val="0"/>
      <w:marRight w:val="0"/>
      <w:marTop w:val="0"/>
      <w:marBottom w:val="0"/>
      <w:divBdr>
        <w:top w:val="none" w:sz="0" w:space="0" w:color="auto"/>
        <w:left w:val="none" w:sz="0" w:space="0" w:color="auto"/>
        <w:bottom w:val="none" w:sz="0" w:space="0" w:color="auto"/>
        <w:right w:val="none" w:sz="0" w:space="0" w:color="auto"/>
      </w:divBdr>
    </w:div>
    <w:div w:id="1859463769">
      <w:bodyDiv w:val="1"/>
      <w:marLeft w:val="0"/>
      <w:marRight w:val="0"/>
      <w:marTop w:val="0"/>
      <w:marBottom w:val="0"/>
      <w:divBdr>
        <w:top w:val="none" w:sz="0" w:space="0" w:color="auto"/>
        <w:left w:val="none" w:sz="0" w:space="0" w:color="auto"/>
        <w:bottom w:val="none" w:sz="0" w:space="0" w:color="auto"/>
        <w:right w:val="none" w:sz="0" w:space="0" w:color="auto"/>
      </w:divBdr>
    </w:div>
    <w:div w:id="1860390424">
      <w:bodyDiv w:val="1"/>
      <w:marLeft w:val="0"/>
      <w:marRight w:val="0"/>
      <w:marTop w:val="0"/>
      <w:marBottom w:val="0"/>
      <w:divBdr>
        <w:top w:val="none" w:sz="0" w:space="0" w:color="auto"/>
        <w:left w:val="none" w:sz="0" w:space="0" w:color="auto"/>
        <w:bottom w:val="none" w:sz="0" w:space="0" w:color="auto"/>
        <w:right w:val="none" w:sz="0" w:space="0" w:color="auto"/>
      </w:divBdr>
      <w:divsChild>
        <w:div w:id="1330212734">
          <w:marLeft w:val="0"/>
          <w:marRight w:val="0"/>
          <w:marTop w:val="0"/>
          <w:marBottom w:val="0"/>
          <w:divBdr>
            <w:top w:val="none" w:sz="0" w:space="0" w:color="auto"/>
            <w:left w:val="none" w:sz="0" w:space="0" w:color="auto"/>
            <w:bottom w:val="none" w:sz="0" w:space="0" w:color="auto"/>
            <w:right w:val="none" w:sz="0" w:space="0" w:color="auto"/>
          </w:divBdr>
          <w:divsChild>
            <w:div w:id="326901197">
              <w:marLeft w:val="0"/>
              <w:marRight w:val="0"/>
              <w:marTop w:val="411"/>
              <w:marBottom w:val="0"/>
              <w:divBdr>
                <w:top w:val="none" w:sz="0" w:space="0" w:color="auto"/>
                <w:left w:val="none" w:sz="0" w:space="0" w:color="auto"/>
                <w:bottom w:val="none" w:sz="0" w:space="0" w:color="auto"/>
                <w:right w:val="none" w:sz="0" w:space="0" w:color="auto"/>
              </w:divBdr>
              <w:divsChild>
                <w:div w:id="852960636">
                  <w:marLeft w:val="0"/>
                  <w:marRight w:val="0"/>
                  <w:marTop w:val="0"/>
                  <w:marBottom w:val="0"/>
                  <w:divBdr>
                    <w:top w:val="none" w:sz="0" w:space="0" w:color="auto"/>
                    <w:left w:val="none" w:sz="0" w:space="0" w:color="auto"/>
                    <w:bottom w:val="none" w:sz="0" w:space="0" w:color="auto"/>
                    <w:right w:val="none" w:sz="0" w:space="0" w:color="auto"/>
                  </w:divBdr>
                  <w:divsChild>
                    <w:div w:id="2127312794">
                      <w:marLeft w:val="79"/>
                      <w:marRight w:val="79"/>
                      <w:marTop w:val="0"/>
                      <w:marBottom w:val="0"/>
                      <w:divBdr>
                        <w:top w:val="none" w:sz="0" w:space="0" w:color="auto"/>
                        <w:left w:val="none" w:sz="0" w:space="0" w:color="auto"/>
                        <w:bottom w:val="none" w:sz="0" w:space="0" w:color="auto"/>
                        <w:right w:val="none" w:sz="0" w:space="0" w:color="auto"/>
                      </w:divBdr>
                      <w:divsChild>
                        <w:div w:id="970864987">
                          <w:marLeft w:val="0"/>
                          <w:marRight w:val="0"/>
                          <w:marTop w:val="0"/>
                          <w:marBottom w:val="0"/>
                          <w:divBdr>
                            <w:top w:val="dashed" w:sz="6" w:space="0" w:color="DDDDDD"/>
                            <w:left w:val="none" w:sz="0" w:space="0" w:color="auto"/>
                            <w:bottom w:val="none" w:sz="0" w:space="0" w:color="auto"/>
                            <w:right w:val="none" w:sz="0" w:space="0" w:color="auto"/>
                          </w:divBdr>
                          <w:divsChild>
                            <w:div w:id="17899240">
                              <w:marLeft w:val="0"/>
                              <w:marRight w:val="0"/>
                              <w:marTop w:val="0"/>
                              <w:marBottom w:val="0"/>
                              <w:divBdr>
                                <w:top w:val="none" w:sz="0" w:space="0" w:color="auto"/>
                                <w:left w:val="none" w:sz="0" w:space="0" w:color="auto"/>
                                <w:bottom w:val="none" w:sz="0" w:space="0" w:color="auto"/>
                                <w:right w:val="none" w:sz="0" w:space="0" w:color="auto"/>
                              </w:divBdr>
                              <w:divsChild>
                                <w:div w:id="1472481318">
                                  <w:marLeft w:val="0"/>
                                  <w:marRight w:val="0"/>
                                  <w:marTop w:val="79"/>
                                  <w:marBottom w:val="79"/>
                                  <w:divBdr>
                                    <w:top w:val="none" w:sz="0" w:space="0" w:color="auto"/>
                                    <w:left w:val="none" w:sz="0" w:space="0" w:color="auto"/>
                                    <w:bottom w:val="none" w:sz="0" w:space="0" w:color="auto"/>
                                    <w:right w:val="none" w:sz="0" w:space="0" w:color="auto"/>
                                  </w:divBdr>
                                  <w:divsChild>
                                    <w:div w:id="2076782958">
                                      <w:marLeft w:val="0"/>
                                      <w:marRight w:val="0"/>
                                      <w:marTop w:val="0"/>
                                      <w:marBottom w:val="0"/>
                                      <w:divBdr>
                                        <w:top w:val="none" w:sz="0" w:space="0" w:color="auto"/>
                                        <w:left w:val="none" w:sz="0" w:space="0" w:color="auto"/>
                                        <w:bottom w:val="none" w:sz="0" w:space="0" w:color="auto"/>
                                        <w:right w:val="none" w:sz="0" w:space="0" w:color="auto"/>
                                      </w:divBdr>
                                      <w:divsChild>
                                        <w:div w:id="1303316113">
                                          <w:marLeft w:val="554"/>
                                          <w:marRight w:val="0"/>
                                          <w:marTop w:val="0"/>
                                          <w:marBottom w:val="0"/>
                                          <w:divBdr>
                                            <w:top w:val="none" w:sz="0" w:space="0" w:color="auto"/>
                                            <w:left w:val="none" w:sz="0" w:space="0" w:color="auto"/>
                                            <w:bottom w:val="none" w:sz="0" w:space="0" w:color="auto"/>
                                            <w:right w:val="none" w:sz="0" w:space="0" w:color="auto"/>
                                          </w:divBdr>
                                          <w:divsChild>
                                            <w:div w:id="82054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5436906">
      <w:bodyDiv w:val="1"/>
      <w:marLeft w:val="0"/>
      <w:marRight w:val="0"/>
      <w:marTop w:val="0"/>
      <w:marBottom w:val="0"/>
      <w:divBdr>
        <w:top w:val="none" w:sz="0" w:space="0" w:color="auto"/>
        <w:left w:val="none" w:sz="0" w:space="0" w:color="auto"/>
        <w:bottom w:val="none" w:sz="0" w:space="0" w:color="auto"/>
        <w:right w:val="none" w:sz="0" w:space="0" w:color="auto"/>
      </w:divBdr>
    </w:div>
    <w:div w:id="1874878969">
      <w:bodyDiv w:val="1"/>
      <w:marLeft w:val="0"/>
      <w:marRight w:val="0"/>
      <w:marTop w:val="0"/>
      <w:marBottom w:val="0"/>
      <w:divBdr>
        <w:top w:val="none" w:sz="0" w:space="0" w:color="auto"/>
        <w:left w:val="none" w:sz="0" w:space="0" w:color="auto"/>
        <w:bottom w:val="none" w:sz="0" w:space="0" w:color="auto"/>
        <w:right w:val="none" w:sz="0" w:space="0" w:color="auto"/>
      </w:divBdr>
    </w:div>
    <w:div w:id="1877278969">
      <w:bodyDiv w:val="1"/>
      <w:marLeft w:val="0"/>
      <w:marRight w:val="0"/>
      <w:marTop w:val="0"/>
      <w:marBottom w:val="0"/>
      <w:divBdr>
        <w:top w:val="none" w:sz="0" w:space="0" w:color="auto"/>
        <w:left w:val="none" w:sz="0" w:space="0" w:color="auto"/>
        <w:bottom w:val="none" w:sz="0" w:space="0" w:color="auto"/>
        <w:right w:val="none" w:sz="0" w:space="0" w:color="auto"/>
      </w:divBdr>
    </w:div>
    <w:div w:id="1877353748">
      <w:bodyDiv w:val="1"/>
      <w:marLeft w:val="0"/>
      <w:marRight w:val="0"/>
      <w:marTop w:val="0"/>
      <w:marBottom w:val="0"/>
      <w:divBdr>
        <w:top w:val="none" w:sz="0" w:space="0" w:color="auto"/>
        <w:left w:val="none" w:sz="0" w:space="0" w:color="auto"/>
        <w:bottom w:val="none" w:sz="0" w:space="0" w:color="auto"/>
        <w:right w:val="none" w:sz="0" w:space="0" w:color="auto"/>
      </w:divBdr>
    </w:div>
    <w:div w:id="1877959529">
      <w:bodyDiv w:val="1"/>
      <w:marLeft w:val="0"/>
      <w:marRight w:val="0"/>
      <w:marTop w:val="0"/>
      <w:marBottom w:val="0"/>
      <w:divBdr>
        <w:top w:val="none" w:sz="0" w:space="0" w:color="auto"/>
        <w:left w:val="none" w:sz="0" w:space="0" w:color="auto"/>
        <w:bottom w:val="none" w:sz="0" w:space="0" w:color="auto"/>
        <w:right w:val="none" w:sz="0" w:space="0" w:color="auto"/>
      </w:divBdr>
    </w:div>
    <w:div w:id="1878001439">
      <w:bodyDiv w:val="1"/>
      <w:marLeft w:val="0"/>
      <w:marRight w:val="0"/>
      <w:marTop w:val="0"/>
      <w:marBottom w:val="0"/>
      <w:divBdr>
        <w:top w:val="none" w:sz="0" w:space="0" w:color="auto"/>
        <w:left w:val="none" w:sz="0" w:space="0" w:color="auto"/>
        <w:bottom w:val="none" w:sz="0" w:space="0" w:color="auto"/>
        <w:right w:val="none" w:sz="0" w:space="0" w:color="auto"/>
      </w:divBdr>
    </w:div>
    <w:div w:id="1879976148">
      <w:bodyDiv w:val="1"/>
      <w:marLeft w:val="0"/>
      <w:marRight w:val="0"/>
      <w:marTop w:val="0"/>
      <w:marBottom w:val="0"/>
      <w:divBdr>
        <w:top w:val="none" w:sz="0" w:space="0" w:color="auto"/>
        <w:left w:val="none" w:sz="0" w:space="0" w:color="auto"/>
        <w:bottom w:val="none" w:sz="0" w:space="0" w:color="auto"/>
        <w:right w:val="none" w:sz="0" w:space="0" w:color="auto"/>
      </w:divBdr>
    </w:div>
    <w:div w:id="1882739659">
      <w:bodyDiv w:val="1"/>
      <w:marLeft w:val="0"/>
      <w:marRight w:val="0"/>
      <w:marTop w:val="0"/>
      <w:marBottom w:val="0"/>
      <w:divBdr>
        <w:top w:val="none" w:sz="0" w:space="0" w:color="auto"/>
        <w:left w:val="none" w:sz="0" w:space="0" w:color="auto"/>
        <w:bottom w:val="none" w:sz="0" w:space="0" w:color="auto"/>
        <w:right w:val="none" w:sz="0" w:space="0" w:color="auto"/>
      </w:divBdr>
    </w:div>
    <w:div w:id="1889416268">
      <w:bodyDiv w:val="1"/>
      <w:marLeft w:val="0"/>
      <w:marRight w:val="0"/>
      <w:marTop w:val="0"/>
      <w:marBottom w:val="0"/>
      <w:divBdr>
        <w:top w:val="none" w:sz="0" w:space="0" w:color="auto"/>
        <w:left w:val="none" w:sz="0" w:space="0" w:color="auto"/>
        <w:bottom w:val="none" w:sz="0" w:space="0" w:color="auto"/>
        <w:right w:val="none" w:sz="0" w:space="0" w:color="auto"/>
      </w:divBdr>
    </w:div>
    <w:div w:id="1891768687">
      <w:bodyDiv w:val="1"/>
      <w:marLeft w:val="0"/>
      <w:marRight w:val="0"/>
      <w:marTop w:val="0"/>
      <w:marBottom w:val="0"/>
      <w:divBdr>
        <w:top w:val="none" w:sz="0" w:space="0" w:color="auto"/>
        <w:left w:val="none" w:sz="0" w:space="0" w:color="auto"/>
        <w:bottom w:val="none" w:sz="0" w:space="0" w:color="auto"/>
        <w:right w:val="none" w:sz="0" w:space="0" w:color="auto"/>
      </w:divBdr>
    </w:div>
    <w:div w:id="1896817870">
      <w:bodyDiv w:val="1"/>
      <w:marLeft w:val="0"/>
      <w:marRight w:val="0"/>
      <w:marTop w:val="0"/>
      <w:marBottom w:val="0"/>
      <w:divBdr>
        <w:top w:val="none" w:sz="0" w:space="0" w:color="auto"/>
        <w:left w:val="none" w:sz="0" w:space="0" w:color="auto"/>
        <w:bottom w:val="none" w:sz="0" w:space="0" w:color="auto"/>
        <w:right w:val="none" w:sz="0" w:space="0" w:color="auto"/>
      </w:divBdr>
    </w:div>
    <w:div w:id="1897861138">
      <w:bodyDiv w:val="1"/>
      <w:marLeft w:val="0"/>
      <w:marRight w:val="0"/>
      <w:marTop w:val="0"/>
      <w:marBottom w:val="0"/>
      <w:divBdr>
        <w:top w:val="none" w:sz="0" w:space="0" w:color="auto"/>
        <w:left w:val="none" w:sz="0" w:space="0" w:color="auto"/>
        <w:bottom w:val="none" w:sz="0" w:space="0" w:color="auto"/>
        <w:right w:val="none" w:sz="0" w:space="0" w:color="auto"/>
      </w:divBdr>
    </w:div>
    <w:div w:id="1898934400">
      <w:bodyDiv w:val="1"/>
      <w:marLeft w:val="0"/>
      <w:marRight w:val="0"/>
      <w:marTop w:val="0"/>
      <w:marBottom w:val="0"/>
      <w:divBdr>
        <w:top w:val="none" w:sz="0" w:space="0" w:color="auto"/>
        <w:left w:val="none" w:sz="0" w:space="0" w:color="auto"/>
        <w:bottom w:val="none" w:sz="0" w:space="0" w:color="auto"/>
        <w:right w:val="none" w:sz="0" w:space="0" w:color="auto"/>
      </w:divBdr>
    </w:div>
    <w:div w:id="1903641514">
      <w:bodyDiv w:val="1"/>
      <w:marLeft w:val="0"/>
      <w:marRight w:val="0"/>
      <w:marTop w:val="0"/>
      <w:marBottom w:val="0"/>
      <w:divBdr>
        <w:top w:val="none" w:sz="0" w:space="0" w:color="auto"/>
        <w:left w:val="none" w:sz="0" w:space="0" w:color="auto"/>
        <w:bottom w:val="none" w:sz="0" w:space="0" w:color="auto"/>
        <w:right w:val="none" w:sz="0" w:space="0" w:color="auto"/>
      </w:divBdr>
    </w:div>
    <w:div w:id="1906528120">
      <w:bodyDiv w:val="1"/>
      <w:marLeft w:val="0"/>
      <w:marRight w:val="0"/>
      <w:marTop w:val="0"/>
      <w:marBottom w:val="0"/>
      <w:divBdr>
        <w:top w:val="none" w:sz="0" w:space="0" w:color="auto"/>
        <w:left w:val="none" w:sz="0" w:space="0" w:color="auto"/>
        <w:bottom w:val="none" w:sz="0" w:space="0" w:color="auto"/>
        <w:right w:val="none" w:sz="0" w:space="0" w:color="auto"/>
      </w:divBdr>
    </w:div>
    <w:div w:id="1908571053">
      <w:bodyDiv w:val="1"/>
      <w:marLeft w:val="0"/>
      <w:marRight w:val="0"/>
      <w:marTop w:val="0"/>
      <w:marBottom w:val="0"/>
      <w:divBdr>
        <w:top w:val="none" w:sz="0" w:space="0" w:color="auto"/>
        <w:left w:val="none" w:sz="0" w:space="0" w:color="auto"/>
        <w:bottom w:val="none" w:sz="0" w:space="0" w:color="auto"/>
        <w:right w:val="none" w:sz="0" w:space="0" w:color="auto"/>
      </w:divBdr>
    </w:div>
    <w:div w:id="1909152577">
      <w:bodyDiv w:val="1"/>
      <w:marLeft w:val="0"/>
      <w:marRight w:val="0"/>
      <w:marTop w:val="0"/>
      <w:marBottom w:val="0"/>
      <w:divBdr>
        <w:top w:val="none" w:sz="0" w:space="0" w:color="auto"/>
        <w:left w:val="none" w:sz="0" w:space="0" w:color="auto"/>
        <w:bottom w:val="none" w:sz="0" w:space="0" w:color="auto"/>
        <w:right w:val="none" w:sz="0" w:space="0" w:color="auto"/>
      </w:divBdr>
      <w:divsChild>
        <w:div w:id="240414524">
          <w:marLeft w:val="0"/>
          <w:marRight w:val="0"/>
          <w:marTop w:val="0"/>
          <w:marBottom w:val="0"/>
          <w:divBdr>
            <w:top w:val="none" w:sz="0" w:space="0" w:color="auto"/>
            <w:left w:val="none" w:sz="0" w:space="0" w:color="auto"/>
            <w:bottom w:val="none" w:sz="0" w:space="0" w:color="auto"/>
            <w:right w:val="none" w:sz="0" w:space="0" w:color="auto"/>
          </w:divBdr>
          <w:divsChild>
            <w:div w:id="1036540381">
              <w:marLeft w:val="0"/>
              <w:marRight w:val="0"/>
              <w:marTop w:val="411"/>
              <w:marBottom w:val="0"/>
              <w:divBdr>
                <w:top w:val="none" w:sz="0" w:space="0" w:color="auto"/>
                <w:left w:val="none" w:sz="0" w:space="0" w:color="auto"/>
                <w:bottom w:val="none" w:sz="0" w:space="0" w:color="auto"/>
                <w:right w:val="none" w:sz="0" w:space="0" w:color="auto"/>
              </w:divBdr>
              <w:divsChild>
                <w:div w:id="398139980">
                  <w:marLeft w:val="0"/>
                  <w:marRight w:val="0"/>
                  <w:marTop w:val="0"/>
                  <w:marBottom w:val="0"/>
                  <w:divBdr>
                    <w:top w:val="none" w:sz="0" w:space="0" w:color="auto"/>
                    <w:left w:val="none" w:sz="0" w:space="0" w:color="auto"/>
                    <w:bottom w:val="none" w:sz="0" w:space="0" w:color="auto"/>
                    <w:right w:val="none" w:sz="0" w:space="0" w:color="auto"/>
                  </w:divBdr>
                  <w:divsChild>
                    <w:div w:id="1695031299">
                      <w:marLeft w:val="79"/>
                      <w:marRight w:val="79"/>
                      <w:marTop w:val="0"/>
                      <w:marBottom w:val="0"/>
                      <w:divBdr>
                        <w:top w:val="none" w:sz="0" w:space="0" w:color="auto"/>
                        <w:left w:val="none" w:sz="0" w:space="0" w:color="auto"/>
                        <w:bottom w:val="none" w:sz="0" w:space="0" w:color="auto"/>
                        <w:right w:val="none" w:sz="0" w:space="0" w:color="auto"/>
                      </w:divBdr>
                      <w:divsChild>
                        <w:div w:id="1511794356">
                          <w:marLeft w:val="0"/>
                          <w:marRight w:val="0"/>
                          <w:marTop w:val="0"/>
                          <w:marBottom w:val="0"/>
                          <w:divBdr>
                            <w:top w:val="dashed" w:sz="6" w:space="0" w:color="DDDDDD"/>
                            <w:left w:val="none" w:sz="0" w:space="0" w:color="auto"/>
                            <w:bottom w:val="none" w:sz="0" w:space="0" w:color="auto"/>
                            <w:right w:val="none" w:sz="0" w:space="0" w:color="auto"/>
                          </w:divBdr>
                          <w:divsChild>
                            <w:div w:id="475269947">
                              <w:marLeft w:val="0"/>
                              <w:marRight w:val="0"/>
                              <w:marTop w:val="0"/>
                              <w:marBottom w:val="0"/>
                              <w:divBdr>
                                <w:top w:val="none" w:sz="0" w:space="0" w:color="auto"/>
                                <w:left w:val="none" w:sz="0" w:space="0" w:color="auto"/>
                                <w:bottom w:val="none" w:sz="0" w:space="0" w:color="auto"/>
                                <w:right w:val="none" w:sz="0" w:space="0" w:color="auto"/>
                              </w:divBdr>
                              <w:divsChild>
                                <w:div w:id="1475759891">
                                  <w:marLeft w:val="0"/>
                                  <w:marRight w:val="0"/>
                                  <w:marTop w:val="79"/>
                                  <w:marBottom w:val="79"/>
                                  <w:divBdr>
                                    <w:top w:val="none" w:sz="0" w:space="0" w:color="auto"/>
                                    <w:left w:val="none" w:sz="0" w:space="0" w:color="auto"/>
                                    <w:bottom w:val="none" w:sz="0" w:space="0" w:color="auto"/>
                                    <w:right w:val="none" w:sz="0" w:space="0" w:color="auto"/>
                                  </w:divBdr>
                                  <w:divsChild>
                                    <w:div w:id="929778062">
                                      <w:marLeft w:val="0"/>
                                      <w:marRight w:val="0"/>
                                      <w:marTop w:val="0"/>
                                      <w:marBottom w:val="0"/>
                                      <w:divBdr>
                                        <w:top w:val="none" w:sz="0" w:space="0" w:color="auto"/>
                                        <w:left w:val="none" w:sz="0" w:space="0" w:color="auto"/>
                                        <w:bottom w:val="none" w:sz="0" w:space="0" w:color="auto"/>
                                        <w:right w:val="none" w:sz="0" w:space="0" w:color="auto"/>
                                      </w:divBdr>
                                      <w:divsChild>
                                        <w:div w:id="356588811">
                                          <w:marLeft w:val="554"/>
                                          <w:marRight w:val="0"/>
                                          <w:marTop w:val="0"/>
                                          <w:marBottom w:val="0"/>
                                          <w:divBdr>
                                            <w:top w:val="none" w:sz="0" w:space="0" w:color="auto"/>
                                            <w:left w:val="none" w:sz="0" w:space="0" w:color="auto"/>
                                            <w:bottom w:val="none" w:sz="0" w:space="0" w:color="auto"/>
                                            <w:right w:val="none" w:sz="0" w:space="0" w:color="auto"/>
                                          </w:divBdr>
                                          <w:divsChild>
                                            <w:div w:id="26503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9270561">
      <w:bodyDiv w:val="1"/>
      <w:marLeft w:val="0"/>
      <w:marRight w:val="0"/>
      <w:marTop w:val="0"/>
      <w:marBottom w:val="0"/>
      <w:divBdr>
        <w:top w:val="none" w:sz="0" w:space="0" w:color="auto"/>
        <w:left w:val="none" w:sz="0" w:space="0" w:color="auto"/>
        <w:bottom w:val="none" w:sz="0" w:space="0" w:color="auto"/>
        <w:right w:val="none" w:sz="0" w:space="0" w:color="auto"/>
      </w:divBdr>
    </w:div>
    <w:div w:id="1914586120">
      <w:bodyDiv w:val="1"/>
      <w:marLeft w:val="0"/>
      <w:marRight w:val="0"/>
      <w:marTop w:val="0"/>
      <w:marBottom w:val="0"/>
      <w:divBdr>
        <w:top w:val="none" w:sz="0" w:space="0" w:color="auto"/>
        <w:left w:val="none" w:sz="0" w:space="0" w:color="auto"/>
        <w:bottom w:val="none" w:sz="0" w:space="0" w:color="auto"/>
        <w:right w:val="none" w:sz="0" w:space="0" w:color="auto"/>
      </w:divBdr>
    </w:div>
    <w:div w:id="1916473642">
      <w:bodyDiv w:val="1"/>
      <w:marLeft w:val="0"/>
      <w:marRight w:val="0"/>
      <w:marTop w:val="0"/>
      <w:marBottom w:val="0"/>
      <w:divBdr>
        <w:top w:val="none" w:sz="0" w:space="0" w:color="auto"/>
        <w:left w:val="none" w:sz="0" w:space="0" w:color="auto"/>
        <w:bottom w:val="none" w:sz="0" w:space="0" w:color="auto"/>
        <w:right w:val="none" w:sz="0" w:space="0" w:color="auto"/>
      </w:divBdr>
    </w:div>
    <w:div w:id="1918324516">
      <w:bodyDiv w:val="1"/>
      <w:marLeft w:val="0"/>
      <w:marRight w:val="0"/>
      <w:marTop w:val="0"/>
      <w:marBottom w:val="0"/>
      <w:divBdr>
        <w:top w:val="none" w:sz="0" w:space="0" w:color="auto"/>
        <w:left w:val="none" w:sz="0" w:space="0" w:color="auto"/>
        <w:bottom w:val="none" w:sz="0" w:space="0" w:color="auto"/>
        <w:right w:val="none" w:sz="0" w:space="0" w:color="auto"/>
      </w:divBdr>
      <w:divsChild>
        <w:div w:id="751926821">
          <w:marLeft w:val="0"/>
          <w:marRight w:val="0"/>
          <w:marTop w:val="0"/>
          <w:marBottom w:val="0"/>
          <w:divBdr>
            <w:top w:val="none" w:sz="0" w:space="0" w:color="auto"/>
            <w:left w:val="none" w:sz="0" w:space="0" w:color="auto"/>
            <w:bottom w:val="none" w:sz="0" w:space="0" w:color="auto"/>
            <w:right w:val="none" w:sz="0" w:space="0" w:color="auto"/>
          </w:divBdr>
          <w:divsChild>
            <w:div w:id="1963687265">
              <w:marLeft w:val="0"/>
              <w:marRight w:val="0"/>
              <w:marTop w:val="411"/>
              <w:marBottom w:val="0"/>
              <w:divBdr>
                <w:top w:val="none" w:sz="0" w:space="0" w:color="auto"/>
                <w:left w:val="none" w:sz="0" w:space="0" w:color="auto"/>
                <w:bottom w:val="none" w:sz="0" w:space="0" w:color="auto"/>
                <w:right w:val="none" w:sz="0" w:space="0" w:color="auto"/>
              </w:divBdr>
              <w:divsChild>
                <w:div w:id="1092975451">
                  <w:marLeft w:val="0"/>
                  <w:marRight w:val="0"/>
                  <w:marTop w:val="0"/>
                  <w:marBottom w:val="0"/>
                  <w:divBdr>
                    <w:top w:val="none" w:sz="0" w:space="0" w:color="auto"/>
                    <w:left w:val="none" w:sz="0" w:space="0" w:color="auto"/>
                    <w:bottom w:val="none" w:sz="0" w:space="0" w:color="auto"/>
                    <w:right w:val="none" w:sz="0" w:space="0" w:color="auto"/>
                  </w:divBdr>
                  <w:divsChild>
                    <w:div w:id="1504274835">
                      <w:marLeft w:val="79"/>
                      <w:marRight w:val="79"/>
                      <w:marTop w:val="0"/>
                      <w:marBottom w:val="0"/>
                      <w:divBdr>
                        <w:top w:val="none" w:sz="0" w:space="0" w:color="auto"/>
                        <w:left w:val="none" w:sz="0" w:space="0" w:color="auto"/>
                        <w:bottom w:val="none" w:sz="0" w:space="0" w:color="auto"/>
                        <w:right w:val="none" w:sz="0" w:space="0" w:color="auto"/>
                      </w:divBdr>
                      <w:divsChild>
                        <w:div w:id="822624943">
                          <w:marLeft w:val="0"/>
                          <w:marRight w:val="0"/>
                          <w:marTop w:val="0"/>
                          <w:marBottom w:val="0"/>
                          <w:divBdr>
                            <w:top w:val="dashed" w:sz="6" w:space="0" w:color="DDDDDD"/>
                            <w:left w:val="none" w:sz="0" w:space="0" w:color="auto"/>
                            <w:bottom w:val="none" w:sz="0" w:space="0" w:color="auto"/>
                            <w:right w:val="none" w:sz="0" w:space="0" w:color="auto"/>
                          </w:divBdr>
                          <w:divsChild>
                            <w:div w:id="781724826">
                              <w:marLeft w:val="0"/>
                              <w:marRight w:val="0"/>
                              <w:marTop w:val="0"/>
                              <w:marBottom w:val="0"/>
                              <w:divBdr>
                                <w:top w:val="none" w:sz="0" w:space="0" w:color="auto"/>
                                <w:left w:val="none" w:sz="0" w:space="0" w:color="auto"/>
                                <w:bottom w:val="none" w:sz="0" w:space="0" w:color="auto"/>
                                <w:right w:val="none" w:sz="0" w:space="0" w:color="auto"/>
                              </w:divBdr>
                              <w:divsChild>
                                <w:div w:id="1501116181">
                                  <w:marLeft w:val="0"/>
                                  <w:marRight w:val="0"/>
                                  <w:marTop w:val="79"/>
                                  <w:marBottom w:val="79"/>
                                  <w:divBdr>
                                    <w:top w:val="none" w:sz="0" w:space="0" w:color="auto"/>
                                    <w:left w:val="none" w:sz="0" w:space="0" w:color="auto"/>
                                    <w:bottom w:val="none" w:sz="0" w:space="0" w:color="auto"/>
                                    <w:right w:val="none" w:sz="0" w:space="0" w:color="auto"/>
                                  </w:divBdr>
                                  <w:divsChild>
                                    <w:div w:id="1395276586">
                                      <w:marLeft w:val="0"/>
                                      <w:marRight w:val="0"/>
                                      <w:marTop w:val="0"/>
                                      <w:marBottom w:val="0"/>
                                      <w:divBdr>
                                        <w:top w:val="none" w:sz="0" w:space="0" w:color="auto"/>
                                        <w:left w:val="none" w:sz="0" w:space="0" w:color="auto"/>
                                        <w:bottom w:val="none" w:sz="0" w:space="0" w:color="auto"/>
                                        <w:right w:val="none" w:sz="0" w:space="0" w:color="auto"/>
                                      </w:divBdr>
                                      <w:divsChild>
                                        <w:div w:id="69475192">
                                          <w:marLeft w:val="554"/>
                                          <w:marRight w:val="0"/>
                                          <w:marTop w:val="0"/>
                                          <w:marBottom w:val="0"/>
                                          <w:divBdr>
                                            <w:top w:val="none" w:sz="0" w:space="0" w:color="auto"/>
                                            <w:left w:val="none" w:sz="0" w:space="0" w:color="auto"/>
                                            <w:bottom w:val="none" w:sz="0" w:space="0" w:color="auto"/>
                                            <w:right w:val="none" w:sz="0" w:space="0" w:color="auto"/>
                                          </w:divBdr>
                                          <w:divsChild>
                                            <w:div w:id="96384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4072133">
      <w:bodyDiv w:val="1"/>
      <w:marLeft w:val="0"/>
      <w:marRight w:val="0"/>
      <w:marTop w:val="0"/>
      <w:marBottom w:val="0"/>
      <w:divBdr>
        <w:top w:val="none" w:sz="0" w:space="0" w:color="auto"/>
        <w:left w:val="none" w:sz="0" w:space="0" w:color="auto"/>
        <w:bottom w:val="none" w:sz="0" w:space="0" w:color="auto"/>
        <w:right w:val="none" w:sz="0" w:space="0" w:color="auto"/>
      </w:divBdr>
    </w:div>
    <w:div w:id="1926454828">
      <w:bodyDiv w:val="1"/>
      <w:marLeft w:val="0"/>
      <w:marRight w:val="0"/>
      <w:marTop w:val="0"/>
      <w:marBottom w:val="0"/>
      <w:divBdr>
        <w:top w:val="none" w:sz="0" w:space="0" w:color="auto"/>
        <w:left w:val="none" w:sz="0" w:space="0" w:color="auto"/>
        <w:bottom w:val="none" w:sz="0" w:space="0" w:color="auto"/>
        <w:right w:val="none" w:sz="0" w:space="0" w:color="auto"/>
      </w:divBdr>
    </w:div>
    <w:div w:id="1931311108">
      <w:bodyDiv w:val="1"/>
      <w:marLeft w:val="0"/>
      <w:marRight w:val="0"/>
      <w:marTop w:val="0"/>
      <w:marBottom w:val="0"/>
      <w:divBdr>
        <w:top w:val="none" w:sz="0" w:space="0" w:color="auto"/>
        <w:left w:val="none" w:sz="0" w:space="0" w:color="auto"/>
        <w:bottom w:val="none" w:sz="0" w:space="0" w:color="auto"/>
        <w:right w:val="none" w:sz="0" w:space="0" w:color="auto"/>
      </w:divBdr>
      <w:divsChild>
        <w:div w:id="744300585">
          <w:marLeft w:val="0"/>
          <w:marRight w:val="0"/>
          <w:marTop w:val="0"/>
          <w:marBottom w:val="0"/>
          <w:divBdr>
            <w:top w:val="none" w:sz="0" w:space="0" w:color="auto"/>
            <w:left w:val="none" w:sz="0" w:space="0" w:color="auto"/>
            <w:bottom w:val="none" w:sz="0" w:space="0" w:color="auto"/>
            <w:right w:val="none" w:sz="0" w:space="0" w:color="auto"/>
          </w:divBdr>
        </w:div>
        <w:div w:id="1437016653">
          <w:marLeft w:val="0"/>
          <w:marRight w:val="0"/>
          <w:marTop w:val="0"/>
          <w:marBottom w:val="0"/>
          <w:divBdr>
            <w:top w:val="none" w:sz="0" w:space="0" w:color="auto"/>
            <w:left w:val="none" w:sz="0" w:space="0" w:color="auto"/>
            <w:bottom w:val="none" w:sz="0" w:space="0" w:color="auto"/>
            <w:right w:val="none" w:sz="0" w:space="0" w:color="auto"/>
          </w:divBdr>
        </w:div>
        <w:div w:id="1989942155">
          <w:marLeft w:val="0"/>
          <w:marRight w:val="0"/>
          <w:marTop w:val="0"/>
          <w:marBottom w:val="0"/>
          <w:divBdr>
            <w:top w:val="none" w:sz="0" w:space="0" w:color="auto"/>
            <w:left w:val="none" w:sz="0" w:space="0" w:color="auto"/>
            <w:bottom w:val="none" w:sz="0" w:space="0" w:color="auto"/>
            <w:right w:val="none" w:sz="0" w:space="0" w:color="auto"/>
          </w:divBdr>
        </w:div>
      </w:divsChild>
    </w:div>
    <w:div w:id="1935169067">
      <w:bodyDiv w:val="1"/>
      <w:marLeft w:val="0"/>
      <w:marRight w:val="0"/>
      <w:marTop w:val="0"/>
      <w:marBottom w:val="0"/>
      <w:divBdr>
        <w:top w:val="none" w:sz="0" w:space="0" w:color="auto"/>
        <w:left w:val="none" w:sz="0" w:space="0" w:color="auto"/>
        <w:bottom w:val="none" w:sz="0" w:space="0" w:color="auto"/>
        <w:right w:val="none" w:sz="0" w:space="0" w:color="auto"/>
      </w:divBdr>
      <w:divsChild>
        <w:div w:id="1183546670">
          <w:marLeft w:val="0"/>
          <w:marRight w:val="0"/>
          <w:marTop w:val="0"/>
          <w:marBottom w:val="0"/>
          <w:divBdr>
            <w:top w:val="none" w:sz="0" w:space="0" w:color="auto"/>
            <w:left w:val="none" w:sz="0" w:space="0" w:color="auto"/>
            <w:bottom w:val="none" w:sz="0" w:space="0" w:color="auto"/>
            <w:right w:val="none" w:sz="0" w:space="0" w:color="auto"/>
          </w:divBdr>
          <w:divsChild>
            <w:div w:id="57478223">
              <w:marLeft w:val="375"/>
              <w:marRight w:val="0"/>
              <w:marTop w:val="0"/>
              <w:marBottom w:val="0"/>
              <w:divBdr>
                <w:top w:val="none" w:sz="0" w:space="0" w:color="auto"/>
                <w:left w:val="none" w:sz="0" w:space="0" w:color="auto"/>
                <w:bottom w:val="none" w:sz="0" w:space="0" w:color="auto"/>
                <w:right w:val="none" w:sz="0" w:space="0" w:color="auto"/>
              </w:divBdr>
              <w:divsChild>
                <w:div w:id="838499647">
                  <w:marLeft w:val="45"/>
                  <w:marRight w:val="0"/>
                  <w:marTop w:val="225"/>
                  <w:marBottom w:val="0"/>
                  <w:divBdr>
                    <w:top w:val="none" w:sz="0" w:space="0" w:color="auto"/>
                    <w:left w:val="none" w:sz="0" w:space="0" w:color="auto"/>
                    <w:bottom w:val="none" w:sz="0" w:space="0" w:color="auto"/>
                    <w:right w:val="none" w:sz="0" w:space="0" w:color="auto"/>
                  </w:divBdr>
                  <w:divsChild>
                    <w:div w:id="17519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0070">
      <w:bodyDiv w:val="1"/>
      <w:marLeft w:val="0"/>
      <w:marRight w:val="0"/>
      <w:marTop w:val="0"/>
      <w:marBottom w:val="0"/>
      <w:divBdr>
        <w:top w:val="none" w:sz="0" w:space="0" w:color="auto"/>
        <w:left w:val="none" w:sz="0" w:space="0" w:color="auto"/>
        <w:bottom w:val="none" w:sz="0" w:space="0" w:color="auto"/>
        <w:right w:val="none" w:sz="0" w:space="0" w:color="auto"/>
      </w:divBdr>
    </w:div>
    <w:div w:id="1941138206">
      <w:bodyDiv w:val="1"/>
      <w:marLeft w:val="0"/>
      <w:marRight w:val="0"/>
      <w:marTop w:val="0"/>
      <w:marBottom w:val="0"/>
      <w:divBdr>
        <w:top w:val="none" w:sz="0" w:space="0" w:color="auto"/>
        <w:left w:val="none" w:sz="0" w:space="0" w:color="auto"/>
        <w:bottom w:val="none" w:sz="0" w:space="0" w:color="auto"/>
        <w:right w:val="none" w:sz="0" w:space="0" w:color="auto"/>
      </w:divBdr>
    </w:div>
    <w:div w:id="1945068049">
      <w:bodyDiv w:val="1"/>
      <w:marLeft w:val="0"/>
      <w:marRight w:val="0"/>
      <w:marTop w:val="0"/>
      <w:marBottom w:val="0"/>
      <w:divBdr>
        <w:top w:val="none" w:sz="0" w:space="0" w:color="auto"/>
        <w:left w:val="none" w:sz="0" w:space="0" w:color="auto"/>
        <w:bottom w:val="none" w:sz="0" w:space="0" w:color="auto"/>
        <w:right w:val="none" w:sz="0" w:space="0" w:color="auto"/>
      </w:divBdr>
    </w:div>
    <w:div w:id="1946421632">
      <w:bodyDiv w:val="1"/>
      <w:marLeft w:val="0"/>
      <w:marRight w:val="0"/>
      <w:marTop w:val="0"/>
      <w:marBottom w:val="0"/>
      <w:divBdr>
        <w:top w:val="none" w:sz="0" w:space="0" w:color="auto"/>
        <w:left w:val="none" w:sz="0" w:space="0" w:color="auto"/>
        <w:bottom w:val="none" w:sz="0" w:space="0" w:color="auto"/>
        <w:right w:val="none" w:sz="0" w:space="0" w:color="auto"/>
      </w:divBdr>
    </w:div>
    <w:div w:id="1947230890">
      <w:bodyDiv w:val="1"/>
      <w:marLeft w:val="0"/>
      <w:marRight w:val="0"/>
      <w:marTop w:val="0"/>
      <w:marBottom w:val="0"/>
      <w:divBdr>
        <w:top w:val="none" w:sz="0" w:space="0" w:color="auto"/>
        <w:left w:val="none" w:sz="0" w:space="0" w:color="auto"/>
        <w:bottom w:val="none" w:sz="0" w:space="0" w:color="auto"/>
        <w:right w:val="none" w:sz="0" w:space="0" w:color="auto"/>
      </w:divBdr>
    </w:div>
    <w:div w:id="1948348181">
      <w:bodyDiv w:val="1"/>
      <w:marLeft w:val="0"/>
      <w:marRight w:val="0"/>
      <w:marTop w:val="0"/>
      <w:marBottom w:val="0"/>
      <w:divBdr>
        <w:top w:val="none" w:sz="0" w:space="0" w:color="auto"/>
        <w:left w:val="none" w:sz="0" w:space="0" w:color="auto"/>
        <w:bottom w:val="none" w:sz="0" w:space="0" w:color="auto"/>
        <w:right w:val="none" w:sz="0" w:space="0" w:color="auto"/>
      </w:divBdr>
    </w:div>
    <w:div w:id="1948460395">
      <w:bodyDiv w:val="1"/>
      <w:marLeft w:val="0"/>
      <w:marRight w:val="0"/>
      <w:marTop w:val="0"/>
      <w:marBottom w:val="0"/>
      <w:divBdr>
        <w:top w:val="none" w:sz="0" w:space="0" w:color="auto"/>
        <w:left w:val="none" w:sz="0" w:space="0" w:color="auto"/>
        <w:bottom w:val="none" w:sz="0" w:space="0" w:color="auto"/>
        <w:right w:val="none" w:sz="0" w:space="0" w:color="auto"/>
      </w:divBdr>
    </w:div>
    <w:div w:id="1950233671">
      <w:bodyDiv w:val="1"/>
      <w:marLeft w:val="0"/>
      <w:marRight w:val="0"/>
      <w:marTop w:val="0"/>
      <w:marBottom w:val="0"/>
      <w:divBdr>
        <w:top w:val="none" w:sz="0" w:space="0" w:color="auto"/>
        <w:left w:val="none" w:sz="0" w:space="0" w:color="auto"/>
        <w:bottom w:val="none" w:sz="0" w:space="0" w:color="auto"/>
        <w:right w:val="none" w:sz="0" w:space="0" w:color="auto"/>
      </w:divBdr>
    </w:div>
    <w:div w:id="1950887128">
      <w:bodyDiv w:val="1"/>
      <w:marLeft w:val="0"/>
      <w:marRight w:val="0"/>
      <w:marTop w:val="0"/>
      <w:marBottom w:val="0"/>
      <w:divBdr>
        <w:top w:val="none" w:sz="0" w:space="0" w:color="auto"/>
        <w:left w:val="none" w:sz="0" w:space="0" w:color="auto"/>
        <w:bottom w:val="none" w:sz="0" w:space="0" w:color="auto"/>
        <w:right w:val="none" w:sz="0" w:space="0" w:color="auto"/>
      </w:divBdr>
    </w:div>
    <w:div w:id="1952130170">
      <w:bodyDiv w:val="1"/>
      <w:marLeft w:val="0"/>
      <w:marRight w:val="0"/>
      <w:marTop w:val="0"/>
      <w:marBottom w:val="0"/>
      <w:divBdr>
        <w:top w:val="none" w:sz="0" w:space="0" w:color="auto"/>
        <w:left w:val="none" w:sz="0" w:space="0" w:color="auto"/>
        <w:bottom w:val="none" w:sz="0" w:space="0" w:color="auto"/>
        <w:right w:val="none" w:sz="0" w:space="0" w:color="auto"/>
      </w:divBdr>
    </w:div>
    <w:div w:id="1952932296">
      <w:bodyDiv w:val="1"/>
      <w:marLeft w:val="0"/>
      <w:marRight w:val="0"/>
      <w:marTop w:val="0"/>
      <w:marBottom w:val="0"/>
      <w:divBdr>
        <w:top w:val="none" w:sz="0" w:space="0" w:color="auto"/>
        <w:left w:val="none" w:sz="0" w:space="0" w:color="auto"/>
        <w:bottom w:val="none" w:sz="0" w:space="0" w:color="auto"/>
        <w:right w:val="none" w:sz="0" w:space="0" w:color="auto"/>
      </w:divBdr>
    </w:div>
    <w:div w:id="1953827680">
      <w:bodyDiv w:val="1"/>
      <w:marLeft w:val="0"/>
      <w:marRight w:val="0"/>
      <w:marTop w:val="0"/>
      <w:marBottom w:val="0"/>
      <w:divBdr>
        <w:top w:val="none" w:sz="0" w:space="0" w:color="auto"/>
        <w:left w:val="none" w:sz="0" w:space="0" w:color="auto"/>
        <w:bottom w:val="none" w:sz="0" w:space="0" w:color="auto"/>
        <w:right w:val="none" w:sz="0" w:space="0" w:color="auto"/>
      </w:divBdr>
    </w:div>
    <w:div w:id="1955862189">
      <w:bodyDiv w:val="1"/>
      <w:marLeft w:val="0"/>
      <w:marRight w:val="0"/>
      <w:marTop w:val="0"/>
      <w:marBottom w:val="0"/>
      <w:divBdr>
        <w:top w:val="none" w:sz="0" w:space="0" w:color="auto"/>
        <w:left w:val="none" w:sz="0" w:space="0" w:color="auto"/>
        <w:bottom w:val="none" w:sz="0" w:space="0" w:color="auto"/>
        <w:right w:val="none" w:sz="0" w:space="0" w:color="auto"/>
      </w:divBdr>
    </w:div>
    <w:div w:id="1962684357">
      <w:bodyDiv w:val="1"/>
      <w:marLeft w:val="0"/>
      <w:marRight w:val="0"/>
      <w:marTop w:val="0"/>
      <w:marBottom w:val="0"/>
      <w:divBdr>
        <w:top w:val="none" w:sz="0" w:space="0" w:color="auto"/>
        <w:left w:val="none" w:sz="0" w:space="0" w:color="auto"/>
        <w:bottom w:val="none" w:sz="0" w:space="0" w:color="auto"/>
        <w:right w:val="none" w:sz="0" w:space="0" w:color="auto"/>
      </w:divBdr>
    </w:div>
    <w:div w:id="1966156124">
      <w:bodyDiv w:val="1"/>
      <w:marLeft w:val="0"/>
      <w:marRight w:val="0"/>
      <w:marTop w:val="0"/>
      <w:marBottom w:val="0"/>
      <w:divBdr>
        <w:top w:val="none" w:sz="0" w:space="0" w:color="auto"/>
        <w:left w:val="none" w:sz="0" w:space="0" w:color="auto"/>
        <w:bottom w:val="none" w:sz="0" w:space="0" w:color="auto"/>
        <w:right w:val="none" w:sz="0" w:space="0" w:color="auto"/>
      </w:divBdr>
    </w:div>
    <w:div w:id="1970428034">
      <w:bodyDiv w:val="1"/>
      <w:marLeft w:val="0"/>
      <w:marRight w:val="0"/>
      <w:marTop w:val="0"/>
      <w:marBottom w:val="0"/>
      <w:divBdr>
        <w:top w:val="none" w:sz="0" w:space="0" w:color="auto"/>
        <w:left w:val="none" w:sz="0" w:space="0" w:color="auto"/>
        <w:bottom w:val="none" w:sz="0" w:space="0" w:color="auto"/>
        <w:right w:val="none" w:sz="0" w:space="0" w:color="auto"/>
      </w:divBdr>
      <w:divsChild>
        <w:div w:id="601768677">
          <w:marLeft w:val="0"/>
          <w:marRight w:val="0"/>
          <w:marTop w:val="0"/>
          <w:marBottom w:val="120"/>
          <w:divBdr>
            <w:top w:val="none" w:sz="0" w:space="0" w:color="auto"/>
            <w:left w:val="none" w:sz="0" w:space="0" w:color="auto"/>
            <w:bottom w:val="none" w:sz="0" w:space="0" w:color="auto"/>
            <w:right w:val="none" w:sz="0" w:space="0" w:color="auto"/>
          </w:divBdr>
          <w:divsChild>
            <w:div w:id="1481070292">
              <w:marLeft w:val="0"/>
              <w:marRight w:val="0"/>
              <w:marTop w:val="0"/>
              <w:marBottom w:val="0"/>
              <w:divBdr>
                <w:top w:val="none" w:sz="0" w:space="0" w:color="auto"/>
                <w:left w:val="none" w:sz="0" w:space="0" w:color="auto"/>
                <w:bottom w:val="none" w:sz="0" w:space="0" w:color="auto"/>
                <w:right w:val="none" w:sz="0" w:space="0" w:color="auto"/>
              </w:divBdr>
              <w:divsChild>
                <w:div w:id="1225607419">
                  <w:marLeft w:val="0"/>
                  <w:marRight w:val="0"/>
                  <w:marTop w:val="0"/>
                  <w:marBottom w:val="0"/>
                  <w:divBdr>
                    <w:top w:val="single" w:sz="6" w:space="10" w:color="DCDCDC"/>
                    <w:left w:val="single" w:sz="6" w:space="10" w:color="DCDCDC"/>
                    <w:bottom w:val="single" w:sz="6" w:space="10" w:color="DCDCDC"/>
                    <w:right w:val="single" w:sz="6" w:space="10" w:color="DCDCDC"/>
                  </w:divBdr>
                  <w:divsChild>
                    <w:div w:id="82629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21953">
      <w:bodyDiv w:val="1"/>
      <w:marLeft w:val="0"/>
      <w:marRight w:val="0"/>
      <w:marTop w:val="0"/>
      <w:marBottom w:val="0"/>
      <w:divBdr>
        <w:top w:val="none" w:sz="0" w:space="0" w:color="auto"/>
        <w:left w:val="none" w:sz="0" w:space="0" w:color="auto"/>
        <w:bottom w:val="none" w:sz="0" w:space="0" w:color="auto"/>
        <w:right w:val="none" w:sz="0" w:space="0" w:color="auto"/>
      </w:divBdr>
    </w:div>
    <w:div w:id="1973289208">
      <w:bodyDiv w:val="1"/>
      <w:marLeft w:val="0"/>
      <w:marRight w:val="0"/>
      <w:marTop w:val="0"/>
      <w:marBottom w:val="0"/>
      <w:divBdr>
        <w:top w:val="none" w:sz="0" w:space="0" w:color="auto"/>
        <w:left w:val="none" w:sz="0" w:space="0" w:color="auto"/>
        <w:bottom w:val="none" w:sz="0" w:space="0" w:color="auto"/>
        <w:right w:val="none" w:sz="0" w:space="0" w:color="auto"/>
      </w:divBdr>
    </w:div>
    <w:div w:id="1975404464">
      <w:bodyDiv w:val="1"/>
      <w:marLeft w:val="0"/>
      <w:marRight w:val="0"/>
      <w:marTop w:val="0"/>
      <w:marBottom w:val="0"/>
      <w:divBdr>
        <w:top w:val="none" w:sz="0" w:space="0" w:color="auto"/>
        <w:left w:val="none" w:sz="0" w:space="0" w:color="auto"/>
        <w:bottom w:val="none" w:sz="0" w:space="0" w:color="auto"/>
        <w:right w:val="none" w:sz="0" w:space="0" w:color="auto"/>
      </w:divBdr>
      <w:divsChild>
        <w:div w:id="114519161">
          <w:marLeft w:val="0"/>
          <w:marRight w:val="0"/>
          <w:marTop w:val="0"/>
          <w:marBottom w:val="0"/>
          <w:divBdr>
            <w:top w:val="none" w:sz="0" w:space="0" w:color="auto"/>
            <w:left w:val="none" w:sz="0" w:space="0" w:color="auto"/>
            <w:bottom w:val="none" w:sz="0" w:space="0" w:color="auto"/>
            <w:right w:val="none" w:sz="0" w:space="0" w:color="auto"/>
          </w:divBdr>
        </w:div>
        <w:div w:id="134031463">
          <w:marLeft w:val="0"/>
          <w:marRight w:val="0"/>
          <w:marTop w:val="0"/>
          <w:marBottom w:val="0"/>
          <w:divBdr>
            <w:top w:val="none" w:sz="0" w:space="0" w:color="auto"/>
            <w:left w:val="none" w:sz="0" w:space="0" w:color="auto"/>
            <w:bottom w:val="none" w:sz="0" w:space="0" w:color="auto"/>
            <w:right w:val="none" w:sz="0" w:space="0" w:color="auto"/>
          </w:divBdr>
        </w:div>
        <w:div w:id="324749494">
          <w:marLeft w:val="0"/>
          <w:marRight w:val="0"/>
          <w:marTop w:val="0"/>
          <w:marBottom w:val="0"/>
          <w:divBdr>
            <w:top w:val="none" w:sz="0" w:space="0" w:color="auto"/>
            <w:left w:val="none" w:sz="0" w:space="0" w:color="auto"/>
            <w:bottom w:val="none" w:sz="0" w:space="0" w:color="auto"/>
            <w:right w:val="none" w:sz="0" w:space="0" w:color="auto"/>
          </w:divBdr>
        </w:div>
        <w:div w:id="332605164">
          <w:marLeft w:val="0"/>
          <w:marRight w:val="0"/>
          <w:marTop w:val="0"/>
          <w:marBottom w:val="0"/>
          <w:divBdr>
            <w:top w:val="none" w:sz="0" w:space="0" w:color="auto"/>
            <w:left w:val="none" w:sz="0" w:space="0" w:color="auto"/>
            <w:bottom w:val="none" w:sz="0" w:space="0" w:color="auto"/>
            <w:right w:val="none" w:sz="0" w:space="0" w:color="auto"/>
          </w:divBdr>
        </w:div>
        <w:div w:id="559636391">
          <w:marLeft w:val="0"/>
          <w:marRight w:val="0"/>
          <w:marTop w:val="0"/>
          <w:marBottom w:val="0"/>
          <w:divBdr>
            <w:top w:val="none" w:sz="0" w:space="0" w:color="auto"/>
            <w:left w:val="none" w:sz="0" w:space="0" w:color="auto"/>
            <w:bottom w:val="none" w:sz="0" w:space="0" w:color="auto"/>
            <w:right w:val="none" w:sz="0" w:space="0" w:color="auto"/>
          </w:divBdr>
        </w:div>
        <w:div w:id="583538568">
          <w:marLeft w:val="0"/>
          <w:marRight w:val="0"/>
          <w:marTop w:val="0"/>
          <w:marBottom w:val="0"/>
          <w:divBdr>
            <w:top w:val="none" w:sz="0" w:space="0" w:color="auto"/>
            <w:left w:val="none" w:sz="0" w:space="0" w:color="auto"/>
            <w:bottom w:val="none" w:sz="0" w:space="0" w:color="auto"/>
            <w:right w:val="none" w:sz="0" w:space="0" w:color="auto"/>
          </w:divBdr>
        </w:div>
        <w:div w:id="588782154">
          <w:marLeft w:val="0"/>
          <w:marRight w:val="0"/>
          <w:marTop w:val="0"/>
          <w:marBottom w:val="0"/>
          <w:divBdr>
            <w:top w:val="none" w:sz="0" w:space="0" w:color="auto"/>
            <w:left w:val="none" w:sz="0" w:space="0" w:color="auto"/>
            <w:bottom w:val="none" w:sz="0" w:space="0" w:color="auto"/>
            <w:right w:val="none" w:sz="0" w:space="0" w:color="auto"/>
          </w:divBdr>
        </w:div>
        <w:div w:id="728923506">
          <w:marLeft w:val="0"/>
          <w:marRight w:val="0"/>
          <w:marTop w:val="0"/>
          <w:marBottom w:val="0"/>
          <w:divBdr>
            <w:top w:val="none" w:sz="0" w:space="0" w:color="auto"/>
            <w:left w:val="none" w:sz="0" w:space="0" w:color="auto"/>
            <w:bottom w:val="none" w:sz="0" w:space="0" w:color="auto"/>
            <w:right w:val="none" w:sz="0" w:space="0" w:color="auto"/>
          </w:divBdr>
        </w:div>
        <w:div w:id="799108714">
          <w:marLeft w:val="0"/>
          <w:marRight w:val="0"/>
          <w:marTop w:val="0"/>
          <w:marBottom w:val="0"/>
          <w:divBdr>
            <w:top w:val="none" w:sz="0" w:space="0" w:color="auto"/>
            <w:left w:val="none" w:sz="0" w:space="0" w:color="auto"/>
            <w:bottom w:val="none" w:sz="0" w:space="0" w:color="auto"/>
            <w:right w:val="none" w:sz="0" w:space="0" w:color="auto"/>
          </w:divBdr>
        </w:div>
        <w:div w:id="997538307">
          <w:marLeft w:val="0"/>
          <w:marRight w:val="0"/>
          <w:marTop w:val="0"/>
          <w:marBottom w:val="0"/>
          <w:divBdr>
            <w:top w:val="none" w:sz="0" w:space="0" w:color="auto"/>
            <w:left w:val="none" w:sz="0" w:space="0" w:color="auto"/>
            <w:bottom w:val="none" w:sz="0" w:space="0" w:color="auto"/>
            <w:right w:val="none" w:sz="0" w:space="0" w:color="auto"/>
          </w:divBdr>
        </w:div>
        <w:div w:id="1311669235">
          <w:marLeft w:val="0"/>
          <w:marRight w:val="0"/>
          <w:marTop w:val="0"/>
          <w:marBottom w:val="0"/>
          <w:divBdr>
            <w:top w:val="none" w:sz="0" w:space="0" w:color="auto"/>
            <w:left w:val="none" w:sz="0" w:space="0" w:color="auto"/>
            <w:bottom w:val="none" w:sz="0" w:space="0" w:color="auto"/>
            <w:right w:val="none" w:sz="0" w:space="0" w:color="auto"/>
          </w:divBdr>
        </w:div>
        <w:div w:id="1335186507">
          <w:marLeft w:val="0"/>
          <w:marRight w:val="0"/>
          <w:marTop w:val="0"/>
          <w:marBottom w:val="0"/>
          <w:divBdr>
            <w:top w:val="none" w:sz="0" w:space="0" w:color="auto"/>
            <w:left w:val="none" w:sz="0" w:space="0" w:color="auto"/>
            <w:bottom w:val="none" w:sz="0" w:space="0" w:color="auto"/>
            <w:right w:val="none" w:sz="0" w:space="0" w:color="auto"/>
          </w:divBdr>
        </w:div>
        <w:div w:id="1440446198">
          <w:marLeft w:val="0"/>
          <w:marRight w:val="0"/>
          <w:marTop w:val="0"/>
          <w:marBottom w:val="0"/>
          <w:divBdr>
            <w:top w:val="none" w:sz="0" w:space="0" w:color="auto"/>
            <w:left w:val="none" w:sz="0" w:space="0" w:color="auto"/>
            <w:bottom w:val="none" w:sz="0" w:space="0" w:color="auto"/>
            <w:right w:val="none" w:sz="0" w:space="0" w:color="auto"/>
          </w:divBdr>
        </w:div>
        <w:div w:id="1525242240">
          <w:marLeft w:val="0"/>
          <w:marRight w:val="0"/>
          <w:marTop w:val="0"/>
          <w:marBottom w:val="0"/>
          <w:divBdr>
            <w:top w:val="none" w:sz="0" w:space="0" w:color="auto"/>
            <w:left w:val="none" w:sz="0" w:space="0" w:color="auto"/>
            <w:bottom w:val="none" w:sz="0" w:space="0" w:color="auto"/>
            <w:right w:val="none" w:sz="0" w:space="0" w:color="auto"/>
          </w:divBdr>
        </w:div>
        <w:div w:id="1553079015">
          <w:marLeft w:val="0"/>
          <w:marRight w:val="0"/>
          <w:marTop w:val="0"/>
          <w:marBottom w:val="0"/>
          <w:divBdr>
            <w:top w:val="none" w:sz="0" w:space="0" w:color="auto"/>
            <w:left w:val="none" w:sz="0" w:space="0" w:color="auto"/>
            <w:bottom w:val="none" w:sz="0" w:space="0" w:color="auto"/>
            <w:right w:val="none" w:sz="0" w:space="0" w:color="auto"/>
          </w:divBdr>
        </w:div>
        <w:div w:id="2076777501">
          <w:marLeft w:val="0"/>
          <w:marRight w:val="0"/>
          <w:marTop w:val="0"/>
          <w:marBottom w:val="0"/>
          <w:divBdr>
            <w:top w:val="none" w:sz="0" w:space="0" w:color="auto"/>
            <w:left w:val="none" w:sz="0" w:space="0" w:color="auto"/>
            <w:bottom w:val="none" w:sz="0" w:space="0" w:color="auto"/>
            <w:right w:val="none" w:sz="0" w:space="0" w:color="auto"/>
          </w:divBdr>
        </w:div>
      </w:divsChild>
    </w:div>
    <w:div w:id="1977024976">
      <w:bodyDiv w:val="1"/>
      <w:marLeft w:val="0"/>
      <w:marRight w:val="0"/>
      <w:marTop w:val="0"/>
      <w:marBottom w:val="0"/>
      <w:divBdr>
        <w:top w:val="none" w:sz="0" w:space="0" w:color="auto"/>
        <w:left w:val="none" w:sz="0" w:space="0" w:color="auto"/>
        <w:bottom w:val="none" w:sz="0" w:space="0" w:color="auto"/>
        <w:right w:val="none" w:sz="0" w:space="0" w:color="auto"/>
      </w:divBdr>
    </w:div>
    <w:div w:id="1977106038">
      <w:bodyDiv w:val="1"/>
      <w:marLeft w:val="0"/>
      <w:marRight w:val="0"/>
      <w:marTop w:val="0"/>
      <w:marBottom w:val="0"/>
      <w:divBdr>
        <w:top w:val="none" w:sz="0" w:space="0" w:color="auto"/>
        <w:left w:val="none" w:sz="0" w:space="0" w:color="auto"/>
        <w:bottom w:val="none" w:sz="0" w:space="0" w:color="auto"/>
        <w:right w:val="none" w:sz="0" w:space="0" w:color="auto"/>
      </w:divBdr>
    </w:div>
    <w:div w:id="1978290557">
      <w:bodyDiv w:val="1"/>
      <w:marLeft w:val="0"/>
      <w:marRight w:val="0"/>
      <w:marTop w:val="0"/>
      <w:marBottom w:val="0"/>
      <w:divBdr>
        <w:top w:val="none" w:sz="0" w:space="0" w:color="auto"/>
        <w:left w:val="none" w:sz="0" w:space="0" w:color="auto"/>
        <w:bottom w:val="none" w:sz="0" w:space="0" w:color="auto"/>
        <w:right w:val="none" w:sz="0" w:space="0" w:color="auto"/>
      </w:divBdr>
      <w:divsChild>
        <w:div w:id="1079905577">
          <w:marLeft w:val="0"/>
          <w:marRight w:val="0"/>
          <w:marTop w:val="0"/>
          <w:marBottom w:val="0"/>
          <w:divBdr>
            <w:top w:val="none" w:sz="0" w:space="0" w:color="auto"/>
            <w:left w:val="none" w:sz="0" w:space="0" w:color="auto"/>
            <w:bottom w:val="none" w:sz="0" w:space="0" w:color="auto"/>
            <w:right w:val="none" w:sz="0" w:space="0" w:color="auto"/>
          </w:divBdr>
          <w:divsChild>
            <w:div w:id="1903057681">
              <w:marLeft w:val="375"/>
              <w:marRight w:val="0"/>
              <w:marTop w:val="0"/>
              <w:marBottom w:val="0"/>
              <w:divBdr>
                <w:top w:val="none" w:sz="0" w:space="0" w:color="auto"/>
                <w:left w:val="none" w:sz="0" w:space="0" w:color="auto"/>
                <w:bottom w:val="none" w:sz="0" w:space="0" w:color="auto"/>
                <w:right w:val="none" w:sz="0" w:space="0" w:color="auto"/>
              </w:divBdr>
              <w:divsChild>
                <w:div w:id="243758758">
                  <w:marLeft w:val="45"/>
                  <w:marRight w:val="0"/>
                  <w:marTop w:val="225"/>
                  <w:marBottom w:val="0"/>
                  <w:divBdr>
                    <w:top w:val="none" w:sz="0" w:space="0" w:color="auto"/>
                    <w:left w:val="none" w:sz="0" w:space="0" w:color="auto"/>
                    <w:bottom w:val="none" w:sz="0" w:space="0" w:color="auto"/>
                    <w:right w:val="none" w:sz="0" w:space="0" w:color="auto"/>
                  </w:divBdr>
                  <w:divsChild>
                    <w:div w:id="17555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810790">
      <w:bodyDiv w:val="1"/>
      <w:marLeft w:val="0"/>
      <w:marRight w:val="0"/>
      <w:marTop w:val="0"/>
      <w:marBottom w:val="0"/>
      <w:divBdr>
        <w:top w:val="none" w:sz="0" w:space="0" w:color="auto"/>
        <w:left w:val="none" w:sz="0" w:space="0" w:color="auto"/>
        <w:bottom w:val="none" w:sz="0" w:space="0" w:color="auto"/>
        <w:right w:val="none" w:sz="0" w:space="0" w:color="auto"/>
      </w:divBdr>
    </w:div>
    <w:div w:id="1990787138">
      <w:bodyDiv w:val="1"/>
      <w:marLeft w:val="0"/>
      <w:marRight w:val="0"/>
      <w:marTop w:val="0"/>
      <w:marBottom w:val="0"/>
      <w:divBdr>
        <w:top w:val="none" w:sz="0" w:space="0" w:color="auto"/>
        <w:left w:val="none" w:sz="0" w:space="0" w:color="auto"/>
        <w:bottom w:val="none" w:sz="0" w:space="0" w:color="auto"/>
        <w:right w:val="none" w:sz="0" w:space="0" w:color="auto"/>
      </w:divBdr>
    </w:div>
    <w:div w:id="1994605196">
      <w:bodyDiv w:val="1"/>
      <w:marLeft w:val="0"/>
      <w:marRight w:val="0"/>
      <w:marTop w:val="0"/>
      <w:marBottom w:val="0"/>
      <w:divBdr>
        <w:top w:val="none" w:sz="0" w:space="0" w:color="auto"/>
        <w:left w:val="none" w:sz="0" w:space="0" w:color="auto"/>
        <w:bottom w:val="none" w:sz="0" w:space="0" w:color="auto"/>
        <w:right w:val="none" w:sz="0" w:space="0" w:color="auto"/>
      </w:divBdr>
      <w:divsChild>
        <w:div w:id="1867479118">
          <w:marLeft w:val="0"/>
          <w:marRight w:val="0"/>
          <w:marTop w:val="0"/>
          <w:marBottom w:val="0"/>
          <w:divBdr>
            <w:top w:val="none" w:sz="0" w:space="0" w:color="auto"/>
            <w:left w:val="none" w:sz="0" w:space="0" w:color="auto"/>
            <w:bottom w:val="none" w:sz="0" w:space="0" w:color="auto"/>
            <w:right w:val="none" w:sz="0" w:space="0" w:color="auto"/>
          </w:divBdr>
          <w:divsChild>
            <w:div w:id="196704908">
              <w:marLeft w:val="0"/>
              <w:marRight w:val="0"/>
              <w:marTop w:val="411"/>
              <w:marBottom w:val="0"/>
              <w:divBdr>
                <w:top w:val="none" w:sz="0" w:space="0" w:color="auto"/>
                <w:left w:val="none" w:sz="0" w:space="0" w:color="auto"/>
                <w:bottom w:val="none" w:sz="0" w:space="0" w:color="auto"/>
                <w:right w:val="none" w:sz="0" w:space="0" w:color="auto"/>
              </w:divBdr>
              <w:divsChild>
                <w:div w:id="3364720">
                  <w:marLeft w:val="0"/>
                  <w:marRight w:val="0"/>
                  <w:marTop w:val="0"/>
                  <w:marBottom w:val="0"/>
                  <w:divBdr>
                    <w:top w:val="none" w:sz="0" w:space="0" w:color="auto"/>
                    <w:left w:val="none" w:sz="0" w:space="0" w:color="auto"/>
                    <w:bottom w:val="none" w:sz="0" w:space="0" w:color="auto"/>
                    <w:right w:val="none" w:sz="0" w:space="0" w:color="auto"/>
                  </w:divBdr>
                  <w:divsChild>
                    <w:div w:id="1757701771">
                      <w:marLeft w:val="79"/>
                      <w:marRight w:val="79"/>
                      <w:marTop w:val="0"/>
                      <w:marBottom w:val="0"/>
                      <w:divBdr>
                        <w:top w:val="none" w:sz="0" w:space="0" w:color="auto"/>
                        <w:left w:val="none" w:sz="0" w:space="0" w:color="auto"/>
                        <w:bottom w:val="none" w:sz="0" w:space="0" w:color="auto"/>
                        <w:right w:val="none" w:sz="0" w:space="0" w:color="auto"/>
                      </w:divBdr>
                      <w:divsChild>
                        <w:div w:id="2053529529">
                          <w:marLeft w:val="0"/>
                          <w:marRight w:val="0"/>
                          <w:marTop w:val="0"/>
                          <w:marBottom w:val="0"/>
                          <w:divBdr>
                            <w:top w:val="dashed" w:sz="6" w:space="0" w:color="DDDDDD"/>
                            <w:left w:val="none" w:sz="0" w:space="0" w:color="auto"/>
                            <w:bottom w:val="none" w:sz="0" w:space="0" w:color="auto"/>
                            <w:right w:val="none" w:sz="0" w:space="0" w:color="auto"/>
                          </w:divBdr>
                          <w:divsChild>
                            <w:div w:id="2112968770">
                              <w:marLeft w:val="0"/>
                              <w:marRight w:val="0"/>
                              <w:marTop w:val="0"/>
                              <w:marBottom w:val="0"/>
                              <w:divBdr>
                                <w:top w:val="none" w:sz="0" w:space="0" w:color="auto"/>
                                <w:left w:val="none" w:sz="0" w:space="0" w:color="auto"/>
                                <w:bottom w:val="none" w:sz="0" w:space="0" w:color="auto"/>
                                <w:right w:val="none" w:sz="0" w:space="0" w:color="auto"/>
                              </w:divBdr>
                              <w:divsChild>
                                <w:div w:id="315111244">
                                  <w:marLeft w:val="0"/>
                                  <w:marRight w:val="0"/>
                                  <w:marTop w:val="79"/>
                                  <w:marBottom w:val="79"/>
                                  <w:divBdr>
                                    <w:top w:val="none" w:sz="0" w:space="0" w:color="auto"/>
                                    <w:left w:val="none" w:sz="0" w:space="0" w:color="auto"/>
                                    <w:bottom w:val="none" w:sz="0" w:space="0" w:color="auto"/>
                                    <w:right w:val="none" w:sz="0" w:space="0" w:color="auto"/>
                                  </w:divBdr>
                                  <w:divsChild>
                                    <w:div w:id="1640918358">
                                      <w:marLeft w:val="0"/>
                                      <w:marRight w:val="0"/>
                                      <w:marTop w:val="0"/>
                                      <w:marBottom w:val="0"/>
                                      <w:divBdr>
                                        <w:top w:val="none" w:sz="0" w:space="0" w:color="auto"/>
                                        <w:left w:val="none" w:sz="0" w:space="0" w:color="auto"/>
                                        <w:bottom w:val="none" w:sz="0" w:space="0" w:color="auto"/>
                                        <w:right w:val="none" w:sz="0" w:space="0" w:color="auto"/>
                                      </w:divBdr>
                                      <w:divsChild>
                                        <w:div w:id="512914599">
                                          <w:marLeft w:val="554"/>
                                          <w:marRight w:val="0"/>
                                          <w:marTop w:val="0"/>
                                          <w:marBottom w:val="0"/>
                                          <w:divBdr>
                                            <w:top w:val="none" w:sz="0" w:space="0" w:color="auto"/>
                                            <w:left w:val="none" w:sz="0" w:space="0" w:color="auto"/>
                                            <w:bottom w:val="none" w:sz="0" w:space="0" w:color="auto"/>
                                            <w:right w:val="none" w:sz="0" w:space="0" w:color="auto"/>
                                          </w:divBdr>
                                          <w:divsChild>
                                            <w:div w:id="15500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3191021">
      <w:bodyDiv w:val="1"/>
      <w:marLeft w:val="0"/>
      <w:marRight w:val="0"/>
      <w:marTop w:val="0"/>
      <w:marBottom w:val="0"/>
      <w:divBdr>
        <w:top w:val="none" w:sz="0" w:space="0" w:color="auto"/>
        <w:left w:val="none" w:sz="0" w:space="0" w:color="auto"/>
        <w:bottom w:val="none" w:sz="0" w:space="0" w:color="auto"/>
        <w:right w:val="none" w:sz="0" w:space="0" w:color="auto"/>
      </w:divBdr>
    </w:div>
    <w:div w:id="2004042846">
      <w:bodyDiv w:val="1"/>
      <w:marLeft w:val="0"/>
      <w:marRight w:val="0"/>
      <w:marTop w:val="0"/>
      <w:marBottom w:val="0"/>
      <w:divBdr>
        <w:top w:val="none" w:sz="0" w:space="0" w:color="auto"/>
        <w:left w:val="none" w:sz="0" w:space="0" w:color="auto"/>
        <w:bottom w:val="none" w:sz="0" w:space="0" w:color="auto"/>
        <w:right w:val="none" w:sz="0" w:space="0" w:color="auto"/>
      </w:divBdr>
      <w:divsChild>
        <w:div w:id="294915016">
          <w:marLeft w:val="0"/>
          <w:marRight w:val="0"/>
          <w:marTop w:val="0"/>
          <w:marBottom w:val="0"/>
          <w:divBdr>
            <w:top w:val="none" w:sz="0" w:space="0" w:color="auto"/>
            <w:left w:val="none" w:sz="0" w:space="0" w:color="auto"/>
            <w:bottom w:val="none" w:sz="0" w:space="0" w:color="auto"/>
            <w:right w:val="none" w:sz="0" w:space="0" w:color="auto"/>
          </w:divBdr>
          <w:divsChild>
            <w:div w:id="1409183502">
              <w:marLeft w:val="0"/>
              <w:marRight w:val="0"/>
              <w:marTop w:val="411"/>
              <w:marBottom w:val="0"/>
              <w:divBdr>
                <w:top w:val="none" w:sz="0" w:space="0" w:color="auto"/>
                <w:left w:val="none" w:sz="0" w:space="0" w:color="auto"/>
                <w:bottom w:val="none" w:sz="0" w:space="0" w:color="auto"/>
                <w:right w:val="none" w:sz="0" w:space="0" w:color="auto"/>
              </w:divBdr>
              <w:divsChild>
                <w:div w:id="1803690138">
                  <w:marLeft w:val="0"/>
                  <w:marRight w:val="0"/>
                  <w:marTop w:val="0"/>
                  <w:marBottom w:val="0"/>
                  <w:divBdr>
                    <w:top w:val="none" w:sz="0" w:space="0" w:color="auto"/>
                    <w:left w:val="none" w:sz="0" w:space="0" w:color="auto"/>
                    <w:bottom w:val="none" w:sz="0" w:space="0" w:color="auto"/>
                    <w:right w:val="none" w:sz="0" w:space="0" w:color="auto"/>
                  </w:divBdr>
                  <w:divsChild>
                    <w:div w:id="2042707064">
                      <w:marLeft w:val="79"/>
                      <w:marRight w:val="79"/>
                      <w:marTop w:val="0"/>
                      <w:marBottom w:val="0"/>
                      <w:divBdr>
                        <w:top w:val="none" w:sz="0" w:space="0" w:color="auto"/>
                        <w:left w:val="none" w:sz="0" w:space="0" w:color="auto"/>
                        <w:bottom w:val="none" w:sz="0" w:space="0" w:color="auto"/>
                        <w:right w:val="none" w:sz="0" w:space="0" w:color="auto"/>
                      </w:divBdr>
                      <w:divsChild>
                        <w:div w:id="1054349647">
                          <w:marLeft w:val="0"/>
                          <w:marRight w:val="0"/>
                          <w:marTop w:val="0"/>
                          <w:marBottom w:val="0"/>
                          <w:divBdr>
                            <w:top w:val="dashed" w:sz="6" w:space="0" w:color="DDDDDD"/>
                            <w:left w:val="none" w:sz="0" w:space="0" w:color="auto"/>
                            <w:bottom w:val="none" w:sz="0" w:space="0" w:color="auto"/>
                            <w:right w:val="none" w:sz="0" w:space="0" w:color="auto"/>
                          </w:divBdr>
                          <w:divsChild>
                            <w:div w:id="1207598851">
                              <w:marLeft w:val="0"/>
                              <w:marRight w:val="0"/>
                              <w:marTop w:val="0"/>
                              <w:marBottom w:val="0"/>
                              <w:divBdr>
                                <w:top w:val="none" w:sz="0" w:space="0" w:color="auto"/>
                                <w:left w:val="none" w:sz="0" w:space="0" w:color="auto"/>
                                <w:bottom w:val="none" w:sz="0" w:space="0" w:color="auto"/>
                                <w:right w:val="none" w:sz="0" w:space="0" w:color="auto"/>
                              </w:divBdr>
                              <w:divsChild>
                                <w:div w:id="1869635803">
                                  <w:marLeft w:val="0"/>
                                  <w:marRight w:val="0"/>
                                  <w:marTop w:val="79"/>
                                  <w:marBottom w:val="79"/>
                                  <w:divBdr>
                                    <w:top w:val="none" w:sz="0" w:space="0" w:color="auto"/>
                                    <w:left w:val="none" w:sz="0" w:space="0" w:color="auto"/>
                                    <w:bottom w:val="none" w:sz="0" w:space="0" w:color="auto"/>
                                    <w:right w:val="none" w:sz="0" w:space="0" w:color="auto"/>
                                  </w:divBdr>
                                  <w:divsChild>
                                    <w:div w:id="160002883">
                                      <w:marLeft w:val="0"/>
                                      <w:marRight w:val="0"/>
                                      <w:marTop w:val="0"/>
                                      <w:marBottom w:val="0"/>
                                      <w:divBdr>
                                        <w:top w:val="none" w:sz="0" w:space="0" w:color="auto"/>
                                        <w:left w:val="none" w:sz="0" w:space="0" w:color="auto"/>
                                        <w:bottom w:val="none" w:sz="0" w:space="0" w:color="auto"/>
                                        <w:right w:val="none" w:sz="0" w:space="0" w:color="auto"/>
                                      </w:divBdr>
                                      <w:divsChild>
                                        <w:div w:id="25178566">
                                          <w:marLeft w:val="554"/>
                                          <w:marRight w:val="0"/>
                                          <w:marTop w:val="0"/>
                                          <w:marBottom w:val="0"/>
                                          <w:divBdr>
                                            <w:top w:val="none" w:sz="0" w:space="0" w:color="auto"/>
                                            <w:left w:val="none" w:sz="0" w:space="0" w:color="auto"/>
                                            <w:bottom w:val="none" w:sz="0" w:space="0" w:color="auto"/>
                                            <w:right w:val="none" w:sz="0" w:space="0" w:color="auto"/>
                                          </w:divBdr>
                                          <w:divsChild>
                                            <w:div w:id="10370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3675456">
      <w:bodyDiv w:val="1"/>
      <w:marLeft w:val="0"/>
      <w:marRight w:val="0"/>
      <w:marTop w:val="0"/>
      <w:marBottom w:val="0"/>
      <w:divBdr>
        <w:top w:val="none" w:sz="0" w:space="0" w:color="auto"/>
        <w:left w:val="none" w:sz="0" w:space="0" w:color="auto"/>
        <w:bottom w:val="none" w:sz="0" w:space="0" w:color="auto"/>
        <w:right w:val="none" w:sz="0" w:space="0" w:color="auto"/>
      </w:divBdr>
    </w:div>
    <w:div w:id="2015958459">
      <w:bodyDiv w:val="1"/>
      <w:marLeft w:val="0"/>
      <w:marRight w:val="0"/>
      <w:marTop w:val="0"/>
      <w:marBottom w:val="0"/>
      <w:divBdr>
        <w:top w:val="none" w:sz="0" w:space="0" w:color="auto"/>
        <w:left w:val="none" w:sz="0" w:space="0" w:color="auto"/>
        <w:bottom w:val="none" w:sz="0" w:space="0" w:color="auto"/>
        <w:right w:val="none" w:sz="0" w:space="0" w:color="auto"/>
      </w:divBdr>
    </w:div>
    <w:div w:id="2017460817">
      <w:bodyDiv w:val="1"/>
      <w:marLeft w:val="0"/>
      <w:marRight w:val="0"/>
      <w:marTop w:val="0"/>
      <w:marBottom w:val="0"/>
      <w:divBdr>
        <w:top w:val="none" w:sz="0" w:space="0" w:color="auto"/>
        <w:left w:val="none" w:sz="0" w:space="0" w:color="auto"/>
        <w:bottom w:val="none" w:sz="0" w:space="0" w:color="auto"/>
        <w:right w:val="none" w:sz="0" w:space="0" w:color="auto"/>
      </w:divBdr>
    </w:div>
    <w:div w:id="2019698506">
      <w:bodyDiv w:val="1"/>
      <w:marLeft w:val="0"/>
      <w:marRight w:val="0"/>
      <w:marTop w:val="0"/>
      <w:marBottom w:val="0"/>
      <w:divBdr>
        <w:top w:val="none" w:sz="0" w:space="0" w:color="auto"/>
        <w:left w:val="none" w:sz="0" w:space="0" w:color="auto"/>
        <w:bottom w:val="none" w:sz="0" w:space="0" w:color="auto"/>
        <w:right w:val="none" w:sz="0" w:space="0" w:color="auto"/>
      </w:divBdr>
    </w:div>
    <w:div w:id="2021348104">
      <w:bodyDiv w:val="1"/>
      <w:marLeft w:val="0"/>
      <w:marRight w:val="0"/>
      <w:marTop w:val="0"/>
      <w:marBottom w:val="0"/>
      <w:divBdr>
        <w:top w:val="none" w:sz="0" w:space="0" w:color="auto"/>
        <w:left w:val="none" w:sz="0" w:space="0" w:color="auto"/>
        <w:bottom w:val="none" w:sz="0" w:space="0" w:color="auto"/>
        <w:right w:val="none" w:sz="0" w:space="0" w:color="auto"/>
      </w:divBdr>
      <w:divsChild>
        <w:div w:id="12343266">
          <w:marLeft w:val="0"/>
          <w:marRight w:val="0"/>
          <w:marTop w:val="0"/>
          <w:marBottom w:val="0"/>
          <w:divBdr>
            <w:top w:val="none" w:sz="0" w:space="0" w:color="auto"/>
            <w:left w:val="none" w:sz="0" w:space="0" w:color="auto"/>
            <w:bottom w:val="none" w:sz="0" w:space="0" w:color="auto"/>
            <w:right w:val="none" w:sz="0" w:space="0" w:color="auto"/>
          </w:divBdr>
        </w:div>
        <w:div w:id="89132100">
          <w:marLeft w:val="0"/>
          <w:marRight w:val="0"/>
          <w:marTop w:val="0"/>
          <w:marBottom w:val="0"/>
          <w:divBdr>
            <w:top w:val="none" w:sz="0" w:space="0" w:color="auto"/>
            <w:left w:val="none" w:sz="0" w:space="0" w:color="auto"/>
            <w:bottom w:val="none" w:sz="0" w:space="0" w:color="auto"/>
            <w:right w:val="none" w:sz="0" w:space="0" w:color="auto"/>
          </w:divBdr>
        </w:div>
        <w:div w:id="163712998">
          <w:marLeft w:val="0"/>
          <w:marRight w:val="0"/>
          <w:marTop w:val="0"/>
          <w:marBottom w:val="0"/>
          <w:divBdr>
            <w:top w:val="none" w:sz="0" w:space="0" w:color="auto"/>
            <w:left w:val="none" w:sz="0" w:space="0" w:color="auto"/>
            <w:bottom w:val="none" w:sz="0" w:space="0" w:color="auto"/>
            <w:right w:val="none" w:sz="0" w:space="0" w:color="auto"/>
          </w:divBdr>
        </w:div>
        <w:div w:id="217516440">
          <w:marLeft w:val="0"/>
          <w:marRight w:val="0"/>
          <w:marTop w:val="0"/>
          <w:marBottom w:val="0"/>
          <w:divBdr>
            <w:top w:val="none" w:sz="0" w:space="0" w:color="auto"/>
            <w:left w:val="none" w:sz="0" w:space="0" w:color="auto"/>
            <w:bottom w:val="none" w:sz="0" w:space="0" w:color="auto"/>
            <w:right w:val="none" w:sz="0" w:space="0" w:color="auto"/>
          </w:divBdr>
        </w:div>
        <w:div w:id="238902898">
          <w:marLeft w:val="0"/>
          <w:marRight w:val="0"/>
          <w:marTop w:val="0"/>
          <w:marBottom w:val="0"/>
          <w:divBdr>
            <w:top w:val="none" w:sz="0" w:space="0" w:color="auto"/>
            <w:left w:val="none" w:sz="0" w:space="0" w:color="auto"/>
            <w:bottom w:val="none" w:sz="0" w:space="0" w:color="auto"/>
            <w:right w:val="none" w:sz="0" w:space="0" w:color="auto"/>
          </w:divBdr>
        </w:div>
        <w:div w:id="243606750">
          <w:marLeft w:val="0"/>
          <w:marRight w:val="0"/>
          <w:marTop w:val="0"/>
          <w:marBottom w:val="0"/>
          <w:divBdr>
            <w:top w:val="none" w:sz="0" w:space="0" w:color="auto"/>
            <w:left w:val="none" w:sz="0" w:space="0" w:color="auto"/>
            <w:bottom w:val="none" w:sz="0" w:space="0" w:color="auto"/>
            <w:right w:val="none" w:sz="0" w:space="0" w:color="auto"/>
          </w:divBdr>
        </w:div>
        <w:div w:id="294259278">
          <w:marLeft w:val="0"/>
          <w:marRight w:val="0"/>
          <w:marTop w:val="0"/>
          <w:marBottom w:val="0"/>
          <w:divBdr>
            <w:top w:val="none" w:sz="0" w:space="0" w:color="auto"/>
            <w:left w:val="none" w:sz="0" w:space="0" w:color="auto"/>
            <w:bottom w:val="none" w:sz="0" w:space="0" w:color="auto"/>
            <w:right w:val="none" w:sz="0" w:space="0" w:color="auto"/>
          </w:divBdr>
        </w:div>
        <w:div w:id="334652310">
          <w:marLeft w:val="0"/>
          <w:marRight w:val="0"/>
          <w:marTop w:val="0"/>
          <w:marBottom w:val="0"/>
          <w:divBdr>
            <w:top w:val="none" w:sz="0" w:space="0" w:color="auto"/>
            <w:left w:val="none" w:sz="0" w:space="0" w:color="auto"/>
            <w:bottom w:val="none" w:sz="0" w:space="0" w:color="auto"/>
            <w:right w:val="none" w:sz="0" w:space="0" w:color="auto"/>
          </w:divBdr>
        </w:div>
        <w:div w:id="376244149">
          <w:marLeft w:val="0"/>
          <w:marRight w:val="0"/>
          <w:marTop w:val="0"/>
          <w:marBottom w:val="0"/>
          <w:divBdr>
            <w:top w:val="none" w:sz="0" w:space="0" w:color="auto"/>
            <w:left w:val="none" w:sz="0" w:space="0" w:color="auto"/>
            <w:bottom w:val="none" w:sz="0" w:space="0" w:color="auto"/>
            <w:right w:val="none" w:sz="0" w:space="0" w:color="auto"/>
          </w:divBdr>
        </w:div>
        <w:div w:id="466045426">
          <w:marLeft w:val="0"/>
          <w:marRight w:val="0"/>
          <w:marTop w:val="0"/>
          <w:marBottom w:val="0"/>
          <w:divBdr>
            <w:top w:val="none" w:sz="0" w:space="0" w:color="auto"/>
            <w:left w:val="none" w:sz="0" w:space="0" w:color="auto"/>
            <w:bottom w:val="none" w:sz="0" w:space="0" w:color="auto"/>
            <w:right w:val="none" w:sz="0" w:space="0" w:color="auto"/>
          </w:divBdr>
        </w:div>
        <w:div w:id="499345852">
          <w:marLeft w:val="0"/>
          <w:marRight w:val="0"/>
          <w:marTop w:val="0"/>
          <w:marBottom w:val="0"/>
          <w:divBdr>
            <w:top w:val="none" w:sz="0" w:space="0" w:color="auto"/>
            <w:left w:val="none" w:sz="0" w:space="0" w:color="auto"/>
            <w:bottom w:val="none" w:sz="0" w:space="0" w:color="auto"/>
            <w:right w:val="none" w:sz="0" w:space="0" w:color="auto"/>
          </w:divBdr>
        </w:div>
        <w:div w:id="528687141">
          <w:marLeft w:val="0"/>
          <w:marRight w:val="0"/>
          <w:marTop w:val="0"/>
          <w:marBottom w:val="0"/>
          <w:divBdr>
            <w:top w:val="none" w:sz="0" w:space="0" w:color="auto"/>
            <w:left w:val="none" w:sz="0" w:space="0" w:color="auto"/>
            <w:bottom w:val="none" w:sz="0" w:space="0" w:color="auto"/>
            <w:right w:val="none" w:sz="0" w:space="0" w:color="auto"/>
          </w:divBdr>
        </w:div>
        <w:div w:id="599028981">
          <w:marLeft w:val="0"/>
          <w:marRight w:val="0"/>
          <w:marTop w:val="0"/>
          <w:marBottom w:val="0"/>
          <w:divBdr>
            <w:top w:val="none" w:sz="0" w:space="0" w:color="auto"/>
            <w:left w:val="none" w:sz="0" w:space="0" w:color="auto"/>
            <w:bottom w:val="none" w:sz="0" w:space="0" w:color="auto"/>
            <w:right w:val="none" w:sz="0" w:space="0" w:color="auto"/>
          </w:divBdr>
        </w:div>
        <w:div w:id="642269844">
          <w:marLeft w:val="0"/>
          <w:marRight w:val="0"/>
          <w:marTop w:val="0"/>
          <w:marBottom w:val="0"/>
          <w:divBdr>
            <w:top w:val="none" w:sz="0" w:space="0" w:color="auto"/>
            <w:left w:val="none" w:sz="0" w:space="0" w:color="auto"/>
            <w:bottom w:val="none" w:sz="0" w:space="0" w:color="auto"/>
            <w:right w:val="none" w:sz="0" w:space="0" w:color="auto"/>
          </w:divBdr>
        </w:div>
        <w:div w:id="826483486">
          <w:marLeft w:val="0"/>
          <w:marRight w:val="0"/>
          <w:marTop w:val="0"/>
          <w:marBottom w:val="0"/>
          <w:divBdr>
            <w:top w:val="none" w:sz="0" w:space="0" w:color="auto"/>
            <w:left w:val="none" w:sz="0" w:space="0" w:color="auto"/>
            <w:bottom w:val="none" w:sz="0" w:space="0" w:color="auto"/>
            <w:right w:val="none" w:sz="0" w:space="0" w:color="auto"/>
          </w:divBdr>
        </w:div>
        <w:div w:id="890310413">
          <w:marLeft w:val="0"/>
          <w:marRight w:val="0"/>
          <w:marTop w:val="0"/>
          <w:marBottom w:val="0"/>
          <w:divBdr>
            <w:top w:val="none" w:sz="0" w:space="0" w:color="auto"/>
            <w:left w:val="none" w:sz="0" w:space="0" w:color="auto"/>
            <w:bottom w:val="none" w:sz="0" w:space="0" w:color="auto"/>
            <w:right w:val="none" w:sz="0" w:space="0" w:color="auto"/>
          </w:divBdr>
        </w:div>
        <w:div w:id="953945818">
          <w:marLeft w:val="0"/>
          <w:marRight w:val="0"/>
          <w:marTop w:val="0"/>
          <w:marBottom w:val="0"/>
          <w:divBdr>
            <w:top w:val="none" w:sz="0" w:space="0" w:color="auto"/>
            <w:left w:val="none" w:sz="0" w:space="0" w:color="auto"/>
            <w:bottom w:val="none" w:sz="0" w:space="0" w:color="auto"/>
            <w:right w:val="none" w:sz="0" w:space="0" w:color="auto"/>
          </w:divBdr>
        </w:div>
        <w:div w:id="978994625">
          <w:marLeft w:val="0"/>
          <w:marRight w:val="0"/>
          <w:marTop w:val="0"/>
          <w:marBottom w:val="0"/>
          <w:divBdr>
            <w:top w:val="none" w:sz="0" w:space="0" w:color="auto"/>
            <w:left w:val="none" w:sz="0" w:space="0" w:color="auto"/>
            <w:bottom w:val="none" w:sz="0" w:space="0" w:color="auto"/>
            <w:right w:val="none" w:sz="0" w:space="0" w:color="auto"/>
          </w:divBdr>
        </w:div>
        <w:div w:id="980378907">
          <w:marLeft w:val="0"/>
          <w:marRight w:val="0"/>
          <w:marTop w:val="0"/>
          <w:marBottom w:val="0"/>
          <w:divBdr>
            <w:top w:val="none" w:sz="0" w:space="0" w:color="auto"/>
            <w:left w:val="none" w:sz="0" w:space="0" w:color="auto"/>
            <w:bottom w:val="none" w:sz="0" w:space="0" w:color="auto"/>
            <w:right w:val="none" w:sz="0" w:space="0" w:color="auto"/>
          </w:divBdr>
        </w:div>
        <w:div w:id="992025155">
          <w:marLeft w:val="0"/>
          <w:marRight w:val="0"/>
          <w:marTop w:val="0"/>
          <w:marBottom w:val="0"/>
          <w:divBdr>
            <w:top w:val="none" w:sz="0" w:space="0" w:color="auto"/>
            <w:left w:val="none" w:sz="0" w:space="0" w:color="auto"/>
            <w:bottom w:val="none" w:sz="0" w:space="0" w:color="auto"/>
            <w:right w:val="none" w:sz="0" w:space="0" w:color="auto"/>
          </w:divBdr>
        </w:div>
        <w:div w:id="1083601471">
          <w:marLeft w:val="0"/>
          <w:marRight w:val="0"/>
          <w:marTop w:val="0"/>
          <w:marBottom w:val="0"/>
          <w:divBdr>
            <w:top w:val="none" w:sz="0" w:space="0" w:color="auto"/>
            <w:left w:val="none" w:sz="0" w:space="0" w:color="auto"/>
            <w:bottom w:val="none" w:sz="0" w:space="0" w:color="auto"/>
            <w:right w:val="none" w:sz="0" w:space="0" w:color="auto"/>
          </w:divBdr>
        </w:div>
        <w:div w:id="1092237630">
          <w:marLeft w:val="0"/>
          <w:marRight w:val="0"/>
          <w:marTop w:val="0"/>
          <w:marBottom w:val="0"/>
          <w:divBdr>
            <w:top w:val="none" w:sz="0" w:space="0" w:color="auto"/>
            <w:left w:val="none" w:sz="0" w:space="0" w:color="auto"/>
            <w:bottom w:val="none" w:sz="0" w:space="0" w:color="auto"/>
            <w:right w:val="none" w:sz="0" w:space="0" w:color="auto"/>
          </w:divBdr>
        </w:div>
        <w:div w:id="1246526002">
          <w:marLeft w:val="0"/>
          <w:marRight w:val="0"/>
          <w:marTop w:val="0"/>
          <w:marBottom w:val="0"/>
          <w:divBdr>
            <w:top w:val="none" w:sz="0" w:space="0" w:color="auto"/>
            <w:left w:val="none" w:sz="0" w:space="0" w:color="auto"/>
            <w:bottom w:val="none" w:sz="0" w:space="0" w:color="auto"/>
            <w:right w:val="none" w:sz="0" w:space="0" w:color="auto"/>
          </w:divBdr>
        </w:div>
        <w:div w:id="1246722609">
          <w:marLeft w:val="0"/>
          <w:marRight w:val="0"/>
          <w:marTop w:val="0"/>
          <w:marBottom w:val="0"/>
          <w:divBdr>
            <w:top w:val="none" w:sz="0" w:space="0" w:color="auto"/>
            <w:left w:val="none" w:sz="0" w:space="0" w:color="auto"/>
            <w:bottom w:val="none" w:sz="0" w:space="0" w:color="auto"/>
            <w:right w:val="none" w:sz="0" w:space="0" w:color="auto"/>
          </w:divBdr>
        </w:div>
        <w:div w:id="1272276335">
          <w:marLeft w:val="0"/>
          <w:marRight w:val="0"/>
          <w:marTop w:val="0"/>
          <w:marBottom w:val="0"/>
          <w:divBdr>
            <w:top w:val="none" w:sz="0" w:space="0" w:color="auto"/>
            <w:left w:val="none" w:sz="0" w:space="0" w:color="auto"/>
            <w:bottom w:val="none" w:sz="0" w:space="0" w:color="auto"/>
            <w:right w:val="none" w:sz="0" w:space="0" w:color="auto"/>
          </w:divBdr>
        </w:div>
        <w:div w:id="1302803944">
          <w:marLeft w:val="0"/>
          <w:marRight w:val="0"/>
          <w:marTop w:val="0"/>
          <w:marBottom w:val="0"/>
          <w:divBdr>
            <w:top w:val="none" w:sz="0" w:space="0" w:color="auto"/>
            <w:left w:val="none" w:sz="0" w:space="0" w:color="auto"/>
            <w:bottom w:val="none" w:sz="0" w:space="0" w:color="auto"/>
            <w:right w:val="none" w:sz="0" w:space="0" w:color="auto"/>
          </w:divBdr>
        </w:div>
        <w:div w:id="1326546037">
          <w:marLeft w:val="0"/>
          <w:marRight w:val="0"/>
          <w:marTop w:val="0"/>
          <w:marBottom w:val="0"/>
          <w:divBdr>
            <w:top w:val="none" w:sz="0" w:space="0" w:color="auto"/>
            <w:left w:val="none" w:sz="0" w:space="0" w:color="auto"/>
            <w:bottom w:val="none" w:sz="0" w:space="0" w:color="auto"/>
            <w:right w:val="none" w:sz="0" w:space="0" w:color="auto"/>
          </w:divBdr>
        </w:div>
        <w:div w:id="1591042748">
          <w:marLeft w:val="0"/>
          <w:marRight w:val="0"/>
          <w:marTop w:val="0"/>
          <w:marBottom w:val="0"/>
          <w:divBdr>
            <w:top w:val="none" w:sz="0" w:space="0" w:color="auto"/>
            <w:left w:val="none" w:sz="0" w:space="0" w:color="auto"/>
            <w:bottom w:val="none" w:sz="0" w:space="0" w:color="auto"/>
            <w:right w:val="none" w:sz="0" w:space="0" w:color="auto"/>
          </w:divBdr>
        </w:div>
        <w:div w:id="1601572327">
          <w:marLeft w:val="0"/>
          <w:marRight w:val="0"/>
          <w:marTop w:val="0"/>
          <w:marBottom w:val="0"/>
          <w:divBdr>
            <w:top w:val="none" w:sz="0" w:space="0" w:color="auto"/>
            <w:left w:val="none" w:sz="0" w:space="0" w:color="auto"/>
            <w:bottom w:val="none" w:sz="0" w:space="0" w:color="auto"/>
            <w:right w:val="none" w:sz="0" w:space="0" w:color="auto"/>
          </w:divBdr>
        </w:div>
        <w:div w:id="1628076751">
          <w:marLeft w:val="0"/>
          <w:marRight w:val="0"/>
          <w:marTop w:val="0"/>
          <w:marBottom w:val="0"/>
          <w:divBdr>
            <w:top w:val="none" w:sz="0" w:space="0" w:color="auto"/>
            <w:left w:val="none" w:sz="0" w:space="0" w:color="auto"/>
            <w:bottom w:val="none" w:sz="0" w:space="0" w:color="auto"/>
            <w:right w:val="none" w:sz="0" w:space="0" w:color="auto"/>
          </w:divBdr>
        </w:div>
        <w:div w:id="1633514828">
          <w:marLeft w:val="0"/>
          <w:marRight w:val="0"/>
          <w:marTop w:val="0"/>
          <w:marBottom w:val="0"/>
          <w:divBdr>
            <w:top w:val="none" w:sz="0" w:space="0" w:color="auto"/>
            <w:left w:val="none" w:sz="0" w:space="0" w:color="auto"/>
            <w:bottom w:val="none" w:sz="0" w:space="0" w:color="auto"/>
            <w:right w:val="none" w:sz="0" w:space="0" w:color="auto"/>
          </w:divBdr>
        </w:div>
        <w:div w:id="1652178918">
          <w:marLeft w:val="0"/>
          <w:marRight w:val="0"/>
          <w:marTop w:val="0"/>
          <w:marBottom w:val="0"/>
          <w:divBdr>
            <w:top w:val="none" w:sz="0" w:space="0" w:color="auto"/>
            <w:left w:val="none" w:sz="0" w:space="0" w:color="auto"/>
            <w:bottom w:val="none" w:sz="0" w:space="0" w:color="auto"/>
            <w:right w:val="none" w:sz="0" w:space="0" w:color="auto"/>
          </w:divBdr>
        </w:div>
        <w:div w:id="1652710842">
          <w:marLeft w:val="0"/>
          <w:marRight w:val="0"/>
          <w:marTop w:val="0"/>
          <w:marBottom w:val="0"/>
          <w:divBdr>
            <w:top w:val="none" w:sz="0" w:space="0" w:color="auto"/>
            <w:left w:val="none" w:sz="0" w:space="0" w:color="auto"/>
            <w:bottom w:val="none" w:sz="0" w:space="0" w:color="auto"/>
            <w:right w:val="none" w:sz="0" w:space="0" w:color="auto"/>
          </w:divBdr>
        </w:div>
        <w:div w:id="1681619475">
          <w:marLeft w:val="0"/>
          <w:marRight w:val="0"/>
          <w:marTop w:val="0"/>
          <w:marBottom w:val="0"/>
          <w:divBdr>
            <w:top w:val="none" w:sz="0" w:space="0" w:color="auto"/>
            <w:left w:val="none" w:sz="0" w:space="0" w:color="auto"/>
            <w:bottom w:val="none" w:sz="0" w:space="0" w:color="auto"/>
            <w:right w:val="none" w:sz="0" w:space="0" w:color="auto"/>
          </w:divBdr>
        </w:div>
        <w:div w:id="1701053575">
          <w:marLeft w:val="0"/>
          <w:marRight w:val="0"/>
          <w:marTop w:val="0"/>
          <w:marBottom w:val="0"/>
          <w:divBdr>
            <w:top w:val="none" w:sz="0" w:space="0" w:color="auto"/>
            <w:left w:val="none" w:sz="0" w:space="0" w:color="auto"/>
            <w:bottom w:val="none" w:sz="0" w:space="0" w:color="auto"/>
            <w:right w:val="none" w:sz="0" w:space="0" w:color="auto"/>
          </w:divBdr>
        </w:div>
        <w:div w:id="1718436592">
          <w:marLeft w:val="0"/>
          <w:marRight w:val="0"/>
          <w:marTop w:val="0"/>
          <w:marBottom w:val="0"/>
          <w:divBdr>
            <w:top w:val="none" w:sz="0" w:space="0" w:color="auto"/>
            <w:left w:val="none" w:sz="0" w:space="0" w:color="auto"/>
            <w:bottom w:val="none" w:sz="0" w:space="0" w:color="auto"/>
            <w:right w:val="none" w:sz="0" w:space="0" w:color="auto"/>
          </w:divBdr>
        </w:div>
        <w:div w:id="1731685798">
          <w:marLeft w:val="0"/>
          <w:marRight w:val="0"/>
          <w:marTop w:val="0"/>
          <w:marBottom w:val="0"/>
          <w:divBdr>
            <w:top w:val="none" w:sz="0" w:space="0" w:color="auto"/>
            <w:left w:val="none" w:sz="0" w:space="0" w:color="auto"/>
            <w:bottom w:val="none" w:sz="0" w:space="0" w:color="auto"/>
            <w:right w:val="none" w:sz="0" w:space="0" w:color="auto"/>
          </w:divBdr>
        </w:div>
        <w:div w:id="1787850239">
          <w:marLeft w:val="0"/>
          <w:marRight w:val="0"/>
          <w:marTop w:val="0"/>
          <w:marBottom w:val="0"/>
          <w:divBdr>
            <w:top w:val="none" w:sz="0" w:space="0" w:color="auto"/>
            <w:left w:val="none" w:sz="0" w:space="0" w:color="auto"/>
            <w:bottom w:val="none" w:sz="0" w:space="0" w:color="auto"/>
            <w:right w:val="none" w:sz="0" w:space="0" w:color="auto"/>
          </w:divBdr>
        </w:div>
        <w:div w:id="1816946962">
          <w:marLeft w:val="0"/>
          <w:marRight w:val="0"/>
          <w:marTop w:val="0"/>
          <w:marBottom w:val="0"/>
          <w:divBdr>
            <w:top w:val="none" w:sz="0" w:space="0" w:color="auto"/>
            <w:left w:val="none" w:sz="0" w:space="0" w:color="auto"/>
            <w:bottom w:val="none" w:sz="0" w:space="0" w:color="auto"/>
            <w:right w:val="none" w:sz="0" w:space="0" w:color="auto"/>
          </w:divBdr>
        </w:div>
        <w:div w:id="1891460488">
          <w:marLeft w:val="0"/>
          <w:marRight w:val="0"/>
          <w:marTop w:val="0"/>
          <w:marBottom w:val="0"/>
          <w:divBdr>
            <w:top w:val="none" w:sz="0" w:space="0" w:color="auto"/>
            <w:left w:val="none" w:sz="0" w:space="0" w:color="auto"/>
            <w:bottom w:val="none" w:sz="0" w:space="0" w:color="auto"/>
            <w:right w:val="none" w:sz="0" w:space="0" w:color="auto"/>
          </w:divBdr>
        </w:div>
        <w:div w:id="1967738530">
          <w:marLeft w:val="0"/>
          <w:marRight w:val="0"/>
          <w:marTop w:val="0"/>
          <w:marBottom w:val="0"/>
          <w:divBdr>
            <w:top w:val="none" w:sz="0" w:space="0" w:color="auto"/>
            <w:left w:val="none" w:sz="0" w:space="0" w:color="auto"/>
            <w:bottom w:val="none" w:sz="0" w:space="0" w:color="auto"/>
            <w:right w:val="none" w:sz="0" w:space="0" w:color="auto"/>
          </w:divBdr>
        </w:div>
        <w:div w:id="2071029283">
          <w:marLeft w:val="0"/>
          <w:marRight w:val="0"/>
          <w:marTop w:val="0"/>
          <w:marBottom w:val="0"/>
          <w:divBdr>
            <w:top w:val="none" w:sz="0" w:space="0" w:color="auto"/>
            <w:left w:val="none" w:sz="0" w:space="0" w:color="auto"/>
            <w:bottom w:val="none" w:sz="0" w:space="0" w:color="auto"/>
            <w:right w:val="none" w:sz="0" w:space="0" w:color="auto"/>
          </w:divBdr>
        </w:div>
        <w:div w:id="2080981476">
          <w:marLeft w:val="0"/>
          <w:marRight w:val="0"/>
          <w:marTop w:val="0"/>
          <w:marBottom w:val="0"/>
          <w:divBdr>
            <w:top w:val="none" w:sz="0" w:space="0" w:color="auto"/>
            <w:left w:val="none" w:sz="0" w:space="0" w:color="auto"/>
            <w:bottom w:val="none" w:sz="0" w:space="0" w:color="auto"/>
            <w:right w:val="none" w:sz="0" w:space="0" w:color="auto"/>
          </w:divBdr>
        </w:div>
        <w:div w:id="2082216032">
          <w:marLeft w:val="0"/>
          <w:marRight w:val="0"/>
          <w:marTop w:val="0"/>
          <w:marBottom w:val="0"/>
          <w:divBdr>
            <w:top w:val="none" w:sz="0" w:space="0" w:color="auto"/>
            <w:left w:val="none" w:sz="0" w:space="0" w:color="auto"/>
            <w:bottom w:val="none" w:sz="0" w:space="0" w:color="auto"/>
            <w:right w:val="none" w:sz="0" w:space="0" w:color="auto"/>
          </w:divBdr>
        </w:div>
        <w:div w:id="2096366210">
          <w:marLeft w:val="0"/>
          <w:marRight w:val="0"/>
          <w:marTop w:val="0"/>
          <w:marBottom w:val="0"/>
          <w:divBdr>
            <w:top w:val="none" w:sz="0" w:space="0" w:color="auto"/>
            <w:left w:val="none" w:sz="0" w:space="0" w:color="auto"/>
            <w:bottom w:val="none" w:sz="0" w:space="0" w:color="auto"/>
            <w:right w:val="none" w:sz="0" w:space="0" w:color="auto"/>
          </w:divBdr>
        </w:div>
        <w:div w:id="2112312315">
          <w:marLeft w:val="0"/>
          <w:marRight w:val="0"/>
          <w:marTop w:val="0"/>
          <w:marBottom w:val="0"/>
          <w:divBdr>
            <w:top w:val="none" w:sz="0" w:space="0" w:color="auto"/>
            <w:left w:val="none" w:sz="0" w:space="0" w:color="auto"/>
            <w:bottom w:val="none" w:sz="0" w:space="0" w:color="auto"/>
            <w:right w:val="none" w:sz="0" w:space="0" w:color="auto"/>
          </w:divBdr>
        </w:div>
        <w:div w:id="2113471089">
          <w:marLeft w:val="0"/>
          <w:marRight w:val="0"/>
          <w:marTop w:val="0"/>
          <w:marBottom w:val="0"/>
          <w:divBdr>
            <w:top w:val="none" w:sz="0" w:space="0" w:color="auto"/>
            <w:left w:val="none" w:sz="0" w:space="0" w:color="auto"/>
            <w:bottom w:val="none" w:sz="0" w:space="0" w:color="auto"/>
            <w:right w:val="none" w:sz="0" w:space="0" w:color="auto"/>
          </w:divBdr>
        </w:div>
      </w:divsChild>
    </w:div>
    <w:div w:id="2025285187">
      <w:bodyDiv w:val="1"/>
      <w:marLeft w:val="0"/>
      <w:marRight w:val="0"/>
      <w:marTop w:val="0"/>
      <w:marBottom w:val="0"/>
      <w:divBdr>
        <w:top w:val="none" w:sz="0" w:space="0" w:color="auto"/>
        <w:left w:val="none" w:sz="0" w:space="0" w:color="auto"/>
        <w:bottom w:val="none" w:sz="0" w:space="0" w:color="auto"/>
        <w:right w:val="none" w:sz="0" w:space="0" w:color="auto"/>
      </w:divBdr>
    </w:div>
    <w:div w:id="2026665691">
      <w:bodyDiv w:val="1"/>
      <w:marLeft w:val="0"/>
      <w:marRight w:val="0"/>
      <w:marTop w:val="0"/>
      <w:marBottom w:val="0"/>
      <w:divBdr>
        <w:top w:val="none" w:sz="0" w:space="0" w:color="auto"/>
        <w:left w:val="none" w:sz="0" w:space="0" w:color="auto"/>
        <w:bottom w:val="none" w:sz="0" w:space="0" w:color="auto"/>
        <w:right w:val="none" w:sz="0" w:space="0" w:color="auto"/>
      </w:divBdr>
    </w:div>
    <w:div w:id="2028361504">
      <w:bodyDiv w:val="1"/>
      <w:marLeft w:val="0"/>
      <w:marRight w:val="0"/>
      <w:marTop w:val="0"/>
      <w:marBottom w:val="0"/>
      <w:divBdr>
        <w:top w:val="none" w:sz="0" w:space="0" w:color="auto"/>
        <w:left w:val="none" w:sz="0" w:space="0" w:color="auto"/>
        <w:bottom w:val="none" w:sz="0" w:space="0" w:color="auto"/>
        <w:right w:val="none" w:sz="0" w:space="0" w:color="auto"/>
      </w:divBdr>
    </w:div>
    <w:div w:id="2030837655">
      <w:bodyDiv w:val="1"/>
      <w:marLeft w:val="0"/>
      <w:marRight w:val="0"/>
      <w:marTop w:val="0"/>
      <w:marBottom w:val="0"/>
      <w:divBdr>
        <w:top w:val="none" w:sz="0" w:space="0" w:color="auto"/>
        <w:left w:val="none" w:sz="0" w:space="0" w:color="auto"/>
        <w:bottom w:val="none" w:sz="0" w:space="0" w:color="auto"/>
        <w:right w:val="none" w:sz="0" w:space="0" w:color="auto"/>
      </w:divBdr>
    </w:div>
    <w:div w:id="2034453277">
      <w:bodyDiv w:val="1"/>
      <w:marLeft w:val="0"/>
      <w:marRight w:val="0"/>
      <w:marTop w:val="0"/>
      <w:marBottom w:val="0"/>
      <w:divBdr>
        <w:top w:val="none" w:sz="0" w:space="0" w:color="auto"/>
        <w:left w:val="none" w:sz="0" w:space="0" w:color="auto"/>
        <w:bottom w:val="none" w:sz="0" w:space="0" w:color="auto"/>
        <w:right w:val="none" w:sz="0" w:space="0" w:color="auto"/>
      </w:divBdr>
    </w:div>
    <w:div w:id="2036038582">
      <w:bodyDiv w:val="1"/>
      <w:marLeft w:val="0"/>
      <w:marRight w:val="0"/>
      <w:marTop w:val="0"/>
      <w:marBottom w:val="0"/>
      <w:divBdr>
        <w:top w:val="none" w:sz="0" w:space="0" w:color="auto"/>
        <w:left w:val="none" w:sz="0" w:space="0" w:color="auto"/>
        <w:bottom w:val="none" w:sz="0" w:space="0" w:color="auto"/>
        <w:right w:val="none" w:sz="0" w:space="0" w:color="auto"/>
      </w:divBdr>
    </w:div>
    <w:div w:id="2040737973">
      <w:bodyDiv w:val="1"/>
      <w:marLeft w:val="0"/>
      <w:marRight w:val="0"/>
      <w:marTop w:val="0"/>
      <w:marBottom w:val="0"/>
      <w:divBdr>
        <w:top w:val="none" w:sz="0" w:space="0" w:color="auto"/>
        <w:left w:val="none" w:sz="0" w:space="0" w:color="auto"/>
        <w:bottom w:val="none" w:sz="0" w:space="0" w:color="auto"/>
        <w:right w:val="none" w:sz="0" w:space="0" w:color="auto"/>
      </w:divBdr>
      <w:divsChild>
        <w:div w:id="402609071">
          <w:marLeft w:val="0"/>
          <w:marRight w:val="0"/>
          <w:marTop w:val="0"/>
          <w:marBottom w:val="0"/>
          <w:divBdr>
            <w:top w:val="none" w:sz="0" w:space="0" w:color="auto"/>
            <w:left w:val="none" w:sz="0" w:space="0" w:color="auto"/>
            <w:bottom w:val="none" w:sz="0" w:space="0" w:color="auto"/>
            <w:right w:val="none" w:sz="0" w:space="0" w:color="auto"/>
          </w:divBdr>
          <w:divsChild>
            <w:div w:id="714698617">
              <w:marLeft w:val="0"/>
              <w:marRight w:val="0"/>
              <w:marTop w:val="15"/>
              <w:marBottom w:val="0"/>
              <w:divBdr>
                <w:top w:val="none" w:sz="0" w:space="0" w:color="auto"/>
                <w:left w:val="none" w:sz="0" w:space="0" w:color="auto"/>
                <w:bottom w:val="none" w:sz="0" w:space="0" w:color="auto"/>
                <w:right w:val="none" w:sz="0" w:space="0" w:color="auto"/>
              </w:divBdr>
              <w:divsChild>
                <w:div w:id="1889031238">
                  <w:marLeft w:val="0"/>
                  <w:marRight w:val="0"/>
                  <w:marTop w:val="0"/>
                  <w:marBottom w:val="0"/>
                  <w:divBdr>
                    <w:top w:val="none" w:sz="0" w:space="0" w:color="auto"/>
                    <w:left w:val="single" w:sz="6" w:space="0" w:color="B5B5B5"/>
                    <w:bottom w:val="none" w:sz="0" w:space="0" w:color="auto"/>
                    <w:right w:val="single" w:sz="6" w:space="0" w:color="B5B5B5"/>
                  </w:divBdr>
                  <w:divsChild>
                    <w:div w:id="302850867">
                      <w:marLeft w:val="75"/>
                      <w:marRight w:val="75"/>
                      <w:marTop w:val="0"/>
                      <w:marBottom w:val="0"/>
                      <w:divBdr>
                        <w:top w:val="none" w:sz="0" w:space="0" w:color="auto"/>
                        <w:left w:val="none" w:sz="0" w:space="0" w:color="auto"/>
                        <w:bottom w:val="none" w:sz="0" w:space="0" w:color="auto"/>
                        <w:right w:val="none" w:sz="0" w:space="0" w:color="auto"/>
                      </w:divBdr>
                      <w:divsChild>
                        <w:div w:id="1079327618">
                          <w:marLeft w:val="0"/>
                          <w:marRight w:val="0"/>
                          <w:marTop w:val="0"/>
                          <w:marBottom w:val="0"/>
                          <w:divBdr>
                            <w:top w:val="dotted" w:sz="6" w:space="0" w:color="B5B5B5"/>
                            <w:left w:val="none" w:sz="0" w:space="0" w:color="auto"/>
                            <w:bottom w:val="none" w:sz="0" w:space="0" w:color="auto"/>
                            <w:right w:val="none" w:sz="0" w:space="0" w:color="auto"/>
                          </w:divBdr>
                          <w:divsChild>
                            <w:div w:id="339743630">
                              <w:marLeft w:val="0"/>
                              <w:marRight w:val="0"/>
                              <w:marTop w:val="75"/>
                              <w:marBottom w:val="0"/>
                              <w:divBdr>
                                <w:top w:val="none" w:sz="0" w:space="0" w:color="auto"/>
                                <w:left w:val="none" w:sz="0" w:space="0" w:color="auto"/>
                                <w:bottom w:val="none" w:sz="0" w:space="0" w:color="auto"/>
                                <w:right w:val="none" w:sz="0" w:space="0" w:color="auto"/>
                              </w:divBdr>
                              <w:divsChild>
                                <w:div w:id="476724799">
                                  <w:marLeft w:val="0"/>
                                  <w:marRight w:val="0"/>
                                  <w:marTop w:val="0"/>
                                  <w:marBottom w:val="0"/>
                                  <w:divBdr>
                                    <w:top w:val="none" w:sz="0" w:space="0" w:color="auto"/>
                                    <w:left w:val="none" w:sz="0" w:space="0" w:color="auto"/>
                                    <w:bottom w:val="none" w:sz="0" w:space="0" w:color="auto"/>
                                    <w:right w:val="none" w:sz="0" w:space="0" w:color="auto"/>
                                  </w:divBdr>
                                  <w:divsChild>
                                    <w:div w:id="1792628486">
                                      <w:marLeft w:val="0"/>
                                      <w:marRight w:val="0"/>
                                      <w:marTop w:val="0"/>
                                      <w:marBottom w:val="0"/>
                                      <w:divBdr>
                                        <w:top w:val="none" w:sz="0" w:space="0" w:color="auto"/>
                                        <w:left w:val="none" w:sz="0" w:space="0" w:color="auto"/>
                                        <w:bottom w:val="none" w:sz="0" w:space="0" w:color="auto"/>
                                        <w:right w:val="none" w:sz="0" w:space="0" w:color="auto"/>
                                      </w:divBdr>
                                      <w:divsChild>
                                        <w:div w:id="1314020501">
                                          <w:marLeft w:val="525"/>
                                          <w:marRight w:val="0"/>
                                          <w:marTop w:val="0"/>
                                          <w:marBottom w:val="0"/>
                                          <w:divBdr>
                                            <w:top w:val="none" w:sz="0" w:space="0" w:color="auto"/>
                                            <w:left w:val="none" w:sz="0" w:space="0" w:color="auto"/>
                                            <w:bottom w:val="none" w:sz="0" w:space="0" w:color="auto"/>
                                            <w:right w:val="none" w:sz="0" w:space="0" w:color="auto"/>
                                          </w:divBdr>
                                          <w:divsChild>
                                            <w:div w:id="116165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7411734">
      <w:bodyDiv w:val="1"/>
      <w:marLeft w:val="0"/>
      <w:marRight w:val="0"/>
      <w:marTop w:val="0"/>
      <w:marBottom w:val="0"/>
      <w:divBdr>
        <w:top w:val="none" w:sz="0" w:space="0" w:color="auto"/>
        <w:left w:val="none" w:sz="0" w:space="0" w:color="auto"/>
        <w:bottom w:val="none" w:sz="0" w:space="0" w:color="auto"/>
        <w:right w:val="none" w:sz="0" w:space="0" w:color="auto"/>
      </w:divBdr>
      <w:divsChild>
        <w:div w:id="515388783">
          <w:marLeft w:val="0"/>
          <w:marRight w:val="0"/>
          <w:marTop w:val="0"/>
          <w:marBottom w:val="0"/>
          <w:divBdr>
            <w:top w:val="none" w:sz="0" w:space="0" w:color="auto"/>
            <w:left w:val="none" w:sz="0" w:space="0" w:color="auto"/>
            <w:bottom w:val="none" w:sz="0" w:space="0" w:color="auto"/>
            <w:right w:val="none" w:sz="0" w:space="0" w:color="auto"/>
          </w:divBdr>
        </w:div>
      </w:divsChild>
    </w:div>
    <w:div w:id="2048793720">
      <w:bodyDiv w:val="1"/>
      <w:marLeft w:val="0"/>
      <w:marRight w:val="0"/>
      <w:marTop w:val="0"/>
      <w:marBottom w:val="0"/>
      <w:divBdr>
        <w:top w:val="none" w:sz="0" w:space="0" w:color="auto"/>
        <w:left w:val="none" w:sz="0" w:space="0" w:color="auto"/>
        <w:bottom w:val="none" w:sz="0" w:space="0" w:color="auto"/>
        <w:right w:val="none" w:sz="0" w:space="0" w:color="auto"/>
      </w:divBdr>
    </w:div>
    <w:div w:id="2051101858">
      <w:bodyDiv w:val="1"/>
      <w:marLeft w:val="0"/>
      <w:marRight w:val="0"/>
      <w:marTop w:val="0"/>
      <w:marBottom w:val="0"/>
      <w:divBdr>
        <w:top w:val="none" w:sz="0" w:space="0" w:color="auto"/>
        <w:left w:val="none" w:sz="0" w:space="0" w:color="auto"/>
        <w:bottom w:val="none" w:sz="0" w:space="0" w:color="auto"/>
        <w:right w:val="none" w:sz="0" w:space="0" w:color="auto"/>
      </w:divBdr>
    </w:div>
    <w:div w:id="2051102914">
      <w:bodyDiv w:val="1"/>
      <w:marLeft w:val="0"/>
      <w:marRight w:val="0"/>
      <w:marTop w:val="0"/>
      <w:marBottom w:val="0"/>
      <w:divBdr>
        <w:top w:val="none" w:sz="0" w:space="0" w:color="auto"/>
        <w:left w:val="none" w:sz="0" w:space="0" w:color="auto"/>
        <w:bottom w:val="none" w:sz="0" w:space="0" w:color="auto"/>
        <w:right w:val="none" w:sz="0" w:space="0" w:color="auto"/>
      </w:divBdr>
    </w:div>
    <w:div w:id="2052881594">
      <w:bodyDiv w:val="1"/>
      <w:marLeft w:val="0"/>
      <w:marRight w:val="0"/>
      <w:marTop w:val="0"/>
      <w:marBottom w:val="0"/>
      <w:divBdr>
        <w:top w:val="none" w:sz="0" w:space="0" w:color="auto"/>
        <w:left w:val="none" w:sz="0" w:space="0" w:color="auto"/>
        <w:bottom w:val="none" w:sz="0" w:space="0" w:color="auto"/>
        <w:right w:val="none" w:sz="0" w:space="0" w:color="auto"/>
      </w:divBdr>
      <w:divsChild>
        <w:div w:id="1352951232">
          <w:marLeft w:val="0"/>
          <w:marRight w:val="0"/>
          <w:marTop w:val="0"/>
          <w:marBottom w:val="0"/>
          <w:divBdr>
            <w:top w:val="none" w:sz="0" w:space="0" w:color="auto"/>
            <w:left w:val="none" w:sz="0" w:space="0" w:color="auto"/>
            <w:bottom w:val="none" w:sz="0" w:space="0" w:color="auto"/>
            <w:right w:val="none" w:sz="0" w:space="0" w:color="auto"/>
          </w:divBdr>
          <w:divsChild>
            <w:div w:id="1564558445">
              <w:marLeft w:val="0"/>
              <w:marRight w:val="0"/>
              <w:marTop w:val="0"/>
              <w:marBottom w:val="0"/>
              <w:divBdr>
                <w:top w:val="none" w:sz="0" w:space="0" w:color="auto"/>
                <w:left w:val="none" w:sz="0" w:space="0" w:color="auto"/>
                <w:bottom w:val="none" w:sz="0" w:space="0" w:color="auto"/>
                <w:right w:val="none" w:sz="0" w:space="0" w:color="auto"/>
              </w:divBdr>
              <w:divsChild>
                <w:div w:id="1124496194">
                  <w:marLeft w:val="0"/>
                  <w:marRight w:val="0"/>
                  <w:marTop w:val="0"/>
                  <w:marBottom w:val="0"/>
                  <w:divBdr>
                    <w:top w:val="none" w:sz="0" w:space="0" w:color="auto"/>
                    <w:left w:val="none" w:sz="0" w:space="0" w:color="auto"/>
                    <w:bottom w:val="none" w:sz="0" w:space="0" w:color="auto"/>
                    <w:right w:val="none" w:sz="0" w:space="0" w:color="auto"/>
                  </w:divBdr>
                </w:div>
              </w:divsChild>
            </w:div>
            <w:div w:id="1001350677">
              <w:marLeft w:val="0"/>
              <w:marRight w:val="0"/>
              <w:marTop w:val="0"/>
              <w:marBottom w:val="0"/>
              <w:divBdr>
                <w:top w:val="none" w:sz="0" w:space="0" w:color="auto"/>
                <w:left w:val="none" w:sz="0" w:space="0" w:color="auto"/>
                <w:bottom w:val="none" w:sz="0" w:space="0" w:color="auto"/>
                <w:right w:val="none" w:sz="0" w:space="0" w:color="auto"/>
              </w:divBdr>
              <w:divsChild>
                <w:div w:id="87628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01949">
          <w:marLeft w:val="0"/>
          <w:marRight w:val="0"/>
          <w:marTop w:val="0"/>
          <w:marBottom w:val="0"/>
          <w:divBdr>
            <w:top w:val="none" w:sz="0" w:space="0" w:color="auto"/>
            <w:left w:val="none" w:sz="0" w:space="0" w:color="auto"/>
            <w:bottom w:val="none" w:sz="0" w:space="0" w:color="auto"/>
            <w:right w:val="none" w:sz="0" w:space="0" w:color="auto"/>
          </w:divBdr>
          <w:divsChild>
            <w:div w:id="1328316200">
              <w:marLeft w:val="0"/>
              <w:marRight w:val="0"/>
              <w:marTop w:val="0"/>
              <w:marBottom w:val="0"/>
              <w:divBdr>
                <w:top w:val="none" w:sz="0" w:space="0" w:color="auto"/>
                <w:left w:val="none" w:sz="0" w:space="0" w:color="auto"/>
                <w:bottom w:val="none" w:sz="0" w:space="0" w:color="auto"/>
                <w:right w:val="none" w:sz="0" w:space="0" w:color="auto"/>
              </w:divBdr>
              <w:divsChild>
                <w:div w:id="638463144">
                  <w:marLeft w:val="0"/>
                  <w:marRight w:val="0"/>
                  <w:marTop w:val="0"/>
                  <w:marBottom w:val="0"/>
                  <w:divBdr>
                    <w:top w:val="none" w:sz="0" w:space="0" w:color="auto"/>
                    <w:left w:val="none" w:sz="0" w:space="0" w:color="auto"/>
                    <w:bottom w:val="none" w:sz="0" w:space="0" w:color="auto"/>
                    <w:right w:val="none" w:sz="0" w:space="0" w:color="auto"/>
                  </w:divBdr>
                </w:div>
              </w:divsChild>
            </w:div>
            <w:div w:id="1697778438">
              <w:marLeft w:val="0"/>
              <w:marRight w:val="0"/>
              <w:marTop w:val="0"/>
              <w:marBottom w:val="0"/>
              <w:divBdr>
                <w:top w:val="none" w:sz="0" w:space="0" w:color="auto"/>
                <w:left w:val="none" w:sz="0" w:space="0" w:color="auto"/>
                <w:bottom w:val="none" w:sz="0" w:space="0" w:color="auto"/>
                <w:right w:val="none" w:sz="0" w:space="0" w:color="auto"/>
              </w:divBdr>
              <w:divsChild>
                <w:div w:id="102082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9204">
      <w:bodyDiv w:val="1"/>
      <w:marLeft w:val="0"/>
      <w:marRight w:val="0"/>
      <w:marTop w:val="0"/>
      <w:marBottom w:val="0"/>
      <w:divBdr>
        <w:top w:val="none" w:sz="0" w:space="0" w:color="auto"/>
        <w:left w:val="none" w:sz="0" w:space="0" w:color="auto"/>
        <w:bottom w:val="none" w:sz="0" w:space="0" w:color="auto"/>
        <w:right w:val="none" w:sz="0" w:space="0" w:color="auto"/>
      </w:divBdr>
    </w:div>
    <w:div w:id="2054841464">
      <w:bodyDiv w:val="1"/>
      <w:marLeft w:val="0"/>
      <w:marRight w:val="0"/>
      <w:marTop w:val="0"/>
      <w:marBottom w:val="0"/>
      <w:divBdr>
        <w:top w:val="none" w:sz="0" w:space="0" w:color="auto"/>
        <w:left w:val="none" w:sz="0" w:space="0" w:color="auto"/>
        <w:bottom w:val="none" w:sz="0" w:space="0" w:color="auto"/>
        <w:right w:val="none" w:sz="0" w:space="0" w:color="auto"/>
      </w:divBdr>
    </w:div>
    <w:div w:id="2056735957">
      <w:bodyDiv w:val="1"/>
      <w:marLeft w:val="0"/>
      <w:marRight w:val="0"/>
      <w:marTop w:val="0"/>
      <w:marBottom w:val="0"/>
      <w:divBdr>
        <w:top w:val="none" w:sz="0" w:space="0" w:color="auto"/>
        <w:left w:val="none" w:sz="0" w:space="0" w:color="auto"/>
        <w:bottom w:val="none" w:sz="0" w:space="0" w:color="auto"/>
        <w:right w:val="none" w:sz="0" w:space="0" w:color="auto"/>
      </w:divBdr>
    </w:div>
    <w:div w:id="2057657916">
      <w:bodyDiv w:val="1"/>
      <w:marLeft w:val="0"/>
      <w:marRight w:val="0"/>
      <w:marTop w:val="0"/>
      <w:marBottom w:val="0"/>
      <w:divBdr>
        <w:top w:val="none" w:sz="0" w:space="0" w:color="auto"/>
        <w:left w:val="none" w:sz="0" w:space="0" w:color="auto"/>
        <w:bottom w:val="none" w:sz="0" w:space="0" w:color="auto"/>
        <w:right w:val="none" w:sz="0" w:space="0" w:color="auto"/>
      </w:divBdr>
      <w:divsChild>
        <w:div w:id="1188446973">
          <w:marLeft w:val="0"/>
          <w:marRight w:val="0"/>
          <w:marTop w:val="0"/>
          <w:marBottom w:val="0"/>
          <w:divBdr>
            <w:top w:val="none" w:sz="0" w:space="0" w:color="auto"/>
            <w:left w:val="none" w:sz="0" w:space="0" w:color="auto"/>
            <w:bottom w:val="none" w:sz="0" w:space="0" w:color="auto"/>
            <w:right w:val="none" w:sz="0" w:space="0" w:color="auto"/>
          </w:divBdr>
          <w:divsChild>
            <w:div w:id="904992217">
              <w:marLeft w:val="0"/>
              <w:marRight w:val="0"/>
              <w:marTop w:val="15"/>
              <w:marBottom w:val="0"/>
              <w:divBdr>
                <w:top w:val="none" w:sz="0" w:space="0" w:color="auto"/>
                <w:left w:val="none" w:sz="0" w:space="0" w:color="auto"/>
                <w:bottom w:val="none" w:sz="0" w:space="0" w:color="auto"/>
                <w:right w:val="none" w:sz="0" w:space="0" w:color="auto"/>
              </w:divBdr>
              <w:divsChild>
                <w:div w:id="550966435">
                  <w:marLeft w:val="0"/>
                  <w:marRight w:val="0"/>
                  <w:marTop w:val="0"/>
                  <w:marBottom w:val="0"/>
                  <w:divBdr>
                    <w:top w:val="none" w:sz="0" w:space="0" w:color="auto"/>
                    <w:left w:val="single" w:sz="6" w:space="0" w:color="B5B5B5"/>
                    <w:bottom w:val="none" w:sz="0" w:space="0" w:color="auto"/>
                    <w:right w:val="single" w:sz="6" w:space="0" w:color="B5B5B5"/>
                  </w:divBdr>
                  <w:divsChild>
                    <w:div w:id="2099400667">
                      <w:marLeft w:val="75"/>
                      <w:marRight w:val="75"/>
                      <w:marTop w:val="0"/>
                      <w:marBottom w:val="0"/>
                      <w:divBdr>
                        <w:top w:val="none" w:sz="0" w:space="0" w:color="auto"/>
                        <w:left w:val="none" w:sz="0" w:space="0" w:color="auto"/>
                        <w:bottom w:val="none" w:sz="0" w:space="0" w:color="auto"/>
                        <w:right w:val="none" w:sz="0" w:space="0" w:color="auto"/>
                      </w:divBdr>
                      <w:divsChild>
                        <w:div w:id="1063529091">
                          <w:marLeft w:val="0"/>
                          <w:marRight w:val="0"/>
                          <w:marTop w:val="0"/>
                          <w:marBottom w:val="0"/>
                          <w:divBdr>
                            <w:top w:val="dotted" w:sz="6" w:space="0" w:color="B5B5B5"/>
                            <w:left w:val="none" w:sz="0" w:space="0" w:color="auto"/>
                            <w:bottom w:val="none" w:sz="0" w:space="0" w:color="auto"/>
                            <w:right w:val="none" w:sz="0" w:space="0" w:color="auto"/>
                          </w:divBdr>
                          <w:divsChild>
                            <w:div w:id="1531458508">
                              <w:marLeft w:val="0"/>
                              <w:marRight w:val="0"/>
                              <w:marTop w:val="75"/>
                              <w:marBottom w:val="0"/>
                              <w:divBdr>
                                <w:top w:val="none" w:sz="0" w:space="0" w:color="auto"/>
                                <w:left w:val="none" w:sz="0" w:space="0" w:color="auto"/>
                                <w:bottom w:val="none" w:sz="0" w:space="0" w:color="auto"/>
                                <w:right w:val="none" w:sz="0" w:space="0" w:color="auto"/>
                              </w:divBdr>
                              <w:divsChild>
                                <w:div w:id="282661301">
                                  <w:marLeft w:val="0"/>
                                  <w:marRight w:val="0"/>
                                  <w:marTop w:val="0"/>
                                  <w:marBottom w:val="0"/>
                                  <w:divBdr>
                                    <w:top w:val="none" w:sz="0" w:space="0" w:color="auto"/>
                                    <w:left w:val="none" w:sz="0" w:space="0" w:color="auto"/>
                                    <w:bottom w:val="none" w:sz="0" w:space="0" w:color="auto"/>
                                    <w:right w:val="none" w:sz="0" w:space="0" w:color="auto"/>
                                  </w:divBdr>
                                  <w:divsChild>
                                    <w:div w:id="1746996959">
                                      <w:marLeft w:val="0"/>
                                      <w:marRight w:val="0"/>
                                      <w:marTop w:val="0"/>
                                      <w:marBottom w:val="0"/>
                                      <w:divBdr>
                                        <w:top w:val="none" w:sz="0" w:space="0" w:color="auto"/>
                                        <w:left w:val="none" w:sz="0" w:space="0" w:color="auto"/>
                                        <w:bottom w:val="none" w:sz="0" w:space="0" w:color="auto"/>
                                        <w:right w:val="none" w:sz="0" w:space="0" w:color="auto"/>
                                      </w:divBdr>
                                      <w:divsChild>
                                        <w:div w:id="1927224982">
                                          <w:marLeft w:val="525"/>
                                          <w:marRight w:val="0"/>
                                          <w:marTop w:val="0"/>
                                          <w:marBottom w:val="0"/>
                                          <w:divBdr>
                                            <w:top w:val="none" w:sz="0" w:space="0" w:color="auto"/>
                                            <w:left w:val="none" w:sz="0" w:space="0" w:color="auto"/>
                                            <w:bottom w:val="none" w:sz="0" w:space="0" w:color="auto"/>
                                            <w:right w:val="none" w:sz="0" w:space="0" w:color="auto"/>
                                          </w:divBdr>
                                          <w:divsChild>
                                            <w:div w:id="17951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0856678">
      <w:bodyDiv w:val="1"/>
      <w:marLeft w:val="0"/>
      <w:marRight w:val="0"/>
      <w:marTop w:val="0"/>
      <w:marBottom w:val="0"/>
      <w:divBdr>
        <w:top w:val="none" w:sz="0" w:space="0" w:color="auto"/>
        <w:left w:val="none" w:sz="0" w:space="0" w:color="auto"/>
        <w:bottom w:val="none" w:sz="0" w:space="0" w:color="auto"/>
        <w:right w:val="none" w:sz="0" w:space="0" w:color="auto"/>
      </w:divBdr>
    </w:div>
    <w:div w:id="2064213018">
      <w:bodyDiv w:val="1"/>
      <w:marLeft w:val="0"/>
      <w:marRight w:val="0"/>
      <w:marTop w:val="0"/>
      <w:marBottom w:val="0"/>
      <w:divBdr>
        <w:top w:val="none" w:sz="0" w:space="0" w:color="auto"/>
        <w:left w:val="none" w:sz="0" w:space="0" w:color="auto"/>
        <w:bottom w:val="none" w:sz="0" w:space="0" w:color="auto"/>
        <w:right w:val="none" w:sz="0" w:space="0" w:color="auto"/>
      </w:divBdr>
    </w:div>
    <w:div w:id="2069958156">
      <w:bodyDiv w:val="1"/>
      <w:marLeft w:val="0"/>
      <w:marRight w:val="0"/>
      <w:marTop w:val="0"/>
      <w:marBottom w:val="0"/>
      <w:divBdr>
        <w:top w:val="none" w:sz="0" w:space="0" w:color="auto"/>
        <w:left w:val="none" w:sz="0" w:space="0" w:color="auto"/>
        <w:bottom w:val="none" w:sz="0" w:space="0" w:color="auto"/>
        <w:right w:val="none" w:sz="0" w:space="0" w:color="auto"/>
      </w:divBdr>
    </w:div>
    <w:div w:id="2070954960">
      <w:bodyDiv w:val="1"/>
      <w:marLeft w:val="0"/>
      <w:marRight w:val="0"/>
      <w:marTop w:val="0"/>
      <w:marBottom w:val="0"/>
      <w:divBdr>
        <w:top w:val="none" w:sz="0" w:space="0" w:color="auto"/>
        <w:left w:val="none" w:sz="0" w:space="0" w:color="auto"/>
        <w:bottom w:val="none" w:sz="0" w:space="0" w:color="auto"/>
        <w:right w:val="none" w:sz="0" w:space="0" w:color="auto"/>
      </w:divBdr>
    </w:div>
    <w:div w:id="2071225303">
      <w:bodyDiv w:val="1"/>
      <w:marLeft w:val="0"/>
      <w:marRight w:val="0"/>
      <w:marTop w:val="0"/>
      <w:marBottom w:val="0"/>
      <w:divBdr>
        <w:top w:val="none" w:sz="0" w:space="0" w:color="auto"/>
        <w:left w:val="none" w:sz="0" w:space="0" w:color="auto"/>
        <w:bottom w:val="none" w:sz="0" w:space="0" w:color="auto"/>
        <w:right w:val="none" w:sz="0" w:space="0" w:color="auto"/>
      </w:divBdr>
    </w:div>
    <w:div w:id="2085107107">
      <w:bodyDiv w:val="1"/>
      <w:marLeft w:val="0"/>
      <w:marRight w:val="0"/>
      <w:marTop w:val="0"/>
      <w:marBottom w:val="0"/>
      <w:divBdr>
        <w:top w:val="none" w:sz="0" w:space="0" w:color="auto"/>
        <w:left w:val="none" w:sz="0" w:space="0" w:color="auto"/>
        <w:bottom w:val="none" w:sz="0" w:space="0" w:color="auto"/>
        <w:right w:val="none" w:sz="0" w:space="0" w:color="auto"/>
      </w:divBdr>
    </w:div>
    <w:div w:id="2085838713">
      <w:bodyDiv w:val="1"/>
      <w:marLeft w:val="0"/>
      <w:marRight w:val="0"/>
      <w:marTop w:val="0"/>
      <w:marBottom w:val="0"/>
      <w:divBdr>
        <w:top w:val="none" w:sz="0" w:space="0" w:color="auto"/>
        <w:left w:val="none" w:sz="0" w:space="0" w:color="auto"/>
        <w:bottom w:val="none" w:sz="0" w:space="0" w:color="auto"/>
        <w:right w:val="none" w:sz="0" w:space="0" w:color="auto"/>
      </w:divBdr>
    </w:div>
    <w:div w:id="2092695956">
      <w:bodyDiv w:val="1"/>
      <w:marLeft w:val="0"/>
      <w:marRight w:val="0"/>
      <w:marTop w:val="0"/>
      <w:marBottom w:val="0"/>
      <w:divBdr>
        <w:top w:val="none" w:sz="0" w:space="0" w:color="auto"/>
        <w:left w:val="none" w:sz="0" w:space="0" w:color="auto"/>
        <w:bottom w:val="none" w:sz="0" w:space="0" w:color="auto"/>
        <w:right w:val="none" w:sz="0" w:space="0" w:color="auto"/>
      </w:divBdr>
    </w:div>
    <w:div w:id="2094156287">
      <w:bodyDiv w:val="1"/>
      <w:marLeft w:val="0"/>
      <w:marRight w:val="0"/>
      <w:marTop w:val="0"/>
      <w:marBottom w:val="0"/>
      <w:divBdr>
        <w:top w:val="none" w:sz="0" w:space="0" w:color="auto"/>
        <w:left w:val="none" w:sz="0" w:space="0" w:color="auto"/>
        <w:bottom w:val="none" w:sz="0" w:space="0" w:color="auto"/>
        <w:right w:val="none" w:sz="0" w:space="0" w:color="auto"/>
      </w:divBdr>
      <w:divsChild>
        <w:div w:id="1686250345">
          <w:marLeft w:val="0"/>
          <w:marRight w:val="0"/>
          <w:marTop w:val="0"/>
          <w:marBottom w:val="0"/>
          <w:divBdr>
            <w:top w:val="none" w:sz="0" w:space="0" w:color="auto"/>
            <w:left w:val="none" w:sz="0" w:space="0" w:color="auto"/>
            <w:bottom w:val="none" w:sz="0" w:space="0" w:color="auto"/>
            <w:right w:val="none" w:sz="0" w:space="0" w:color="auto"/>
          </w:divBdr>
          <w:divsChild>
            <w:div w:id="1467703092">
              <w:marLeft w:val="0"/>
              <w:marRight w:val="0"/>
              <w:marTop w:val="411"/>
              <w:marBottom w:val="0"/>
              <w:divBdr>
                <w:top w:val="none" w:sz="0" w:space="0" w:color="auto"/>
                <w:left w:val="none" w:sz="0" w:space="0" w:color="auto"/>
                <w:bottom w:val="none" w:sz="0" w:space="0" w:color="auto"/>
                <w:right w:val="none" w:sz="0" w:space="0" w:color="auto"/>
              </w:divBdr>
              <w:divsChild>
                <w:div w:id="1169636872">
                  <w:marLeft w:val="0"/>
                  <w:marRight w:val="0"/>
                  <w:marTop w:val="0"/>
                  <w:marBottom w:val="0"/>
                  <w:divBdr>
                    <w:top w:val="none" w:sz="0" w:space="0" w:color="auto"/>
                    <w:left w:val="none" w:sz="0" w:space="0" w:color="auto"/>
                    <w:bottom w:val="none" w:sz="0" w:space="0" w:color="auto"/>
                    <w:right w:val="none" w:sz="0" w:space="0" w:color="auto"/>
                  </w:divBdr>
                  <w:divsChild>
                    <w:div w:id="828981941">
                      <w:marLeft w:val="79"/>
                      <w:marRight w:val="79"/>
                      <w:marTop w:val="0"/>
                      <w:marBottom w:val="0"/>
                      <w:divBdr>
                        <w:top w:val="none" w:sz="0" w:space="0" w:color="auto"/>
                        <w:left w:val="none" w:sz="0" w:space="0" w:color="auto"/>
                        <w:bottom w:val="none" w:sz="0" w:space="0" w:color="auto"/>
                        <w:right w:val="none" w:sz="0" w:space="0" w:color="auto"/>
                      </w:divBdr>
                      <w:divsChild>
                        <w:div w:id="1782139303">
                          <w:marLeft w:val="0"/>
                          <w:marRight w:val="0"/>
                          <w:marTop w:val="0"/>
                          <w:marBottom w:val="0"/>
                          <w:divBdr>
                            <w:top w:val="dashed" w:sz="6" w:space="0" w:color="DDDDDD"/>
                            <w:left w:val="none" w:sz="0" w:space="0" w:color="auto"/>
                            <w:bottom w:val="none" w:sz="0" w:space="0" w:color="auto"/>
                            <w:right w:val="none" w:sz="0" w:space="0" w:color="auto"/>
                          </w:divBdr>
                          <w:divsChild>
                            <w:div w:id="98717678">
                              <w:marLeft w:val="0"/>
                              <w:marRight w:val="0"/>
                              <w:marTop w:val="0"/>
                              <w:marBottom w:val="0"/>
                              <w:divBdr>
                                <w:top w:val="none" w:sz="0" w:space="0" w:color="auto"/>
                                <w:left w:val="none" w:sz="0" w:space="0" w:color="auto"/>
                                <w:bottom w:val="none" w:sz="0" w:space="0" w:color="auto"/>
                                <w:right w:val="none" w:sz="0" w:space="0" w:color="auto"/>
                              </w:divBdr>
                              <w:divsChild>
                                <w:div w:id="32773011">
                                  <w:marLeft w:val="0"/>
                                  <w:marRight w:val="0"/>
                                  <w:marTop w:val="79"/>
                                  <w:marBottom w:val="79"/>
                                  <w:divBdr>
                                    <w:top w:val="none" w:sz="0" w:space="0" w:color="auto"/>
                                    <w:left w:val="none" w:sz="0" w:space="0" w:color="auto"/>
                                    <w:bottom w:val="none" w:sz="0" w:space="0" w:color="auto"/>
                                    <w:right w:val="none" w:sz="0" w:space="0" w:color="auto"/>
                                  </w:divBdr>
                                  <w:divsChild>
                                    <w:div w:id="187762021">
                                      <w:marLeft w:val="0"/>
                                      <w:marRight w:val="0"/>
                                      <w:marTop w:val="0"/>
                                      <w:marBottom w:val="0"/>
                                      <w:divBdr>
                                        <w:top w:val="none" w:sz="0" w:space="0" w:color="auto"/>
                                        <w:left w:val="none" w:sz="0" w:space="0" w:color="auto"/>
                                        <w:bottom w:val="none" w:sz="0" w:space="0" w:color="auto"/>
                                        <w:right w:val="none" w:sz="0" w:space="0" w:color="auto"/>
                                      </w:divBdr>
                                      <w:divsChild>
                                        <w:div w:id="751896627">
                                          <w:marLeft w:val="554"/>
                                          <w:marRight w:val="0"/>
                                          <w:marTop w:val="0"/>
                                          <w:marBottom w:val="0"/>
                                          <w:divBdr>
                                            <w:top w:val="none" w:sz="0" w:space="0" w:color="auto"/>
                                            <w:left w:val="none" w:sz="0" w:space="0" w:color="auto"/>
                                            <w:bottom w:val="none" w:sz="0" w:space="0" w:color="auto"/>
                                            <w:right w:val="none" w:sz="0" w:space="0" w:color="auto"/>
                                          </w:divBdr>
                                          <w:divsChild>
                                            <w:div w:id="43136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7509232">
      <w:bodyDiv w:val="1"/>
      <w:marLeft w:val="0"/>
      <w:marRight w:val="0"/>
      <w:marTop w:val="0"/>
      <w:marBottom w:val="0"/>
      <w:divBdr>
        <w:top w:val="none" w:sz="0" w:space="0" w:color="auto"/>
        <w:left w:val="none" w:sz="0" w:space="0" w:color="auto"/>
        <w:bottom w:val="none" w:sz="0" w:space="0" w:color="auto"/>
        <w:right w:val="none" w:sz="0" w:space="0" w:color="auto"/>
      </w:divBdr>
    </w:div>
    <w:div w:id="2100056000">
      <w:bodyDiv w:val="1"/>
      <w:marLeft w:val="0"/>
      <w:marRight w:val="0"/>
      <w:marTop w:val="0"/>
      <w:marBottom w:val="0"/>
      <w:divBdr>
        <w:top w:val="none" w:sz="0" w:space="0" w:color="auto"/>
        <w:left w:val="none" w:sz="0" w:space="0" w:color="auto"/>
        <w:bottom w:val="none" w:sz="0" w:space="0" w:color="auto"/>
        <w:right w:val="none" w:sz="0" w:space="0" w:color="auto"/>
      </w:divBdr>
    </w:div>
    <w:div w:id="2117212573">
      <w:bodyDiv w:val="1"/>
      <w:marLeft w:val="0"/>
      <w:marRight w:val="0"/>
      <w:marTop w:val="0"/>
      <w:marBottom w:val="0"/>
      <w:divBdr>
        <w:top w:val="none" w:sz="0" w:space="0" w:color="auto"/>
        <w:left w:val="none" w:sz="0" w:space="0" w:color="auto"/>
        <w:bottom w:val="none" w:sz="0" w:space="0" w:color="auto"/>
        <w:right w:val="none" w:sz="0" w:space="0" w:color="auto"/>
      </w:divBdr>
    </w:div>
    <w:div w:id="2119445468">
      <w:bodyDiv w:val="1"/>
      <w:marLeft w:val="0"/>
      <w:marRight w:val="0"/>
      <w:marTop w:val="0"/>
      <w:marBottom w:val="0"/>
      <w:divBdr>
        <w:top w:val="none" w:sz="0" w:space="0" w:color="auto"/>
        <w:left w:val="none" w:sz="0" w:space="0" w:color="auto"/>
        <w:bottom w:val="none" w:sz="0" w:space="0" w:color="auto"/>
        <w:right w:val="none" w:sz="0" w:space="0" w:color="auto"/>
      </w:divBdr>
    </w:div>
    <w:div w:id="2124302614">
      <w:bodyDiv w:val="1"/>
      <w:marLeft w:val="0"/>
      <w:marRight w:val="0"/>
      <w:marTop w:val="0"/>
      <w:marBottom w:val="0"/>
      <w:divBdr>
        <w:top w:val="none" w:sz="0" w:space="0" w:color="auto"/>
        <w:left w:val="none" w:sz="0" w:space="0" w:color="auto"/>
        <w:bottom w:val="none" w:sz="0" w:space="0" w:color="auto"/>
        <w:right w:val="none" w:sz="0" w:space="0" w:color="auto"/>
      </w:divBdr>
    </w:div>
    <w:div w:id="2135514766">
      <w:bodyDiv w:val="1"/>
      <w:marLeft w:val="0"/>
      <w:marRight w:val="0"/>
      <w:marTop w:val="0"/>
      <w:marBottom w:val="0"/>
      <w:divBdr>
        <w:top w:val="none" w:sz="0" w:space="0" w:color="auto"/>
        <w:left w:val="none" w:sz="0" w:space="0" w:color="auto"/>
        <w:bottom w:val="none" w:sz="0" w:space="0" w:color="auto"/>
        <w:right w:val="none" w:sz="0" w:space="0" w:color="auto"/>
      </w:divBdr>
    </w:div>
    <w:div w:id="2138640319">
      <w:bodyDiv w:val="1"/>
      <w:marLeft w:val="0"/>
      <w:marRight w:val="0"/>
      <w:marTop w:val="0"/>
      <w:marBottom w:val="0"/>
      <w:divBdr>
        <w:top w:val="none" w:sz="0" w:space="0" w:color="auto"/>
        <w:left w:val="none" w:sz="0" w:space="0" w:color="auto"/>
        <w:bottom w:val="none" w:sz="0" w:space="0" w:color="auto"/>
        <w:right w:val="none" w:sz="0" w:space="0" w:color="auto"/>
      </w:divBdr>
      <w:divsChild>
        <w:div w:id="57948627">
          <w:marLeft w:val="0"/>
          <w:marRight w:val="0"/>
          <w:marTop w:val="0"/>
          <w:marBottom w:val="0"/>
          <w:divBdr>
            <w:top w:val="none" w:sz="0" w:space="0" w:color="auto"/>
            <w:left w:val="none" w:sz="0" w:space="0" w:color="auto"/>
            <w:bottom w:val="none" w:sz="0" w:space="0" w:color="auto"/>
            <w:right w:val="none" w:sz="0" w:space="0" w:color="auto"/>
          </w:divBdr>
          <w:divsChild>
            <w:div w:id="1546140252">
              <w:marLeft w:val="0"/>
              <w:marRight w:val="0"/>
              <w:marTop w:val="411"/>
              <w:marBottom w:val="0"/>
              <w:divBdr>
                <w:top w:val="none" w:sz="0" w:space="0" w:color="auto"/>
                <w:left w:val="none" w:sz="0" w:space="0" w:color="auto"/>
                <w:bottom w:val="none" w:sz="0" w:space="0" w:color="auto"/>
                <w:right w:val="none" w:sz="0" w:space="0" w:color="auto"/>
              </w:divBdr>
              <w:divsChild>
                <w:div w:id="2103717410">
                  <w:marLeft w:val="0"/>
                  <w:marRight w:val="0"/>
                  <w:marTop w:val="0"/>
                  <w:marBottom w:val="0"/>
                  <w:divBdr>
                    <w:top w:val="none" w:sz="0" w:space="0" w:color="auto"/>
                    <w:left w:val="none" w:sz="0" w:space="0" w:color="auto"/>
                    <w:bottom w:val="none" w:sz="0" w:space="0" w:color="auto"/>
                    <w:right w:val="none" w:sz="0" w:space="0" w:color="auto"/>
                  </w:divBdr>
                  <w:divsChild>
                    <w:div w:id="1443648885">
                      <w:marLeft w:val="79"/>
                      <w:marRight w:val="79"/>
                      <w:marTop w:val="0"/>
                      <w:marBottom w:val="0"/>
                      <w:divBdr>
                        <w:top w:val="none" w:sz="0" w:space="0" w:color="auto"/>
                        <w:left w:val="none" w:sz="0" w:space="0" w:color="auto"/>
                        <w:bottom w:val="none" w:sz="0" w:space="0" w:color="auto"/>
                        <w:right w:val="none" w:sz="0" w:space="0" w:color="auto"/>
                      </w:divBdr>
                      <w:divsChild>
                        <w:div w:id="113057416">
                          <w:marLeft w:val="0"/>
                          <w:marRight w:val="0"/>
                          <w:marTop w:val="0"/>
                          <w:marBottom w:val="0"/>
                          <w:divBdr>
                            <w:top w:val="dashed" w:sz="6" w:space="0" w:color="DDDDDD"/>
                            <w:left w:val="none" w:sz="0" w:space="0" w:color="auto"/>
                            <w:bottom w:val="none" w:sz="0" w:space="0" w:color="auto"/>
                            <w:right w:val="none" w:sz="0" w:space="0" w:color="auto"/>
                          </w:divBdr>
                          <w:divsChild>
                            <w:div w:id="1389109951">
                              <w:marLeft w:val="0"/>
                              <w:marRight w:val="0"/>
                              <w:marTop w:val="0"/>
                              <w:marBottom w:val="0"/>
                              <w:divBdr>
                                <w:top w:val="none" w:sz="0" w:space="0" w:color="auto"/>
                                <w:left w:val="none" w:sz="0" w:space="0" w:color="auto"/>
                                <w:bottom w:val="none" w:sz="0" w:space="0" w:color="auto"/>
                                <w:right w:val="none" w:sz="0" w:space="0" w:color="auto"/>
                              </w:divBdr>
                              <w:divsChild>
                                <w:div w:id="45492342">
                                  <w:marLeft w:val="0"/>
                                  <w:marRight w:val="0"/>
                                  <w:marTop w:val="79"/>
                                  <w:marBottom w:val="79"/>
                                  <w:divBdr>
                                    <w:top w:val="none" w:sz="0" w:space="0" w:color="auto"/>
                                    <w:left w:val="none" w:sz="0" w:space="0" w:color="auto"/>
                                    <w:bottom w:val="none" w:sz="0" w:space="0" w:color="auto"/>
                                    <w:right w:val="none" w:sz="0" w:space="0" w:color="auto"/>
                                  </w:divBdr>
                                  <w:divsChild>
                                    <w:div w:id="1956132124">
                                      <w:marLeft w:val="0"/>
                                      <w:marRight w:val="0"/>
                                      <w:marTop w:val="0"/>
                                      <w:marBottom w:val="0"/>
                                      <w:divBdr>
                                        <w:top w:val="none" w:sz="0" w:space="0" w:color="auto"/>
                                        <w:left w:val="none" w:sz="0" w:space="0" w:color="auto"/>
                                        <w:bottom w:val="none" w:sz="0" w:space="0" w:color="auto"/>
                                        <w:right w:val="none" w:sz="0" w:space="0" w:color="auto"/>
                                      </w:divBdr>
                                      <w:divsChild>
                                        <w:div w:id="1123964190">
                                          <w:marLeft w:val="554"/>
                                          <w:marRight w:val="0"/>
                                          <w:marTop w:val="0"/>
                                          <w:marBottom w:val="0"/>
                                          <w:divBdr>
                                            <w:top w:val="none" w:sz="0" w:space="0" w:color="auto"/>
                                            <w:left w:val="none" w:sz="0" w:space="0" w:color="auto"/>
                                            <w:bottom w:val="none" w:sz="0" w:space="0" w:color="auto"/>
                                            <w:right w:val="none" w:sz="0" w:space="0" w:color="auto"/>
                                          </w:divBdr>
                                          <w:divsChild>
                                            <w:div w:id="93344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9300953">
      <w:bodyDiv w:val="1"/>
      <w:marLeft w:val="0"/>
      <w:marRight w:val="0"/>
      <w:marTop w:val="0"/>
      <w:marBottom w:val="0"/>
      <w:divBdr>
        <w:top w:val="none" w:sz="0" w:space="0" w:color="auto"/>
        <w:left w:val="none" w:sz="0" w:space="0" w:color="auto"/>
        <w:bottom w:val="none" w:sz="0" w:space="0" w:color="auto"/>
        <w:right w:val="none" w:sz="0" w:space="0" w:color="auto"/>
      </w:divBdr>
    </w:div>
    <w:div w:id="2142532236">
      <w:bodyDiv w:val="1"/>
      <w:marLeft w:val="0"/>
      <w:marRight w:val="0"/>
      <w:marTop w:val="0"/>
      <w:marBottom w:val="0"/>
      <w:divBdr>
        <w:top w:val="none" w:sz="0" w:space="0" w:color="auto"/>
        <w:left w:val="none" w:sz="0" w:space="0" w:color="auto"/>
        <w:bottom w:val="none" w:sz="0" w:space="0" w:color="auto"/>
        <w:right w:val="none" w:sz="0" w:space="0" w:color="auto"/>
      </w:divBdr>
      <w:divsChild>
        <w:div w:id="823163742">
          <w:marLeft w:val="0"/>
          <w:marRight w:val="0"/>
          <w:marTop w:val="0"/>
          <w:marBottom w:val="0"/>
          <w:divBdr>
            <w:top w:val="none" w:sz="0" w:space="0" w:color="auto"/>
            <w:left w:val="none" w:sz="0" w:space="0" w:color="auto"/>
            <w:bottom w:val="none" w:sz="0" w:space="0" w:color="auto"/>
            <w:right w:val="none" w:sz="0" w:space="0" w:color="auto"/>
          </w:divBdr>
          <w:divsChild>
            <w:div w:id="1062601466">
              <w:marLeft w:val="0"/>
              <w:marRight w:val="0"/>
              <w:marTop w:val="411"/>
              <w:marBottom w:val="0"/>
              <w:divBdr>
                <w:top w:val="none" w:sz="0" w:space="0" w:color="auto"/>
                <w:left w:val="none" w:sz="0" w:space="0" w:color="auto"/>
                <w:bottom w:val="none" w:sz="0" w:space="0" w:color="auto"/>
                <w:right w:val="none" w:sz="0" w:space="0" w:color="auto"/>
              </w:divBdr>
              <w:divsChild>
                <w:div w:id="124740613">
                  <w:marLeft w:val="0"/>
                  <w:marRight w:val="0"/>
                  <w:marTop w:val="0"/>
                  <w:marBottom w:val="0"/>
                  <w:divBdr>
                    <w:top w:val="none" w:sz="0" w:space="0" w:color="auto"/>
                    <w:left w:val="none" w:sz="0" w:space="0" w:color="auto"/>
                    <w:bottom w:val="none" w:sz="0" w:space="0" w:color="auto"/>
                    <w:right w:val="none" w:sz="0" w:space="0" w:color="auto"/>
                  </w:divBdr>
                  <w:divsChild>
                    <w:div w:id="390351887">
                      <w:marLeft w:val="79"/>
                      <w:marRight w:val="79"/>
                      <w:marTop w:val="0"/>
                      <w:marBottom w:val="0"/>
                      <w:divBdr>
                        <w:top w:val="none" w:sz="0" w:space="0" w:color="auto"/>
                        <w:left w:val="none" w:sz="0" w:space="0" w:color="auto"/>
                        <w:bottom w:val="none" w:sz="0" w:space="0" w:color="auto"/>
                        <w:right w:val="none" w:sz="0" w:space="0" w:color="auto"/>
                      </w:divBdr>
                      <w:divsChild>
                        <w:div w:id="695733183">
                          <w:marLeft w:val="0"/>
                          <w:marRight w:val="0"/>
                          <w:marTop w:val="0"/>
                          <w:marBottom w:val="0"/>
                          <w:divBdr>
                            <w:top w:val="dashed" w:sz="6" w:space="0" w:color="DDDDDD"/>
                            <w:left w:val="none" w:sz="0" w:space="0" w:color="auto"/>
                            <w:bottom w:val="none" w:sz="0" w:space="0" w:color="auto"/>
                            <w:right w:val="none" w:sz="0" w:space="0" w:color="auto"/>
                          </w:divBdr>
                          <w:divsChild>
                            <w:div w:id="1368987130">
                              <w:marLeft w:val="0"/>
                              <w:marRight w:val="0"/>
                              <w:marTop w:val="0"/>
                              <w:marBottom w:val="0"/>
                              <w:divBdr>
                                <w:top w:val="none" w:sz="0" w:space="0" w:color="auto"/>
                                <w:left w:val="none" w:sz="0" w:space="0" w:color="auto"/>
                                <w:bottom w:val="none" w:sz="0" w:space="0" w:color="auto"/>
                                <w:right w:val="none" w:sz="0" w:space="0" w:color="auto"/>
                              </w:divBdr>
                              <w:divsChild>
                                <w:div w:id="1558593699">
                                  <w:marLeft w:val="0"/>
                                  <w:marRight w:val="0"/>
                                  <w:marTop w:val="79"/>
                                  <w:marBottom w:val="79"/>
                                  <w:divBdr>
                                    <w:top w:val="none" w:sz="0" w:space="0" w:color="auto"/>
                                    <w:left w:val="none" w:sz="0" w:space="0" w:color="auto"/>
                                    <w:bottom w:val="none" w:sz="0" w:space="0" w:color="auto"/>
                                    <w:right w:val="none" w:sz="0" w:space="0" w:color="auto"/>
                                  </w:divBdr>
                                  <w:divsChild>
                                    <w:div w:id="161820231">
                                      <w:marLeft w:val="0"/>
                                      <w:marRight w:val="0"/>
                                      <w:marTop w:val="0"/>
                                      <w:marBottom w:val="0"/>
                                      <w:divBdr>
                                        <w:top w:val="none" w:sz="0" w:space="0" w:color="auto"/>
                                        <w:left w:val="none" w:sz="0" w:space="0" w:color="auto"/>
                                        <w:bottom w:val="none" w:sz="0" w:space="0" w:color="auto"/>
                                        <w:right w:val="none" w:sz="0" w:space="0" w:color="auto"/>
                                      </w:divBdr>
                                      <w:divsChild>
                                        <w:div w:id="280773150">
                                          <w:marLeft w:val="554"/>
                                          <w:marRight w:val="0"/>
                                          <w:marTop w:val="0"/>
                                          <w:marBottom w:val="0"/>
                                          <w:divBdr>
                                            <w:top w:val="none" w:sz="0" w:space="0" w:color="auto"/>
                                            <w:left w:val="none" w:sz="0" w:space="0" w:color="auto"/>
                                            <w:bottom w:val="none" w:sz="0" w:space="0" w:color="auto"/>
                                            <w:right w:val="none" w:sz="0" w:space="0" w:color="auto"/>
                                          </w:divBdr>
                                          <w:divsChild>
                                            <w:div w:id="16233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8.xml"/><Relationship Id="rId26" Type="http://schemas.openxmlformats.org/officeDocument/2006/relationships/header" Target="header10.xml"/><Relationship Id="rId39" Type="http://schemas.openxmlformats.org/officeDocument/2006/relationships/chart" Target="charts/chart7.xml"/><Relationship Id="rId21" Type="http://schemas.openxmlformats.org/officeDocument/2006/relationships/footer" Target="footer4.xml"/><Relationship Id="rId34" Type="http://schemas.openxmlformats.org/officeDocument/2006/relationships/chart" Target="charts/chart2.xml"/><Relationship Id="rId42" Type="http://schemas.openxmlformats.org/officeDocument/2006/relationships/chart" Target="charts/chart10.xml"/><Relationship Id="rId47" Type="http://schemas.openxmlformats.org/officeDocument/2006/relationships/chart" Target="charts/chart15.xml"/><Relationship Id="rId50" Type="http://schemas.openxmlformats.org/officeDocument/2006/relationships/chart" Target="charts/chart17.xml"/><Relationship Id="rId55" Type="http://schemas.openxmlformats.org/officeDocument/2006/relationships/header" Target="header16.xml"/><Relationship Id="rId63" Type="http://schemas.openxmlformats.org/officeDocument/2006/relationships/image" Target="media/image14.jpeg"/><Relationship Id="rId68" Type="http://schemas.openxmlformats.org/officeDocument/2006/relationships/image" Target="media/image19.jpe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6.png"/><Relationship Id="rId11" Type="http://schemas.openxmlformats.org/officeDocument/2006/relationships/footer" Target="footer1.xml"/><Relationship Id="rId24" Type="http://schemas.openxmlformats.org/officeDocument/2006/relationships/image" Target="media/image4.jpeg"/><Relationship Id="rId32" Type="http://schemas.openxmlformats.org/officeDocument/2006/relationships/image" Target="media/image9.png"/><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chart" Target="charts/chart13.xml"/><Relationship Id="rId53" Type="http://schemas.openxmlformats.org/officeDocument/2006/relationships/header" Target="header14.xml"/><Relationship Id="rId58" Type="http://schemas.openxmlformats.org/officeDocument/2006/relationships/image" Target="media/image11.png"/><Relationship Id="rId66" Type="http://schemas.openxmlformats.org/officeDocument/2006/relationships/image" Target="media/image17.jpeg"/><Relationship Id="rId74" Type="http://schemas.openxmlformats.org/officeDocument/2006/relationships/header" Target="header20.xml"/><Relationship Id="rId79" Type="http://schemas.microsoft.com/office/2011/relationships/people" Target="people.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3.png"/><Relationship Id="rId28" Type="http://schemas.openxmlformats.org/officeDocument/2006/relationships/header" Target="header12.xml"/><Relationship Id="rId36" Type="http://schemas.openxmlformats.org/officeDocument/2006/relationships/chart" Target="charts/chart4.xml"/><Relationship Id="rId49" Type="http://schemas.openxmlformats.org/officeDocument/2006/relationships/image" Target="media/image10.png"/><Relationship Id="rId57" Type="http://schemas.openxmlformats.org/officeDocument/2006/relationships/header" Target="header18.xml"/><Relationship Id="rId61" Type="http://schemas.openxmlformats.org/officeDocument/2006/relationships/image" Target="media/image12.png"/><Relationship Id="rId10" Type="http://schemas.openxmlformats.org/officeDocument/2006/relationships/header" Target="header2.xml"/><Relationship Id="rId19" Type="http://schemas.openxmlformats.org/officeDocument/2006/relationships/footer" Target="footer3.xml"/><Relationship Id="rId31" Type="http://schemas.openxmlformats.org/officeDocument/2006/relationships/image" Target="media/image8.png"/><Relationship Id="rId44" Type="http://schemas.openxmlformats.org/officeDocument/2006/relationships/chart" Target="charts/chart12.xml"/><Relationship Id="rId52" Type="http://schemas.openxmlformats.org/officeDocument/2006/relationships/header" Target="header13.xml"/><Relationship Id="rId60" Type="http://schemas.openxmlformats.org/officeDocument/2006/relationships/chart" Target="charts/chart20.xml"/><Relationship Id="rId65" Type="http://schemas.openxmlformats.org/officeDocument/2006/relationships/image" Target="media/image16.jpeg"/><Relationship Id="rId73" Type="http://schemas.openxmlformats.org/officeDocument/2006/relationships/header" Target="header1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2.png"/><Relationship Id="rId27" Type="http://schemas.openxmlformats.org/officeDocument/2006/relationships/header" Target="header11.xml"/><Relationship Id="rId30" Type="http://schemas.openxmlformats.org/officeDocument/2006/relationships/image" Target="media/image7.png"/><Relationship Id="rId35" Type="http://schemas.openxmlformats.org/officeDocument/2006/relationships/chart" Target="charts/chart3.xml"/><Relationship Id="rId43" Type="http://schemas.openxmlformats.org/officeDocument/2006/relationships/chart" Target="charts/chart11.xml"/><Relationship Id="rId48" Type="http://schemas.openxmlformats.org/officeDocument/2006/relationships/chart" Target="charts/chart16.xml"/><Relationship Id="rId56" Type="http://schemas.openxmlformats.org/officeDocument/2006/relationships/header" Target="header17.xml"/><Relationship Id="rId64" Type="http://schemas.openxmlformats.org/officeDocument/2006/relationships/image" Target="media/image15.jpeg"/><Relationship Id="rId69" Type="http://schemas.openxmlformats.org/officeDocument/2006/relationships/image" Target="media/image20.jpe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18.xml"/><Relationship Id="rId72"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image" Target="media/image5.jpeg"/><Relationship Id="rId33" Type="http://schemas.openxmlformats.org/officeDocument/2006/relationships/chart" Target="charts/chart1.xml"/><Relationship Id="rId38" Type="http://schemas.openxmlformats.org/officeDocument/2006/relationships/chart" Target="charts/chart6.xml"/><Relationship Id="rId46" Type="http://schemas.openxmlformats.org/officeDocument/2006/relationships/chart" Target="charts/chart14.xml"/><Relationship Id="rId59" Type="http://schemas.openxmlformats.org/officeDocument/2006/relationships/chart" Target="charts/chart19.xml"/><Relationship Id="rId67" Type="http://schemas.openxmlformats.org/officeDocument/2006/relationships/image" Target="media/image18.jpeg"/><Relationship Id="rId20" Type="http://schemas.openxmlformats.org/officeDocument/2006/relationships/header" Target="header9.xml"/><Relationship Id="rId41" Type="http://schemas.openxmlformats.org/officeDocument/2006/relationships/chart" Target="charts/chart9.xml"/><Relationship Id="rId54" Type="http://schemas.openxmlformats.org/officeDocument/2006/relationships/header" Target="header15.xml"/><Relationship Id="rId62" Type="http://schemas.openxmlformats.org/officeDocument/2006/relationships/image" Target="media/image13.jpeg"/><Relationship Id="rId70" Type="http://schemas.openxmlformats.org/officeDocument/2006/relationships/image" Target="media/image21.jpeg"/><Relationship Id="rId75"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webSettings" Target="webSettings.xml"/></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D:\&#21608;&#24420;\&#25253;&#21578;\2020\&#28467;&#24030;&#21488;&#21830;&#25237;&#36164;&#21306;&#23613;&#35843;\&#28467;&#24030;&#24066;&#33539;&#22260;&#23613;&#35843;&#22270;&#3492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21608;&#24420;\&#25253;&#21578;\2020\&#28467;&#24030;&#21488;&#21830;&#25237;&#36164;&#21306;&#23613;&#35843;\&#22303;&#22320;&#36164;&#26009;\&#28467;&#24030;&#24066;&#33539;&#22260;&#23613;&#35843;&#22270;&#3492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21608;&#24420;\&#25253;&#21578;\2020\&#28467;&#24030;&#21488;&#21830;&#25237;&#36164;&#21306;&#23613;&#35843;\&#22303;&#22320;&#36164;&#26009;\&#28467;&#24030;&#24066;&#33539;&#22260;&#23613;&#35843;&#22270;&#3492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21608;&#24420;\&#25253;&#21578;\2020\&#28467;&#24030;&#21488;&#21830;&#25237;&#36164;&#21306;&#23613;&#35843;\&#22303;&#22320;&#36164;&#26009;\&#28467;&#24030;&#24066;&#33539;&#22260;&#23613;&#35843;&#22270;&#3492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21608;&#24420;\&#25253;&#21578;\2020\&#28467;&#24030;&#21488;&#21830;&#25237;&#36164;&#21306;&#23613;&#35843;\&#22303;&#22320;&#36164;&#26009;\&#28467;&#24030;&#24066;&#33539;&#22260;&#23613;&#35843;&#22270;&#3492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21608;&#24420;\&#25253;&#21578;\2020\&#28467;&#24030;&#21488;&#21830;&#25237;&#36164;&#21306;&#23613;&#35843;\&#22303;&#22320;&#36164;&#26009;\&#28467;&#24030;&#24066;&#33539;&#22260;&#23613;&#35843;&#22270;&#34920;.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21608;&#24420;\&#25253;&#21578;\2020\&#28467;&#24030;&#21488;&#21830;&#25237;&#36164;&#21306;&#23613;&#35843;\&#22303;&#22320;&#36164;&#26009;\&#28467;&#24030;&#24066;&#33539;&#22260;&#23613;&#35843;&#22270;&#34920;.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21608;&#24420;\&#25253;&#21578;\2020\&#28467;&#24030;&#21488;&#21830;&#25237;&#36164;&#21306;&#23613;&#35843;\&#22303;&#22320;&#36164;&#26009;\&#28467;&#24030;&#24066;&#33539;&#22260;&#23613;&#35843;&#22270;&#34920;.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21608;&#24420;\&#25253;&#21578;\2020\&#28467;&#24030;&#21488;&#21830;&#25237;&#36164;&#21306;&#23613;&#35843;\&#22303;&#22320;&#36164;&#26009;\&#21306;&#22495;&#22303;&#22320;&#24066;&#22330;&#20998;&#26512;&#29992;&#22270;.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21608;&#24420;\&#25253;&#21578;\2020\&#28467;&#24030;&#21488;&#21830;&#25237;&#36164;&#21306;&#23613;&#35843;\&#22303;&#22320;&#36164;&#26009;\&#21306;&#22495;&#22303;&#22320;&#24066;&#22330;&#20998;&#26512;&#29992;&#22270;.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21608;&#24420;\&#25253;&#21578;\2020\&#28467;&#24030;&#21488;&#21830;&#25237;&#36164;&#21306;&#23613;&#35843;\&#22303;&#22320;&#36164;&#26009;\&#21306;&#22495;&#22303;&#22320;&#24066;&#22330;&#20998;&#26512;&#29992;&#2227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21608;&#24420;\&#25253;&#21578;\2020\&#28467;&#24030;&#21488;&#21830;&#25237;&#36164;&#21306;&#23613;&#35843;\&#28467;&#24030;&#24066;&#33539;&#22260;&#23613;&#35843;&#22270;&#34920;.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21608;&#24420;\&#25253;&#21578;\2020\&#28467;&#24030;&#21488;&#21830;&#25237;&#36164;&#21306;&#23613;&#35843;\&#22303;&#22320;&#36164;&#26009;\&#21306;&#22495;&#22303;&#22320;&#24066;&#22330;&#20998;&#26512;&#29992;&#2227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21608;&#24420;\&#25253;&#21578;\2020\&#28467;&#24030;&#21488;&#21830;&#25237;&#36164;&#21306;&#23613;&#35843;\&#28467;&#24030;&#24066;&#33539;&#22260;&#23613;&#35843;&#22270;&#349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21608;&#24420;\&#25253;&#21578;\2020\&#28467;&#24030;&#21488;&#21830;&#25237;&#36164;&#21306;&#23613;&#35843;\&#28467;&#24030;&#24066;&#33539;&#22260;&#23613;&#35843;&#22270;&#3492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21608;&#24420;\&#25253;&#21578;\2020\&#28467;&#24030;&#21488;&#21830;&#25237;&#36164;&#21306;&#23613;&#35843;\&#22303;&#22320;&#36164;&#26009;\&#28467;&#24030;&#24066;&#33539;&#22260;&#23613;&#35843;&#22270;&#3492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1608;&#24420;\&#25253;&#21578;\2020\&#28467;&#24030;&#21488;&#21830;&#25237;&#36164;&#21306;&#23613;&#35843;\&#28467;&#24030;&#24066;&#33539;&#22260;&#23613;&#35843;&#22270;&#3492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21608;&#24420;\&#25253;&#21578;\2020\&#28467;&#24030;&#21488;&#21830;&#25237;&#36164;&#21306;&#23613;&#35843;\&#28467;&#24030;&#24066;&#33539;&#22260;&#23613;&#35843;&#22270;&#3492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21608;&#24420;\&#25253;&#21578;\2020\&#28467;&#24030;&#21488;&#21830;&#25237;&#36164;&#21306;&#23613;&#35843;\&#28467;&#24030;&#24066;&#33539;&#22260;&#23613;&#35843;&#22270;&#3492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21608;&#24420;\&#25253;&#21578;\2020\&#28467;&#24030;&#21488;&#21830;&#25237;&#36164;&#21306;&#23613;&#35843;\&#22303;&#22320;&#36164;&#26009;\&#28467;&#24030;&#24066;&#33539;&#22260;&#23613;&#35843;&#22270;&#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baseline="0">
                <a:effectLst/>
              </a:rPr>
              <a:t>2017</a:t>
            </a:r>
            <a:r>
              <a:rPr lang="zh-CN" altLang="en-US" sz="1200" b="1" i="0" baseline="0">
                <a:effectLst/>
              </a:rPr>
              <a:t>至</a:t>
            </a:r>
            <a:r>
              <a:rPr lang="en-US" altLang="zh-CN" sz="1200" b="1" i="0" baseline="0">
                <a:effectLst/>
              </a:rPr>
              <a:t>2020</a:t>
            </a:r>
            <a:r>
              <a:rPr lang="zh-CN" altLang="zh-CN" sz="1200" b="1" i="0" baseline="0">
                <a:effectLst/>
              </a:rPr>
              <a:t>年</a:t>
            </a:r>
            <a:r>
              <a:rPr lang="en-US" altLang="zh-CN" sz="1200" b="1" i="0" baseline="0">
                <a:effectLst/>
              </a:rPr>
              <a:t>10</a:t>
            </a:r>
            <a:r>
              <a:rPr lang="zh-CN" altLang="en-US" sz="1200" b="1" i="0" baseline="0">
                <a:effectLst/>
              </a:rPr>
              <a:t>月漳州</a:t>
            </a:r>
            <a:r>
              <a:rPr lang="zh-CN" altLang="zh-CN" sz="1200" b="1" i="0" baseline="0">
                <a:effectLst/>
              </a:rPr>
              <a:t>市</a:t>
            </a:r>
            <a:r>
              <a:rPr lang="zh-CN" altLang="en-US" sz="1200" b="1" i="0" baseline="0">
                <a:effectLst/>
              </a:rPr>
              <a:t>住宅</a:t>
            </a:r>
            <a:r>
              <a:rPr lang="zh-CN" altLang="zh-CN" sz="1200" b="1" i="0" baseline="0">
                <a:effectLst/>
              </a:rPr>
              <a:t>用地土地供应情况</a:t>
            </a:r>
            <a:endParaRPr lang="zh-CN" altLang="zh-CN" sz="1200">
              <a:effectLst/>
            </a:endParaRPr>
          </a:p>
        </c:rich>
      </c:tx>
      <c:overlay val="0"/>
      <c:spPr>
        <a:noFill/>
        <a:ln>
          <a:noFill/>
        </a:ln>
        <a:effectLst/>
      </c:spPr>
    </c:title>
    <c:autoTitleDeleted val="0"/>
    <c:plotArea>
      <c:layout/>
      <c:barChart>
        <c:barDir val="col"/>
        <c:grouping val="clustered"/>
        <c:varyColors val="0"/>
        <c:ser>
          <c:idx val="1"/>
          <c:order val="1"/>
          <c:tx>
            <c:strRef>
              <c:f>土地!$A$4</c:f>
              <c:strCache>
                <c:ptCount val="1"/>
                <c:pt idx="0">
                  <c:v>供应土地面积（万平方米）</c:v>
                </c:pt>
              </c:strCache>
            </c:strRef>
          </c:tx>
          <c:spPr>
            <a:solidFill>
              <a:schemeClr val="accent2"/>
            </a:solidFill>
            <a:ln>
              <a:noFill/>
            </a:ln>
            <a:effectLst/>
          </c:spPr>
          <c:invertIfNegative val="0"/>
          <c:cat>
            <c:strRef>
              <c:f>土地!$B$2:$E$2</c:f>
              <c:strCache>
                <c:ptCount val="4"/>
                <c:pt idx="0">
                  <c:v>2017</c:v>
                </c:pt>
                <c:pt idx="1">
                  <c:v>2018</c:v>
                </c:pt>
                <c:pt idx="2">
                  <c:v>2019</c:v>
                </c:pt>
                <c:pt idx="3">
                  <c:v>2020年1-10月</c:v>
                </c:pt>
              </c:strCache>
            </c:strRef>
          </c:cat>
          <c:val>
            <c:numRef>
              <c:f>土地!$B$4:$E$4</c:f>
              <c:numCache>
                <c:formatCode>General</c:formatCode>
                <c:ptCount val="4"/>
                <c:pt idx="0">
                  <c:v>277.97000000000003</c:v>
                </c:pt>
                <c:pt idx="1">
                  <c:v>309.58999999999997</c:v>
                </c:pt>
                <c:pt idx="2">
                  <c:v>275.89</c:v>
                </c:pt>
                <c:pt idx="3">
                  <c:v>312.44</c:v>
                </c:pt>
              </c:numCache>
            </c:numRef>
          </c:val>
          <c:extLst xmlns:c16r2="http://schemas.microsoft.com/office/drawing/2015/06/chart">
            <c:ext xmlns:c16="http://schemas.microsoft.com/office/drawing/2014/chart" uri="{C3380CC4-5D6E-409C-BE32-E72D297353CC}">
              <c16:uniqueId val="{00000001-9E87-4C6F-BD14-464B14C44E93}"/>
            </c:ext>
          </c:extLst>
        </c:ser>
        <c:ser>
          <c:idx val="2"/>
          <c:order val="2"/>
          <c:tx>
            <c:strRef>
              <c:f>土地!$A$5</c:f>
              <c:strCache>
                <c:ptCount val="1"/>
                <c:pt idx="0">
                  <c:v>新增规划建筑面积（万平方米）</c:v>
                </c:pt>
              </c:strCache>
            </c:strRef>
          </c:tx>
          <c:spPr>
            <a:solidFill>
              <a:schemeClr val="accent3"/>
            </a:solidFill>
            <a:ln>
              <a:noFill/>
            </a:ln>
            <a:effectLst/>
          </c:spPr>
          <c:invertIfNegative val="0"/>
          <c:cat>
            <c:strRef>
              <c:f>土地!$B$2:$E$2</c:f>
              <c:strCache>
                <c:ptCount val="4"/>
                <c:pt idx="0">
                  <c:v>2017</c:v>
                </c:pt>
                <c:pt idx="1">
                  <c:v>2018</c:v>
                </c:pt>
                <c:pt idx="2">
                  <c:v>2019</c:v>
                </c:pt>
                <c:pt idx="3">
                  <c:v>2020年1-10月</c:v>
                </c:pt>
              </c:strCache>
            </c:strRef>
          </c:cat>
          <c:val>
            <c:numRef>
              <c:f>土地!$B$5:$E$5</c:f>
              <c:numCache>
                <c:formatCode>General</c:formatCode>
                <c:ptCount val="4"/>
                <c:pt idx="0">
                  <c:v>747.86</c:v>
                </c:pt>
                <c:pt idx="1">
                  <c:v>748.46</c:v>
                </c:pt>
                <c:pt idx="2">
                  <c:v>673.74</c:v>
                </c:pt>
                <c:pt idx="3">
                  <c:v>778.12</c:v>
                </c:pt>
              </c:numCache>
            </c:numRef>
          </c:val>
          <c:extLst xmlns:c16r2="http://schemas.microsoft.com/office/drawing/2015/06/chart">
            <c:ext xmlns:c16="http://schemas.microsoft.com/office/drawing/2014/chart" uri="{C3380CC4-5D6E-409C-BE32-E72D297353CC}">
              <c16:uniqueId val="{00000002-9E87-4C6F-BD14-464B14C44E93}"/>
            </c:ext>
          </c:extLst>
        </c:ser>
        <c:dLbls>
          <c:showLegendKey val="0"/>
          <c:showVal val="0"/>
          <c:showCatName val="0"/>
          <c:showSerName val="0"/>
          <c:showPercent val="0"/>
          <c:showBubbleSize val="0"/>
        </c:dLbls>
        <c:gapWidth val="219"/>
        <c:axId val="482124544"/>
        <c:axId val="745167872"/>
      </c:barChart>
      <c:lineChart>
        <c:grouping val="standard"/>
        <c:varyColors val="0"/>
        <c:ser>
          <c:idx val="0"/>
          <c:order val="0"/>
          <c:tx>
            <c:strRef>
              <c:f>土地!$A$3</c:f>
              <c:strCache>
                <c:ptCount val="1"/>
                <c:pt idx="0">
                  <c:v>供应宗地数（宗）</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土地!$B$2:$E$2</c:f>
              <c:strCache>
                <c:ptCount val="4"/>
                <c:pt idx="0">
                  <c:v>2017</c:v>
                </c:pt>
                <c:pt idx="1">
                  <c:v>2018</c:v>
                </c:pt>
                <c:pt idx="2">
                  <c:v>2019</c:v>
                </c:pt>
                <c:pt idx="3">
                  <c:v>2020年1-10月</c:v>
                </c:pt>
              </c:strCache>
            </c:strRef>
          </c:cat>
          <c:val>
            <c:numRef>
              <c:f>土地!$B$3:$E$3</c:f>
              <c:numCache>
                <c:formatCode>General</c:formatCode>
                <c:ptCount val="4"/>
                <c:pt idx="0">
                  <c:v>75</c:v>
                </c:pt>
                <c:pt idx="1">
                  <c:v>84</c:v>
                </c:pt>
                <c:pt idx="2">
                  <c:v>71</c:v>
                </c:pt>
                <c:pt idx="3">
                  <c:v>92</c:v>
                </c:pt>
              </c:numCache>
            </c:numRef>
          </c:val>
          <c:smooth val="0"/>
          <c:extLst xmlns:c16r2="http://schemas.microsoft.com/office/drawing/2015/06/chart">
            <c:ext xmlns:c16="http://schemas.microsoft.com/office/drawing/2014/chart" uri="{C3380CC4-5D6E-409C-BE32-E72D297353CC}">
              <c16:uniqueId val="{00000000-9E87-4C6F-BD14-464B14C44E93}"/>
            </c:ext>
          </c:extLst>
        </c:ser>
        <c:dLbls>
          <c:showLegendKey val="0"/>
          <c:showVal val="0"/>
          <c:showCatName val="0"/>
          <c:showSerName val="0"/>
          <c:showPercent val="0"/>
          <c:showBubbleSize val="0"/>
        </c:dLbls>
        <c:marker val="1"/>
        <c:smooth val="0"/>
        <c:axId val="839589888"/>
        <c:axId val="778556160"/>
      </c:lineChart>
      <c:catAx>
        <c:axId val="482124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45167872"/>
        <c:crosses val="autoZero"/>
        <c:auto val="1"/>
        <c:lblAlgn val="ctr"/>
        <c:lblOffset val="100"/>
        <c:noMultiLvlLbl val="0"/>
      </c:catAx>
      <c:valAx>
        <c:axId val="745167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82124544"/>
        <c:crosses val="autoZero"/>
        <c:crossBetween val="between"/>
      </c:valAx>
      <c:valAx>
        <c:axId val="77855616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39589888"/>
        <c:crosses val="max"/>
        <c:crossBetween val="between"/>
      </c:valAx>
      <c:catAx>
        <c:axId val="839589888"/>
        <c:scaling>
          <c:orientation val="minMax"/>
        </c:scaling>
        <c:delete val="1"/>
        <c:axPos val="b"/>
        <c:numFmt formatCode="General" sourceLinked="1"/>
        <c:majorTickMark val="out"/>
        <c:minorTickMark val="none"/>
        <c:tickLblPos val="nextTo"/>
        <c:crossAx val="7785561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1" i="0" baseline="0">
                <a:effectLst/>
              </a:rPr>
              <a:t>2019</a:t>
            </a:r>
            <a:r>
              <a:rPr lang="zh-CN" altLang="en-US" sz="1400" b="1" i="0" baseline="0">
                <a:effectLst/>
              </a:rPr>
              <a:t>年至</a:t>
            </a:r>
            <a:r>
              <a:rPr lang="en-US" altLang="zh-CN" sz="1400" b="1" i="0" baseline="0">
                <a:effectLst/>
              </a:rPr>
              <a:t>2020</a:t>
            </a:r>
            <a:r>
              <a:rPr lang="zh-CN" altLang="zh-CN" sz="1400" b="1" i="0" baseline="0">
                <a:effectLst/>
              </a:rPr>
              <a:t>年</a:t>
            </a:r>
            <a:r>
              <a:rPr lang="en-US" altLang="zh-CN" sz="1400" b="1" i="0" baseline="0">
                <a:effectLst/>
              </a:rPr>
              <a:t>10</a:t>
            </a:r>
            <a:r>
              <a:rPr lang="zh-CN" altLang="en-US" sz="1400" b="1" i="0" baseline="0">
                <a:effectLst/>
              </a:rPr>
              <a:t>月漳州市</a:t>
            </a:r>
            <a:r>
              <a:rPr lang="zh-CN" altLang="en-US" sz="1400" b="1" i="0" u="none" strike="noStrike" baseline="0">
                <a:effectLst/>
              </a:rPr>
              <a:t>商品住宅</a:t>
            </a:r>
            <a:r>
              <a:rPr lang="zh-CN" altLang="en-US" sz="1400" b="1" i="0" baseline="0">
                <a:effectLst/>
              </a:rPr>
              <a:t>供应成交情况</a:t>
            </a:r>
            <a:endParaRPr lang="zh-CN" altLang="zh-CN" sz="1400">
              <a:effectLst/>
            </a:endParaRPr>
          </a:p>
        </c:rich>
      </c:tx>
      <c:overlay val="0"/>
      <c:spPr>
        <a:noFill/>
        <a:ln>
          <a:noFill/>
        </a:ln>
        <a:effectLst/>
      </c:spPr>
    </c:title>
    <c:autoTitleDeleted val="0"/>
    <c:plotArea>
      <c:layout/>
      <c:barChart>
        <c:barDir val="col"/>
        <c:grouping val="clustered"/>
        <c:varyColors val="0"/>
        <c:ser>
          <c:idx val="1"/>
          <c:order val="1"/>
          <c:tx>
            <c:strRef>
              <c:f>房地产!$C$66</c:f>
              <c:strCache>
                <c:ptCount val="1"/>
                <c:pt idx="0">
                  <c:v>供应套数(套)</c:v>
                </c:pt>
              </c:strCache>
            </c:strRef>
          </c:tx>
          <c:spPr>
            <a:solidFill>
              <a:schemeClr val="accent2"/>
            </a:solidFill>
            <a:ln>
              <a:noFill/>
            </a:ln>
            <a:effectLst/>
          </c:spPr>
          <c:invertIfNegative val="0"/>
          <c:cat>
            <c:strRef>
              <c:f>房地产!$A$67:$A$88</c:f>
              <c:strCache>
                <c:ptCount val="22"/>
                <c:pt idx="0">
                  <c:v>2019年01月</c:v>
                </c:pt>
                <c:pt idx="1">
                  <c:v>2019年02月</c:v>
                </c:pt>
                <c:pt idx="2">
                  <c:v>2019年03月</c:v>
                </c:pt>
                <c:pt idx="3">
                  <c:v>2019年04月</c:v>
                </c:pt>
                <c:pt idx="4">
                  <c:v>2019年05月</c:v>
                </c:pt>
                <c:pt idx="5">
                  <c:v>2019年06月</c:v>
                </c:pt>
                <c:pt idx="6">
                  <c:v>2019年07月</c:v>
                </c:pt>
                <c:pt idx="7">
                  <c:v>2019年08月</c:v>
                </c:pt>
                <c:pt idx="8">
                  <c:v>2019年09月</c:v>
                </c:pt>
                <c:pt idx="9">
                  <c:v>2019年10月</c:v>
                </c:pt>
                <c:pt idx="10">
                  <c:v>2019年11月</c:v>
                </c:pt>
                <c:pt idx="11">
                  <c:v>2019年12月</c:v>
                </c:pt>
                <c:pt idx="12">
                  <c:v>2020年01月</c:v>
                </c:pt>
                <c:pt idx="13">
                  <c:v>2020年02月</c:v>
                </c:pt>
                <c:pt idx="14">
                  <c:v>2020年03月</c:v>
                </c:pt>
                <c:pt idx="15">
                  <c:v>2020年04月</c:v>
                </c:pt>
                <c:pt idx="16">
                  <c:v>2020年05月</c:v>
                </c:pt>
                <c:pt idx="17">
                  <c:v>2020年06月</c:v>
                </c:pt>
                <c:pt idx="18">
                  <c:v>2020年07月</c:v>
                </c:pt>
                <c:pt idx="19">
                  <c:v>2020年08月</c:v>
                </c:pt>
                <c:pt idx="20">
                  <c:v>2020年09月</c:v>
                </c:pt>
                <c:pt idx="21">
                  <c:v>2020年10月</c:v>
                </c:pt>
              </c:strCache>
            </c:strRef>
          </c:cat>
          <c:val>
            <c:numRef>
              <c:f>房地产!$C$67:$C$88</c:f>
              <c:numCache>
                <c:formatCode>General</c:formatCode>
                <c:ptCount val="22"/>
                <c:pt idx="0">
                  <c:v>729</c:v>
                </c:pt>
                <c:pt idx="1">
                  <c:v>740</c:v>
                </c:pt>
                <c:pt idx="2">
                  <c:v>884</c:v>
                </c:pt>
                <c:pt idx="3">
                  <c:v>1332</c:v>
                </c:pt>
                <c:pt idx="4">
                  <c:v>219</c:v>
                </c:pt>
                <c:pt idx="5">
                  <c:v>678</c:v>
                </c:pt>
                <c:pt idx="6">
                  <c:v>1662</c:v>
                </c:pt>
                <c:pt idx="7">
                  <c:v>2066</c:v>
                </c:pt>
                <c:pt idx="8">
                  <c:v>852</c:v>
                </c:pt>
                <c:pt idx="9">
                  <c:v>480</c:v>
                </c:pt>
                <c:pt idx="10">
                  <c:v>895</c:v>
                </c:pt>
                <c:pt idx="11">
                  <c:v>1269</c:v>
                </c:pt>
                <c:pt idx="12">
                  <c:v>140</c:v>
                </c:pt>
                <c:pt idx="13">
                  <c:v>0</c:v>
                </c:pt>
                <c:pt idx="14">
                  <c:v>875</c:v>
                </c:pt>
                <c:pt idx="15">
                  <c:v>1267</c:v>
                </c:pt>
                <c:pt idx="16">
                  <c:v>873</c:v>
                </c:pt>
                <c:pt idx="17">
                  <c:v>1624</c:v>
                </c:pt>
                <c:pt idx="18">
                  <c:v>1241</c:v>
                </c:pt>
                <c:pt idx="19">
                  <c:v>848</c:v>
                </c:pt>
                <c:pt idx="20">
                  <c:v>1398</c:v>
                </c:pt>
                <c:pt idx="21">
                  <c:v>799</c:v>
                </c:pt>
              </c:numCache>
            </c:numRef>
          </c:val>
          <c:extLst xmlns:c16r2="http://schemas.microsoft.com/office/drawing/2015/06/chart">
            <c:ext xmlns:c16="http://schemas.microsoft.com/office/drawing/2014/chart" uri="{C3380CC4-5D6E-409C-BE32-E72D297353CC}">
              <c16:uniqueId val="{00000000-E428-449C-BD51-CC30FEDFC57F}"/>
            </c:ext>
          </c:extLst>
        </c:ser>
        <c:ser>
          <c:idx val="3"/>
          <c:order val="3"/>
          <c:tx>
            <c:strRef>
              <c:f>房地产!$E$66</c:f>
              <c:strCache>
                <c:ptCount val="1"/>
                <c:pt idx="0">
                  <c:v>成交套数(套)</c:v>
                </c:pt>
              </c:strCache>
            </c:strRef>
          </c:tx>
          <c:spPr>
            <a:solidFill>
              <a:schemeClr val="accent4"/>
            </a:solidFill>
            <a:ln>
              <a:noFill/>
            </a:ln>
            <a:effectLst/>
          </c:spPr>
          <c:invertIfNegative val="0"/>
          <c:cat>
            <c:strRef>
              <c:f>房地产!$A$67:$A$88</c:f>
              <c:strCache>
                <c:ptCount val="22"/>
                <c:pt idx="0">
                  <c:v>2019年01月</c:v>
                </c:pt>
                <c:pt idx="1">
                  <c:v>2019年02月</c:v>
                </c:pt>
                <c:pt idx="2">
                  <c:v>2019年03月</c:v>
                </c:pt>
                <c:pt idx="3">
                  <c:v>2019年04月</c:v>
                </c:pt>
                <c:pt idx="4">
                  <c:v>2019年05月</c:v>
                </c:pt>
                <c:pt idx="5">
                  <c:v>2019年06月</c:v>
                </c:pt>
                <c:pt idx="6">
                  <c:v>2019年07月</c:v>
                </c:pt>
                <c:pt idx="7">
                  <c:v>2019年08月</c:v>
                </c:pt>
                <c:pt idx="8">
                  <c:v>2019年09月</c:v>
                </c:pt>
                <c:pt idx="9">
                  <c:v>2019年10月</c:v>
                </c:pt>
                <c:pt idx="10">
                  <c:v>2019年11月</c:v>
                </c:pt>
                <c:pt idx="11">
                  <c:v>2019年12月</c:v>
                </c:pt>
                <c:pt idx="12">
                  <c:v>2020年01月</c:v>
                </c:pt>
                <c:pt idx="13">
                  <c:v>2020年02月</c:v>
                </c:pt>
                <c:pt idx="14">
                  <c:v>2020年03月</c:v>
                </c:pt>
                <c:pt idx="15">
                  <c:v>2020年04月</c:v>
                </c:pt>
                <c:pt idx="16">
                  <c:v>2020年05月</c:v>
                </c:pt>
                <c:pt idx="17">
                  <c:v>2020年06月</c:v>
                </c:pt>
                <c:pt idx="18">
                  <c:v>2020年07月</c:v>
                </c:pt>
                <c:pt idx="19">
                  <c:v>2020年08月</c:v>
                </c:pt>
                <c:pt idx="20">
                  <c:v>2020年09月</c:v>
                </c:pt>
                <c:pt idx="21">
                  <c:v>2020年10月</c:v>
                </c:pt>
              </c:strCache>
            </c:strRef>
          </c:cat>
          <c:val>
            <c:numRef>
              <c:f>房地产!$E$67:$E$88</c:f>
              <c:numCache>
                <c:formatCode>General</c:formatCode>
                <c:ptCount val="22"/>
                <c:pt idx="0">
                  <c:v>589</c:v>
                </c:pt>
                <c:pt idx="1">
                  <c:v>229</c:v>
                </c:pt>
                <c:pt idx="2">
                  <c:v>306</c:v>
                </c:pt>
                <c:pt idx="3">
                  <c:v>518</c:v>
                </c:pt>
                <c:pt idx="4">
                  <c:v>867</c:v>
                </c:pt>
                <c:pt idx="5">
                  <c:v>853</c:v>
                </c:pt>
                <c:pt idx="6">
                  <c:v>571</c:v>
                </c:pt>
                <c:pt idx="7">
                  <c:v>704</c:v>
                </c:pt>
                <c:pt idx="8">
                  <c:v>895</c:v>
                </c:pt>
                <c:pt idx="9">
                  <c:v>1042</c:v>
                </c:pt>
                <c:pt idx="10">
                  <c:v>766</c:v>
                </c:pt>
                <c:pt idx="11">
                  <c:v>1064</c:v>
                </c:pt>
                <c:pt idx="12">
                  <c:v>609</c:v>
                </c:pt>
                <c:pt idx="13">
                  <c:v>338</c:v>
                </c:pt>
                <c:pt idx="14">
                  <c:v>326</c:v>
                </c:pt>
                <c:pt idx="15">
                  <c:v>685</c:v>
                </c:pt>
                <c:pt idx="16">
                  <c:v>898</c:v>
                </c:pt>
                <c:pt idx="17">
                  <c:v>651</c:v>
                </c:pt>
                <c:pt idx="18">
                  <c:v>1060</c:v>
                </c:pt>
                <c:pt idx="19">
                  <c:v>884</c:v>
                </c:pt>
                <c:pt idx="20">
                  <c:v>1209</c:v>
                </c:pt>
                <c:pt idx="21">
                  <c:v>1178</c:v>
                </c:pt>
              </c:numCache>
            </c:numRef>
          </c:val>
          <c:extLst xmlns:c16r2="http://schemas.microsoft.com/office/drawing/2015/06/chart">
            <c:ext xmlns:c16="http://schemas.microsoft.com/office/drawing/2014/chart" uri="{C3380CC4-5D6E-409C-BE32-E72D297353CC}">
              <c16:uniqueId val="{00000001-E428-449C-BD51-CC30FEDFC57F}"/>
            </c:ext>
          </c:extLst>
        </c:ser>
        <c:dLbls>
          <c:showLegendKey val="0"/>
          <c:showVal val="0"/>
          <c:showCatName val="0"/>
          <c:showSerName val="0"/>
          <c:showPercent val="0"/>
          <c:showBubbleSize val="0"/>
        </c:dLbls>
        <c:gapWidth val="219"/>
        <c:axId val="412119040"/>
        <c:axId val="412120960"/>
      </c:barChart>
      <c:lineChart>
        <c:grouping val="standard"/>
        <c:varyColors val="0"/>
        <c:ser>
          <c:idx val="0"/>
          <c:order val="0"/>
          <c:tx>
            <c:strRef>
              <c:f>房地产!$B$66</c:f>
              <c:strCache>
                <c:ptCount val="1"/>
                <c:pt idx="0">
                  <c:v>供应面积(㎡)</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房地产!$A$67:$A$88</c:f>
              <c:strCache>
                <c:ptCount val="22"/>
                <c:pt idx="0">
                  <c:v>2019年01月</c:v>
                </c:pt>
                <c:pt idx="1">
                  <c:v>2019年02月</c:v>
                </c:pt>
                <c:pt idx="2">
                  <c:v>2019年03月</c:v>
                </c:pt>
                <c:pt idx="3">
                  <c:v>2019年04月</c:v>
                </c:pt>
                <c:pt idx="4">
                  <c:v>2019年05月</c:v>
                </c:pt>
                <c:pt idx="5">
                  <c:v>2019年06月</c:v>
                </c:pt>
                <c:pt idx="6">
                  <c:v>2019年07月</c:v>
                </c:pt>
                <c:pt idx="7">
                  <c:v>2019年08月</c:v>
                </c:pt>
                <c:pt idx="8">
                  <c:v>2019年09月</c:v>
                </c:pt>
                <c:pt idx="9">
                  <c:v>2019年10月</c:v>
                </c:pt>
                <c:pt idx="10">
                  <c:v>2019年11月</c:v>
                </c:pt>
                <c:pt idx="11">
                  <c:v>2019年12月</c:v>
                </c:pt>
                <c:pt idx="12">
                  <c:v>2020年01月</c:v>
                </c:pt>
                <c:pt idx="13">
                  <c:v>2020年02月</c:v>
                </c:pt>
                <c:pt idx="14">
                  <c:v>2020年03月</c:v>
                </c:pt>
                <c:pt idx="15">
                  <c:v>2020年04月</c:v>
                </c:pt>
                <c:pt idx="16">
                  <c:v>2020年05月</c:v>
                </c:pt>
                <c:pt idx="17">
                  <c:v>2020年06月</c:v>
                </c:pt>
                <c:pt idx="18">
                  <c:v>2020年07月</c:v>
                </c:pt>
                <c:pt idx="19">
                  <c:v>2020年08月</c:v>
                </c:pt>
                <c:pt idx="20">
                  <c:v>2020年09月</c:v>
                </c:pt>
                <c:pt idx="21">
                  <c:v>2020年10月</c:v>
                </c:pt>
              </c:strCache>
            </c:strRef>
          </c:cat>
          <c:val>
            <c:numRef>
              <c:f>房地产!$B$67:$B$88</c:f>
              <c:numCache>
                <c:formatCode>General</c:formatCode>
                <c:ptCount val="22"/>
                <c:pt idx="0">
                  <c:v>84411</c:v>
                </c:pt>
                <c:pt idx="1">
                  <c:v>82640</c:v>
                </c:pt>
                <c:pt idx="2">
                  <c:v>104284</c:v>
                </c:pt>
                <c:pt idx="3">
                  <c:v>154190</c:v>
                </c:pt>
                <c:pt idx="4">
                  <c:v>26826</c:v>
                </c:pt>
                <c:pt idx="5">
                  <c:v>77125</c:v>
                </c:pt>
                <c:pt idx="6">
                  <c:v>188654</c:v>
                </c:pt>
                <c:pt idx="7">
                  <c:v>247724</c:v>
                </c:pt>
                <c:pt idx="8">
                  <c:v>94852</c:v>
                </c:pt>
                <c:pt idx="9">
                  <c:v>60096</c:v>
                </c:pt>
                <c:pt idx="10">
                  <c:v>95545</c:v>
                </c:pt>
                <c:pt idx="11">
                  <c:v>142802</c:v>
                </c:pt>
                <c:pt idx="12">
                  <c:v>14427</c:v>
                </c:pt>
                <c:pt idx="13">
                  <c:v>0</c:v>
                </c:pt>
                <c:pt idx="14">
                  <c:v>93305</c:v>
                </c:pt>
                <c:pt idx="15">
                  <c:v>122346</c:v>
                </c:pt>
                <c:pt idx="16">
                  <c:v>101345</c:v>
                </c:pt>
                <c:pt idx="17">
                  <c:v>168160</c:v>
                </c:pt>
                <c:pt idx="18">
                  <c:v>129795</c:v>
                </c:pt>
                <c:pt idx="19">
                  <c:v>104224</c:v>
                </c:pt>
                <c:pt idx="20">
                  <c:v>152703</c:v>
                </c:pt>
                <c:pt idx="21">
                  <c:v>81269</c:v>
                </c:pt>
              </c:numCache>
            </c:numRef>
          </c:val>
          <c:smooth val="0"/>
          <c:extLst xmlns:c16r2="http://schemas.microsoft.com/office/drawing/2015/06/chart">
            <c:ext xmlns:c16="http://schemas.microsoft.com/office/drawing/2014/chart" uri="{C3380CC4-5D6E-409C-BE32-E72D297353CC}">
              <c16:uniqueId val="{00000002-E428-449C-BD51-CC30FEDFC57F}"/>
            </c:ext>
          </c:extLst>
        </c:ser>
        <c:ser>
          <c:idx val="2"/>
          <c:order val="2"/>
          <c:tx>
            <c:strRef>
              <c:f>房地产!$D$66</c:f>
              <c:strCache>
                <c:ptCount val="1"/>
                <c:pt idx="0">
                  <c:v>成交面积(㎡)</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房地产!$A$67:$A$88</c:f>
              <c:strCache>
                <c:ptCount val="22"/>
                <c:pt idx="0">
                  <c:v>2019年01月</c:v>
                </c:pt>
                <c:pt idx="1">
                  <c:v>2019年02月</c:v>
                </c:pt>
                <c:pt idx="2">
                  <c:v>2019年03月</c:v>
                </c:pt>
                <c:pt idx="3">
                  <c:v>2019年04月</c:v>
                </c:pt>
                <c:pt idx="4">
                  <c:v>2019年05月</c:v>
                </c:pt>
                <c:pt idx="5">
                  <c:v>2019年06月</c:v>
                </c:pt>
                <c:pt idx="6">
                  <c:v>2019年07月</c:v>
                </c:pt>
                <c:pt idx="7">
                  <c:v>2019年08月</c:v>
                </c:pt>
                <c:pt idx="8">
                  <c:v>2019年09月</c:v>
                </c:pt>
                <c:pt idx="9">
                  <c:v>2019年10月</c:v>
                </c:pt>
                <c:pt idx="10">
                  <c:v>2019年11月</c:v>
                </c:pt>
                <c:pt idx="11">
                  <c:v>2019年12月</c:v>
                </c:pt>
                <c:pt idx="12">
                  <c:v>2020年01月</c:v>
                </c:pt>
                <c:pt idx="13">
                  <c:v>2020年02月</c:v>
                </c:pt>
                <c:pt idx="14">
                  <c:v>2020年03月</c:v>
                </c:pt>
                <c:pt idx="15">
                  <c:v>2020年04月</c:v>
                </c:pt>
                <c:pt idx="16">
                  <c:v>2020年05月</c:v>
                </c:pt>
                <c:pt idx="17">
                  <c:v>2020年06月</c:v>
                </c:pt>
                <c:pt idx="18">
                  <c:v>2020年07月</c:v>
                </c:pt>
                <c:pt idx="19">
                  <c:v>2020年08月</c:v>
                </c:pt>
                <c:pt idx="20">
                  <c:v>2020年09月</c:v>
                </c:pt>
                <c:pt idx="21">
                  <c:v>2020年10月</c:v>
                </c:pt>
              </c:strCache>
            </c:strRef>
          </c:cat>
          <c:val>
            <c:numRef>
              <c:f>房地产!$D$67:$D$88</c:f>
              <c:numCache>
                <c:formatCode>General</c:formatCode>
                <c:ptCount val="22"/>
                <c:pt idx="0">
                  <c:v>63094</c:v>
                </c:pt>
                <c:pt idx="1">
                  <c:v>24196</c:v>
                </c:pt>
                <c:pt idx="2">
                  <c:v>33831</c:v>
                </c:pt>
                <c:pt idx="3">
                  <c:v>54839</c:v>
                </c:pt>
                <c:pt idx="4">
                  <c:v>92286</c:v>
                </c:pt>
                <c:pt idx="5">
                  <c:v>95754</c:v>
                </c:pt>
                <c:pt idx="6">
                  <c:v>63603</c:v>
                </c:pt>
                <c:pt idx="7">
                  <c:v>82552</c:v>
                </c:pt>
                <c:pt idx="8">
                  <c:v>103780</c:v>
                </c:pt>
                <c:pt idx="9">
                  <c:v>118342</c:v>
                </c:pt>
                <c:pt idx="10">
                  <c:v>84241</c:v>
                </c:pt>
                <c:pt idx="11">
                  <c:v>119503</c:v>
                </c:pt>
                <c:pt idx="12">
                  <c:v>68901</c:v>
                </c:pt>
                <c:pt idx="13">
                  <c:v>36890</c:v>
                </c:pt>
                <c:pt idx="14">
                  <c:v>34765</c:v>
                </c:pt>
                <c:pt idx="15">
                  <c:v>72566</c:v>
                </c:pt>
                <c:pt idx="16">
                  <c:v>96100</c:v>
                </c:pt>
                <c:pt idx="17">
                  <c:v>71100</c:v>
                </c:pt>
                <c:pt idx="18">
                  <c:v>114397</c:v>
                </c:pt>
                <c:pt idx="19">
                  <c:v>92222</c:v>
                </c:pt>
                <c:pt idx="20">
                  <c:v>131036</c:v>
                </c:pt>
                <c:pt idx="21">
                  <c:v>124149</c:v>
                </c:pt>
              </c:numCache>
            </c:numRef>
          </c:val>
          <c:smooth val="0"/>
          <c:extLst xmlns:c16r2="http://schemas.microsoft.com/office/drawing/2015/06/chart">
            <c:ext xmlns:c16="http://schemas.microsoft.com/office/drawing/2014/chart" uri="{C3380CC4-5D6E-409C-BE32-E72D297353CC}">
              <c16:uniqueId val="{00000003-E428-449C-BD51-CC30FEDFC57F}"/>
            </c:ext>
          </c:extLst>
        </c:ser>
        <c:dLbls>
          <c:showLegendKey val="0"/>
          <c:showVal val="0"/>
          <c:showCatName val="0"/>
          <c:showSerName val="0"/>
          <c:showPercent val="0"/>
          <c:showBubbleSize val="0"/>
        </c:dLbls>
        <c:marker val="1"/>
        <c:smooth val="0"/>
        <c:axId val="412132480"/>
        <c:axId val="412122496"/>
      </c:lineChart>
      <c:catAx>
        <c:axId val="412119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12120960"/>
        <c:crosses val="autoZero"/>
        <c:auto val="1"/>
        <c:lblAlgn val="ctr"/>
        <c:lblOffset val="100"/>
        <c:noMultiLvlLbl val="0"/>
      </c:catAx>
      <c:valAx>
        <c:axId val="412120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12119040"/>
        <c:crosses val="autoZero"/>
        <c:crossBetween val="between"/>
      </c:valAx>
      <c:valAx>
        <c:axId val="41212249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12132480"/>
        <c:crosses val="max"/>
        <c:crossBetween val="between"/>
      </c:valAx>
      <c:catAx>
        <c:axId val="412132480"/>
        <c:scaling>
          <c:orientation val="minMax"/>
        </c:scaling>
        <c:delete val="1"/>
        <c:axPos val="b"/>
        <c:numFmt formatCode="General" sourceLinked="1"/>
        <c:majorTickMark val="out"/>
        <c:minorTickMark val="none"/>
        <c:tickLblPos val="nextTo"/>
        <c:crossAx val="4121224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2017</a:t>
            </a:r>
            <a:r>
              <a:rPr lang="zh-CN" altLang="zh-CN" sz="1200" b="1" i="0" u="none" strike="noStrike" baseline="0">
                <a:effectLst/>
              </a:rPr>
              <a:t>年至</a:t>
            </a:r>
            <a:r>
              <a:rPr lang="en-US" altLang="zh-CN" sz="1200" b="1" i="0" u="none" strike="noStrike" baseline="0">
                <a:effectLst/>
              </a:rPr>
              <a:t>2020</a:t>
            </a:r>
            <a:r>
              <a:rPr lang="zh-CN" altLang="zh-CN" sz="1200" b="1" i="0" u="none" strike="noStrike" baseline="0">
                <a:effectLst/>
              </a:rPr>
              <a:t>年</a:t>
            </a:r>
            <a:r>
              <a:rPr lang="en-US" altLang="zh-CN" sz="1200" b="1" i="0" u="none" strike="noStrike" baseline="0">
                <a:effectLst/>
              </a:rPr>
              <a:t>10</a:t>
            </a:r>
            <a:r>
              <a:rPr lang="zh-CN" altLang="zh-CN" sz="1200" b="1" i="0" u="none" strike="noStrike" baseline="0">
                <a:effectLst/>
              </a:rPr>
              <a:t>月漳州市</a:t>
            </a:r>
            <a:r>
              <a:rPr lang="zh-CN" altLang="en-US" sz="1200" b="1" i="0" baseline="0">
                <a:effectLst/>
              </a:rPr>
              <a:t>商品住宅成交价格走势</a:t>
            </a:r>
            <a:endParaRPr lang="zh-CN" altLang="zh-CN" sz="1200">
              <a:effectLst/>
            </a:endParaRPr>
          </a:p>
        </c:rich>
      </c:tx>
      <c:overlay val="0"/>
      <c:spPr>
        <a:noFill/>
        <a:ln>
          <a:noFill/>
        </a:ln>
        <a:effectLst/>
      </c:spPr>
    </c:title>
    <c:autoTitleDeleted val="0"/>
    <c:plotArea>
      <c:layout/>
      <c:barChart>
        <c:barDir val="col"/>
        <c:grouping val="clustered"/>
        <c:varyColors val="0"/>
        <c:ser>
          <c:idx val="0"/>
          <c:order val="0"/>
          <c:tx>
            <c:strRef>
              <c:f>房地产!$L$16</c:f>
              <c:strCache>
                <c:ptCount val="1"/>
                <c:pt idx="0">
                  <c:v>销售额(亿元)</c:v>
                </c:pt>
              </c:strCache>
            </c:strRef>
          </c:tx>
          <c:spPr>
            <a:ln w="28575" cap="rnd">
              <a:solidFill>
                <a:schemeClr val="accent1"/>
              </a:solidFill>
              <a:round/>
            </a:ln>
            <a:effectLst/>
          </c:spPr>
          <c:invertIfNegative val="0"/>
          <c:cat>
            <c:strRef>
              <c:f>房地产!$M$15:$P$15</c:f>
              <c:strCache>
                <c:ptCount val="4"/>
                <c:pt idx="0">
                  <c:v>2017</c:v>
                </c:pt>
                <c:pt idx="1">
                  <c:v>2018</c:v>
                </c:pt>
                <c:pt idx="2">
                  <c:v>2019</c:v>
                </c:pt>
                <c:pt idx="3">
                  <c:v>2020年1-10月</c:v>
                </c:pt>
              </c:strCache>
            </c:strRef>
          </c:cat>
          <c:val>
            <c:numRef>
              <c:f>房地产!$M$16:$P$16</c:f>
              <c:numCache>
                <c:formatCode>General</c:formatCode>
                <c:ptCount val="4"/>
                <c:pt idx="0">
                  <c:v>96.048485850000006</c:v>
                </c:pt>
                <c:pt idx="1">
                  <c:v>111.67274456</c:v>
                </c:pt>
                <c:pt idx="2">
                  <c:v>142.27149585999999</c:v>
                </c:pt>
                <c:pt idx="3">
                  <c:v>133.10198711000001</c:v>
                </c:pt>
              </c:numCache>
            </c:numRef>
          </c:val>
          <c:extLst xmlns:c16r2="http://schemas.microsoft.com/office/drawing/2015/06/chart">
            <c:ext xmlns:c16="http://schemas.microsoft.com/office/drawing/2014/chart" uri="{C3380CC4-5D6E-409C-BE32-E72D297353CC}">
              <c16:uniqueId val="{00000002-E54E-4137-90FF-239FBDB0C296}"/>
            </c:ext>
          </c:extLst>
        </c:ser>
        <c:dLbls>
          <c:showLegendKey val="0"/>
          <c:showVal val="0"/>
          <c:showCatName val="0"/>
          <c:showSerName val="0"/>
          <c:showPercent val="0"/>
          <c:showBubbleSize val="0"/>
        </c:dLbls>
        <c:gapWidth val="150"/>
        <c:axId val="413125248"/>
        <c:axId val="448868736"/>
      </c:barChart>
      <c:lineChart>
        <c:grouping val="standard"/>
        <c:varyColors val="0"/>
        <c:ser>
          <c:idx val="1"/>
          <c:order val="1"/>
          <c:tx>
            <c:strRef>
              <c:f>房地产!$L$17</c:f>
              <c:strCache>
                <c:ptCount val="1"/>
                <c:pt idx="0">
                  <c:v>销售价格(元/㎡)</c:v>
                </c:pt>
              </c:strCache>
            </c:strRef>
          </c:tx>
          <c:spPr>
            <a:effectLst/>
          </c:spPr>
          <c:cat>
            <c:strRef>
              <c:f>房地产!$M$15:$P$15</c:f>
              <c:strCache>
                <c:ptCount val="4"/>
                <c:pt idx="0">
                  <c:v>2017</c:v>
                </c:pt>
                <c:pt idx="1">
                  <c:v>2018</c:v>
                </c:pt>
                <c:pt idx="2">
                  <c:v>2019</c:v>
                </c:pt>
                <c:pt idx="3">
                  <c:v>2020年1-10月</c:v>
                </c:pt>
              </c:strCache>
            </c:strRef>
          </c:cat>
          <c:val>
            <c:numRef>
              <c:f>房地产!$M$17:$P$17</c:f>
              <c:numCache>
                <c:formatCode>General</c:formatCode>
                <c:ptCount val="4"/>
                <c:pt idx="0">
                  <c:v>13681</c:v>
                </c:pt>
                <c:pt idx="1">
                  <c:v>14824</c:v>
                </c:pt>
                <c:pt idx="2">
                  <c:v>15200</c:v>
                </c:pt>
                <c:pt idx="3">
                  <c:v>14687</c:v>
                </c:pt>
              </c:numCache>
            </c:numRef>
          </c:val>
          <c:smooth val="0"/>
          <c:extLst xmlns:c16r2="http://schemas.microsoft.com/office/drawing/2015/06/chart">
            <c:ext xmlns:c16="http://schemas.microsoft.com/office/drawing/2014/chart" uri="{C3380CC4-5D6E-409C-BE32-E72D297353CC}">
              <c16:uniqueId val="{00000000-E54E-4137-90FF-239FBDB0C296}"/>
            </c:ext>
          </c:extLst>
        </c:ser>
        <c:dLbls>
          <c:showLegendKey val="0"/>
          <c:showVal val="0"/>
          <c:showCatName val="0"/>
          <c:showSerName val="0"/>
          <c:showPercent val="0"/>
          <c:showBubbleSize val="0"/>
        </c:dLbls>
        <c:marker val="1"/>
        <c:smooth val="0"/>
        <c:axId val="448871808"/>
        <c:axId val="448870272"/>
      </c:lineChart>
      <c:catAx>
        <c:axId val="41312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48868736"/>
        <c:crosses val="autoZero"/>
        <c:auto val="1"/>
        <c:lblAlgn val="ctr"/>
        <c:lblOffset val="100"/>
        <c:noMultiLvlLbl val="0"/>
      </c:catAx>
      <c:valAx>
        <c:axId val="448868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13125248"/>
        <c:crosses val="autoZero"/>
        <c:crossBetween val="between"/>
      </c:valAx>
      <c:valAx>
        <c:axId val="448870272"/>
        <c:scaling>
          <c:orientation val="minMax"/>
        </c:scaling>
        <c:delete val="0"/>
        <c:axPos val="r"/>
        <c:numFmt formatCode="General" sourceLinked="1"/>
        <c:majorTickMark val="out"/>
        <c:minorTickMark val="none"/>
        <c:tickLblPos val="nextTo"/>
        <c:crossAx val="448871808"/>
        <c:crosses val="max"/>
        <c:crossBetween val="between"/>
      </c:valAx>
      <c:catAx>
        <c:axId val="448871808"/>
        <c:scaling>
          <c:orientation val="minMax"/>
        </c:scaling>
        <c:delete val="1"/>
        <c:axPos val="b"/>
        <c:numFmt formatCode="General" sourceLinked="1"/>
        <c:majorTickMark val="out"/>
        <c:minorTickMark val="none"/>
        <c:tickLblPos val="nextTo"/>
        <c:crossAx val="4488702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2019</a:t>
            </a:r>
            <a:r>
              <a:rPr lang="zh-CN" altLang="zh-CN" sz="1200" b="1" i="0" u="none" strike="noStrike" baseline="0">
                <a:effectLst/>
              </a:rPr>
              <a:t>年至</a:t>
            </a:r>
            <a:r>
              <a:rPr lang="en-US" altLang="zh-CN" sz="1200" b="1" i="0" u="none" strike="noStrike" baseline="0">
                <a:effectLst/>
              </a:rPr>
              <a:t>2020</a:t>
            </a:r>
            <a:r>
              <a:rPr lang="zh-CN" altLang="zh-CN" sz="1200" b="1" i="0" u="none" strike="noStrike" baseline="0">
                <a:effectLst/>
              </a:rPr>
              <a:t>年</a:t>
            </a:r>
            <a:r>
              <a:rPr lang="en-US" altLang="zh-CN" sz="1200" b="1" i="0" u="none" strike="noStrike" baseline="0">
                <a:effectLst/>
              </a:rPr>
              <a:t>10</a:t>
            </a:r>
            <a:r>
              <a:rPr lang="zh-CN" altLang="zh-CN" sz="1200" b="1" i="0" u="none" strike="noStrike" baseline="0">
                <a:effectLst/>
              </a:rPr>
              <a:t>月漳州市</a:t>
            </a:r>
            <a:r>
              <a:rPr lang="zh-CN" altLang="en-US" sz="1200" b="1" i="0" baseline="0">
                <a:effectLst/>
              </a:rPr>
              <a:t>商品住宅成交价格走势</a:t>
            </a:r>
            <a:endParaRPr lang="zh-CN" altLang="zh-CN" sz="1200">
              <a:effectLst/>
            </a:endParaRPr>
          </a:p>
        </c:rich>
      </c:tx>
      <c:overlay val="0"/>
      <c:spPr>
        <a:noFill/>
        <a:ln>
          <a:noFill/>
        </a:ln>
        <a:effectLst/>
      </c:spPr>
    </c:title>
    <c:autoTitleDeleted val="0"/>
    <c:plotArea>
      <c:layout/>
      <c:barChart>
        <c:barDir val="col"/>
        <c:grouping val="clustered"/>
        <c:varyColors val="0"/>
        <c:ser>
          <c:idx val="1"/>
          <c:order val="1"/>
          <c:tx>
            <c:strRef>
              <c:f>房地产!$C$39</c:f>
              <c:strCache>
                <c:ptCount val="1"/>
                <c:pt idx="0">
                  <c:v>销售额(亿元)</c:v>
                </c:pt>
              </c:strCache>
            </c:strRef>
          </c:tx>
          <c:spPr>
            <a:solidFill>
              <a:schemeClr val="accent2"/>
            </a:solidFill>
            <a:ln>
              <a:noFill/>
            </a:ln>
            <a:effectLst/>
          </c:spPr>
          <c:invertIfNegative val="0"/>
          <c:cat>
            <c:strRef>
              <c:f>房地产!$A$40:$A$61</c:f>
              <c:strCache>
                <c:ptCount val="22"/>
                <c:pt idx="0">
                  <c:v>2019年01月</c:v>
                </c:pt>
                <c:pt idx="1">
                  <c:v>2019年02月</c:v>
                </c:pt>
                <c:pt idx="2">
                  <c:v>2019年03月</c:v>
                </c:pt>
                <c:pt idx="3">
                  <c:v>2019年04月</c:v>
                </c:pt>
                <c:pt idx="4">
                  <c:v>2019年05月</c:v>
                </c:pt>
                <c:pt idx="5">
                  <c:v>2019年06月</c:v>
                </c:pt>
                <c:pt idx="6">
                  <c:v>2019年07月</c:v>
                </c:pt>
                <c:pt idx="7">
                  <c:v>2019年08月</c:v>
                </c:pt>
                <c:pt idx="8">
                  <c:v>2019年09月</c:v>
                </c:pt>
                <c:pt idx="9">
                  <c:v>2019年10月</c:v>
                </c:pt>
                <c:pt idx="10">
                  <c:v>2019年11月</c:v>
                </c:pt>
                <c:pt idx="11">
                  <c:v>2019年12月</c:v>
                </c:pt>
                <c:pt idx="12">
                  <c:v>2020年01月</c:v>
                </c:pt>
                <c:pt idx="13">
                  <c:v>2020年02月</c:v>
                </c:pt>
                <c:pt idx="14">
                  <c:v>2020年03月</c:v>
                </c:pt>
                <c:pt idx="15">
                  <c:v>2020年04月</c:v>
                </c:pt>
                <c:pt idx="16">
                  <c:v>2020年05月</c:v>
                </c:pt>
                <c:pt idx="17">
                  <c:v>2020年06月</c:v>
                </c:pt>
                <c:pt idx="18">
                  <c:v>2020年07月</c:v>
                </c:pt>
                <c:pt idx="19">
                  <c:v>2020年08月</c:v>
                </c:pt>
                <c:pt idx="20">
                  <c:v>2020年09月</c:v>
                </c:pt>
                <c:pt idx="21">
                  <c:v>2020年10月</c:v>
                </c:pt>
              </c:strCache>
            </c:strRef>
          </c:cat>
          <c:val>
            <c:numRef>
              <c:f>房地产!$C$40:$C$61</c:f>
              <c:numCache>
                <c:formatCode>0.00</c:formatCode>
                <c:ptCount val="22"/>
                <c:pt idx="0">
                  <c:v>8.4009324799999998</c:v>
                </c:pt>
                <c:pt idx="1">
                  <c:v>3.2801804899999998</c:v>
                </c:pt>
                <c:pt idx="2">
                  <c:v>4.8962646799999998</c:v>
                </c:pt>
                <c:pt idx="3">
                  <c:v>7.6180544299999999</c:v>
                </c:pt>
                <c:pt idx="4">
                  <c:v>13.968489399999999</c:v>
                </c:pt>
                <c:pt idx="5">
                  <c:v>14.810282819999999</c:v>
                </c:pt>
                <c:pt idx="6">
                  <c:v>9.61872507</c:v>
                </c:pt>
                <c:pt idx="7">
                  <c:v>12.77340489</c:v>
                </c:pt>
                <c:pt idx="8">
                  <c:v>16.61985614</c:v>
                </c:pt>
                <c:pt idx="9">
                  <c:v>18.996179390000002</c:v>
                </c:pt>
                <c:pt idx="10">
                  <c:v>12.86083899</c:v>
                </c:pt>
                <c:pt idx="11">
                  <c:v>18.42828708</c:v>
                </c:pt>
                <c:pt idx="12">
                  <c:v>10.668201290000001</c:v>
                </c:pt>
                <c:pt idx="13">
                  <c:v>5.6711312100000004</c:v>
                </c:pt>
                <c:pt idx="14">
                  <c:v>5.07309842</c:v>
                </c:pt>
                <c:pt idx="15">
                  <c:v>10.71756034</c:v>
                </c:pt>
                <c:pt idx="16">
                  <c:v>14.527157900000001</c:v>
                </c:pt>
                <c:pt idx="17">
                  <c:v>10.833830300000001</c:v>
                </c:pt>
                <c:pt idx="18">
                  <c:v>17.47604041</c:v>
                </c:pt>
                <c:pt idx="19">
                  <c:v>13.03164353</c:v>
                </c:pt>
                <c:pt idx="20">
                  <c:v>19.050413840000001</c:v>
                </c:pt>
                <c:pt idx="21">
                  <c:v>17.03067704</c:v>
                </c:pt>
              </c:numCache>
            </c:numRef>
          </c:val>
          <c:extLst xmlns:c16r2="http://schemas.microsoft.com/office/drawing/2015/06/chart">
            <c:ext xmlns:c16="http://schemas.microsoft.com/office/drawing/2014/chart" uri="{C3380CC4-5D6E-409C-BE32-E72D297353CC}">
              <c16:uniqueId val="{00000005-96CF-4B56-994D-AA2914AD632A}"/>
            </c:ext>
          </c:extLst>
        </c:ser>
        <c:dLbls>
          <c:showLegendKey val="0"/>
          <c:showVal val="0"/>
          <c:showCatName val="0"/>
          <c:showSerName val="0"/>
          <c:showPercent val="0"/>
          <c:showBubbleSize val="0"/>
        </c:dLbls>
        <c:gapWidth val="219"/>
        <c:axId val="448900480"/>
        <c:axId val="459892224"/>
      </c:barChart>
      <c:lineChart>
        <c:grouping val="standard"/>
        <c:varyColors val="0"/>
        <c:ser>
          <c:idx val="0"/>
          <c:order val="0"/>
          <c:tx>
            <c:strRef>
              <c:f>房地产!$B$39</c:f>
              <c:strCache>
                <c:ptCount val="1"/>
                <c:pt idx="0">
                  <c:v>销售价格(元/㎡)</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房地产!$A$40:$A$61</c:f>
              <c:strCache>
                <c:ptCount val="22"/>
                <c:pt idx="0">
                  <c:v>2019年01月</c:v>
                </c:pt>
                <c:pt idx="1">
                  <c:v>2019年02月</c:v>
                </c:pt>
                <c:pt idx="2">
                  <c:v>2019年03月</c:v>
                </c:pt>
                <c:pt idx="3">
                  <c:v>2019年04月</c:v>
                </c:pt>
                <c:pt idx="4">
                  <c:v>2019年05月</c:v>
                </c:pt>
                <c:pt idx="5">
                  <c:v>2019年06月</c:v>
                </c:pt>
                <c:pt idx="6">
                  <c:v>2019年07月</c:v>
                </c:pt>
                <c:pt idx="7">
                  <c:v>2019年08月</c:v>
                </c:pt>
                <c:pt idx="8">
                  <c:v>2019年09月</c:v>
                </c:pt>
                <c:pt idx="9">
                  <c:v>2019年10月</c:v>
                </c:pt>
                <c:pt idx="10">
                  <c:v>2019年11月</c:v>
                </c:pt>
                <c:pt idx="11">
                  <c:v>2019年12月</c:v>
                </c:pt>
                <c:pt idx="12">
                  <c:v>2020年01月</c:v>
                </c:pt>
                <c:pt idx="13">
                  <c:v>2020年02月</c:v>
                </c:pt>
                <c:pt idx="14">
                  <c:v>2020年03月</c:v>
                </c:pt>
                <c:pt idx="15">
                  <c:v>2020年04月</c:v>
                </c:pt>
                <c:pt idx="16">
                  <c:v>2020年05月</c:v>
                </c:pt>
                <c:pt idx="17">
                  <c:v>2020年06月</c:v>
                </c:pt>
                <c:pt idx="18">
                  <c:v>2020年07月</c:v>
                </c:pt>
                <c:pt idx="19">
                  <c:v>2020年08月</c:v>
                </c:pt>
                <c:pt idx="20">
                  <c:v>2020年09月</c:v>
                </c:pt>
                <c:pt idx="21">
                  <c:v>2020年10月</c:v>
                </c:pt>
              </c:strCache>
            </c:strRef>
          </c:cat>
          <c:val>
            <c:numRef>
              <c:f>房地产!$B$40:$B$61</c:f>
              <c:numCache>
                <c:formatCode>General</c:formatCode>
                <c:ptCount val="22"/>
                <c:pt idx="0">
                  <c:v>13315</c:v>
                </c:pt>
                <c:pt idx="1">
                  <c:v>13557</c:v>
                </c:pt>
                <c:pt idx="2">
                  <c:v>14473</c:v>
                </c:pt>
                <c:pt idx="3">
                  <c:v>13892</c:v>
                </c:pt>
                <c:pt idx="4">
                  <c:v>15136</c:v>
                </c:pt>
                <c:pt idx="5">
                  <c:v>15467</c:v>
                </c:pt>
                <c:pt idx="6">
                  <c:v>15123</c:v>
                </c:pt>
                <c:pt idx="7">
                  <c:v>15473</c:v>
                </c:pt>
                <c:pt idx="8">
                  <c:v>16015</c:v>
                </c:pt>
                <c:pt idx="9">
                  <c:v>16052</c:v>
                </c:pt>
                <c:pt idx="10">
                  <c:v>15267</c:v>
                </c:pt>
                <c:pt idx="11">
                  <c:v>15421</c:v>
                </c:pt>
                <c:pt idx="12">
                  <c:v>15483</c:v>
                </c:pt>
                <c:pt idx="13">
                  <c:v>15373</c:v>
                </c:pt>
                <c:pt idx="14">
                  <c:v>14592</c:v>
                </c:pt>
                <c:pt idx="15">
                  <c:v>14769</c:v>
                </c:pt>
                <c:pt idx="16">
                  <c:v>15117</c:v>
                </c:pt>
                <c:pt idx="17">
                  <c:v>15237</c:v>
                </c:pt>
                <c:pt idx="18">
                  <c:v>15277</c:v>
                </c:pt>
                <c:pt idx="19">
                  <c:v>14131</c:v>
                </c:pt>
                <c:pt idx="20">
                  <c:v>14538</c:v>
                </c:pt>
                <c:pt idx="21">
                  <c:v>13718</c:v>
                </c:pt>
              </c:numCache>
            </c:numRef>
          </c:val>
          <c:smooth val="0"/>
          <c:extLst xmlns:c16r2="http://schemas.microsoft.com/office/drawing/2015/06/chart">
            <c:ext xmlns:c16="http://schemas.microsoft.com/office/drawing/2014/chart" uri="{C3380CC4-5D6E-409C-BE32-E72D297353CC}">
              <c16:uniqueId val="{00000000-96CF-4B56-994D-AA2914AD632A}"/>
            </c:ext>
          </c:extLst>
        </c:ser>
        <c:dLbls>
          <c:showLegendKey val="0"/>
          <c:showVal val="0"/>
          <c:showCatName val="0"/>
          <c:showSerName val="0"/>
          <c:showPercent val="0"/>
          <c:showBubbleSize val="0"/>
        </c:dLbls>
        <c:marker val="1"/>
        <c:smooth val="0"/>
        <c:axId val="459895552"/>
        <c:axId val="459893760"/>
      </c:lineChart>
      <c:catAx>
        <c:axId val="44890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59892224"/>
        <c:crosses val="autoZero"/>
        <c:auto val="1"/>
        <c:lblAlgn val="ctr"/>
        <c:lblOffset val="100"/>
        <c:noMultiLvlLbl val="0"/>
      </c:catAx>
      <c:valAx>
        <c:axId val="4598922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48900480"/>
        <c:crosses val="autoZero"/>
        <c:crossBetween val="between"/>
      </c:valAx>
      <c:valAx>
        <c:axId val="459893760"/>
        <c:scaling>
          <c:orientation val="minMax"/>
          <c:max val="20000"/>
          <c:min val="1000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59895552"/>
        <c:crosses val="max"/>
        <c:crossBetween val="between"/>
      </c:valAx>
      <c:catAx>
        <c:axId val="459895552"/>
        <c:scaling>
          <c:orientation val="minMax"/>
        </c:scaling>
        <c:delete val="1"/>
        <c:axPos val="b"/>
        <c:numFmt formatCode="General" sourceLinked="1"/>
        <c:majorTickMark val="out"/>
        <c:minorTickMark val="none"/>
        <c:tickLblPos val="nextTo"/>
        <c:crossAx val="4598937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2019</a:t>
            </a:r>
            <a:r>
              <a:rPr lang="zh-CN" altLang="zh-CN" sz="1200" b="1" i="0" u="none" strike="noStrike" baseline="0">
                <a:effectLst/>
              </a:rPr>
              <a:t>年至</a:t>
            </a:r>
            <a:r>
              <a:rPr lang="en-US" altLang="zh-CN" sz="1200" b="1" i="0" u="none" strike="noStrike" baseline="0">
                <a:effectLst/>
              </a:rPr>
              <a:t>2020</a:t>
            </a:r>
            <a:r>
              <a:rPr lang="zh-CN" altLang="zh-CN" sz="1200" b="1" i="0" u="none" strike="noStrike" baseline="0">
                <a:effectLst/>
              </a:rPr>
              <a:t>年</a:t>
            </a:r>
            <a:r>
              <a:rPr lang="en-US" altLang="zh-CN" sz="1200" b="1" i="0" u="none" strike="noStrike" baseline="0">
                <a:effectLst/>
              </a:rPr>
              <a:t>10</a:t>
            </a:r>
            <a:r>
              <a:rPr lang="zh-CN" altLang="zh-CN" sz="1200" b="1" i="0" u="none" strike="noStrike" baseline="0">
                <a:effectLst/>
              </a:rPr>
              <a:t>月漳州市</a:t>
            </a:r>
            <a:r>
              <a:rPr lang="zh-CN" altLang="en-US" sz="1200" b="1" i="0" baseline="0">
                <a:effectLst/>
              </a:rPr>
              <a:t>商品住宅成交价格走势</a:t>
            </a:r>
            <a:endParaRPr lang="zh-CN" altLang="zh-CN" sz="1200">
              <a:effectLst/>
            </a:endParaRPr>
          </a:p>
        </c:rich>
      </c:tx>
      <c:overlay val="0"/>
      <c:spPr>
        <a:noFill/>
        <a:ln>
          <a:noFill/>
        </a:ln>
        <a:effectLst/>
      </c:spPr>
    </c:title>
    <c:autoTitleDeleted val="0"/>
    <c:plotArea>
      <c:layout/>
      <c:barChart>
        <c:barDir val="col"/>
        <c:grouping val="clustered"/>
        <c:varyColors val="0"/>
        <c:ser>
          <c:idx val="1"/>
          <c:order val="1"/>
          <c:tx>
            <c:strRef>
              <c:f>房地产!$C$250</c:f>
              <c:strCache>
                <c:ptCount val="1"/>
                <c:pt idx="0">
                  <c:v>销售额(万元)</c:v>
                </c:pt>
              </c:strCache>
            </c:strRef>
          </c:tx>
          <c:spPr>
            <a:solidFill>
              <a:schemeClr val="accent2"/>
            </a:solidFill>
            <a:ln>
              <a:noFill/>
            </a:ln>
            <a:effectLst/>
          </c:spPr>
          <c:invertIfNegative val="0"/>
          <c:cat>
            <c:strRef>
              <c:f>房地产!$A$251:$A$272</c:f>
              <c:strCache>
                <c:ptCount val="22"/>
                <c:pt idx="0">
                  <c:v>2019-01</c:v>
                </c:pt>
                <c:pt idx="1">
                  <c:v>2019-02</c:v>
                </c:pt>
                <c:pt idx="2">
                  <c:v>2019-03</c:v>
                </c:pt>
                <c:pt idx="3">
                  <c:v>2019-04</c:v>
                </c:pt>
                <c:pt idx="4">
                  <c:v>2019-05</c:v>
                </c:pt>
                <c:pt idx="5">
                  <c:v>2019-06</c:v>
                </c:pt>
                <c:pt idx="6">
                  <c:v>2019-07</c:v>
                </c:pt>
                <c:pt idx="7">
                  <c:v>2019-08</c:v>
                </c:pt>
                <c:pt idx="8">
                  <c:v>2019-09</c:v>
                </c:pt>
                <c:pt idx="9">
                  <c:v>2019-10</c:v>
                </c:pt>
                <c:pt idx="10">
                  <c:v>2019-11</c:v>
                </c:pt>
                <c:pt idx="11">
                  <c:v>2019-12</c:v>
                </c:pt>
                <c:pt idx="12">
                  <c:v>2020-01</c:v>
                </c:pt>
                <c:pt idx="13">
                  <c:v>2020-02</c:v>
                </c:pt>
                <c:pt idx="14">
                  <c:v>2020-03</c:v>
                </c:pt>
                <c:pt idx="15">
                  <c:v>2020-04</c:v>
                </c:pt>
                <c:pt idx="16">
                  <c:v>2020-05</c:v>
                </c:pt>
                <c:pt idx="17">
                  <c:v>2020-06</c:v>
                </c:pt>
                <c:pt idx="18">
                  <c:v>2020-07</c:v>
                </c:pt>
                <c:pt idx="19">
                  <c:v>2020-08</c:v>
                </c:pt>
                <c:pt idx="20">
                  <c:v>2020-09</c:v>
                </c:pt>
                <c:pt idx="21">
                  <c:v>2020-10</c:v>
                </c:pt>
              </c:strCache>
            </c:strRef>
          </c:cat>
          <c:val>
            <c:numRef>
              <c:f>房地产!$C$251:$C$272</c:f>
              <c:numCache>
                <c:formatCode>General</c:formatCode>
                <c:ptCount val="22"/>
                <c:pt idx="0">
                  <c:v>5.4800789999999999</c:v>
                </c:pt>
                <c:pt idx="1">
                  <c:v>3.4885790000000001</c:v>
                </c:pt>
                <c:pt idx="2">
                  <c:v>11.406188999999999</c:v>
                </c:pt>
                <c:pt idx="3">
                  <c:v>14.377475</c:v>
                </c:pt>
                <c:pt idx="4">
                  <c:v>16.342383999999999</c:v>
                </c:pt>
                <c:pt idx="5">
                  <c:v>12.814921</c:v>
                </c:pt>
                <c:pt idx="6">
                  <c:v>15.104282999999999</c:v>
                </c:pt>
                <c:pt idx="7">
                  <c:v>15.032697000000001</c:v>
                </c:pt>
                <c:pt idx="8">
                  <c:v>21.146951999999999</c:v>
                </c:pt>
                <c:pt idx="9">
                  <c:v>13.751566</c:v>
                </c:pt>
                <c:pt idx="10">
                  <c:v>14.277210999999999</c:v>
                </c:pt>
                <c:pt idx="11">
                  <c:v>11.387953999999999</c:v>
                </c:pt>
                <c:pt idx="12">
                  <c:v>5.1988650000000005</c:v>
                </c:pt>
                <c:pt idx="13">
                  <c:v>1.776562</c:v>
                </c:pt>
                <c:pt idx="14">
                  <c:v>8.1785289999999993</c:v>
                </c:pt>
                <c:pt idx="15">
                  <c:v>13.38865</c:v>
                </c:pt>
                <c:pt idx="16">
                  <c:v>16.411327</c:v>
                </c:pt>
                <c:pt idx="17">
                  <c:v>16.536738</c:v>
                </c:pt>
                <c:pt idx="18">
                  <c:v>14.891579</c:v>
                </c:pt>
                <c:pt idx="19">
                  <c:v>19.027843000000001</c:v>
                </c:pt>
                <c:pt idx="20">
                  <c:v>13.627254000000001</c:v>
                </c:pt>
                <c:pt idx="21">
                  <c:v>16.484255999999998</c:v>
                </c:pt>
              </c:numCache>
            </c:numRef>
          </c:val>
          <c:extLst xmlns:c16r2="http://schemas.microsoft.com/office/drawing/2015/06/chart">
            <c:ext xmlns:c16="http://schemas.microsoft.com/office/drawing/2014/chart" uri="{C3380CC4-5D6E-409C-BE32-E72D297353CC}">
              <c16:uniqueId val="{00000005-96CF-4B56-994D-AA2914AD632A}"/>
            </c:ext>
          </c:extLst>
        </c:ser>
        <c:dLbls>
          <c:showLegendKey val="0"/>
          <c:showVal val="0"/>
          <c:showCatName val="0"/>
          <c:showSerName val="0"/>
          <c:showPercent val="0"/>
          <c:showBubbleSize val="0"/>
        </c:dLbls>
        <c:gapWidth val="219"/>
        <c:axId val="461716864"/>
        <c:axId val="461735424"/>
      </c:barChart>
      <c:lineChart>
        <c:grouping val="standard"/>
        <c:varyColors val="0"/>
        <c:ser>
          <c:idx val="0"/>
          <c:order val="0"/>
          <c:tx>
            <c:strRef>
              <c:f>房地产!$B$250</c:f>
              <c:strCache>
                <c:ptCount val="1"/>
                <c:pt idx="0">
                  <c:v>销售价格(元/㎡)</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房地产!$A$251:$A$272</c:f>
              <c:strCache>
                <c:ptCount val="22"/>
                <c:pt idx="0">
                  <c:v>2019-01</c:v>
                </c:pt>
                <c:pt idx="1">
                  <c:v>2019-02</c:v>
                </c:pt>
                <c:pt idx="2">
                  <c:v>2019-03</c:v>
                </c:pt>
                <c:pt idx="3">
                  <c:v>2019-04</c:v>
                </c:pt>
                <c:pt idx="4">
                  <c:v>2019-05</c:v>
                </c:pt>
                <c:pt idx="5">
                  <c:v>2019-06</c:v>
                </c:pt>
                <c:pt idx="6">
                  <c:v>2019-07</c:v>
                </c:pt>
                <c:pt idx="7">
                  <c:v>2019-08</c:v>
                </c:pt>
                <c:pt idx="8">
                  <c:v>2019-09</c:v>
                </c:pt>
                <c:pt idx="9">
                  <c:v>2019-10</c:v>
                </c:pt>
                <c:pt idx="10">
                  <c:v>2019-11</c:v>
                </c:pt>
                <c:pt idx="11">
                  <c:v>2019-12</c:v>
                </c:pt>
                <c:pt idx="12">
                  <c:v>2020-01</c:v>
                </c:pt>
                <c:pt idx="13">
                  <c:v>2020-02</c:v>
                </c:pt>
                <c:pt idx="14">
                  <c:v>2020-03</c:v>
                </c:pt>
                <c:pt idx="15">
                  <c:v>2020-04</c:v>
                </c:pt>
                <c:pt idx="16">
                  <c:v>2020-05</c:v>
                </c:pt>
                <c:pt idx="17">
                  <c:v>2020-06</c:v>
                </c:pt>
                <c:pt idx="18">
                  <c:v>2020-07</c:v>
                </c:pt>
                <c:pt idx="19">
                  <c:v>2020-08</c:v>
                </c:pt>
                <c:pt idx="20">
                  <c:v>2020-09</c:v>
                </c:pt>
                <c:pt idx="21">
                  <c:v>2020-10</c:v>
                </c:pt>
              </c:strCache>
            </c:strRef>
          </c:cat>
          <c:val>
            <c:numRef>
              <c:f>房地产!$B$251:$B$272</c:f>
              <c:numCache>
                <c:formatCode>General</c:formatCode>
                <c:ptCount val="22"/>
                <c:pt idx="0">
                  <c:v>14138</c:v>
                </c:pt>
                <c:pt idx="1">
                  <c:v>13843</c:v>
                </c:pt>
                <c:pt idx="2">
                  <c:v>13607</c:v>
                </c:pt>
                <c:pt idx="3">
                  <c:v>14492</c:v>
                </c:pt>
                <c:pt idx="4">
                  <c:v>14989</c:v>
                </c:pt>
                <c:pt idx="5">
                  <c:v>15061</c:v>
                </c:pt>
                <c:pt idx="6">
                  <c:v>15830</c:v>
                </c:pt>
                <c:pt idx="7">
                  <c:v>15664</c:v>
                </c:pt>
                <c:pt idx="8">
                  <c:v>15998</c:v>
                </c:pt>
                <c:pt idx="9">
                  <c:v>16019</c:v>
                </c:pt>
                <c:pt idx="10">
                  <c:v>15357</c:v>
                </c:pt>
                <c:pt idx="11">
                  <c:v>15568</c:v>
                </c:pt>
                <c:pt idx="12">
                  <c:v>14979</c:v>
                </c:pt>
                <c:pt idx="13">
                  <c:v>16017</c:v>
                </c:pt>
                <c:pt idx="14">
                  <c:v>15252</c:v>
                </c:pt>
                <c:pt idx="15">
                  <c:v>14963</c:v>
                </c:pt>
                <c:pt idx="16">
                  <c:v>15569</c:v>
                </c:pt>
                <c:pt idx="17">
                  <c:v>15273</c:v>
                </c:pt>
                <c:pt idx="18">
                  <c:v>12504</c:v>
                </c:pt>
                <c:pt idx="19">
                  <c:v>13215</c:v>
                </c:pt>
                <c:pt idx="20">
                  <c:v>12326</c:v>
                </c:pt>
                <c:pt idx="21">
                  <c:v>13482</c:v>
                </c:pt>
              </c:numCache>
            </c:numRef>
          </c:val>
          <c:smooth val="0"/>
          <c:extLst xmlns:c16r2="http://schemas.microsoft.com/office/drawing/2015/06/chart">
            <c:ext xmlns:c16="http://schemas.microsoft.com/office/drawing/2014/chart" uri="{C3380CC4-5D6E-409C-BE32-E72D297353CC}">
              <c16:uniqueId val="{00000000-96CF-4B56-994D-AA2914AD632A}"/>
            </c:ext>
          </c:extLst>
        </c:ser>
        <c:dLbls>
          <c:showLegendKey val="0"/>
          <c:showVal val="0"/>
          <c:showCatName val="0"/>
          <c:showSerName val="0"/>
          <c:showPercent val="0"/>
          <c:showBubbleSize val="0"/>
        </c:dLbls>
        <c:marker val="1"/>
        <c:smooth val="0"/>
        <c:axId val="461738752"/>
        <c:axId val="461736960"/>
      </c:lineChart>
      <c:catAx>
        <c:axId val="46171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1735424"/>
        <c:crosses val="autoZero"/>
        <c:auto val="1"/>
        <c:lblAlgn val="ctr"/>
        <c:lblOffset val="100"/>
        <c:noMultiLvlLbl val="0"/>
      </c:catAx>
      <c:valAx>
        <c:axId val="461735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1716864"/>
        <c:crosses val="autoZero"/>
        <c:crossBetween val="between"/>
      </c:valAx>
      <c:valAx>
        <c:axId val="461736960"/>
        <c:scaling>
          <c:orientation val="minMax"/>
          <c:max val="20000"/>
          <c:min val="1000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1738752"/>
        <c:crosses val="max"/>
        <c:crossBetween val="between"/>
      </c:valAx>
      <c:catAx>
        <c:axId val="461738752"/>
        <c:scaling>
          <c:orientation val="minMax"/>
        </c:scaling>
        <c:delete val="1"/>
        <c:axPos val="b"/>
        <c:numFmt formatCode="General" sourceLinked="1"/>
        <c:majorTickMark val="out"/>
        <c:minorTickMark val="none"/>
        <c:tickLblPos val="nextTo"/>
        <c:crossAx val="4617369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1" i="0" u="none" strike="noStrike" baseline="0">
                <a:effectLst/>
              </a:rPr>
              <a:t>2019</a:t>
            </a:r>
            <a:r>
              <a:rPr lang="zh-CN" altLang="zh-CN" sz="1400" b="1" i="0" u="none" strike="noStrike" baseline="0">
                <a:effectLst/>
              </a:rPr>
              <a:t>年至</a:t>
            </a:r>
            <a:r>
              <a:rPr lang="en-US" altLang="zh-CN" sz="1400" b="1" i="0" u="none" strike="noStrike" baseline="0">
                <a:effectLst/>
              </a:rPr>
              <a:t>2020</a:t>
            </a:r>
            <a:r>
              <a:rPr lang="zh-CN" altLang="zh-CN" sz="1400" b="1" i="0" u="none" strike="noStrike" baseline="0">
                <a:effectLst/>
              </a:rPr>
              <a:t>年</a:t>
            </a:r>
            <a:r>
              <a:rPr lang="en-US" altLang="zh-CN" sz="1400" b="1" i="0" u="none" strike="noStrike" baseline="0">
                <a:effectLst/>
              </a:rPr>
              <a:t>10</a:t>
            </a:r>
            <a:r>
              <a:rPr lang="zh-CN" altLang="zh-CN" sz="1400" b="1" i="0" u="none" strike="noStrike" baseline="0">
                <a:effectLst/>
              </a:rPr>
              <a:t>月漳州市</a:t>
            </a:r>
            <a:r>
              <a:rPr lang="zh-CN" altLang="en-US" sz="1400" b="1" i="0" baseline="0">
                <a:effectLst/>
              </a:rPr>
              <a:t>各区域</a:t>
            </a:r>
            <a:r>
              <a:rPr lang="zh-CN" altLang="en-US" sz="1400" b="1" i="0" u="none" strike="noStrike" baseline="0">
                <a:effectLst/>
              </a:rPr>
              <a:t>商品住宅</a:t>
            </a:r>
            <a:r>
              <a:rPr lang="zh-CN" altLang="en-US" sz="1400" b="1" i="0" baseline="0">
                <a:effectLst/>
              </a:rPr>
              <a:t>成交情况</a:t>
            </a:r>
            <a:endParaRPr lang="zh-CN" altLang="zh-CN" sz="1400">
              <a:effectLst/>
            </a:endParaRPr>
          </a:p>
        </c:rich>
      </c:tx>
      <c:overlay val="0"/>
      <c:spPr>
        <a:noFill/>
        <a:ln>
          <a:noFill/>
        </a:ln>
        <a:effectLst/>
      </c:spPr>
    </c:title>
    <c:autoTitleDeleted val="0"/>
    <c:plotArea>
      <c:layout/>
      <c:barChart>
        <c:barDir val="col"/>
        <c:grouping val="clustered"/>
        <c:varyColors val="0"/>
        <c:ser>
          <c:idx val="0"/>
          <c:order val="0"/>
          <c:tx>
            <c:strRef>
              <c:f>房地产!$B$117</c:f>
              <c:strCache>
                <c:ptCount val="1"/>
                <c:pt idx="0">
                  <c:v>2019年成交面积(㎡)</c:v>
                </c:pt>
              </c:strCache>
            </c:strRef>
          </c:tx>
          <c:spPr>
            <a:ln w="28575" cap="rnd">
              <a:solidFill>
                <a:schemeClr val="accent1"/>
              </a:solidFill>
              <a:round/>
            </a:ln>
            <a:effectLst/>
          </c:spPr>
          <c:invertIfNegative val="0"/>
          <c:cat>
            <c:strRef>
              <c:f>房地产!$A$118:$A$120</c:f>
              <c:strCache>
                <c:ptCount val="3"/>
                <c:pt idx="0">
                  <c:v>茅城区</c:v>
                </c:pt>
                <c:pt idx="1">
                  <c:v>龙文区</c:v>
                </c:pt>
                <c:pt idx="2">
                  <c:v>高新区</c:v>
                </c:pt>
              </c:strCache>
            </c:strRef>
          </c:cat>
          <c:val>
            <c:numRef>
              <c:f>房地产!$B$118:$B$120</c:f>
              <c:numCache>
                <c:formatCode>General</c:formatCode>
                <c:ptCount val="3"/>
                <c:pt idx="0">
                  <c:v>289541</c:v>
                </c:pt>
                <c:pt idx="1">
                  <c:v>646481</c:v>
                </c:pt>
                <c:pt idx="2">
                  <c:v>0</c:v>
                </c:pt>
              </c:numCache>
            </c:numRef>
          </c:val>
          <c:extLst xmlns:c16r2="http://schemas.microsoft.com/office/drawing/2015/06/chart">
            <c:ext xmlns:c16="http://schemas.microsoft.com/office/drawing/2014/chart" uri="{C3380CC4-5D6E-409C-BE32-E72D297353CC}">
              <c16:uniqueId val="{00000002-A53A-431F-B3D2-C16C8D43FBC7}"/>
            </c:ext>
          </c:extLst>
        </c:ser>
        <c:ser>
          <c:idx val="2"/>
          <c:order val="2"/>
          <c:tx>
            <c:strRef>
              <c:f>房地产!$D$117</c:f>
              <c:strCache>
                <c:ptCount val="1"/>
                <c:pt idx="0">
                  <c:v>2020年1-10月成交面积(㎡)</c:v>
                </c:pt>
              </c:strCache>
            </c:strRef>
          </c:tx>
          <c:spPr>
            <a:ln w="28575" cap="rnd">
              <a:solidFill>
                <a:schemeClr val="accent3"/>
              </a:solidFill>
              <a:round/>
            </a:ln>
            <a:effectLst/>
          </c:spPr>
          <c:invertIfNegative val="0"/>
          <c:cat>
            <c:strRef>
              <c:f>房地产!$A$118:$A$120</c:f>
              <c:strCache>
                <c:ptCount val="3"/>
                <c:pt idx="0">
                  <c:v>茅城区</c:v>
                </c:pt>
                <c:pt idx="1">
                  <c:v>龙文区</c:v>
                </c:pt>
                <c:pt idx="2">
                  <c:v>高新区</c:v>
                </c:pt>
              </c:strCache>
            </c:strRef>
          </c:cat>
          <c:val>
            <c:numRef>
              <c:f>房地产!$D$118:$D$120</c:f>
              <c:numCache>
                <c:formatCode>General</c:formatCode>
                <c:ptCount val="3"/>
                <c:pt idx="0">
                  <c:v>289290</c:v>
                </c:pt>
                <c:pt idx="1">
                  <c:v>573166</c:v>
                </c:pt>
                <c:pt idx="2">
                  <c:v>43800</c:v>
                </c:pt>
              </c:numCache>
            </c:numRef>
          </c:val>
          <c:extLst xmlns:c16r2="http://schemas.microsoft.com/office/drawing/2015/06/chart">
            <c:ext xmlns:c16="http://schemas.microsoft.com/office/drawing/2014/chart" uri="{C3380CC4-5D6E-409C-BE32-E72D297353CC}">
              <c16:uniqueId val="{00000003-A53A-431F-B3D2-C16C8D43FBC7}"/>
            </c:ext>
          </c:extLst>
        </c:ser>
        <c:dLbls>
          <c:showLegendKey val="0"/>
          <c:showVal val="0"/>
          <c:showCatName val="0"/>
          <c:showSerName val="0"/>
          <c:showPercent val="0"/>
          <c:showBubbleSize val="0"/>
        </c:dLbls>
        <c:gapWidth val="150"/>
        <c:axId val="474244608"/>
        <c:axId val="474246144"/>
      </c:barChart>
      <c:lineChart>
        <c:grouping val="standard"/>
        <c:varyColors val="0"/>
        <c:ser>
          <c:idx val="1"/>
          <c:order val="1"/>
          <c:tx>
            <c:strRef>
              <c:f>房地产!$C$117</c:f>
              <c:strCache>
                <c:ptCount val="1"/>
                <c:pt idx="0">
                  <c:v>2019年销售价格(元/㎡)</c:v>
                </c:pt>
              </c:strCache>
            </c:strRef>
          </c:tx>
          <c:spPr>
            <a:effectLst/>
          </c:spPr>
          <c:cat>
            <c:strRef>
              <c:f>房地产!$A$118:$A$120</c:f>
              <c:strCache>
                <c:ptCount val="3"/>
                <c:pt idx="0">
                  <c:v>茅城区</c:v>
                </c:pt>
                <c:pt idx="1">
                  <c:v>龙文区</c:v>
                </c:pt>
                <c:pt idx="2">
                  <c:v>高新区</c:v>
                </c:pt>
              </c:strCache>
            </c:strRef>
          </c:cat>
          <c:val>
            <c:numRef>
              <c:f>房地产!$C$118:$C$120</c:f>
              <c:numCache>
                <c:formatCode>General</c:formatCode>
                <c:ptCount val="3"/>
                <c:pt idx="0">
                  <c:v>14861</c:v>
                </c:pt>
                <c:pt idx="1">
                  <c:v>15351</c:v>
                </c:pt>
                <c:pt idx="2">
                  <c:v>0</c:v>
                </c:pt>
              </c:numCache>
            </c:numRef>
          </c:val>
          <c:smooth val="0"/>
          <c:extLst xmlns:c16r2="http://schemas.microsoft.com/office/drawing/2015/06/chart">
            <c:ext xmlns:c16="http://schemas.microsoft.com/office/drawing/2014/chart" uri="{C3380CC4-5D6E-409C-BE32-E72D297353CC}">
              <c16:uniqueId val="{00000000-A53A-431F-B3D2-C16C8D43FBC7}"/>
            </c:ext>
          </c:extLst>
        </c:ser>
        <c:ser>
          <c:idx val="3"/>
          <c:order val="3"/>
          <c:tx>
            <c:strRef>
              <c:f>房地产!$E$117</c:f>
              <c:strCache>
                <c:ptCount val="1"/>
                <c:pt idx="0">
                  <c:v>2020年1-10月销售价格(元/㎡)</c:v>
                </c:pt>
              </c:strCache>
            </c:strRef>
          </c:tx>
          <c:spPr>
            <a:effectLst/>
          </c:spPr>
          <c:cat>
            <c:strRef>
              <c:f>房地产!$A$118:$A$120</c:f>
              <c:strCache>
                <c:ptCount val="3"/>
                <c:pt idx="0">
                  <c:v>茅城区</c:v>
                </c:pt>
                <c:pt idx="1">
                  <c:v>龙文区</c:v>
                </c:pt>
                <c:pt idx="2">
                  <c:v>高新区</c:v>
                </c:pt>
              </c:strCache>
            </c:strRef>
          </c:cat>
          <c:val>
            <c:numRef>
              <c:f>房地产!$E$118:$E$120</c:f>
              <c:numCache>
                <c:formatCode>General</c:formatCode>
                <c:ptCount val="3"/>
                <c:pt idx="0">
                  <c:v>14140</c:v>
                </c:pt>
                <c:pt idx="1">
                  <c:v>15277</c:v>
                </c:pt>
                <c:pt idx="2">
                  <c:v>10579</c:v>
                </c:pt>
              </c:numCache>
            </c:numRef>
          </c:val>
          <c:smooth val="0"/>
          <c:extLst xmlns:c16r2="http://schemas.microsoft.com/office/drawing/2015/06/chart">
            <c:ext xmlns:c16="http://schemas.microsoft.com/office/drawing/2014/chart" uri="{C3380CC4-5D6E-409C-BE32-E72D297353CC}">
              <c16:uniqueId val="{00000001-A53A-431F-B3D2-C16C8D43FBC7}"/>
            </c:ext>
          </c:extLst>
        </c:ser>
        <c:dLbls>
          <c:showLegendKey val="0"/>
          <c:showVal val="0"/>
          <c:showCatName val="0"/>
          <c:showSerName val="0"/>
          <c:showPercent val="0"/>
          <c:showBubbleSize val="0"/>
        </c:dLbls>
        <c:marker val="1"/>
        <c:smooth val="0"/>
        <c:axId val="474249472"/>
        <c:axId val="474247936"/>
      </c:lineChart>
      <c:catAx>
        <c:axId val="474244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74246144"/>
        <c:crosses val="autoZero"/>
        <c:auto val="1"/>
        <c:lblAlgn val="ctr"/>
        <c:lblOffset val="100"/>
        <c:noMultiLvlLbl val="0"/>
      </c:catAx>
      <c:valAx>
        <c:axId val="474246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74244608"/>
        <c:crosses val="autoZero"/>
        <c:crossBetween val="between"/>
      </c:valAx>
      <c:valAx>
        <c:axId val="47424793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74249472"/>
        <c:crosses val="max"/>
        <c:crossBetween val="between"/>
      </c:valAx>
      <c:catAx>
        <c:axId val="474249472"/>
        <c:scaling>
          <c:orientation val="minMax"/>
        </c:scaling>
        <c:delete val="1"/>
        <c:axPos val="b"/>
        <c:numFmt formatCode="General" sourceLinked="1"/>
        <c:majorTickMark val="out"/>
        <c:minorTickMark val="none"/>
        <c:tickLblPos val="nextTo"/>
        <c:crossAx val="4742479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0" i="0" u="none" strike="noStrike" baseline="0">
                <a:effectLst/>
                <a:latin typeface="华文细黑" pitchFamily="2" charset="-122"/>
                <a:ea typeface="华文细黑" pitchFamily="2" charset="-122"/>
              </a:rPr>
              <a:t>2019</a:t>
            </a:r>
            <a:r>
              <a:rPr lang="zh-CN" altLang="zh-CN" sz="1200" b="0" i="0" u="none" strike="noStrike" baseline="0">
                <a:effectLst/>
                <a:latin typeface="华文细黑" pitchFamily="2" charset="-122"/>
                <a:ea typeface="华文细黑" pitchFamily="2" charset="-122"/>
              </a:rPr>
              <a:t>年至</a:t>
            </a:r>
            <a:r>
              <a:rPr lang="en-US" altLang="zh-CN" sz="1200" b="0" i="0" u="none" strike="noStrike" baseline="0">
                <a:effectLst/>
                <a:latin typeface="华文细黑" pitchFamily="2" charset="-122"/>
                <a:ea typeface="华文细黑" pitchFamily="2" charset="-122"/>
              </a:rPr>
              <a:t>2020</a:t>
            </a:r>
            <a:r>
              <a:rPr lang="zh-CN" altLang="zh-CN" sz="1200" b="0" i="0" u="none" strike="noStrike" baseline="0">
                <a:effectLst/>
                <a:latin typeface="华文细黑" pitchFamily="2" charset="-122"/>
                <a:ea typeface="华文细黑" pitchFamily="2" charset="-122"/>
              </a:rPr>
              <a:t>年</a:t>
            </a:r>
            <a:r>
              <a:rPr lang="en-US" altLang="zh-CN" sz="1200" b="0" i="0" u="none" strike="noStrike" baseline="0">
                <a:effectLst/>
                <a:latin typeface="华文细黑" pitchFamily="2" charset="-122"/>
                <a:ea typeface="华文细黑" pitchFamily="2" charset="-122"/>
              </a:rPr>
              <a:t>10</a:t>
            </a:r>
            <a:r>
              <a:rPr lang="zh-CN" altLang="zh-CN" sz="1200" b="0" i="0" u="none" strike="noStrike" baseline="0">
                <a:effectLst/>
                <a:latin typeface="华文细黑" pitchFamily="2" charset="-122"/>
                <a:ea typeface="华文细黑" pitchFamily="2" charset="-122"/>
              </a:rPr>
              <a:t>月漳州市</a:t>
            </a:r>
            <a:r>
              <a:rPr lang="zh-CN" altLang="en-US" sz="1200" b="0">
                <a:latin typeface="华文细黑" pitchFamily="2" charset="-122"/>
                <a:ea typeface="华文细黑" pitchFamily="2" charset="-122"/>
              </a:rPr>
              <a:t>新楼盘单价走势</a:t>
            </a:r>
          </a:p>
        </c:rich>
      </c:tx>
      <c:layout>
        <c:manualLayout>
          <c:xMode val="edge"/>
          <c:yMode val="edge"/>
          <c:x val="0.28168817779268934"/>
          <c:y val="2.9040801717967073E-2"/>
        </c:manualLayout>
      </c:layout>
      <c:overlay val="0"/>
      <c:spPr>
        <a:noFill/>
        <a:ln>
          <a:noFill/>
        </a:ln>
        <a:effectLst/>
      </c:spPr>
    </c:title>
    <c:autoTitleDeleted val="0"/>
    <c:plotArea>
      <c:layout/>
      <c:lineChart>
        <c:grouping val="standard"/>
        <c:varyColors val="0"/>
        <c:ser>
          <c:idx val="0"/>
          <c:order val="0"/>
          <c:tx>
            <c:strRef>
              <c:f>Sheet5!$C$68</c:f>
              <c:strCache>
                <c:ptCount val="1"/>
                <c:pt idx="0">
                  <c:v>新楼盘单价(元/㎡)</c:v>
                </c:pt>
              </c:strCache>
            </c:strRef>
          </c:tx>
          <c:spPr>
            <a:effectLst/>
          </c:spPr>
          <c:cat>
            <c:numRef>
              <c:f>Sheet5!$B$69:$B$90</c:f>
              <c:numCache>
                <c:formatCode>yyyy"年"m"月";@</c:formatCode>
                <c:ptCount val="22"/>
                <c:pt idx="0">
                  <c:v>44105</c:v>
                </c:pt>
                <c:pt idx="1">
                  <c:v>44075</c:v>
                </c:pt>
                <c:pt idx="2">
                  <c:v>44044</c:v>
                </c:pt>
                <c:pt idx="3">
                  <c:v>44013</c:v>
                </c:pt>
                <c:pt idx="4">
                  <c:v>43983</c:v>
                </c:pt>
                <c:pt idx="5">
                  <c:v>43952</c:v>
                </c:pt>
                <c:pt idx="6">
                  <c:v>43922</c:v>
                </c:pt>
                <c:pt idx="7">
                  <c:v>43891</c:v>
                </c:pt>
                <c:pt idx="8">
                  <c:v>43862</c:v>
                </c:pt>
                <c:pt idx="9">
                  <c:v>43831</c:v>
                </c:pt>
                <c:pt idx="10">
                  <c:v>43800</c:v>
                </c:pt>
                <c:pt idx="11">
                  <c:v>43770</c:v>
                </c:pt>
                <c:pt idx="12">
                  <c:v>43739</c:v>
                </c:pt>
                <c:pt idx="13">
                  <c:v>43709</c:v>
                </c:pt>
                <c:pt idx="14">
                  <c:v>43678</c:v>
                </c:pt>
                <c:pt idx="15">
                  <c:v>43647</c:v>
                </c:pt>
                <c:pt idx="16">
                  <c:v>43617</c:v>
                </c:pt>
                <c:pt idx="17">
                  <c:v>43586</c:v>
                </c:pt>
                <c:pt idx="18">
                  <c:v>43556</c:v>
                </c:pt>
                <c:pt idx="19">
                  <c:v>43525</c:v>
                </c:pt>
                <c:pt idx="20">
                  <c:v>43497</c:v>
                </c:pt>
                <c:pt idx="21">
                  <c:v>43466</c:v>
                </c:pt>
              </c:numCache>
            </c:numRef>
          </c:cat>
          <c:val>
            <c:numRef>
              <c:f>Sheet5!$C$69:$C$90</c:f>
              <c:numCache>
                <c:formatCode>General</c:formatCode>
                <c:ptCount val="22"/>
                <c:pt idx="0">
                  <c:v>11480</c:v>
                </c:pt>
                <c:pt idx="1">
                  <c:v>11480</c:v>
                </c:pt>
                <c:pt idx="2">
                  <c:v>11578</c:v>
                </c:pt>
                <c:pt idx="3">
                  <c:v>11541</c:v>
                </c:pt>
                <c:pt idx="4">
                  <c:v>11558</c:v>
                </c:pt>
                <c:pt idx="5" formatCode="#,##0">
                  <c:v>11568</c:v>
                </c:pt>
                <c:pt idx="6" formatCode="#,##0">
                  <c:v>11573</c:v>
                </c:pt>
                <c:pt idx="7" formatCode="#,##0">
                  <c:v>11562</c:v>
                </c:pt>
                <c:pt idx="8" formatCode="#,##0">
                  <c:v>12372</c:v>
                </c:pt>
                <c:pt idx="9" formatCode="#,##0">
                  <c:v>12305</c:v>
                </c:pt>
                <c:pt idx="10" formatCode="#,##0">
                  <c:v>12411</c:v>
                </c:pt>
                <c:pt idx="11" formatCode="#,##0">
                  <c:v>12354</c:v>
                </c:pt>
                <c:pt idx="12" formatCode="#,##0">
                  <c:v>11955</c:v>
                </c:pt>
                <c:pt idx="13" formatCode="#,##0">
                  <c:v>11784</c:v>
                </c:pt>
                <c:pt idx="14" formatCode="#,##0">
                  <c:v>11474</c:v>
                </c:pt>
                <c:pt idx="15" formatCode="#,##0">
                  <c:v>11441</c:v>
                </c:pt>
                <c:pt idx="16" formatCode="#,##0">
                  <c:v>11534</c:v>
                </c:pt>
                <c:pt idx="17" formatCode="#,##0">
                  <c:v>11429</c:v>
                </c:pt>
                <c:pt idx="18" formatCode="#,##0">
                  <c:v>11421</c:v>
                </c:pt>
                <c:pt idx="19" formatCode="#,##0">
                  <c:v>11767</c:v>
                </c:pt>
                <c:pt idx="20" formatCode="#,##0">
                  <c:v>11815</c:v>
                </c:pt>
                <c:pt idx="21" formatCode="#,##0">
                  <c:v>11819</c:v>
                </c:pt>
              </c:numCache>
            </c:numRef>
          </c:val>
          <c:smooth val="0"/>
        </c:ser>
        <c:dLbls>
          <c:showLegendKey val="0"/>
          <c:showVal val="0"/>
          <c:showCatName val="0"/>
          <c:showSerName val="0"/>
          <c:showPercent val="0"/>
          <c:showBubbleSize val="0"/>
        </c:dLbls>
        <c:marker val="1"/>
        <c:smooth val="0"/>
        <c:axId val="474258432"/>
        <c:axId val="474268416"/>
      </c:lineChart>
      <c:dateAx>
        <c:axId val="474258432"/>
        <c:scaling>
          <c:orientation val="minMax"/>
        </c:scaling>
        <c:delete val="0"/>
        <c:axPos val="b"/>
        <c:numFmt formatCode="yyyy&quot;年&quot;m&quot;月&quot;;@"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74268416"/>
        <c:crosses val="autoZero"/>
        <c:auto val="1"/>
        <c:lblOffset val="100"/>
        <c:baseTimeUnit val="months"/>
      </c:dateAx>
      <c:valAx>
        <c:axId val="474268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74258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1" i="0" u="none" strike="noStrike" baseline="0">
                <a:effectLst/>
              </a:rPr>
              <a:t>2019</a:t>
            </a:r>
            <a:r>
              <a:rPr lang="zh-CN" altLang="zh-CN" sz="1400" b="1" i="0" u="none" strike="noStrike" baseline="0">
                <a:effectLst/>
              </a:rPr>
              <a:t>年</a:t>
            </a:r>
            <a:r>
              <a:rPr lang="en-US" altLang="zh-CN" sz="1400" b="1" i="0" u="none" strike="noStrike" baseline="0">
                <a:effectLst/>
              </a:rPr>
              <a:t>8</a:t>
            </a:r>
            <a:r>
              <a:rPr lang="zh-CN" altLang="en-US" sz="1400" b="1" i="0" u="none" strike="noStrike" baseline="0">
                <a:effectLst/>
              </a:rPr>
              <a:t>月</a:t>
            </a:r>
            <a:r>
              <a:rPr lang="zh-CN" altLang="zh-CN" sz="1400" b="1" i="0" u="none" strike="noStrike" baseline="0">
                <a:effectLst/>
              </a:rPr>
              <a:t>至</a:t>
            </a:r>
            <a:r>
              <a:rPr lang="en-US" altLang="zh-CN" sz="1400" b="1" i="0" u="none" strike="noStrike" baseline="0">
                <a:effectLst/>
              </a:rPr>
              <a:t>2020</a:t>
            </a:r>
            <a:r>
              <a:rPr lang="zh-CN" altLang="zh-CN" sz="1400" b="1" i="0" u="none" strike="noStrike" baseline="0">
                <a:effectLst/>
              </a:rPr>
              <a:t>年</a:t>
            </a:r>
            <a:r>
              <a:rPr lang="en-US" altLang="zh-CN" sz="1400" b="1" i="0" u="none" strike="noStrike" baseline="0">
                <a:effectLst/>
              </a:rPr>
              <a:t>10</a:t>
            </a:r>
            <a:r>
              <a:rPr lang="zh-CN" altLang="zh-CN" sz="1400" b="1" i="0" u="none" strike="noStrike" baseline="0">
                <a:effectLst/>
              </a:rPr>
              <a:t>月漳州市</a:t>
            </a:r>
            <a:r>
              <a:rPr lang="zh-CN" altLang="en-US" sz="1400" b="1" i="0" u="none" strike="noStrike" baseline="0">
                <a:effectLst/>
              </a:rPr>
              <a:t>商品住宅库存及去化</a:t>
            </a:r>
            <a:r>
              <a:rPr lang="zh-CN" altLang="en-US" sz="1400" b="1" i="0" baseline="0">
                <a:effectLst/>
              </a:rPr>
              <a:t>走势</a:t>
            </a:r>
            <a:endParaRPr lang="zh-CN" altLang="zh-CN" sz="1400">
              <a:effectLst/>
            </a:endParaRPr>
          </a:p>
        </c:rich>
      </c:tx>
      <c:overlay val="0"/>
      <c:spPr>
        <a:noFill/>
        <a:ln>
          <a:noFill/>
        </a:ln>
        <a:effectLst/>
      </c:spPr>
    </c:title>
    <c:autoTitleDeleted val="0"/>
    <c:plotArea>
      <c:layout/>
      <c:areaChart>
        <c:grouping val="standard"/>
        <c:varyColors val="0"/>
        <c:ser>
          <c:idx val="0"/>
          <c:order val="0"/>
          <c:tx>
            <c:strRef>
              <c:f>房地产!$B$207</c:f>
              <c:strCache>
                <c:ptCount val="1"/>
                <c:pt idx="0">
                  <c:v>库存面积(㎡)</c:v>
                </c:pt>
              </c:strCache>
            </c:strRef>
          </c:tx>
          <c:spPr>
            <a:ln w="28575" cap="rnd">
              <a:solidFill>
                <a:schemeClr val="accent1"/>
              </a:solidFill>
              <a:round/>
            </a:ln>
            <a:effectLst/>
          </c:spPr>
          <c:cat>
            <c:strRef>
              <c:f>房地产!$A$208:$A$222</c:f>
              <c:strCache>
                <c:ptCount val="15"/>
                <c:pt idx="0">
                  <c:v>2019年08月</c:v>
                </c:pt>
                <c:pt idx="1">
                  <c:v>2019年09月</c:v>
                </c:pt>
                <c:pt idx="2">
                  <c:v>2019年10月</c:v>
                </c:pt>
                <c:pt idx="3">
                  <c:v>2019年11月</c:v>
                </c:pt>
                <c:pt idx="4">
                  <c:v>2019年12月</c:v>
                </c:pt>
                <c:pt idx="5">
                  <c:v>2020年01月</c:v>
                </c:pt>
                <c:pt idx="6">
                  <c:v>2020年02月</c:v>
                </c:pt>
                <c:pt idx="7">
                  <c:v>2020年03月</c:v>
                </c:pt>
                <c:pt idx="8">
                  <c:v>2020年04月</c:v>
                </c:pt>
                <c:pt idx="9">
                  <c:v>2020年05月</c:v>
                </c:pt>
                <c:pt idx="10">
                  <c:v>2020年06月</c:v>
                </c:pt>
                <c:pt idx="11">
                  <c:v>2020年07月</c:v>
                </c:pt>
                <c:pt idx="12">
                  <c:v>2020年08月</c:v>
                </c:pt>
                <c:pt idx="13">
                  <c:v>2020年09月</c:v>
                </c:pt>
                <c:pt idx="14">
                  <c:v>2020年10月</c:v>
                </c:pt>
              </c:strCache>
            </c:strRef>
          </c:cat>
          <c:val>
            <c:numRef>
              <c:f>房地产!$B$208:$B$222</c:f>
              <c:numCache>
                <c:formatCode>0.00</c:formatCode>
                <c:ptCount val="15"/>
                <c:pt idx="0">
                  <c:v>513.27560000000005</c:v>
                </c:pt>
                <c:pt idx="1">
                  <c:v>504.03359999999998</c:v>
                </c:pt>
                <c:pt idx="2">
                  <c:v>477.7912</c:v>
                </c:pt>
                <c:pt idx="3">
                  <c:v>492.12049999999999</c:v>
                </c:pt>
                <c:pt idx="4">
                  <c:v>478.12349999999998</c:v>
                </c:pt>
                <c:pt idx="5">
                  <c:v>470.9529</c:v>
                </c:pt>
                <c:pt idx="6">
                  <c:v>466.74110000000002</c:v>
                </c:pt>
                <c:pt idx="7">
                  <c:v>487.4599</c:v>
                </c:pt>
                <c:pt idx="8">
                  <c:v>474.53899999999999</c:v>
                </c:pt>
                <c:pt idx="9">
                  <c:v>460.21039999999999</c:v>
                </c:pt>
                <c:pt idx="10">
                  <c:v>511.14049999999997</c:v>
                </c:pt>
                <c:pt idx="11">
                  <c:v>497.83580000000001</c:v>
                </c:pt>
                <c:pt idx="12">
                  <c:v>500.13369999999998</c:v>
                </c:pt>
                <c:pt idx="13">
                  <c:v>481.3587</c:v>
                </c:pt>
                <c:pt idx="14">
                  <c:v>467.38510000000002</c:v>
                </c:pt>
              </c:numCache>
            </c:numRef>
          </c:val>
          <c:extLst xmlns:c16r2="http://schemas.microsoft.com/office/drawing/2015/06/chart">
            <c:ext xmlns:c16="http://schemas.microsoft.com/office/drawing/2014/chart" uri="{C3380CC4-5D6E-409C-BE32-E72D297353CC}">
              <c16:uniqueId val="{00000002-85B5-4D19-9323-7E85ED4E6442}"/>
            </c:ext>
          </c:extLst>
        </c:ser>
        <c:dLbls>
          <c:showLegendKey val="0"/>
          <c:showVal val="0"/>
          <c:showCatName val="0"/>
          <c:showSerName val="0"/>
          <c:showPercent val="0"/>
          <c:showBubbleSize val="0"/>
        </c:dLbls>
        <c:axId val="474370432"/>
        <c:axId val="474371968"/>
      </c:areaChart>
      <c:lineChart>
        <c:grouping val="standard"/>
        <c:varyColors val="0"/>
        <c:ser>
          <c:idx val="1"/>
          <c:order val="1"/>
          <c:tx>
            <c:strRef>
              <c:f>房地产!$C$207</c:f>
              <c:strCache>
                <c:ptCount val="1"/>
                <c:pt idx="0">
                  <c:v>去化面积(万㎡)</c:v>
                </c:pt>
              </c:strCache>
            </c:strRef>
          </c:tx>
          <c:spPr>
            <a:effectLst/>
          </c:spPr>
          <c:marker>
            <c:symbol val="none"/>
          </c:marker>
          <c:cat>
            <c:strRef>
              <c:f>房地产!$A$208:$A$222</c:f>
              <c:strCache>
                <c:ptCount val="15"/>
                <c:pt idx="0">
                  <c:v>2019年08月</c:v>
                </c:pt>
                <c:pt idx="1">
                  <c:v>2019年09月</c:v>
                </c:pt>
                <c:pt idx="2">
                  <c:v>2019年10月</c:v>
                </c:pt>
                <c:pt idx="3">
                  <c:v>2019年11月</c:v>
                </c:pt>
                <c:pt idx="4">
                  <c:v>2019年12月</c:v>
                </c:pt>
                <c:pt idx="5">
                  <c:v>2020年01月</c:v>
                </c:pt>
                <c:pt idx="6">
                  <c:v>2020年02月</c:v>
                </c:pt>
                <c:pt idx="7">
                  <c:v>2020年03月</c:v>
                </c:pt>
                <c:pt idx="8">
                  <c:v>2020年04月</c:v>
                </c:pt>
                <c:pt idx="9">
                  <c:v>2020年05月</c:v>
                </c:pt>
                <c:pt idx="10">
                  <c:v>2020年06月</c:v>
                </c:pt>
                <c:pt idx="11">
                  <c:v>2020年07月</c:v>
                </c:pt>
                <c:pt idx="12">
                  <c:v>2020年08月</c:v>
                </c:pt>
                <c:pt idx="13">
                  <c:v>2020年09月</c:v>
                </c:pt>
                <c:pt idx="14">
                  <c:v>2020年10月</c:v>
                </c:pt>
              </c:strCache>
            </c:strRef>
          </c:cat>
          <c:val>
            <c:numRef>
              <c:f>房地产!$C$208:$C$222</c:f>
              <c:numCache>
                <c:formatCode>0.00</c:formatCode>
                <c:ptCount val="15"/>
                <c:pt idx="0">
                  <c:v>5.594733333333334</c:v>
                </c:pt>
                <c:pt idx="1">
                  <c:v>5.6475416666666662</c:v>
                </c:pt>
                <c:pt idx="2">
                  <c:v>6.2445250000000003</c:v>
                </c:pt>
                <c:pt idx="3">
                  <c:v>6.7848750000000004</c:v>
                </c:pt>
                <c:pt idx="4">
                  <c:v>7.1227583333333326</c:v>
                </c:pt>
                <c:pt idx="5">
                  <c:v>7.8001750000000003</c:v>
                </c:pt>
                <c:pt idx="6">
                  <c:v>7.8485666666666676</c:v>
                </c:pt>
                <c:pt idx="7">
                  <c:v>7.9543499999999998</c:v>
                </c:pt>
                <c:pt idx="8">
                  <c:v>7.9621333333333331</c:v>
                </c:pt>
                <c:pt idx="9">
                  <c:v>8.1098583333333334</c:v>
                </c:pt>
                <c:pt idx="10">
                  <c:v>8.1416416666666667</c:v>
                </c:pt>
                <c:pt idx="11">
                  <c:v>7.9361916666666668</c:v>
                </c:pt>
                <c:pt idx="12">
                  <c:v>8.3594749999999998</c:v>
                </c:pt>
                <c:pt idx="13">
                  <c:v>8.440058333333333</c:v>
                </c:pt>
                <c:pt idx="14">
                  <c:v>8.6671916666666675</c:v>
                </c:pt>
              </c:numCache>
            </c:numRef>
          </c:val>
          <c:smooth val="0"/>
          <c:extLst xmlns:c16r2="http://schemas.microsoft.com/office/drawing/2015/06/chart">
            <c:ext xmlns:c16="http://schemas.microsoft.com/office/drawing/2014/chart" uri="{C3380CC4-5D6E-409C-BE32-E72D297353CC}">
              <c16:uniqueId val="{00000000-85B5-4D19-9323-7E85ED4E6442}"/>
            </c:ext>
          </c:extLst>
        </c:ser>
        <c:dLbls>
          <c:showLegendKey val="0"/>
          <c:showVal val="0"/>
          <c:showCatName val="0"/>
          <c:showSerName val="0"/>
          <c:showPercent val="0"/>
          <c:showBubbleSize val="0"/>
        </c:dLbls>
        <c:marker val="1"/>
        <c:smooth val="0"/>
        <c:axId val="474370432"/>
        <c:axId val="474371968"/>
      </c:lineChart>
      <c:lineChart>
        <c:grouping val="standard"/>
        <c:varyColors val="0"/>
        <c:ser>
          <c:idx val="2"/>
          <c:order val="2"/>
          <c:tx>
            <c:strRef>
              <c:f>房地产!$D$207</c:f>
              <c:strCache>
                <c:ptCount val="1"/>
                <c:pt idx="0">
                  <c:v>出清周期(月)</c:v>
                </c:pt>
              </c:strCache>
            </c:strRef>
          </c:tx>
          <c:marker>
            <c:symbol val="none"/>
          </c:marker>
          <c:cat>
            <c:strRef>
              <c:f>房地产!$A$208:$A$222</c:f>
              <c:strCache>
                <c:ptCount val="15"/>
                <c:pt idx="0">
                  <c:v>2019年08月</c:v>
                </c:pt>
                <c:pt idx="1">
                  <c:v>2019年09月</c:v>
                </c:pt>
                <c:pt idx="2">
                  <c:v>2019年10月</c:v>
                </c:pt>
                <c:pt idx="3">
                  <c:v>2019年11月</c:v>
                </c:pt>
                <c:pt idx="4">
                  <c:v>2019年12月</c:v>
                </c:pt>
                <c:pt idx="5">
                  <c:v>2020年01月</c:v>
                </c:pt>
                <c:pt idx="6">
                  <c:v>2020年02月</c:v>
                </c:pt>
                <c:pt idx="7">
                  <c:v>2020年03月</c:v>
                </c:pt>
                <c:pt idx="8">
                  <c:v>2020年04月</c:v>
                </c:pt>
                <c:pt idx="9">
                  <c:v>2020年05月</c:v>
                </c:pt>
                <c:pt idx="10">
                  <c:v>2020年06月</c:v>
                </c:pt>
                <c:pt idx="11">
                  <c:v>2020年07月</c:v>
                </c:pt>
                <c:pt idx="12">
                  <c:v>2020年08月</c:v>
                </c:pt>
                <c:pt idx="13">
                  <c:v>2020年09月</c:v>
                </c:pt>
                <c:pt idx="14">
                  <c:v>2020年10月</c:v>
                </c:pt>
              </c:strCache>
            </c:strRef>
          </c:cat>
          <c:val>
            <c:numRef>
              <c:f>房地产!$D$208:$D$222</c:f>
              <c:numCache>
                <c:formatCode>0.0</c:formatCode>
                <c:ptCount val="15"/>
                <c:pt idx="0">
                  <c:v>91.742638910403826</c:v>
                </c:pt>
                <c:pt idx="1">
                  <c:v>89.248318958839022</c:v>
                </c:pt>
                <c:pt idx="2">
                  <c:v>76.513617929306065</c:v>
                </c:pt>
                <c:pt idx="3">
                  <c:v>72.531992114814201</c:v>
                </c:pt>
                <c:pt idx="4">
                  <c:v>67.1261718599185</c:v>
                </c:pt>
                <c:pt idx="5">
                  <c:v>60.377222305909804</c:v>
                </c:pt>
                <c:pt idx="6">
                  <c:v>59.468323303193358</c:v>
                </c:pt>
                <c:pt idx="7">
                  <c:v>61.282178933539512</c:v>
                </c:pt>
                <c:pt idx="8">
                  <c:v>59.599479201554026</c:v>
                </c:pt>
                <c:pt idx="9">
                  <c:v>56.747033189030219</c:v>
                </c:pt>
                <c:pt idx="10">
                  <c:v>62.781011610066351</c:v>
                </c:pt>
                <c:pt idx="11">
                  <c:v>62.729810582951728</c:v>
                </c:pt>
                <c:pt idx="12">
                  <c:v>59.828362427066288</c:v>
                </c:pt>
                <c:pt idx="13">
                  <c:v>57.032627144164685</c:v>
                </c:pt>
                <c:pt idx="14">
                  <c:v>53.925783341970629</c:v>
                </c:pt>
              </c:numCache>
            </c:numRef>
          </c:val>
          <c:smooth val="0"/>
        </c:ser>
        <c:dLbls>
          <c:showLegendKey val="0"/>
          <c:showVal val="0"/>
          <c:showCatName val="0"/>
          <c:showSerName val="0"/>
          <c:showPercent val="0"/>
          <c:showBubbleSize val="0"/>
        </c:dLbls>
        <c:marker val="1"/>
        <c:smooth val="0"/>
        <c:axId val="474391680"/>
        <c:axId val="474373504"/>
      </c:lineChart>
      <c:catAx>
        <c:axId val="474370432"/>
        <c:scaling>
          <c:orientation val="minMax"/>
        </c:scaling>
        <c:delete val="0"/>
        <c:axPos val="b"/>
        <c:numFmt formatCode="yyyy&quot;年&quot;m&quot;月&quot;"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74371968"/>
        <c:crosses val="autoZero"/>
        <c:auto val="1"/>
        <c:lblAlgn val="ctr"/>
        <c:lblOffset val="100"/>
        <c:noMultiLvlLbl val="0"/>
      </c:catAx>
      <c:valAx>
        <c:axId val="4743719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74370432"/>
        <c:crosses val="autoZero"/>
        <c:crossBetween val="between"/>
      </c:valAx>
      <c:valAx>
        <c:axId val="474373504"/>
        <c:scaling>
          <c:orientation val="minMax"/>
        </c:scaling>
        <c:delete val="0"/>
        <c:axPos val="r"/>
        <c:numFmt formatCode="0.0" sourceLinked="1"/>
        <c:majorTickMark val="out"/>
        <c:minorTickMark val="none"/>
        <c:tickLblPos val="nextTo"/>
        <c:txPr>
          <a:bodyPr/>
          <a:lstStyle/>
          <a:p>
            <a:pPr>
              <a:defRPr sz="800">
                <a:latin typeface="华文细黑" pitchFamily="2" charset="-122"/>
                <a:ea typeface="华文细黑" pitchFamily="2" charset="-122"/>
              </a:defRPr>
            </a:pPr>
            <a:endParaRPr lang="zh-CN"/>
          </a:p>
        </c:txPr>
        <c:crossAx val="474391680"/>
        <c:crosses val="max"/>
        <c:crossBetween val="between"/>
      </c:valAx>
      <c:catAx>
        <c:axId val="474391680"/>
        <c:scaling>
          <c:orientation val="minMax"/>
        </c:scaling>
        <c:delete val="1"/>
        <c:axPos val="b"/>
        <c:majorTickMark val="out"/>
        <c:minorTickMark val="none"/>
        <c:tickLblPos val="nextTo"/>
        <c:crossAx val="4743735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a:latin typeface="Arial Unicode MS" pitchFamily="34" charset="-122"/>
                <a:ea typeface="Arial Unicode MS" pitchFamily="34" charset="-122"/>
                <a:cs typeface="Arial Unicode MS" pitchFamily="34" charset="-122"/>
              </a:rPr>
              <a:t>2015</a:t>
            </a:r>
            <a:r>
              <a:rPr lang="zh-CN" altLang="en-US" sz="1200">
                <a:latin typeface="Arial Unicode MS" pitchFamily="34" charset="-122"/>
                <a:ea typeface="Arial Unicode MS" pitchFamily="34" charset="-122"/>
                <a:cs typeface="Arial Unicode MS" pitchFamily="34" charset="-122"/>
              </a:rPr>
              <a:t>至</a:t>
            </a:r>
            <a:r>
              <a:rPr lang="en-US" altLang="zh-CN" sz="1200">
                <a:latin typeface="Arial Unicode MS" pitchFamily="34" charset="-122"/>
                <a:ea typeface="Arial Unicode MS" pitchFamily="34" charset="-122"/>
                <a:cs typeface="Arial Unicode MS" pitchFamily="34" charset="-122"/>
              </a:rPr>
              <a:t>2020</a:t>
            </a:r>
            <a:r>
              <a:rPr lang="zh-CN" altLang="en-US" sz="1200">
                <a:latin typeface="Arial Unicode MS" pitchFamily="34" charset="-122"/>
                <a:ea typeface="Arial Unicode MS" pitchFamily="34" charset="-122"/>
                <a:cs typeface="Arial Unicode MS" pitchFamily="34" charset="-122"/>
              </a:rPr>
              <a:t>年</a:t>
            </a:r>
            <a:r>
              <a:rPr lang="en-US" altLang="zh-CN" sz="1200">
                <a:latin typeface="Arial Unicode MS" pitchFamily="34" charset="-122"/>
                <a:ea typeface="Arial Unicode MS" pitchFamily="34" charset="-122"/>
                <a:cs typeface="Arial Unicode MS" pitchFamily="34" charset="-122"/>
              </a:rPr>
              <a:t>10</a:t>
            </a:r>
            <a:r>
              <a:rPr lang="zh-CN" altLang="en-US" sz="1200">
                <a:latin typeface="Arial Unicode MS" pitchFamily="34" charset="-122"/>
                <a:ea typeface="Arial Unicode MS" pitchFamily="34" charset="-122"/>
                <a:cs typeface="Arial Unicode MS" pitchFamily="34" charset="-122"/>
              </a:rPr>
              <a:t>月台商投资区（即角美镇）涉宅用地土地成交情况</a:t>
            </a:r>
          </a:p>
        </c:rich>
      </c:tx>
      <c:overlay val="0"/>
      <c:spPr>
        <a:noFill/>
        <a:ln w="25400">
          <a:noFill/>
        </a:ln>
      </c:spPr>
    </c:title>
    <c:autoTitleDeleted val="0"/>
    <c:plotArea>
      <c:layout>
        <c:manualLayout>
          <c:layoutTarget val="inner"/>
          <c:xMode val="edge"/>
          <c:yMode val="edge"/>
          <c:x val="9.0253872112139824E-2"/>
          <c:y val="0.24431243124312432"/>
          <c:w val="0.78280435301318552"/>
          <c:h val="0.52565751063295307"/>
        </c:manualLayout>
      </c:layout>
      <c:barChart>
        <c:barDir val="col"/>
        <c:grouping val="clustered"/>
        <c:varyColors val="0"/>
        <c:ser>
          <c:idx val="0"/>
          <c:order val="0"/>
          <c:tx>
            <c:strRef>
              <c:f>[区域土地市场分析用图.xls]区域土地资料!$D$26</c:f>
              <c:strCache>
                <c:ptCount val="1"/>
                <c:pt idx="0">
                  <c:v>成交土地面积（万平方米）</c:v>
                </c:pt>
              </c:strCache>
            </c:strRef>
          </c:tx>
          <c:spPr>
            <a:solidFill>
              <a:srgbClr val="4472C4"/>
            </a:solidFill>
            <a:ln w="25400">
              <a:noFill/>
            </a:ln>
          </c:spPr>
          <c:invertIfNegative val="0"/>
          <c:cat>
            <c:strRef>
              <c:f>[区域土地市场分析用图.xls]区域土地资料!$C$27:$C$32</c:f>
              <c:strCache>
                <c:ptCount val="6"/>
                <c:pt idx="0">
                  <c:v>2015年</c:v>
                </c:pt>
                <c:pt idx="1">
                  <c:v>2016年</c:v>
                </c:pt>
                <c:pt idx="2">
                  <c:v>2017年</c:v>
                </c:pt>
                <c:pt idx="3">
                  <c:v>2018年</c:v>
                </c:pt>
                <c:pt idx="4">
                  <c:v>2019年</c:v>
                </c:pt>
                <c:pt idx="5">
                  <c:v>2020年1-10月</c:v>
                </c:pt>
              </c:strCache>
            </c:strRef>
          </c:cat>
          <c:val>
            <c:numRef>
              <c:f>[区域土地市场分析用图.xls]区域土地资料!$D$27:$D$32</c:f>
              <c:numCache>
                <c:formatCode>0.00</c:formatCode>
                <c:ptCount val="6"/>
                <c:pt idx="0">
                  <c:v>9.6907999999999994</c:v>
                </c:pt>
                <c:pt idx="1">
                  <c:v>6.6710000000000003</c:v>
                </c:pt>
                <c:pt idx="2">
                  <c:v>26.471800000000002</c:v>
                </c:pt>
                <c:pt idx="3">
                  <c:v>3.9857</c:v>
                </c:pt>
                <c:pt idx="4">
                  <c:v>8.1540999999999997</c:v>
                </c:pt>
                <c:pt idx="5">
                  <c:v>25.386600000000001</c:v>
                </c:pt>
              </c:numCache>
            </c:numRef>
          </c:val>
        </c:ser>
        <c:ser>
          <c:idx val="1"/>
          <c:order val="1"/>
          <c:tx>
            <c:strRef>
              <c:f>[区域土地市场分析用图.xls]区域土地资料!$E$26</c:f>
              <c:strCache>
                <c:ptCount val="1"/>
                <c:pt idx="0">
                  <c:v>成交规划建筑面积（万平方米）</c:v>
                </c:pt>
              </c:strCache>
            </c:strRef>
          </c:tx>
          <c:spPr>
            <a:solidFill>
              <a:srgbClr val="ED7D31"/>
            </a:solidFill>
            <a:ln w="25400">
              <a:noFill/>
            </a:ln>
          </c:spPr>
          <c:invertIfNegative val="0"/>
          <c:cat>
            <c:strRef>
              <c:f>[区域土地市场分析用图.xls]区域土地资料!$C$27:$C$32</c:f>
              <c:strCache>
                <c:ptCount val="6"/>
                <c:pt idx="0">
                  <c:v>2015年</c:v>
                </c:pt>
                <c:pt idx="1">
                  <c:v>2016年</c:v>
                </c:pt>
                <c:pt idx="2">
                  <c:v>2017年</c:v>
                </c:pt>
                <c:pt idx="3">
                  <c:v>2018年</c:v>
                </c:pt>
                <c:pt idx="4">
                  <c:v>2019年</c:v>
                </c:pt>
                <c:pt idx="5">
                  <c:v>2020年1-10月</c:v>
                </c:pt>
              </c:strCache>
            </c:strRef>
          </c:cat>
          <c:val>
            <c:numRef>
              <c:f>[区域土地市场分析用图.xls]区域土地资料!$E$27:$E$32</c:f>
              <c:numCache>
                <c:formatCode>0.00</c:formatCode>
                <c:ptCount val="6"/>
                <c:pt idx="0">
                  <c:v>27.249690000000001</c:v>
                </c:pt>
                <c:pt idx="1">
                  <c:v>20.013000000000002</c:v>
                </c:pt>
                <c:pt idx="2">
                  <c:v>67.88503</c:v>
                </c:pt>
                <c:pt idx="3">
                  <c:v>7.9714</c:v>
                </c:pt>
                <c:pt idx="4">
                  <c:v>22.979129999999998</c:v>
                </c:pt>
                <c:pt idx="5">
                  <c:v>62.87415</c:v>
                </c:pt>
              </c:numCache>
            </c:numRef>
          </c:val>
        </c:ser>
        <c:dLbls>
          <c:showLegendKey val="0"/>
          <c:showVal val="0"/>
          <c:showCatName val="0"/>
          <c:showSerName val="0"/>
          <c:showPercent val="0"/>
          <c:showBubbleSize val="0"/>
        </c:dLbls>
        <c:gapWidth val="150"/>
        <c:axId val="474468352"/>
        <c:axId val="474469888"/>
      </c:barChart>
      <c:lineChart>
        <c:grouping val="standard"/>
        <c:varyColors val="0"/>
        <c:ser>
          <c:idx val="2"/>
          <c:order val="2"/>
          <c:tx>
            <c:strRef>
              <c:f>[区域土地市场分析用图.xls]区域土地资料!$F$26</c:f>
              <c:strCache>
                <c:ptCount val="1"/>
                <c:pt idx="0">
                  <c:v>成交金额（亿元）</c:v>
                </c:pt>
              </c:strCache>
            </c:strRef>
          </c:tx>
          <c:spPr>
            <a:ln w="28575" cap="rnd">
              <a:solidFill>
                <a:schemeClr val="accent3"/>
              </a:solidFill>
              <a:round/>
            </a:ln>
            <a:effectLst/>
          </c:spPr>
          <c:marker>
            <c:symbol val="none"/>
          </c:marker>
          <c:cat>
            <c:strRef>
              <c:f>[区域土地市场分析用图.xls]区域土地资料!$C$27:$C$32</c:f>
              <c:strCache>
                <c:ptCount val="6"/>
                <c:pt idx="0">
                  <c:v>2015年</c:v>
                </c:pt>
                <c:pt idx="1">
                  <c:v>2016年</c:v>
                </c:pt>
                <c:pt idx="2">
                  <c:v>2017年</c:v>
                </c:pt>
                <c:pt idx="3">
                  <c:v>2018年</c:v>
                </c:pt>
                <c:pt idx="4">
                  <c:v>2019年</c:v>
                </c:pt>
                <c:pt idx="5">
                  <c:v>2020年1-10月</c:v>
                </c:pt>
              </c:strCache>
            </c:strRef>
          </c:cat>
          <c:val>
            <c:numRef>
              <c:f>[区域土地市场分析用图.xls]区域土地资料!$F$27:$F$32</c:f>
              <c:numCache>
                <c:formatCode>0.00</c:formatCode>
                <c:ptCount val="6"/>
                <c:pt idx="0">
                  <c:v>13.09</c:v>
                </c:pt>
                <c:pt idx="1">
                  <c:v>24.1</c:v>
                </c:pt>
                <c:pt idx="2">
                  <c:v>81.3</c:v>
                </c:pt>
                <c:pt idx="3">
                  <c:v>8.06</c:v>
                </c:pt>
                <c:pt idx="4">
                  <c:v>15.1</c:v>
                </c:pt>
                <c:pt idx="5">
                  <c:v>40.843000000000004</c:v>
                </c:pt>
              </c:numCache>
            </c:numRef>
          </c:val>
          <c:smooth val="0"/>
        </c:ser>
        <c:dLbls>
          <c:showLegendKey val="0"/>
          <c:showVal val="0"/>
          <c:showCatName val="0"/>
          <c:showSerName val="0"/>
          <c:showPercent val="0"/>
          <c:showBubbleSize val="0"/>
        </c:dLbls>
        <c:marker val="1"/>
        <c:smooth val="0"/>
        <c:axId val="474471424"/>
        <c:axId val="474473216"/>
      </c:lineChart>
      <c:catAx>
        <c:axId val="47446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74469888"/>
        <c:crosses val="autoZero"/>
        <c:auto val="1"/>
        <c:lblAlgn val="ctr"/>
        <c:lblOffset val="100"/>
        <c:noMultiLvlLbl val="0"/>
      </c:catAx>
      <c:valAx>
        <c:axId val="4744698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74468352"/>
        <c:crosses val="autoZero"/>
        <c:crossBetween val="between"/>
      </c:valAx>
      <c:catAx>
        <c:axId val="474471424"/>
        <c:scaling>
          <c:orientation val="minMax"/>
        </c:scaling>
        <c:delete val="1"/>
        <c:axPos val="b"/>
        <c:majorTickMark val="out"/>
        <c:minorTickMark val="none"/>
        <c:tickLblPos val="nextTo"/>
        <c:crossAx val="474473216"/>
        <c:crosses val="autoZero"/>
        <c:auto val="1"/>
        <c:lblAlgn val="ctr"/>
        <c:lblOffset val="100"/>
        <c:noMultiLvlLbl val="0"/>
      </c:catAx>
      <c:valAx>
        <c:axId val="474473216"/>
        <c:scaling>
          <c:orientation val="minMax"/>
        </c:scaling>
        <c:delete val="0"/>
        <c:axPos val="r"/>
        <c:numFmt formatCode="0.00"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74471424"/>
        <c:crosses val="max"/>
        <c:crossBetween val="between"/>
      </c:valAx>
      <c:spPr>
        <a:noFill/>
        <a:ln w="25400">
          <a:noFill/>
        </a:ln>
      </c:spPr>
    </c:plotArea>
    <c:legend>
      <c:legendPos val="r"/>
      <c:layout>
        <c:manualLayout>
          <c:xMode val="edge"/>
          <c:yMode val="edge"/>
          <c:x val="3.9933397653356573E-2"/>
          <c:y val="0.89642992645721264"/>
          <c:w val="0.92346166215389092"/>
          <c:h val="7.8571416196737798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0" i="0" u="none" strike="noStrike" baseline="0">
                <a:effectLst/>
                <a:latin typeface="Arial Unicode MS" pitchFamily="34" charset="-122"/>
                <a:ea typeface="Arial Unicode MS" pitchFamily="34" charset="-122"/>
                <a:cs typeface="Arial Unicode MS" pitchFamily="34" charset="-122"/>
              </a:rPr>
              <a:t>2015</a:t>
            </a:r>
            <a:r>
              <a:rPr lang="zh-CN" altLang="zh-CN" sz="1200" b="0" i="0" u="none" strike="noStrike" baseline="0">
                <a:effectLst/>
                <a:latin typeface="Arial Unicode MS" pitchFamily="34" charset="-122"/>
                <a:ea typeface="Arial Unicode MS" pitchFamily="34" charset="-122"/>
                <a:cs typeface="Arial Unicode MS" pitchFamily="34" charset="-122"/>
              </a:rPr>
              <a:t>至</a:t>
            </a:r>
            <a:r>
              <a:rPr lang="en-US" altLang="zh-CN" sz="1200" b="0" i="0" u="none" strike="noStrike" baseline="0">
                <a:effectLst/>
                <a:latin typeface="Arial Unicode MS" pitchFamily="34" charset="-122"/>
                <a:ea typeface="Arial Unicode MS" pitchFamily="34" charset="-122"/>
                <a:cs typeface="Arial Unicode MS" pitchFamily="34" charset="-122"/>
              </a:rPr>
              <a:t>2020</a:t>
            </a:r>
            <a:r>
              <a:rPr lang="zh-CN" altLang="zh-CN" sz="1200" b="0" i="0" u="none" strike="noStrike" baseline="0">
                <a:effectLst/>
                <a:latin typeface="Arial Unicode MS" pitchFamily="34" charset="-122"/>
                <a:ea typeface="Arial Unicode MS" pitchFamily="34" charset="-122"/>
                <a:cs typeface="Arial Unicode MS" pitchFamily="34" charset="-122"/>
              </a:rPr>
              <a:t>年</a:t>
            </a:r>
            <a:r>
              <a:rPr lang="en-US" altLang="zh-CN" sz="1200" b="0" i="0" u="none" strike="noStrike" baseline="0">
                <a:effectLst/>
                <a:latin typeface="Arial Unicode MS" pitchFamily="34" charset="-122"/>
                <a:ea typeface="Arial Unicode MS" pitchFamily="34" charset="-122"/>
                <a:cs typeface="Arial Unicode MS" pitchFamily="34" charset="-122"/>
              </a:rPr>
              <a:t>10</a:t>
            </a:r>
            <a:r>
              <a:rPr lang="zh-CN" altLang="zh-CN" sz="1200" b="0" i="0" u="none" strike="noStrike" baseline="0">
                <a:effectLst/>
                <a:latin typeface="Arial Unicode MS" pitchFamily="34" charset="-122"/>
                <a:ea typeface="Arial Unicode MS" pitchFamily="34" charset="-122"/>
                <a:cs typeface="Arial Unicode MS" pitchFamily="34" charset="-122"/>
              </a:rPr>
              <a:t>月台商投资区（即角美镇）</a:t>
            </a:r>
            <a:r>
              <a:rPr lang="zh-CN" altLang="en-US" sz="1200">
                <a:latin typeface="Arial Unicode MS" pitchFamily="34" charset="-122"/>
                <a:ea typeface="Arial Unicode MS" pitchFamily="34" charset="-122"/>
                <a:cs typeface="Arial Unicode MS" pitchFamily="34" charset="-122"/>
              </a:rPr>
              <a:t>涉宅用地土地成交情况</a:t>
            </a:r>
          </a:p>
        </c:rich>
      </c:tx>
      <c:overlay val="0"/>
      <c:spPr>
        <a:noFill/>
        <a:ln w="25400">
          <a:noFill/>
        </a:ln>
      </c:spPr>
    </c:title>
    <c:autoTitleDeleted val="0"/>
    <c:plotArea>
      <c:layout>
        <c:manualLayout>
          <c:layoutTarget val="inner"/>
          <c:xMode val="edge"/>
          <c:yMode val="edge"/>
          <c:x val="0.11331977783539622"/>
          <c:y val="0.17665497076023393"/>
          <c:w val="0.73666489262499035"/>
          <c:h val="0.57878675691854309"/>
        </c:manualLayout>
      </c:layout>
      <c:barChart>
        <c:barDir val="col"/>
        <c:grouping val="clustered"/>
        <c:varyColors val="0"/>
        <c:ser>
          <c:idx val="0"/>
          <c:order val="0"/>
          <c:tx>
            <c:strRef>
              <c:f>[区域土地市场分析用图.xls]区域土地资料!$D$42</c:f>
              <c:strCache>
                <c:ptCount val="1"/>
                <c:pt idx="0">
                  <c:v>成交楼面单价（元/平方米）</c:v>
                </c:pt>
              </c:strCache>
            </c:strRef>
          </c:tx>
          <c:spPr>
            <a:solidFill>
              <a:srgbClr val="4472C4"/>
            </a:solidFill>
            <a:ln w="25400">
              <a:noFill/>
            </a:ln>
          </c:spPr>
          <c:invertIfNegative val="0"/>
          <c:cat>
            <c:strRef>
              <c:f>[区域土地市场分析用图.xls]区域土地资料!$C$43:$C$48</c:f>
              <c:strCache>
                <c:ptCount val="6"/>
                <c:pt idx="0">
                  <c:v>2015年</c:v>
                </c:pt>
                <c:pt idx="1">
                  <c:v>2016年</c:v>
                </c:pt>
                <c:pt idx="2">
                  <c:v>2017年</c:v>
                </c:pt>
                <c:pt idx="3">
                  <c:v>2018年</c:v>
                </c:pt>
                <c:pt idx="4">
                  <c:v>2019年</c:v>
                </c:pt>
                <c:pt idx="5">
                  <c:v>2020年1-10月</c:v>
                </c:pt>
              </c:strCache>
            </c:strRef>
          </c:cat>
          <c:val>
            <c:numRef>
              <c:f>[区域土地市场分析用图.xls]区域土地资料!$D$43:$D$48</c:f>
              <c:numCache>
                <c:formatCode>0.00</c:formatCode>
                <c:ptCount val="6"/>
                <c:pt idx="0">
                  <c:v>4803.7243726442384</c:v>
                </c:pt>
                <c:pt idx="1">
                  <c:v>12042.17</c:v>
                </c:pt>
                <c:pt idx="2">
                  <c:v>11976.130820005528</c:v>
                </c:pt>
                <c:pt idx="3">
                  <c:v>10111.14</c:v>
                </c:pt>
                <c:pt idx="4">
                  <c:v>6571.1800229164464</c:v>
                </c:pt>
                <c:pt idx="5">
                  <c:v>6495.9923911496217</c:v>
                </c:pt>
              </c:numCache>
            </c:numRef>
          </c:val>
        </c:ser>
        <c:dLbls>
          <c:showLegendKey val="0"/>
          <c:showVal val="0"/>
          <c:showCatName val="0"/>
          <c:showSerName val="0"/>
          <c:showPercent val="0"/>
          <c:showBubbleSize val="0"/>
        </c:dLbls>
        <c:gapWidth val="150"/>
        <c:axId val="476489984"/>
        <c:axId val="476491776"/>
      </c:barChart>
      <c:lineChart>
        <c:grouping val="standard"/>
        <c:varyColors val="0"/>
        <c:ser>
          <c:idx val="1"/>
          <c:order val="1"/>
          <c:tx>
            <c:strRef>
              <c:f>[区域土地市场分析用图.xls]区域土地资料!$E$42</c:f>
              <c:strCache>
                <c:ptCount val="1"/>
                <c:pt idx="0">
                  <c:v>平均溢价率</c:v>
                </c:pt>
              </c:strCache>
            </c:strRef>
          </c:tx>
          <c:spPr>
            <a:ln w="28575" cap="rnd">
              <a:solidFill>
                <a:schemeClr val="accent2"/>
              </a:solidFill>
              <a:round/>
            </a:ln>
            <a:effectLst/>
          </c:spPr>
          <c:marker>
            <c:symbol val="none"/>
          </c:marker>
          <c:cat>
            <c:strRef>
              <c:f>[区域土地市场分析用图.xls]区域土地资料!$C$43:$C$48</c:f>
              <c:strCache>
                <c:ptCount val="6"/>
                <c:pt idx="0">
                  <c:v>2015年</c:v>
                </c:pt>
                <c:pt idx="1">
                  <c:v>2016年</c:v>
                </c:pt>
                <c:pt idx="2">
                  <c:v>2017年</c:v>
                </c:pt>
                <c:pt idx="3">
                  <c:v>2018年</c:v>
                </c:pt>
                <c:pt idx="4">
                  <c:v>2019年</c:v>
                </c:pt>
                <c:pt idx="5">
                  <c:v>2020年1-10月</c:v>
                </c:pt>
              </c:strCache>
            </c:strRef>
          </c:cat>
          <c:val>
            <c:numRef>
              <c:f>[区域土地市场分析用图.xls]区域土地资料!$E$43:$E$48</c:f>
              <c:numCache>
                <c:formatCode>0.00%</c:formatCode>
                <c:ptCount val="6"/>
                <c:pt idx="0">
                  <c:v>1.1508379888268152</c:v>
                </c:pt>
                <c:pt idx="1">
                  <c:v>3.0132999999999996</c:v>
                </c:pt>
                <c:pt idx="2">
                  <c:v>0.32843137254901938</c:v>
                </c:pt>
                <c:pt idx="3">
                  <c:v>2.0299999999999999E-2</c:v>
                </c:pt>
                <c:pt idx="4">
                  <c:v>0</c:v>
                </c:pt>
                <c:pt idx="5">
                  <c:v>0.18857492069958956</c:v>
                </c:pt>
              </c:numCache>
            </c:numRef>
          </c:val>
          <c:smooth val="0"/>
        </c:ser>
        <c:dLbls>
          <c:showLegendKey val="0"/>
          <c:showVal val="0"/>
          <c:showCatName val="0"/>
          <c:showSerName val="0"/>
          <c:showPercent val="0"/>
          <c:showBubbleSize val="0"/>
        </c:dLbls>
        <c:marker val="1"/>
        <c:smooth val="0"/>
        <c:axId val="476493312"/>
        <c:axId val="476494848"/>
      </c:lineChart>
      <c:catAx>
        <c:axId val="47648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76491776"/>
        <c:crosses val="autoZero"/>
        <c:auto val="1"/>
        <c:lblAlgn val="ctr"/>
        <c:lblOffset val="100"/>
        <c:noMultiLvlLbl val="0"/>
      </c:catAx>
      <c:valAx>
        <c:axId val="4764917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76489984"/>
        <c:crosses val="autoZero"/>
        <c:crossBetween val="between"/>
      </c:valAx>
      <c:catAx>
        <c:axId val="476493312"/>
        <c:scaling>
          <c:orientation val="minMax"/>
        </c:scaling>
        <c:delete val="1"/>
        <c:axPos val="b"/>
        <c:majorTickMark val="out"/>
        <c:minorTickMark val="none"/>
        <c:tickLblPos val="nextTo"/>
        <c:crossAx val="476494848"/>
        <c:crosses val="autoZero"/>
        <c:auto val="1"/>
        <c:lblAlgn val="ctr"/>
        <c:lblOffset val="100"/>
        <c:noMultiLvlLbl val="0"/>
      </c:catAx>
      <c:valAx>
        <c:axId val="476494848"/>
        <c:scaling>
          <c:orientation val="minMax"/>
        </c:scaling>
        <c:delete val="0"/>
        <c:axPos val="r"/>
        <c:numFmt formatCode="0.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76493312"/>
        <c:crosses val="max"/>
        <c:crossBetween val="between"/>
      </c:valAx>
      <c:spPr>
        <a:noFill/>
        <a:ln w="25400">
          <a:noFill/>
        </a:ln>
      </c:spPr>
    </c:plotArea>
    <c:legend>
      <c:legendPos val="r"/>
      <c:layout>
        <c:manualLayout>
          <c:xMode val="edge"/>
          <c:yMode val="edge"/>
          <c:x val="0.23333360626282201"/>
          <c:y val="0.89824853288687745"/>
          <c:w val="0.53500093250908631"/>
          <c:h val="7.7193257819516803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r">
              <a:defRPr sz="1400" b="0" i="0" u="none" strike="noStrike" kern="1200" spc="0" baseline="0">
                <a:solidFill>
                  <a:schemeClr val="tx1">
                    <a:lumMod val="65000"/>
                    <a:lumOff val="35000"/>
                  </a:schemeClr>
                </a:solidFill>
                <a:latin typeface="+mn-lt"/>
                <a:ea typeface="+mn-ea"/>
                <a:cs typeface="+mn-cs"/>
              </a:defRPr>
            </a:pPr>
            <a:r>
              <a:rPr lang="en-US" altLang="zh-CN" sz="1200"/>
              <a:t>2020</a:t>
            </a:r>
            <a:r>
              <a:rPr lang="zh-CN" altLang="en-US" sz="1200"/>
              <a:t>年</a:t>
            </a:r>
            <a:r>
              <a:rPr lang="en-US" altLang="zh-CN" sz="1200"/>
              <a:t>1-10</a:t>
            </a:r>
            <a:r>
              <a:rPr lang="zh-CN" altLang="en-US" sz="1200"/>
              <a:t>月台商投资区商品住宅供销趋势</a:t>
            </a:r>
          </a:p>
        </c:rich>
      </c:tx>
      <c:layout>
        <c:manualLayout>
          <c:xMode val="edge"/>
          <c:yMode val="edge"/>
          <c:x val="0.23059967585089142"/>
          <c:y val="2.8169009548653045E-2"/>
        </c:manualLayout>
      </c:layout>
      <c:overlay val="0"/>
      <c:spPr>
        <a:noFill/>
        <a:ln w="25400">
          <a:noFill/>
        </a:ln>
      </c:spPr>
    </c:title>
    <c:autoTitleDeleted val="0"/>
    <c:plotArea>
      <c:layout>
        <c:manualLayout>
          <c:layoutTarget val="inner"/>
          <c:xMode val="edge"/>
          <c:yMode val="edge"/>
          <c:x val="8.8454677601097514E-2"/>
          <c:y val="0.1661057330427213"/>
          <c:w val="0.88992837471191588"/>
          <c:h val="0.64156930508374732"/>
        </c:manualLayout>
      </c:layout>
      <c:barChart>
        <c:barDir val="col"/>
        <c:grouping val="clustered"/>
        <c:varyColors val="0"/>
        <c:ser>
          <c:idx val="0"/>
          <c:order val="0"/>
          <c:tx>
            <c:strRef>
              <c:f>区域成交资料!$H$64</c:f>
              <c:strCache>
                <c:ptCount val="1"/>
                <c:pt idx="0">
                  <c:v>供应面积（万㎡）</c:v>
                </c:pt>
              </c:strCache>
            </c:strRef>
          </c:tx>
          <c:spPr>
            <a:solidFill>
              <a:srgbClr val="4472C4"/>
            </a:solidFill>
            <a:ln w="25400">
              <a:noFill/>
            </a:ln>
          </c:spPr>
          <c:invertIfNegative val="0"/>
          <c:cat>
            <c:strRef>
              <c:f>区域成交资料!$G$65:$G$71</c:f>
              <c:strCache>
                <c:ptCount val="7"/>
                <c:pt idx="0">
                  <c:v>1-2月</c:v>
                </c:pt>
                <c:pt idx="1">
                  <c:v>3-5月</c:v>
                </c:pt>
                <c:pt idx="2">
                  <c:v>6月</c:v>
                </c:pt>
                <c:pt idx="3">
                  <c:v>7月</c:v>
                </c:pt>
                <c:pt idx="4">
                  <c:v>8月</c:v>
                </c:pt>
                <c:pt idx="5">
                  <c:v>9月</c:v>
                </c:pt>
                <c:pt idx="6">
                  <c:v>10月</c:v>
                </c:pt>
              </c:strCache>
            </c:strRef>
          </c:cat>
          <c:val>
            <c:numRef>
              <c:f>区域成交资料!$H$65:$H$71</c:f>
              <c:numCache>
                <c:formatCode>General</c:formatCode>
                <c:ptCount val="7"/>
                <c:pt idx="0">
                  <c:v>4.2</c:v>
                </c:pt>
                <c:pt idx="1">
                  <c:v>3.9999999999999991</c:v>
                </c:pt>
                <c:pt idx="2">
                  <c:v>2</c:v>
                </c:pt>
                <c:pt idx="3">
                  <c:v>6.6000000000000014</c:v>
                </c:pt>
                <c:pt idx="4">
                  <c:v>0</c:v>
                </c:pt>
                <c:pt idx="5">
                  <c:v>5.3999999999999986</c:v>
                </c:pt>
                <c:pt idx="6">
                  <c:v>4.8000000000000007</c:v>
                </c:pt>
              </c:numCache>
            </c:numRef>
          </c:val>
        </c:ser>
        <c:ser>
          <c:idx val="1"/>
          <c:order val="1"/>
          <c:tx>
            <c:strRef>
              <c:f>区域成交资料!$I$64</c:f>
              <c:strCache>
                <c:ptCount val="1"/>
                <c:pt idx="0">
                  <c:v>成交面积（万㎡）</c:v>
                </c:pt>
              </c:strCache>
            </c:strRef>
          </c:tx>
          <c:spPr>
            <a:solidFill>
              <a:srgbClr val="ED7D31"/>
            </a:solidFill>
            <a:ln w="25400">
              <a:noFill/>
            </a:ln>
          </c:spPr>
          <c:invertIfNegative val="0"/>
          <c:cat>
            <c:strRef>
              <c:f>区域成交资料!$G$65:$G$71</c:f>
              <c:strCache>
                <c:ptCount val="7"/>
                <c:pt idx="0">
                  <c:v>1-2月</c:v>
                </c:pt>
                <c:pt idx="1">
                  <c:v>3-5月</c:v>
                </c:pt>
                <c:pt idx="2">
                  <c:v>6月</c:v>
                </c:pt>
                <c:pt idx="3">
                  <c:v>7月</c:v>
                </c:pt>
                <c:pt idx="4">
                  <c:v>8月</c:v>
                </c:pt>
                <c:pt idx="5">
                  <c:v>9月</c:v>
                </c:pt>
                <c:pt idx="6">
                  <c:v>10月</c:v>
                </c:pt>
              </c:strCache>
            </c:strRef>
          </c:cat>
          <c:val>
            <c:numRef>
              <c:f>区域成交资料!$I$65:$I$71</c:f>
              <c:numCache>
                <c:formatCode>General</c:formatCode>
                <c:ptCount val="7"/>
                <c:pt idx="0">
                  <c:v>1.4</c:v>
                </c:pt>
                <c:pt idx="1">
                  <c:v>4</c:v>
                </c:pt>
                <c:pt idx="2">
                  <c:v>1.2999999999999998</c:v>
                </c:pt>
                <c:pt idx="3">
                  <c:v>1.3999999999999995</c:v>
                </c:pt>
                <c:pt idx="4">
                  <c:v>3</c:v>
                </c:pt>
                <c:pt idx="5">
                  <c:v>1.4000000000000004</c:v>
                </c:pt>
                <c:pt idx="6">
                  <c:v>3</c:v>
                </c:pt>
              </c:numCache>
            </c:numRef>
          </c:val>
        </c:ser>
        <c:dLbls>
          <c:showLegendKey val="0"/>
          <c:showVal val="0"/>
          <c:showCatName val="0"/>
          <c:showSerName val="0"/>
          <c:showPercent val="0"/>
          <c:showBubbleSize val="0"/>
        </c:dLbls>
        <c:gapWidth val="150"/>
        <c:axId val="480526336"/>
        <c:axId val="480527872"/>
      </c:barChart>
      <c:catAx>
        <c:axId val="480526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80527872"/>
        <c:crosses val="autoZero"/>
        <c:auto val="1"/>
        <c:lblAlgn val="ctr"/>
        <c:lblOffset val="100"/>
        <c:noMultiLvlLbl val="0"/>
      </c:catAx>
      <c:valAx>
        <c:axId val="480527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80526336"/>
        <c:crosses val="autoZero"/>
        <c:crossBetween val="between"/>
      </c:valAx>
      <c:spPr>
        <a:noFill/>
        <a:ln w="25400">
          <a:noFill/>
        </a:ln>
      </c:spPr>
    </c:plotArea>
    <c:legend>
      <c:legendPos val="r"/>
      <c:layout>
        <c:manualLayout>
          <c:xMode val="edge"/>
          <c:yMode val="edge"/>
          <c:x val="0.26418152350081037"/>
          <c:y val="0.90140830555689744"/>
          <c:w val="0.47163695299837927"/>
          <c:h val="7.7464856770204316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2017</a:t>
            </a:r>
            <a:r>
              <a:rPr lang="zh-CN" altLang="zh-CN" sz="1200" b="1" i="0" u="none" strike="noStrike" baseline="0">
                <a:effectLst/>
              </a:rPr>
              <a:t>至</a:t>
            </a:r>
            <a:r>
              <a:rPr lang="en-US" altLang="zh-CN" sz="1200" b="1" i="0" u="none" strike="noStrike" baseline="0">
                <a:effectLst/>
              </a:rPr>
              <a:t>2020</a:t>
            </a:r>
            <a:r>
              <a:rPr lang="zh-CN" altLang="zh-CN" sz="1200" b="1" i="0" u="none" strike="noStrike" baseline="0">
                <a:effectLst/>
              </a:rPr>
              <a:t>年</a:t>
            </a:r>
            <a:r>
              <a:rPr lang="en-US" altLang="zh-CN" sz="1200" b="1" i="0" u="none" strike="noStrike" baseline="0">
                <a:effectLst/>
              </a:rPr>
              <a:t>10</a:t>
            </a:r>
            <a:r>
              <a:rPr lang="zh-CN" altLang="zh-CN" sz="1200" b="1" i="0" u="none" strike="noStrike" baseline="0">
                <a:effectLst/>
              </a:rPr>
              <a:t>月漳州市</a:t>
            </a:r>
            <a:r>
              <a:rPr lang="zh-CN" altLang="en-US" sz="1200" b="1" i="0" baseline="0">
                <a:effectLst/>
              </a:rPr>
              <a:t>住宅</a:t>
            </a:r>
            <a:r>
              <a:rPr lang="zh-CN" altLang="zh-CN" sz="1200" b="1" i="0" baseline="0">
                <a:effectLst/>
              </a:rPr>
              <a:t>用地土地</a:t>
            </a:r>
            <a:r>
              <a:rPr lang="zh-CN" altLang="en-US" sz="1200" b="1" i="0" baseline="0">
                <a:effectLst/>
              </a:rPr>
              <a:t>成交</a:t>
            </a:r>
            <a:r>
              <a:rPr lang="zh-CN" altLang="zh-CN" sz="1200" b="1" i="0" baseline="0">
                <a:effectLst/>
              </a:rPr>
              <a:t>情况</a:t>
            </a:r>
            <a:endParaRPr lang="zh-CN" altLang="zh-CN" sz="1200">
              <a:effectLst/>
            </a:endParaRPr>
          </a:p>
        </c:rich>
      </c:tx>
      <c:overlay val="0"/>
      <c:spPr>
        <a:noFill/>
        <a:ln>
          <a:noFill/>
        </a:ln>
        <a:effectLst/>
      </c:spPr>
    </c:title>
    <c:autoTitleDeleted val="0"/>
    <c:plotArea>
      <c:layout/>
      <c:barChart>
        <c:barDir val="col"/>
        <c:grouping val="clustered"/>
        <c:varyColors val="0"/>
        <c:ser>
          <c:idx val="0"/>
          <c:order val="0"/>
          <c:tx>
            <c:strRef>
              <c:f>土地!$A$30</c:f>
              <c:strCache>
                <c:ptCount val="1"/>
                <c:pt idx="0">
                  <c:v>成交土地面积（万平方米）</c:v>
                </c:pt>
              </c:strCache>
            </c:strRef>
          </c:tx>
          <c:spPr>
            <a:solidFill>
              <a:schemeClr val="accent1"/>
            </a:solidFill>
            <a:ln>
              <a:noFill/>
            </a:ln>
            <a:effectLst/>
          </c:spPr>
          <c:invertIfNegative val="0"/>
          <c:cat>
            <c:strRef>
              <c:f>土地!$B$29:$E$29</c:f>
              <c:strCache>
                <c:ptCount val="4"/>
                <c:pt idx="0">
                  <c:v>2017</c:v>
                </c:pt>
                <c:pt idx="1">
                  <c:v>2018</c:v>
                </c:pt>
                <c:pt idx="2">
                  <c:v>2019</c:v>
                </c:pt>
                <c:pt idx="3">
                  <c:v>2020年1-10月</c:v>
                </c:pt>
              </c:strCache>
            </c:strRef>
          </c:cat>
          <c:val>
            <c:numRef>
              <c:f>土地!$B$30:$E$30</c:f>
              <c:numCache>
                <c:formatCode>General</c:formatCode>
                <c:ptCount val="4"/>
                <c:pt idx="0">
                  <c:v>247.9</c:v>
                </c:pt>
                <c:pt idx="1">
                  <c:v>242.97</c:v>
                </c:pt>
                <c:pt idx="2">
                  <c:v>191.86</c:v>
                </c:pt>
                <c:pt idx="3">
                  <c:v>249.43</c:v>
                </c:pt>
              </c:numCache>
            </c:numRef>
          </c:val>
          <c:extLst xmlns:c16r2="http://schemas.microsoft.com/office/drawing/2015/06/chart">
            <c:ext xmlns:c16="http://schemas.microsoft.com/office/drawing/2014/chart" uri="{C3380CC4-5D6E-409C-BE32-E72D297353CC}">
              <c16:uniqueId val="{00000002-2770-4A42-916B-BFB0EDD2228A}"/>
            </c:ext>
          </c:extLst>
        </c:ser>
        <c:ser>
          <c:idx val="1"/>
          <c:order val="1"/>
          <c:tx>
            <c:strRef>
              <c:f>土地!$A$31</c:f>
              <c:strCache>
                <c:ptCount val="1"/>
                <c:pt idx="0">
                  <c:v>成交规划建筑面积（万平方米）</c:v>
                </c:pt>
              </c:strCache>
            </c:strRef>
          </c:tx>
          <c:spPr>
            <a:solidFill>
              <a:schemeClr val="accent2"/>
            </a:solidFill>
            <a:ln>
              <a:noFill/>
            </a:ln>
            <a:effectLst/>
          </c:spPr>
          <c:invertIfNegative val="0"/>
          <c:cat>
            <c:strRef>
              <c:f>土地!$B$29:$E$29</c:f>
              <c:strCache>
                <c:ptCount val="4"/>
                <c:pt idx="0">
                  <c:v>2017</c:v>
                </c:pt>
                <c:pt idx="1">
                  <c:v>2018</c:v>
                </c:pt>
                <c:pt idx="2">
                  <c:v>2019</c:v>
                </c:pt>
                <c:pt idx="3">
                  <c:v>2020年1-10月</c:v>
                </c:pt>
              </c:strCache>
            </c:strRef>
          </c:cat>
          <c:val>
            <c:numRef>
              <c:f>土地!$B$31:$E$31</c:f>
              <c:numCache>
                <c:formatCode>General</c:formatCode>
                <c:ptCount val="4"/>
                <c:pt idx="0">
                  <c:v>672.52</c:v>
                </c:pt>
                <c:pt idx="1">
                  <c:v>580.41</c:v>
                </c:pt>
                <c:pt idx="2">
                  <c:v>460.91</c:v>
                </c:pt>
                <c:pt idx="3">
                  <c:v>633.07000000000005</c:v>
                </c:pt>
              </c:numCache>
            </c:numRef>
          </c:val>
          <c:extLst xmlns:c16r2="http://schemas.microsoft.com/office/drawing/2015/06/chart">
            <c:ext xmlns:c16="http://schemas.microsoft.com/office/drawing/2014/chart" uri="{C3380CC4-5D6E-409C-BE32-E72D297353CC}">
              <c16:uniqueId val="{00000000-2770-4A42-916B-BFB0EDD2228A}"/>
            </c:ext>
          </c:extLst>
        </c:ser>
        <c:dLbls>
          <c:showLegendKey val="0"/>
          <c:showVal val="0"/>
          <c:showCatName val="0"/>
          <c:showSerName val="0"/>
          <c:showPercent val="0"/>
          <c:showBubbleSize val="0"/>
        </c:dLbls>
        <c:gapWidth val="219"/>
        <c:axId val="233758080"/>
        <c:axId val="233760256"/>
      </c:barChart>
      <c:lineChart>
        <c:grouping val="standard"/>
        <c:varyColors val="0"/>
        <c:ser>
          <c:idx val="2"/>
          <c:order val="2"/>
          <c:tx>
            <c:strRef>
              <c:f>土地!$A$32</c:f>
              <c:strCache>
                <c:ptCount val="1"/>
                <c:pt idx="0">
                  <c:v>成交金额（亿元）</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土地!$B$29:$E$29</c:f>
              <c:strCache>
                <c:ptCount val="4"/>
                <c:pt idx="0">
                  <c:v>2017</c:v>
                </c:pt>
                <c:pt idx="1">
                  <c:v>2018</c:v>
                </c:pt>
                <c:pt idx="2">
                  <c:v>2019</c:v>
                </c:pt>
                <c:pt idx="3">
                  <c:v>2020年1-10月</c:v>
                </c:pt>
              </c:strCache>
            </c:strRef>
          </c:cat>
          <c:val>
            <c:numRef>
              <c:f>土地!$B$32:$E$32</c:f>
              <c:numCache>
                <c:formatCode>0.00</c:formatCode>
                <c:ptCount val="4"/>
                <c:pt idx="0">
                  <c:v>303.43639999999999</c:v>
                </c:pt>
                <c:pt idx="1">
                  <c:v>187.99680000000001</c:v>
                </c:pt>
                <c:pt idx="2">
                  <c:v>165.41589999999999</c:v>
                </c:pt>
                <c:pt idx="3">
                  <c:v>182.43899999999999</c:v>
                </c:pt>
              </c:numCache>
            </c:numRef>
          </c:val>
          <c:smooth val="0"/>
          <c:extLst xmlns:c16r2="http://schemas.microsoft.com/office/drawing/2015/06/chart">
            <c:ext xmlns:c16="http://schemas.microsoft.com/office/drawing/2014/chart" uri="{C3380CC4-5D6E-409C-BE32-E72D297353CC}">
              <c16:uniqueId val="{00000001-2770-4A42-916B-BFB0EDD2228A}"/>
            </c:ext>
          </c:extLst>
        </c:ser>
        <c:dLbls>
          <c:showLegendKey val="0"/>
          <c:showVal val="0"/>
          <c:showCatName val="0"/>
          <c:showSerName val="0"/>
          <c:showPercent val="0"/>
          <c:showBubbleSize val="0"/>
        </c:dLbls>
        <c:marker val="1"/>
        <c:smooth val="0"/>
        <c:axId val="236086016"/>
        <c:axId val="233761792"/>
      </c:lineChart>
      <c:catAx>
        <c:axId val="23375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33760256"/>
        <c:crosses val="autoZero"/>
        <c:auto val="1"/>
        <c:lblAlgn val="ctr"/>
        <c:lblOffset val="100"/>
        <c:noMultiLvlLbl val="0"/>
      </c:catAx>
      <c:valAx>
        <c:axId val="233760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33758080"/>
        <c:crosses val="autoZero"/>
        <c:crossBetween val="between"/>
      </c:valAx>
      <c:valAx>
        <c:axId val="233761792"/>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36086016"/>
        <c:crosses val="max"/>
        <c:crossBetween val="between"/>
      </c:valAx>
      <c:catAx>
        <c:axId val="236086016"/>
        <c:scaling>
          <c:orientation val="minMax"/>
        </c:scaling>
        <c:delete val="1"/>
        <c:axPos val="b"/>
        <c:numFmt formatCode="General" sourceLinked="1"/>
        <c:majorTickMark val="out"/>
        <c:minorTickMark val="none"/>
        <c:tickLblPos val="nextTo"/>
        <c:crossAx val="2337617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lang="zh-CN" altLang="en-US" sz="1400" b="0" i="0" u="none" strike="noStrike" kern="1200" spc="0" baseline="0">
                <a:solidFill>
                  <a:sysClr val="windowText" lastClr="000000">
                    <a:lumMod val="65000"/>
                    <a:lumOff val="35000"/>
                  </a:sysClr>
                </a:solidFill>
                <a:latin typeface="+mn-lt"/>
                <a:ea typeface="+mn-ea"/>
                <a:cs typeface="+mn-cs"/>
              </a:defRPr>
            </a:pPr>
            <a:r>
              <a:rPr lang="en-US" altLang="zh-CN" sz="1200" b="0" i="0" u="none" strike="noStrike" baseline="0">
                <a:effectLst/>
              </a:rPr>
              <a:t>2019</a:t>
            </a:r>
            <a:r>
              <a:rPr lang="zh-CN" altLang="en-US" sz="1200" b="0" i="0" u="none" strike="noStrike" baseline="0">
                <a:effectLst/>
              </a:rPr>
              <a:t>至</a:t>
            </a:r>
            <a:r>
              <a:rPr lang="en-US" altLang="zh-CN" sz="1200" b="0" i="0" u="none" strike="noStrike" baseline="0">
                <a:effectLst/>
              </a:rPr>
              <a:t>2020</a:t>
            </a:r>
            <a:r>
              <a:rPr lang="zh-CN" altLang="en-US" sz="1200" b="0" i="0" u="none" strike="noStrike" baseline="0">
                <a:effectLst/>
              </a:rPr>
              <a:t>年</a:t>
            </a:r>
            <a:r>
              <a:rPr lang="en-US" altLang="zh-CN" sz="1200" b="0" i="0" u="none" strike="noStrike" baseline="0">
                <a:effectLst/>
              </a:rPr>
              <a:t>10</a:t>
            </a:r>
            <a:r>
              <a:rPr lang="zh-CN" altLang="zh-CN" sz="1200" b="0" i="0" u="none" strike="noStrike" baseline="0">
                <a:effectLst/>
              </a:rPr>
              <a:t>月</a:t>
            </a:r>
            <a:r>
              <a:rPr lang="zh-CN" altLang="en-US" sz="1200" b="0" i="0" u="none" strike="noStrike" baseline="0">
                <a:effectLst/>
              </a:rPr>
              <a:t>台商投资区新建</a:t>
            </a:r>
            <a:r>
              <a:rPr lang="zh-CN" altLang="en-US" sz="1200" b="0" i="0" u="none" strike="noStrike" kern="1200" spc="0" baseline="0">
                <a:solidFill>
                  <a:sysClr val="windowText" lastClr="000000">
                    <a:lumMod val="65000"/>
                    <a:lumOff val="35000"/>
                  </a:sysClr>
                </a:solidFill>
                <a:latin typeface="+mn-lt"/>
                <a:ea typeface="+mn-ea"/>
                <a:cs typeface="+mn-cs"/>
              </a:rPr>
              <a:t>商品住宅价格走势</a:t>
            </a:r>
          </a:p>
        </c:rich>
      </c:tx>
      <c:overlay val="0"/>
    </c:title>
    <c:autoTitleDeleted val="0"/>
    <c:plotArea>
      <c:layout/>
      <c:lineChart>
        <c:grouping val="standard"/>
        <c:varyColors val="0"/>
        <c:ser>
          <c:idx val="0"/>
          <c:order val="0"/>
          <c:tx>
            <c:strRef>
              <c:f>区域成交资料!$C$36</c:f>
              <c:strCache>
                <c:ptCount val="1"/>
                <c:pt idx="0">
                  <c:v>销售价格</c:v>
                </c:pt>
              </c:strCache>
            </c:strRef>
          </c:tx>
          <c:marker>
            <c:symbol val="none"/>
          </c:marker>
          <c:cat>
            <c:numRef>
              <c:f>区域成交资料!$B$37:$B$58</c:f>
              <c:numCache>
                <c:formatCode>yyyy"年"m"月";@</c:formatCode>
                <c:ptCount val="22"/>
                <c:pt idx="0">
                  <c:v>44105</c:v>
                </c:pt>
                <c:pt idx="1">
                  <c:v>44075</c:v>
                </c:pt>
                <c:pt idx="2">
                  <c:v>44044</c:v>
                </c:pt>
                <c:pt idx="3">
                  <c:v>44013</c:v>
                </c:pt>
                <c:pt idx="4">
                  <c:v>43983</c:v>
                </c:pt>
                <c:pt idx="5">
                  <c:v>43952</c:v>
                </c:pt>
                <c:pt idx="6">
                  <c:v>43922</c:v>
                </c:pt>
                <c:pt idx="7">
                  <c:v>43891</c:v>
                </c:pt>
                <c:pt idx="8">
                  <c:v>43862</c:v>
                </c:pt>
                <c:pt idx="9">
                  <c:v>43831</c:v>
                </c:pt>
                <c:pt idx="10">
                  <c:v>43800</c:v>
                </c:pt>
                <c:pt idx="11">
                  <c:v>43770</c:v>
                </c:pt>
                <c:pt idx="12">
                  <c:v>43739</c:v>
                </c:pt>
                <c:pt idx="13">
                  <c:v>43709</c:v>
                </c:pt>
                <c:pt idx="14">
                  <c:v>43678</c:v>
                </c:pt>
                <c:pt idx="15">
                  <c:v>43647</c:v>
                </c:pt>
                <c:pt idx="16">
                  <c:v>43617</c:v>
                </c:pt>
                <c:pt idx="17">
                  <c:v>43586</c:v>
                </c:pt>
                <c:pt idx="18">
                  <c:v>43556</c:v>
                </c:pt>
                <c:pt idx="19">
                  <c:v>43525</c:v>
                </c:pt>
                <c:pt idx="20">
                  <c:v>43497</c:v>
                </c:pt>
                <c:pt idx="21">
                  <c:v>43466</c:v>
                </c:pt>
              </c:numCache>
            </c:numRef>
          </c:cat>
          <c:val>
            <c:numRef>
              <c:f>区域成交资料!$C$37:$C$58</c:f>
              <c:numCache>
                <c:formatCode>#,##0</c:formatCode>
                <c:ptCount val="22"/>
                <c:pt idx="0">
                  <c:v>17611</c:v>
                </c:pt>
                <c:pt idx="1">
                  <c:v>17611</c:v>
                </c:pt>
                <c:pt idx="2">
                  <c:v>17350</c:v>
                </c:pt>
                <c:pt idx="3">
                  <c:v>17200</c:v>
                </c:pt>
                <c:pt idx="4">
                  <c:v>17200</c:v>
                </c:pt>
                <c:pt idx="5">
                  <c:v>17200</c:v>
                </c:pt>
                <c:pt idx="6">
                  <c:v>17400</c:v>
                </c:pt>
                <c:pt idx="7">
                  <c:v>17400</c:v>
                </c:pt>
                <c:pt idx="8">
                  <c:v>17600</c:v>
                </c:pt>
                <c:pt idx="9">
                  <c:v>17350</c:v>
                </c:pt>
                <c:pt idx="10">
                  <c:v>17056</c:v>
                </c:pt>
                <c:pt idx="11">
                  <c:v>17278</c:v>
                </c:pt>
                <c:pt idx="12">
                  <c:v>16714</c:v>
                </c:pt>
                <c:pt idx="13">
                  <c:v>16714</c:v>
                </c:pt>
                <c:pt idx="14">
                  <c:v>16500</c:v>
                </c:pt>
                <c:pt idx="15">
                  <c:v>16750</c:v>
                </c:pt>
                <c:pt idx="16">
                  <c:v>16750</c:v>
                </c:pt>
                <c:pt idx="17">
                  <c:v>17760</c:v>
                </c:pt>
                <c:pt idx="18">
                  <c:v>17966</c:v>
                </c:pt>
                <c:pt idx="19">
                  <c:v>17529</c:v>
                </c:pt>
                <c:pt idx="20">
                  <c:v>17529</c:v>
                </c:pt>
                <c:pt idx="21">
                  <c:v>17529</c:v>
                </c:pt>
              </c:numCache>
            </c:numRef>
          </c:val>
          <c:smooth val="0"/>
        </c:ser>
        <c:dLbls>
          <c:showLegendKey val="0"/>
          <c:showVal val="0"/>
          <c:showCatName val="0"/>
          <c:showSerName val="0"/>
          <c:showPercent val="0"/>
          <c:showBubbleSize val="0"/>
        </c:dLbls>
        <c:marker val="1"/>
        <c:smooth val="0"/>
        <c:axId val="480569600"/>
        <c:axId val="480571392"/>
      </c:lineChart>
      <c:dateAx>
        <c:axId val="480569600"/>
        <c:scaling>
          <c:orientation val="minMax"/>
        </c:scaling>
        <c:delete val="0"/>
        <c:axPos val="b"/>
        <c:numFmt formatCode="yyyy&quot;年&quot;m&quot;月&quot;;@" sourceLinked="1"/>
        <c:majorTickMark val="out"/>
        <c:minorTickMark val="none"/>
        <c:tickLblPos val="nextTo"/>
        <c:crossAx val="480571392"/>
        <c:crosses val="autoZero"/>
        <c:auto val="1"/>
        <c:lblOffset val="100"/>
        <c:baseTimeUnit val="months"/>
      </c:dateAx>
      <c:valAx>
        <c:axId val="480571392"/>
        <c:scaling>
          <c:orientation val="minMax"/>
        </c:scaling>
        <c:delete val="0"/>
        <c:axPos val="l"/>
        <c:majorGridlines/>
        <c:numFmt formatCode="#,##0" sourceLinked="1"/>
        <c:majorTickMark val="out"/>
        <c:minorTickMark val="none"/>
        <c:tickLblPos val="nextTo"/>
        <c:crossAx val="480569600"/>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2019</a:t>
            </a:r>
            <a:r>
              <a:rPr lang="zh-CN" altLang="zh-CN" sz="1200" b="1" i="0" u="none" strike="noStrike" baseline="0">
                <a:effectLst/>
              </a:rPr>
              <a:t>至</a:t>
            </a:r>
            <a:r>
              <a:rPr lang="en-US" altLang="zh-CN" sz="1200" b="1" i="0" u="none" strike="noStrike" baseline="0">
                <a:effectLst/>
              </a:rPr>
              <a:t>2020</a:t>
            </a:r>
            <a:r>
              <a:rPr lang="zh-CN" altLang="zh-CN" sz="1200" b="1" i="0" u="none" strike="noStrike" baseline="0">
                <a:effectLst/>
              </a:rPr>
              <a:t>年</a:t>
            </a:r>
            <a:r>
              <a:rPr lang="en-US" altLang="zh-CN" sz="1200" b="1" i="0" u="none" strike="noStrike" baseline="0">
                <a:effectLst/>
              </a:rPr>
              <a:t>10</a:t>
            </a:r>
            <a:r>
              <a:rPr lang="zh-CN" altLang="zh-CN" sz="1200" b="1" i="0" u="none" strike="noStrike" baseline="0">
                <a:effectLst/>
              </a:rPr>
              <a:t>月漳州市各行政区域</a:t>
            </a:r>
            <a:r>
              <a:rPr lang="zh-CN" altLang="en-US" sz="1200" b="1" i="0" u="none" strike="noStrike" baseline="0">
                <a:effectLst/>
              </a:rPr>
              <a:t>住宅</a:t>
            </a:r>
            <a:r>
              <a:rPr lang="zh-CN" altLang="zh-CN" sz="1200" b="1" i="0" baseline="0">
                <a:effectLst/>
              </a:rPr>
              <a:t>用地</a:t>
            </a:r>
            <a:r>
              <a:rPr lang="zh-CN" altLang="en-US" sz="1200" b="1" i="0" baseline="0">
                <a:effectLst/>
              </a:rPr>
              <a:t>供应成交分布情况</a:t>
            </a:r>
            <a:endParaRPr lang="zh-CN" altLang="zh-CN" sz="1200">
              <a:effectLst/>
            </a:endParaRPr>
          </a:p>
        </c:rich>
      </c:tx>
      <c:layout>
        <c:manualLayout>
          <c:xMode val="edge"/>
          <c:yMode val="edge"/>
          <c:x val="0.12320440621159946"/>
          <c:y val="3.1965115345859232E-2"/>
        </c:manualLayout>
      </c:layout>
      <c:overlay val="0"/>
      <c:spPr>
        <a:noFill/>
        <a:ln>
          <a:noFill/>
        </a:ln>
        <a:effectLst/>
      </c:spPr>
    </c:title>
    <c:autoTitleDeleted val="0"/>
    <c:plotArea>
      <c:layout/>
      <c:barChart>
        <c:barDir val="col"/>
        <c:grouping val="clustered"/>
        <c:varyColors val="0"/>
        <c:ser>
          <c:idx val="1"/>
          <c:order val="1"/>
          <c:tx>
            <c:strRef>
              <c:f>土地!$A$67</c:f>
              <c:strCache>
                <c:ptCount val="1"/>
                <c:pt idx="0">
                  <c:v>供应土地面积（万平方米）</c:v>
                </c:pt>
              </c:strCache>
            </c:strRef>
          </c:tx>
          <c:spPr>
            <a:solidFill>
              <a:schemeClr val="accent2"/>
            </a:solidFill>
            <a:ln>
              <a:noFill/>
            </a:ln>
            <a:effectLst/>
          </c:spPr>
          <c:invertIfNegative val="0"/>
          <c:cat>
            <c:strRef>
              <c:f>土地!$B$57:$L$57</c:f>
              <c:strCache>
                <c:ptCount val="11"/>
                <c:pt idx="0">
                  <c:v>芗城区</c:v>
                </c:pt>
                <c:pt idx="1">
                  <c:v>龙文区</c:v>
                </c:pt>
                <c:pt idx="2">
                  <c:v>龙海市</c:v>
                </c:pt>
                <c:pt idx="3">
                  <c:v>云霄县</c:v>
                </c:pt>
                <c:pt idx="4">
                  <c:v>漳浦县</c:v>
                </c:pt>
                <c:pt idx="5">
                  <c:v>诏安县</c:v>
                </c:pt>
                <c:pt idx="6">
                  <c:v>长泰县</c:v>
                </c:pt>
                <c:pt idx="7">
                  <c:v>东山县</c:v>
                </c:pt>
                <c:pt idx="8">
                  <c:v>南靖县</c:v>
                </c:pt>
                <c:pt idx="9">
                  <c:v>平和县</c:v>
                </c:pt>
                <c:pt idx="10">
                  <c:v>华安县</c:v>
                </c:pt>
              </c:strCache>
            </c:strRef>
          </c:cat>
          <c:val>
            <c:numRef>
              <c:f>土地!$B$67:$L$67</c:f>
              <c:numCache>
                <c:formatCode>General</c:formatCode>
                <c:ptCount val="11"/>
                <c:pt idx="0">
                  <c:v>73.849999999999994</c:v>
                </c:pt>
                <c:pt idx="1">
                  <c:v>47.23</c:v>
                </c:pt>
                <c:pt idx="2">
                  <c:v>102.2</c:v>
                </c:pt>
                <c:pt idx="3">
                  <c:v>64.510000000000005</c:v>
                </c:pt>
                <c:pt idx="4">
                  <c:v>104.84</c:v>
                </c:pt>
                <c:pt idx="5">
                  <c:v>32.479999999999997</c:v>
                </c:pt>
                <c:pt idx="6">
                  <c:v>57.57</c:v>
                </c:pt>
                <c:pt idx="7">
                  <c:v>52.89</c:v>
                </c:pt>
                <c:pt idx="8">
                  <c:v>48.59</c:v>
                </c:pt>
                <c:pt idx="9">
                  <c:v>2.52</c:v>
                </c:pt>
                <c:pt idx="10">
                  <c:v>1.63</c:v>
                </c:pt>
              </c:numCache>
            </c:numRef>
          </c:val>
          <c:extLst xmlns:c16r2="http://schemas.microsoft.com/office/drawing/2015/06/chart">
            <c:ext xmlns:c16="http://schemas.microsoft.com/office/drawing/2014/chart" uri="{C3380CC4-5D6E-409C-BE32-E72D297353CC}">
              <c16:uniqueId val="{00000005-96CF-4B56-994D-AA2914AD632A}"/>
            </c:ext>
          </c:extLst>
        </c:ser>
        <c:ser>
          <c:idx val="3"/>
          <c:order val="3"/>
          <c:tx>
            <c:strRef>
              <c:f>土地!$A$69</c:f>
              <c:strCache>
                <c:ptCount val="1"/>
                <c:pt idx="0">
                  <c:v>成交土地面积（万平方米）</c:v>
                </c:pt>
              </c:strCache>
            </c:strRef>
          </c:tx>
          <c:spPr>
            <a:solidFill>
              <a:schemeClr val="accent4"/>
            </a:solidFill>
            <a:ln>
              <a:noFill/>
            </a:ln>
            <a:effectLst/>
          </c:spPr>
          <c:invertIfNegative val="0"/>
          <c:cat>
            <c:strRef>
              <c:f>土地!$B$57:$L$57</c:f>
              <c:strCache>
                <c:ptCount val="11"/>
                <c:pt idx="0">
                  <c:v>芗城区</c:v>
                </c:pt>
                <c:pt idx="1">
                  <c:v>龙文区</c:v>
                </c:pt>
                <c:pt idx="2">
                  <c:v>龙海市</c:v>
                </c:pt>
                <c:pt idx="3">
                  <c:v>云霄县</c:v>
                </c:pt>
                <c:pt idx="4">
                  <c:v>漳浦县</c:v>
                </c:pt>
                <c:pt idx="5">
                  <c:v>诏安县</c:v>
                </c:pt>
                <c:pt idx="6">
                  <c:v>长泰县</c:v>
                </c:pt>
                <c:pt idx="7">
                  <c:v>东山县</c:v>
                </c:pt>
                <c:pt idx="8">
                  <c:v>南靖县</c:v>
                </c:pt>
                <c:pt idx="9">
                  <c:v>平和县</c:v>
                </c:pt>
                <c:pt idx="10">
                  <c:v>华安县</c:v>
                </c:pt>
              </c:strCache>
            </c:strRef>
          </c:cat>
          <c:val>
            <c:numRef>
              <c:f>土地!$B$69:$L$69</c:f>
              <c:numCache>
                <c:formatCode>General</c:formatCode>
                <c:ptCount val="11"/>
                <c:pt idx="0">
                  <c:v>52.93</c:v>
                </c:pt>
                <c:pt idx="1">
                  <c:v>46.12</c:v>
                </c:pt>
                <c:pt idx="2">
                  <c:v>77</c:v>
                </c:pt>
                <c:pt idx="3">
                  <c:v>46.73</c:v>
                </c:pt>
                <c:pt idx="4">
                  <c:v>69.099999999999994</c:v>
                </c:pt>
                <c:pt idx="5">
                  <c:v>20.49</c:v>
                </c:pt>
                <c:pt idx="6">
                  <c:v>39.03</c:v>
                </c:pt>
                <c:pt idx="7">
                  <c:v>43.07</c:v>
                </c:pt>
                <c:pt idx="8">
                  <c:v>42.66</c:v>
                </c:pt>
                <c:pt idx="9">
                  <c:v>2.52</c:v>
                </c:pt>
                <c:pt idx="10">
                  <c:v>1.63</c:v>
                </c:pt>
              </c:numCache>
            </c:numRef>
          </c:val>
          <c:extLst xmlns:c16r2="http://schemas.microsoft.com/office/drawing/2015/06/chart">
            <c:ext xmlns:c16="http://schemas.microsoft.com/office/drawing/2014/chart" uri="{C3380CC4-5D6E-409C-BE32-E72D297353CC}">
              <c16:uniqueId val="{00000007-96CF-4B56-994D-AA2914AD632A}"/>
            </c:ext>
          </c:extLst>
        </c:ser>
        <c:dLbls>
          <c:showLegendKey val="0"/>
          <c:showVal val="0"/>
          <c:showCatName val="0"/>
          <c:showSerName val="0"/>
          <c:showPercent val="0"/>
          <c:showBubbleSize val="0"/>
        </c:dLbls>
        <c:gapWidth val="219"/>
        <c:axId val="252716928"/>
        <c:axId val="366919680"/>
      </c:barChart>
      <c:lineChart>
        <c:grouping val="standard"/>
        <c:varyColors val="0"/>
        <c:ser>
          <c:idx val="0"/>
          <c:order val="0"/>
          <c:tx>
            <c:strRef>
              <c:f>土地!$A$66</c:f>
              <c:strCache>
                <c:ptCount val="1"/>
                <c:pt idx="0">
                  <c:v>供应宗地数（宗）</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土地!$B$57:$L$57</c:f>
              <c:strCache>
                <c:ptCount val="11"/>
                <c:pt idx="0">
                  <c:v>芗城区</c:v>
                </c:pt>
                <c:pt idx="1">
                  <c:v>龙文区</c:v>
                </c:pt>
                <c:pt idx="2">
                  <c:v>龙海市</c:v>
                </c:pt>
                <c:pt idx="3">
                  <c:v>云霄县</c:v>
                </c:pt>
                <c:pt idx="4">
                  <c:v>漳浦县</c:v>
                </c:pt>
                <c:pt idx="5">
                  <c:v>诏安县</c:v>
                </c:pt>
                <c:pt idx="6">
                  <c:v>长泰县</c:v>
                </c:pt>
                <c:pt idx="7">
                  <c:v>东山县</c:v>
                </c:pt>
                <c:pt idx="8">
                  <c:v>南靖县</c:v>
                </c:pt>
                <c:pt idx="9">
                  <c:v>平和县</c:v>
                </c:pt>
                <c:pt idx="10">
                  <c:v>华安县</c:v>
                </c:pt>
              </c:strCache>
            </c:strRef>
          </c:cat>
          <c:val>
            <c:numRef>
              <c:f>土地!$B$66:$L$66</c:f>
              <c:numCache>
                <c:formatCode>General</c:formatCode>
                <c:ptCount val="11"/>
                <c:pt idx="0">
                  <c:v>17</c:v>
                </c:pt>
                <c:pt idx="1">
                  <c:v>10</c:v>
                </c:pt>
                <c:pt idx="2">
                  <c:v>27</c:v>
                </c:pt>
                <c:pt idx="3">
                  <c:v>27</c:v>
                </c:pt>
                <c:pt idx="4">
                  <c:v>26</c:v>
                </c:pt>
                <c:pt idx="5">
                  <c:v>9</c:v>
                </c:pt>
                <c:pt idx="6">
                  <c:v>17</c:v>
                </c:pt>
                <c:pt idx="7">
                  <c:v>14</c:v>
                </c:pt>
                <c:pt idx="8">
                  <c:v>12</c:v>
                </c:pt>
                <c:pt idx="9">
                  <c:v>2</c:v>
                </c:pt>
                <c:pt idx="10">
                  <c:v>2</c:v>
                </c:pt>
              </c:numCache>
            </c:numRef>
          </c:val>
          <c:smooth val="0"/>
          <c:extLst xmlns:c16r2="http://schemas.microsoft.com/office/drawing/2015/06/chart">
            <c:ext xmlns:c16="http://schemas.microsoft.com/office/drawing/2014/chart" uri="{C3380CC4-5D6E-409C-BE32-E72D297353CC}">
              <c16:uniqueId val="{00000000-96CF-4B56-994D-AA2914AD632A}"/>
            </c:ext>
          </c:extLst>
        </c:ser>
        <c:ser>
          <c:idx val="2"/>
          <c:order val="2"/>
          <c:tx>
            <c:strRef>
              <c:f>土地!$A$68</c:f>
              <c:strCache>
                <c:ptCount val="1"/>
                <c:pt idx="0">
                  <c:v>成交宗地数（宗）</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土地!$B$57:$L$57</c:f>
              <c:strCache>
                <c:ptCount val="11"/>
                <c:pt idx="0">
                  <c:v>芗城区</c:v>
                </c:pt>
                <c:pt idx="1">
                  <c:v>龙文区</c:v>
                </c:pt>
                <c:pt idx="2">
                  <c:v>龙海市</c:v>
                </c:pt>
                <c:pt idx="3">
                  <c:v>云霄县</c:v>
                </c:pt>
                <c:pt idx="4">
                  <c:v>漳浦县</c:v>
                </c:pt>
                <c:pt idx="5">
                  <c:v>诏安县</c:v>
                </c:pt>
                <c:pt idx="6">
                  <c:v>长泰县</c:v>
                </c:pt>
                <c:pt idx="7">
                  <c:v>东山县</c:v>
                </c:pt>
                <c:pt idx="8">
                  <c:v>南靖县</c:v>
                </c:pt>
                <c:pt idx="9">
                  <c:v>平和县</c:v>
                </c:pt>
                <c:pt idx="10">
                  <c:v>华安县</c:v>
                </c:pt>
              </c:strCache>
            </c:strRef>
          </c:cat>
          <c:val>
            <c:numRef>
              <c:f>土地!$B$68:$L$68</c:f>
              <c:numCache>
                <c:formatCode>General</c:formatCode>
                <c:ptCount val="11"/>
                <c:pt idx="0">
                  <c:v>13</c:v>
                </c:pt>
                <c:pt idx="1">
                  <c:v>9</c:v>
                </c:pt>
                <c:pt idx="2">
                  <c:v>22</c:v>
                </c:pt>
                <c:pt idx="3">
                  <c:v>23</c:v>
                </c:pt>
                <c:pt idx="4">
                  <c:v>18</c:v>
                </c:pt>
                <c:pt idx="5">
                  <c:v>6</c:v>
                </c:pt>
                <c:pt idx="6">
                  <c:v>11</c:v>
                </c:pt>
                <c:pt idx="7">
                  <c:v>11</c:v>
                </c:pt>
                <c:pt idx="8">
                  <c:v>11</c:v>
                </c:pt>
                <c:pt idx="9">
                  <c:v>2</c:v>
                </c:pt>
                <c:pt idx="10">
                  <c:v>2</c:v>
                </c:pt>
              </c:numCache>
            </c:numRef>
          </c:val>
          <c:smooth val="0"/>
          <c:extLst xmlns:c16r2="http://schemas.microsoft.com/office/drawing/2015/06/chart">
            <c:ext xmlns:c16="http://schemas.microsoft.com/office/drawing/2014/chart" uri="{C3380CC4-5D6E-409C-BE32-E72D297353CC}">
              <c16:uniqueId val="{00000006-96CF-4B56-994D-AA2914AD632A}"/>
            </c:ext>
          </c:extLst>
        </c:ser>
        <c:dLbls>
          <c:showLegendKey val="0"/>
          <c:showVal val="0"/>
          <c:showCatName val="0"/>
          <c:showSerName val="0"/>
          <c:showPercent val="0"/>
          <c:showBubbleSize val="0"/>
        </c:dLbls>
        <c:marker val="1"/>
        <c:smooth val="0"/>
        <c:axId val="366922752"/>
        <c:axId val="366921216"/>
      </c:lineChart>
      <c:catAx>
        <c:axId val="25271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66919680"/>
        <c:crosses val="autoZero"/>
        <c:auto val="1"/>
        <c:lblAlgn val="ctr"/>
        <c:lblOffset val="100"/>
        <c:noMultiLvlLbl val="0"/>
      </c:catAx>
      <c:valAx>
        <c:axId val="366919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52716928"/>
        <c:crosses val="autoZero"/>
        <c:crossBetween val="between"/>
      </c:valAx>
      <c:valAx>
        <c:axId val="36692121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66922752"/>
        <c:crosses val="max"/>
        <c:crossBetween val="between"/>
      </c:valAx>
      <c:catAx>
        <c:axId val="366922752"/>
        <c:scaling>
          <c:orientation val="minMax"/>
        </c:scaling>
        <c:delete val="1"/>
        <c:axPos val="b"/>
        <c:numFmt formatCode="General" sourceLinked="1"/>
        <c:majorTickMark val="out"/>
        <c:minorTickMark val="none"/>
        <c:tickLblPos val="nextTo"/>
        <c:crossAx val="3669212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2017</a:t>
            </a:r>
            <a:r>
              <a:rPr lang="zh-CN" altLang="zh-CN" sz="1200" b="1" i="0" u="none" strike="noStrike" baseline="0">
                <a:effectLst/>
              </a:rPr>
              <a:t>至</a:t>
            </a:r>
            <a:r>
              <a:rPr lang="en-US" altLang="zh-CN" sz="1200" b="1" i="0" u="none" strike="noStrike" baseline="0">
                <a:effectLst/>
              </a:rPr>
              <a:t>2020</a:t>
            </a:r>
            <a:r>
              <a:rPr lang="zh-CN" altLang="zh-CN" sz="1200" b="1" i="0" u="none" strike="noStrike" baseline="0">
                <a:effectLst/>
              </a:rPr>
              <a:t>年</a:t>
            </a:r>
            <a:r>
              <a:rPr lang="en-US" altLang="zh-CN" sz="1200" b="1" i="0" u="none" strike="noStrike" baseline="0">
                <a:effectLst/>
              </a:rPr>
              <a:t>10</a:t>
            </a:r>
            <a:r>
              <a:rPr lang="zh-CN" altLang="zh-CN" sz="1200" b="1" i="0" u="none" strike="noStrike" baseline="0">
                <a:effectLst/>
              </a:rPr>
              <a:t>月漳州市</a:t>
            </a:r>
            <a:r>
              <a:rPr lang="zh-CN" altLang="en-US" sz="1200" b="1" i="0" baseline="0">
                <a:effectLst/>
              </a:rPr>
              <a:t>住宅</a:t>
            </a:r>
            <a:r>
              <a:rPr lang="zh-CN" altLang="zh-CN" sz="1200" b="1" i="0" baseline="0">
                <a:effectLst/>
              </a:rPr>
              <a:t>用地土地</a:t>
            </a:r>
            <a:r>
              <a:rPr lang="zh-CN" altLang="en-US" sz="1200" b="1" i="0" baseline="0">
                <a:effectLst/>
              </a:rPr>
              <a:t>成交价格及溢价</a:t>
            </a:r>
            <a:r>
              <a:rPr lang="zh-CN" altLang="zh-CN" sz="1200" b="1" i="0" baseline="0">
                <a:effectLst/>
              </a:rPr>
              <a:t>情况</a:t>
            </a:r>
            <a:endParaRPr lang="zh-CN" altLang="zh-CN" sz="1200">
              <a:effectLst/>
            </a:endParaRPr>
          </a:p>
        </c:rich>
      </c:tx>
      <c:overlay val="0"/>
      <c:spPr>
        <a:noFill/>
        <a:ln>
          <a:noFill/>
        </a:ln>
        <a:effectLst/>
      </c:spPr>
    </c:title>
    <c:autoTitleDeleted val="0"/>
    <c:plotArea>
      <c:layout/>
      <c:barChart>
        <c:barDir val="col"/>
        <c:grouping val="clustered"/>
        <c:varyColors val="0"/>
        <c:ser>
          <c:idx val="0"/>
          <c:order val="0"/>
          <c:tx>
            <c:strRef>
              <c:f>土地!$A$89</c:f>
              <c:strCache>
                <c:ptCount val="1"/>
                <c:pt idx="0">
                  <c:v>成交楼面单价（元/平方米）</c:v>
                </c:pt>
              </c:strCache>
            </c:strRef>
          </c:tx>
          <c:spPr>
            <a:solidFill>
              <a:schemeClr val="accent1"/>
            </a:solidFill>
            <a:ln>
              <a:noFill/>
            </a:ln>
            <a:effectLst/>
          </c:spPr>
          <c:invertIfNegative val="0"/>
          <c:cat>
            <c:strRef>
              <c:f>土地!$B$88:$E$88</c:f>
              <c:strCache>
                <c:ptCount val="4"/>
                <c:pt idx="0">
                  <c:v>2017</c:v>
                </c:pt>
                <c:pt idx="1">
                  <c:v>2018</c:v>
                </c:pt>
                <c:pt idx="2">
                  <c:v>2019</c:v>
                </c:pt>
                <c:pt idx="3">
                  <c:v>2020年1-10月</c:v>
                </c:pt>
              </c:strCache>
            </c:strRef>
          </c:cat>
          <c:val>
            <c:numRef>
              <c:f>土地!$B$89:$E$89</c:f>
              <c:numCache>
                <c:formatCode>General</c:formatCode>
                <c:ptCount val="4"/>
                <c:pt idx="0">
                  <c:v>12240.04</c:v>
                </c:pt>
                <c:pt idx="1">
                  <c:v>7737.37</c:v>
                </c:pt>
                <c:pt idx="2">
                  <c:v>8621.7800000000007</c:v>
                </c:pt>
                <c:pt idx="3">
                  <c:v>7314.14</c:v>
                </c:pt>
              </c:numCache>
            </c:numRef>
          </c:val>
          <c:extLst xmlns:c16r2="http://schemas.microsoft.com/office/drawing/2015/06/chart">
            <c:ext xmlns:c16="http://schemas.microsoft.com/office/drawing/2014/chart" uri="{C3380CC4-5D6E-409C-BE32-E72D297353CC}">
              <c16:uniqueId val="{00000000-7905-45CD-BD51-C6E4FFD6D085}"/>
            </c:ext>
          </c:extLst>
        </c:ser>
        <c:dLbls>
          <c:showLegendKey val="0"/>
          <c:showVal val="0"/>
          <c:showCatName val="0"/>
          <c:showSerName val="0"/>
          <c:showPercent val="0"/>
          <c:showBubbleSize val="0"/>
        </c:dLbls>
        <c:gapWidth val="219"/>
        <c:axId val="376473472"/>
        <c:axId val="376483840"/>
      </c:barChart>
      <c:lineChart>
        <c:grouping val="standard"/>
        <c:varyColors val="0"/>
        <c:ser>
          <c:idx val="1"/>
          <c:order val="1"/>
          <c:tx>
            <c:strRef>
              <c:f>土地!$A$90</c:f>
              <c:strCache>
                <c:ptCount val="1"/>
                <c:pt idx="0">
                  <c:v>平均溢价率</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土地!$B$88:$E$88</c:f>
              <c:strCache>
                <c:ptCount val="4"/>
                <c:pt idx="0">
                  <c:v>2017</c:v>
                </c:pt>
                <c:pt idx="1">
                  <c:v>2018</c:v>
                </c:pt>
                <c:pt idx="2">
                  <c:v>2019</c:v>
                </c:pt>
                <c:pt idx="3">
                  <c:v>2020年1-10月</c:v>
                </c:pt>
              </c:strCache>
            </c:strRef>
          </c:cat>
          <c:val>
            <c:numRef>
              <c:f>土地!$B$90:$E$90</c:f>
              <c:numCache>
                <c:formatCode>0.00%</c:formatCode>
                <c:ptCount val="4"/>
                <c:pt idx="0">
                  <c:v>0.62280000000000002</c:v>
                </c:pt>
                <c:pt idx="1">
                  <c:v>0.159</c:v>
                </c:pt>
                <c:pt idx="2">
                  <c:v>0.3085</c:v>
                </c:pt>
                <c:pt idx="3">
                  <c:v>0.1641</c:v>
                </c:pt>
              </c:numCache>
            </c:numRef>
          </c:val>
          <c:smooth val="0"/>
          <c:extLst xmlns:c16r2="http://schemas.microsoft.com/office/drawing/2015/06/chart">
            <c:ext xmlns:c16="http://schemas.microsoft.com/office/drawing/2014/chart" uri="{C3380CC4-5D6E-409C-BE32-E72D297353CC}">
              <c16:uniqueId val="{00000001-7905-45CD-BD51-C6E4FFD6D085}"/>
            </c:ext>
          </c:extLst>
        </c:ser>
        <c:dLbls>
          <c:showLegendKey val="0"/>
          <c:showVal val="0"/>
          <c:showCatName val="0"/>
          <c:showSerName val="0"/>
          <c:showPercent val="0"/>
          <c:showBubbleSize val="0"/>
        </c:dLbls>
        <c:marker val="1"/>
        <c:smooth val="0"/>
        <c:axId val="376486912"/>
        <c:axId val="376485376"/>
      </c:lineChart>
      <c:catAx>
        <c:axId val="37647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76483840"/>
        <c:crosses val="autoZero"/>
        <c:auto val="1"/>
        <c:lblAlgn val="ctr"/>
        <c:lblOffset val="100"/>
        <c:noMultiLvlLbl val="0"/>
      </c:catAx>
      <c:valAx>
        <c:axId val="376483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76473472"/>
        <c:crosses val="autoZero"/>
        <c:crossBetween val="between"/>
      </c:valAx>
      <c:valAx>
        <c:axId val="376485376"/>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76486912"/>
        <c:crosses val="max"/>
        <c:crossBetween val="between"/>
      </c:valAx>
      <c:catAx>
        <c:axId val="376486912"/>
        <c:scaling>
          <c:orientation val="minMax"/>
        </c:scaling>
        <c:delete val="1"/>
        <c:axPos val="b"/>
        <c:numFmt formatCode="General" sourceLinked="1"/>
        <c:majorTickMark val="out"/>
        <c:minorTickMark val="none"/>
        <c:tickLblPos val="nextTo"/>
        <c:crossAx val="37648537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1" i="0" baseline="0">
                <a:effectLst/>
              </a:rPr>
              <a:t>2020</a:t>
            </a:r>
            <a:r>
              <a:rPr lang="zh-CN" altLang="en-US" sz="1400" b="1" i="0" baseline="0">
                <a:effectLst/>
              </a:rPr>
              <a:t>年</a:t>
            </a:r>
            <a:r>
              <a:rPr lang="en-US" altLang="zh-CN" sz="1400" b="1" i="0" baseline="0">
                <a:effectLst/>
              </a:rPr>
              <a:t>1-10</a:t>
            </a:r>
            <a:r>
              <a:rPr lang="zh-CN" altLang="en-US" sz="1400" b="1" i="0" baseline="0">
                <a:effectLst/>
              </a:rPr>
              <a:t>月漳州市</a:t>
            </a:r>
            <a:r>
              <a:rPr lang="zh-CN" altLang="zh-CN" sz="1400" b="1" i="0" baseline="0">
                <a:effectLst/>
              </a:rPr>
              <a:t>涉宅用地土地</a:t>
            </a:r>
            <a:r>
              <a:rPr lang="zh-CN" altLang="en-US" sz="1400" b="1" i="0" baseline="0">
                <a:effectLst/>
              </a:rPr>
              <a:t>成交价格走势</a:t>
            </a:r>
            <a:endParaRPr lang="zh-CN" altLang="zh-CN" sz="1400">
              <a:effectLst/>
            </a:endParaRPr>
          </a:p>
        </c:rich>
      </c:tx>
      <c:overlay val="0"/>
      <c:spPr>
        <a:noFill/>
        <a:ln>
          <a:noFill/>
        </a:ln>
        <a:effectLst/>
      </c:spPr>
    </c:title>
    <c:autoTitleDeleted val="0"/>
    <c:plotArea>
      <c:layout/>
      <c:barChart>
        <c:barDir val="col"/>
        <c:grouping val="clustered"/>
        <c:varyColors val="0"/>
        <c:ser>
          <c:idx val="0"/>
          <c:order val="0"/>
          <c:tx>
            <c:strRef>
              <c:f>土地!$C$216</c:f>
              <c:strCache>
                <c:ptCount val="1"/>
                <c:pt idx="0">
                  <c:v>成交土地面积（万平方米）</c:v>
                </c:pt>
              </c:strCache>
            </c:strRef>
          </c:tx>
          <c:spPr>
            <a:solidFill>
              <a:schemeClr val="accent1"/>
            </a:solidFill>
            <a:ln>
              <a:noFill/>
            </a:ln>
            <a:effectLst/>
          </c:spPr>
          <c:invertIfNegative val="0"/>
          <c:cat>
            <c:strRef>
              <c:f>土地!$B$217:$B$226</c:f>
              <c:strCache>
                <c:ptCount val="10"/>
                <c:pt idx="0">
                  <c:v>2020年01月</c:v>
                </c:pt>
                <c:pt idx="1">
                  <c:v>2020年02月</c:v>
                </c:pt>
                <c:pt idx="2">
                  <c:v>2020年03月</c:v>
                </c:pt>
                <c:pt idx="3">
                  <c:v>2020年04月</c:v>
                </c:pt>
                <c:pt idx="4">
                  <c:v>2020年05月</c:v>
                </c:pt>
                <c:pt idx="5">
                  <c:v>2020年06月</c:v>
                </c:pt>
                <c:pt idx="6">
                  <c:v>2020年07月</c:v>
                </c:pt>
                <c:pt idx="7">
                  <c:v>2020年08月</c:v>
                </c:pt>
                <c:pt idx="8">
                  <c:v>2020年09月</c:v>
                </c:pt>
                <c:pt idx="9">
                  <c:v>2020年10月</c:v>
                </c:pt>
              </c:strCache>
            </c:strRef>
          </c:cat>
          <c:val>
            <c:numRef>
              <c:f>土地!$C$217:$C$226</c:f>
              <c:numCache>
                <c:formatCode>General</c:formatCode>
                <c:ptCount val="10"/>
                <c:pt idx="0">
                  <c:v>40.479999999999997</c:v>
                </c:pt>
                <c:pt idx="1">
                  <c:v>46.43</c:v>
                </c:pt>
                <c:pt idx="2">
                  <c:v>51.99</c:v>
                </c:pt>
                <c:pt idx="3">
                  <c:v>39.17</c:v>
                </c:pt>
                <c:pt idx="4">
                  <c:v>88.72</c:v>
                </c:pt>
                <c:pt idx="5">
                  <c:v>137.47999999999999</c:v>
                </c:pt>
                <c:pt idx="6">
                  <c:v>183.44</c:v>
                </c:pt>
                <c:pt idx="7">
                  <c:v>116.35</c:v>
                </c:pt>
                <c:pt idx="8">
                  <c:v>74.459999999999994</c:v>
                </c:pt>
                <c:pt idx="9">
                  <c:v>254.85</c:v>
                </c:pt>
              </c:numCache>
            </c:numRef>
          </c:val>
          <c:extLst xmlns:c16r2="http://schemas.microsoft.com/office/drawing/2015/06/chart">
            <c:ext xmlns:c16="http://schemas.microsoft.com/office/drawing/2014/chart" uri="{C3380CC4-5D6E-409C-BE32-E72D297353CC}">
              <c16:uniqueId val="{00000000-9070-48F5-A717-2C382CB7F930}"/>
            </c:ext>
          </c:extLst>
        </c:ser>
        <c:dLbls>
          <c:showLegendKey val="0"/>
          <c:showVal val="0"/>
          <c:showCatName val="0"/>
          <c:showSerName val="0"/>
          <c:showPercent val="0"/>
          <c:showBubbleSize val="0"/>
        </c:dLbls>
        <c:gapWidth val="219"/>
        <c:axId val="376498048"/>
        <c:axId val="377032704"/>
      </c:barChart>
      <c:lineChart>
        <c:grouping val="standard"/>
        <c:varyColors val="0"/>
        <c:ser>
          <c:idx val="1"/>
          <c:order val="1"/>
          <c:tx>
            <c:strRef>
              <c:f>土地!$D$216</c:f>
              <c:strCache>
                <c:ptCount val="1"/>
                <c:pt idx="0">
                  <c:v>成交楼面均价(元/㎡)</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土地!$B$217:$B$226</c:f>
              <c:strCache>
                <c:ptCount val="10"/>
                <c:pt idx="0">
                  <c:v>2020年01月</c:v>
                </c:pt>
                <c:pt idx="1">
                  <c:v>2020年02月</c:v>
                </c:pt>
                <c:pt idx="2">
                  <c:v>2020年03月</c:v>
                </c:pt>
                <c:pt idx="3">
                  <c:v>2020年04月</c:v>
                </c:pt>
                <c:pt idx="4">
                  <c:v>2020年05月</c:v>
                </c:pt>
                <c:pt idx="5">
                  <c:v>2020年06月</c:v>
                </c:pt>
                <c:pt idx="6">
                  <c:v>2020年07月</c:v>
                </c:pt>
                <c:pt idx="7">
                  <c:v>2020年08月</c:v>
                </c:pt>
                <c:pt idx="8">
                  <c:v>2020年09月</c:v>
                </c:pt>
                <c:pt idx="9">
                  <c:v>2020年10月</c:v>
                </c:pt>
              </c:strCache>
            </c:strRef>
          </c:cat>
          <c:val>
            <c:numRef>
              <c:f>土地!$D$217:$D$226</c:f>
              <c:numCache>
                <c:formatCode>General</c:formatCode>
                <c:ptCount val="10"/>
                <c:pt idx="0">
                  <c:v>394.63</c:v>
                </c:pt>
                <c:pt idx="1">
                  <c:v>1361.87</c:v>
                </c:pt>
                <c:pt idx="2">
                  <c:v>1698.08</c:v>
                </c:pt>
                <c:pt idx="3">
                  <c:v>790.22</c:v>
                </c:pt>
                <c:pt idx="4">
                  <c:v>1308.23</c:v>
                </c:pt>
                <c:pt idx="5">
                  <c:v>1511.91</c:v>
                </c:pt>
                <c:pt idx="6">
                  <c:v>631.51</c:v>
                </c:pt>
                <c:pt idx="7">
                  <c:v>634.91999999999996</c:v>
                </c:pt>
                <c:pt idx="8">
                  <c:v>1237.05</c:v>
                </c:pt>
                <c:pt idx="9">
                  <c:v>333.38</c:v>
                </c:pt>
              </c:numCache>
            </c:numRef>
          </c:val>
          <c:smooth val="0"/>
          <c:extLst xmlns:c16r2="http://schemas.microsoft.com/office/drawing/2015/06/chart">
            <c:ext xmlns:c16="http://schemas.microsoft.com/office/drawing/2014/chart" uri="{C3380CC4-5D6E-409C-BE32-E72D297353CC}">
              <c16:uniqueId val="{00000001-9070-48F5-A717-2C382CB7F930}"/>
            </c:ext>
          </c:extLst>
        </c:ser>
        <c:dLbls>
          <c:showLegendKey val="0"/>
          <c:showVal val="0"/>
          <c:showCatName val="0"/>
          <c:showSerName val="0"/>
          <c:showPercent val="0"/>
          <c:showBubbleSize val="0"/>
        </c:dLbls>
        <c:marker val="1"/>
        <c:smooth val="0"/>
        <c:axId val="377035776"/>
        <c:axId val="377034240"/>
      </c:lineChart>
      <c:catAx>
        <c:axId val="37649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77032704"/>
        <c:crosses val="autoZero"/>
        <c:auto val="1"/>
        <c:lblAlgn val="ctr"/>
        <c:lblOffset val="100"/>
        <c:noMultiLvlLbl val="0"/>
      </c:catAx>
      <c:valAx>
        <c:axId val="377032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76498048"/>
        <c:crosses val="autoZero"/>
        <c:crossBetween val="between"/>
      </c:valAx>
      <c:valAx>
        <c:axId val="37703424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77035776"/>
        <c:crosses val="max"/>
        <c:crossBetween val="between"/>
      </c:valAx>
      <c:catAx>
        <c:axId val="377035776"/>
        <c:scaling>
          <c:orientation val="minMax"/>
        </c:scaling>
        <c:delete val="1"/>
        <c:axPos val="b"/>
        <c:numFmt formatCode="General" sourceLinked="1"/>
        <c:majorTickMark val="out"/>
        <c:minorTickMark val="none"/>
        <c:tickLblPos val="nextTo"/>
        <c:crossAx val="3770342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2019</a:t>
            </a:r>
            <a:r>
              <a:rPr lang="zh-CN" altLang="zh-CN" sz="1200" b="1" i="0" u="none" strike="noStrike" baseline="0">
                <a:effectLst/>
              </a:rPr>
              <a:t>至</a:t>
            </a:r>
            <a:r>
              <a:rPr lang="en-US" altLang="zh-CN" sz="1200" b="1" i="0" u="none" strike="noStrike" baseline="0">
                <a:effectLst/>
              </a:rPr>
              <a:t>2020</a:t>
            </a:r>
            <a:r>
              <a:rPr lang="zh-CN" altLang="zh-CN" sz="1200" b="1" i="0" u="none" strike="noStrike" baseline="0">
                <a:effectLst/>
              </a:rPr>
              <a:t>年</a:t>
            </a:r>
            <a:r>
              <a:rPr lang="en-US" altLang="zh-CN" sz="1200" b="1" i="0" u="none" strike="noStrike" baseline="0">
                <a:effectLst/>
              </a:rPr>
              <a:t>10</a:t>
            </a:r>
            <a:r>
              <a:rPr lang="zh-CN" altLang="zh-CN" sz="1200" b="1" i="0" u="none" strike="noStrike" baseline="0">
                <a:effectLst/>
              </a:rPr>
              <a:t>月漳州市各行政区域</a:t>
            </a:r>
            <a:r>
              <a:rPr lang="zh-CN" altLang="en-US" sz="1200" b="1" i="0" u="none" strike="noStrike" baseline="0">
                <a:effectLst/>
              </a:rPr>
              <a:t>住宅</a:t>
            </a:r>
            <a:r>
              <a:rPr lang="zh-CN" altLang="zh-CN" sz="1200" b="1" i="0" baseline="0">
                <a:effectLst/>
              </a:rPr>
              <a:t>用地</a:t>
            </a:r>
            <a:r>
              <a:rPr lang="zh-CN" altLang="en-US" sz="1200" b="1" i="0" baseline="0">
                <a:effectLst/>
              </a:rPr>
              <a:t>成交分布情况</a:t>
            </a:r>
            <a:endParaRPr lang="zh-CN" altLang="zh-CN" sz="1200">
              <a:effectLst/>
            </a:endParaRPr>
          </a:p>
        </c:rich>
      </c:tx>
      <c:overlay val="0"/>
      <c:spPr>
        <a:noFill/>
        <a:ln>
          <a:noFill/>
        </a:ln>
        <a:effectLst/>
      </c:spPr>
    </c:title>
    <c:autoTitleDeleted val="0"/>
    <c:plotArea>
      <c:layout/>
      <c:barChart>
        <c:barDir val="col"/>
        <c:grouping val="clustered"/>
        <c:varyColors val="0"/>
        <c:ser>
          <c:idx val="0"/>
          <c:order val="0"/>
          <c:tx>
            <c:strRef>
              <c:f>土地!$A$111</c:f>
              <c:strCache>
                <c:ptCount val="1"/>
                <c:pt idx="0">
                  <c:v>成交土地面积（万平方米）</c:v>
                </c:pt>
              </c:strCache>
            </c:strRef>
          </c:tx>
          <c:spPr>
            <a:solidFill>
              <a:schemeClr val="accent1"/>
            </a:solidFill>
            <a:ln>
              <a:noFill/>
            </a:ln>
            <a:effectLst/>
          </c:spPr>
          <c:invertIfNegative val="0"/>
          <c:cat>
            <c:strRef>
              <c:f>土地!$B$110:$L$110</c:f>
              <c:strCache>
                <c:ptCount val="11"/>
                <c:pt idx="0">
                  <c:v>芗城区</c:v>
                </c:pt>
                <c:pt idx="1">
                  <c:v>龙文区</c:v>
                </c:pt>
                <c:pt idx="2">
                  <c:v>龙海市</c:v>
                </c:pt>
                <c:pt idx="3">
                  <c:v>云霄县</c:v>
                </c:pt>
                <c:pt idx="4">
                  <c:v>漳浦县</c:v>
                </c:pt>
                <c:pt idx="5">
                  <c:v>诏安县</c:v>
                </c:pt>
                <c:pt idx="6">
                  <c:v>长泰县</c:v>
                </c:pt>
                <c:pt idx="7">
                  <c:v>东山县</c:v>
                </c:pt>
                <c:pt idx="8">
                  <c:v>南靖县</c:v>
                </c:pt>
                <c:pt idx="9">
                  <c:v>平和县</c:v>
                </c:pt>
                <c:pt idx="10">
                  <c:v>华安县</c:v>
                </c:pt>
              </c:strCache>
            </c:strRef>
          </c:cat>
          <c:val>
            <c:numRef>
              <c:f>土地!$B$111:$L$111</c:f>
              <c:numCache>
                <c:formatCode>General</c:formatCode>
                <c:ptCount val="11"/>
                <c:pt idx="0">
                  <c:v>52.93</c:v>
                </c:pt>
                <c:pt idx="1">
                  <c:v>46.12</c:v>
                </c:pt>
                <c:pt idx="2">
                  <c:v>77</c:v>
                </c:pt>
                <c:pt idx="3">
                  <c:v>46.73</c:v>
                </c:pt>
                <c:pt idx="4">
                  <c:v>69.099999999999994</c:v>
                </c:pt>
                <c:pt idx="5">
                  <c:v>20.49</c:v>
                </c:pt>
                <c:pt idx="6">
                  <c:v>39.03</c:v>
                </c:pt>
                <c:pt idx="7">
                  <c:v>43.07</c:v>
                </c:pt>
                <c:pt idx="8">
                  <c:v>42.66</c:v>
                </c:pt>
                <c:pt idx="9">
                  <c:v>2.52</c:v>
                </c:pt>
                <c:pt idx="10">
                  <c:v>1.63</c:v>
                </c:pt>
              </c:numCache>
            </c:numRef>
          </c:val>
          <c:extLst xmlns:c16r2="http://schemas.microsoft.com/office/drawing/2015/06/chart">
            <c:ext xmlns:c16="http://schemas.microsoft.com/office/drawing/2014/chart" uri="{C3380CC4-5D6E-409C-BE32-E72D297353CC}">
              <c16:uniqueId val="{00000002-6929-46F0-B356-0383B542AE4D}"/>
            </c:ext>
          </c:extLst>
        </c:ser>
        <c:ser>
          <c:idx val="1"/>
          <c:order val="1"/>
          <c:tx>
            <c:strRef>
              <c:f>土地!$A$112</c:f>
              <c:strCache>
                <c:ptCount val="1"/>
                <c:pt idx="0">
                  <c:v>新增规划建筑面积（万平方米）</c:v>
                </c:pt>
              </c:strCache>
            </c:strRef>
          </c:tx>
          <c:spPr>
            <a:solidFill>
              <a:schemeClr val="accent2"/>
            </a:solidFill>
            <a:ln>
              <a:noFill/>
            </a:ln>
            <a:effectLst/>
          </c:spPr>
          <c:invertIfNegative val="0"/>
          <c:cat>
            <c:strRef>
              <c:f>土地!$B$110:$L$110</c:f>
              <c:strCache>
                <c:ptCount val="11"/>
                <c:pt idx="0">
                  <c:v>芗城区</c:v>
                </c:pt>
                <c:pt idx="1">
                  <c:v>龙文区</c:v>
                </c:pt>
                <c:pt idx="2">
                  <c:v>龙海市</c:v>
                </c:pt>
                <c:pt idx="3">
                  <c:v>云霄县</c:v>
                </c:pt>
                <c:pt idx="4">
                  <c:v>漳浦县</c:v>
                </c:pt>
                <c:pt idx="5">
                  <c:v>诏安县</c:v>
                </c:pt>
                <c:pt idx="6">
                  <c:v>长泰县</c:v>
                </c:pt>
                <c:pt idx="7">
                  <c:v>东山县</c:v>
                </c:pt>
                <c:pt idx="8">
                  <c:v>南靖县</c:v>
                </c:pt>
                <c:pt idx="9">
                  <c:v>平和县</c:v>
                </c:pt>
                <c:pt idx="10">
                  <c:v>华安县</c:v>
                </c:pt>
              </c:strCache>
            </c:strRef>
          </c:cat>
          <c:val>
            <c:numRef>
              <c:f>土地!$B$112:$L$112</c:f>
              <c:numCache>
                <c:formatCode>General</c:formatCode>
                <c:ptCount val="11"/>
                <c:pt idx="0">
                  <c:v>135.59</c:v>
                </c:pt>
                <c:pt idx="1">
                  <c:v>121.95</c:v>
                </c:pt>
                <c:pt idx="2">
                  <c:v>197.77</c:v>
                </c:pt>
                <c:pt idx="3">
                  <c:v>122.37</c:v>
                </c:pt>
                <c:pt idx="4">
                  <c:v>182.8</c:v>
                </c:pt>
                <c:pt idx="5">
                  <c:v>52.39</c:v>
                </c:pt>
                <c:pt idx="6">
                  <c:v>70.739999999999995</c:v>
                </c:pt>
                <c:pt idx="7">
                  <c:v>102.78</c:v>
                </c:pt>
                <c:pt idx="8">
                  <c:v>97.74</c:v>
                </c:pt>
                <c:pt idx="9">
                  <c:v>5.78</c:v>
                </c:pt>
                <c:pt idx="10">
                  <c:v>4.08</c:v>
                </c:pt>
              </c:numCache>
            </c:numRef>
          </c:val>
          <c:extLst xmlns:c16r2="http://schemas.microsoft.com/office/drawing/2015/06/chart">
            <c:ext xmlns:c16="http://schemas.microsoft.com/office/drawing/2014/chart" uri="{C3380CC4-5D6E-409C-BE32-E72D297353CC}">
              <c16:uniqueId val="{00000000-6929-46F0-B356-0383B542AE4D}"/>
            </c:ext>
          </c:extLst>
        </c:ser>
        <c:dLbls>
          <c:showLegendKey val="0"/>
          <c:showVal val="0"/>
          <c:showCatName val="0"/>
          <c:showSerName val="0"/>
          <c:showPercent val="0"/>
          <c:showBubbleSize val="0"/>
        </c:dLbls>
        <c:gapWidth val="150"/>
        <c:axId val="389426176"/>
        <c:axId val="389432448"/>
      </c:barChart>
      <c:lineChart>
        <c:grouping val="standard"/>
        <c:varyColors val="0"/>
        <c:ser>
          <c:idx val="2"/>
          <c:order val="2"/>
          <c:tx>
            <c:strRef>
              <c:f>土地!$A$113</c:f>
              <c:strCache>
                <c:ptCount val="1"/>
                <c:pt idx="0">
                  <c:v>成交楼面单价（元/平方米）</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土地!$B$110:$L$110</c:f>
              <c:strCache>
                <c:ptCount val="11"/>
                <c:pt idx="0">
                  <c:v>芗城区</c:v>
                </c:pt>
                <c:pt idx="1">
                  <c:v>龙文区</c:v>
                </c:pt>
                <c:pt idx="2">
                  <c:v>龙海市</c:v>
                </c:pt>
                <c:pt idx="3">
                  <c:v>云霄县</c:v>
                </c:pt>
                <c:pt idx="4">
                  <c:v>漳浦县</c:v>
                </c:pt>
                <c:pt idx="5">
                  <c:v>诏安县</c:v>
                </c:pt>
                <c:pt idx="6">
                  <c:v>长泰县</c:v>
                </c:pt>
                <c:pt idx="7">
                  <c:v>东山县</c:v>
                </c:pt>
                <c:pt idx="8">
                  <c:v>南靖县</c:v>
                </c:pt>
                <c:pt idx="9">
                  <c:v>平和县</c:v>
                </c:pt>
                <c:pt idx="10">
                  <c:v>华安县</c:v>
                </c:pt>
              </c:strCache>
            </c:strRef>
          </c:cat>
          <c:val>
            <c:numRef>
              <c:f>土地!$B$113:$L$113</c:f>
              <c:numCache>
                <c:formatCode>0</c:formatCode>
                <c:ptCount val="11"/>
                <c:pt idx="0">
                  <c:v>4851.54</c:v>
                </c:pt>
                <c:pt idx="1">
                  <c:v>6635.7</c:v>
                </c:pt>
                <c:pt idx="2">
                  <c:v>5750.2</c:v>
                </c:pt>
                <c:pt idx="3">
                  <c:v>870.6</c:v>
                </c:pt>
                <c:pt idx="4">
                  <c:v>1315.44</c:v>
                </c:pt>
                <c:pt idx="5">
                  <c:v>2568.09</c:v>
                </c:pt>
                <c:pt idx="6">
                  <c:v>2397.44</c:v>
                </c:pt>
                <c:pt idx="7">
                  <c:v>1180.79</c:v>
                </c:pt>
                <c:pt idx="8">
                  <c:v>2105.35</c:v>
                </c:pt>
                <c:pt idx="9">
                  <c:v>1506</c:v>
                </c:pt>
                <c:pt idx="10">
                  <c:v>812.5</c:v>
                </c:pt>
              </c:numCache>
            </c:numRef>
          </c:val>
          <c:smooth val="0"/>
          <c:extLst xmlns:c16r2="http://schemas.microsoft.com/office/drawing/2015/06/chart">
            <c:ext xmlns:c16="http://schemas.microsoft.com/office/drawing/2014/chart" uri="{C3380CC4-5D6E-409C-BE32-E72D297353CC}">
              <c16:uniqueId val="{00000003-6929-46F0-B356-0383B542AE4D}"/>
            </c:ext>
          </c:extLst>
        </c:ser>
        <c:dLbls>
          <c:showLegendKey val="0"/>
          <c:showVal val="0"/>
          <c:showCatName val="0"/>
          <c:showSerName val="0"/>
          <c:showPercent val="0"/>
          <c:showBubbleSize val="0"/>
        </c:dLbls>
        <c:marker val="1"/>
        <c:smooth val="0"/>
        <c:axId val="389435776"/>
        <c:axId val="389433984"/>
      </c:lineChart>
      <c:catAx>
        <c:axId val="38942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89432448"/>
        <c:crosses val="autoZero"/>
        <c:auto val="1"/>
        <c:lblAlgn val="ctr"/>
        <c:lblOffset val="100"/>
        <c:noMultiLvlLbl val="0"/>
      </c:catAx>
      <c:valAx>
        <c:axId val="38943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89426176"/>
        <c:crosses val="autoZero"/>
        <c:crossBetween val="between"/>
      </c:valAx>
      <c:valAx>
        <c:axId val="38943398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89435776"/>
        <c:crosses val="max"/>
        <c:crossBetween val="between"/>
      </c:valAx>
      <c:catAx>
        <c:axId val="389435776"/>
        <c:scaling>
          <c:orientation val="minMax"/>
        </c:scaling>
        <c:delete val="1"/>
        <c:axPos val="b"/>
        <c:numFmt formatCode="General" sourceLinked="1"/>
        <c:majorTickMark val="out"/>
        <c:minorTickMark val="none"/>
        <c:tickLblPos val="nextTo"/>
        <c:crossAx val="3894339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baseline="0">
                <a:effectLst/>
              </a:rPr>
              <a:t>2017-2020</a:t>
            </a:r>
            <a:r>
              <a:rPr lang="zh-CN" altLang="zh-CN" sz="1200" b="1" i="0" baseline="0">
                <a:effectLst/>
              </a:rPr>
              <a:t>年</a:t>
            </a:r>
            <a:r>
              <a:rPr lang="en-US" altLang="zh-CN" sz="1200" b="1" i="0" baseline="0">
                <a:effectLst/>
              </a:rPr>
              <a:t>10</a:t>
            </a:r>
            <a:r>
              <a:rPr lang="zh-CN" altLang="en-US" sz="1200" b="1" i="0" baseline="0">
                <a:effectLst/>
              </a:rPr>
              <a:t>月漳州市住宅</a:t>
            </a:r>
            <a:r>
              <a:rPr lang="zh-CN" altLang="zh-CN" sz="1200" b="1" i="0" baseline="0">
                <a:effectLst/>
              </a:rPr>
              <a:t>用地</a:t>
            </a:r>
            <a:r>
              <a:rPr lang="zh-CN" altLang="en-US" sz="1200" b="1" i="0" baseline="0">
                <a:effectLst/>
              </a:rPr>
              <a:t>流拍或未成交数量走势图</a:t>
            </a:r>
            <a:endParaRPr lang="zh-CN" altLang="zh-CN" sz="1200">
              <a:effectLst/>
            </a:endParaRPr>
          </a:p>
        </c:rich>
      </c:tx>
      <c:overlay val="0"/>
      <c:spPr>
        <a:noFill/>
        <a:ln>
          <a:noFill/>
        </a:ln>
        <a:effectLst/>
      </c:spPr>
    </c:title>
    <c:autoTitleDeleted val="0"/>
    <c:plotArea>
      <c:layout/>
      <c:barChart>
        <c:barDir val="col"/>
        <c:grouping val="clustered"/>
        <c:varyColors val="0"/>
        <c:ser>
          <c:idx val="0"/>
          <c:order val="0"/>
          <c:tx>
            <c:strRef>
              <c:f>土地!$A$135</c:f>
              <c:strCache>
                <c:ptCount val="1"/>
                <c:pt idx="0">
                  <c:v>流拍宗地数（宗）</c:v>
                </c:pt>
              </c:strCache>
            </c:strRef>
          </c:tx>
          <c:spPr>
            <a:solidFill>
              <a:schemeClr val="accent1"/>
            </a:solidFill>
            <a:ln>
              <a:noFill/>
            </a:ln>
            <a:effectLst/>
          </c:spPr>
          <c:invertIfNegative val="0"/>
          <c:cat>
            <c:strRef>
              <c:f>土地!$B$134:$E$134</c:f>
              <c:strCache>
                <c:ptCount val="4"/>
                <c:pt idx="0">
                  <c:v>2017</c:v>
                </c:pt>
                <c:pt idx="1">
                  <c:v>2018</c:v>
                </c:pt>
                <c:pt idx="2">
                  <c:v>2019</c:v>
                </c:pt>
                <c:pt idx="3">
                  <c:v>2020年1-10月</c:v>
                </c:pt>
              </c:strCache>
            </c:strRef>
          </c:cat>
          <c:val>
            <c:numRef>
              <c:f>土地!$B$135:$E$135</c:f>
              <c:numCache>
                <c:formatCode>General</c:formatCode>
                <c:ptCount val="4"/>
                <c:pt idx="0">
                  <c:v>9</c:v>
                </c:pt>
                <c:pt idx="1">
                  <c:v>17</c:v>
                </c:pt>
                <c:pt idx="2">
                  <c:v>19</c:v>
                </c:pt>
                <c:pt idx="3">
                  <c:v>16</c:v>
                </c:pt>
              </c:numCache>
            </c:numRef>
          </c:val>
          <c:extLst xmlns:c16r2="http://schemas.microsoft.com/office/drawing/2015/06/chart">
            <c:ext xmlns:c16="http://schemas.microsoft.com/office/drawing/2014/chart" uri="{C3380CC4-5D6E-409C-BE32-E72D297353CC}">
              <c16:uniqueId val="{00000000-4FB7-4AE2-9544-7B4EE1DA1BEE}"/>
            </c:ext>
          </c:extLst>
        </c:ser>
        <c:dLbls>
          <c:showLegendKey val="0"/>
          <c:showVal val="0"/>
          <c:showCatName val="0"/>
          <c:showSerName val="0"/>
          <c:showPercent val="0"/>
          <c:showBubbleSize val="0"/>
        </c:dLbls>
        <c:gapWidth val="150"/>
        <c:axId val="389452928"/>
        <c:axId val="389454464"/>
      </c:barChart>
      <c:catAx>
        <c:axId val="38945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89454464"/>
        <c:crosses val="autoZero"/>
        <c:auto val="1"/>
        <c:lblAlgn val="ctr"/>
        <c:lblOffset val="100"/>
        <c:noMultiLvlLbl val="0"/>
      </c:catAx>
      <c:valAx>
        <c:axId val="389454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89452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2019</a:t>
            </a:r>
            <a:r>
              <a:rPr lang="zh-CN" altLang="zh-CN" sz="1200" b="1" i="0" u="none" strike="noStrike" baseline="0">
                <a:effectLst/>
              </a:rPr>
              <a:t>至</a:t>
            </a:r>
            <a:r>
              <a:rPr lang="en-US" altLang="zh-CN" sz="1200" b="1" i="0" u="none" strike="noStrike" baseline="0">
                <a:effectLst/>
              </a:rPr>
              <a:t>2020</a:t>
            </a:r>
            <a:r>
              <a:rPr lang="zh-CN" altLang="zh-CN" sz="1200" b="1" i="0" u="none" strike="noStrike" baseline="0">
                <a:effectLst/>
              </a:rPr>
              <a:t>年</a:t>
            </a:r>
            <a:r>
              <a:rPr lang="en-US" altLang="zh-CN" sz="1200" b="1" i="0" u="none" strike="noStrike" baseline="0">
                <a:effectLst/>
              </a:rPr>
              <a:t>10</a:t>
            </a:r>
            <a:r>
              <a:rPr lang="zh-CN" altLang="zh-CN" sz="1200" b="1" i="0" u="none" strike="noStrike" baseline="0">
                <a:effectLst/>
              </a:rPr>
              <a:t>月漳州市</a:t>
            </a:r>
            <a:r>
              <a:rPr lang="zh-CN" altLang="en-US" sz="1200" b="1" i="0" baseline="0">
                <a:effectLst/>
              </a:rPr>
              <a:t>住宅</a:t>
            </a:r>
            <a:r>
              <a:rPr lang="zh-CN" altLang="zh-CN" sz="1200" b="1" i="0" baseline="0">
                <a:effectLst/>
              </a:rPr>
              <a:t>用地</a:t>
            </a:r>
            <a:r>
              <a:rPr lang="zh-CN" altLang="en-US" sz="1200" b="1" i="0" baseline="0">
                <a:effectLst/>
              </a:rPr>
              <a:t>流拍或未成交地块分布情况</a:t>
            </a:r>
            <a:endParaRPr lang="zh-CN" altLang="zh-CN" sz="1200">
              <a:effectLst/>
            </a:endParaRPr>
          </a:p>
        </c:rich>
      </c:tx>
      <c:layout>
        <c:manualLayout>
          <c:xMode val="edge"/>
          <c:yMode val="edge"/>
          <c:x val="0.14216657805234151"/>
          <c:y val="2.691103267264006E-2"/>
        </c:manualLayout>
      </c:layout>
      <c:overlay val="0"/>
      <c:spPr>
        <a:noFill/>
        <a:ln>
          <a:noFill/>
        </a:ln>
        <a:effectLst/>
      </c:spPr>
    </c:title>
    <c:autoTitleDeleted val="0"/>
    <c:plotArea>
      <c:layout/>
      <c:barChart>
        <c:barDir val="col"/>
        <c:grouping val="clustered"/>
        <c:varyColors val="0"/>
        <c:ser>
          <c:idx val="1"/>
          <c:order val="1"/>
          <c:tx>
            <c:strRef>
              <c:f>土地!$A$139</c:f>
              <c:strCache>
                <c:ptCount val="1"/>
                <c:pt idx="0">
                  <c:v>流拍土地面积（万平方米）</c:v>
                </c:pt>
              </c:strCache>
            </c:strRef>
          </c:tx>
          <c:spPr>
            <a:solidFill>
              <a:schemeClr val="accent2"/>
            </a:solidFill>
            <a:ln>
              <a:noFill/>
            </a:ln>
            <a:effectLst/>
          </c:spPr>
          <c:invertIfNegative val="0"/>
          <c:cat>
            <c:strRef>
              <c:f>土地!$B$137:$L$137</c:f>
              <c:strCache>
                <c:ptCount val="11"/>
                <c:pt idx="0">
                  <c:v>芗城区</c:v>
                </c:pt>
                <c:pt idx="1">
                  <c:v>龙文区</c:v>
                </c:pt>
                <c:pt idx="2">
                  <c:v>龙海市</c:v>
                </c:pt>
                <c:pt idx="3">
                  <c:v>云霄县</c:v>
                </c:pt>
                <c:pt idx="4">
                  <c:v>漳浦县</c:v>
                </c:pt>
                <c:pt idx="5">
                  <c:v>诏安县</c:v>
                </c:pt>
                <c:pt idx="6">
                  <c:v>长泰县</c:v>
                </c:pt>
                <c:pt idx="7">
                  <c:v>东山县</c:v>
                </c:pt>
                <c:pt idx="8">
                  <c:v>南靖县</c:v>
                </c:pt>
                <c:pt idx="9">
                  <c:v>平和县</c:v>
                </c:pt>
                <c:pt idx="10">
                  <c:v>华安县</c:v>
                </c:pt>
              </c:strCache>
            </c:strRef>
          </c:cat>
          <c:val>
            <c:numRef>
              <c:f>土地!$B$139:$L$139</c:f>
              <c:numCache>
                <c:formatCode>General</c:formatCode>
                <c:ptCount val="11"/>
                <c:pt idx="0">
                  <c:v>20.919999999999995</c:v>
                </c:pt>
                <c:pt idx="1">
                  <c:v>1.1099999999999994</c:v>
                </c:pt>
                <c:pt idx="2">
                  <c:v>25.200000000000003</c:v>
                </c:pt>
                <c:pt idx="3">
                  <c:v>17.780000000000008</c:v>
                </c:pt>
                <c:pt idx="4">
                  <c:v>35.740000000000009</c:v>
                </c:pt>
                <c:pt idx="5">
                  <c:v>11.989999999999998</c:v>
                </c:pt>
                <c:pt idx="6">
                  <c:v>18.54</c:v>
                </c:pt>
                <c:pt idx="7">
                  <c:v>9.82</c:v>
                </c:pt>
                <c:pt idx="8">
                  <c:v>5.9300000000000068</c:v>
                </c:pt>
                <c:pt idx="9">
                  <c:v>0</c:v>
                </c:pt>
                <c:pt idx="10">
                  <c:v>0</c:v>
                </c:pt>
              </c:numCache>
            </c:numRef>
          </c:val>
          <c:extLst xmlns:c16r2="http://schemas.microsoft.com/office/drawing/2015/06/chart">
            <c:ext xmlns:c16="http://schemas.microsoft.com/office/drawing/2014/chart" uri="{C3380CC4-5D6E-409C-BE32-E72D297353CC}">
              <c16:uniqueId val="{00000001-B92F-4146-B368-CCD3B2EE695B}"/>
            </c:ext>
          </c:extLst>
        </c:ser>
        <c:dLbls>
          <c:showLegendKey val="0"/>
          <c:showVal val="0"/>
          <c:showCatName val="0"/>
          <c:showSerName val="0"/>
          <c:showPercent val="0"/>
          <c:showBubbleSize val="0"/>
        </c:dLbls>
        <c:gapWidth val="150"/>
        <c:axId val="409871872"/>
        <c:axId val="409873792"/>
      </c:barChart>
      <c:lineChart>
        <c:grouping val="standard"/>
        <c:varyColors val="0"/>
        <c:ser>
          <c:idx val="0"/>
          <c:order val="0"/>
          <c:tx>
            <c:strRef>
              <c:f>土地!$A$138</c:f>
              <c:strCache>
                <c:ptCount val="1"/>
                <c:pt idx="0">
                  <c:v>流拍宗地数（宗）</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土地!$B$137:$L$137</c:f>
              <c:strCache>
                <c:ptCount val="11"/>
                <c:pt idx="0">
                  <c:v>芗城区</c:v>
                </c:pt>
                <c:pt idx="1">
                  <c:v>龙文区</c:v>
                </c:pt>
                <c:pt idx="2">
                  <c:v>龙海市</c:v>
                </c:pt>
                <c:pt idx="3">
                  <c:v>云霄县</c:v>
                </c:pt>
                <c:pt idx="4">
                  <c:v>漳浦县</c:v>
                </c:pt>
                <c:pt idx="5">
                  <c:v>诏安县</c:v>
                </c:pt>
                <c:pt idx="6">
                  <c:v>长泰县</c:v>
                </c:pt>
                <c:pt idx="7">
                  <c:v>东山县</c:v>
                </c:pt>
                <c:pt idx="8">
                  <c:v>南靖县</c:v>
                </c:pt>
                <c:pt idx="9">
                  <c:v>平和县</c:v>
                </c:pt>
                <c:pt idx="10">
                  <c:v>华安县</c:v>
                </c:pt>
              </c:strCache>
            </c:strRef>
          </c:cat>
          <c:val>
            <c:numRef>
              <c:f>土地!$B$138:$L$138</c:f>
              <c:numCache>
                <c:formatCode>General</c:formatCode>
                <c:ptCount val="11"/>
                <c:pt idx="0">
                  <c:v>4</c:v>
                </c:pt>
                <c:pt idx="1">
                  <c:v>1</c:v>
                </c:pt>
                <c:pt idx="2">
                  <c:v>5</c:v>
                </c:pt>
                <c:pt idx="3">
                  <c:v>4</c:v>
                </c:pt>
                <c:pt idx="4">
                  <c:v>8</c:v>
                </c:pt>
                <c:pt idx="5">
                  <c:v>3</c:v>
                </c:pt>
                <c:pt idx="6">
                  <c:v>6</c:v>
                </c:pt>
                <c:pt idx="7">
                  <c:v>3</c:v>
                </c:pt>
                <c:pt idx="8">
                  <c:v>1</c:v>
                </c:pt>
                <c:pt idx="9">
                  <c:v>0</c:v>
                </c:pt>
                <c:pt idx="10">
                  <c:v>0</c:v>
                </c:pt>
              </c:numCache>
            </c:numRef>
          </c:val>
          <c:smooth val="0"/>
          <c:extLst xmlns:c16r2="http://schemas.microsoft.com/office/drawing/2015/06/chart">
            <c:ext xmlns:c16="http://schemas.microsoft.com/office/drawing/2014/chart" uri="{C3380CC4-5D6E-409C-BE32-E72D297353CC}">
              <c16:uniqueId val="{00000000-B92F-4146-B368-CCD3B2EE695B}"/>
            </c:ext>
          </c:extLst>
        </c:ser>
        <c:dLbls>
          <c:showLegendKey val="0"/>
          <c:showVal val="0"/>
          <c:showCatName val="0"/>
          <c:showSerName val="0"/>
          <c:showPercent val="0"/>
          <c:showBubbleSize val="0"/>
        </c:dLbls>
        <c:marker val="1"/>
        <c:smooth val="0"/>
        <c:axId val="409877120"/>
        <c:axId val="409875584"/>
      </c:lineChart>
      <c:catAx>
        <c:axId val="40987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9873792"/>
        <c:crosses val="autoZero"/>
        <c:auto val="1"/>
        <c:lblAlgn val="ctr"/>
        <c:lblOffset val="100"/>
        <c:noMultiLvlLbl val="0"/>
      </c:catAx>
      <c:valAx>
        <c:axId val="409873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9871872"/>
        <c:crosses val="autoZero"/>
        <c:crossBetween val="between"/>
      </c:valAx>
      <c:valAx>
        <c:axId val="40987558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9877120"/>
        <c:crosses val="max"/>
        <c:crossBetween val="between"/>
      </c:valAx>
      <c:catAx>
        <c:axId val="409877120"/>
        <c:scaling>
          <c:orientation val="minMax"/>
        </c:scaling>
        <c:delete val="1"/>
        <c:axPos val="b"/>
        <c:numFmt formatCode="General" sourceLinked="1"/>
        <c:majorTickMark val="out"/>
        <c:minorTickMark val="none"/>
        <c:tickLblPos val="nextTo"/>
        <c:crossAx val="4098755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baseline="0">
                <a:effectLst/>
              </a:rPr>
              <a:t>2017</a:t>
            </a:r>
            <a:r>
              <a:rPr lang="zh-CN" altLang="en-US" sz="1200" b="1" i="0" baseline="0">
                <a:effectLst/>
              </a:rPr>
              <a:t>年至</a:t>
            </a:r>
            <a:r>
              <a:rPr lang="en-US" altLang="zh-CN" sz="1200" b="1" i="0" baseline="0">
                <a:effectLst/>
              </a:rPr>
              <a:t>2020</a:t>
            </a:r>
            <a:r>
              <a:rPr lang="zh-CN" altLang="zh-CN" sz="1200" b="1" i="0" baseline="0">
                <a:effectLst/>
              </a:rPr>
              <a:t>年</a:t>
            </a:r>
            <a:r>
              <a:rPr lang="en-US" altLang="zh-CN" sz="1200" b="1" i="0" baseline="0">
                <a:effectLst/>
              </a:rPr>
              <a:t>10</a:t>
            </a:r>
            <a:r>
              <a:rPr lang="zh-CN" altLang="en-US" sz="1200" b="1" i="0" baseline="0">
                <a:effectLst/>
              </a:rPr>
              <a:t>月漳州市商品住宅供销情况</a:t>
            </a:r>
            <a:endParaRPr lang="zh-CN" altLang="zh-CN" sz="1200">
              <a:effectLst/>
            </a:endParaRPr>
          </a:p>
        </c:rich>
      </c:tx>
      <c:overlay val="0"/>
      <c:spPr>
        <a:noFill/>
        <a:ln>
          <a:noFill/>
        </a:ln>
        <a:effectLst/>
      </c:spPr>
    </c:title>
    <c:autoTitleDeleted val="0"/>
    <c:plotArea>
      <c:layout/>
      <c:barChart>
        <c:barDir val="col"/>
        <c:grouping val="clustered"/>
        <c:varyColors val="0"/>
        <c:ser>
          <c:idx val="1"/>
          <c:order val="1"/>
          <c:tx>
            <c:strRef>
              <c:f>房地产!$A$17</c:f>
              <c:strCache>
                <c:ptCount val="1"/>
                <c:pt idx="0">
                  <c:v>供应面积(㎡)</c:v>
                </c:pt>
              </c:strCache>
            </c:strRef>
          </c:tx>
          <c:spPr>
            <a:solidFill>
              <a:schemeClr val="accent2"/>
            </a:solidFill>
            <a:ln>
              <a:noFill/>
            </a:ln>
            <a:effectLst/>
          </c:spPr>
          <c:invertIfNegative val="0"/>
          <c:cat>
            <c:strRef>
              <c:f>房地产!$B$15:$E$15</c:f>
              <c:strCache>
                <c:ptCount val="4"/>
                <c:pt idx="0">
                  <c:v>2017</c:v>
                </c:pt>
                <c:pt idx="1">
                  <c:v>2018</c:v>
                </c:pt>
                <c:pt idx="2">
                  <c:v>2019</c:v>
                </c:pt>
                <c:pt idx="3">
                  <c:v>2020年1-10月</c:v>
                </c:pt>
              </c:strCache>
            </c:strRef>
          </c:cat>
          <c:val>
            <c:numRef>
              <c:f>房地产!$B$17:$E$17</c:f>
              <c:numCache>
                <c:formatCode>General</c:formatCode>
                <c:ptCount val="4"/>
                <c:pt idx="0">
                  <c:v>713682</c:v>
                </c:pt>
                <c:pt idx="1">
                  <c:v>1012634</c:v>
                </c:pt>
                <c:pt idx="2">
                  <c:v>1359150</c:v>
                </c:pt>
                <c:pt idx="3">
                  <c:v>967575</c:v>
                </c:pt>
              </c:numCache>
            </c:numRef>
          </c:val>
          <c:extLst xmlns:c16r2="http://schemas.microsoft.com/office/drawing/2015/06/chart">
            <c:ext xmlns:c16="http://schemas.microsoft.com/office/drawing/2014/chart" uri="{C3380CC4-5D6E-409C-BE32-E72D297353CC}">
              <c16:uniqueId val="{00000005-96CF-4B56-994D-AA2914AD632A}"/>
            </c:ext>
          </c:extLst>
        </c:ser>
        <c:ser>
          <c:idx val="3"/>
          <c:order val="3"/>
          <c:tx>
            <c:strRef>
              <c:f>房地产!$A$19</c:f>
              <c:strCache>
                <c:ptCount val="1"/>
                <c:pt idx="0">
                  <c:v>成交面积(㎡)</c:v>
                </c:pt>
              </c:strCache>
            </c:strRef>
          </c:tx>
          <c:spPr>
            <a:solidFill>
              <a:schemeClr val="accent4"/>
            </a:solidFill>
            <a:ln>
              <a:noFill/>
            </a:ln>
            <a:effectLst/>
          </c:spPr>
          <c:invertIfNegative val="0"/>
          <c:cat>
            <c:strRef>
              <c:f>房地产!$B$15:$E$15</c:f>
              <c:strCache>
                <c:ptCount val="4"/>
                <c:pt idx="0">
                  <c:v>2017</c:v>
                </c:pt>
                <c:pt idx="1">
                  <c:v>2018</c:v>
                </c:pt>
                <c:pt idx="2">
                  <c:v>2019</c:v>
                </c:pt>
                <c:pt idx="3">
                  <c:v>2020年1-10月</c:v>
                </c:pt>
              </c:strCache>
            </c:strRef>
          </c:cat>
          <c:val>
            <c:numRef>
              <c:f>房地产!$B$19:$E$19</c:f>
              <c:numCache>
                <c:formatCode>General</c:formatCode>
                <c:ptCount val="4"/>
                <c:pt idx="0">
                  <c:v>702055</c:v>
                </c:pt>
                <c:pt idx="1">
                  <c:v>753330</c:v>
                </c:pt>
                <c:pt idx="2">
                  <c:v>936021</c:v>
                </c:pt>
                <c:pt idx="3">
                  <c:v>906256</c:v>
                </c:pt>
              </c:numCache>
            </c:numRef>
          </c:val>
          <c:extLst xmlns:c16r2="http://schemas.microsoft.com/office/drawing/2015/06/chart">
            <c:ext xmlns:c16="http://schemas.microsoft.com/office/drawing/2014/chart" uri="{C3380CC4-5D6E-409C-BE32-E72D297353CC}">
              <c16:uniqueId val="{00000007-96CF-4B56-994D-AA2914AD632A}"/>
            </c:ext>
          </c:extLst>
        </c:ser>
        <c:dLbls>
          <c:showLegendKey val="0"/>
          <c:showVal val="0"/>
          <c:showCatName val="0"/>
          <c:showSerName val="0"/>
          <c:showPercent val="0"/>
          <c:showBubbleSize val="0"/>
        </c:dLbls>
        <c:gapWidth val="219"/>
        <c:axId val="409915392"/>
        <c:axId val="409917312"/>
      </c:barChart>
      <c:lineChart>
        <c:grouping val="standard"/>
        <c:varyColors val="0"/>
        <c:ser>
          <c:idx val="0"/>
          <c:order val="0"/>
          <c:tx>
            <c:strRef>
              <c:f>房地产!$A$16</c:f>
              <c:strCache>
                <c:ptCount val="1"/>
                <c:pt idx="0">
                  <c:v>供应套数(套)</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房地产!$B$15:$E$15</c:f>
              <c:strCache>
                <c:ptCount val="4"/>
                <c:pt idx="0">
                  <c:v>2017</c:v>
                </c:pt>
                <c:pt idx="1">
                  <c:v>2018</c:v>
                </c:pt>
                <c:pt idx="2">
                  <c:v>2019</c:v>
                </c:pt>
                <c:pt idx="3">
                  <c:v>2020年1-10月</c:v>
                </c:pt>
              </c:strCache>
            </c:strRef>
          </c:cat>
          <c:val>
            <c:numRef>
              <c:f>房地产!$B$16:$E$16</c:f>
              <c:numCache>
                <c:formatCode>General</c:formatCode>
                <c:ptCount val="4"/>
                <c:pt idx="0">
                  <c:v>6580</c:v>
                </c:pt>
                <c:pt idx="1">
                  <c:v>9245</c:v>
                </c:pt>
                <c:pt idx="2">
                  <c:v>11806</c:v>
                </c:pt>
                <c:pt idx="3">
                  <c:v>9065</c:v>
                </c:pt>
              </c:numCache>
            </c:numRef>
          </c:val>
          <c:smooth val="0"/>
          <c:extLst xmlns:c16r2="http://schemas.microsoft.com/office/drawing/2015/06/chart">
            <c:ext xmlns:c16="http://schemas.microsoft.com/office/drawing/2014/chart" uri="{C3380CC4-5D6E-409C-BE32-E72D297353CC}">
              <c16:uniqueId val="{00000000-96CF-4B56-994D-AA2914AD632A}"/>
            </c:ext>
          </c:extLst>
        </c:ser>
        <c:ser>
          <c:idx val="2"/>
          <c:order val="2"/>
          <c:tx>
            <c:strRef>
              <c:f>房地产!$A$18</c:f>
              <c:strCache>
                <c:ptCount val="1"/>
                <c:pt idx="0">
                  <c:v>成交套数(套)</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房地产!$B$15:$E$15</c:f>
              <c:strCache>
                <c:ptCount val="4"/>
                <c:pt idx="0">
                  <c:v>2017</c:v>
                </c:pt>
                <c:pt idx="1">
                  <c:v>2018</c:v>
                </c:pt>
                <c:pt idx="2">
                  <c:v>2019</c:v>
                </c:pt>
                <c:pt idx="3">
                  <c:v>2020年1-10月</c:v>
                </c:pt>
              </c:strCache>
            </c:strRef>
          </c:cat>
          <c:val>
            <c:numRef>
              <c:f>房地产!$B$18:$E$18</c:f>
              <c:numCache>
                <c:formatCode>General</c:formatCode>
                <c:ptCount val="4"/>
                <c:pt idx="0">
                  <c:v>6657</c:v>
                </c:pt>
                <c:pt idx="1">
                  <c:v>6746</c:v>
                </c:pt>
                <c:pt idx="2">
                  <c:v>8404</c:v>
                </c:pt>
                <c:pt idx="3">
                  <c:v>8446</c:v>
                </c:pt>
              </c:numCache>
            </c:numRef>
          </c:val>
          <c:smooth val="0"/>
          <c:extLst xmlns:c16r2="http://schemas.microsoft.com/office/drawing/2015/06/chart">
            <c:ext xmlns:c16="http://schemas.microsoft.com/office/drawing/2014/chart" uri="{C3380CC4-5D6E-409C-BE32-E72D297353CC}">
              <c16:uniqueId val="{00000006-96CF-4B56-994D-AA2914AD632A}"/>
            </c:ext>
          </c:extLst>
        </c:ser>
        <c:dLbls>
          <c:showLegendKey val="0"/>
          <c:showVal val="0"/>
          <c:showCatName val="0"/>
          <c:showSerName val="0"/>
          <c:showPercent val="0"/>
          <c:showBubbleSize val="0"/>
        </c:dLbls>
        <c:marker val="1"/>
        <c:smooth val="0"/>
        <c:axId val="409920640"/>
        <c:axId val="409918848"/>
      </c:lineChart>
      <c:catAx>
        <c:axId val="40991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9917312"/>
        <c:crosses val="autoZero"/>
        <c:auto val="1"/>
        <c:lblAlgn val="ctr"/>
        <c:lblOffset val="100"/>
        <c:noMultiLvlLbl val="0"/>
      </c:catAx>
      <c:valAx>
        <c:axId val="409917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9915392"/>
        <c:crosses val="autoZero"/>
        <c:crossBetween val="between"/>
      </c:valAx>
      <c:valAx>
        <c:axId val="40991884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9920640"/>
        <c:crosses val="max"/>
        <c:crossBetween val="between"/>
      </c:valAx>
      <c:catAx>
        <c:axId val="409920640"/>
        <c:scaling>
          <c:orientation val="minMax"/>
        </c:scaling>
        <c:delete val="1"/>
        <c:axPos val="b"/>
        <c:numFmt formatCode="General" sourceLinked="1"/>
        <c:majorTickMark val="out"/>
        <c:minorTickMark val="none"/>
        <c:tickLblPos val="nextTo"/>
        <c:crossAx val="4099188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CBEADB-B786-4C43-B643-D23654173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1511</TotalTime>
  <Pages>63</Pages>
  <Words>6327</Words>
  <Characters>36067</Characters>
  <Application>Microsoft Office Word</Application>
  <DocSecurity>0</DocSecurity>
  <Lines>300</Lines>
  <Paragraphs>84</Paragraphs>
  <ScaleCrop>false</ScaleCrop>
  <Company>ICBCOA</Company>
  <LinksUpToDate>false</LinksUpToDate>
  <CharactersWithSpaces>42310</CharactersWithSpaces>
  <SharedDoc>false</SharedDoc>
  <HLinks>
    <vt:vector size="324" baseType="variant">
      <vt:variant>
        <vt:i4>1114162</vt:i4>
      </vt:variant>
      <vt:variant>
        <vt:i4>320</vt:i4>
      </vt:variant>
      <vt:variant>
        <vt:i4>0</vt:i4>
      </vt:variant>
      <vt:variant>
        <vt:i4>5</vt:i4>
      </vt:variant>
      <vt:variant>
        <vt:lpwstr/>
      </vt:variant>
      <vt:variant>
        <vt:lpwstr>_Toc28158398</vt:lpwstr>
      </vt:variant>
      <vt:variant>
        <vt:i4>1966130</vt:i4>
      </vt:variant>
      <vt:variant>
        <vt:i4>314</vt:i4>
      </vt:variant>
      <vt:variant>
        <vt:i4>0</vt:i4>
      </vt:variant>
      <vt:variant>
        <vt:i4>5</vt:i4>
      </vt:variant>
      <vt:variant>
        <vt:lpwstr/>
      </vt:variant>
      <vt:variant>
        <vt:lpwstr>_Toc28158397</vt:lpwstr>
      </vt:variant>
      <vt:variant>
        <vt:i4>2031666</vt:i4>
      </vt:variant>
      <vt:variant>
        <vt:i4>308</vt:i4>
      </vt:variant>
      <vt:variant>
        <vt:i4>0</vt:i4>
      </vt:variant>
      <vt:variant>
        <vt:i4>5</vt:i4>
      </vt:variant>
      <vt:variant>
        <vt:lpwstr/>
      </vt:variant>
      <vt:variant>
        <vt:lpwstr>_Toc28158396</vt:lpwstr>
      </vt:variant>
      <vt:variant>
        <vt:i4>1835058</vt:i4>
      </vt:variant>
      <vt:variant>
        <vt:i4>302</vt:i4>
      </vt:variant>
      <vt:variant>
        <vt:i4>0</vt:i4>
      </vt:variant>
      <vt:variant>
        <vt:i4>5</vt:i4>
      </vt:variant>
      <vt:variant>
        <vt:lpwstr/>
      </vt:variant>
      <vt:variant>
        <vt:lpwstr>_Toc28158395</vt:lpwstr>
      </vt:variant>
      <vt:variant>
        <vt:i4>1900594</vt:i4>
      </vt:variant>
      <vt:variant>
        <vt:i4>296</vt:i4>
      </vt:variant>
      <vt:variant>
        <vt:i4>0</vt:i4>
      </vt:variant>
      <vt:variant>
        <vt:i4>5</vt:i4>
      </vt:variant>
      <vt:variant>
        <vt:lpwstr/>
      </vt:variant>
      <vt:variant>
        <vt:lpwstr>_Toc28158394</vt:lpwstr>
      </vt:variant>
      <vt:variant>
        <vt:i4>1703986</vt:i4>
      </vt:variant>
      <vt:variant>
        <vt:i4>290</vt:i4>
      </vt:variant>
      <vt:variant>
        <vt:i4>0</vt:i4>
      </vt:variant>
      <vt:variant>
        <vt:i4>5</vt:i4>
      </vt:variant>
      <vt:variant>
        <vt:lpwstr/>
      </vt:variant>
      <vt:variant>
        <vt:lpwstr>_Toc28158393</vt:lpwstr>
      </vt:variant>
      <vt:variant>
        <vt:i4>1769522</vt:i4>
      </vt:variant>
      <vt:variant>
        <vt:i4>284</vt:i4>
      </vt:variant>
      <vt:variant>
        <vt:i4>0</vt:i4>
      </vt:variant>
      <vt:variant>
        <vt:i4>5</vt:i4>
      </vt:variant>
      <vt:variant>
        <vt:lpwstr/>
      </vt:variant>
      <vt:variant>
        <vt:lpwstr>_Toc28158392</vt:lpwstr>
      </vt:variant>
      <vt:variant>
        <vt:i4>1572914</vt:i4>
      </vt:variant>
      <vt:variant>
        <vt:i4>278</vt:i4>
      </vt:variant>
      <vt:variant>
        <vt:i4>0</vt:i4>
      </vt:variant>
      <vt:variant>
        <vt:i4>5</vt:i4>
      </vt:variant>
      <vt:variant>
        <vt:lpwstr/>
      </vt:variant>
      <vt:variant>
        <vt:lpwstr>_Toc28158391</vt:lpwstr>
      </vt:variant>
      <vt:variant>
        <vt:i4>1638450</vt:i4>
      </vt:variant>
      <vt:variant>
        <vt:i4>272</vt:i4>
      </vt:variant>
      <vt:variant>
        <vt:i4>0</vt:i4>
      </vt:variant>
      <vt:variant>
        <vt:i4>5</vt:i4>
      </vt:variant>
      <vt:variant>
        <vt:lpwstr/>
      </vt:variant>
      <vt:variant>
        <vt:lpwstr>_Toc28158390</vt:lpwstr>
      </vt:variant>
      <vt:variant>
        <vt:i4>1048627</vt:i4>
      </vt:variant>
      <vt:variant>
        <vt:i4>266</vt:i4>
      </vt:variant>
      <vt:variant>
        <vt:i4>0</vt:i4>
      </vt:variant>
      <vt:variant>
        <vt:i4>5</vt:i4>
      </vt:variant>
      <vt:variant>
        <vt:lpwstr/>
      </vt:variant>
      <vt:variant>
        <vt:lpwstr>_Toc28158389</vt:lpwstr>
      </vt:variant>
      <vt:variant>
        <vt:i4>1114163</vt:i4>
      </vt:variant>
      <vt:variant>
        <vt:i4>260</vt:i4>
      </vt:variant>
      <vt:variant>
        <vt:i4>0</vt:i4>
      </vt:variant>
      <vt:variant>
        <vt:i4>5</vt:i4>
      </vt:variant>
      <vt:variant>
        <vt:lpwstr/>
      </vt:variant>
      <vt:variant>
        <vt:lpwstr>_Toc28158388</vt:lpwstr>
      </vt:variant>
      <vt:variant>
        <vt:i4>1966131</vt:i4>
      </vt:variant>
      <vt:variant>
        <vt:i4>254</vt:i4>
      </vt:variant>
      <vt:variant>
        <vt:i4>0</vt:i4>
      </vt:variant>
      <vt:variant>
        <vt:i4>5</vt:i4>
      </vt:variant>
      <vt:variant>
        <vt:lpwstr/>
      </vt:variant>
      <vt:variant>
        <vt:lpwstr>_Toc28158387</vt:lpwstr>
      </vt:variant>
      <vt:variant>
        <vt:i4>2031667</vt:i4>
      </vt:variant>
      <vt:variant>
        <vt:i4>248</vt:i4>
      </vt:variant>
      <vt:variant>
        <vt:i4>0</vt:i4>
      </vt:variant>
      <vt:variant>
        <vt:i4>5</vt:i4>
      </vt:variant>
      <vt:variant>
        <vt:lpwstr/>
      </vt:variant>
      <vt:variant>
        <vt:lpwstr>_Toc28158386</vt:lpwstr>
      </vt:variant>
      <vt:variant>
        <vt:i4>1835059</vt:i4>
      </vt:variant>
      <vt:variant>
        <vt:i4>242</vt:i4>
      </vt:variant>
      <vt:variant>
        <vt:i4>0</vt:i4>
      </vt:variant>
      <vt:variant>
        <vt:i4>5</vt:i4>
      </vt:variant>
      <vt:variant>
        <vt:lpwstr/>
      </vt:variant>
      <vt:variant>
        <vt:lpwstr>_Toc28158385</vt:lpwstr>
      </vt:variant>
      <vt:variant>
        <vt:i4>1900595</vt:i4>
      </vt:variant>
      <vt:variant>
        <vt:i4>236</vt:i4>
      </vt:variant>
      <vt:variant>
        <vt:i4>0</vt:i4>
      </vt:variant>
      <vt:variant>
        <vt:i4>5</vt:i4>
      </vt:variant>
      <vt:variant>
        <vt:lpwstr/>
      </vt:variant>
      <vt:variant>
        <vt:lpwstr>_Toc28158384</vt:lpwstr>
      </vt:variant>
      <vt:variant>
        <vt:i4>1703987</vt:i4>
      </vt:variant>
      <vt:variant>
        <vt:i4>230</vt:i4>
      </vt:variant>
      <vt:variant>
        <vt:i4>0</vt:i4>
      </vt:variant>
      <vt:variant>
        <vt:i4>5</vt:i4>
      </vt:variant>
      <vt:variant>
        <vt:lpwstr/>
      </vt:variant>
      <vt:variant>
        <vt:lpwstr>_Toc28158383</vt:lpwstr>
      </vt:variant>
      <vt:variant>
        <vt:i4>1769523</vt:i4>
      </vt:variant>
      <vt:variant>
        <vt:i4>224</vt:i4>
      </vt:variant>
      <vt:variant>
        <vt:i4>0</vt:i4>
      </vt:variant>
      <vt:variant>
        <vt:i4>5</vt:i4>
      </vt:variant>
      <vt:variant>
        <vt:lpwstr/>
      </vt:variant>
      <vt:variant>
        <vt:lpwstr>_Toc28158382</vt:lpwstr>
      </vt:variant>
      <vt:variant>
        <vt:i4>1572915</vt:i4>
      </vt:variant>
      <vt:variant>
        <vt:i4>218</vt:i4>
      </vt:variant>
      <vt:variant>
        <vt:i4>0</vt:i4>
      </vt:variant>
      <vt:variant>
        <vt:i4>5</vt:i4>
      </vt:variant>
      <vt:variant>
        <vt:lpwstr/>
      </vt:variant>
      <vt:variant>
        <vt:lpwstr>_Toc28158381</vt:lpwstr>
      </vt:variant>
      <vt:variant>
        <vt:i4>1638451</vt:i4>
      </vt:variant>
      <vt:variant>
        <vt:i4>212</vt:i4>
      </vt:variant>
      <vt:variant>
        <vt:i4>0</vt:i4>
      </vt:variant>
      <vt:variant>
        <vt:i4>5</vt:i4>
      </vt:variant>
      <vt:variant>
        <vt:lpwstr/>
      </vt:variant>
      <vt:variant>
        <vt:lpwstr>_Toc28158380</vt:lpwstr>
      </vt:variant>
      <vt:variant>
        <vt:i4>1048636</vt:i4>
      </vt:variant>
      <vt:variant>
        <vt:i4>206</vt:i4>
      </vt:variant>
      <vt:variant>
        <vt:i4>0</vt:i4>
      </vt:variant>
      <vt:variant>
        <vt:i4>5</vt:i4>
      </vt:variant>
      <vt:variant>
        <vt:lpwstr/>
      </vt:variant>
      <vt:variant>
        <vt:lpwstr>_Toc28158379</vt:lpwstr>
      </vt:variant>
      <vt:variant>
        <vt:i4>1114172</vt:i4>
      </vt:variant>
      <vt:variant>
        <vt:i4>200</vt:i4>
      </vt:variant>
      <vt:variant>
        <vt:i4>0</vt:i4>
      </vt:variant>
      <vt:variant>
        <vt:i4>5</vt:i4>
      </vt:variant>
      <vt:variant>
        <vt:lpwstr/>
      </vt:variant>
      <vt:variant>
        <vt:lpwstr>_Toc28158378</vt:lpwstr>
      </vt:variant>
      <vt:variant>
        <vt:i4>1966140</vt:i4>
      </vt:variant>
      <vt:variant>
        <vt:i4>194</vt:i4>
      </vt:variant>
      <vt:variant>
        <vt:i4>0</vt:i4>
      </vt:variant>
      <vt:variant>
        <vt:i4>5</vt:i4>
      </vt:variant>
      <vt:variant>
        <vt:lpwstr/>
      </vt:variant>
      <vt:variant>
        <vt:lpwstr>_Toc28158377</vt:lpwstr>
      </vt:variant>
      <vt:variant>
        <vt:i4>2031676</vt:i4>
      </vt:variant>
      <vt:variant>
        <vt:i4>188</vt:i4>
      </vt:variant>
      <vt:variant>
        <vt:i4>0</vt:i4>
      </vt:variant>
      <vt:variant>
        <vt:i4>5</vt:i4>
      </vt:variant>
      <vt:variant>
        <vt:lpwstr/>
      </vt:variant>
      <vt:variant>
        <vt:lpwstr>_Toc28158376</vt:lpwstr>
      </vt:variant>
      <vt:variant>
        <vt:i4>1835068</vt:i4>
      </vt:variant>
      <vt:variant>
        <vt:i4>182</vt:i4>
      </vt:variant>
      <vt:variant>
        <vt:i4>0</vt:i4>
      </vt:variant>
      <vt:variant>
        <vt:i4>5</vt:i4>
      </vt:variant>
      <vt:variant>
        <vt:lpwstr/>
      </vt:variant>
      <vt:variant>
        <vt:lpwstr>_Toc28158375</vt:lpwstr>
      </vt:variant>
      <vt:variant>
        <vt:i4>1900604</vt:i4>
      </vt:variant>
      <vt:variant>
        <vt:i4>176</vt:i4>
      </vt:variant>
      <vt:variant>
        <vt:i4>0</vt:i4>
      </vt:variant>
      <vt:variant>
        <vt:i4>5</vt:i4>
      </vt:variant>
      <vt:variant>
        <vt:lpwstr/>
      </vt:variant>
      <vt:variant>
        <vt:lpwstr>_Toc28158374</vt:lpwstr>
      </vt:variant>
      <vt:variant>
        <vt:i4>1703996</vt:i4>
      </vt:variant>
      <vt:variant>
        <vt:i4>170</vt:i4>
      </vt:variant>
      <vt:variant>
        <vt:i4>0</vt:i4>
      </vt:variant>
      <vt:variant>
        <vt:i4>5</vt:i4>
      </vt:variant>
      <vt:variant>
        <vt:lpwstr/>
      </vt:variant>
      <vt:variant>
        <vt:lpwstr>_Toc28158373</vt:lpwstr>
      </vt:variant>
      <vt:variant>
        <vt:i4>1769532</vt:i4>
      </vt:variant>
      <vt:variant>
        <vt:i4>164</vt:i4>
      </vt:variant>
      <vt:variant>
        <vt:i4>0</vt:i4>
      </vt:variant>
      <vt:variant>
        <vt:i4>5</vt:i4>
      </vt:variant>
      <vt:variant>
        <vt:lpwstr/>
      </vt:variant>
      <vt:variant>
        <vt:lpwstr>_Toc28158372</vt:lpwstr>
      </vt:variant>
      <vt:variant>
        <vt:i4>1572924</vt:i4>
      </vt:variant>
      <vt:variant>
        <vt:i4>158</vt:i4>
      </vt:variant>
      <vt:variant>
        <vt:i4>0</vt:i4>
      </vt:variant>
      <vt:variant>
        <vt:i4>5</vt:i4>
      </vt:variant>
      <vt:variant>
        <vt:lpwstr/>
      </vt:variant>
      <vt:variant>
        <vt:lpwstr>_Toc28158371</vt:lpwstr>
      </vt:variant>
      <vt:variant>
        <vt:i4>1638460</vt:i4>
      </vt:variant>
      <vt:variant>
        <vt:i4>152</vt:i4>
      </vt:variant>
      <vt:variant>
        <vt:i4>0</vt:i4>
      </vt:variant>
      <vt:variant>
        <vt:i4>5</vt:i4>
      </vt:variant>
      <vt:variant>
        <vt:lpwstr/>
      </vt:variant>
      <vt:variant>
        <vt:lpwstr>_Toc28158370</vt:lpwstr>
      </vt:variant>
      <vt:variant>
        <vt:i4>1048637</vt:i4>
      </vt:variant>
      <vt:variant>
        <vt:i4>146</vt:i4>
      </vt:variant>
      <vt:variant>
        <vt:i4>0</vt:i4>
      </vt:variant>
      <vt:variant>
        <vt:i4>5</vt:i4>
      </vt:variant>
      <vt:variant>
        <vt:lpwstr/>
      </vt:variant>
      <vt:variant>
        <vt:lpwstr>_Toc28158369</vt:lpwstr>
      </vt:variant>
      <vt:variant>
        <vt:i4>1114173</vt:i4>
      </vt:variant>
      <vt:variant>
        <vt:i4>140</vt:i4>
      </vt:variant>
      <vt:variant>
        <vt:i4>0</vt:i4>
      </vt:variant>
      <vt:variant>
        <vt:i4>5</vt:i4>
      </vt:variant>
      <vt:variant>
        <vt:lpwstr/>
      </vt:variant>
      <vt:variant>
        <vt:lpwstr>_Toc28158368</vt:lpwstr>
      </vt:variant>
      <vt:variant>
        <vt:i4>1966141</vt:i4>
      </vt:variant>
      <vt:variant>
        <vt:i4>134</vt:i4>
      </vt:variant>
      <vt:variant>
        <vt:i4>0</vt:i4>
      </vt:variant>
      <vt:variant>
        <vt:i4>5</vt:i4>
      </vt:variant>
      <vt:variant>
        <vt:lpwstr/>
      </vt:variant>
      <vt:variant>
        <vt:lpwstr>_Toc28158367</vt:lpwstr>
      </vt:variant>
      <vt:variant>
        <vt:i4>2031677</vt:i4>
      </vt:variant>
      <vt:variant>
        <vt:i4>128</vt:i4>
      </vt:variant>
      <vt:variant>
        <vt:i4>0</vt:i4>
      </vt:variant>
      <vt:variant>
        <vt:i4>5</vt:i4>
      </vt:variant>
      <vt:variant>
        <vt:lpwstr/>
      </vt:variant>
      <vt:variant>
        <vt:lpwstr>_Toc28158366</vt:lpwstr>
      </vt:variant>
      <vt:variant>
        <vt:i4>1835069</vt:i4>
      </vt:variant>
      <vt:variant>
        <vt:i4>122</vt:i4>
      </vt:variant>
      <vt:variant>
        <vt:i4>0</vt:i4>
      </vt:variant>
      <vt:variant>
        <vt:i4>5</vt:i4>
      </vt:variant>
      <vt:variant>
        <vt:lpwstr/>
      </vt:variant>
      <vt:variant>
        <vt:lpwstr>_Toc28158365</vt:lpwstr>
      </vt:variant>
      <vt:variant>
        <vt:i4>1900605</vt:i4>
      </vt:variant>
      <vt:variant>
        <vt:i4>116</vt:i4>
      </vt:variant>
      <vt:variant>
        <vt:i4>0</vt:i4>
      </vt:variant>
      <vt:variant>
        <vt:i4>5</vt:i4>
      </vt:variant>
      <vt:variant>
        <vt:lpwstr/>
      </vt:variant>
      <vt:variant>
        <vt:lpwstr>_Toc28158364</vt:lpwstr>
      </vt:variant>
      <vt:variant>
        <vt:i4>1703997</vt:i4>
      </vt:variant>
      <vt:variant>
        <vt:i4>110</vt:i4>
      </vt:variant>
      <vt:variant>
        <vt:i4>0</vt:i4>
      </vt:variant>
      <vt:variant>
        <vt:i4>5</vt:i4>
      </vt:variant>
      <vt:variant>
        <vt:lpwstr/>
      </vt:variant>
      <vt:variant>
        <vt:lpwstr>_Toc28158363</vt:lpwstr>
      </vt:variant>
      <vt:variant>
        <vt:i4>1769533</vt:i4>
      </vt:variant>
      <vt:variant>
        <vt:i4>104</vt:i4>
      </vt:variant>
      <vt:variant>
        <vt:i4>0</vt:i4>
      </vt:variant>
      <vt:variant>
        <vt:i4>5</vt:i4>
      </vt:variant>
      <vt:variant>
        <vt:lpwstr/>
      </vt:variant>
      <vt:variant>
        <vt:lpwstr>_Toc28158362</vt:lpwstr>
      </vt:variant>
      <vt:variant>
        <vt:i4>1572925</vt:i4>
      </vt:variant>
      <vt:variant>
        <vt:i4>98</vt:i4>
      </vt:variant>
      <vt:variant>
        <vt:i4>0</vt:i4>
      </vt:variant>
      <vt:variant>
        <vt:i4>5</vt:i4>
      </vt:variant>
      <vt:variant>
        <vt:lpwstr/>
      </vt:variant>
      <vt:variant>
        <vt:lpwstr>_Toc28158361</vt:lpwstr>
      </vt:variant>
      <vt:variant>
        <vt:i4>1638461</vt:i4>
      </vt:variant>
      <vt:variant>
        <vt:i4>92</vt:i4>
      </vt:variant>
      <vt:variant>
        <vt:i4>0</vt:i4>
      </vt:variant>
      <vt:variant>
        <vt:i4>5</vt:i4>
      </vt:variant>
      <vt:variant>
        <vt:lpwstr/>
      </vt:variant>
      <vt:variant>
        <vt:lpwstr>_Toc28158360</vt:lpwstr>
      </vt:variant>
      <vt:variant>
        <vt:i4>1048638</vt:i4>
      </vt:variant>
      <vt:variant>
        <vt:i4>86</vt:i4>
      </vt:variant>
      <vt:variant>
        <vt:i4>0</vt:i4>
      </vt:variant>
      <vt:variant>
        <vt:i4>5</vt:i4>
      </vt:variant>
      <vt:variant>
        <vt:lpwstr/>
      </vt:variant>
      <vt:variant>
        <vt:lpwstr>_Toc28158359</vt:lpwstr>
      </vt:variant>
      <vt:variant>
        <vt:i4>1114174</vt:i4>
      </vt:variant>
      <vt:variant>
        <vt:i4>80</vt:i4>
      </vt:variant>
      <vt:variant>
        <vt:i4>0</vt:i4>
      </vt:variant>
      <vt:variant>
        <vt:i4>5</vt:i4>
      </vt:variant>
      <vt:variant>
        <vt:lpwstr/>
      </vt:variant>
      <vt:variant>
        <vt:lpwstr>_Toc28158358</vt:lpwstr>
      </vt:variant>
      <vt:variant>
        <vt:i4>1966142</vt:i4>
      </vt:variant>
      <vt:variant>
        <vt:i4>74</vt:i4>
      </vt:variant>
      <vt:variant>
        <vt:i4>0</vt:i4>
      </vt:variant>
      <vt:variant>
        <vt:i4>5</vt:i4>
      </vt:variant>
      <vt:variant>
        <vt:lpwstr/>
      </vt:variant>
      <vt:variant>
        <vt:lpwstr>_Toc28158357</vt:lpwstr>
      </vt:variant>
      <vt:variant>
        <vt:i4>2031678</vt:i4>
      </vt:variant>
      <vt:variant>
        <vt:i4>68</vt:i4>
      </vt:variant>
      <vt:variant>
        <vt:i4>0</vt:i4>
      </vt:variant>
      <vt:variant>
        <vt:i4>5</vt:i4>
      </vt:variant>
      <vt:variant>
        <vt:lpwstr/>
      </vt:variant>
      <vt:variant>
        <vt:lpwstr>_Toc28158356</vt:lpwstr>
      </vt:variant>
      <vt:variant>
        <vt:i4>1835070</vt:i4>
      </vt:variant>
      <vt:variant>
        <vt:i4>62</vt:i4>
      </vt:variant>
      <vt:variant>
        <vt:i4>0</vt:i4>
      </vt:variant>
      <vt:variant>
        <vt:i4>5</vt:i4>
      </vt:variant>
      <vt:variant>
        <vt:lpwstr/>
      </vt:variant>
      <vt:variant>
        <vt:lpwstr>_Toc28158355</vt:lpwstr>
      </vt:variant>
      <vt:variant>
        <vt:i4>1900606</vt:i4>
      </vt:variant>
      <vt:variant>
        <vt:i4>56</vt:i4>
      </vt:variant>
      <vt:variant>
        <vt:i4>0</vt:i4>
      </vt:variant>
      <vt:variant>
        <vt:i4>5</vt:i4>
      </vt:variant>
      <vt:variant>
        <vt:lpwstr/>
      </vt:variant>
      <vt:variant>
        <vt:lpwstr>_Toc28158354</vt:lpwstr>
      </vt:variant>
      <vt:variant>
        <vt:i4>1703998</vt:i4>
      </vt:variant>
      <vt:variant>
        <vt:i4>50</vt:i4>
      </vt:variant>
      <vt:variant>
        <vt:i4>0</vt:i4>
      </vt:variant>
      <vt:variant>
        <vt:i4>5</vt:i4>
      </vt:variant>
      <vt:variant>
        <vt:lpwstr/>
      </vt:variant>
      <vt:variant>
        <vt:lpwstr>_Toc28158353</vt:lpwstr>
      </vt:variant>
      <vt:variant>
        <vt:i4>1769534</vt:i4>
      </vt:variant>
      <vt:variant>
        <vt:i4>44</vt:i4>
      </vt:variant>
      <vt:variant>
        <vt:i4>0</vt:i4>
      </vt:variant>
      <vt:variant>
        <vt:i4>5</vt:i4>
      </vt:variant>
      <vt:variant>
        <vt:lpwstr/>
      </vt:variant>
      <vt:variant>
        <vt:lpwstr>_Toc28158352</vt:lpwstr>
      </vt:variant>
      <vt:variant>
        <vt:i4>1572926</vt:i4>
      </vt:variant>
      <vt:variant>
        <vt:i4>38</vt:i4>
      </vt:variant>
      <vt:variant>
        <vt:i4>0</vt:i4>
      </vt:variant>
      <vt:variant>
        <vt:i4>5</vt:i4>
      </vt:variant>
      <vt:variant>
        <vt:lpwstr/>
      </vt:variant>
      <vt:variant>
        <vt:lpwstr>_Toc28158351</vt:lpwstr>
      </vt:variant>
      <vt:variant>
        <vt:i4>1638462</vt:i4>
      </vt:variant>
      <vt:variant>
        <vt:i4>32</vt:i4>
      </vt:variant>
      <vt:variant>
        <vt:i4>0</vt:i4>
      </vt:variant>
      <vt:variant>
        <vt:i4>5</vt:i4>
      </vt:variant>
      <vt:variant>
        <vt:lpwstr/>
      </vt:variant>
      <vt:variant>
        <vt:lpwstr>_Toc28158350</vt:lpwstr>
      </vt:variant>
      <vt:variant>
        <vt:i4>1048639</vt:i4>
      </vt:variant>
      <vt:variant>
        <vt:i4>26</vt:i4>
      </vt:variant>
      <vt:variant>
        <vt:i4>0</vt:i4>
      </vt:variant>
      <vt:variant>
        <vt:i4>5</vt:i4>
      </vt:variant>
      <vt:variant>
        <vt:lpwstr/>
      </vt:variant>
      <vt:variant>
        <vt:lpwstr>_Toc28158349</vt:lpwstr>
      </vt:variant>
      <vt:variant>
        <vt:i4>1114175</vt:i4>
      </vt:variant>
      <vt:variant>
        <vt:i4>20</vt:i4>
      </vt:variant>
      <vt:variant>
        <vt:i4>0</vt:i4>
      </vt:variant>
      <vt:variant>
        <vt:i4>5</vt:i4>
      </vt:variant>
      <vt:variant>
        <vt:lpwstr/>
      </vt:variant>
      <vt:variant>
        <vt:lpwstr>_Toc28158348</vt:lpwstr>
      </vt:variant>
      <vt:variant>
        <vt:i4>1966143</vt:i4>
      </vt:variant>
      <vt:variant>
        <vt:i4>14</vt:i4>
      </vt:variant>
      <vt:variant>
        <vt:i4>0</vt:i4>
      </vt:variant>
      <vt:variant>
        <vt:i4>5</vt:i4>
      </vt:variant>
      <vt:variant>
        <vt:lpwstr/>
      </vt:variant>
      <vt:variant>
        <vt:lpwstr>_Toc28158347</vt:lpwstr>
      </vt:variant>
      <vt:variant>
        <vt:i4>2031679</vt:i4>
      </vt:variant>
      <vt:variant>
        <vt:i4>8</vt:i4>
      </vt:variant>
      <vt:variant>
        <vt:i4>0</vt:i4>
      </vt:variant>
      <vt:variant>
        <vt:i4>5</vt:i4>
      </vt:variant>
      <vt:variant>
        <vt:lpwstr/>
      </vt:variant>
      <vt:variant>
        <vt:lpwstr>_Toc28158346</vt:lpwstr>
      </vt:variant>
      <vt:variant>
        <vt:i4>1835071</vt:i4>
      </vt:variant>
      <vt:variant>
        <vt:i4>2</vt:i4>
      </vt:variant>
      <vt:variant>
        <vt:i4>0</vt:i4>
      </vt:variant>
      <vt:variant>
        <vt:i4>5</vt:i4>
      </vt:variant>
      <vt:variant>
        <vt:lpwstr/>
      </vt:variant>
      <vt:variant>
        <vt:lpwstr>_Toc28158345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ICBC</dc:creator>
  <cp:keywords/>
  <cp:lastModifiedBy>Windows User</cp:lastModifiedBy>
  <cp:revision>113</cp:revision>
  <cp:lastPrinted>2020-04-23T16:12:00Z</cp:lastPrinted>
  <dcterms:created xsi:type="dcterms:W3CDTF">2020-07-17T06:49:00Z</dcterms:created>
  <dcterms:modified xsi:type="dcterms:W3CDTF">2020-12-03T06:51:00Z</dcterms:modified>
</cp:coreProperties>
</file>