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849301">
      <w:pPr>
        <w:spacing w:line="300" w:lineRule="exact"/>
        <w:rPr>
          <w:rFonts w:ascii="Arial" w:hAnsi="Arial"/>
          <w:highlight w:val="none"/>
        </w:rPr>
      </w:pPr>
    </w:p>
    <w:p w14:paraId="77085E0F">
      <w:pPr>
        <w:spacing w:line="300" w:lineRule="exact"/>
        <w:rPr>
          <w:rFonts w:ascii="Arial" w:hAnsi="Arial"/>
          <w:highlight w:val="none"/>
        </w:rPr>
      </w:pPr>
    </w:p>
    <w:p w14:paraId="170D5758">
      <w:pPr>
        <w:spacing w:line="300" w:lineRule="exact"/>
        <w:rPr>
          <w:rFonts w:ascii="Arial" w:hAnsi="Arial"/>
          <w:highlight w:val="none"/>
        </w:rPr>
      </w:pPr>
    </w:p>
    <w:p w14:paraId="75DC820A">
      <w:pPr>
        <w:spacing w:line="300" w:lineRule="exact"/>
        <w:rPr>
          <w:rFonts w:ascii="Arial" w:hAnsi="Arial"/>
          <w:highlight w:val="none"/>
        </w:rPr>
      </w:pPr>
    </w:p>
    <w:p w14:paraId="2775A6E1">
      <w:pPr>
        <w:spacing w:line="300" w:lineRule="exact"/>
        <w:rPr>
          <w:rFonts w:ascii="Arial" w:hAnsi="Arial"/>
          <w:highlight w:val="none"/>
        </w:rPr>
      </w:pPr>
    </w:p>
    <w:p w14:paraId="678FD948">
      <w:pPr>
        <w:spacing w:line="300" w:lineRule="exact"/>
        <w:rPr>
          <w:rFonts w:ascii="Arial" w:hAnsi="Arial"/>
          <w:highlight w:val="none"/>
        </w:rPr>
      </w:pPr>
    </w:p>
    <w:p w14:paraId="148F8D4E">
      <w:pPr>
        <w:spacing w:line="300" w:lineRule="exact"/>
        <w:rPr>
          <w:rFonts w:ascii="Arial" w:hAnsi="Arial"/>
          <w:highlight w:val="none"/>
        </w:rPr>
      </w:pPr>
    </w:p>
    <w:p w14:paraId="622C9D42">
      <w:pPr>
        <w:spacing w:line="300" w:lineRule="exact"/>
        <w:rPr>
          <w:rFonts w:ascii="Arial" w:hAnsi="Arial"/>
          <w:highlight w:val="none"/>
        </w:rPr>
      </w:pPr>
    </w:p>
    <w:p w14:paraId="6499E875">
      <w:pPr>
        <w:spacing w:line="300" w:lineRule="exact"/>
        <w:rPr>
          <w:rFonts w:ascii="Arial" w:hAnsi="Arial"/>
          <w:highlight w:val="none"/>
        </w:rPr>
      </w:pPr>
    </w:p>
    <w:p w14:paraId="7F77B787">
      <w:pPr>
        <w:spacing w:line="300" w:lineRule="exact"/>
        <w:rPr>
          <w:rFonts w:ascii="Arial" w:hAnsi="Arial"/>
          <w:highlight w:val="none"/>
        </w:rPr>
      </w:pPr>
    </w:p>
    <w:p w14:paraId="2EC8ACE1">
      <w:pPr>
        <w:spacing w:line="300" w:lineRule="exact"/>
        <w:rPr>
          <w:rFonts w:ascii="Arial" w:hAnsi="Arial"/>
          <w:highlight w:val="none"/>
        </w:rPr>
      </w:pPr>
    </w:p>
    <w:p w14:paraId="639D10DF">
      <w:pPr>
        <w:spacing w:line="300" w:lineRule="exact"/>
        <w:rPr>
          <w:rFonts w:ascii="Arial" w:hAnsi="Arial"/>
          <w:highlight w:val="none"/>
        </w:rPr>
      </w:pPr>
    </w:p>
    <w:p w14:paraId="1B9D32C0">
      <w:pPr>
        <w:spacing w:line="300" w:lineRule="exact"/>
        <w:rPr>
          <w:rFonts w:ascii="Arial" w:hAnsi="Arial"/>
          <w:highlight w:val="none"/>
        </w:rPr>
      </w:pPr>
    </w:p>
    <w:p w14:paraId="78B0AD43">
      <w:pPr>
        <w:spacing w:line="300" w:lineRule="exact"/>
        <w:rPr>
          <w:rFonts w:ascii="Arial" w:hAnsi="Arial"/>
          <w:highlight w:val="none"/>
        </w:rPr>
      </w:pPr>
    </w:p>
    <w:p w14:paraId="2CF3E86A">
      <w:pPr>
        <w:spacing w:line="300" w:lineRule="exact"/>
        <w:rPr>
          <w:rFonts w:ascii="Arial" w:hAnsi="Arial"/>
          <w:highlight w:val="none"/>
        </w:rPr>
      </w:pPr>
    </w:p>
    <w:p w14:paraId="2427F4C4">
      <w:pPr>
        <w:spacing w:line="300" w:lineRule="exact"/>
        <w:rPr>
          <w:rFonts w:ascii="Arial" w:hAnsi="Arial"/>
          <w:highlight w:val="none"/>
        </w:rPr>
      </w:pPr>
    </w:p>
    <w:p w14:paraId="2BE5B6E8">
      <w:pPr>
        <w:spacing w:line="300" w:lineRule="exact"/>
        <w:rPr>
          <w:rFonts w:ascii="Arial" w:hAnsi="Arial"/>
          <w:highlight w:val="none"/>
        </w:rPr>
      </w:pPr>
    </w:p>
    <w:p w14:paraId="26A6A27F">
      <w:pPr>
        <w:spacing w:line="300" w:lineRule="exact"/>
        <w:rPr>
          <w:rFonts w:ascii="Arial" w:hAnsi="Arial"/>
          <w:highlight w:val="none"/>
        </w:rPr>
      </w:pPr>
    </w:p>
    <w:p w14:paraId="61B4AF29">
      <w:pPr>
        <w:spacing w:line="300" w:lineRule="exact"/>
        <w:rPr>
          <w:rFonts w:ascii="Arial" w:hAnsi="Arial"/>
          <w:highlight w:val="none"/>
        </w:rPr>
      </w:pPr>
    </w:p>
    <w:p w14:paraId="6BB0AD9B">
      <w:pPr>
        <w:spacing w:line="300" w:lineRule="exact"/>
        <w:rPr>
          <w:rFonts w:ascii="Arial" w:hAnsi="Arial"/>
          <w:highlight w:val="none"/>
        </w:rPr>
      </w:pPr>
    </w:p>
    <w:p w14:paraId="7400FADB">
      <w:pPr>
        <w:spacing w:line="300" w:lineRule="exact"/>
        <w:rPr>
          <w:rFonts w:ascii="Arial" w:hAnsi="Arial"/>
          <w:highlight w:val="none"/>
        </w:rPr>
      </w:pPr>
    </w:p>
    <w:p w14:paraId="64A4A4F5">
      <w:pPr>
        <w:spacing w:line="300" w:lineRule="exact"/>
        <w:rPr>
          <w:rFonts w:ascii="Arial" w:hAnsi="Arial"/>
          <w:highlight w:val="none"/>
        </w:rPr>
      </w:pPr>
    </w:p>
    <w:p w14:paraId="1B593F85">
      <w:pPr>
        <w:spacing w:line="300" w:lineRule="exact"/>
        <w:rPr>
          <w:rFonts w:ascii="Arial" w:hAnsi="Arial"/>
          <w:highlight w:val="none"/>
        </w:rPr>
      </w:pPr>
    </w:p>
    <w:p w14:paraId="49E6961A">
      <w:pPr>
        <w:spacing w:line="300" w:lineRule="exact"/>
        <w:rPr>
          <w:rFonts w:ascii="Arial" w:hAnsi="Arial"/>
          <w:highlight w:val="none"/>
        </w:rPr>
      </w:pPr>
    </w:p>
    <w:p w14:paraId="2E19338C">
      <w:pPr>
        <w:spacing w:line="300" w:lineRule="exact"/>
        <w:rPr>
          <w:rFonts w:ascii="Arial" w:hAnsi="Arial"/>
          <w:highlight w:val="none"/>
        </w:rPr>
      </w:pPr>
    </w:p>
    <w:p w14:paraId="17DB3C02">
      <w:pPr>
        <w:numPr>
          <w:ilvl w:val="0"/>
          <w:numId w:val="4"/>
        </w:numPr>
        <w:spacing w:line="300" w:lineRule="exact"/>
        <w:ind w:right="-93"/>
        <w:jc w:val="both"/>
        <w:outlineLvl w:val="0"/>
        <w:rPr>
          <w:rFonts w:ascii="Arial" w:hAnsi="Arial" w:eastAsia="方正黑体简体" w:cs="Arial"/>
          <w:b/>
          <w:bCs/>
          <w:sz w:val="21"/>
          <w:szCs w:val="21"/>
          <w:highlight w:val="none"/>
        </w:rPr>
      </w:pPr>
      <w:r>
        <w:rPr>
          <w:rFonts w:hint="eastAsia" w:ascii="Arial" w:hAnsi="Arial" w:eastAsia="方正黑体简体" w:cs="Arial"/>
          <w:b/>
          <w:bCs/>
          <w:sz w:val="21"/>
          <w:szCs w:val="21"/>
          <w:highlight w:val="none"/>
        </w:rPr>
        <w:t>估价项目名称：</w:t>
      </w:r>
      <w:r>
        <w:rPr>
          <w:rFonts w:hint="eastAsia" w:ascii="Arial" w:hAnsi="Arial" w:eastAsia="方正黑体简体" w:cs="Arial"/>
          <w:b/>
          <w:bCs/>
          <w:sz w:val="21"/>
          <w:szCs w:val="21"/>
          <w:highlight w:val="none"/>
          <w:lang w:val="en-US" w:eastAsia="zh-CN"/>
        </w:rPr>
        <w:t xml:space="preserve"> </w:t>
      </w:r>
    </w:p>
    <w:p w14:paraId="5099CA67">
      <w:pPr>
        <w:spacing w:line="300" w:lineRule="exact"/>
        <w:ind w:left="360"/>
        <w:jc w:val="both"/>
        <w:rPr>
          <w:rFonts w:ascii="Arial" w:hAnsi="Arial" w:eastAsia="方正黑体简体" w:cs="Arial"/>
          <w:sz w:val="21"/>
          <w:szCs w:val="21"/>
          <w:highlight w:val="none"/>
        </w:rPr>
      </w:pPr>
      <w:r>
        <w:rPr>
          <w:rFonts w:hint="eastAsia" w:ascii="Arial" w:hAnsi="Arial" w:eastAsia="方正黑体简体" w:cs="Arial"/>
          <w:sz w:val="21"/>
          <w:szCs w:val="21"/>
          <w:highlight w:val="none"/>
          <w:lang w:val="en-US" w:eastAsia="zh-CN"/>
        </w:rPr>
        <w:t>北京市大兴区采育数字时尚小镇（育新花园）项目同地段、同品质市场租赁住房租金评估</w:t>
      </w:r>
    </w:p>
    <w:p w14:paraId="36F6BBAB">
      <w:pPr>
        <w:spacing w:line="300" w:lineRule="exact"/>
        <w:rPr>
          <w:rFonts w:ascii="Arial" w:hAnsi="Arial" w:eastAsia="方正黑体简体" w:cs="Arial"/>
          <w:b/>
          <w:bCs/>
          <w:sz w:val="21"/>
          <w:szCs w:val="21"/>
          <w:highlight w:val="none"/>
        </w:rPr>
      </w:pPr>
    </w:p>
    <w:p w14:paraId="328A5854">
      <w:pPr>
        <w:numPr>
          <w:ilvl w:val="0"/>
          <w:numId w:val="4"/>
        </w:numPr>
        <w:spacing w:line="300" w:lineRule="exact"/>
        <w:jc w:val="both"/>
        <w:outlineLvl w:val="0"/>
        <w:rPr>
          <w:rFonts w:ascii="Arial" w:hAnsi="Arial" w:eastAsia="方正黑体简体" w:cs="Arial"/>
          <w:b/>
          <w:sz w:val="21"/>
          <w:szCs w:val="21"/>
          <w:highlight w:val="none"/>
        </w:rPr>
      </w:pPr>
      <w:r>
        <w:rPr>
          <w:rFonts w:hint="eastAsia" w:ascii="Arial" w:hAnsi="Arial" w:eastAsia="方正黑体简体" w:cs="Arial"/>
          <w:b/>
          <w:sz w:val="21"/>
          <w:szCs w:val="21"/>
          <w:highlight w:val="none"/>
        </w:rPr>
        <w:t>估价委托人：</w:t>
      </w:r>
    </w:p>
    <w:p w14:paraId="006B53C1">
      <w:pPr>
        <w:spacing w:line="300" w:lineRule="exact"/>
        <w:ind w:left="360"/>
        <w:jc w:val="both"/>
        <w:rPr>
          <w:rFonts w:hint="eastAsia" w:ascii="Arial" w:hAnsi="Arial" w:eastAsia="方正黑体简体" w:cs="Arial"/>
          <w:sz w:val="21"/>
          <w:szCs w:val="21"/>
          <w:highlight w:val="none"/>
          <w:lang w:eastAsia="zh-CN"/>
        </w:rPr>
      </w:pPr>
      <w:r>
        <w:rPr>
          <w:rFonts w:hint="eastAsia" w:ascii="Arial" w:hAnsi="Arial" w:eastAsia="方正黑体简体" w:cs="Arial"/>
          <w:sz w:val="21"/>
          <w:szCs w:val="21"/>
          <w:highlight w:val="none"/>
          <w:lang w:eastAsia="zh-CN"/>
        </w:rPr>
        <w:t>北京市大兴区保障性住房建设投资有限公司</w:t>
      </w:r>
    </w:p>
    <w:p w14:paraId="3078C04C">
      <w:pPr>
        <w:spacing w:line="300" w:lineRule="exact"/>
        <w:ind w:left="360"/>
        <w:jc w:val="both"/>
        <w:rPr>
          <w:rFonts w:ascii="Arial" w:hAnsi="Arial" w:eastAsia="方正黑体简体" w:cs="Arial"/>
          <w:sz w:val="21"/>
          <w:szCs w:val="21"/>
          <w:highlight w:val="none"/>
        </w:rPr>
      </w:pPr>
    </w:p>
    <w:p w14:paraId="2375EB65">
      <w:pPr>
        <w:numPr>
          <w:ilvl w:val="0"/>
          <w:numId w:val="4"/>
        </w:numPr>
        <w:spacing w:line="300" w:lineRule="exact"/>
        <w:jc w:val="both"/>
        <w:outlineLvl w:val="0"/>
        <w:rPr>
          <w:rFonts w:ascii="Arial" w:hAnsi="Arial" w:eastAsia="方正黑体简体" w:cs="Arial"/>
          <w:b/>
          <w:sz w:val="21"/>
          <w:szCs w:val="21"/>
          <w:highlight w:val="none"/>
        </w:rPr>
      </w:pPr>
      <w:r>
        <w:rPr>
          <w:rFonts w:hint="eastAsia" w:ascii="Arial" w:hAnsi="Arial" w:eastAsia="方正黑体简体" w:cs="Arial"/>
          <w:b/>
          <w:sz w:val="21"/>
          <w:szCs w:val="21"/>
          <w:highlight w:val="none"/>
        </w:rPr>
        <w:t>房地产估价机构：</w:t>
      </w:r>
    </w:p>
    <w:p w14:paraId="7DD4411D">
      <w:pPr>
        <w:spacing w:line="300" w:lineRule="exact"/>
        <w:ind w:left="360"/>
        <w:jc w:val="both"/>
        <w:rPr>
          <w:rFonts w:ascii="Arial" w:hAnsi="Arial" w:eastAsia="方正黑体简体" w:cs="Arial"/>
          <w:sz w:val="21"/>
          <w:szCs w:val="21"/>
          <w:highlight w:val="none"/>
        </w:rPr>
      </w:pPr>
      <w:r>
        <w:rPr>
          <w:rFonts w:hint="eastAsia" w:ascii="Arial" w:hAnsi="Arial" w:eastAsia="方正黑体简体" w:cs="Arial"/>
          <w:sz w:val="21"/>
          <w:szCs w:val="21"/>
          <w:highlight w:val="none"/>
        </w:rPr>
        <w:t>北京康正宏基房地产评估有限公司</w:t>
      </w:r>
    </w:p>
    <w:p w14:paraId="52D2FFAA">
      <w:pPr>
        <w:spacing w:line="300" w:lineRule="exact"/>
        <w:jc w:val="both"/>
        <w:rPr>
          <w:rFonts w:ascii="Arial" w:hAnsi="Arial" w:eastAsia="方正黑体简体" w:cs="Arial"/>
          <w:b/>
          <w:sz w:val="21"/>
          <w:szCs w:val="21"/>
          <w:highlight w:val="none"/>
        </w:rPr>
      </w:pPr>
    </w:p>
    <w:p w14:paraId="03A7043D">
      <w:pPr>
        <w:numPr>
          <w:ilvl w:val="0"/>
          <w:numId w:val="4"/>
        </w:numPr>
        <w:spacing w:line="300" w:lineRule="exact"/>
        <w:jc w:val="both"/>
        <w:outlineLvl w:val="0"/>
        <w:rPr>
          <w:rFonts w:ascii="Arial" w:hAnsi="Arial" w:eastAsia="方正黑体简体" w:cs="Arial"/>
          <w:b/>
          <w:sz w:val="21"/>
          <w:szCs w:val="21"/>
          <w:highlight w:val="none"/>
        </w:rPr>
      </w:pPr>
      <w:r>
        <w:rPr>
          <w:rFonts w:hint="eastAsia" w:ascii="Arial" w:hAnsi="Arial" w:eastAsia="方正黑体简体" w:cs="Arial"/>
          <w:b/>
          <w:sz w:val="21"/>
          <w:szCs w:val="21"/>
          <w:highlight w:val="none"/>
        </w:rPr>
        <w:t>注册房地产估价师：</w:t>
      </w:r>
    </w:p>
    <w:p w14:paraId="395A45B8">
      <w:pPr>
        <w:spacing w:line="300" w:lineRule="exact"/>
        <w:ind w:left="360"/>
        <w:jc w:val="both"/>
        <w:rPr>
          <w:rFonts w:ascii="Arial" w:hAnsi="Arial" w:eastAsia="方正黑体简体" w:cs="Arial"/>
          <w:sz w:val="21"/>
          <w:szCs w:val="21"/>
          <w:highlight w:val="none"/>
        </w:rPr>
      </w:pPr>
      <w:bookmarkStart w:id="0" w:name="_Hlk124349677"/>
      <w:r>
        <w:rPr>
          <w:rFonts w:hint="eastAsia" w:ascii="Arial" w:hAnsi="Arial" w:eastAsia="方正黑体简体"/>
          <w:sz w:val="21"/>
          <w:szCs w:val="21"/>
          <w:highlight w:val="none"/>
        </w:rPr>
        <w:t>常  畅（注册号：1120250061）</w:t>
      </w:r>
      <w:r>
        <w:rPr>
          <w:rFonts w:ascii="Arial" w:hAnsi="Arial" w:eastAsia="方正黑体简体"/>
          <w:sz w:val="21"/>
          <w:szCs w:val="21"/>
          <w:highlight w:val="none"/>
        </w:rPr>
        <w:t xml:space="preserve">  </w:t>
      </w:r>
      <w:r>
        <w:rPr>
          <w:rFonts w:hint="eastAsia" w:ascii="Arial" w:hAnsi="Arial" w:eastAsia="方正黑体简体"/>
          <w:sz w:val="21"/>
          <w:szCs w:val="21"/>
          <w:highlight w:val="none"/>
        </w:rPr>
        <w:t>许皓源</w:t>
      </w:r>
      <w:r>
        <w:rPr>
          <w:rFonts w:hint="eastAsia" w:ascii="Arial" w:hAnsi="Arial" w:eastAsia="方正黑体简体" w:cs="Arial"/>
          <w:sz w:val="21"/>
          <w:szCs w:val="21"/>
          <w:highlight w:val="none"/>
        </w:rPr>
        <w:t>（注册号：</w:t>
      </w:r>
      <w:r>
        <w:rPr>
          <w:rFonts w:hint="eastAsia" w:ascii="Arial" w:hAnsi="Arial" w:eastAsia="方正黑体简体"/>
          <w:sz w:val="21"/>
          <w:szCs w:val="21"/>
          <w:highlight w:val="none"/>
        </w:rPr>
        <w:t>1119980019</w:t>
      </w:r>
      <w:r>
        <w:rPr>
          <w:rFonts w:hint="eastAsia" w:ascii="Arial" w:hAnsi="Arial" w:eastAsia="方正黑体简体" w:cs="Arial"/>
          <w:sz w:val="21"/>
          <w:szCs w:val="21"/>
          <w:highlight w:val="none"/>
        </w:rPr>
        <w:t>）</w:t>
      </w:r>
      <w:bookmarkEnd w:id="0"/>
    </w:p>
    <w:p w14:paraId="5731681A">
      <w:pPr>
        <w:spacing w:line="300" w:lineRule="exact"/>
        <w:jc w:val="both"/>
        <w:rPr>
          <w:rFonts w:ascii="Arial" w:hAnsi="Arial" w:eastAsia="方正黑体简体" w:cs="Arial"/>
          <w:b/>
          <w:sz w:val="21"/>
          <w:szCs w:val="21"/>
          <w:highlight w:val="none"/>
        </w:rPr>
      </w:pPr>
    </w:p>
    <w:p w14:paraId="1D73997F">
      <w:pPr>
        <w:numPr>
          <w:ilvl w:val="0"/>
          <w:numId w:val="4"/>
        </w:numPr>
        <w:spacing w:line="300" w:lineRule="exact"/>
        <w:jc w:val="both"/>
        <w:outlineLvl w:val="0"/>
        <w:rPr>
          <w:rFonts w:ascii="Arial" w:hAnsi="Arial" w:eastAsia="方正黑体简体" w:cs="Arial"/>
          <w:b/>
          <w:sz w:val="21"/>
          <w:szCs w:val="21"/>
          <w:highlight w:val="none"/>
        </w:rPr>
      </w:pPr>
      <w:r>
        <w:rPr>
          <w:rFonts w:ascii="Arial" w:hAnsi="Arial" w:eastAsia="方正黑体简体" w:cs="Arial"/>
          <w:b/>
          <w:sz w:val="21"/>
          <w:szCs w:val="21"/>
          <w:highlight w:val="none"/>
        </w:rPr>
        <w:t>估价报告出具日期：</w:t>
      </w:r>
    </w:p>
    <w:p w14:paraId="76D44DC3">
      <w:pPr>
        <w:spacing w:line="300" w:lineRule="exact"/>
        <w:ind w:left="360"/>
        <w:jc w:val="both"/>
        <w:rPr>
          <w:rFonts w:ascii="Arial" w:hAnsi="Arial" w:eastAsia="方正黑体简体" w:cs="Arial"/>
          <w:sz w:val="21"/>
          <w:szCs w:val="21"/>
          <w:highlight w:val="none"/>
        </w:rPr>
      </w:pPr>
      <w:r>
        <w:rPr>
          <w:rFonts w:ascii="Arial" w:hAnsi="Arial" w:eastAsia="方正黑体简体" w:cs="Arial"/>
          <w:sz w:val="21"/>
          <w:szCs w:val="21"/>
          <w:highlight w:val="none"/>
        </w:rPr>
        <w:t>202</w:t>
      </w:r>
      <w:r>
        <w:rPr>
          <w:rFonts w:hint="eastAsia" w:ascii="Arial" w:hAnsi="Arial" w:eastAsia="方正黑体简体" w:cs="Arial"/>
          <w:sz w:val="21"/>
          <w:szCs w:val="21"/>
          <w:highlight w:val="none"/>
          <w:lang w:val="en-US" w:eastAsia="zh-CN"/>
        </w:rPr>
        <w:t>6</w:t>
      </w:r>
      <w:r>
        <w:rPr>
          <w:rFonts w:ascii="Arial" w:hAnsi="Arial" w:eastAsia="方正黑体简体" w:cs="Arial"/>
          <w:sz w:val="21"/>
          <w:szCs w:val="21"/>
          <w:highlight w:val="none"/>
        </w:rPr>
        <w:t>年</w:t>
      </w:r>
      <w:r>
        <w:rPr>
          <w:rFonts w:hint="eastAsia" w:ascii="Arial" w:hAnsi="Arial" w:eastAsia="方正黑体简体" w:cs="Arial"/>
          <w:sz w:val="21"/>
          <w:szCs w:val="21"/>
          <w:highlight w:val="none"/>
          <w:lang w:val="en-US" w:eastAsia="zh-CN"/>
        </w:rPr>
        <w:t>3</w:t>
      </w:r>
      <w:r>
        <w:rPr>
          <w:rFonts w:ascii="Arial" w:hAnsi="Arial" w:eastAsia="方正黑体简体" w:cs="Arial"/>
          <w:sz w:val="21"/>
          <w:szCs w:val="21"/>
          <w:highlight w:val="none"/>
        </w:rPr>
        <w:t>月</w:t>
      </w:r>
      <w:r>
        <w:rPr>
          <w:rFonts w:hint="eastAsia" w:ascii="Arial" w:hAnsi="Arial" w:eastAsia="方正黑体简体" w:cs="Arial"/>
          <w:sz w:val="21"/>
          <w:szCs w:val="21"/>
          <w:highlight w:val="none"/>
          <w:lang w:val="en-US" w:eastAsia="zh-CN"/>
        </w:rPr>
        <w:t>6</w:t>
      </w:r>
      <w:r>
        <w:rPr>
          <w:rFonts w:ascii="Arial" w:hAnsi="Arial" w:eastAsia="方正黑体简体" w:cs="Arial"/>
          <w:sz w:val="21"/>
          <w:szCs w:val="21"/>
          <w:highlight w:val="none"/>
        </w:rPr>
        <w:t>日</w:t>
      </w:r>
    </w:p>
    <w:p w14:paraId="49B82D9F">
      <w:pPr>
        <w:spacing w:line="300" w:lineRule="exact"/>
        <w:jc w:val="both"/>
        <w:rPr>
          <w:rFonts w:ascii="Arial" w:hAnsi="Arial" w:eastAsia="方正黑体简体" w:cs="Arial"/>
          <w:b/>
          <w:sz w:val="21"/>
          <w:szCs w:val="21"/>
          <w:highlight w:val="none"/>
        </w:rPr>
      </w:pPr>
    </w:p>
    <w:p w14:paraId="39BB094D">
      <w:pPr>
        <w:numPr>
          <w:ilvl w:val="0"/>
          <w:numId w:val="4"/>
        </w:numPr>
        <w:spacing w:line="300" w:lineRule="exact"/>
        <w:jc w:val="both"/>
        <w:outlineLvl w:val="0"/>
        <w:rPr>
          <w:rFonts w:ascii="Arial" w:hAnsi="Arial" w:eastAsia="方正黑体简体" w:cs="Arial"/>
          <w:sz w:val="21"/>
          <w:szCs w:val="21"/>
          <w:highlight w:val="none"/>
        </w:rPr>
      </w:pPr>
      <w:r>
        <w:rPr>
          <w:rFonts w:hint="eastAsia" w:ascii="Arial" w:hAnsi="Arial" w:eastAsia="方正黑体简体" w:cs="Arial"/>
          <w:b/>
          <w:sz w:val="21"/>
          <w:szCs w:val="21"/>
          <w:highlight w:val="none"/>
        </w:rPr>
        <w:t>估价报告编号：</w:t>
      </w:r>
    </w:p>
    <w:p w14:paraId="57608EF6">
      <w:pPr>
        <w:spacing w:line="300" w:lineRule="exact"/>
        <w:ind w:left="360"/>
        <w:jc w:val="both"/>
        <w:rPr>
          <w:rFonts w:ascii="Arial" w:hAnsi="Arial" w:eastAsia="方正黑体简体" w:cs="Arial"/>
          <w:sz w:val="21"/>
          <w:szCs w:val="21"/>
          <w:highlight w:val="none"/>
        </w:rPr>
        <w:sectPr>
          <w:headerReference r:id="rId6" w:type="first"/>
          <w:footerReference r:id="rId9" w:type="first"/>
          <w:headerReference r:id="rId5" w:type="default"/>
          <w:footerReference r:id="rId7" w:type="default"/>
          <w:footerReference r:id="rId8" w:type="even"/>
          <w:pgSz w:w="11907" w:h="16840"/>
          <w:pgMar w:top="1843" w:right="1134" w:bottom="1134" w:left="1134" w:header="850" w:footer="1134" w:gutter="340"/>
          <w:cols w:space="720" w:num="1"/>
          <w:titlePg/>
          <w:docGrid w:linePitch="326" w:charSpace="0"/>
        </w:sectPr>
      </w:pPr>
      <w:r>
        <w:rPr>
          <w:rFonts w:hint="eastAsia" w:ascii="Arial" w:hAnsi="Arial" w:eastAsia="方正黑体简体" w:cs="Arial"/>
          <w:sz w:val="21"/>
          <w:szCs w:val="21"/>
          <w:highlight w:val="none"/>
        </w:rPr>
        <w:t>康正评字2025-1-0814-F0</w:t>
      </w:r>
      <w:r>
        <w:rPr>
          <w:rFonts w:hint="eastAsia" w:ascii="Arial" w:hAnsi="Arial" w:eastAsia="方正黑体简体" w:cs="Arial"/>
          <w:sz w:val="21"/>
          <w:szCs w:val="21"/>
          <w:highlight w:val="none"/>
          <w:lang w:val="en-US" w:eastAsia="zh-CN"/>
        </w:rPr>
        <w:t>1</w:t>
      </w:r>
      <w:r>
        <w:rPr>
          <w:rFonts w:hint="eastAsia" w:ascii="Arial" w:hAnsi="Arial" w:eastAsia="方正黑体简体" w:cs="Arial"/>
          <w:sz w:val="21"/>
          <w:szCs w:val="21"/>
          <w:highlight w:val="none"/>
        </w:rPr>
        <w:t>ZLGJ6号</w:t>
      </w:r>
    </w:p>
    <w:p w14:paraId="2E5951DA">
      <w:pPr>
        <w:pStyle w:val="2"/>
        <w:spacing w:line="480" w:lineRule="auto"/>
        <w:jc w:val="center"/>
        <w:rPr>
          <w:rFonts w:eastAsia="方正黑体简体"/>
          <w:b w:val="0"/>
          <w:kern w:val="2"/>
          <w:sz w:val="32"/>
          <w:szCs w:val="32"/>
          <w:highlight w:val="none"/>
        </w:rPr>
      </w:pPr>
      <w:bookmarkStart w:id="1" w:name="_Toc379795040"/>
      <w:bookmarkStart w:id="2" w:name="_Toc477252437"/>
      <w:bookmarkStart w:id="3" w:name="_Toc155267082"/>
      <w:r>
        <w:rPr>
          <w:rFonts w:eastAsia="方正黑体简体"/>
          <w:b w:val="0"/>
          <w:kern w:val="2"/>
          <w:sz w:val="32"/>
          <w:szCs w:val="32"/>
          <w:highlight w:val="none"/>
        </w:rPr>
        <w:t>致估价委托人函</w:t>
      </w:r>
      <w:bookmarkEnd w:id="1"/>
      <w:bookmarkEnd w:id="2"/>
      <w:bookmarkEnd w:id="3"/>
    </w:p>
    <w:p w14:paraId="33A5F3E9">
      <w:pPr>
        <w:overflowPunct w:val="0"/>
        <w:spacing w:before="120" w:beforeLines="50" w:line="480" w:lineRule="auto"/>
        <w:jc w:val="both"/>
        <w:textAlignment w:val="auto"/>
        <w:rPr>
          <w:rFonts w:ascii="Arial" w:hAnsi="Arial" w:cs="Arial"/>
          <w:b/>
          <w:bCs/>
          <w:sz w:val="21"/>
          <w:szCs w:val="21"/>
          <w:highlight w:val="none"/>
        </w:rPr>
      </w:pPr>
      <w:r>
        <w:rPr>
          <w:rFonts w:hint="eastAsia" w:ascii="Arial" w:hAnsi="Arial" w:cs="Arial"/>
          <w:b/>
          <w:bCs/>
          <w:sz w:val="21"/>
          <w:szCs w:val="21"/>
          <w:highlight w:val="none"/>
          <w:lang w:eastAsia="zh-CN"/>
        </w:rPr>
        <w:t>北京市大兴区保障性住房建设投资有限公司</w:t>
      </w:r>
      <w:r>
        <w:rPr>
          <w:rFonts w:ascii="Arial" w:hAnsi="Arial" w:cs="Arial"/>
          <w:b/>
          <w:bCs/>
          <w:sz w:val="21"/>
          <w:szCs w:val="21"/>
          <w:highlight w:val="none"/>
        </w:rPr>
        <w:t>：</w:t>
      </w:r>
    </w:p>
    <w:p w14:paraId="1873A4DA">
      <w:pPr>
        <w:overflowPunct w:val="0"/>
        <w:spacing w:line="480" w:lineRule="auto"/>
        <w:ind w:firstLine="420" w:firstLineChars="200"/>
        <w:jc w:val="both"/>
        <w:textAlignment w:val="auto"/>
        <w:rPr>
          <w:rFonts w:hint="eastAsia" w:ascii="Arial" w:hAnsi="Arial" w:eastAsia="宋体" w:cs="Arial"/>
          <w:kern w:val="2"/>
          <w:sz w:val="21"/>
          <w:szCs w:val="21"/>
          <w:highlight w:val="none"/>
          <w:lang w:eastAsia="zh-CN"/>
        </w:rPr>
      </w:pPr>
      <w:r>
        <w:rPr>
          <w:rFonts w:ascii="Arial" w:hAnsi="Arial" w:cs="Arial"/>
          <w:kern w:val="2"/>
          <w:sz w:val="21"/>
          <w:szCs w:val="21"/>
          <w:highlight w:val="none"/>
        </w:rPr>
        <w:t>受贵单位委托，我公司对</w:t>
      </w:r>
      <w:r>
        <w:rPr>
          <w:rFonts w:hint="eastAsia" w:ascii="Arial" w:hAnsi="Arial" w:cs="Arial"/>
          <w:kern w:val="2"/>
          <w:sz w:val="21"/>
          <w:szCs w:val="21"/>
          <w:highlight w:val="none"/>
          <w:lang w:eastAsia="zh-CN"/>
        </w:rPr>
        <w:t>北京市大兴区采育数字时尚小镇（育新花园）项目同地段、同品质市场租赁住房租金</w:t>
      </w:r>
      <w:r>
        <w:rPr>
          <w:rFonts w:hint="eastAsia" w:ascii="Arial" w:hAnsi="Arial" w:cs="Arial"/>
          <w:kern w:val="2"/>
          <w:sz w:val="21"/>
          <w:szCs w:val="21"/>
          <w:highlight w:val="none"/>
          <w:lang w:val="en-US" w:eastAsia="zh-CN"/>
        </w:rPr>
        <w:t>进行了</w:t>
      </w:r>
      <w:r>
        <w:rPr>
          <w:rFonts w:hint="eastAsia" w:ascii="Arial" w:hAnsi="Arial" w:cs="Arial"/>
          <w:kern w:val="2"/>
          <w:sz w:val="21"/>
          <w:szCs w:val="21"/>
          <w:highlight w:val="none"/>
        </w:rPr>
        <w:t>评估</w:t>
      </w:r>
      <w:r>
        <w:rPr>
          <w:rFonts w:hint="eastAsia" w:ascii="Arial" w:hAnsi="Arial" w:cs="Arial"/>
          <w:kern w:val="2"/>
          <w:sz w:val="21"/>
          <w:szCs w:val="21"/>
          <w:highlight w:val="none"/>
          <w:lang w:eastAsia="zh-CN"/>
        </w:rPr>
        <w:t>。</w:t>
      </w:r>
    </w:p>
    <w:p w14:paraId="6D679234">
      <w:pPr>
        <w:overflowPunct w:val="0"/>
        <w:spacing w:line="480" w:lineRule="auto"/>
        <w:ind w:firstLine="422" w:firstLineChars="200"/>
        <w:jc w:val="both"/>
        <w:textAlignment w:val="auto"/>
        <w:rPr>
          <w:rFonts w:ascii="Arial" w:hAnsi="Arial" w:cs="Arial"/>
          <w:sz w:val="21"/>
          <w:szCs w:val="21"/>
          <w:highlight w:val="none"/>
        </w:rPr>
      </w:pPr>
      <w:r>
        <w:rPr>
          <w:rFonts w:ascii="Arial" w:hAnsi="Arial" w:cs="Arial"/>
          <w:b/>
          <w:bCs/>
          <w:sz w:val="21"/>
          <w:szCs w:val="21"/>
          <w:highlight w:val="none"/>
        </w:rPr>
        <w:t>估价目的：</w:t>
      </w:r>
      <w:r>
        <w:rPr>
          <w:rFonts w:hint="eastAsia" w:ascii="Arial" w:hAnsi="Arial"/>
          <w:kern w:val="2"/>
          <w:sz w:val="21"/>
        </w:rPr>
        <w:t>为估价委托人了解估价对象房地产市场租金水平提供参考依据</w:t>
      </w:r>
      <w:r>
        <w:rPr>
          <w:rFonts w:ascii="Arial" w:hAnsi="Arial" w:cs="Arial"/>
          <w:sz w:val="21"/>
          <w:szCs w:val="21"/>
          <w:highlight w:val="none"/>
        </w:rPr>
        <w:t>。</w:t>
      </w:r>
    </w:p>
    <w:p w14:paraId="3960D2D9">
      <w:pPr>
        <w:overflowPunct w:val="0"/>
        <w:spacing w:line="480" w:lineRule="auto"/>
        <w:ind w:firstLine="422" w:firstLineChars="200"/>
        <w:jc w:val="both"/>
        <w:textAlignment w:val="auto"/>
        <w:rPr>
          <w:rFonts w:hint="eastAsia" w:ascii="Arial" w:hAnsi="Arial" w:cs="Arial"/>
          <w:sz w:val="21"/>
          <w:szCs w:val="21"/>
          <w:highlight w:val="none"/>
        </w:rPr>
      </w:pPr>
      <w:r>
        <w:rPr>
          <w:rFonts w:ascii="Arial" w:hAnsi="Arial" w:cs="Arial"/>
          <w:b/>
          <w:bCs/>
          <w:sz w:val="21"/>
          <w:szCs w:val="21"/>
          <w:highlight w:val="none"/>
        </w:rPr>
        <w:t>估价对象：</w:t>
      </w:r>
      <w:r>
        <w:rPr>
          <w:rFonts w:hint="eastAsia" w:ascii="Arial" w:hAnsi="Arial" w:cs="Arial"/>
          <w:sz w:val="21"/>
          <w:szCs w:val="21"/>
          <w:highlight w:val="none"/>
          <w:lang w:val="en-US" w:eastAsia="zh-CN"/>
        </w:rPr>
        <w:t>根据</w:t>
      </w:r>
      <w:r>
        <w:rPr>
          <w:rFonts w:hint="eastAsia" w:ascii="Arial" w:hAnsi="Arial" w:cs="Arial"/>
          <w:sz w:val="21"/>
          <w:szCs w:val="21"/>
          <w:highlight w:val="none"/>
          <w:lang w:eastAsia="zh-CN"/>
        </w:rPr>
        <w:t>《</w:t>
      </w:r>
      <w:r>
        <w:rPr>
          <w:rFonts w:hint="eastAsia" w:ascii="Arial" w:hAnsi="Arial" w:cs="Arial"/>
          <w:sz w:val="21"/>
          <w:szCs w:val="21"/>
          <w:highlight w:val="none"/>
          <w:lang w:val="en-US" w:eastAsia="zh-CN"/>
        </w:rPr>
        <w:t>北京市大兴区住房和城乡建设委员会 关于采育数字时尚小镇保障性住房使用管理有关问题的请示》[京兴建文（</w:t>
      </w:r>
      <w:bookmarkStart w:id="77" w:name="_GoBack"/>
      <w:bookmarkEnd w:id="77"/>
      <w:r>
        <w:rPr>
          <w:rFonts w:hint="eastAsia" w:ascii="Arial" w:hAnsi="Arial" w:cs="Arial"/>
          <w:sz w:val="21"/>
          <w:szCs w:val="21"/>
          <w:highlight w:val="none"/>
          <w:lang w:val="en-US" w:eastAsia="zh-CN"/>
        </w:rPr>
        <w:t>2025）123号]、《北京市大兴区住房和城乡建设委员会 关于采育数字时尚小镇保障性住房相关事宜专题会会议纪要》、《采育数字时尚小镇保障性住房趸组协议》及其附件、</w:t>
      </w:r>
      <w:r>
        <w:rPr>
          <w:rFonts w:hint="eastAsia" w:ascii="Arial" w:hAnsi="Arial" w:cs="Arial"/>
          <w:sz w:val="21"/>
          <w:szCs w:val="21"/>
          <w:highlight w:val="none"/>
        </w:rPr>
        <w:t>《估价委托书</w:t>
      </w:r>
      <w:r>
        <w:rPr>
          <w:rFonts w:hint="eastAsia" w:ascii="Arial" w:hAnsi="Arial" w:cs="Arial"/>
          <w:kern w:val="2"/>
          <w:sz w:val="21"/>
          <w:szCs w:val="21"/>
          <w:highlight w:val="none"/>
        </w:rPr>
        <w:t>》</w:t>
      </w:r>
      <w:r>
        <w:rPr>
          <w:rFonts w:hint="eastAsia" w:ascii="Arial" w:hAnsi="Arial" w:cs="Arial"/>
          <w:sz w:val="21"/>
          <w:szCs w:val="21"/>
          <w:highlight w:val="none"/>
          <w:lang w:eastAsia="zh-CN"/>
        </w:rPr>
        <w:t>，</w:t>
      </w:r>
      <w:r>
        <w:rPr>
          <w:rFonts w:hint="eastAsia" w:ascii="Arial" w:hAnsi="Arial" w:cs="Arial"/>
          <w:sz w:val="21"/>
          <w:szCs w:val="21"/>
          <w:highlight w:val="none"/>
          <w:lang w:val="en-US" w:eastAsia="zh-CN"/>
        </w:rPr>
        <w:t>估价对象为</w:t>
      </w:r>
      <w:r>
        <w:rPr>
          <w:rFonts w:hint="eastAsia" w:ascii="Arial" w:hAnsi="Arial" w:cs="Arial"/>
          <w:kern w:val="2"/>
          <w:sz w:val="21"/>
          <w:szCs w:val="21"/>
          <w:highlight w:val="none"/>
          <w:lang w:eastAsia="zh-CN"/>
        </w:rPr>
        <w:t>北京市大兴区采育数字时尚小镇（育新花园）共计1324套</w:t>
      </w:r>
      <w:r>
        <w:rPr>
          <w:rFonts w:hint="eastAsia" w:ascii="Arial" w:hAnsi="Arial" w:cs="Arial"/>
          <w:kern w:val="2"/>
          <w:sz w:val="21"/>
          <w:szCs w:val="21"/>
          <w:highlight w:val="none"/>
          <w:lang w:val="en-US" w:eastAsia="zh-CN"/>
        </w:rPr>
        <w:t>住宅用房</w:t>
      </w:r>
      <w:r>
        <w:rPr>
          <w:rFonts w:hint="eastAsia" w:ascii="Arial" w:hAnsi="Arial" w:cs="Arial"/>
          <w:kern w:val="2"/>
          <w:sz w:val="21"/>
          <w:szCs w:val="21"/>
          <w:highlight w:val="none"/>
          <w:lang w:eastAsia="zh-CN"/>
        </w:rPr>
        <w:t>，</w:t>
      </w:r>
      <w:r>
        <w:rPr>
          <w:rFonts w:hint="eastAsia" w:ascii="Arial" w:hAnsi="Arial" w:cs="Arial"/>
          <w:kern w:val="2"/>
          <w:sz w:val="21"/>
          <w:szCs w:val="21"/>
          <w:highlight w:val="none"/>
          <w:lang w:val="en-US" w:eastAsia="zh-CN"/>
        </w:rPr>
        <w:t>总建筑面积106034.90平方米，其中，</w:t>
      </w:r>
      <w:r>
        <w:rPr>
          <w:rFonts w:hint="eastAsia" w:ascii="Arial" w:hAnsi="Arial" w:cs="Arial"/>
          <w:kern w:val="2"/>
          <w:sz w:val="21"/>
          <w:szCs w:val="21"/>
          <w:highlight w:val="none"/>
          <w:lang w:eastAsia="zh-CN"/>
        </w:rPr>
        <w:t>北京市大兴区育林街1号院（育新花园北里）4号楼1单元401号等489套，</w:t>
      </w:r>
      <w:r>
        <w:rPr>
          <w:rFonts w:hint="eastAsia" w:ascii="Arial" w:hAnsi="Arial" w:cs="Arial"/>
          <w:kern w:val="2"/>
          <w:sz w:val="21"/>
          <w:szCs w:val="21"/>
          <w:highlight w:val="none"/>
          <w:lang w:val="en-US" w:eastAsia="zh-CN"/>
        </w:rPr>
        <w:t>建筑面积37037.43平方米，回购主体为北京兴创投资有限公司；</w:t>
      </w:r>
      <w:r>
        <w:rPr>
          <w:rFonts w:hint="eastAsia" w:ascii="Arial" w:hAnsi="Arial" w:cs="Arial"/>
          <w:kern w:val="2"/>
          <w:sz w:val="21"/>
          <w:szCs w:val="21"/>
          <w:highlight w:val="none"/>
          <w:lang w:eastAsia="zh-CN"/>
        </w:rPr>
        <w:t>北京市大兴区育林街2号院（育新花园中里）1号楼1单元101号等508套 、育林街8号院（育新花园西里）1号楼1单元102号等239套、育仁街1号院（育新花园南里）1号楼2单元1501号等88套，</w:t>
      </w:r>
      <w:r>
        <w:rPr>
          <w:rFonts w:hint="eastAsia" w:ascii="Arial" w:hAnsi="Arial" w:cs="Arial"/>
          <w:kern w:val="2"/>
          <w:sz w:val="21"/>
          <w:szCs w:val="21"/>
          <w:highlight w:val="none"/>
          <w:lang w:val="en-US" w:eastAsia="zh-CN"/>
        </w:rPr>
        <w:t>建筑面积68997.47平方米，产权主体为北京兴创投资有限公司，现由北京市大兴区保障性住房建设投资有限公司负责房源出租及运营管理。</w:t>
      </w:r>
      <w:r>
        <w:rPr>
          <w:rFonts w:hint="eastAsia" w:ascii="Arial" w:hAnsi="Arial" w:cs="Arial"/>
          <w:sz w:val="21"/>
          <w:szCs w:val="21"/>
          <w:highlight w:val="none"/>
          <w:lang w:val="en-US" w:eastAsia="zh-CN"/>
        </w:rPr>
        <w:t>估价对象</w:t>
      </w:r>
      <w:r>
        <w:rPr>
          <w:rFonts w:hint="eastAsia" w:ascii="Arial" w:hAnsi="Arial" w:cs="Arial"/>
          <w:sz w:val="21"/>
          <w:szCs w:val="21"/>
          <w:highlight w:val="none"/>
        </w:rPr>
        <w:t>具体情况如下：</w:t>
      </w:r>
    </w:p>
    <w:p w14:paraId="462E9B7B">
      <w:pPr>
        <w:keepNext w:val="0"/>
        <w:keepLines w:val="0"/>
        <w:pageBreakBefore w:val="0"/>
        <w:widowControl w:val="0"/>
        <w:kinsoku/>
        <w:wordWrap/>
        <w:overflowPunct w:val="0"/>
        <w:topLinePunct w:val="0"/>
        <w:autoSpaceDE/>
        <w:autoSpaceDN/>
        <w:bidi w:val="0"/>
        <w:adjustRightInd w:val="0"/>
        <w:snapToGrid/>
        <w:spacing w:line="240" w:lineRule="auto"/>
        <w:jc w:val="center"/>
        <w:textAlignment w:val="auto"/>
        <w:rPr>
          <w:rFonts w:hint="default" w:ascii="Arial" w:hAnsi="Arial" w:eastAsia="宋体" w:cs="Arial"/>
          <w:b/>
          <w:bCs/>
          <w:sz w:val="21"/>
          <w:szCs w:val="21"/>
          <w:highlight w:val="none"/>
          <w:lang w:val="en-US" w:eastAsia="zh-CN"/>
        </w:rPr>
      </w:pPr>
      <w:r>
        <w:rPr>
          <w:rFonts w:hint="eastAsia" w:ascii="Arial" w:hAnsi="Arial" w:cs="Arial"/>
          <w:b/>
          <w:bCs/>
          <w:sz w:val="21"/>
          <w:szCs w:val="21"/>
          <w:highlight w:val="none"/>
          <w:lang w:val="en-US" w:eastAsia="zh-CN"/>
        </w:rPr>
        <w:t>估价对象明细表</w:t>
      </w:r>
    </w:p>
    <w:tbl>
      <w:tblPr>
        <w:tblStyle w:val="33"/>
        <w:tblW w:w="9259" w:type="dxa"/>
        <w:tblInd w:w="113" w:type="dxa"/>
        <w:tblLayout w:type="fixed"/>
        <w:tblCellMar>
          <w:top w:w="0" w:type="dxa"/>
          <w:left w:w="108" w:type="dxa"/>
          <w:bottom w:w="0" w:type="dxa"/>
          <w:right w:w="108" w:type="dxa"/>
        </w:tblCellMar>
      </w:tblPr>
      <w:tblGrid>
        <w:gridCol w:w="779"/>
        <w:gridCol w:w="1332"/>
        <w:gridCol w:w="4482"/>
        <w:gridCol w:w="732"/>
        <w:gridCol w:w="708"/>
        <w:gridCol w:w="1226"/>
      </w:tblGrid>
      <w:tr w14:paraId="0E5E24A0">
        <w:tblPrEx>
          <w:tblCellMar>
            <w:top w:w="0" w:type="dxa"/>
            <w:left w:w="108" w:type="dxa"/>
            <w:bottom w:w="0" w:type="dxa"/>
            <w:right w:w="108" w:type="dxa"/>
          </w:tblCellMar>
        </w:tblPrEx>
        <w:trPr>
          <w:trHeight w:val="276" w:hRule="atLeast"/>
          <w:tblHeader/>
        </w:trPr>
        <w:tc>
          <w:tcPr>
            <w:tcW w:w="77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2859AE2">
            <w:pPr>
              <w:widowControl/>
              <w:adjustRightInd/>
              <w:spacing w:line="240" w:lineRule="auto"/>
              <w:jc w:val="center"/>
              <w:textAlignment w:val="auto"/>
              <w:rPr>
                <w:rFonts w:ascii="华文细黑" w:hAnsi="华文细黑" w:eastAsia="华文细黑" w:cs="Arial"/>
                <w:b/>
                <w:bCs/>
                <w:sz w:val="18"/>
                <w:szCs w:val="18"/>
                <w:highlight w:val="none"/>
              </w:rPr>
            </w:pPr>
            <w:r>
              <w:rPr>
                <w:rFonts w:ascii="华文细黑" w:hAnsi="华文细黑" w:eastAsia="华文细黑" w:cs="Arial"/>
                <w:b/>
                <w:bCs/>
                <w:sz w:val="18"/>
                <w:szCs w:val="18"/>
                <w:highlight w:val="none"/>
              </w:rPr>
              <w:t>户型</w:t>
            </w:r>
          </w:p>
        </w:tc>
        <w:tc>
          <w:tcPr>
            <w:tcW w:w="1332" w:type="dxa"/>
            <w:tcBorders>
              <w:top w:val="single" w:color="auto" w:sz="4" w:space="0"/>
              <w:left w:val="nil"/>
              <w:bottom w:val="single" w:color="auto" w:sz="4" w:space="0"/>
              <w:right w:val="single" w:color="auto" w:sz="4" w:space="0"/>
            </w:tcBorders>
            <w:shd w:val="clear" w:color="auto" w:fill="auto"/>
            <w:noWrap/>
            <w:vAlign w:val="center"/>
          </w:tcPr>
          <w:p w14:paraId="6A93B7F3">
            <w:pPr>
              <w:widowControl/>
              <w:adjustRightInd/>
              <w:spacing w:line="240" w:lineRule="auto"/>
              <w:jc w:val="center"/>
              <w:textAlignment w:val="auto"/>
              <w:rPr>
                <w:rFonts w:ascii="华文细黑" w:hAnsi="华文细黑" w:eastAsia="华文细黑" w:cs="Arial"/>
                <w:b/>
                <w:bCs/>
                <w:sz w:val="18"/>
                <w:szCs w:val="18"/>
                <w:highlight w:val="none"/>
              </w:rPr>
            </w:pPr>
            <w:r>
              <w:rPr>
                <w:rFonts w:ascii="华文细黑" w:hAnsi="华文细黑" w:eastAsia="华文细黑" w:cs="Arial"/>
                <w:b/>
                <w:bCs/>
                <w:sz w:val="18"/>
                <w:szCs w:val="18"/>
                <w:highlight w:val="none"/>
              </w:rPr>
              <w:t>面积（平方米）</w:t>
            </w:r>
          </w:p>
        </w:tc>
        <w:tc>
          <w:tcPr>
            <w:tcW w:w="4482" w:type="dxa"/>
            <w:tcBorders>
              <w:top w:val="single" w:color="auto" w:sz="4" w:space="0"/>
              <w:left w:val="nil"/>
              <w:bottom w:val="single" w:color="auto" w:sz="4" w:space="0"/>
              <w:right w:val="single" w:color="auto" w:sz="4" w:space="0"/>
            </w:tcBorders>
            <w:shd w:val="clear" w:color="auto" w:fill="auto"/>
            <w:noWrap/>
            <w:vAlign w:val="center"/>
          </w:tcPr>
          <w:p w14:paraId="4004DC0A">
            <w:pPr>
              <w:widowControl/>
              <w:adjustRightInd/>
              <w:spacing w:line="240" w:lineRule="auto"/>
              <w:jc w:val="center"/>
              <w:textAlignment w:val="auto"/>
              <w:rPr>
                <w:rFonts w:hint="default" w:ascii="华文细黑" w:hAnsi="华文细黑" w:eastAsia="华文细黑" w:cs="Arial"/>
                <w:b/>
                <w:bCs/>
                <w:sz w:val="18"/>
                <w:szCs w:val="18"/>
                <w:highlight w:val="none"/>
                <w:lang w:val="en-US" w:eastAsia="zh-CN"/>
              </w:rPr>
            </w:pPr>
            <w:r>
              <w:rPr>
                <w:rFonts w:hint="eastAsia" w:ascii="华文细黑" w:hAnsi="华文细黑" w:eastAsia="华文细黑" w:cs="Arial"/>
                <w:b/>
                <w:bCs/>
                <w:sz w:val="18"/>
                <w:szCs w:val="18"/>
                <w:highlight w:val="none"/>
                <w:lang w:val="en-US" w:eastAsia="zh-CN"/>
              </w:rPr>
              <w:t>所在楼栋</w:t>
            </w:r>
          </w:p>
        </w:tc>
        <w:tc>
          <w:tcPr>
            <w:tcW w:w="732" w:type="dxa"/>
            <w:tcBorders>
              <w:top w:val="single" w:color="auto" w:sz="4" w:space="0"/>
              <w:left w:val="nil"/>
              <w:bottom w:val="single" w:color="auto" w:sz="4" w:space="0"/>
              <w:right w:val="single" w:color="auto" w:sz="4" w:space="0"/>
            </w:tcBorders>
            <w:shd w:val="clear" w:color="auto" w:fill="auto"/>
            <w:noWrap/>
            <w:vAlign w:val="center"/>
          </w:tcPr>
          <w:p w14:paraId="157A41A7">
            <w:pPr>
              <w:widowControl/>
              <w:adjustRightInd/>
              <w:spacing w:line="240" w:lineRule="auto"/>
              <w:jc w:val="center"/>
              <w:textAlignment w:val="auto"/>
              <w:rPr>
                <w:rFonts w:ascii="华文细黑" w:hAnsi="华文细黑" w:eastAsia="华文细黑" w:cs="Arial"/>
                <w:b/>
                <w:bCs/>
                <w:sz w:val="18"/>
                <w:szCs w:val="18"/>
                <w:highlight w:val="none"/>
              </w:rPr>
            </w:pPr>
            <w:r>
              <w:rPr>
                <w:rFonts w:ascii="华文细黑" w:hAnsi="华文细黑" w:eastAsia="华文细黑" w:cs="Arial"/>
                <w:b/>
                <w:bCs/>
                <w:sz w:val="18"/>
                <w:szCs w:val="18"/>
                <w:highlight w:val="none"/>
              </w:rPr>
              <w:t>朝向</w:t>
            </w:r>
          </w:p>
        </w:tc>
        <w:tc>
          <w:tcPr>
            <w:tcW w:w="708" w:type="dxa"/>
            <w:tcBorders>
              <w:top w:val="single" w:color="auto" w:sz="4" w:space="0"/>
              <w:left w:val="nil"/>
              <w:bottom w:val="single" w:color="auto" w:sz="4" w:space="0"/>
              <w:right w:val="single" w:color="auto" w:sz="4" w:space="0"/>
            </w:tcBorders>
            <w:shd w:val="clear" w:color="auto" w:fill="auto"/>
            <w:noWrap/>
            <w:vAlign w:val="center"/>
          </w:tcPr>
          <w:p w14:paraId="0E356B3A">
            <w:pPr>
              <w:widowControl/>
              <w:adjustRightInd/>
              <w:spacing w:line="240" w:lineRule="auto"/>
              <w:jc w:val="center"/>
              <w:textAlignment w:val="auto"/>
              <w:rPr>
                <w:rFonts w:ascii="华文细黑" w:hAnsi="华文细黑" w:eastAsia="华文细黑" w:cs="Arial"/>
                <w:b/>
                <w:bCs/>
                <w:sz w:val="18"/>
                <w:szCs w:val="18"/>
                <w:highlight w:val="none"/>
              </w:rPr>
            </w:pPr>
            <w:r>
              <w:rPr>
                <w:rFonts w:ascii="华文细黑" w:hAnsi="华文细黑" w:eastAsia="华文细黑" w:cs="Arial"/>
                <w:b/>
                <w:bCs/>
                <w:sz w:val="18"/>
                <w:szCs w:val="18"/>
                <w:highlight w:val="none"/>
              </w:rPr>
              <w:t>套数（套）</w:t>
            </w:r>
          </w:p>
        </w:tc>
        <w:tc>
          <w:tcPr>
            <w:tcW w:w="1226" w:type="dxa"/>
            <w:tcBorders>
              <w:top w:val="single" w:color="auto" w:sz="4" w:space="0"/>
              <w:left w:val="nil"/>
              <w:bottom w:val="single" w:color="auto" w:sz="4" w:space="0"/>
              <w:right w:val="single" w:color="auto" w:sz="4" w:space="0"/>
            </w:tcBorders>
            <w:shd w:val="clear" w:color="auto" w:fill="auto"/>
            <w:noWrap/>
            <w:vAlign w:val="center"/>
          </w:tcPr>
          <w:p w14:paraId="325F5574">
            <w:pPr>
              <w:widowControl/>
              <w:adjustRightInd/>
              <w:spacing w:line="240" w:lineRule="auto"/>
              <w:jc w:val="center"/>
              <w:textAlignment w:val="auto"/>
              <w:rPr>
                <w:rFonts w:ascii="华文细黑" w:hAnsi="华文细黑" w:eastAsia="华文细黑" w:cs="Arial"/>
                <w:b/>
                <w:bCs/>
                <w:sz w:val="18"/>
                <w:szCs w:val="18"/>
                <w:highlight w:val="none"/>
              </w:rPr>
            </w:pPr>
            <w:r>
              <w:rPr>
                <w:rFonts w:ascii="华文细黑" w:hAnsi="华文细黑" w:eastAsia="华文细黑" w:cs="Arial"/>
                <w:b/>
                <w:bCs/>
                <w:sz w:val="18"/>
                <w:szCs w:val="18"/>
                <w:highlight w:val="none"/>
              </w:rPr>
              <w:t>总</w:t>
            </w:r>
            <w:r>
              <w:rPr>
                <w:rFonts w:hint="eastAsia" w:ascii="华文细黑" w:hAnsi="华文细黑" w:eastAsia="华文细黑" w:cs="Arial"/>
                <w:b/>
                <w:bCs/>
                <w:sz w:val="18"/>
                <w:szCs w:val="18"/>
                <w:highlight w:val="none"/>
                <w:lang w:val="en-US" w:eastAsia="zh-CN"/>
              </w:rPr>
              <w:t>建筑</w:t>
            </w:r>
            <w:r>
              <w:rPr>
                <w:rFonts w:ascii="华文细黑" w:hAnsi="华文细黑" w:eastAsia="华文细黑" w:cs="Arial"/>
                <w:b/>
                <w:bCs/>
                <w:sz w:val="18"/>
                <w:szCs w:val="18"/>
                <w:highlight w:val="none"/>
              </w:rPr>
              <w:t>面积（平方米）</w:t>
            </w:r>
          </w:p>
        </w:tc>
      </w:tr>
      <w:tr w14:paraId="2D9D2702">
        <w:tblPrEx>
          <w:tblCellMar>
            <w:top w:w="0" w:type="dxa"/>
            <w:left w:w="108" w:type="dxa"/>
            <w:bottom w:w="0" w:type="dxa"/>
            <w:right w:w="108" w:type="dxa"/>
          </w:tblCellMar>
        </w:tblPrEx>
        <w:trPr>
          <w:trHeight w:val="276" w:hRule="atLeast"/>
        </w:trPr>
        <w:tc>
          <w:tcPr>
            <w:tcW w:w="779" w:type="dxa"/>
            <w:vMerge w:val="restart"/>
            <w:tcBorders>
              <w:top w:val="nil"/>
              <w:left w:val="single" w:color="auto" w:sz="4" w:space="0"/>
              <w:right w:val="single" w:color="auto" w:sz="4" w:space="0"/>
            </w:tcBorders>
            <w:shd w:val="clear" w:color="auto" w:fill="auto"/>
            <w:noWrap/>
            <w:vAlign w:val="center"/>
          </w:tcPr>
          <w:p w14:paraId="7079089F">
            <w:pPr>
              <w:widowControl/>
              <w:adjustRightInd/>
              <w:spacing w:line="240" w:lineRule="auto"/>
              <w:jc w:val="center"/>
              <w:textAlignment w:val="auto"/>
              <w:rPr>
                <w:rFonts w:ascii="华文细黑" w:hAnsi="华文细黑" w:eastAsia="华文细黑" w:cs="Arial"/>
                <w:b/>
                <w:bCs/>
                <w:sz w:val="18"/>
                <w:szCs w:val="18"/>
                <w:highlight w:val="none"/>
              </w:rPr>
            </w:pPr>
            <w:r>
              <w:rPr>
                <w:rFonts w:ascii="华文细黑" w:hAnsi="华文细黑" w:eastAsia="华文细黑" w:cs="Arial"/>
                <w:b/>
                <w:bCs/>
                <w:sz w:val="18"/>
                <w:szCs w:val="18"/>
                <w:highlight w:val="none"/>
              </w:rPr>
              <w:t>一居室</w:t>
            </w:r>
          </w:p>
        </w:tc>
        <w:tc>
          <w:tcPr>
            <w:tcW w:w="1332" w:type="dxa"/>
            <w:tcBorders>
              <w:top w:val="nil"/>
              <w:left w:val="nil"/>
              <w:bottom w:val="single" w:color="auto" w:sz="4" w:space="0"/>
              <w:right w:val="single" w:color="auto" w:sz="4" w:space="0"/>
            </w:tcBorders>
            <w:shd w:val="clear" w:color="auto" w:fill="auto"/>
            <w:noWrap/>
            <w:vAlign w:val="center"/>
          </w:tcPr>
          <w:p w14:paraId="6E4CC028">
            <w:pPr>
              <w:widowControl/>
              <w:adjustRightInd/>
              <w:spacing w:line="240" w:lineRule="auto"/>
              <w:jc w:val="center"/>
              <w:textAlignment w:val="auto"/>
              <w:rPr>
                <w:rFonts w:ascii="华文细黑" w:hAnsi="华文细黑" w:eastAsia="华文细黑" w:cs="Arial"/>
                <w:sz w:val="18"/>
                <w:szCs w:val="18"/>
                <w:highlight w:val="none"/>
              </w:rPr>
            </w:pPr>
            <w:r>
              <w:rPr>
                <w:rFonts w:hint="eastAsia" w:ascii="华文细黑" w:hAnsi="华文细黑" w:eastAsia="华文细黑" w:cs="Arial"/>
                <w:sz w:val="18"/>
                <w:szCs w:val="18"/>
                <w:highlight w:val="none"/>
              </w:rPr>
              <w:t>52.63-69.91</w:t>
            </w:r>
          </w:p>
        </w:tc>
        <w:tc>
          <w:tcPr>
            <w:tcW w:w="4482" w:type="dxa"/>
            <w:tcBorders>
              <w:top w:val="nil"/>
              <w:left w:val="nil"/>
              <w:bottom w:val="single" w:color="auto" w:sz="4" w:space="0"/>
              <w:right w:val="single" w:color="auto" w:sz="4" w:space="0"/>
            </w:tcBorders>
            <w:shd w:val="clear" w:color="auto" w:fill="auto"/>
            <w:noWrap/>
            <w:vAlign w:val="center"/>
          </w:tcPr>
          <w:p w14:paraId="1174BD3D">
            <w:pPr>
              <w:widowControl/>
              <w:adjustRightInd/>
              <w:spacing w:line="240" w:lineRule="auto"/>
              <w:jc w:val="center"/>
              <w:textAlignment w:val="auto"/>
              <w:rPr>
                <w:rFonts w:ascii="华文细黑" w:hAnsi="华文细黑" w:eastAsia="华文细黑" w:cs="Arial"/>
                <w:sz w:val="18"/>
                <w:szCs w:val="18"/>
                <w:highlight w:val="none"/>
              </w:rPr>
            </w:pPr>
            <w:r>
              <w:rPr>
                <w:rFonts w:hint="eastAsia" w:ascii="华文细黑" w:hAnsi="华文细黑" w:eastAsia="华文细黑" w:cs="Arial"/>
                <w:sz w:val="18"/>
                <w:szCs w:val="18"/>
                <w:highlight w:val="none"/>
              </w:rPr>
              <w:t>育林街1号院4、5、20号楼；育林街2号院4、6、7、12、13、14、15、17、18、23号楼；育林街8号院2-4、7、8号楼；育仁街1号院5、6、7、10号楼</w:t>
            </w:r>
          </w:p>
        </w:tc>
        <w:tc>
          <w:tcPr>
            <w:tcW w:w="732" w:type="dxa"/>
            <w:tcBorders>
              <w:top w:val="nil"/>
              <w:left w:val="nil"/>
              <w:bottom w:val="single" w:color="auto" w:sz="4" w:space="0"/>
              <w:right w:val="single" w:color="auto" w:sz="4" w:space="0"/>
            </w:tcBorders>
            <w:shd w:val="clear" w:color="auto" w:fill="auto"/>
            <w:noWrap/>
            <w:vAlign w:val="center"/>
          </w:tcPr>
          <w:p w14:paraId="468C86A1">
            <w:pPr>
              <w:widowControl/>
              <w:adjustRightInd/>
              <w:spacing w:line="240" w:lineRule="auto"/>
              <w:jc w:val="center"/>
              <w:textAlignment w:val="auto"/>
              <w:rPr>
                <w:rFonts w:ascii="华文细黑" w:hAnsi="华文细黑" w:eastAsia="华文细黑" w:cs="Arial"/>
                <w:sz w:val="18"/>
                <w:szCs w:val="18"/>
                <w:highlight w:val="none"/>
              </w:rPr>
            </w:pPr>
            <w:r>
              <w:rPr>
                <w:rFonts w:ascii="华文细黑" w:hAnsi="华文细黑" w:eastAsia="华文细黑" w:cs="Arial"/>
                <w:sz w:val="18"/>
                <w:szCs w:val="18"/>
                <w:highlight w:val="none"/>
              </w:rPr>
              <w:t>南北</w:t>
            </w:r>
          </w:p>
        </w:tc>
        <w:tc>
          <w:tcPr>
            <w:tcW w:w="708" w:type="dxa"/>
            <w:tcBorders>
              <w:top w:val="nil"/>
              <w:left w:val="nil"/>
              <w:bottom w:val="single" w:color="auto" w:sz="4" w:space="0"/>
              <w:right w:val="single" w:color="auto" w:sz="4" w:space="0"/>
            </w:tcBorders>
            <w:shd w:val="clear" w:color="auto" w:fill="auto"/>
            <w:noWrap/>
            <w:vAlign w:val="center"/>
          </w:tcPr>
          <w:p w14:paraId="1815B48B">
            <w:pPr>
              <w:widowControl/>
              <w:adjustRightInd/>
              <w:spacing w:line="240" w:lineRule="auto"/>
              <w:jc w:val="center"/>
              <w:textAlignment w:val="auto"/>
              <w:rPr>
                <w:rFonts w:hint="default" w:ascii="华文细黑" w:hAnsi="华文细黑" w:eastAsia="华文细黑" w:cs="Arial"/>
                <w:sz w:val="18"/>
                <w:szCs w:val="18"/>
                <w:highlight w:val="none"/>
                <w:lang w:val="en-US" w:eastAsia="zh-CN"/>
              </w:rPr>
            </w:pPr>
            <w:r>
              <w:rPr>
                <w:rFonts w:hint="eastAsia" w:ascii="华文细黑" w:hAnsi="华文细黑" w:eastAsia="华文细黑" w:cs="Arial"/>
                <w:sz w:val="18"/>
                <w:szCs w:val="18"/>
                <w:highlight w:val="none"/>
                <w:lang w:val="en-US" w:eastAsia="zh-CN"/>
              </w:rPr>
              <w:t>378</w:t>
            </w:r>
          </w:p>
        </w:tc>
        <w:tc>
          <w:tcPr>
            <w:tcW w:w="1226" w:type="dxa"/>
            <w:tcBorders>
              <w:top w:val="nil"/>
              <w:left w:val="nil"/>
              <w:bottom w:val="single" w:color="auto" w:sz="4" w:space="0"/>
              <w:right w:val="single" w:color="auto" w:sz="4" w:space="0"/>
            </w:tcBorders>
            <w:shd w:val="clear" w:color="auto" w:fill="auto"/>
            <w:noWrap/>
            <w:vAlign w:val="center"/>
          </w:tcPr>
          <w:p w14:paraId="13BBFB1C">
            <w:pPr>
              <w:widowControl/>
              <w:adjustRightInd/>
              <w:spacing w:line="240" w:lineRule="auto"/>
              <w:jc w:val="center"/>
              <w:textAlignment w:val="auto"/>
              <w:rPr>
                <w:rFonts w:hint="default" w:ascii="华文细黑" w:hAnsi="华文细黑" w:eastAsia="华文细黑" w:cs="Arial"/>
                <w:sz w:val="18"/>
                <w:szCs w:val="18"/>
                <w:highlight w:val="none"/>
                <w:lang w:val="en-US" w:eastAsia="zh-CN"/>
              </w:rPr>
            </w:pPr>
            <w:r>
              <w:rPr>
                <w:rFonts w:hint="eastAsia" w:ascii="华文细黑" w:hAnsi="华文细黑" w:eastAsia="华文细黑" w:cs="Arial"/>
                <w:sz w:val="18"/>
                <w:szCs w:val="18"/>
                <w:highlight w:val="none"/>
                <w:lang w:val="en-US" w:eastAsia="zh-CN"/>
              </w:rPr>
              <w:t>25149.84</w:t>
            </w:r>
          </w:p>
        </w:tc>
      </w:tr>
      <w:tr w14:paraId="57993542">
        <w:tblPrEx>
          <w:tblCellMar>
            <w:top w:w="0" w:type="dxa"/>
            <w:left w:w="108" w:type="dxa"/>
            <w:bottom w:w="0" w:type="dxa"/>
            <w:right w:w="108" w:type="dxa"/>
          </w:tblCellMar>
        </w:tblPrEx>
        <w:trPr>
          <w:trHeight w:val="276" w:hRule="atLeast"/>
        </w:trPr>
        <w:tc>
          <w:tcPr>
            <w:tcW w:w="779" w:type="dxa"/>
            <w:vMerge w:val="continue"/>
            <w:tcBorders>
              <w:left w:val="single" w:color="auto" w:sz="4" w:space="0"/>
              <w:bottom w:val="single" w:color="auto" w:sz="4" w:space="0"/>
              <w:right w:val="single" w:color="auto" w:sz="4" w:space="0"/>
            </w:tcBorders>
            <w:shd w:val="clear" w:color="auto" w:fill="auto"/>
            <w:noWrap/>
            <w:vAlign w:val="center"/>
          </w:tcPr>
          <w:p w14:paraId="5496561F">
            <w:pPr>
              <w:widowControl/>
              <w:adjustRightInd/>
              <w:spacing w:line="240" w:lineRule="auto"/>
              <w:jc w:val="center"/>
              <w:textAlignment w:val="auto"/>
              <w:rPr>
                <w:rFonts w:ascii="华文细黑" w:hAnsi="华文细黑" w:eastAsia="华文细黑" w:cs="Arial"/>
                <w:b/>
                <w:bCs/>
                <w:sz w:val="18"/>
                <w:szCs w:val="18"/>
                <w:highlight w:val="none"/>
              </w:rPr>
            </w:pPr>
          </w:p>
        </w:tc>
        <w:tc>
          <w:tcPr>
            <w:tcW w:w="1332" w:type="dxa"/>
            <w:tcBorders>
              <w:top w:val="nil"/>
              <w:left w:val="nil"/>
              <w:bottom w:val="single" w:color="auto" w:sz="4" w:space="0"/>
              <w:right w:val="single" w:color="auto" w:sz="4" w:space="0"/>
            </w:tcBorders>
            <w:shd w:val="clear" w:color="auto" w:fill="auto"/>
            <w:noWrap/>
            <w:vAlign w:val="center"/>
          </w:tcPr>
          <w:p w14:paraId="0BB795FF">
            <w:pPr>
              <w:widowControl/>
              <w:adjustRightInd/>
              <w:spacing w:line="240" w:lineRule="auto"/>
              <w:jc w:val="center"/>
              <w:textAlignment w:val="auto"/>
              <w:rPr>
                <w:rFonts w:hint="eastAsia" w:ascii="华文细黑" w:hAnsi="华文细黑" w:eastAsia="华文细黑" w:cs="Arial"/>
                <w:b/>
                <w:bCs/>
                <w:sz w:val="18"/>
                <w:szCs w:val="18"/>
                <w:highlight w:val="none"/>
              </w:rPr>
            </w:pPr>
            <w:r>
              <w:rPr>
                <w:rFonts w:hint="eastAsia" w:ascii="华文细黑" w:hAnsi="华文细黑" w:eastAsia="华文细黑" w:cs="Arial"/>
                <w:b/>
                <w:bCs/>
                <w:sz w:val="18"/>
                <w:szCs w:val="18"/>
                <w:highlight w:val="none"/>
                <w:lang w:val="en-US" w:eastAsia="zh-CN"/>
              </w:rPr>
              <w:t>小计</w:t>
            </w:r>
          </w:p>
        </w:tc>
        <w:tc>
          <w:tcPr>
            <w:tcW w:w="4482" w:type="dxa"/>
            <w:tcBorders>
              <w:top w:val="nil"/>
              <w:left w:val="nil"/>
              <w:bottom w:val="single" w:color="auto" w:sz="4" w:space="0"/>
              <w:right w:val="single" w:color="auto" w:sz="4" w:space="0"/>
            </w:tcBorders>
            <w:shd w:val="clear" w:color="auto" w:fill="auto"/>
            <w:noWrap/>
            <w:vAlign w:val="center"/>
          </w:tcPr>
          <w:p w14:paraId="66C93F1D">
            <w:pPr>
              <w:widowControl/>
              <w:adjustRightInd/>
              <w:spacing w:line="240" w:lineRule="auto"/>
              <w:jc w:val="center"/>
              <w:textAlignment w:val="auto"/>
              <w:rPr>
                <w:rFonts w:hint="eastAsia" w:ascii="华文细黑" w:hAnsi="华文细黑" w:eastAsia="华文细黑" w:cs="Arial"/>
                <w:b/>
                <w:bCs/>
                <w:sz w:val="18"/>
                <w:szCs w:val="18"/>
                <w:highlight w:val="none"/>
                <w:lang w:val="en-US" w:eastAsia="zh-CN"/>
              </w:rPr>
            </w:pPr>
            <w:r>
              <w:rPr>
                <w:rFonts w:hint="eastAsia" w:ascii="华文细黑" w:hAnsi="华文细黑" w:eastAsia="华文细黑" w:cs="Arial"/>
                <w:b/>
                <w:bCs/>
                <w:sz w:val="18"/>
                <w:szCs w:val="18"/>
                <w:highlight w:val="none"/>
                <w:lang w:val="en-US" w:eastAsia="zh-CN"/>
              </w:rPr>
              <w:t>-</w:t>
            </w:r>
          </w:p>
        </w:tc>
        <w:tc>
          <w:tcPr>
            <w:tcW w:w="732" w:type="dxa"/>
            <w:tcBorders>
              <w:top w:val="nil"/>
              <w:left w:val="nil"/>
              <w:bottom w:val="single" w:color="auto" w:sz="4" w:space="0"/>
              <w:right w:val="single" w:color="auto" w:sz="4" w:space="0"/>
            </w:tcBorders>
            <w:shd w:val="clear" w:color="auto" w:fill="auto"/>
            <w:noWrap/>
            <w:vAlign w:val="center"/>
          </w:tcPr>
          <w:p w14:paraId="1E95B46E">
            <w:pPr>
              <w:widowControl/>
              <w:adjustRightInd/>
              <w:spacing w:line="240" w:lineRule="auto"/>
              <w:jc w:val="center"/>
              <w:textAlignment w:val="auto"/>
              <w:rPr>
                <w:rFonts w:hint="eastAsia" w:ascii="华文细黑" w:hAnsi="华文细黑" w:eastAsia="华文细黑" w:cs="Arial"/>
                <w:b/>
                <w:bCs/>
                <w:sz w:val="18"/>
                <w:szCs w:val="18"/>
                <w:highlight w:val="none"/>
                <w:lang w:val="en-US" w:eastAsia="zh-CN"/>
              </w:rPr>
            </w:pPr>
            <w:r>
              <w:rPr>
                <w:rFonts w:hint="eastAsia" w:ascii="华文细黑" w:hAnsi="华文细黑" w:eastAsia="华文细黑" w:cs="Arial"/>
                <w:b/>
                <w:bCs/>
                <w:sz w:val="18"/>
                <w:szCs w:val="18"/>
                <w:highlight w:val="none"/>
                <w:lang w:val="en-US" w:eastAsia="zh-CN"/>
              </w:rPr>
              <w:t>-</w:t>
            </w:r>
          </w:p>
        </w:tc>
        <w:tc>
          <w:tcPr>
            <w:tcW w:w="708" w:type="dxa"/>
            <w:tcBorders>
              <w:top w:val="nil"/>
              <w:left w:val="nil"/>
              <w:bottom w:val="single" w:color="auto" w:sz="4" w:space="0"/>
              <w:right w:val="single" w:color="auto" w:sz="4" w:space="0"/>
            </w:tcBorders>
            <w:shd w:val="clear" w:color="auto" w:fill="auto"/>
            <w:noWrap/>
            <w:vAlign w:val="center"/>
          </w:tcPr>
          <w:p w14:paraId="772B11E8">
            <w:pPr>
              <w:widowControl/>
              <w:adjustRightInd/>
              <w:spacing w:line="240" w:lineRule="auto"/>
              <w:jc w:val="center"/>
              <w:textAlignment w:val="auto"/>
              <w:rPr>
                <w:rFonts w:hint="default" w:ascii="华文细黑" w:hAnsi="华文细黑" w:eastAsia="华文细黑" w:cs="Arial"/>
                <w:b/>
                <w:bCs/>
                <w:sz w:val="18"/>
                <w:szCs w:val="18"/>
                <w:highlight w:val="none"/>
                <w:lang w:val="en-US" w:eastAsia="zh-CN"/>
              </w:rPr>
            </w:pPr>
            <w:r>
              <w:rPr>
                <w:rFonts w:hint="eastAsia" w:ascii="华文细黑" w:hAnsi="华文细黑" w:eastAsia="华文细黑" w:cs="Arial"/>
                <w:b/>
                <w:bCs/>
                <w:sz w:val="18"/>
                <w:szCs w:val="18"/>
                <w:highlight w:val="none"/>
                <w:lang w:val="en-US" w:eastAsia="zh-CN"/>
              </w:rPr>
              <w:t>378</w:t>
            </w:r>
          </w:p>
        </w:tc>
        <w:tc>
          <w:tcPr>
            <w:tcW w:w="1226" w:type="dxa"/>
            <w:tcBorders>
              <w:top w:val="nil"/>
              <w:left w:val="nil"/>
              <w:bottom w:val="single" w:color="auto" w:sz="4" w:space="0"/>
              <w:right w:val="single" w:color="auto" w:sz="4" w:space="0"/>
            </w:tcBorders>
            <w:shd w:val="clear" w:color="auto" w:fill="auto"/>
            <w:noWrap/>
            <w:vAlign w:val="center"/>
          </w:tcPr>
          <w:p w14:paraId="6CEA9A13">
            <w:pPr>
              <w:widowControl/>
              <w:adjustRightInd/>
              <w:spacing w:line="240" w:lineRule="auto"/>
              <w:jc w:val="center"/>
              <w:textAlignment w:val="auto"/>
              <w:rPr>
                <w:rFonts w:hint="eastAsia" w:ascii="华文细黑" w:hAnsi="华文细黑" w:eastAsia="华文细黑" w:cs="Arial"/>
                <w:b/>
                <w:bCs/>
                <w:sz w:val="18"/>
                <w:szCs w:val="18"/>
                <w:highlight w:val="none"/>
                <w:lang w:val="en-US" w:eastAsia="zh-CN"/>
              </w:rPr>
            </w:pPr>
            <w:r>
              <w:rPr>
                <w:rFonts w:hint="eastAsia" w:ascii="华文细黑" w:hAnsi="华文细黑" w:eastAsia="华文细黑" w:cs="Arial"/>
                <w:sz w:val="18"/>
                <w:szCs w:val="18"/>
                <w:highlight w:val="none"/>
                <w:lang w:val="en-US" w:eastAsia="zh-CN"/>
              </w:rPr>
              <w:t>25149.84</w:t>
            </w:r>
          </w:p>
        </w:tc>
      </w:tr>
      <w:tr w14:paraId="71123FB5">
        <w:tblPrEx>
          <w:tblCellMar>
            <w:top w:w="0" w:type="dxa"/>
            <w:left w:w="108" w:type="dxa"/>
            <w:bottom w:w="0" w:type="dxa"/>
            <w:right w:w="108" w:type="dxa"/>
          </w:tblCellMar>
        </w:tblPrEx>
        <w:trPr>
          <w:trHeight w:val="1103" w:hRule="atLeast"/>
        </w:trPr>
        <w:tc>
          <w:tcPr>
            <w:tcW w:w="779" w:type="dxa"/>
            <w:vMerge w:val="restart"/>
            <w:tcBorders>
              <w:top w:val="nil"/>
              <w:left w:val="single" w:color="auto" w:sz="4" w:space="0"/>
              <w:right w:val="single" w:color="auto" w:sz="4" w:space="0"/>
            </w:tcBorders>
            <w:shd w:val="clear" w:color="auto" w:fill="auto"/>
            <w:noWrap/>
            <w:vAlign w:val="center"/>
          </w:tcPr>
          <w:p w14:paraId="360254B2">
            <w:pPr>
              <w:widowControl/>
              <w:adjustRightInd/>
              <w:spacing w:line="240" w:lineRule="auto"/>
              <w:jc w:val="center"/>
              <w:textAlignment w:val="auto"/>
              <w:rPr>
                <w:rFonts w:ascii="华文细黑" w:hAnsi="华文细黑" w:eastAsia="华文细黑" w:cs="Arial"/>
                <w:b/>
                <w:bCs/>
                <w:sz w:val="18"/>
                <w:szCs w:val="18"/>
                <w:highlight w:val="none"/>
              </w:rPr>
            </w:pPr>
            <w:r>
              <w:rPr>
                <w:rFonts w:ascii="华文细黑" w:hAnsi="华文细黑" w:eastAsia="华文细黑" w:cs="Arial"/>
                <w:b/>
                <w:bCs/>
                <w:sz w:val="18"/>
                <w:szCs w:val="18"/>
                <w:highlight w:val="none"/>
              </w:rPr>
              <w:t>两居室</w:t>
            </w:r>
          </w:p>
        </w:tc>
        <w:tc>
          <w:tcPr>
            <w:tcW w:w="1332" w:type="dxa"/>
            <w:tcBorders>
              <w:top w:val="nil"/>
              <w:left w:val="nil"/>
              <w:bottom w:val="single" w:color="auto" w:sz="4" w:space="0"/>
              <w:right w:val="single" w:color="auto" w:sz="4" w:space="0"/>
            </w:tcBorders>
            <w:shd w:val="clear" w:color="auto" w:fill="auto"/>
            <w:noWrap/>
            <w:vAlign w:val="center"/>
          </w:tcPr>
          <w:p w14:paraId="1277F0A8">
            <w:pPr>
              <w:widowControl/>
              <w:adjustRightInd/>
              <w:spacing w:line="240" w:lineRule="auto"/>
              <w:jc w:val="center"/>
              <w:textAlignment w:val="auto"/>
              <w:rPr>
                <w:rFonts w:ascii="华文细黑" w:hAnsi="华文细黑" w:eastAsia="华文细黑" w:cs="Arial"/>
                <w:sz w:val="18"/>
                <w:szCs w:val="18"/>
                <w:highlight w:val="none"/>
              </w:rPr>
            </w:pPr>
            <w:r>
              <w:rPr>
                <w:rFonts w:hint="eastAsia" w:ascii="华文细黑" w:hAnsi="华文细黑" w:eastAsia="华文细黑" w:cs="Arial"/>
                <w:sz w:val="18"/>
                <w:szCs w:val="18"/>
                <w:highlight w:val="none"/>
              </w:rPr>
              <w:t>72.82-88.38</w:t>
            </w:r>
          </w:p>
        </w:tc>
        <w:tc>
          <w:tcPr>
            <w:tcW w:w="4482" w:type="dxa"/>
            <w:tcBorders>
              <w:top w:val="nil"/>
              <w:left w:val="nil"/>
              <w:bottom w:val="single" w:color="auto" w:sz="4" w:space="0"/>
              <w:right w:val="single" w:color="auto" w:sz="4" w:space="0"/>
            </w:tcBorders>
            <w:shd w:val="clear" w:color="auto" w:fill="auto"/>
            <w:noWrap/>
            <w:vAlign w:val="center"/>
          </w:tcPr>
          <w:p w14:paraId="1E581528">
            <w:pPr>
              <w:widowControl/>
              <w:adjustRightInd/>
              <w:spacing w:line="240" w:lineRule="auto"/>
              <w:jc w:val="center"/>
              <w:textAlignment w:val="auto"/>
              <w:rPr>
                <w:rFonts w:ascii="华文细黑" w:hAnsi="华文细黑" w:eastAsia="华文细黑" w:cs="Arial"/>
                <w:sz w:val="18"/>
                <w:szCs w:val="18"/>
                <w:highlight w:val="none"/>
              </w:rPr>
            </w:pPr>
            <w:r>
              <w:rPr>
                <w:rFonts w:hint="eastAsia" w:ascii="华文细黑" w:hAnsi="华文细黑" w:eastAsia="华文细黑" w:cs="Arial"/>
                <w:sz w:val="18"/>
                <w:szCs w:val="18"/>
                <w:highlight w:val="none"/>
              </w:rPr>
              <w:t>育林街1号院1-3、8-10、15、17、22、23号楼；育林街2号院1-4、6-13、15、17-23号楼；育林街8号院1-4、6-9、11-13号楼；育仁街1号院1-3、6、8-9、13-15号楼</w:t>
            </w:r>
          </w:p>
        </w:tc>
        <w:tc>
          <w:tcPr>
            <w:tcW w:w="732" w:type="dxa"/>
            <w:tcBorders>
              <w:top w:val="nil"/>
              <w:left w:val="nil"/>
              <w:bottom w:val="single" w:color="auto" w:sz="4" w:space="0"/>
              <w:right w:val="single" w:color="auto" w:sz="4" w:space="0"/>
            </w:tcBorders>
            <w:shd w:val="clear" w:color="auto" w:fill="auto"/>
            <w:noWrap/>
            <w:vAlign w:val="center"/>
          </w:tcPr>
          <w:p w14:paraId="343054E2">
            <w:pPr>
              <w:widowControl/>
              <w:adjustRightInd/>
              <w:spacing w:line="240" w:lineRule="auto"/>
              <w:jc w:val="center"/>
              <w:textAlignment w:val="auto"/>
              <w:rPr>
                <w:rFonts w:ascii="华文细黑" w:hAnsi="华文细黑" w:eastAsia="华文细黑" w:cs="Arial"/>
                <w:sz w:val="18"/>
                <w:szCs w:val="18"/>
                <w:highlight w:val="none"/>
              </w:rPr>
            </w:pPr>
            <w:r>
              <w:rPr>
                <w:rFonts w:ascii="华文细黑" w:hAnsi="华文细黑" w:eastAsia="华文细黑" w:cs="Arial"/>
                <w:sz w:val="18"/>
                <w:szCs w:val="18"/>
                <w:highlight w:val="none"/>
              </w:rPr>
              <w:t>南北</w:t>
            </w:r>
          </w:p>
        </w:tc>
        <w:tc>
          <w:tcPr>
            <w:tcW w:w="708" w:type="dxa"/>
            <w:tcBorders>
              <w:top w:val="nil"/>
              <w:left w:val="nil"/>
              <w:bottom w:val="single" w:color="auto" w:sz="4" w:space="0"/>
              <w:right w:val="single" w:color="auto" w:sz="4" w:space="0"/>
            </w:tcBorders>
            <w:shd w:val="clear" w:color="auto" w:fill="auto"/>
            <w:noWrap/>
            <w:vAlign w:val="center"/>
          </w:tcPr>
          <w:p w14:paraId="3D35222A">
            <w:pPr>
              <w:widowControl/>
              <w:adjustRightInd/>
              <w:spacing w:line="240" w:lineRule="auto"/>
              <w:jc w:val="center"/>
              <w:textAlignment w:val="auto"/>
              <w:rPr>
                <w:rFonts w:hint="default" w:ascii="华文细黑" w:hAnsi="华文细黑" w:eastAsia="华文细黑" w:cs="Arial"/>
                <w:sz w:val="18"/>
                <w:szCs w:val="18"/>
                <w:highlight w:val="none"/>
                <w:lang w:val="en-US" w:eastAsia="zh-CN"/>
              </w:rPr>
            </w:pPr>
            <w:r>
              <w:rPr>
                <w:rFonts w:hint="eastAsia" w:ascii="华文细黑" w:hAnsi="华文细黑" w:eastAsia="华文细黑" w:cs="Arial"/>
                <w:sz w:val="18"/>
                <w:szCs w:val="18"/>
                <w:highlight w:val="none"/>
                <w:lang w:val="en-US" w:eastAsia="zh-CN"/>
              </w:rPr>
              <w:t>916</w:t>
            </w:r>
          </w:p>
        </w:tc>
        <w:tc>
          <w:tcPr>
            <w:tcW w:w="1226" w:type="dxa"/>
            <w:tcBorders>
              <w:top w:val="nil"/>
              <w:left w:val="nil"/>
              <w:bottom w:val="single" w:color="auto" w:sz="4" w:space="0"/>
              <w:right w:val="single" w:color="auto" w:sz="4" w:space="0"/>
            </w:tcBorders>
            <w:shd w:val="clear" w:color="auto" w:fill="auto"/>
            <w:noWrap/>
            <w:vAlign w:val="center"/>
          </w:tcPr>
          <w:p w14:paraId="3A6C8AB6">
            <w:pPr>
              <w:widowControl/>
              <w:adjustRightInd/>
              <w:spacing w:line="240" w:lineRule="auto"/>
              <w:jc w:val="center"/>
              <w:textAlignment w:val="auto"/>
              <w:rPr>
                <w:rFonts w:hint="default" w:ascii="华文细黑" w:hAnsi="华文细黑" w:eastAsia="华文细黑" w:cs="Arial"/>
                <w:sz w:val="18"/>
                <w:szCs w:val="18"/>
                <w:highlight w:val="none"/>
                <w:lang w:val="en-US" w:eastAsia="zh-CN"/>
              </w:rPr>
            </w:pPr>
            <w:r>
              <w:rPr>
                <w:rFonts w:hint="eastAsia" w:ascii="华文细黑" w:hAnsi="华文细黑" w:eastAsia="华文细黑" w:cs="Arial"/>
                <w:sz w:val="18"/>
                <w:szCs w:val="18"/>
                <w:highlight w:val="none"/>
                <w:lang w:val="en-US" w:eastAsia="zh-CN"/>
              </w:rPr>
              <w:t>78073.23</w:t>
            </w:r>
          </w:p>
        </w:tc>
      </w:tr>
      <w:tr w14:paraId="2E73EDD0">
        <w:tblPrEx>
          <w:tblCellMar>
            <w:top w:w="0" w:type="dxa"/>
            <w:left w:w="108" w:type="dxa"/>
            <w:bottom w:w="0" w:type="dxa"/>
            <w:right w:w="108" w:type="dxa"/>
          </w:tblCellMar>
        </w:tblPrEx>
        <w:trPr>
          <w:trHeight w:val="408" w:hRule="atLeast"/>
        </w:trPr>
        <w:tc>
          <w:tcPr>
            <w:tcW w:w="779" w:type="dxa"/>
            <w:vMerge w:val="continue"/>
            <w:tcBorders>
              <w:left w:val="single" w:color="auto" w:sz="4" w:space="0"/>
              <w:right w:val="single" w:color="auto" w:sz="4" w:space="0"/>
            </w:tcBorders>
            <w:vAlign w:val="center"/>
          </w:tcPr>
          <w:p w14:paraId="6422E98E">
            <w:pPr>
              <w:widowControl/>
              <w:adjustRightInd/>
              <w:spacing w:line="240" w:lineRule="auto"/>
              <w:jc w:val="both"/>
              <w:textAlignment w:val="auto"/>
              <w:rPr>
                <w:rFonts w:hint="eastAsia" w:ascii="华文细黑" w:hAnsi="华文细黑" w:eastAsia="华文细黑" w:cs="Arial"/>
                <w:b/>
                <w:bCs/>
                <w:sz w:val="18"/>
                <w:szCs w:val="18"/>
                <w:highlight w:val="none"/>
                <w:lang w:val="en-US" w:eastAsia="zh-CN"/>
              </w:rPr>
            </w:pPr>
          </w:p>
        </w:tc>
        <w:tc>
          <w:tcPr>
            <w:tcW w:w="1332" w:type="dxa"/>
            <w:tcBorders>
              <w:top w:val="nil"/>
              <w:left w:val="nil"/>
              <w:bottom w:val="single" w:color="auto" w:sz="4" w:space="0"/>
              <w:right w:val="single" w:color="auto" w:sz="4" w:space="0"/>
            </w:tcBorders>
            <w:shd w:val="clear" w:color="auto" w:fill="auto"/>
            <w:noWrap/>
            <w:vAlign w:val="center"/>
          </w:tcPr>
          <w:p w14:paraId="2A66CE85">
            <w:pPr>
              <w:widowControl/>
              <w:adjustRightInd/>
              <w:spacing w:line="240" w:lineRule="auto"/>
              <w:jc w:val="center"/>
              <w:textAlignment w:val="auto"/>
              <w:rPr>
                <w:rFonts w:hint="default" w:ascii="华文细黑" w:hAnsi="华文细黑" w:eastAsia="华文细黑" w:cs="Arial"/>
                <w:sz w:val="18"/>
                <w:szCs w:val="18"/>
                <w:highlight w:val="none"/>
                <w:lang w:val="en-US" w:eastAsia="zh-CN"/>
              </w:rPr>
            </w:pPr>
            <w:r>
              <w:rPr>
                <w:rFonts w:hint="eastAsia" w:ascii="华文细黑" w:hAnsi="华文细黑" w:eastAsia="华文细黑" w:cs="Arial"/>
                <w:sz w:val="18"/>
                <w:szCs w:val="18"/>
                <w:highlight w:val="none"/>
                <w:lang w:val="en-US" w:eastAsia="zh-CN"/>
              </w:rPr>
              <w:t>73.53</w:t>
            </w:r>
          </w:p>
        </w:tc>
        <w:tc>
          <w:tcPr>
            <w:tcW w:w="4482" w:type="dxa"/>
            <w:tcBorders>
              <w:top w:val="nil"/>
              <w:left w:val="nil"/>
              <w:bottom w:val="single" w:color="auto" w:sz="4" w:space="0"/>
              <w:right w:val="single" w:color="auto" w:sz="4" w:space="0"/>
            </w:tcBorders>
            <w:shd w:val="clear" w:color="auto" w:fill="auto"/>
            <w:noWrap/>
            <w:vAlign w:val="center"/>
          </w:tcPr>
          <w:p w14:paraId="450D874D">
            <w:pPr>
              <w:widowControl/>
              <w:adjustRightInd/>
              <w:spacing w:line="240" w:lineRule="auto"/>
              <w:jc w:val="center"/>
              <w:textAlignment w:val="auto"/>
              <w:rPr>
                <w:rFonts w:ascii="华文细黑" w:hAnsi="华文细黑" w:eastAsia="华文细黑" w:cs="Arial"/>
                <w:sz w:val="18"/>
                <w:szCs w:val="18"/>
                <w:highlight w:val="none"/>
              </w:rPr>
            </w:pPr>
            <w:r>
              <w:rPr>
                <w:rFonts w:hint="eastAsia" w:ascii="华文细黑" w:hAnsi="华文细黑" w:eastAsia="华文细黑" w:cs="Arial"/>
                <w:sz w:val="18"/>
                <w:szCs w:val="18"/>
                <w:highlight w:val="none"/>
              </w:rPr>
              <w:t>育林街1号院1、2号楼</w:t>
            </w:r>
          </w:p>
        </w:tc>
        <w:tc>
          <w:tcPr>
            <w:tcW w:w="732" w:type="dxa"/>
            <w:tcBorders>
              <w:top w:val="nil"/>
              <w:left w:val="nil"/>
              <w:bottom w:val="single" w:color="auto" w:sz="4" w:space="0"/>
              <w:right w:val="single" w:color="auto" w:sz="4" w:space="0"/>
            </w:tcBorders>
            <w:shd w:val="clear" w:color="auto" w:fill="auto"/>
            <w:noWrap/>
            <w:vAlign w:val="center"/>
          </w:tcPr>
          <w:p w14:paraId="330C7DA6">
            <w:pPr>
              <w:widowControl/>
              <w:adjustRightInd/>
              <w:spacing w:line="240" w:lineRule="auto"/>
              <w:jc w:val="center"/>
              <w:textAlignment w:val="auto"/>
              <w:rPr>
                <w:rFonts w:ascii="华文细黑" w:hAnsi="华文细黑" w:eastAsia="华文细黑" w:cs="Arial"/>
                <w:sz w:val="18"/>
                <w:szCs w:val="18"/>
                <w:highlight w:val="none"/>
              </w:rPr>
            </w:pPr>
            <w:r>
              <w:rPr>
                <w:rFonts w:ascii="华文细黑" w:hAnsi="华文细黑" w:eastAsia="华文细黑" w:cs="Arial"/>
                <w:sz w:val="18"/>
                <w:szCs w:val="18"/>
                <w:highlight w:val="none"/>
              </w:rPr>
              <w:t>北</w:t>
            </w:r>
          </w:p>
        </w:tc>
        <w:tc>
          <w:tcPr>
            <w:tcW w:w="708" w:type="dxa"/>
            <w:tcBorders>
              <w:top w:val="nil"/>
              <w:left w:val="nil"/>
              <w:bottom w:val="single" w:color="auto" w:sz="4" w:space="0"/>
              <w:right w:val="single" w:color="auto" w:sz="4" w:space="0"/>
            </w:tcBorders>
            <w:shd w:val="clear" w:color="auto" w:fill="auto"/>
            <w:noWrap/>
            <w:vAlign w:val="center"/>
          </w:tcPr>
          <w:p w14:paraId="013D19A2">
            <w:pPr>
              <w:widowControl/>
              <w:adjustRightInd/>
              <w:spacing w:line="240" w:lineRule="auto"/>
              <w:jc w:val="center"/>
              <w:textAlignment w:val="auto"/>
              <w:rPr>
                <w:rFonts w:hint="default" w:ascii="华文细黑" w:hAnsi="华文细黑" w:eastAsia="华文细黑" w:cs="Arial"/>
                <w:sz w:val="18"/>
                <w:szCs w:val="18"/>
                <w:highlight w:val="none"/>
                <w:lang w:val="en-US" w:eastAsia="zh-CN"/>
              </w:rPr>
            </w:pPr>
            <w:r>
              <w:rPr>
                <w:rFonts w:hint="eastAsia" w:ascii="华文细黑" w:hAnsi="华文细黑" w:eastAsia="华文细黑" w:cs="Arial"/>
                <w:sz w:val="18"/>
                <w:szCs w:val="18"/>
                <w:highlight w:val="none"/>
                <w:lang w:val="en-US" w:eastAsia="zh-CN"/>
              </w:rPr>
              <w:t>17</w:t>
            </w:r>
          </w:p>
        </w:tc>
        <w:tc>
          <w:tcPr>
            <w:tcW w:w="1226" w:type="dxa"/>
            <w:tcBorders>
              <w:top w:val="nil"/>
              <w:left w:val="nil"/>
              <w:bottom w:val="single" w:color="auto" w:sz="4" w:space="0"/>
              <w:right w:val="single" w:color="auto" w:sz="4" w:space="0"/>
            </w:tcBorders>
            <w:shd w:val="clear" w:color="auto" w:fill="auto"/>
            <w:noWrap/>
            <w:vAlign w:val="center"/>
          </w:tcPr>
          <w:p w14:paraId="200D048A">
            <w:pPr>
              <w:widowControl/>
              <w:adjustRightInd/>
              <w:spacing w:line="240" w:lineRule="auto"/>
              <w:jc w:val="center"/>
              <w:textAlignment w:val="auto"/>
              <w:rPr>
                <w:rFonts w:hint="default" w:ascii="华文细黑" w:hAnsi="华文细黑" w:eastAsia="华文细黑" w:cs="Arial"/>
                <w:sz w:val="18"/>
                <w:szCs w:val="18"/>
                <w:highlight w:val="none"/>
                <w:lang w:val="en-US" w:eastAsia="zh-CN"/>
              </w:rPr>
            </w:pPr>
            <w:r>
              <w:rPr>
                <w:rFonts w:hint="eastAsia" w:ascii="华文细黑" w:hAnsi="华文细黑" w:eastAsia="华文细黑" w:cs="Arial"/>
                <w:sz w:val="18"/>
                <w:szCs w:val="18"/>
                <w:highlight w:val="none"/>
                <w:lang w:val="en-US" w:eastAsia="zh-CN"/>
              </w:rPr>
              <w:t>1250.01</w:t>
            </w:r>
          </w:p>
        </w:tc>
      </w:tr>
      <w:tr w14:paraId="51E34888">
        <w:tblPrEx>
          <w:tblCellMar>
            <w:top w:w="0" w:type="dxa"/>
            <w:left w:w="108" w:type="dxa"/>
            <w:bottom w:w="0" w:type="dxa"/>
            <w:right w:w="108" w:type="dxa"/>
          </w:tblCellMar>
        </w:tblPrEx>
        <w:trPr>
          <w:trHeight w:val="408" w:hRule="atLeast"/>
        </w:trPr>
        <w:tc>
          <w:tcPr>
            <w:tcW w:w="779" w:type="dxa"/>
            <w:vMerge w:val="continue"/>
            <w:tcBorders>
              <w:left w:val="single" w:color="auto" w:sz="4" w:space="0"/>
              <w:bottom w:val="single" w:color="auto" w:sz="4" w:space="0"/>
              <w:right w:val="single" w:color="auto" w:sz="4" w:space="0"/>
            </w:tcBorders>
            <w:vAlign w:val="center"/>
          </w:tcPr>
          <w:p w14:paraId="6E3E963E">
            <w:pPr>
              <w:widowControl/>
              <w:adjustRightInd/>
              <w:spacing w:line="240" w:lineRule="auto"/>
              <w:jc w:val="both"/>
              <w:textAlignment w:val="auto"/>
              <w:rPr>
                <w:rFonts w:hint="eastAsia" w:ascii="华文细黑" w:hAnsi="华文细黑" w:eastAsia="华文细黑" w:cs="Arial"/>
                <w:b/>
                <w:bCs/>
                <w:sz w:val="18"/>
                <w:szCs w:val="18"/>
                <w:highlight w:val="none"/>
                <w:lang w:val="en-US" w:eastAsia="zh-CN"/>
              </w:rPr>
            </w:pPr>
          </w:p>
        </w:tc>
        <w:tc>
          <w:tcPr>
            <w:tcW w:w="1332" w:type="dxa"/>
            <w:tcBorders>
              <w:top w:val="nil"/>
              <w:left w:val="nil"/>
              <w:bottom w:val="single" w:color="auto" w:sz="4" w:space="0"/>
              <w:right w:val="single" w:color="auto" w:sz="4" w:space="0"/>
            </w:tcBorders>
            <w:shd w:val="clear" w:color="auto" w:fill="auto"/>
            <w:noWrap/>
            <w:vAlign w:val="center"/>
          </w:tcPr>
          <w:p w14:paraId="5272A1F0">
            <w:pPr>
              <w:widowControl/>
              <w:adjustRightInd/>
              <w:spacing w:line="240" w:lineRule="auto"/>
              <w:jc w:val="center"/>
              <w:textAlignment w:val="auto"/>
              <w:rPr>
                <w:rFonts w:hint="default" w:ascii="华文细黑" w:hAnsi="华文细黑" w:eastAsia="华文细黑" w:cs="Arial"/>
                <w:b/>
                <w:bCs/>
                <w:sz w:val="18"/>
                <w:szCs w:val="18"/>
                <w:highlight w:val="none"/>
                <w:lang w:val="en-US" w:eastAsia="zh-CN"/>
              </w:rPr>
            </w:pPr>
            <w:r>
              <w:rPr>
                <w:rFonts w:hint="eastAsia" w:ascii="华文细黑" w:hAnsi="华文细黑" w:eastAsia="华文细黑" w:cs="Arial"/>
                <w:b/>
                <w:bCs/>
                <w:sz w:val="18"/>
                <w:szCs w:val="18"/>
                <w:highlight w:val="none"/>
                <w:lang w:val="en-US" w:eastAsia="zh-CN"/>
              </w:rPr>
              <w:t>小计</w:t>
            </w:r>
          </w:p>
        </w:tc>
        <w:tc>
          <w:tcPr>
            <w:tcW w:w="4482" w:type="dxa"/>
            <w:tcBorders>
              <w:top w:val="nil"/>
              <w:left w:val="nil"/>
              <w:bottom w:val="single" w:color="auto" w:sz="4" w:space="0"/>
              <w:right w:val="single" w:color="auto" w:sz="4" w:space="0"/>
            </w:tcBorders>
            <w:shd w:val="clear" w:color="auto" w:fill="auto"/>
            <w:noWrap/>
            <w:vAlign w:val="center"/>
          </w:tcPr>
          <w:p w14:paraId="03887153">
            <w:pPr>
              <w:widowControl/>
              <w:adjustRightInd/>
              <w:spacing w:line="240" w:lineRule="auto"/>
              <w:jc w:val="center"/>
              <w:textAlignment w:val="auto"/>
              <w:rPr>
                <w:rFonts w:hint="eastAsia" w:ascii="华文细黑" w:hAnsi="华文细黑" w:eastAsia="华文细黑" w:cs="Arial"/>
                <w:b/>
                <w:bCs/>
                <w:sz w:val="18"/>
                <w:szCs w:val="18"/>
                <w:highlight w:val="none"/>
                <w:lang w:val="en-US" w:eastAsia="zh-CN"/>
              </w:rPr>
            </w:pPr>
            <w:r>
              <w:rPr>
                <w:rFonts w:hint="eastAsia" w:ascii="华文细黑" w:hAnsi="华文细黑" w:eastAsia="华文细黑" w:cs="Arial"/>
                <w:b/>
                <w:bCs/>
                <w:sz w:val="18"/>
                <w:szCs w:val="18"/>
                <w:highlight w:val="none"/>
                <w:lang w:val="en-US" w:eastAsia="zh-CN"/>
              </w:rPr>
              <w:t>-</w:t>
            </w:r>
          </w:p>
        </w:tc>
        <w:tc>
          <w:tcPr>
            <w:tcW w:w="732" w:type="dxa"/>
            <w:tcBorders>
              <w:top w:val="nil"/>
              <w:left w:val="nil"/>
              <w:bottom w:val="single" w:color="auto" w:sz="4" w:space="0"/>
              <w:right w:val="single" w:color="auto" w:sz="4" w:space="0"/>
            </w:tcBorders>
            <w:shd w:val="clear" w:color="auto" w:fill="auto"/>
            <w:noWrap/>
            <w:vAlign w:val="center"/>
          </w:tcPr>
          <w:p w14:paraId="090101D1">
            <w:pPr>
              <w:widowControl/>
              <w:adjustRightInd/>
              <w:spacing w:line="240" w:lineRule="auto"/>
              <w:jc w:val="center"/>
              <w:textAlignment w:val="auto"/>
              <w:rPr>
                <w:rFonts w:hint="eastAsia" w:ascii="华文细黑" w:hAnsi="华文细黑" w:eastAsia="华文细黑" w:cs="Arial"/>
                <w:b/>
                <w:bCs/>
                <w:sz w:val="18"/>
                <w:szCs w:val="18"/>
                <w:highlight w:val="none"/>
                <w:lang w:val="en-US" w:eastAsia="zh-CN"/>
              </w:rPr>
            </w:pPr>
            <w:r>
              <w:rPr>
                <w:rFonts w:hint="eastAsia" w:ascii="华文细黑" w:hAnsi="华文细黑" w:eastAsia="华文细黑" w:cs="Arial"/>
                <w:b/>
                <w:bCs/>
                <w:sz w:val="18"/>
                <w:szCs w:val="18"/>
                <w:highlight w:val="none"/>
                <w:lang w:val="en-US" w:eastAsia="zh-CN"/>
              </w:rPr>
              <w:t>-</w:t>
            </w:r>
          </w:p>
        </w:tc>
        <w:tc>
          <w:tcPr>
            <w:tcW w:w="708" w:type="dxa"/>
            <w:tcBorders>
              <w:top w:val="nil"/>
              <w:left w:val="nil"/>
              <w:bottom w:val="single" w:color="auto" w:sz="4" w:space="0"/>
              <w:right w:val="single" w:color="auto" w:sz="4" w:space="0"/>
            </w:tcBorders>
            <w:shd w:val="clear" w:color="auto" w:fill="auto"/>
            <w:noWrap/>
            <w:vAlign w:val="center"/>
          </w:tcPr>
          <w:p w14:paraId="4B382FA8">
            <w:pPr>
              <w:widowControl/>
              <w:adjustRightInd/>
              <w:spacing w:line="240" w:lineRule="auto"/>
              <w:jc w:val="center"/>
              <w:textAlignment w:val="auto"/>
              <w:rPr>
                <w:rFonts w:hint="default" w:ascii="华文细黑" w:hAnsi="华文细黑" w:eastAsia="华文细黑" w:cs="Arial"/>
                <w:b/>
                <w:bCs/>
                <w:sz w:val="18"/>
                <w:szCs w:val="18"/>
                <w:highlight w:val="none"/>
                <w:lang w:val="en-US" w:eastAsia="zh-CN"/>
              </w:rPr>
            </w:pPr>
            <w:r>
              <w:rPr>
                <w:rFonts w:hint="eastAsia" w:ascii="华文细黑" w:hAnsi="华文细黑" w:eastAsia="华文细黑" w:cs="Arial"/>
                <w:b/>
                <w:bCs/>
                <w:sz w:val="18"/>
                <w:szCs w:val="18"/>
                <w:highlight w:val="none"/>
                <w:lang w:val="en-US" w:eastAsia="zh-CN"/>
              </w:rPr>
              <w:t>933</w:t>
            </w:r>
          </w:p>
        </w:tc>
        <w:tc>
          <w:tcPr>
            <w:tcW w:w="1226" w:type="dxa"/>
            <w:tcBorders>
              <w:top w:val="nil"/>
              <w:left w:val="nil"/>
              <w:bottom w:val="single" w:color="auto" w:sz="4" w:space="0"/>
              <w:right w:val="single" w:color="auto" w:sz="4" w:space="0"/>
            </w:tcBorders>
            <w:shd w:val="clear" w:color="auto" w:fill="auto"/>
            <w:noWrap/>
            <w:vAlign w:val="center"/>
          </w:tcPr>
          <w:p w14:paraId="582E0D10">
            <w:pPr>
              <w:widowControl/>
              <w:adjustRightInd/>
              <w:spacing w:line="240" w:lineRule="auto"/>
              <w:jc w:val="center"/>
              <w:textAlignment w:val="auto"/>
              <w:rPr>
                <w:rFonts w:hint="default" w:ascii="华文细黑" w:hAnsi="华文细黑" w:eastAsia="华文细黑" w:cs="Arial"/>
                <w:b/>
                <w:bCs/>
                <w:sz w:val="18"/>
                <w:szCs w:val="18"/>
                <w:highlight w:val="none"/>
                <w:lang w:val="en-US" w:eastAsia="zh-CN"/>
              </w:rPr>
            </w:pPr>
            <w:r>
              <w:rPr>
                <w:rFonts w:hint="eastAsia" w:ascii="华文细黑" w:hAnsi="华文细黑" w:eastAsia="华文细黑" w:cs="Arial"/>
                <w:b/>
                <w:bCs/>
                <w:sz w:val="18"/>
                <w:szCs w:val="18"/>
                <w:highlight w:val="none"/>
                <w:lang w:val="en-US" w:eastAsia="zh-CN"/>
              </w:rPr>
              <w:t>79323.24</w:t>
            </w:r>
          </w:p>
        </w:tc>
      </w:tr>
      <w:tr w14:paraId="75BA652C">
        <w:tblPrEx>
          <w:tblCellMar>
            <w:top w:w="0" w:type="dxa"/>
            <w:left w:w="108" w:type="dxa"/>
            <w:bottom w:w="0" w:type="dxa"/>
            <w:right w:w="108" w:type="dxa"/>
          </w:tblCellMar>
        </w:tblPrEx>
        <w:trPr>
          <w:trHeight w:val="276" w:hRule="atLeast"/>
        </w:trPr>
        <w:tc>
          <w:tcPr>
            <w:tcW w:w="779" w:type="dxa"/>
            <w:vMerge w:val="restart"/>
            <w:tcBorders>
              <w:top w:val="nil"/>
              <w:left w:val="single" w:color="auto" w:sz="4" w:space="0"/>
              <w:right w:val="single" w:color="auto" w:sz="4" w:space="0"/>
            </w:tcBorders>
            <w:vAlign w:val="center"/>
          </w:tcPr>
          <w:p w14:paraId="30771513">
            <w:pPr>
              <w:widowControl/>
              <w:adjustRightInd/>
              <w:spacing w:line="240" w:lineRule="auto"/>
              <w:jc w:val="center"/>
              <w:textAlignment w:val="auto"/>
              <w:rPr>
                <w:rFonts w:ascii="华文细黑" w:hAnsi="华文细黑" w:eastAsia="华文细黑" w:cs="Arial"/>
                <w:b/>
                <w:bCs/>
                <w:sz w:val="18"/>
                <w:szCs w:val="18"/>
                <w:highlight w:val="none"/>
              </w:rPr>
            </w:pPr>
            <w:r>
              <w:rPr>
                <w:rFonts w:hint="eastAsia" w:ascii="华文细黑" w:hAnsi="华文细黑" w:eastAsia="华文细黑" w:cs="Arial"/>
                <w:b/>
                <w:bCs/>
                <w:sz w:val="18"/>
                <w:szCs w:val="18"/>
                <w:highlight w:val="none"/>
                <w:lang w:val="en-US" w:eastAsia="zh-CN"/>
              </w:rPr>
              <w:t>三居室</w:t>
            </w:r>
          </w:p>
        </w:tc>
        <w:tc>
          <w:tcPr>
            <w:tcW w:w="1332" w:type="dxa"/>
            <w:tcBorders>
              <w:top w:val="nil"/>
              <w:left w:val="nil"/>
              <w:bottom w:val="single" w:color="auto" w:sz="4" w:space="0"/>
              <w:right w:val="single" w:color="auto" w:sz="4" w:space="0"/>
            </w:tcBorders>
            <w:shd w:val="clear" w:color="auto" w:fill="auto"/>
            <w:noWrap/>
            <w:vAlign w:val="center"/>
          </w:tcPr>
          <w:p w14:paraId="63704730">
            <w:pPr>
              <w:widowControl/>
              <w:adjustRightInd/>
              <w:spacing w:line="240" w:lineRule="auto"/>
              <w:jc w:val="center"/>
              <w:textAlignment w:val="auto"/>
              <w:rPr>
                <w:rFonts w:ascii="华文细黑" w:hAnsi="华文细黑" w:eastAsia="华文细黑" w:cs="Arial"/>
                <w:sz w:val="18"/>
                <w:szCs w:val="18"/>
                <w:highlight w:val="none"/>
              </w:rPr>
            </w:pPr>
            <w:r>
              <w:rPr>
                <w:rFonts w:hint="eastAsia" w:ascii="华文细黑" w:hAnsi="华文细黑" w:eastAsia="华文细黑" w:cs="Arial"/>
                <w:sz w:val="18"/>
                <w:szCs w:val="18"/>
                <w:highlight w:val="none"/>
              </w:rPr>
              <w:t>90.99-129.32</w:t>
            </w:r>
          </w:p>
        </w:tc>
        <w:tc>
          <w:tcPr>
            <w:tcW w:w="4482" w:type="dxa"/>
            <w:tcBorders>
              <w:top w:val="nil"/>
              <w:left w:val="nil"/>
              <w:bottom w:val="single" w:color="auto" w:sz="4" w:space="0"/>
              <w:right w:val="single" w:color="auto" w:sz="4" w:space="0"/>
            </w:tcBorders>
            <w:shd w:val="clear" w:color="auto" w:fill="auto"/>
            <w:noWrap/>
            <w:vAlign w:val="center"/>
          </w:tcPr>
          <w:p w14:paraId="6567F75B">
            <w:pPr>
              <w:widowControl/>
              <w:adjustRightInd/>
              <w:spacing w:line="240" w:lineRule="auto"/>
              <w:jc w:val="center"/>
              <w:textAlignment w:val="auto"/>
              <w:rPr>
                <w:rFonts w:ascii="华文细黑" w:hAnsi="华文细黑" w:eastAsia="华文细黑" w:cs="Arial"/>
                <w:sz w:val="18"/>
                <w:szCs w:val="18"/>
                <w:highlight w:val="none"/>
              </w:rPr>
            </w:pPr>
            <w:r>
              <w:rPr>
                <w:rFonts w:hint="eastAsia" w:ascii="华文细黑" w:hAnsi="华文细黑" w:eastAsia="华文细黑" w:cs="Arial"/>
                <w:sz w:val="18"/>
                <w:szCs w:val="18"/>
                <w:highlight w:val="none"/>
              </w:rPr>
              <w:t>育林街1号院9、16号楼；育林街2号院7、8、10、11、12、18号楼；育林街8号院8号楼</w:t>
            </w:r>
          </w:p>
        </w:tc>
        <w:tc>
          <w:tcPr>
            <w:tcW w:w="732" w:type="dxa"/>
            <w:tcBorders>
              <w:top w:val="nil"/>
              <w:left w:val="nil"/>
              <w:bottom w:val="single" w:color="auto" w:sz="4" w:space="0"/>
              <w:right w:val="single" w:color="auto" w:sz="4" w:space="0"/>
            </w:tcBorders>
            <w:shd w:val="clear" w:color="auto" w:fill="auto"/>
            <w:noWrap/>
            <w:vAlign w:val="center"/>
          </w:tcPr>
          <w:p w14:paraId="60894A67">
            <w:pPr>
              <w:widowControl/>
              <w:adjustRightInd/>
              <w:spacing w:line="240" w:lineRule="auto"/>
              <w:jc w:val="center"/>
              <w:textAlignment w:val="auto"/>
              <w:rPr>
                <w:rFonts w:ascii="华文细黑" w:hAnsi="华文细黑" w:eastAsia="华文细黑" w:cs="Arial"/>
                <w:sz w:val="18"/>
                <w:szCs w:val="18"/>
                <w:highlight w:val="none"/>
              </w:rPr>
            </w:pPr>
            <w:r>
              <w:rPr>
                <w:rFonts w:ascii="华文细黑" w:hAnsi="华文细黑" w:eastAsia="华文细黑" w:cs="Arial"/>
                <w:sz w:val="18"/>
                <w:szCs w:val="18"/>
                <w:highlight w:val="none"/>
              </w:rPr>
              <w:t>南北</w:t>
            </w:r>
          </w:p>
        </w:tc>
        <w:tc>
          <w:tcPr>
            <w:tcW w:w="708" w:type="dxa"/>
            <w:tcBorders>
              <w:top w:val="nil"/>
              <w:left w:val="nil"/>
              <w:bottom w:val="single" w:color="auto" w:sz="4" w:space="0"/>
              <w:right w:val="single" w:color="auto" w:sz="4" w:space="0"/>
            </w:tcBorders>
            <w:shd w:val="clear" w:color="auto" w:fill="auto"/>
            <w:noWrap/>
            <w:vAlign w:val="center"/>
          </w:tcPr>
          <w:p w14:paraId="0DF84449">
            <w:pPr>
              <w:widowControl/>
              <w:adjustRightInd/>
              <w:spacing w:line="240" w:lineRule="auto"/>
              <w:jc w:val="center"/>
              <w:textAlignment w:val="auto"/>
              <w:rPr>
                <w:rFonts w:hint="default" w:ascii="华文细黑" w:hAnsi="华文细黑" w:eastAsia="华文细黑" w:cs="Arial"/>
                <w:sz w:val="18"/>
                <w:szCs w:val="18"/>
                <w:highlight w:val="none"/>
                <w:lang w:val="en-US" w:eastAsia="zh-CN"/>
              </w:rPr>
            </w:pPr>
            <w:r>
              <w:rPr>
                <w:rFonts w:hint="eastAsia" w:ascii="华文细黑" w:hAnsi="华文细黑" w:eastAsia="华文细黑" w:cs="Arial"/>
                <w:sz w:val="18"/>
                <w:szCs w:val="18"/>
                <w:highlight w:val="none"/>
                <w:lang w:val="en-US" w:eastAsia="zh-CN"/>
              </w:rPr>
              <w:t>13</w:t>
            </w:r>
          </w:p>
        </w:tc>
        <w:tc>
          <w:tcPr>
            <w:tcW w:w="1226" w:type="dxa"/>
            <w:tcBorders>
              <w:top w:val="nil"/>
              <w:left w:val="nil"/>
              <w:bottom w:val="single" w:color="auto" w:sz="4" w:space="0"/>
              <w:right w:val="single" w:color="auto" w:sz="4" w:space="0"/>
            </w:tcBorders>
            <w:shd w:val="clear" w:color="auto" w:fill="auto"/>
            <w:noWrap/>
            <w:vAlign w:val="center"/>
          </w:tcPr>
          <w:p w14:paraId="08606975">
            <w:pPr>
              <w:widowControl/>
              <w:adjustRightInd/>
              <w:spacing w:line="240" w:lineRule="auto"/>
              <w:jc w:val="center"/>
              <w:textAlignment w:val="auto"/>
              <w:rPr>
                <w:rFonts w:ascii="华文细黑" w:hAnsi="华文细黑" w:eastAsia="华文细黑" w:cs="Arial"/>
                <w:sz w:val="18"/>
                <w:szCs w:val="18"/>
                <w:highlight w:val="none"/>
              </w:rPr>
            </w:pPr>
            <w:r>
              <w:rPr>
                <w:rFonts w:hint="eastAsia" w:ascii="华文细黑" w:hAnsi="华文细黑" w:eastAsia="华文细黑" w:cs="Arial"/>
                <w:sz w:val="18"/>
                <w:szCs w:val="18"/>
                <w:highlight w:val="none"/>
                <w:lang w:val="en-US" w:eastAsia="zh-CN"/>
              </w:rPr>
              <w:t>1561.82</w:t>
            </w:r>
          </w:p>
        </w:tc>
      </w:tr>
      <w:tr w14:paraId="622C8000">
        <w:tblPrEx>
          <w:tblCellMar>
            <w:top w:w="0" w:type="dxa"/>
            <w:left w:w="108" w:type="dxa"/>
            <w:bottom w:w="0" w:type="dxa"/>
            <w:right w:w="108" w:type="dxa"/>
          </w:tblCellMar>
        </w:tblPrEx>
        <w:trPr>
          <w:trHeight w:val="276" w:hRule="atLeast"/>
        </w:trPr>
        <w:tc>
          <w:tcPr>
            <w:tcW w:w="779" w:type="dxa"/>
            <w:vMerge w:val="continue"/>
            <w:tcBorders>
              <w:left w:val="single" w:color="auto" w:sz="4" w:space="0"/>
              <w:bottom w:val="single" w:color="auto" w:sz="4" w:space="0"/>
              <w:right w:val="single" w:color="auto" w:sz="4" w:space="0"/>
            </w:tcBorders>
            <w:vAlign w:val="center"/>
          </w:tcPr>
          <w:p w14:paraId="67C15432">
            <w:pPr>
              <w:widowControl/>
              <w:adjustRightInd/>
              <w:spacing w:line="240" w:lineRule="auto"/>
              <w:jc w:val="center"/>
              <w:textAlignment w:val="auto"/>
              <w:rPr>
                <w:rFonts w:hint="eastAsia" w:ascii="华文细黑" w:hAnsi="华文细黑" w:eastAsia="华文细黑" w:cs="Arial"/>
                <w:b/>
                <w:bCs/>
                <w:sz w:val="18"/>
                <w:szCs w:val="18"/>
                <w:highlight w:val="none"/>
                <w:lang w:val="en-US" w:eastAsia="zh-CN"/>
              </w:rPr>
            </w:pPr>
          </w:p>
        </w:tc>
        <w:tc>
          <w:tcPr>
            <w:tcW w:w="1332" w:type="dxa"/>
            <w:tcBorders>
              <w:top w:val="nil"/>
              <w:left w:val="nil"/>
              <w:bottom w:val="single" w:color="auto" w:sz="4" w:space="0"/>
              <w:right w:val="single" w:color="auto" w:sz="4" w:space="0"/>
            </w:tcBorders>
            <w:shd w:val="clear" w:color="auto" w:fill="auto"/>
            <w:noWrap/>
            <w:vAlign w:val="center"/>
          </w:tcPr>
          <w:p w14:paraId="57CEB95C">
            <w:pPr>
              <w:widowControl/>
              <w:adjustRightInd/>
              <w:spacing w:line="240" w:lineRule="auto"/>
              <w:jc w:val="center"/>
              <w:textAlignment w:val="auto"/>
              <w:rPr>
                <w:rFonts w:hint="eastAsia" w:ascii="华文细黑" w:hAnsi="华文细黑" w:eastAsia="华文细黑" w:cs="Arial"/>
                <w:b/>
                <w:bCs/>
                <w:sz w:val="18"/>
                <w:szCs w:val="18"/>
                <w:highlight w:val="none"/>
              </w:rPr>
            </w:pPr>
            <w:r>
              <w:rPr>
                <w:rFonts w:hint="eastAsia" w:ascii="华文细黑" w:hAnsi="华文细黑" w:eastAsia="华文细黑" w:cs="Arial"/>
                <w:b/>
                <w:bCs/>
                <w:sz w:val="18"/>
                <w:szCs w:val="18"/>
                <w:highlight w:val="none"/>
                <w:lang w:val="en-US" w:eastAsia="zh-CN"/>
              </w:rPr>
              <w:t>小计</w:t>
            </w:r>
          </w:p>
        </w:tc>
        <w:tc>
          <w:tcPr>
            <w:tcW w:w="4482" w:type="dxa"/>
            <w:tcBorders>
              <w:top w:val="nil"/>
              <w:left w:val="nil"/>
              <w:bottom w:val="single" w:color="auto" w:sz="4" w:space="0"/>
              <w:right w:val="single" w:color="auto" w:sz="4" w:space="0"/>
            </w:tcBorders>
            <w:shd w:val="clear" w:color="auto" w:fill="auto"/>
            <w:noWrap/>
            <w:vAlign w:val="center"/>
          </w:tcPr>
          <w:p w14:paraId="42BC270B">
            <w:pPr>
              <w:widowControl/>
              <w:adjustRightInd/>
              <w:spacing w:line="240" w:lineRule="auto"/>
              <w:jc w:val="center"/>
              <w:textAlignment w:val="auto"/>
              <w:rPr>
                <w:rFonts w:hint="eastAsia" w:ascii="华文细黑" w:hAnsi="华文细黑" w:eastAsia="华文细黑" w:cs="Arial"/>
                <w:b/>
                <w:bCs/>
                <w:sz w:val="18"/>
                <w:szCs w:val="18"/>
                <w:highlight w:val="none"/>
                <w:lang w:val="en-US" w:eastAsia="zh-CN"/>
              </w:rPr>
            </w:pPr>
            <w:r>
              <w:rPr>
                <w:rFonts w:hint="eastAsia" w:ascii="华文细黑" w:hAnsi="华文细黑" w:eastAsia="华文细黑" w:cs="Arial"/>
                <w:b/>
                <w:bCs/>
                <w:sz w:val="18"/>
                <w:szCs w:val="18"/>
                <w:highlight w:val="none"/>
                <w:lang w:val="en-US" w:eastAsia="zh-CN"/>
              </w:rPr>
              <w:t>-</w:t>
            </w:r>
          </w:p>
        </w:tc>
        <w:tc>
          <w:tcPr>
            <w:tcW w:w="732" w:type="dxa"/>
            <w:tcBorders>
              <w:top w:val="nil"/>
              <w:left w:val="nil"/>
              <w:bottom w:val="single" w:color="auto" w:sz="4" w:space="0"/>
              <w:right w:val="single" w:color="auto" w:sz="4" w:space="0"/>
            </w:tcBorders>
            <w:shd w:val="clear" w:color="auto" w:fill="auto"/>
            <w:noWrap/>
            <w:vAlign w:val="center"/>
          </w:tcPr>
          <w:p w14:paraId="6809CEED">
            <w:pPr>
              <w:widowControl/>
              <w:adjustRightInd/>
              <w:spacing w:line="240" w:lineRule="auto"/>
              <w:jc w:val="center"/>
              <w:textAlignment w:val="auto"/>
              <w:rPr>
                <w:rFonts w:hint="eastAsia" w:ascii="华文细黑" w:hAnsi="华文细黑" w:eastAsia="华文细黑" w:cs="Arial"/>
                <w:b/>
                <w:bCs/>
                <w:sz w:val="18"/>
                <w:szCs w:val="18"/>
                <w:highlight w:val="none"/>
                <w:lang w:val="en-US" w:eastAsia="zh-CN"/>
              </w:rPr>
            </w:pPr>
            <w:r>
              <w:rPr>
                <w:rFonts w:hint="eastAsia" w:ascii="华文细黑" w:hAnsi="华文细黑" w:eastAsia="华文细黑" w:cs="Arial"/>
                <w:b/>
                <w:bCs/>
                <w:sz w:val="18"/>
                <w:szCs w:val="18"/>
                <w:highlight w:val="none"/>
                <w:lang w:val="en-US" w:eastAsia="zh-CN"/>
              </w:rPr>
              <w:t>-</w:t>
            </w:r>
          </w:p>
        </w:tc>
        <w:tc>
          <w:tcPr>
            <w:tcW w:w="708" w:type="dxa"/>
            <w:tcBorders>
              <w:top w:val="nil"/>
              <w:left w:val="nil"/>
              <w:bottom w:val="single" w:color="auto" w:sz="4" w:space="0"/>
              <w:right w:val="single" w:color="auto" w:sz="4" w:space="0"/>
            </w:tcBorders>
            <w:shd w:val="clear" w:color="auto" w:fill="auto"/>
            <w:noWrap/>
            <w:vAlign w:val="center"/>
          </w:tcPr>
          <w:p w14:paraId="15BA7152">
            <w:pPr>
              <w:widowControl/>
              <w:adjustRightInd/>
              <w:spacing w:line="240" w:lineRule="auto"/>
              <w:jc w:val="center"/>
              <w:textAlignment w:val="auto"/>
              <w:rPr>
                <w:rFonts w:hint="default" w:ascii="华文细黑" w:hAnsi="华文细黑" w:eastAsia="华文细黑" w:cs="Arial"/>
                <w:b/>
                <w:bCs/>
                <w:sz w:val="18"/>
                <w:szCs w:val="18"/>
                <w:highlight w:val="none"/>
                <w:lang w:val="en-US" w:eastAsia="zh-CN"/>
              </w:rPr>
            </w:pPr>
            <w:r>
              <w:rPr>
                <w:rFonts w:hint="eastAsia" w:ascii="华文细黑" w:hAnsi="华文细黑" w:eastAsia="华文细黑" w:cs="Arial"/>
                <w:b/>
                <w:bCs/>
                <w:sz w:val="18"/>
                <w:szCs w:val="18"/>
                <w:highlight w:val="none"/>
                <w:lang w:val="en-US" w:eastAsia="zh-CN"/>
              </w:rPr>
              <w:t>13</w:t>
            </w:r>
          </w:p>
        </w:tc>
        <w:tc>
          <w:tcPr>
            <w:tcW w:w="1226" w:type="dxa"/>
            <w:tcBorders>
              <w:top w:val="nil"/>
              <w:left w:val="nil"/>
              <w:bottom w:val="single" w:color="auto" w:sz="4" w:space="0"/>
              <w:right w:val="single" w:color="auto" w:sz="4" w:space="0"/>
            </w:tcBorders>
            <w:shd w:val="clear" w:color="auto" w:fill="auto"/>
            <w:noWrap/>
            <w:vAlign w:val="center"/>
          </w:tcPr>
          <w:p w14:paraId="1181B286">
            <w:pPr>
              <w:widowControl/>
              <w:adjustRightInd/>
              <w:spacing w:line="240" w:lineRule="auto"/>
              <w:jc w:val="center"/>
              <w:textAlignment w:val="auto"/>
              <w:rPr>
                <w:rFonts w:hint="default" w:ascii="华文细黑" w:hAnsi="华文细黑" w:eastAsia="华文细黑" w:cs="Arial"/>
                <w:b/>
                <w:bCs/>
                <w:sz w:val="18"/>
                <w:szCs w:val="18"/>
                <w:highlight w:val="none"/>
                <w:lang w:val="en-US" w:eastAsia="zh-CN"/>
              </w:rPr>
            </w:pPr>
            <w:r>
              <w:rPr>
                <w:rFonts w:hint="eastAsia" w:ascii="华文细黑" w:hAnsi="华文细黑" w:eastAsia="华文细黑" w:cs="Arial"/>
                <w:b/>
                <w:bCs/>
                <w:sz w:val="18"/>
                <w:szCs w:val="18"/>
                <w:highlight w:val="none"/>
                <w:lang w:val="en-US" w:eastAsia="zh-CN"/>
              </w:rPr>
              <w:t>1564.82</w:t>
            </w:r>
          </w:p>
        </w:tc>
      </w:tr>
      <w:tr w14:paraId="603825A7">
        <w:tblPrEx>
          <w:tblCellMar>
            <w:top w:w="0" w:type="dxa"/>
            <w:left w:w="108" w:type="dxa"/>
            <w:bottom w:w="0" w:type="dxa"/>
            <w:right w:w="108" w:type="dxa"/>
          </w:tblCellMar>
        </w:tblPrEx>
        <w:trPr>
          <w:trHeight w:val="90" w:hRule="atLeast"/>
        </w:trPr>
        <w:tc>
          <w:tcPr>
            <w:tcW w:w="779" w:type="dxa"/>
            <w:tcBorders>
              <w:top w:val="nil"/>
              <w:left w:val="single" w:color="auto" w:sz="4" w:space="0"/>
              <w:bottom w:val="single" w:color="auto" w:sz="4" w:space="0"/>
              <w:right w:val="single" w:color="auto" w:sz="4" w:space="0"/>
            </w:tcBorders>
            <w:shd w:val="clear" w:color="auto" w:fill="auto"/>
            <w:noWrap/>
            <w:vAlign w:val="center"/>
          </w:tcPr>
          <w:p w14:paraId="6B1D1131">
            <w:pPr>
              <w:widowControl/>
              <w:adjustRightInd/>
              <w:spacing w:line="240" w:lineRule="auto"/>
              <w:jc w:val="center"/>
              <w:textAlignment w:val="auto"/>
              <w:rPr>
                <w:rFonts w:ascii="华文细黑" w:hAnsi="华文细黑" w:eastAsia="华文细黑" w:cs="Arial"/>
                <w:b/>
                <w:bCs/>
                <w:sz w:val="18"/>
                <w:szCs w:val="18"/>
                <w:highlight w:val="none"/>
              </w:rPr>
            </w:pPr>
            <w:r>
              <w:rPr>
                <w:rFonts w:ascii="华文细黑" w:hAnsi="华文细黑" w:eastAsia="华文细黑" w:cs="Arial"/>
                <w:b/>
                <w:bCs/>
                <w:sz w:val="18"/>
                <w:szCs w:val="18"/>
                <w:highlight w:val="none"/>
              </w:rPr>
              <w:t>合计</w:t>
            </w:r>
          </w:p>
        </w:tc>
        <w:tc>
          <w:tcPr>
            <w:tcW w:w="1332" w:type="dxa"/>
            <w:tcBorders>
              <w:top w:val="nil"/>
              <w:left w:val="nil"/>
              <w:bottom w:val="single" w:color="auto" w:sz="4" w:space="0"/>
              <w:right w:val="single" w:color="auto" w:sz="4" w:space="0"/>
            </w:tcBorders>
            <w:shd w:val="clear" w:color="auto" w:fill="auto"/>
            <w:noWrap/>
            <w:vAlign w:val="center"/>
          </w:tcPr>
          <w:p w14:paraId="552963E2">
            <w:pPr>
              <w:widowControl/>
              <w:adjustRightInd/>
              <w:spacing w:line="240" w:lineRule="auto"/>
              <w:jc w:val="center"/>
              <w:textAlignment w:val="auto"/>
              <w:rPr>
                <w:rFonts w:ascii="华文细黑" w:hAnsi="华文细黑" w:eastAsia="华文细黑" w:cs="Arial"/>
                <w:b/>
                <w:bCs/>
                <w:sz w:val="18"/>
                <w:szCs w:val="18"/>
                <w:highlight w:val="none"/>
              </w:rPr>
            </w:pPr>
            <w:r>
              <w:rPr>
                <w:rFonts w:ascii="华文细黑" w:hAnsi="华文细黑" w:eastAsia="华文细黑" w:cs="Arial"/>
                <w:b/>
                <w:bCs/>
                <w:sz w:val="18"/>
                <w:szCs w:val="18"/>
                <w:highlight w:val="none"/>
              </w:rPr>
              <w:t>-</w:t>
            </w:r>
          </w:p>
        </w:tc>
        <w:tc>
          <w:tcPr>
            <w:tcW w:w="4482" w:type="dxa"/>
            <w:tcBorders>
              <w:top w:val="nil"/>
              <w:left w:val="nil"/>
              <w:bottom w:val="single" w:color="auto" w:sz="4" w:space="0"/>
              <w:right w:val="single" w:color="auto" w:sz="4" w:space="0"/>
            </w:tcBorders>
            <w:shd w:val="clear" w:color="auto" w:fill="auto"/>
            <w:noWrap/>
            <w:vAlign w:val="center"/>
          </w:tcPr>
          <w:p w14:paraId="2FE9C246">
            <w:pPr>
              <w:widowControl/>
              <w:adjustRightInd/>
              <w:spacing w:line="240" w:lineRule="auto"/>
              <w:jc w:val="center"/>
              <w:textAlignment w:val="auto"/>
              <w:rPr>
                <w:rFonts w:ascii="华文细黑" w:hAnsi="华文细黑" w:eastAsia="华文细黑" w:cs="Arial"/>
                <w:b/>
                <w:bCs/>
                <w:sz w:val="18"/>
                <w:szCs w:val="18"/>
                <w:highlight w:val="none"/>
              </w:rPr>
            </w:pPr>
            <w:r>
              <w:rPr>
                <w:rFonts w:hint="eastAsia" w:ascii="华文细黑" w:hAnsi="华文细黑" w:eastAsia="华文细黑" w:cs="Arial"/>
                <w:b/>
                <w:bCs/>
                <w:sz w:val="18"/>
                <w:szCs w:val="18"/>
                <w:highlight w:val="none"/>
              </w:rPr>
              <w:t>-</w:t>
            </w:r>
          </w:p>
        </w:tc>
        <w:tc>
          <w:tcPr>
            <w:tcW w:w="732" w:type="dxa"/>
            <w:tcBorders>
              <w:top w:val="nil"/>
              <w:left w:val="nil"/>
              <w:bottom w:val="single" w:color="auto" w:sz="4" w:space="0"/>
              <w:right w:val="single" w:color="auto" w:sz="4" w:space="0"/>
            </w:tcBorders>
            <w:shd w:val="clear" w:color="auto" w:fill="auto"/>
            <w:noWrap/>
            <w:vAlign w:val="center"/>
          </w:tcPr>
          <w:p w14:paraId="35CEC3DC">
            <w:pPr>
              <w:widowControl/>
              <w:adjustRightInd/>
              <w:spacing w:line="240" w:lineRule="auto"/>
              <w:jc w:val="center"/>
              <w:textAlignment w:val="auto"/>
              <w:rPr>
                <w:rFonts w:ascii="华文细黑" w:hAnsi="华文细黑" w:eastAsia="华文细黑" w:cs="Arial"/>
                <w:b/>
                <w:bCs/>
                <w:sz w:val="18"/>
                <w:szCs w:val="18"/>
                <w:highlight w:val="none"/>
              </w:rPr>
            </w:pPr>
            <w:r>
              <w:rPr>
                <w:rFonts w:hint="eastAsia" w:ascii="华文细黑" w:hAnsi="华文细黑" w:eastAsia="华文细黑" w:cs="Arial"/>
                <w:b/>
                <w:bCs/>
                <w:sz w:val="18"/>
                <w:szCs w:val="18"/>
                <w:highlight w:val="none"/>
              </w:rPr>
              <w:t>-</w:t>
            </w:r>
          </w:p>
        </w:tc>
        <w:tc>
          <w:tcPr>
            <w:tcW w:w="708" w:type="dxa"/>
            <w:tcBorders>
              <w:top w:val="nil"/>
              <w:left w:val="nil"/>
              <w:bottom w:val="single" w:color="auto" w:sz="4" w:space="0"/>
              <w:right w:val="single" w:color="auto" w:sz="4" w:space="0"/>
            </w:tcBorders>
            <w:shd w:val="clear" w:color="auto" w:fill="auto"/>
            <w:noWrap/>
            <w:vAlign w:val="center"/>
          </w:tcPr>
          <w:p w14:paraId="583C8CE3">
            <w:pPr>
              <w:widowControl/>
              <w:adjustRightInd/>
              <w:spacing w:line="240" w:lineRule="auto"/>
              <w:jc w:val="center"/>
              <w:textAlignment w:val="auto"/>
              <w:rPr>
                <w:rFonts w:hint="default" w:ascii="华文细黑" w:hAnsi="华文细黑" w:eastAsia="华文细黑" w:cs="Arial"/>
                <w:b/>
                <w:bCs/>
                <w:sz w:val="18"/>
                <w:szCs w:val="18"/>
                <w:highlight w:val="none"/>
                <w:lang w:val="en-US" w:eastAsia="zh-CN"/>
              </w:rPr>
            </w:pPr>
            <w:r>
              <w:rPr>
                <w:rFonts w:hint="eastAsia" w:ascii="华文细黑" w:hAnsi="华文细黑" w:eastAsia="华文细黑" w:cs="Arial"/>
                <w:b/>
                <w:bCs/>
                <w:sz w:val="18"/>
                <w:szCs w:val="18"/>
                <w:highlight w:val="none"/>
                <w:lang w:val="en-US" w:eastAsia="zh-CN"/>
              </w:rPr>
              <w:t>1324</w:t>
            </w:r>
          </w:p>
        </w:tc>
        <w:tc>
          <w:tcPr>
            <w:tcW w:w="1226" w:type="dxa"/>
            <w:tcBorders>
              <w:top w:val="nil"/>
              <w:left w:val="nil"/>
              <w:bottom w:val="single" w:color="auto" w:sz="4" w:space="0"/>
              <w:right w:val="single" w:color="auto" w:sz="4" w:space="0"/>
            </w:tcBorders>
            <w:shd w:val="clear" w:color="auto" w:fill="auto"/>
            <w:noWrap/>
            <w:vAlign w:val="center"/>
          </w:tcPr>
          <w:p w14:paraId="25F5C29F">
            <w:pPr>
              <w:widowControl/>
              <w:adjustRightInd/>
              <w:spacing w:line="240" w:lineRule="auto"/>
              <w:jc w:val="center"/>
              <w:textAlignment w:val="auto"/>
              <w:rPr>
                <w:rFonts w:hint="default" w:ascii="华文细黑" w:hAnsi="华文细黑" w:eastAsia="华文细黑" w:cs="Arial"/>
                <w:b/>
                <w:bCs/>
                <w:sz w:val="18"/>
                <w:szCs w:val="18"/>
                <w:highlight w:val="none"/>
                <w:lang w:val="en-US" w:eastAsia="zh-CN"/>
              </w:rPr>
            </w:pPr>
            <w:r>
              <w:rPr>
                <w:rFonts w:hint="eastAsia" w:ascii="华文细黑" w:hAnsi="华文细黑" w:eastAsia="华文细黑" w:cs="Arial"/>
                <w:b/>
                <w:bCs/>
                <w:sz w:val="18"/>
                <w:szCs w:val="18"/>
                <w:highlight w:val="none"/>
                <w:lang w:val="en-US" w:eastAsia="zh-CN"/>
              </w:rPr>
              <w:t>106034.90</w:t>
            </w:r>
          </w:p>
        </w:tc>
      </w:tr>
    </w:tbl>
    <w:p w14:paraId="650953FA">
      <w:pPr>
        <w:widowControl/>
        <w:adjustRightInd/>
        <w:spacing w:line="240" w:lineRule="auto"/>
        <w:jc w:val="center"/>
        <w:textAlignment w:val="auto"/>
        <w:rPr>
          <w:rFonts w:ascii="华文细黑" w:hAnsi="华文细黑" w:eastAsia="华文细黑" w:cs="Arial"/>
          <w:sz w:val="18"/>
          <w:szCs w:val="18"/>
          <w:highlight w:val="none"/>
        </w:rPr>
      </w:pPr>
    </w:p>
    <w:p w14:paraId="31E795A2">
      <w:pPr>
        <w:overflowPunct w:val="0"/>
        <w:spacing w:line="480" w:lineRule="auto"/>
        <w:ind w:firstLine="422" w:firstLineChars="200"/>
        <w:jc w:val="both"/>
        <w:textAlignment w:val="auto"/>
        <w:rPr>
          <w:rFonts w:ascii="Arial" w:hAnsi="Arial" w:cs="Arial"/>
          <w:sz w:val="21"/>
          <w:szCs w:val="21"/>
          <w:highlight w:val="none"/>
        </w:rPr>
      </w:pPr>
      <w:r>
        <w:rPr>
          <w:rFonts w:ascii="Arial" w:hAnsi="Arial" w:cs="Arial"/>
          <w:b/>
          <w:bCs/>
          <w:sz w:val="21"/>
          <w:szCs w:val="21"/>
          <w:highlight w:val="none"/>
        </w:rPr>
        <w:t>价值时点：</w:t>
      </w:r>
      <w:r>
        <w:rPr>
          <w:rFonts w:hint="eastAsia" w:ascii="Arial" w:hAnsi="Arial" w:cs="Arial"/>
          <w:sz w:val="21"/>
          <w:szCs w:val="21"/>
          <w:highlight w:val="none"/>
          <w:lang w:eastAsia="zh-CN"/>
        </w:rPr>
        <w:t>2025年12月26日</w:t>
      </w:r>
      <w:r>
        <w:rPr>
          <w:rFonts w:hint="eastAsia" w:ascii="Arial" w:hAnsi="Arial" w:cs="Arial"/>
          <w:sz w:val="21"/>
          <w:szCs w:val="21"/>
          <w:highlight w:val="none"/>
        </w:rPr>
        <w:t>（</w:t>
      </w:r>
      <w:r>
        <w:rPr>
          <w:rFonts w:hint="eastAsia" w:ascii="Arial" w:hAnsi="Arial" w:cs="Arial"/>
          <w:sz w:val="21"/>
          <w:szCs w:val="21"/>
          <w:highlight w:val="none"/>
          <w:lang w:val="en-US" w:eastAsia="zh-CN"/>
        </w:rPr>
        <w:t>依据</w:t>
      </w:r>
      <w:r>
        <w:rPr>
          <w:rFonts w:hint="eastAsia" w:ascii="Arial" w:hAnsi="Arial" w:cs="Arial"/>
          <w:sz w:val="21"/>
          <w:szCs w:val="21"/>
          <w:highlight w:val="none"/>
        </w:rPr>
        <w:t>《估价委托书》确定）</w:t>
      </w:r>
    </w:p>
    <w:p w14:paraId="1C642C57">
      <w:pPr>
        <w:overflowPunct w:val="0"/>
        <w:spacing w:line="480" w:lineRule="auto"/>
        <w:ind w:firstLine="422" w:firstLineChars="200"/>
        <w:jc w:val="both"/>
        <w:textAlignment w:val="auto"/>
        <w:rPr>
          <w:rFonts w:ascii="Arial" w:hAnsi="Arial" w:cs="Arial"/>
          <w:sz w:val="21"/>
          <w:szCs w:val="21"/>
          <w:highlight w:val="none"/>
        </w:rPr>
      </w:pPr>
      <w:r>
        <w:rPr>
          <w:rFonts w:ascii="Arial" w:hAnsi="Arial" w:cs="Arial"/>
          <w:b/>
          <w:bCs/>
          <w:sz w:val="21"/>
          <w:szCs w:val="21"/>
          <w:highlight w:val="none"/>
        </w:rPr>
        <w:t>价值类型：</w:t>
      </w:r>
      <w:r>
        <w:rPr>
          <w:rFonts w:hint="eastAsia" w:ascii="Arial" w:hAnsi="Arial" w:cs="Arial"/>
          <w:sz w:val="21"/>
          <w:szCs w:val="21"/>
          <w:highlight w:val="none"/>
        </w:rPr>
        <w:t>根据房地产评估的技术规程和本次估价目的，本次估价采用的是市场价值标准。</w:t>
      </w:r>
      <w:bookmarkStart w:id="4" w:name="_Hlk118454962"/>
      <w:r>
        <w:rPr>
          <w:rFonts w:hint="eastAsia" w:ascii="Arial" w:hAnsi="Arial" w:cs="Arial"/>
          <w:sz w:val="21"/>
          <w:szCs w:val="21"/>
          <w:highlight w:val="none"/>
        </w:rPr>
        <w:t>市场租赁住房租金是指市场租赁住房于价值时点在公开市场上的平均租金，</w:t>
      </w:r>
      <w:bookmarkEnd w:id="4"/>
      <w:r>
        <w:rPr>
          <w:rFonts w:hint="eastAsia" w:ascii="Arial" w:hAnsi="Arial" w:cs="Arial"/>
          <w:sz w:val="21"/>
          <w:szCs w:val="21"/>
          <w:highlight w:val="none"/>
        </w:rPr>
        <w:t>包</w:t>
      </w:r>
      <w:r>
        <w:rPr>
          <w:rFonts w:hint="eastAsia" w:ascii="Arial" w:hAnsi="Arial" w:cs="Arial"/>
          <w:sz w:val="21"/>
          <w:szCs w:val="21"/>
          <w:highlight w:val="none"/>
          <w:lang w:eastAsia="zh-CN"/>
        </w:rPr>
        <w:t>含房屋、家具家电使用费、物业费及租赁税费，包含持有运营单位在住房租赁合同中明确约定由出租人承担的基础服务费（例如基础物业管理服务、公区保洁、公区维保等费用），不包含增值服务费（例如室内保洁、室内人为损坏维修、洗衣、送餐等费用）、能源费（包括公区能源费及室内能源费，例如水、电、气、暖、网络等费用）、车位使用费</w:t>
      </w:r>
      <w:r>
        <w:rPr>
          <w:rFonts w:hint="eastAsia" w:ascii="Arial" w:hAnsi="Arial" w:cs="Arial"/>
          <w:sz w:val="21"/>
          <w:szCs w:val="21"/>
          <w:highlight w:val="none"/>
        </w:rPr>
        <w:t>等费用。</w:t>
      </w:r>
    </w:p>
    <w:p w14:paraId="4A05B9D5">
      <w:pPr>
        <w:overflowPunct w:val="0"/>
        <w:spacing w:line="480" w:lineRule="auto"/>
        <w:ind w:firstLine="422" w:firstLineChars="200"/>
        <w:jc w:val="both"/>
        <w:textAlignment w:val="auto"/>
        <w:rPr>
          <w:rFonts w:ascii="Arial" w:hAnsi="Arial" w:cs="Arial"/>
          <w:b/>
          <w:bCs/>
          <w:sz w:val="21"/>
          <w:szCs w:val="21"/>
          <w:highlight w:val="none"/>
        </w:rPr>
      </w:pPr>
      <w:r>
        <w:rPr>
          <w:rFonts w:ascii="Arial" w:hAnsi="Arial" w:cs="Arial"/>
          <w:b/>
          <w:bCs/>
          <w:sz w:val="21"/>
          <w:szCs w:val="21"/>
          <w:highlight w:val="none"/>
        </w:rPr>
        <w:t>估价方法：</w:t>
      </w:r>
      <w:r>
        <w:rPr>
          <w:rFonts w:ascii="Arial" w:hAnsi="Arial" w:cs="Arial"/>
          <w:bCs/>
          <w:sz w:val="21"/>
          <w:szCs w:val="21"/>
          <w:highlight w:val="none"/>
        </w:rPr>
        <w:t>本次评估采用的估价方法为比较法</w:t>
      </w:r>
      <w:r>
        <w:rPr>
          <w:rFonts w:ascii="Arial" w:hAnsi="Arial" w:cs="Arial"/>
          <w:sz w:val="21"/>
          <w:szCs w:val="21"/>
          <w:highlight w:val="none"/>
        </w:rPr>
        <w:t>。</w:t>
      </w:r>
    </w:p>
    <w:p w14:paraId="58B6EB02">
      <w:pPr>
        <w:overflowPunct w:val="0"/>
        <w:spacing w:line="480" w:lineRule="auto"/>
        <w:ind w:firstLine="422" w:firstLineChars="200"/>
        <w:jc w:val="both"/>
        <w:textAlignment w:val="auto"/>
        <w:rPr>
          <w:rFonts w:ascii="Arial" w:hAnsi="Arial" w:cs="Arial"/>
          <w:sz w:val="21"/>
          <w:szCs w:val="21"/>
          <w:highlight w:val="none"/>
        </w:rPr>
      </w:pPr>
      <w:r>
        <w:rPr>
          <w:rFonts w:ascii="Arial" w:hAnsi="Arial" w:cs="Arial"/>
          <w:b/>
          <w:bCs/>
          <w:sz w:val="21"/>
          <w:szCs w:val="21"/>
          <w:highlight w:val="none"/>
        </w:rPr>
        <w:t>估价结果：</w:t>
      </w:r>
      <w:r>
        <w:rPr>
          <w:rFonts w:ascii="Arial" w:hAnsi="Arial" w:cs="Arial"/>
          <w:sz w:val="21"/>
          <w:szCs w:val="21"/>
          <w:highlight w:val="none"/>
        </w:rPr>
        <w:t>评估专业人员根据估价的目的，</w:t>
      </w:r>
      <w:r>
        <w:rPr>
          <w:rFonts w:hint="eastAsia" w:ascii="Arial" w:hAnsi="Arial" w:cs="Arial"/>
          <w:sz w:val="21"/>
          <w:szCs w:val="21"/>
          <w:highlight w:val="none"/>
        </w:rPr>
        <w:t>遵循估价原则，</w:t>
      </w:r>
      <w:r>
        <w:rPr>
          <w:rFonts w:ascii="Arial" w:hAnsi="Arial" w:cs="Arial"/>
          <w:sz w:val="21"/>
          <w:szCs w:val="21"/>
          <w:highlight w:val="none"/>
        </w:rPr>
        <w:t>按照估价的程序，采用科学的估价方法，在认真分析现有资料的基础上，通过仔细测算和认真分析各种影响房地产</w:t>
      </w:r>
      <w:r>
        <w:rPr>
          <w:rFonts w:hint="eastAsia" w:ascii="Arial" w:hAnsi="Arial" w:cs="Arial"/>
          <w:sz w:val="21"/>
          <w:szCs w:val="21"/>
          <w:highlight w:val="none"/>
        </w:rPr>
        <w:t>租赁</w:t>
      </w:r>
      <w:r>
        <w:rPr>
          <w:rFonts w:ascii="Arial" w:hAnsi="Arial" w:cs="Arial"/>
          <w:sz w:val="21"/>
          <w:szCs w:val="21"/>
          <w:highlight w:val="none"/>
        </w:rPr>
        <w:t>价格的因素，</w:t>
      </w:r>
      <w:r>
        <w:rPr>
          <w:rFonts w:hint="eastAsia" w:ascii="Arial" w:hAnsi="Arial" w:cs="Arial"/>
          <w:sz w:val="21"/>
          <w:szCs w:val="21"/>
          <w:highlight w:val="none"/>
        </w:rPr>
        <w:t>最终</w:t>
      </w:r>
      <w:r>
        <w:rPr>
          <w:rFonts w:ascii="Arial" w:hAnsi="Arial" w:cs="Arial"/>
          <w:sz w:val="21"/>
          <w:szCs w:val="21"/>
          <w:highlight w:val="none"/>
        </w:rPr>
        <w:t>确定</w:t>
      </w:r>
      <w:r>
        <w:rPr>
          <w:rFonts w:hint="eastAsia" w:ascii="Arial" w:hAnsi="Arial" w:cs="Arial"/>
          <w:sz w:val="21"/>
          <w:szCs w:val="21"/>
          <w:highlight w:val="none"/>
        </w:rPr>
        <w:t>项目于价值时点</w:t>
      </w:r>
      <w:r>
        <w:rPr>
          <w:rFonts w:hint="eastAsia" w:ascii="Arial" w:hAnsi="Arial" w:cs="Arial"/>
          <w:sz w:val="21"/>
          <w:szCs w:val="21"/>
          <w:highlight w:val="none"/>
          <w:lang w:eastAsia="zh-CN"/>
        </w:rPr>
        <w:t>2025年12月26日</w:t>
      </w:r>
      <w:r>
        <w:rPr>
          <w:rFonts w:hint="eastAsia" w:ascii="Arial" w:hAnsi="Arial" w:cs="Arial"/>
          <w:sz w:val="21"/>
          <w:szCs w:val="21"/>
          <w:highlight w:val="none"/>
        </w:rPr>
        <w:t>同地段、同品质市场租赁住房租金为：</w:t>
      </w:r>
    </w:p>
    <w:p w14:paraId="4ABF787A">
      <w:pPr>
        <w:overflowPunct w:val="0"/>
        <w:spacing w:line="480" w:lineRule="auto"/>
        <w:ind w:firstLine="422" w:firstLineChars="200"/>
        <w:jc w:val="both"/>
        <w:textAlignment w:val="auto"/>
        <w:rPr>
          <w:rFonts w:ascii="Arial" w:hAnsi="Arial" w:cs="Arial"/>
          <w:b/>
          <w:bCs/>
          <w:sz w:val="21"/>
          <w:szCs w:val="21"/>
          <w:highlight w:val="none"/>
        </w:rPr>
      </w:pPr>
      <w:r>
        <w:rPr>
          <w:rFonts w:hint="eastAsia" w:ascii="Arial" w:hAnsi="Arial" w:cs="Arial"/>
          <w:b/>
          <w:bCs/>
          <w:sz w:val="21"/>
          <w:szCs w:val="21"/>
          <w:highlight w:val="none"/>
        </w:rPr>
        <w:t>一居室（</w:t>
      </w:r>
      <w:r>
        <w:rPr>
          <w:rFonts w:hint="eastAsia" w:ascii="Arial" w:hAnsi="Arial" w:cs="Arial"/>
          <w:b/>
          <w:bCs/>
          <w:sz w:val="21"/>
          <w:szCs w:val="21"/>
          <w:highlight w:val="none"/>
          <w:lang w:val="en-US" w:eastAsia="zh-CN"/>
        </w:rPr>
        <w:t>52.63-69.91</w:t>
      </w:r>
      <w:r>
        <w:rPr>
          <w:rFonts w:ascii="Arial" w:hAnsi="Arial" w:cs="Arial"/>
          <w:b/>
          <w:bCs/>
          <w:sz w:val="21"/>
          <w:szCs w:val="21"/>
          <w:highlight w:val="none"/>
        </w:rPr>
        <w:t>平方米）</w:t>
      </w:r>
      <w:r>
        <w:rPr>
          <w:rFonts w:hint="eastAsia" w:ascii="Arial" w:hAnsi="Arial" w:cs="Arial"/>
          <w:b/>
          <w:bCs/>
          <w:sz w:val="21"/>
          <w:szCs w:val="21"/>
          <w:highlight w:val="none"/>
        </w:rPr>
        <w:t>：</w:t>
      </w:r>
      <w:r>
        <w:rPr>
          <w:rFonts w:hint="eastAsia" w:ascii="Arial" w:hAnsi="Arial" w:cs="Arial"/>
          <w:b/>
          <w:bCs/>
          <w:sz w:val="21"/>
          <w:szCs w:val="21"/>
          <w:highlight w:val="none"/>
          <w:lang w:val="en-US" w:eastAsia="zh-CN"/>
        </w:rPr>
        <w:t>21.46</w:t>
      </w:r>
      <w:r>
        <w:rPr>
          <w:rFonts w:hint="eastAsia" w:ascii="Arial" w:hAnsi="Arial" w:cs="Arial"/>
          <w:b/>
          <w:bCs/>
          <w:sz w:val="21"/>
          <w:szCs w:val="21"/>
          <w:highlight w:val="none"/>
        </w:rPr>
        <w:t>元/平方米·月</w:t>
      </w:r>
    </w:p>
    <w:p w14:paraId="087FE814">
      <w:pPr>
        <w:overflowPunct w:val="0"/>
        <w:spacing w:line="480" w:lineRule="auto"/>
        <w:ind w:firstLine="422" w:firstLineChars="200"/>
        <w:jc w:val="both"/>
        <w:textAlignment w:val="auto"/>
        <w:rPr>
          <w:rFonts w:ascii="Arial" w:hAnsi="Arial" w:cs="Arial"/>
          <w:b/>
          <w:bCs/>
          <w:sz w:val="21"/>
          <w:szCs w:val="21"/>
          <w:highlight w:val="none"/>
        </w:rPr>
      </w:pPr>
      <w:r>
        <w:rPr>
          <w:rFonts w:hint="eastAsia" w:ascii="Arial" w:hAnsi="Arial" w:cs="Arial"/>
          <w:b/>
          <w:bCs/>
          <w:sz w:val="21"/>
          <w:szCs w:val="21"/>
          <w:highlight w:val="none"/>
        </w:rPr>
        <w:t>两居室（</w:t>
      </w:r>
      <w:r>
        <w:rPr>
          <w:rFonts w:hint="eastAsia" w:ascii="Arial" w:hAnsi="Arial" w:cs="Arial"/>
          <w:b/>
          <w:bCs/>
          <w:sz w:val="21"/>
          <w:szCs w:val="21"/>
          <w:highlight w:val="none"/>
          <w:lang w:val="en-US" w:eastAsia="zh-CN"/>
        </w:rPr>
        <w:t>72.82-88.38</w:t>
      </w:r>
      <w:r>
        <w:rPr>
          <w:rFonts w:ascii="Arial" w:hAnsi="Arial" w:cs="Arial"/>
          <w:b/>
          <w:bCs/>
          <w:sz w:val="21"/>
          <w:szCs w:val="21"/>
          <w:highlight w:val="none"/>
        </w:rPr>
        <w:t>平方米）</w:t>
      </w:r>
      <w:r>
        <w:rPr>
          <w:rFonts w:hint="eastAsia" w:ascii="Arial" w:hAnsi="Arial" w:cs="Arial"/>
          <w:b/>
          <w:bCs/>
          <w:sz w:val="21"/>
          <w:szCs w:val="21"/>
          <w:highlight w:val="none"/>
        </w:rPr>
        <w:t>：</w:t>
      </w:r>
      <w:r>
        <w:rPr>
          <w:rFonts w:hint="eastAsia" w:ascii="Arial" w:hAnsi="Arial" w:cs="Arial"/>
          <w:b/>
          <w:bCs/>
          <w:sz w:val="21"/>
          <w:szCs w:val="21"/>
          <w:highlight w:val="none"/>
          <w:lang w:val="en-US" w:eastAsia="zh-CN"/>
        </w:rPr>
        <w:t>17.28</w:t>
      </w:r>
      <w:r>
        <w:rPr>
          <w:rFonts w:hint="eastAsia" w:ascii="Arial" w:hAnsi="Arial" w:cs="Arial"/>
          <w:b/>
          <w:bCs/>
          <w:sz w:val="21"/>
          <w:szCs w:val="21"/>
          <w:highlight w:val="none"/>
        </w:rPr>
        <w:t>元/平方米·月</w:t>
      </w:r>
    </w:p>
    <w:p w14:paraId="232AB375">
      <w:pPr>
        <w:overflowPunct w:val="0"/>
        <w:spacing w:line="480" w:lineRule="auto"/>
        <w:ind w:firstLine="422" w:firstLineChars="200"/>
        <w:jc w:val="both"/>
        <w:textAlignment w:val="auto"/>
        <w:rPr>
          <w:rFonts w:ascii="Arial" w:hAnsi="Arial" w:cs="Arial"/>
          <w:b/>
          <w:bCs/>
          <w:sz w:val="21"/>
          <w:szCs w:val="21"/>
          <w:highlight w:val="none"/>
        </w:rPr>
      </w:pPr>
      <w:r>
        <w:rPr>
          <w:rFonts w:hint="eastAsia" w:ascii="Arial" w:hAnsi="Arial" w:cs="Arial"/>
          <w:b/>
          <w:bCs/>
          <w:sz w:val="21"/>
          <w:szCs w:val="21"/>
          <w:highlight w:val="none"/>
          <w:lang w:val="en-US" w:eastAsia="zh-CN"/>
        </w:rPr>
        <w:t>三</w:t>
      </w:r>
      <w:r>
        <w:rPr>
          <w:rFonts w:hint="eastAsia" w:ascii="Arial" w:hAnsi="Arial" w:cs="Arial"/>
          <w:b/>
          <w:bCs/>
          <w:sz w:val="21"/>
          <w:szCs w:val="21"/>
          <w:highlight w:val="none"/>
        </w:rPr>
        <w:t>居室（</w:t>
      </w:r>
      <w:r>
        <w:rPr>
          <w:rFonts w:hint="eastAsia" w:ascii="Arial" w:hAnsi="Arial" w:cs="Arial"/>
          <w:b/>
          <w:bCs/>
          <w:sz w:val="21"/>
          <w:szCs w:val="21"/>
          <w:highlight w:val="none"/>
          <w:lang w:val="en-US" w:eastAsia="zh-CN"/>
        </w:rPr>
        <w:t>90.99-129.32</w:t>
      </w:r>
      <w:r>
        <w:rPr>
          <w:rFonts w:ascii="Arial" w:hAnsi="Arial" w:cs="Arial"/>
          <w:b/>
          <w:bCs/>
          <w:sz w:val="21"/>
          <w:szCs w:val="21"/>
          <w:highlight w:val="none"/>
        </w:rPr>
        <w:t>平方米</w:t>
      </w:r>
      <w:r>
        <w:rPr>
          <w:rFonts w:hint="eastAsia" w:ascii="Arial" w:hAnsi="Arial" w:cs="Arial"/>
          <w:b/>
          <w:bCs/>
          <w:sz w:val="21"/>
          <w:szCs w:val="21"/>
          <w:highlight w:val="none"/>
        </w:rPr>
        <w:t>）：</w:t>
      </w:r>
      <w:r>
        <w:rPr>
          <w:rFonts w:hint="eastAsia" w:ascii="Arial" w:hAnsi="Arial" w:cs="Arial"/>
          <w:b/>
          <w:bCs/>
          <w:sz w:val="21"/>
          <w:szCs w:val="21"/>
          <w:highlight w:val="none"/>
          <w:lang w:val="en-US" w:eastAsia="zh-CN"/>
        </w:rPr>
        <w:t>16.14</w:t>
      </w:r>
      <w:r>
        <w:rPr>
          <w:rFonts w:hint="eastAsia" w:ascii="Arial" w:hAnsi="Arial" w:cs="Arial"/>
          <w:b/>
          <w:bCs/>
          <w:sz w:val="21"/>
          <w:szCs w:val="21"/>
          <w:highlight w:val="none"/>
        </w:rPr>
        <w:t>元/平方米·月</w:t>
      </w:r>
    </w:p>
    <w:p w14:paraId="0DDE1641">
      <w:pPr>
        <w:overflowPunct w:val="0"/>
        <w:spacing w:line="480" w:lineRule="auto"/>
        <w:ind w:firstLine="360" w:firstLineChars="200"/>
        <w:jc w:val="both"/>
        <w:textAlignment w:val="auto"/>
        <w:rPr>
          <w:rFonts w:ascii="Arial" w:hAnsi="Arial" w:cs="Arial"/>
          <w:sz w:val="18"/>
          <w:szCs w:val="18"/>
          <w:highlight w:val="none"/>
        </w:rPr>
      </w:pPr>
      <w:r>
        <w:rPr>
          <w:rFonts w:ascii="Arial" w:hAnsi="Arial" w:cs="Arial"/>
          <w:sz w:val="18"/>
          <w:szCs w:val="18"/>
          <w:highlight w:val="none"/>
        </w:rPr>
        <w:t>注：1、</w:t>
      </w:r>
      <w:r>
        <w:rPr>
          <w:rFonts w:hint="eastAsia" w:ascii="Arial" w:hAnsi="Arial" w:cs="Arial"/>
          <w:sz w:val="18"/>
          <w:szCs w:val="18"/>
          <w:highlight w:val="none"/>
        </w:rPr>
        <w:t>评估的详细结果、过程及有关说明，详见《估价结果报告》、《估价技术报告》。</w:t>
      </w:r>
    </w:p>
    <w:p w14:paraId="1C2400DF">
      <w:pPr>
        <w:overflowPunct w:val="0"/>
        <w:spacing w:line="480" w:lineRule="auto"/>
        <w:ind w:left="720" w:leftChars="150" w:hanging="360" w:hangingChars="200"/>
        <w:jc w:val="both"/>
        <w:textAlignment w:val="auto"/>
        <w:rPr>
          <w:rFonts w:hint="eastAsia" w:ascii="Arial" w:hAnsi="Arial" w:cs="Arial"/>
          <w:sz w:val="18"/>
          <w:szCs w:val="18"/>
          <w:highlight w:val="none"/>
        </w:rPr>
      </w:pPr>
      <w:r>
        <w:rPr>
          <w:rFonts w:ascii="Arial" w:hAnsi="Arial" w:cs="Arial"/>
          <w:sz w:val="18"/>
          <w:szCs w:val="18"/>
          <w:highlight w:val="none"/>
        </w:rPr>
        <w:t xml:space="preserve">    </w:t>
      </w:r>
      <w:r>
        <w:rPr>
          <w:rFonts w:hint="eastAsia" w:ascii="Arial" w:hAnsi="Arial" w:cs="Arial"/>
          <w:sz w:val="18"/>
          <w:szCs w:val="18"/>
          <w:highlight w:val="none"/>
        </w:rPr>
        <w:t>2</w:t>
      </w:r>
      <w:r>
        <w:rPr>
          <w:rFonts w:ascii="Arial" w:hAnsi="Arial" w:cs="Arial"/>
          <w:sz w:val="18"/>
          <w:szCs w:val="18"/>
          <w:highlight w:val="none"/>
        </w:rPr>
        <w:t>、</w:t>
      </w:r>
      <w:r>
        <w:rPr>
          <w:rFonts w:hint="eastAsia" w:ascii="Arial" w:hAnsi="Arial" w:cs="Arial"/>
          <w:sz w:val="18"/>
          <w:szCs w:val="18"/>
          <w:highlight w:val="none"/>
        </w:rPr>
        <w:t>市场租赁住房租金是指市场租赁住房于价值时点在公开市场上的平均租金，</w:t>
      </w:r>
      <w:r>
        <w:rPr>
          <w:rFonts w:hint="eastAsia" w:ascii="Arial" w:hAnsi="Arial" w:cs="Arial"/>
          <w:sz w:val="18"/>
          <w:szCs w:val="18"/>
          <w:highlight w:val="none"/>
          <w:lang w:eastAsia="zh-CN"/>
        </w:rPr>
        <w:t>包含房屋、家具家电使用费、物业费及租赁税费，包含持有运营单位在住房租赁合同中明确约定由出租人承担的基础服务费（例如基础物业管理服务、公区保洁、公区维保等费用），不包含增值服务费（例如室内保洁、室内人为损坏维修、洗衣、送餐等费用）、能源费（包括公区能源费及室内能源费，例如水、电、气、暖、网络等费用）、车位使用费等费用</w:t>
      </w:r>
      <w:r>
        <w:rPr>
          <w:rFonts w:hint="eastAsia" w:ascii="Arial" w:hAnsi="Arial" w:cs="Arial"/>
          <w:sz w:val="18"/>
          <w:szCs w:val="18"/>
          <w:highlight w:val="none"/>
        </w:rPr>
        <w:t>。</w:t>
      </w:r>
    </w:p>
    <w:p w14:paraId="7084FAEA">
      <w:pPr>
        <w:overflowPunct w:val="0"/>
        <w:spacing w:line="480" w:lineRule="auto"/>
        <w:ind w:firstLine="420" w:firstLineChars="200"/>
        <w:jc w:val="both"/>
        <w:textAlignment w:val="auto"/>
        <w:rPr>
          <w:rFonts w:hint="eastAsia" w:ascii="华文楷体" w:hAnsi="华文楷体" w:eastAsia="华文楷体" w:cs="华文楷体"/>
          <w:sz w:val="21"/>
          <w:szCs w:val="21"/>
          <w:highlight w:val="none"/>
          <w:lang w:val="en-US" w:eastAsia="zh-CN"/>
        </w:rPr>
      </w:pPr>
      <w:r>
        <w:rPr>
          <w:rFonts w:hint="eastAsia" w:ascii="华文楷体" w:hAnsi="华文楷体" w:eastAsia="华文楷体" w:cs="华文楷体"/>
          <w:sz w:val="21"/>
          <w:szCs w:val="21"/>
          <w:highlight w:val="none"/>
          <w:lang w:eastAsia="zh-CN"/>
        </w:rPr>
        <w:t>（</w:t>
      </w:r>
      <w:r>
        <w:rPr>
          <w:rFonts w:hint="eastAsia" w:ascii="华文楷体" w:hAnsi="华文楷体" w:eastAsia="华文楷体" w:cs="华文楷体"/>
          <w:sz w:val="21"/>
          <w:szCs w:val="21"/>
          <w:highlight w:val="none"/>
          <w:lang w:val="en-US" w:eastAsia="zh-CN"/>
        </w:rPr>
        <w:t>转下页）</w:t>
      </w:r>
    </w:p>
    <w:p w14:paraId="2DE4E9B7">
      <w:pPr>
        <w:rPr>
          <w:rFonts w:hint="eastAsia" w:ascii="华文楷体" w:hAnsi="华文楷体" w:eastAsia="华文楷体" w:cs="华文楷体"/>
          <w:sz w:val="21"/>
          <w:szCs w:val="21"/>
          <w:highlight w:val="none"/>
          <w:lang w:val="en-US" w:eastAsia="zh-CN"/>
        </w:rPr>
      </w:pPr>
      <w:r>
        <w:rPr>
          <w:rFonts w:hint="eastAsia" w:ascii="华文楷体" w:hAnsi="华文楷体" w:eastAsia="华文楷体" w:cs="华文楷体"/>
          <w:sz w:val="21"/>
          <w:szCs w:val="21"/>
          <w:highlight w:val="none"/>
          <w:lang w:val="en-US" w:eastAsia="zh-CN"/>
        </w:rPr>
        <w:br w:type="page"/>
      </w:r>
    </w:p>
    <w:p w14:paraId="15D5EE3C">
      <w:pPr>
        <w:overflowPunct w:val="0"/>
        <w:spacing w:line="480" w:lineRule="auto"/>
        <w:ind w:firstLine="420" w:firstLineChars="200"/>
        <w:jc w:val="both"/>
        <w:textAlignment w:val="auto"/>
        <w:rPr>
          <w:rFonts w:hint="eastAsia" w:ascii="华文楷体" w:hAnsi="华文楷体" w:eastAsia="华文楷体" w:cs="华文楷体"/>
          <w:sz w:val="21"/>
          <w:szCs w:val="21"/>
          <w:highlight w:val="none"/>
          <w:lang w:val="en-US" w:eastAsia="zh-CN"/>
        </w:rPr>
      </w:pPr>
      <w:r>
        <w:rPr>
          <w:rFonts w:hint="eastAsia" w:ascii="华文楷体" w:hAnsi="华文楷体" w:eastAsia="华文楷体" w:cs="华文楷体"/>
          <w:sz w:val="21"/>
          <w:szCs w:val="21"/>
          <w:highlight w:val="none"/>
          <w:lang w:val="en-US" w:eastAsia="zh-CN"/>
        </w:rPr>
        <w:t>（此页无正文）</w:t>
      </w:r>
    </w:p>
    <w:p w14:paraId="3A842F0D">
      <w:pPr>
        <w:overflowPunct w:val="0"/>
        <w:spacing w:line="480" w:lineRule="auto"/>
        <w:ind w:firstLine="420" w:firstLineChars="200"/>
        <w:jc w:val="both"/>
        <w:textAlignment w:val="auto"/>
        <w:rPr>
          <w:rFonts w:hint="eastAsia" w:ascii="华文楷体" w:hAnsi="华文楷体" w:eastAsia="华文楷体" w:cs="华文楷体"/>
          <w:sz w:val="21"/>
          <w:szCs w:val="21"/>
          <w:highlight w:val="none"/>
          <w:lang w:val="en-US" w:eastAsia="zh-CN"/>
        </w:rPr>
      </w:pPr>
    </w:p>
    <w:p w14:paraId="25B2C6E8">
      <w:pPr>
        <w:overflowPunct w:val="0"/>
        <w:spacing w:line="480" w:lineRule="auto"/>
        <w:ind w:firstLine="420" w:firstLineChars="200"/>
        <w:jc w:val="both"/>
        <w:textAlignment w:val="auto"/>
        <w:rPr>
          <w:rFonts w:ascii="Arial" w:hAnsi="Arial" w:cs="Arial"/>
          <w:sz w:val="21"/>
          <w:szCs w:val="21"/>
          <w:highlight w:val="none"/>
        </w:rPr>
      </w:pPr>
      <w:r>
        <w:rPr>
          <w:rFonts w:ascii="Arial" w:hAnsi="Arial" w:cs="Arial"/>
          <w:sz w:val="21"/>
          <w:szCs w:val="21"/>
          <w:highlight w:val="none"/>
        </w:rPr>
        <w:t>顺致</w:t>
      </w:r>
    </w:p>
    <w:p w14:paraId="56856CB9">
      <w:pPr>
        <w:overflowPunct w:val="0"/>
        <w:spacing w:line="480" w:lineRule="auto"/>
        <w:ind w:firstLine="420" w:firstLineChars="200"/>
        <w:jc w:val="both"/>
        <w:textAlignment w:val="auto"/>
        <w:rPr>
          <w:rFonts w:ascii="Arial" w:hAnsi="Arial" w:cs="Arial"/>
          <w:sz w:val="21"/>
          <w:szCs w:val="21"/>
          <w:highlight w:val="none"/>
        </w:rPr>
      </w:pPr>
    </w:p>
    <w:p w14:paraId="06042408">
      <w:pPr>
        <w:spacing w:line="480" w:lineRule="auto"/>
        <w:ind w:firstLine="1260" w:firstLineChars="600"/>
        <w:jc w:val="both"/>
        <w:rPr>
          <w:rFonts w:ascii="Arial" w:hAnsi="Arial" w:cs="Arial"/>
          <w:sz w:val="21"/>
          <w:szCs w:val="21"/>
          <w:highlight w:val="none"/>
        </w:rPr>
      </w:pPr>
      <w:r>
        <w:rPr>
          <w:rFonts w:ascii="Arial" w:hAnsi="Arial" w:cs="Arial"/>
          <w:sz w:val="21"/>
          <w:szCs w:val="21"/>
          <w:highlight w:val="none"/>
        </w:rPr>
        <w:t>商祺</w:t>
      </w:r>
    </w:p>
    <w:tbl>
      <w:tblPr>
        <w:tblStyle w:val="33"/>
        <w:tblpPr w:leftFromText="180" w:rightFromText="180" w:vertAnchor="text" w:horzAnchor="margin" w:tblpXSpec="right" w:tblpY="1117"/>
        <w:tblW w:w="0" w:type="auto"/>
        <w:tblInd w:w="0" w:type="dxa"/>
        <w:tblLayout w:type="autofit"/>
        <w:tblCellMar>
          <w:top w:w="0" w:type="dxa"/>
          <w:left w:w="108" w:type="dxa"/>
          <w:bottom w:w="0" w:type="dxa"/>
          <w:right w:w="108" w:type="dxa"/>
        </w:tblCellMar>
      </w:tblPr>
      <w:tblGrid>
        <w:gridCol w:w="3402"/>
      </w:tblGrid>
      <w:tr w14:paraId="20DBAD66">
        <w:tblPrEx>
          <w:tblCellMar>
            <w:top w:w="0" w:type="dxa"/>
            <w:left w:w="108" w:type="dxa"/>
            <w:bottom w:w="0" w:type="dxa"/>
            <w:right w:w="108" w:type="dxa"/>
          </w:tblCellMar>
        </w:tblPrEx>
        <w:tc>
          <w:tcPr>
            <w:tcW w:w="3402" w:type="dxa"/>
          </w:tcPr>
          <w:p w14:paraId="67E6EB3F">
            <w:pPr>
              <w:spacing w:line="480" w:lineRule="auto"/>
              <w:rPr>
                <w:rFonts w:ascii="Arial" w:hAnsi="Arial" w:cs="Arial"/>
                <w:sz w:val="21"/>
                <w:szCs w:val="21"/>
                <w:highlight w:val="none"/>
              </w:rPr>
            </w:pPr>
            <w:r>
              <w:rPr>
                <w:rFonts w:ascii="Arial" w:hAnsi="Arial" w:cs="Arial"/>
                <w:sz w:val="21"/>
                <w:szCs w:val="21"/>
                <w:highlight w:val="none"/>
              </w:rPr>
              <w:t>北京康正宏基房地产评估有限公司</w:t>
            </w:r>
          </w:p>
        </w:tc>
      </w:tr>
      <w:tr w14:paraId="2DDB668F">
        <w:tblPrEx>
          <w:tblCellMar>
            <w:top w:w="0" w:type="dxa"/>
            <w:left w:w="108" w:type="dxa"/>
            <w:bottom w:w="0" w:type="dxa"/>
            <w:right w:w="108" w:type="dxa"/>
          </w:tblCellMar>
        </w:tblPrEx>
        <w:trPr>
          <w:trHeight w:val="1298" w:hRule="atLeast"/>
        </w:trPr>
        <w:tc>
          <w:tcPr>
            <w:tcW w:w="3402" w:type="dxa"/>
          </w:tcPr>
          <w:p w14:paraId="2697EFE8">
            <w:pPr>
              <w:spacing w:line="480" w:lineRule="auto"/>
              <w:rPr>
                <w:rFonts w:ascii="Arial" w:hAnsi="Arial" w:cs="Arial"/>
                <w:sz w:val="21"/>
                <w:szCs w:val="21"/>
                <w:highlight w:val="none"/>
              </w:rPr>
            </w:pPr>
            <w:r>
              <w:rPr>
                <w:rFonts w:ascii="Arial" w:hAnsi="Arial" w:cs="Arial"/>
                <w:sz w:val="21"/>
                <w:szCs w:val="21"/>
                <w:highlight w:val="none"/>
              </w:rPr>
              <w:t>法定代表人：</w:t>
            </w:r>
          </w:p>
        </w:tc>
      </w:tr>
      <w:tr w14:paraId="1DFCEEA2">
        <w:tblPrEx>
          <w:tblCellMar>
            <w:top w:w="0" w:type="dxa"/>
            <w:left w:w="108" w:type="dxa"/>
            <w:bottom w:w="0" w:type="dxa"/>
            <w:right w:w="108" w:type="dxa"/>
          </w:tblCellMar>
        </w:tblPrEx>
        <w:tc>
          <w:tcPr>
            <w:tcW w:w="3402" w:type="dxa"/>
          </w:tcPr>
          <w:p w14:paraId="54FA362B">
            <w:pPr>
              <w:spacing w:line="480" w:lineRule="auto"/>
              <w:jc w:val="right"/>
              <w:rPr>
                <w:rFonts w:ascii="Arial" w:hAnsi="Arial" w:cs="Arial"/>
                <w:sz w:val="21"/>
                <w:szCs w:val="21"/>
                <w:highlight w:val="none"/>
              </w:rPr>
            </w:pPr>
            <w:r>
              <w:rPr>
                <w:rFonts w:ascii="Arial" w:hAnsi="Arial" w:cs="Arial"/>
                <w:sz w:val="21"/>
                <w:szCs w:val="21"/>
                <w:highlight w:val="none"/>
              </w:rPr>
              <w:t>二〇二</w:t>
            </w:r>
            <w:r>
              <w:rPr>
                <w:rFonts w:hint="eastAsia" w:ascii="Arial" w:hAnsi="Arial" w:cs="Arial"/>
                <w:sz w:val="21"/>
                <w:szCs w:val="21"/>
                <w:highlight w:val="none"/>
                <w:lang w:val="en-US" w:eastAsia="zh-CN"/>
              </w:rPr>
              <w:t>六</w:t>
            </w:r>
            <w:r>
              <w:rPr>
                <w:rFonts w:ascii="Arial" w:hAnsi="Arial" w:cs="Arial"/>
                <w:sz w:val="21"/>
                <w:szCs w:val="21"/>
                <w:highlight w:val="none"/>
              </w:rPr>
              <w:t>年</w:t>
            </w:r>
            <w:r>
              <w:rPr>
                <w:rFonts w:hint="eastAsia" w:ascii="Arial" w:hAnsi="Arial" w:cs="Arial"/>
                <w:sz w:val="21"/>
                <w:szCs w:val="21"/>
                <w:highlight w:val="none"/>
                <w:lang w:val="en-US" w:eastAsia="zh-CN"/>
              </w:rPr>
              <w:t>三</w:t>
            </w:r>
            <w:r>
              <w:rPr>
                <w:rFonts w:ascii="Arial" w:hAnsi="Arial" w:cs="Arial"/>
                <w:sz w:val="21"/>
                <w:szCs w:val="21"/>
                <w:highlight w:val="none"/>
              </w:rPr>
              <w:t>月</w:t>
            </w:r>
            <w:r>
              <w:rPr>
                <w:rFonts w:hint="eastAsia" w:ascii="Arial" w:hAnsi="Arial" w:cs="Arial"/>
                <w:sz w:val="21"/>
                <w:szCs w:val="21"/>
                <w:highlight w:val="none"/>
                <w:lang w:val="en-US" w:eastAsia="zh-CN"/>
              </w:rPr>
              <w:t>六</w:t>
            </w:r>
            <w:r>
              <w:rPr>
                <w:rFonts w:ascii="Arial" w:hAnsi="Arial" w:cs="Arial"/>
                <w:sz w:val="21"/>
                <w:szCs w:val="21"/>
                <w:highlight w:val="none"/>
              </w:rPr>
              <w:t>日</w:t>
            </w:r>
          </w:p>
        </w:tc>
      </w:tr>
    </w:tbl>
    <w:p w14:paraId="4FC882FA">
      <w:pPr>
        <w:spacing w:line="480" w:lineRule="auto"/>
        <w:rPr>
          <w:rFonts w:ascii="Arial" w:hAnsi="Arial" w:cs="Arial"/>
          <w:sz w:val="21"/>
          <w:szCs w:val="21"/>
          <w:highlight w:val="none"/>
        </w:rPr>
      </w:pPr>
    </w:p>
    <w:p w14:paraId="5A5598E5">
      <w:pPr>
        <w:rPr>
          <w:rFonts w:ascii="Arial" w:hAnsi="Arial" w:cs="Arial"/>
          <w:sz w:val="21"/>
          <w:szCs w:val="21"/>
          <w:highlight w:val="none"/>
        </w:rPr>
      </w:pPr>
    </w:p>
    <w:p w14:paraId="20D76E7F">
      <w:pPr>
        <w:rPr>
          <w:rFonts w:ascii="Arial" w:hAnsi="Arial" w:cs="Arial"/>
          <w:sz w:val="21"/>
          <w:szCs w:val="21"/>
          <w:highlight w:val="none"/>
        </w:rPr>
      </w:pPr>
    </w:p>
    <w:p w14:paraId="03B6C7CC">
      <w:pPr>
        <w:rPr>
          <w:rFonts w:ascii="Arial" w:hAnsi="Arial" w:cs="Arial"/>
          <w:sz w:val="21"/>
          <w:szCs w:val="21"/>
          <w:highlight w:val="none"/>
        </w:rPr>
      </w:pPr>
    </w:p>
    <w:p w14:paraId="161B7F6E">
      <w:pPr>
        <w:rPr>
          <w:rFonts w:ascii="Arial" w:hAnsi="Arial" w:cs="Arial"/>
          <w:sz w:val="21"/>
          <w:szCs w:val="21"/>
          <w:highlight w:val="none"/>
        </w:rPr>
      </w:pPr>
    </w:p>
    <w:p w14:paraId="37F459C8">
      <w:pPr>
        <w:rPr>
          <w:rFonts w:ascii="Arial" w:hAnsi="Arial" w:cs="Arial"/>
          <w:sz w:val="21"/>
          <w:szCs w:val="21"/>
          <w:highlight w:val="none"/>
        </w:rPr>
      </w:pPr>
    </w:p>
    <w:p w14:paraId="342517B0">
      <w:pPr>
        <w:rPr>
          <w:rFonts w:ascii="Arial" w:hAnsi="Arial" w:cs="Arial"/>
          <w:sz w:val="21"/>
          <w:szCs w:val="21"/>
          <w:highlight w:val="none"/>
        </w:rPr>
      </w:pPr>
    </w:p>
    <w:p w14:paraId="0E0A801A">
      <w:pPr>
        <w:rPr>
          <w:rFonts w:ascii="Arial" w:hAnsi="Arial" w:cs="Arial"/>
          <w:sz w:val="21"/>
          <w:szCs w:val="21"/>
          <w:highlight w:val="none"/>
        </w:rPr>
      </w:pPr>
    </w:p>
    <w:p w14:paraId="43E10BA9">
      <w:pPr>
        <w:rPr>
          <w:rFonts w:ascii="Arial" w:hAnsi="Arial" w:cs="Arial"/>
          <w:sz w:val="21"/>
          <w:szCs w:val="21"/>
          <w:highlight w:val="none"/>
        </w:rPr>
      </w:pPr>
    </w:p>
    <w:p w14:paraId="324A0ABF">
      <w:pPr>
        <w:rPr>
          <w:rFonts w:hint="eastAsia" w:ascii="Arial" w:hAnsi="Arial" w:eastAsia="方正黑体简体" w:cs="Arial"/>
          <w:sz w:val="32"/>
          <w:szCs w:val="32"/>
          <w:highlight w:val="none"/>
        </w:rPr>
      </w:pPr>
      <w:r>
        <w:rPr>
          <w:rFonts w:hint="eastAsia" w:ascii="Arial" w:hAnsi="Arial" w:eastAsia="方正黑体简体" w:cs="Arial"/>
          <w:sz w:val="32"/>
          <w:szCs w:val="32"/>
          <w:highlight w:val="none"/>
        </w:rPr>
        <w:br w:type="page"/>
      </w:r>
    </w:p>
    <w:p w14:paraId="3660BA8B">
      <w:pPr>
        <w:spacing w:line="480" w:lineRule="auto"/>
        <w:jc w:val="center"/>
        <w:outlineLvl w:val="0"/>
        <w:rPr>
          <w:rFonts w:ascii="Arial" w:hAnsi="Arial" w:eastAsia="方正黑体简体" w:cs="Arial"/>
          <w:sz w:val="32"/>
          <w:szCs w:val="32"/>
          <w:highlight w:val="none"/>
        </w:rPr>
      </w:pPr>
      <w:r>
        <w:rPr>
          <w:rFonts w:hint="eastAsia" w:ascii="Arial" w:hAnsi="Arial" w:eastAsia="方正黑体简体" w:cs="Arial"/>
          <w:sz w:val="32"/>
          <w:szCs w:val="32"/>
          <w:highlight w:val="none"/>
        </w:rPr>
        <w:t>目   录</w:t>
      </w:r>
    </w:p>
    <w:p w14:paraId="37E13984">
      <w:pPr>
        <w:pStyle w:val="23"/>
        <w:rPr>
          <w:rFonts w:ascii="等线" w:hAnsi="等线" w:eastAsia="等线"/>
          <w:b w:val="0"/>
          <w:bCs w:val="0"/>
          <w:kern w:val="2"/>
          <w:sz w:val="24"/>
          <w:szCs w:val="24"/>
          <w:highlight w:val="none"/>
        </w:rPr>
      </w:pPr>
      <w:r>
        <w:rPr>
          <w:rFonts w:ascii="宋体" w:hAnsi="宋体" w:eastAsia="宋体" w:cs="Arial"/>
          <w:sz w:val="24"/>
          <w:szCs w:val="24"/>
          <w:highlight w:val="none"/>
        </w:rPr>
        <w:fldChar w:fldCharType="begin"/>
      </w:r>
      <w:r>
        <w:rPr>
          <w:rFonts w:ascii="宋体" w:hAnsi="宋体" w:eastAsia="宋体" w:cs="Arial"/>
          <w:sz w:val="24"/>
          <w:szCs w:val="24"/>
          <w:highlight w:val="none"/>
        </w:rPr>
        <w:instrText xml:space="preserve"> TOC \o "1-3" \h \z </w:instrText>
      </w:r>
      <w:r>
        <w:rPr>
          <w:rFonts w:ascii="宋体" w:hAnsi="宋体" w:eastAsia="宋体" w:cs="Arial"/>
          <w:sz w:val="24"/>
          <w:szCs w:val="24"/>
          <w:highlight w:val="none"/>
        </w:rPr>
        <w:fldChar w:fldCharType="separate"/>
      </w:r>
      <w:r>
        <w:rPr>
          <w:highlight w:val="none"/>
        </w:rPr>
        <w:fldChar w:fldCharType="begin"/>
      </w:r>
      <w:r>
        <w:rPr>
          <w:highlight w:val="none"/>
        </w:rPr>
        <w:instrText xml:space="preserve"> HYPERLINK \l "_Toc155267082" </w:instrText>
      </w:r>
      <w:r>
        <w:rPr>
          <w:highlight w:val="none"/>
        </w:rPr>
        <w:fldChar w:fldCharType="separate"/>
      </w:r>
      <w:r>
        <w:rPr>
          <w:rStyle w:val="39"/>
          <w:rFonts w:eastAsia="方正黑体简体"/>
          <w:sz w:val="24"/>
          <w:szCs w:val="24"/>
          <w:highlight w:val="none"/>
        </w:rPr>
        <w:t>致估价委托人函</w:t>
      </w:r>
      <w:r>
        <w:rPr>
          <w:sz w:val="24"/>
          <w:szCs w:val="24"/>
          <w:highlight w:val="none"/>
        </w:rPr>
        <w:tab/>
      </w:r>
      <w:r>
        <w:rPr>
          <w:sz w:val="24"/>
          <w:szCs w:val="24"/>
          <w:highlight w:val="none"/>
        </w:rPr>
        <w:fldChar w:fldCharType="begin"/>
      </w:r>
      <w:r>
        <w:rPr>
          <w:sz w:val="24"/>
          <w:szCs w:val="24"/>
          <w:highlight w:val="none"/>
        </w:rPr>
        <w:instrText xml:space="preserve"> PAGEREF _Toc155267082 \h </w:instrText>
      </w:r>
      <w:r>
        <w:rPr>
          <w:sz w:val="24"/>
          <w:szCs w:val="24"/>
          <w:highlight w:val="none"/>
        </w:rPr>
        <w:fldChar w:fldCharType="separate"/>
      </w:r>
      <w:r>
        <w:rPr>
          <w:sz w:val="24"/>
          <w:szCs w:val="24"/>
          <w:highlight w:val="none"/>
        </w:rPr>
        <w:t>2</w:t>
      </w:r>
      <w:r>
        <w:rPr>
          <w:sz w:val="24"/>
          <w:szCs w:val="24"/>
          <w:highlight w:val="none"/>
        </w:rPr>
        <w:fldChar w:fldCharType="end"/>
      </w:r>
      <w:r>
        <w:rPr>
          <w:sz w:val="24"/>
          <w:szCs w:val="24"/>
          <w:highlight w:val="none"/>
        </w:rPr>
        <w:fldChar w:fldCharType="end"/>
      </w:r>
    </w:p>
    <w:p w14:paraId="566860AE">
      <w:pPr>
        <w:pStyle w:val="23"/>
        <w:rPr>
          <w:rFonts w:ascii="等线" w:hAnsi="等线" w:eastAsia="等线"/>
          <w:b w:val="0"/>
          <w:bCs w:val="0"/>
          <w:kern w:val="2"/>
          <w:sz w:val="24"/>
          <w:szCs w:val="24"/>
          <w:highlight w:val="none"/>
        </w:rPr>
      </w:pPr>
      <w:r>
        <w:rPr>
          <w:highlight w:val="none"/>
        </w:rPr>
        <w:fldChar w:fldCharType="begin"/>
      </w:r>
      <w:r>
        <w:rPr>
          <w:highlight w:val="none"/>
        </w:rPr>
        <w:instrText xml:space="preserve"> HYPERLINK \l "_Toc155267083" </w:instrText>
      </w:r>
      <w:r>
        <w:rPr>
          <w:highlight w:val="none"/>
        </w:rPr>
        <w:fldChar w:fldCharType="separate"/>
      </w:r>
      <w:r>
        <w:rPr>
          <w:rStyle w:val="39"/>
          <w:rFonts w:eastAsia="方正黑体简体"/>
          <w:sz w:val="24"/>
          <w:szCs w:val="24"/>
          <w:highlight w:val="none"/>
        </w:rPr>
        <w:t>估价师声明</w:t>
      </w:r>
      <w:r>
        <w:rPr>
          <w:sz w:val="24"/>
          <w:szCs w:val="24"/>
          <w:highlight w:val="none"/>
        </w:rPr>
        <w:tab/>
      </w:r>
      <w:r>
        <w:rPr>
          <w:sz w:val="24"/>
          <w:szCs w:val="24"/>
          <w:highlight w:val="none"/>
        </w:rPr>
        <w:fldChar w:fldCharType="begin"/>
      </w:r>
      <w:r>
        <w:rPr>
          <w:sz w:val="24"/>
          <w:szCs w:val="24"/>
          <w:highlight w:val="none"/>
        </w:rPr>
        <w:instrText xml:space="preserve"> PAGEREF _Toc155267083 \h </w:instrText>
      </w:r>
      <w:r>
        <w:rPr>
          <w:sz w:val="24"/>
          <w:szCs w:val="24"/>
          <w:highlight w:val="none"/>
        </w:rPr>
        <w:fldChar w:fldCharType="separate"/>
      </w:r>
      <w:r>
        <w:rPr>
          <w:sz w:val="24"/>
          <w:szCs w:val="24"/>
          <w:highlight w:val="none"/>
        </w:rPr>
        <w:t>7</w:t>
      </w:r>
      <w:r>
        <w:rPr>
          <w:sz w:val="24"/>
          <w:szCs w:val="24"/>
          <w:highlight w:val="none"/>
        </w:rPr>
        <w:fldChar w:fldCharType="end"/>
      </w:r>
      <w:r>
        <w:rPr>
          <w:sz w:val="24"/>
          <w:szCs w:val="24"/>
          <w:highlight w:val="none"/>
        </w:rPr>
        <w:fldChar w:fldCharType="end"/>
      </w:r>
    </w:p>
    <w:p w14:paraId="7D51EA58">
      <w:pPr>
        <w:pStyle w:val="23"/>
        <w:rPr>
          <w:rFonts w:ascii="等线" w:hAnsi="等线" w:eastAsia="等线"/>
          <w:b w:val="0"/>
          <w:bCs w:val="0"/>
          <w:kern w:val="2"/>
          <w:sz w:val="24"/>
          <w:szCs w:val="24"/>
          <w:highlight w:val="none"/>
        </w:rPr>
      </w:pPr>
      <w:r>
        <w:rPr>
          <w:highlight w:val="none"/>
        </w:rPr>
        <w:fldChar w:fldCharType="begin"/>
      </w:r>
      <w:r>
        <w:rPr>
          <w:highlight w:val="none"/>
        </w:rPr>
        <w:instrText xml:space="preserve"> HYPERLINK \l "_Toc155267084" </w:instrText>
      </w:r>
      <w:r>
        <w:rPr>
          <w:highlight w:val="none"/>
        </w:rPr>
        <w:fldChar w:fldCharType="separate"/>
      </w:r>
      <w:r>
        <w:rPr>
          <w:rStyle w:val="39"/>
          <w:rFonts w:eastAsia="方正黑体简体"/>
          <w:sz w:val="24"/>
          <w:szCs w:val="24"/>
          <w:highlight w:val="none"/>
        </w:rPr>
        <w:t>估价假设和限制条件</w:t>
      </w:r>
      <w:r>
        <w:rPr>
          <w:sz w:val="24"/>
          <w:szCs w:val="24"/>
          <w:highlight w:val="none"/>
        </w:rPr>
        <w:tab/>
      </w:r>
      <w:r>
        <w:rPr>
          <w:sz w:val="24"/>
          <w:szCs w:val="24"/>
          <w:highlight w:val="none"/>
        </w:rPr>
        <w:fldChar w:fldCharType="begin"/>
      </w:r>
      <w:r>
        <w:rPr>
          <w:sz w:val="24"/>
          <w:szCs w:val="24"/>
          <w:highlight w:val="none"/>
        </w:rPr>
        <w:instrText xml:space="preserve"> PAGEREF _Toc155267084 \h </w:instrText>
      </w:r>
      <w:r>
        <w:rPr>
          <w:sz w:val="24"/>
          <w:szCs w:val="24"/>
          <w:highlight w:val="none"/>
        </w:rPr>
        <w:fldChar w:fldCharType="separate"/>
      </w:r>
      <w:r>
        <w:rPr>
          <w:sz w:val="24"/>
          <w:szCs w:val="24"/>
          <w:highlight w:val="none"/>
        </w:rPr>
        <w:t>8</w:t>
      </w:r>
      <w:r>
        <w:rPr>
          <w:sz w:val="24"/>
          <w:szCs w:val="24"/>
          <w:highlight w:val="none"/>
        </w:rPr>
        <w:fldChar w:fldCharType="end"/>
      </w:r>
      <w:r>
        <w:rPr>
          <w:sz w:val="24"/>
          <w:szCs w:val="24"/>
          <w:highlight w:val="none"/>
        </w:rPr>
        <w:fldChar w:fldCharType="end"/>
      </w:r>
    </w:p>
    <w:p w14:paraId="4A982AD4">
      <w:pPr>
        <w:pStyle w:val="23"/>
        <w:rPr>
          <w:rFonts w:ascii="等线" w:hAnsi="等线" w:eastAsia="等线"/>
          <w:b w:val="0"/>
          <w:bCs w:val="0"/>
          <w:kern w:val="2"/>
          <w:sz w:val="24"/>
          <w:szCs w:val="24"/>
          <w:highlight w:val="none"/>
        </w:rPr>
      </w:pPr>
      <w:r>
        <w:rPr>
          <w:highlight w:val="none"/>
        </w:rPr>
        <w:fldChar w:fldCharType="begin"/>
      </w:r>
      <w:r>
        <w:rPr>
          <w:highlight w:val="none"/>
        </w:rPr>
        <w:instrText xml:space="preserve"> HYPERLINK \l "_Toc155267085" </w:instrText>
      </w:r>
      <w:r>
        <w:rPr>
          <w:highlight w:val="none"/>
        </w:rPr>
        <w:fldChar w:fldCharType="separate"/>
      </w:r>
      <w:r>
        <w:rPr>
          <w:rStyle w:val="39"/>
          <w:rFonts w:eastAsia="方正黑体简体"/>
          <w:sz w:val="24"/>
          <w:szCs w:val="24"/>
          <w:highlight w:val="none"/>
        </w:rPr>
        <w:t>估价结果报告</w:t>
      </w:r>
      <w:r>
        <w:rPr>
          <w:sz w:val="24"/>
          <w:szCs w:val="24"/>
          <w:highlight w:val="none"/>
        </w:rPr>
        <w:tab/>
      </w:r>
      <w:r>
        <w:rPr>
          <w:sz w:val="24"/>
          <w:szCs w:val="24"/>
          <w:highlight w:val="none"/>
        </w:rPr>
        <w:fldChar w:fldCharType="begin"/>
      </w:r>
      <w:r>
        <w:rPr>
          <w:sz w:val="24"/>
          <w:szCs w:val="24"/>
          <w:highlight w:val="none"/>
        </w:rPr>
        <w:instrText xml:space="preserve"> PAGEREF _Toc155267085 \h </w:instrText>
      </w:r>
      <w:r>
        <w:rPr>
          <w:sz w:val="24"/>
          <w:szCs w:val="24"/>
          <w:highlight w:val="none"/>
        </w:rPr>
        <w:fldChar w:fldCharType="separate"/>
      </w:r>
      <w:r>
        <w:rPr>
          <w:sz w:val="24"/>
          <w:szCs w:val="24"/>
          <w:highlight w:val="none"/>
        </w:rPr>
        <w:t>12</w:t>
      </w:r>
      <w:r>
        <w:rPr>
          <w:sz w:val="24"/>
          <w:szCs w:val="24"/>
          <w:highlight w:val="none"/>
        </w:rPr>
        <w:fldChar w:fldCharType="end"/>
      </w:r>
      <w:r>
        <w:rPr>
          <w:sz w:val="24"/>
          <w:szCs w:val="24"/>
          <w:highlight w:val="none"/>
        </w:rPr>
        <w:fldChar w:fldCharType="end"/>
      </w:r>
    </w:p>
    <w:p w14:paraId="4AAFE068">
      <w:pPr>
        <w:pStyle w:val="27"/>
        <w:rPr>
          <w:rFonts w:ascii="等线" w:hAnsi="等线" w:eastAsia="等线"/>
          <w:kern w:val="2"/>
          <w:sz w:val="21"/>
          <w:szCs w:val="21"/>
          <w:highlight w:val="none"/>
        </w:rPr>
      </w:pPr>
      <w:r>
        <w:rPr>
          <w:highlight w:val="none"/>
        </w:rPr>
        <w:fldChar w:fldCharType="begin"/>
      </w:r>
      <w:r>
        <w:rPr>
          <w:highlight w:val="none"/>
        </w:rPr>
        <w:instrText xml:space="preserve"> HYPERLINK \l "_Toc155267086" </w:instrText>
      </w:r>
      <w:r>
        <w:rPr>
          <w:highlight w:val="none"/>
        </w:rPr>
        <w:fldChar w:fldCharType="separate"/>
      </w:r>
      <w:r>
        <w:rPr>
          <w:rStyle w:val="39"/>
          <w:rFonts w:eastAsia="宋体"/>
          <w:sz w:val="21"/>
          <w:szCs w:val="21"/>
          <w:highlight w:val="none"/>
        </w:rPr>
        <w:t>一、估价委托人</w:t>
      </w:r>
      <w:r>
        <w:rPr>
          <w:sz w:val="21"/>
          <w:szCs w:val="21"/>
          <w:highlight w:val="none"/>
        </w:rPr>
        <w:tab/>
      </w:r>
      <w:r>
        <w:rPr>
          <w:sz w:val="21"/>
          <w:szCs w:val="21"/>
          <w:highlight w:val="none"/>
        </w:rPr>
        <w:fldChar w:fldCharType="begin"/>
      </w:r>
      <w:r>
        <w:rPr>
          <w:sz w:val="21"/>
          <w:szCs w:val="21"/>
          <w:highlight w:val="none"/>
        </w:rPr>
        <w:instrText xml:space="preserve"> PAGEREF _Toc155267086 \h </w:instrText>
      </w:r>
      <w:r>
        <w:rPr>
          <w:sz w:val="21"/>
          <w:szCs w:val="21"/>
          <w:highlight w:val="none"/>
        </w:rPr>
        <w:fldChar w:fldCharType="separate"/>
      </w:r>
      <w:r>
        <w:rPr>
          <w:sz w:val="21"/>
          <w:szCs w:val="21"/>
          <w:highlight w:val="none"/>
        </w:rPr>
        <w:t>12</w:t>
      </w:r>
      <w:r>
        <w:rPr>
          <w:sz w:val="21"/>
          <w:szCs w:val="21"/>
          <w:highlight w:val="none"/>
        </w:rPr>
        <w:fldChar w:fldCharType="end"/>
      </w:r>
      <w:r>
        <w:rPr>
          <w:sz w:val="21"/>
          <w:szCs w:val="21"/>
          <w:highlight w:val="none"/>
        </w:rPr>
        <w:fldChar w:fldCharType="end"/>
      </w:r>
    </w:p>
    <w:p w14:paraId="5840C401">
      <w:pPr>
        <w:pStyle w:val="27"/>
        <w:rPr>
          <w:rFonts w:ascii="等线" w:hAnsi="等线" w:eastAsia="等线"/>
          <w:kern w:val="2"/>
          <w:sz w:val="21"/>
          <w:szCs w:val="21"/>
          <w:highlight w:val="none"/>
        </w:rPr>
      </w:pPr>
      <w:r>
        <w:rPr>
          <w:highlight w:val="none"/>
        </w:rPr>
        <w:fldChar w:fldCharType="begin"/>
      </w:r>
      <w:r>
        <w:rPr>
          <w:highlight w:val="none"/>
        </w:rPr>
        <w:instrText xml:space="preserve"> HYPERLINK \l "_Toc155267087" </w:instrText>
      </w:r>
      <w:r>
        <w:rPr>
          <w:highlight w:val="none"/>
        </w:rPr>
        <w:fldChar w:fldCharType="separate"/>
      </w:r>
      <w:r>
        <w:rPr>
          <w:rStyle w:val="39"/>
          <w:rFonts w:eastAsia="宋体"/>
          <w:sz w:val="21"/>
          <w:szCs w:val="21"/>
          <w:highlight w:val="none"/>
        </w:rPr>
        <w:t>二、房地产估价机构</w:t>
      </w:r>
      <w:r>
        <w:rPr>
          <w:sz w:val="21"/>
          <w:szCs w:val="21"/>
          <w:highlight w:val="none"/>
        </w:rPr>
        <w:tab/>
      </w:r>
      <w:r>
        <w:rPr>
          <w:sz w:val="21"/>
          <w:szCs w:val="21"/>
          <w:highlight w:val="none"/>
        </w:rPr>
        <w:fldChar w:fldCharType="begin"/>
      </w:r>
      <w:r>
        <w:rPr>
          <w:sz w:val="21"/>
          <w:szCs w:val="21"/>
          <w:highlight w:val="none"/>
        </w:rPr>
        <w:instrText xml:space="preserve"> PAGEREF _Toc155267087 \h </w:instrText>
      </w:r>
      <w:r>
        <w:rPr>
          <w:sz w:val="21"/>
          <w:szCs w:val="21"/>
          <w:highlight w:val="none"/>
        </w:rPr>
        <w:fldChar w:fldCharType="separate"/>
      </w:r>
      <w:r>
        <w:rPr>
          <w:sz w:val="21"/>
          <w:szCs w:val="21"/>
          <w:highlight w:val="none"/>
        </w:rPr>
        <w:t>12</w:t>
      </w:r>
      <w:r>
        <w:rPr>
          <w:sz w:val="21"/>
          <w:szCs w:val="21"/>
          <w:highlight w:val="none"/>
        </w:rPr>
        <w:fldChar w:fldCharType="end"/>
      </w:r>
      <w:r>
        <w:rPr>
          <w:sz w:val="21"/>
          <w:szCs w:val="21"/>
          <w:highlight w:val="none"/>
        </w:rPr>
        <w:fldChar w:fldCharType="end"/>
      </w:r>
    </w:p>
    <w:p w14:paraId="47AC4C7B">
      <w:pPr>
        <w:pStyle w:val="27"/>
        <w:rPr>
          <w:rFonts w:ascii="等线" w:hAnsi="等线" w:eastAsia="等线"/>
          <w:kern w:val="2"/>
          <w:sz w:val="21"/>
          <w:szCs w:val="21"/>
          <w:highlight w:val="none"/>
        </w:rPr>
      </w:pPr>
      <w:r>
        <w:rPr>
          <w:highlight w:val="none"/>
        </w:rPr>
        <w:fldChar w:fldCharType="begin"/>
      </w:r>
      <w:r>
        <w:rPr>
          <w:highlight w:val="none"/>
        </w:rPr>
        <w:instrText xml:space="preserve"> HYPERLINK \l "_Toc155267088" </w:instrText>
      </w:r>
      <w:r>
        <w:rPr>
          <w:highlight w:val="none"/>
        </w:rPr>
        <w:fldChar w:fldCharType="separate"/>
      </w:r>
      <w:r>
        <w:rPr>
          <w:rStyle w:val="39"/>
          <w:rFonts w:eastAsia="宋体"/>
          <w:sz w:val="21"/>
          <w:szCs w:val="21"/>
          <w:highlight w:val="none"/>
        </w:rPr>
        <w:t>三、估价目的</w:t>
      </w:r>
      <w:r>
        <w:rPr>
          <w:sz w:val="21"/>
          <w:szCs w:val="21"/>
          <w:highlight w:val="none"/>
        </w:rPr>
        <w:tab/>
      </w:r>
      <w:r>
        <w:rPr>
          <w:sz w:val="21"/>
          <w:szCs w:val="21"/>
          <w:highlight w:val="none"/>
        </w:rPr>
        <w:fldChar w:fldCharType="begin"/>
      </w:r>
      <w:r>
        <w:rPr>
          <w:sz w:val="21"/>
          <w:szCs w:val="21"/>
          <w:highlight w:val="none"/>
        </w:rPr>
        <w:instrText xml:space="preserve"> PAGEREF _Toc155267088 \h </w:instrText>
      </w:r>
      <w:r>
        <w:rPr>
          <w:sz w:val="21"/>
          <w:szCs w:val="21"/>
          <w:highlight w:val="none"/>
        </w:rPr>
        <w:fldChar w:fldCharType="separate"/>
      </w:r>
      <w:r>
        <w:rPr>
          <w:sz w:val="21"/>
          <w:szCs w:val="21"/>
          <w:highlight w:val="none"/>
        </w:rPr>
        <w:t>12</w:t>
      </w:r>
      <w:r>
        <w:rPr>
          <w:sz w:val="21"/>
          <w:szCs w:val="21"/>
          <w:highlight w:val="none"/>
        </w:rPr>
        <w:fldChar w:fldCharType="end"/>
      </w:r>
      <w:r>
        <w:rPr>
          <w:sz w:val="21"/>
          <w:szCs w:val="21"/>
          <w:highlight w:val="none"/>
        </w:rPr>
        <w:fldChar w:fldCharType="end"/>
      </w:r>
    </w:p>
    <w:p w14:paraId="37FED6A9">
      <w:pPr>
        <w:pStyle w:val="27"/>
        <w:rPr>
          <w:rFonts w:ascii="等线" w:hAnsi="等线" w:eastAsia="等线"/>
          <w:kern w:val="2"/>
          <w:sz w:val="21"/>
          <w:szCs w:val="21"/>
          <w:highlight w:val="none"/>
        </w:rPr>
      </w:pPr>
      <w:r>
        <w:rPr>
          <w:highlight w:val="none"/>
        </w:rPr>
        <w:fldChar w:fldCharType="begin"/>
      </w:r>
      <w:r>
        <w:rPr>
          <w:highlight w:val="none"/>
        </w:rPr>
        <w:instrText xml:space="preserve"> HYPERLINK \l "_Toc155267089" </w:instrText>
      </w:r>
      <w:r>
        <w:rPr>
          <w:highlight w:val="none"/>
        </w:rPr>
        <w:fldChar w:fldCharType="separate"/>
      </w:r>
      <w:r>
        <w:rPr>
          <w:rStyle w:val="39"/>
          <w:rFonts w:eastAsia="宋体"/>
          <w:sz w:val="21"/>
          <w:szCs w:val="21"/>
          <w:highlight w:val="none"/>
        </w:rPr>
        <w:t>四、估价对象</w:t>
      </w:r>
      <w:r>
        <w:rPr>
          <w:sz w:val="21"/>
          <w:szCs w:val="21"/>
          <w:highlight w:val="none"/>
        </w:rPr>
        <w:tab/>
      </w:r>
      <w:r>
        <w:rPr>
          <w:sz w:val="21"/>
          <w:szCs w:val="21"/>
          <w:highlight w:val="none"/>
        </w:rPr>
        <w:fldChar w:fldCharType="begin"/>
      </w:r>
      <w:r>
        <w:rPr>
          <w:sz w:val="21"/>
          <w:szCs w:val="21"/>
          <w:highlight w:val="none"/>
        </w:rPr>
        <w:instrText xml:space="preserve"> PAGEREF _Toc155267089 \h </w:instrText>
      </w:r>
      <w:r>
        <w:rPr>
          <w:sz w:val="21"/>
          <w:szCs w:val="21"/>
          <w:highlight w:val="none"/>
        </w:rPr>
        <w:fldChar w:fldCharType="separate"/>
      </w:r>
      <w:r>
        <w:rPr>
          <w:sz w:val="21"/>
          <w:szCs w:val="21"/>
          <w:highlight w:val="none"/>
        </w:rPr>
        <w:t>12</w:t>
      </w:r>
      <w:r>
        <w:rPr>
          <w:sz w:val="21"/>
          <w:szCs w:val="21"/>
          <w:highlight w:val="none"/>
        </w:rPr>
        <w:fldChar w:fldCharType="end"/>
      </w:r>
      <w:r>
        <w:rPr>
          <w:sz w:val="21"/>
          <w:szCs w:val="21"/>
          <w:highlight w:val="none"/>
        </w:rPr>
        <w:fldChar w:fldCharType="end"/>
      </w:r>
    </w:p>
    <w:p w14:paraId="467DF247">
      <w:pPr>
        <w:pStyle w:val="27"/>
        <w:rPr>
          <w:rFonts w:ascii="等线" w:hAnsi="等线" w:eastAsia="等线"/>
          <w:kern w:val="2"/>
          <w:sz w:val="21"/>
          <w:szCs w:val="21"/>
          <w:highlight w:val="none"/>
        </w:rPr>
      </w:pPr>
      <w:r>
        <w:rPr>
          <w:highlight w:val="none"/>
        </w:rPr>
        <w:fldChar w:fldCharType="begin"/>
      </w:r>
      <w:r>
        <w:rPr>
          <w:highlight w:val="none"/>
        </w:rPr>
        <w:instrText xml:space="preserve"> HYPERLINK \l "_Toc155267090" </w:instrText>
      </w:r>
      <w:r>
        <w:rPr>
          <w:highlight w:val="none"/>
        </w:rPr>
        <w:fldChar w:fldCharType="separate"/>
      </w:r>
      <w:r>
        <w:rPr>
          <w:rStyle w:val="39"/>
          <w:rFonts w:eastAsia="宋体"/>
          <w:sz w:val="21"/>
          <w:szCs w:val="21"/>
          <w:highlight w:val="none"/>
        </w:rPr>
        <w:t>五、价值时点</w:t>
      </w:r>
      <w:r>
        <w:rPr>
          <w:sz w:val="21"/>
          <w:szCs w:val="21"/>
          <w:highlight w:val="none"/>
        </w:rPr>
        <w:tab/>
      </w:r>
      <w:r>
        <w:rPr>
          <w:sz w:val="21"/>
          <w:szCs w:val="21"/>
          <w:highlight w:val="none"/>
        </w:rPr>
        <w:fldChar w:fldCharType="begin"/>
      </w:r>
      <w:r>
        <w:rPr>
          <w:sz w:val="21"/>
          <w:szCs w:val="21"/>
          <w:highlight w:val="none"/>
        </w:rPr>
        <w:instrText xml:space="preserve"> PAGEREF _Toc155267090 \h </w:instrText>
      </w:r>
      <w:r>
        <w:rPr>
          <w:sz w:val="21"/>
          <w:szCs w:val="21"/>
          <w:highlight w:val="none"/>
        </w:rPr>
        <w:fldChar w:fldCharType="separate"/>
      </w:r>
      <w:r>
        <w:rPr>
          <w:sz w:val="21"/>
          <w:szCs w:val="21"/>
          <w:highlight w:val="none"/>
        </w:rPr>
        <w:t>19</w:t>
      </w:r>
      <w:r>
        <w:rPr>
          <w:sz w:val="21"/>
          <w:szCs w:val="21"/>
          <w:highlight w:val="none"/>
        </w:rPr>
        <w:fldChar w:fldCharType="end"/>
      </w:r>
      <w:r>
        <w:rPr>
          <w:sz w:val="21"/>
          <w:szCs w:val="21"/>
          <w:highlight w:val="none"/>
        </w:rPr>
        <w:fldChar w:fldCharType="end"/>
      </w:r>
    </w:p>
    <w:p w14:paraId="68C4624F">
      <w:pPr>
        <w:pStyle w:val="27"/>
        <w:rPr>
          <w:rFonts w:ascii="等线" w:hAnsi="等线" w:eastAsia="等线"/>
          <w:kern w:val="2"/>
          <w:sz w:val="21"/>
          <w:szCs w:val="21"/>
          <w:highlight w:val="none"/>
        </w:rPr>
      </w:pPr>
      <w:r>
        <w:rPr>
          <w:highlight w:val="none"/>
        </w:rPr>
        <w:fldChar w:fldCharType="begin"/>
      </w:r>
      <w:r>
        <w:rPr>
          <w:highlight w:val="none"/>
        </w:rPr>
        <w:instrText xml:space="preserve"> HYPERLINK \l "_Toc155267091" </w:instrText>
      </w:r>
      <w:r>
        <w:rPr>
          <w:highlight w:val="none"/>
        </w:rPr>
        <w:fldChar w:fldCharType="separate"/>
      </w:r>
      <w:r>
        <w:rPr>
          <w:rStyle w:val="39"/>
          <w:rFonts w:eastAsia="宋体"/>
          <w:sz w:val="21"/>
          <w:szCs w:val="21"/>
          <w:highlight w:val="none"/>
        </w:rPr>
        <w:t>六、价值类型</w:t>
      </w:r>
      <w:r>
        <w:rPr>
          <w:sz w:val="21"/>
          <w:szCs w:val="21"/>
          <w:highlight w:val="none"/>
        </w:rPr>
        <w:tab/>
      </w:r>
      <w:r>
        <w:rPr>
          <w:sz w:val="21"/>
          <w:szCs w:val="21"/>
          <w:highlight w:val="none"/>
        </w:rPr>
        <w:fldChar w:fldCharType="begin"/>
      </w:r>
      <w:r>
        <w:rPr>
          <w:sz w:val="21"/>
          <w:szCs w:val="21"/>
          <w:highlight w:val="none"/>
        </w:rPr>
        <w:instrText xml:space="preserve"> PAGEREF _Toc155267091 \h </w:instrText>
      </w:r>
      <w:r>
        <w:rPr>
          <w:sz w:val="21"/>
          <w:szCs w:val="21"/>
          <w:highlight w:val="none"/>
        </w:rPr>
        <w:fldChar w:fldCharType="separate"/>
      </w:r>
      <w:r>
        <w:rPr>
          <w:sz w:val="21"/>
          <w:szCs w:val="21"/>
          <w:highlight w:val="none"/>
        </w:rPr>
        <w:t>19</w:t>
      </w:r>
      <w:r>
        <w:rPr>
          <w:sz w:val="21"/>
          <w:szCs w:val="21"/>
          <w:highlight w:val="none"/>
        </w:rPr>
        <w:fldChar w:fldCharType="end"/>
      </w:r>
      <w:r>
        <w:rPr>
          <w:sz w:val="21"/>
          <w:szCs w:val="21"/>
          <w:highlight w:val="none"/>
        </w:rPr>
        <w:fldChar w:fldCharType="end"/>
      </w:r>
    </w:p>
    <w:p w14:paraId="50FC6CB4">
      <w:pPr>
        <w:pStyle w:val="27"/>
        <w:rPr>
          <w:rFonts w:ascii="等线" w:hAnsi="等线" w:eastAsia="等线"/>
          <w:kern w:val="2"/>
          <w:sz w:val="21"/>
          <w:szCs w:val="21"/>
          <w:highlight w:val="none"/>
        </w:rPr>
      </w:pPr>
      <w:r>
        <w:rPr>
          <w:highlight w:val="none"/>
        </w:rPr>
        <w:fldChar w:fldCharType="begin"/>
      </w:r>
      <w:r>
        <w:rPr>
          <w:highlight w:val="none"/>
        </w:rPr>
        <w:instrText xml:space="preserve"> HYPERLINK \l "_Toc155267092" </w:instrText>
      </w:r>
      <w:r>
        <w:rPr>
          <w:highlight w:val="none"/>
        </w:rPr>
        <w:fldChar w:fldCharType="separate"/>
      </w:r>
      <w:r>
        <w:rPr>
          <w:rStyle w:val="39"/>
          <w:rFonts w:eastAsia="宋体"/>
          <w:sz w:val="21"/>
          <w:szCs w:val="21"/>
          <w:highlight w:val="none"/>
        </w:rPr>
        <w:t>七、估价原则</w:t>
      </w:r>
      <w:r>
        <w:rPr>
          <w:sz w:val="21"/>
          <w:szCs w:val="21"/>
          <w:highlight w:val="none"/>
        </w:rPr>
        <w:tab/>
      </w:r>
      <w:r>
        <w:rPr>
          <w:sz w:val="21"/>
          <w:szCs w:val="21"/>
          <w:highlight w:val="none"/>
        </w:rPr>
        <w:fldChar w:fldCharType="begin"/>
      </w:r>
      <w:r>
        <w:rPr>
          <w:sz w:val="21"/>
          <w:szCs w:val="21"/>
          <w:highlight w:val="none"/>
        </w:rPr>
        <w:instrText xml:space="preserve"> PAGEREF _Toc155267092 \h </w:instrText>
      </w:r>
      <w:r>
        <w:rPr>
          <w:sz w:val="21"/>
          <w:szCs w:val="21"/>
          <w:highlight w:val="none"/>
        </w:rPr>
        <w:fldChar w:fldCharType="separate"/>
      </w:r>
      <w:r>
        <w:rPr>
          <w:sz w:val="21"/>
          <w:szCs w:val="21"/>
          <w:highlight w:val="none"/>
        </w:rPr>
        <w:t>20</w:t>
      </w:r>
      <w:r>
        <w:rPr>
          <w:sz w:val="21"/>
          <w:szCs w:val="21"/>
          <w:highlight w:val="none"/>
        </w:rPr>
        <w:fldChar w:fldCharType="end"/>
      </w:r>
      <w:r>
        <w:rPr>
          <w:sz w:val="21"/>
          <w:szCs w:val="21"/>
          <w:highlight w:val="none"/>
        </w:rPr>
        <w:fldChar w:fldCharType="end"/>
      </w:r>
    </w:p>
    <w:p w14:paraId="7EE326D4">
      <w:pPr>
        <w:pStyle w:val="27"/>
        <w:rPr>
          <w:rFonts w:ascii="等线" w:hAnsi="等线" w:eastAsia="等线"/>
          <w:kern w:val="2"/>
          <w:sz w:val="21"/>
          <w:szCs w:val="21"/>
          <w:highlight w:val="none"/>
        </w:rPr>
      </w:pPr>
      <w:r>
        <w:rPr>
          <w:highlight w:val="none"/>
        </w:rPr>
        <w:fldChar w:fldCharType="begin"/>
      </w:r>
      <w:r>
        <w:rPr>
          <w:highlight w:val="none"/>
        </w:rPr>
        <w:instrText xml:space="preserve"> HYPERLINK \l "_Toc155267093" </w:instrText>
      </w:r>
      <w:r>
        <w:rPr>
          <w:highlight w:val="none"/>
        </w:rPr>
        <w:fldChar w:fldCharType="separate"/>
      </w:r>
      <w:r>
        <w:rPr>
          <w:rStyle w:val="39"/>
          <w:rFonts w:eastAsia="宋体"/>
          <w:sz w:val="21"/>
          <w:szCs w:val="21"/>
          <w:highlight w:val="none"/>
        </w:rPr>
        <w:t>八、估价依据</w:t>
      </w:r>
      <w:r>
        <w:rPr>
          <w:sz w:val="21"/>
          <w:szCs w:val="21"/>
          <w:highlight w:val="none"/>
        </w:rPr>
        <w:tab/>
      </w:r>
      <w:r>
        <w:rPr>
          <w:sz w:val="21"/>
          <w:szCs w:val="21"/>
          <w:highlight w:val="none"/>
        </w:rPr>
        <w:fldChar w:fldCharType="begin"/>
      </w:r>
      <w:r>
        <w:rPr>
          <w:sz w:val="21"/>
          <w:szCs w:val="21"/>
          <w:highlight w:val="none"/>
        </w:rPr>
        <w:instrText xml:space="preserve"> PAGEREF _Toc155267093 \h </w:instrText>
      </w:r>
      <w:r>
        <w:rPr>
          <w:sz w:val="21"/>
          <w:szCs w:val="21"/>
          <w:highlight w:val="none"/>
        </w:rPr>
        <w:fldChar w:fldCharType="separate"/>
      </w:r>
      <w:r>
        <w:rPr>
          <w:sz w:val="21"/>
          <w:szCs w:val="21"/>
          <w:highlight w:val="none"/>
        </w:rPr>
        <w:t>21</w:t>
      </w:r>
      <w:r>
        <w:rPr>
          <w:sz w:val="21"/>
          <w:szCs w:val="21"/>
          <w:highlight w:val="none"/>
        </w:rPr>
        <w:fldChar w:fldCharType="end"/>
      </w:r>
      <w:r>
        <w:rPr>
          <w:sz w:val="21"/>
          <w:szCs w:val="21"/>
          <w:highlight w:val="none"/>
        </w:rPr>
        <w:fldChar w:fldCharType="end"/>
      </w:r>
    </w:p>
    <w:p w14:paraId="6B55935E">
      <w:pPr>
        <w:pStyle w:val="27"/>
        <w:rPr>
          <w:rFonts w:ascii="等线" w:hAnsi="等线" w:eastAsia="等线"/>
          <w:kern w:val="2"/>
          <w:sz w:val="21"/>
          <w:szCs w:val="21"/>
          <w:highlight w:val="none"/>
        </w:rPr>
      </w:pPr>
      <w:r>
        <w:rPr>
          <w:highlight w:val="none"/>
        </w:rPr>
        <w:fldChar w:fldCharType="begin"/>
      </w:r>
      <w:r>
        <w:rPr>
          <w:highlight w:val="none"/>
        </w:rPr>
        <w:instrText xml:space="preserve"> HYPERLINK \l "_Toc155267094" </w:instrText>
      </w:r>
      <w:r>
        <w:rPr>
          <w:highlight w:val="none"/>
        </w:rPr>
        <w:fldChar w:fldCharType="separate"/>
      </w:r>
      <w:r>
        <w:rPr>
          <w:rStyle w:val="39"/>
          <w:rFonts w:eastAsia="宋体"/>
          <w:sz w:val="21"/>
          <w:szCs w:val="21"/>
          <w:highlight w:val="none"/>
        </w:rPr>
        <w:t>九、估价方法</w:t>
      </w:r>
      <w:r>
        <w:rPr>
          <w:sz w:val="21"/>
          <w:szCs w:val="21"/>
          <w:highlight w:val="none"/>
        </w:rPr>
        <w:tab/>
      </w:r>
      <w:r>
        <w:rPr>
          <w:sz w:val="21"/>
          <w:szCs w:val="21"/>
          <w:highlight w:val="none"/>
        </w:rPr>
        <w:fldChar w:fldCharType="begin"/>
      </w:r>
      <w:r>
        <w:rPr>
          <w:sz w:val="21"/>
          <w:szCs w:val="21"/>
          <w:highlight w:val="none"/>
        </w:rPr>
        <w:instrText xml:space="preserve"> PAGEREF _Toc155267094 \h </w:instrText>
      </w:r>
      <w:r>
        <w:rPr>
          <w:sz w:val="21"/>
          <w:szCs w:val="21"/>
          <w:highlight w:val="none"/>
        </w:rPr>
        <w:fldChar w:fldCharType="separate"/>
      </w:r>
      <w:r>
        <w:rPr>
          <w:sz w:val="21"/>
          <w:szCs w:val="21"/>
          <w:highlight w:val="none"/>
        </w:rPr>
        <w:t>24</w:t>
      </w:r>
      <w:r>
        <w:rPr>
          <w:sz w:val="21"/>
          <w:szCs w:val="21"/>
          <w:highlight w:val="none"/>
        </w:rPr>
        <w:fldChar w:fldCharType="end"/>
      </w:r>
      <w:r>
        <w:rPr>
          <w:sz w:val="21"/>
          <w:szCs w:val="21"/>
          <w:highlight w:val="none"/>
        </w:rPr>
        <w:fldChar w:fldCharType="end"/>
      </w:r>
    </w:p>
    <w:p w14:paraId="4D035CD5">
      <w:pPr>
        <w:pStyle w:val="27"/>
        <w:rPr>
          <w:rFonts w:ascii="等线" w:hAnsi="等线" w:eastAsia="等线"/>
          <w:kern w:val="2"/>
          <w:sz w:val="21"/>
          <w:szCs w:val="21"/>
          <w:highlight w:val="none"/>
        </w:rPr>
      </w:pPr>
      <w:r>
        <w:rPr>
          <w:highlight w:val="none"/>
        </w:rPr>
        <w:fldChar w:fldCharType="begin"/>
      </w:r>
      <w:r>
        <w:rPr>
          <w:highlight w:val="none"/>
        </w:rPr>
        <w:instrText xml:space="preserve"> HYPERLINK \l "_Toc155267095" </w:instrText>
      </w:r>
      <w:r>
        <w:rPr>
          <w:highlight w:val="none"/>
        </w:rPr>
        <w:fldChar w:fldCharType="separate"/>
      </w:r>
      <w:r>
        <w:rPr>
          <w:rStyle w:val="39"/>
          <w:rFonts w:eastAsia="宋体"/>
          <w:sz w:val="21"/>
          <w:szCs w:val="21"/>
          <w:highlight w:val="none"/>
        </w:rPr>
        <w:t>十、估价结果</w:t>
      </w:r>
      <w:r>
        <w:rPr>
          <w:sz w:val="21"/>
          <w:szCs w:val="21"/>
          <w:highlight w:val="none"/>
        </w:rPr>
        <w:tab/>
      </w:r>
      <w:r>
        <w:rPr>
          <w:sz w:val="21"/>
          <w:szCs w:val="21"/>
          <w:highlight w:val="none"/>
        </w:rPr>
        <w:fldChar w:fldCharType="begin"/>
      </w:r>
      <w:r>
        <w:rPr>
          <w:sz w:val="21"/>
          <w:szCs w:val="21"/>
          <w:highlight w:val="none"/>
        </w:rPr>
        <w:instrText xml:space="preserve"> PAGEREF _Toc155267095 \h </w:instrText>
      </w:r>
      <w:r>
        <w:rPr>
          <w:sz w:val="21"/>
          <w:szCs w:val="21"/>
          <w:highlight w:val="none"/>
        </w:rPr>
        <w:fldChar w:fldCharType="separate"/>
      </w:r>
      <w:r>
        <w:rPr>
          <w:sz w:val="21"/>
          <w:szCs w:val="21"/>
          <w:highlight w:val="none"/>
        </w:rPr>
        <w:t>25</w:t>
      </w:r>
      <w:r>
        <w:rPr>
          <w:sz w:val="21"/>
          <w:szCs w:val="21"/>
          <w:highlight w:val="none"/>
        </w:rPr>
        <w:fldChar w:fldCharType="end"/>
      </w:r>
      <w:r>
        <w:rPr>
          <w:sz w:val="21"/>
          <w:szCs w:val="21"/>
          <w:highlight w:val="none"/>
        </w:rPr>
        <w:fldChar w:fldCharType="end"/>
      </w:r>
    </w:p>
    <w:p w14:paraId="150D2F93">
      <w:pPr>
        <w:pStyle w:val="27"/>
        <w:rPr>
          <w:rFonts w:ascii="等线" w:hAnsi="等线" w:eastAsia="等线"/>
          <w:kern w:val="2"/>
          <w:sz w:val="21"/>
          <w:szCs w:val="21"/>
          <w:highlight w:val="none"/>
        </w:rPr>
      </w:pPr>
      <w:r>
        <w:rPr>
          <w:highlight w:val="none"/>
        </w:rPr>
        <w:fldChar w:fldCharType="begin"/>
      </w:r>
      <w:r>
        <w:rPr>
          <w:highlight w:val="none"/>
        </w:rPr>
        <w:instrText xml:space="preserve"> HYPERLINK \l "_Toc155267096" </w:instrText>
      </w:r>
      <w:r>
        <w:rPr>
          <w:highlight w:val="none"/>
        </w:rPr>
        <w:fldChar w:fldCharType="separate"/>
      </w:r>
      <w:r>
        <w:rPr>
          <w:rStyle w:val="39"/>
          <w:rFonts w:eastAsia="宋体"/>
          <w:sz w:val="21"/>
          <w:szCs w:val="21"/>
          <w:highlight w:val="none"/>
        </w:rPr>
        <w:t>十一、参与本次估价工作的评估专业人员</w:t>
      </w:r>
      <w:r>
        <w:rPr>
          <w:sz w:val="21"/>
          <w:szCs w:val="21"/>
          <w:highlight w:val="none"/>
        </w:rPr>
        <w:tab/>
      </w:r>
      <w:r>
        <w:rPr>
          <w:sz w:val="21"/>
          <w:szCs w:val="21"/>
          <w:highlight w:val="none"/>
        </w:rPr>
        <w:fldChar w:fldCharType="begin"/>
      </w:r>
      <w:r>
        <w:rPr>
          <w:sz w:val="21"/>
          <w:szCs w:val="21"/>
          <w:highlight w:val="none"/>
        </w:rPr>
        <w:instrText xml:space="preserve"> PAGEREF _Toc155267096 \h </w:instrText>
      </w:r>
      <w:r>
        <w:rPr>
          <w:sz w:val="21"/>
          <w:szCs w:val="21"/>
          <w:highlight w:val="none"/>
        </w:rPr>
        <w:fldChar w:fldCharType="separate"/>
      </w:r>
      <w:r>
        <w:rPr>
          <w:sz w:val="21"/>
          <w:szCs w:val="21"/>
          <w:highlight w:val="none"/>
        </w:rPr>
        <w:t>26</w:t>
      </w:r>
      <w:r>
        <w:rPr>
          <w:sz w:val="21"/>
          <w:szCs w:val="21"/>
          <w:highlight w:val="none"/>
        </w:rPr>
        <w:fldChar w:fldCharType="end"/>
      </w:r>
      <w:r>
        <w:rPr>
          <w:sz w:val="21"/>
          <w:szCs w:val="21"/>
          <w:highlight w:val="none"/>
        </w:rPr>
        <w:fldChar w:fldCharType="end"/>
      </w:r>
    </w:p>
    <w:p w14:paraId="35E6C5DD">
      <w:pPr>
        <w:pStyle w:val="27"/>
        <w:rPr>
          <w:rFonts w:ascii="等线" w:hAnsi="等线" w:eastAsia="等线"/>
          <w:kern w:val="2"/>
          <w:sz w:val="21"/>
          <w:szCs w:val="21"/>
          <w:highlight w:val="none"/>
        </w:rPr>
      </w:pPr>
      <w:r>
        <w:rPr>
          <w:highlight w:val="none"/>
        </w:rPr>
        <w:fldChar w:fldCharType="begin"/>
      </w:r>
      <w:r>
        <w:rPr>
          <w:highlight w:val="none"/>
        </w:rPr>
        <w:instrText xml:space="preserve"> HYPERLINK \l "_Toc155267097" </w:instrText>
      </w:r>
      <w:r>
        <w:rPr>
          <w:highlight w:val="none"/>
        </w:rPr>
        <w:fldChar w:fldCharType="separate"/>
      </w:r>
      <w:r>
        <w:rPr>
          <w:rStyle w:val="39"/>
          <w:rFonts w:eastAsia="宋体"/>
          <w:sz w:val="21"/>
          <w:szCs w:val="21"/>
          <w:highlight w:val="none"/>
        </w:rPr>
        <w:t>十二、实地查勘期</w:t>
      </w:r>
      <w:r>
        <w:rPr>
          <w:sz w:val="21"/>
          <w:szCs w:val="21"/>
          <w:highlight w:val="none"/>
        </w:rPr>
        <w:tab/>
      </w:r>
      <w:r>
        <w:rPr>
          <w:sz w:val="21"/>
          <w:szCs w:val="21"/>
          <w:highlight w:val="none"/>
        </w:rPr>
        <w:fldChar w:fldCharType="begin"/>
      </w:r>
      <w:r>
        <w:rPr>
          <w:sz w:val="21"/>
          <w:szCs w:val="21"/>
          <w:highlight w:val="none"/>
        </w:rPr>
        <w:instrText xml:space="preserve"> PAGEREF _Toc155267097 \h </w:instrText>
      </w:r>
      <w:r>
        <w:rPr>
          <w:sz w:val="21"/>
          <w:szCs w:val="21"/>
          <w:highlight w:val="none"/>
        </w:rPr>
        <w:fldChar w:fldCharType="separate"/>
      </w:r>
      <w:r>
        <w:rPr>
          <w:sz w:val="21"/>
          <w:szCs w:val="21"/>
          <w:highlight w:val="none"/>
        </w:rPr>
        <w:t>26</w:t>
      </w:r>
      <w:r>
        <w:rPr>
          <w:sz w:val="21"/>
          <w:szCs w:val="21"/>
          <w:highlight w:val="none"/>
        </w:rPr>
        <w:fldChar w:fldCharType="end"/>
      </w:r>
      <w:r>
        <w:rPr>
          <w:sz w:val="21"/>
          <w:szCs w:val="21"/>
          <w:highlight w:val="none"/>
        </w:rPr>
        <w:fldChar w:fldCharType="end"/>
      </w:r>
    </w:p>
    <w:p w14:paraId="7141703F">
      <w:pPr>
        <w:pStyle w:val="27"/>
        <w:rPr>
          <w:rFonts w:ascii="等线" w:hAnsi="等线" w:eastAsia="等线"/>
          <w:kern w:val="2"/>
          <w:sz w:val="21"/>
          <w:szCs w:val="21"/>
          <w:highlight w:val="none"/>
        </w:rPr>
      </w:pPr>
      <w:r>
        <w:rPr>
          <w:highlight w:val="none"/>
        </w:rPr>
        <w:fldChar w:fldCharType="begin"/>
      </w:r>
      <w:r>
        <w:rPr>
          <w:highlight w:val="none"/>
        </w:rPr>
        <w:instrText xml:space="preserve"> HYPERLINK \l "_Toc155267098" </w:instrText>
      </w:r>
      <w:r>
        <w:rPr>
          <w:highlight w:val="none"/>
        </w:rPr>
        <w:fldChar w:fldCharType="separate"/>
      </w:r>
      <w:r>
        <w:rPr>
          <w:rStyle w:val="39"/>
          <w:rFonts w:eastAsia="宋体"/>
          <w:sz w:val="21"/>
          <w:szCs w:val="21"/>
          <w:highlight w:val="none"/>
        </w:rPr>
        <w:t>十三、估价作业期</w:t>
      </w:r>
      <w:r>
        <w:rPr>
          <w:sz w:val="21"/>
          <w:szCs w:val="21"/>
          <w:highlight w:val="none"/>
        </w:rPr>
        <w:tab/>
      </w:r>
      <w:r>
        <w:rPr>
          <w:sz w:val="21"/>
          <w:szCs w:val="21"/>
          <w:highlight w:val="none"/>
        </w:rPr>
        <w:fldChar w:fldCharType="begin"/>
      </w:r>
      <w:r>
        <w:rPr>
          <w:sz w:val="21"/>
          <w:szCs w:val="21"/>
          <w:highlight w:val="none"/>
        </w:rPr>
        <w:instrText xml:space="preserve"> PAGEREF _Toc155267098 \h </w:instrText>
      </w:r>
      <w:r>
        <w:rPr>
          <w:sz w:val="21"/>
          <w:szCs w:val="21"/>
          <w:highlight w:val="none"/>
        </w:rPr>
        <w:fldChar w:fldCharType="separate"/>
      </w:r>
      <w:r>
        <w:rPr>
          <w:sz w:val="21"/>
          <w:szCs w:val="21"/>
          <w:highlight w:val="none"/>
        </w:rPr>
        <w:t>26</w:t>
      </w:r>
      <w:r>
        <w:rPr>
          <w:sz w:val="21"/>
          <w:szCs w:val="21"/>
          <w:highlight w:val="none"/>
        </w:rPr>
        <w:fldChar w:fldCharType="end"/>
      </w:r>
      <w:r>
        <w:rPr>
          <w:sz w:val="21"/>
          <w:szCs w:val="21"/>
          <w:highlight w:val="none"/>
        </w:rPr>
        <w:fldChar w:fldCharType="end"/>
      </w:r>
    </w:p>
    <w:p w14:paraId="767C0D3B">
      <w:pPr>
        <w:pStyle w:val="23"/>
        <w:rPr>
          <w:rFonts w:ascii="等线" w:hAnsi="等线" w:eastAsia="等线"/>
          <w:b w:val="0"/>
          <w:bCs w:val="0"/>
          <w:kern w:val="2"/>
          <w:sz w:val="24"/>
          <w:szCs w:val="24"/>
          <w:highlight w:val="none"/>
        </w:rPr>
      </w:pPr>
      <w:r>
        <w:rPr>
          <w:highlight w:val="none"/>
        </w:rPr>
        <w:fldChar w:fldCharType="begin"/>
      </w:r>
      <w:r>
        <w:rPr>
          <w:highlight w:val="none"/>
        </w:rPr>
        <w:instrText xml:space="preserve"> HYPERLINK \l "_Toc155267099" </w:instrText>
      </w:r>
      <w:r>
        <w:rPr>
          <w:highlight w:val="none"/>
        </w:rPr>
        <w:fldChar w:fldCharType="separate"/>
      </w:r>
      <w:r>
        <w:rPr>
          <w:rStyle w:val="39"/>
          <w:rFonts w:eastAsia="方正黑体简体"/>
          <w:sz w:val="24"/>
          <w:szCs w:val="24"/>
          <w:highlight w:val="none"/>
        </w:rPr>
        <w:t>估价技术报告</w:t>
      </w:r>
      <w:r>
        <w:rPr>
          <w:sz w:val="24"/>
          <w:szCs w:val="24"/>
          <w:highlight w:val="none"/>
        </w:rPr>
        <w:tab/>
      </w:r>
      <w:r>
        <w:rPr>
          <w:sz w:val="24"/>
          <w:szCs w:val="24"/>
          <w:highlight w:val="none"/>
        </w:rPr>
        <w:fldChar w:fldCharType="begin"/>
      </w:r>
      <w:r>
        <w:rPr>
          <w:sz w:val="24"/>
          <w:szCs w:val="24"/>
          <w:highlight w:val="none"/>
        </w:rPr>
        <w:instrText xml:space="preserve"> PAGEREF _Toc155267099 \h </w:instrText>
      </w:r>
      <w:r>
        <w:rPr>
          <w:sz w:val="24"/>
          <w:szCs w:val="24"/>
          <w:highlight w:val="none"/>
        </w:rPr>
        <w:fldChar w:fldCharType="separate"/>
      </w:r>
      <w:r>
        <w:rPr>
          <w:sz w:val="24"/>
          <w:szCs w:val="24"/>
          <w:highlight w:val="none"/>
        </w:rPr>
        <w:t>27</w:t>
      </w:r>
      <w:r>
        <w:rPr>
          <w:sz w:val="24"/>
          <w:szCs w:val="24"/>
          <w:highlight w:val="none"/>
        </w:rPr>
        <w:fldChar w:fldCharType="end"/>
      </w:r>
      <w:r>
        <w:rPr>
          <w:sz w:val="24"/>
          <w:szCs w:val="24"/>
          <w:highlight w:val="none"/>
        </w:rPr>
        <w:fldChar w:fldCharType="end"/>
      </w:r>
    </w:p>
    <w:p w14:paraId="10148374">
      <w:pPr>
        <w:pStyle w:val="27"/>
        <w:rPr>
          <w:rFonts w:ascii="等线" w:hAnsi="等线" w:eastAsia="等线"/>
          <w:kern w:val="2"/>
          <w:sz w:val="21"/>
          <w:szCs w:val="21"/>
          <w:highlight w:val="none"/>
        </w:rPr>
      </w:pPr>
      <w:r>
        <w:rPr>
          <w:highlight w:val="none"/>
        </w:rPr>
        <w:fldChar w:fldCharType="begin"/>
      </w:r>
      <w:r>
        <w:rPr>
          <w:highlight w:val="none"/>
        </w:rPr>
        <w:instrText xml:space="preserve"> HYPERLINK \l "_Toc155267100" </w:instrText>
      </w:r>
      <w:r>
        <w:rPr>
          <w:highlight w:val="none"/>
        </w:rPr>
        <w:fldChar w:fldCharType="separate"/>
      </w:r>
      <w:r>
        <w:rPr>
          <w:rStyle w:val="39"/>
          <w:rFonts w:eastAsia="宋体"/>
          <w:sz w:val="21"/>
          <w:szCs w:val="21"/>
          <w:highlight w:val="none"/>
        </w:rPr>
        <w:t>一、估价对象描述与分析</w:t>
      </w:r>
      <w:r>
        <w:rPr>
          <w:sz w:val="21"/>
          <w:szCs w:val="21"/>
          <w:highlight w:val="none"/>
        </w:rPr>
        <w:tab/>
      </w:r>
      <w:r>
        <w:rPr>
          <w:sz w:val="21"/>
          <w:szCs w:val="21"/>
          <w:highlight w:val="none"/>
        </w:rPr>
        <w:fldChar w:fldCharType="begin"/>
      </w:r>
      <w:r>
        <w:rPr>
          <w:sz w:val="21"/>
          <w:szCs w:val="21"/>
          <w:highlight w:val="none"/>
        </w:rPr>
        <w:instrText xml:space="preserve"> PAGEREF _Toc155267100 \h </w:instrText>
      </w:r>
      <w:r>
        <w:rPr>
          <w:sz w:val="21"/>
          <w:szCs w:val="21"/>
          <w:highlight w:val="none"/>
        </w:rPr>
        <w:fldChar w:fldCharType="separate"/>
      </w:r>
      <w:r>
        <w:rPr>
          <w:sz w:val="21"/>
          <w:szCs w:val="21"/>
          <w:highlight w:val="none"/>
        </w:rPr>
        <w:t>27</w:t>
      </w:r>
      <w:r>
        <w:rPr>
          <w:sz w:val="21"/>
          <w:szCs w:val="21"/>
          <w:highlight w:val="none"/>
        </w:rPr>
        <w:fldChar w:fldCharType="end"/>
      </w:r>
      <w:r>
        <w:rPr>
          <w:sz w:val="21"/>
          <w:szCs w:val="21"/>
          <w:highlight w:val="none"/>
        </w:rPr>
        <w:fldChar w:fldCharType="end"/>
      </w:r>
    </w:p>
    <w:p w14:paraId="7E03A5B8">
      <w:pPr>
        <w:pStyle w:val="27"/>
        <w:rPr>
          <w:rFonts w:ascii="等线" w:hAnsi="等线" w:eastAsia="等线"/>
          <w:kern w:val="2"/>
          <w:sz w:val="21"/>
          <w:szCs w:val="21"/>
          <w:highlight w:val="none"/>
        </w:rPr>
      </w:pPr>
      <w:r>
        <w:rPr>
          <w:highlight w:val="none"/>
        </w:rPr>
        <w:fldChar w:fldCharType="begin"/>
      </w:r>
      <w:r>
        <w:rPr>
          <w:highlight w:val="none"/>
        </w:rPr>
        <w:instrText xml:space="preserve"> HYPERLINK \l "_Toc155267101" </w:instrText>
      </w:r>
      <w:r>
        <w:rPr>
          <w:highlight w:val="none"/>
        </w:rPr>
        <w:fldChar w:fldCharType="separate"/>
      </w:r>
      <w:r>
        <w:rPr>
          <w:rStyle w:val="39"/>
          <w:rFonts w:eastAsia="宋体"/>
          <w:sz w:val="21"/>
          <w:szCs w:val="21"/>
          <w:highlight w:val="none"/>
        </w:rPr>
        <w:t>（一）区位状况分析</w:t>
      </w:r>
      <w:r>
        <w:rPr>
          <w:sz w:val="21"/>
          <w:szCs w:val="21"/>
          <w:highlight w:val="none"/>
        </w:rPr>
        <w:tab/>
      </w:r>
      <w:r>
        <w:rPr>
          <w:sz w:val="21"/>
          <w:szCs w:val="21"/>
          <w:highlight w:val="none"/>
        </w:rPr>
        <w:fldChar w:fldCharType="begin"/>
      </w:r>
      <w:r>
        <w:rPr>
          <w:sz w:val="21"/>
          <w:szCs w:val="21"/>
          <w:highlight w:val="none"/>
        </w:rPr>
        <w:instrText xml:space="preserve"> PAGEREF _Toc155267101 \h </w:instrText>
      </w:r>
      <w:r>
        <w:rPr>
          <w:sz w:val="21"/>
          <w:szCs w:val="21"/>
          <w:highlight w:val="none"/>
        </w:rPr>
        <w:fldChar w:fldCharType="separate"/>
      </w:r>
      <w:r>
        <w:rPr>
          <w:sz w:val="21"/>
          <w:szCs w:val="21"/>
          <w:highlight w:val="none"/>
        </w:rPr>
        <w:t>27</w:t>
      </w:r>
      <w:r>
        <w:rPr>
          <w:sz w:val="21"/>
          <w:szCs w:val="21"/>
          <w:highlight w:val="none"/>
        </w:rPr>
        <w:fldChar w:fldCharType="end"/>
      </w:r>
      <w:r>
        <w:rPr>
          <w:sz w:val="21"/>
          <w:szCs w:val="21"/>
          <w:highlight w:val="none"/>
        </w:rPr>
        <w:fldChar w:fldCharType="end"/>
      </w:r>
    </w:p>
    <w:p w14:paraId="6CF986F7">
      <w:pPr>
        <w:pStyle w:val="27"/>
        <w:rPr>
          <w:rFonts w:ascii="等线" w:hAnsi="等线" w:eastAsia="等线"/>
          <w:kern w:val="2"/>
          <w:sz w:val="21"/>
          <w:szCs w:val="21"/>
          <w:highlight w:val="none"/>
        </w:rPr>
      </w:pPr>
      <w:r>
        <w:rPr>
          <w:highlight w:val="none"/>
        </w:rPr>
        <w:fldChar w:fldCharType="begin"/>
      </w:r>
      <w:r>
        <w:rPr>
          <w:highlight w:val="none"/>
        </w:rPr>
        <w:instrText xml:space="preserve"> HYPERLINK \l "_Toc155267102" </w:instrText>
      </w:r>
      <w:r>
        <w:rPr>
          <w:highlight w:val="none"/>
        </w:rPr>
        <w:fldChar w:fldCharType="separate"/>
      </w:r>
      <w:r>
        <w:rPr>
          <w:rStyle w:val="39"/>
          <w:rFonts w:eastAsia="宋体"/>
          <w:sz w:val="21"/>
          <w:szCs w:val="21"/>
          <w:highlight w:val="none"/>
        </w:rPr>
        <w:t>（二）实物状况分析</w:t>
      </w:r>
      <w:r>
        <w:rPr>
          <w:sz w:val="21"/>
          <w:szCs w:val="21"/>
          <w:highlight w:val="none"/>
        </w:rPr>
        <w:tab/>
      </w:r>
      <w:r>
        <w:rPr>
          <w:sz w:val="21"/>
          <w:szCs w:val="21"/>
          <w:highlight w:val="none"/>
        </w:rPr>
        <w:fldChar w:fldCharType="begin"/>
      </w:r>
      <w:r>
        <w:rPr>
          <w:sz w:val="21"/>
          <w:szCs w:val="21"/>
          <w:highlight w:val="none"/>
        </w:rPr>
        <w:instrText xml:space="preserve"> PAGEREF _Toc155267102 \h </w:instrText>
      </w:r>
      <w:r>
        <w:rPr>
          <w:sz w:val="21"/>
          <w:szCs w:val="21"/>
          <w:highlight w:val="none"/>
        </w:rPr>
        <w:fldChar w:fldCharType="separate"/>
      </w:r>
      <w:r>
        <w:rPr>
          <w:sz w:val="21"/>
          <w:szCs w:val="21"/>
          <w:highlight w:val="none"/>
        </w:rPr>
        <w:t>28</w:t>
      </w:r>
      <w:r>
        <w:rPr>
          <w:sz w:val="21"/>
          <w:szCs w:val="21"/>
          <w:highlight w:val="none"/>
        </w:rPr>
        <w:fldChar w:fldCharType="end"/>
      </w:r>
      <w:r>
        <w:rPr>
          <w:sz w:val="21"/>
          <w:szCs w:val="21"/>
          <w:highlight w:val="none"/>
        </w:rPr>
        <w:fldChar w:fldCharType="end"/>
      </w:r>
    </w:p>
    <w:p w14:paraId="3BBBAD23">
      <w:pPr>
        <w:pStyle w:val="27"/>
        <w:rPr>
          <w:rFonts w:ascii="等线" w:hAnsi="等线" w:eastAsia="等线"/>
          <w:kern w:val="2"/>
          <w:sz w:val="21"/>
          <w:szCs w:val="21"/>
          <w:highlight w:val="none"/>
        </w:rPr>
      </w:pPr>
      <w:r>
        <w:rPr>
          <w:highlight w:val="none"/>
        </w:rPr>
        <w:fldChar w:fldCharType="begin"/>
      </w:r>
      <w:r>
        <w:rPr>
          <w:highlight w:val="none"/>
        </w:rPr>
        <w:instrText xml:space="preserve"> HYPERLINK \l "_Toc155267103" </w:instrText>
      </w:r>
      <w:r>
        <w:rPr>
          <w:highlight w:val="none"/>
        </w:rPr>
        <w:fldChar w:fldCharType="separate"/>
      </w:r>
      <w:r>
        <w:rPr>
          <w:rStyle w:val="39"/>
          <w:rFonts w:eastAsia="宋体"/>
          <w:sz w:val="21"/>
          <w:szCs w:val="21"/>
          <w:highlight w:val="none"/>
        </w:rPr>
        <w:t>（三）权益状况分析</w:t>
      </w:r>
      <w:r>
        <w:rPr>
          <w:sz w:val="21"/>
          <w:szCs w:val="21"/>
          <w:highlight w:val="none"/>
        </w:rPr>
        <w:tab/>
      </w:r>
      <w:r>
        <w:rPr>
          <w:sz w:val="21"/>
          <w:szCs w:val="21"/>
          <w:highlight w:val="none"/>
        </w:rPr>
        <w:fldChar w:fldCharType="begin"/>
      </w:r>
      <w:r>
        <w:rPr>
          <w:sz w:val="21"/>
          <w:szCs w:val="21"/>
          <w:highlight w:val="none"/>
        </w:rPr>
        <w:instrText xml:space="preserve"> PAGEREF _Toc155267103 \h </w:instrText>
      </w:r>
      <w:r>
        <w:rPr>
          <w:sz w:val="21"/>
          <w:szCs w:val="21"/>
          <w:highlight w:val="none"/>
        </w:rPr>
        <w:fldChar w:fldCharType="separate"/>
      </w:r>
      <w:r>
        <w:rPr>
          <w:sz w:val="21"/>
          <w:szCs w:val="21"/>
          <w:highlight w:val="none"/>
        </w:rPr>
        <w:t>32</w:t>
      </w:r>
      <w:r>
        <w:rPr>
          <w:sz w:val="21"/>
          <w:szCs w:val="21"/>
          <w:highlight w:val="none"/>
        </w:rPr>
        <w:fldChar w:fldCharType="end"/>
      </w:r>
      <w:r>
        <w:rPr>
          <w:sz w:val="21"/>
          <w:szCs w:val="21"/>
          <w:highlight w:val="none"/>
        </w:rPr>
        <w:fldChar w:fldCharType="end"/>
      </w:r>
    </w:p>
    <w:p w14:paraId="29EDF7D9">
      <w:pPr>
        <w:pStyle w:val="27"/>
        <w:rPr>
          <w:rFonts w:ascii="等线" w:hAnsi="等线" w:eastAsia="等线"/>
          <w:kern w:val="2"/>
          <w:sz w:val="21"/>
          <w:szCs w:val="21"/>
          <w:highlight w:val="none"/>
        </w:rPr>
      </w:pPr>
      <w:r>
        <w:rPr>
          <w:highlight w:val="none"/>
        </w:rPr>
        <w:fldChar w:fldCharType="begin"/>
      </w:r>
      <w:r>
        <w:rPr>
          <w:highlight w:val="none"/>
        </w:rPr>
        <w:instrText xml:space="preserve"> HYPERLINK \l "_Toc155267104" </w:instrText>
      </w:r>
      <w:r>
        <w:rPr>
          <w:highlight w:val="none"/>
        </w:rPr>
        <w:fldChar w:fldCharType="separate"/>
      </w:r>
      <w:r>
        <w:rPr>
          <w:rStyle w:val="39"/>
          <w:rFonts w:eastAsia="宋体"/>
          <w:sz w:val="21"/>
          <w:szCs w:val="21"/>
          <w:highlight w:val="none"/>
        </w:rPr>
        <w:t>二、市场背景描述与分析</w:t>
      </w:r>
      <w:r>
        <w:rPr>
          <w:sz w:val="21"/>
          <w:szCs w:val="21"/>
          <w:highlight w:val="none"/>
        </w:rPr>
        <w:tab/>
      </w:r>
      <w:r>
        <w:rPr>
          <w:sz w:val="21"/>
          <w:szCs w:val="21"/>
          <w:highlight w:val="none"/>
        </w:rPr>
        <w:fldChar w:fldCharType="begin"/>
      </w:r>
      <w:r>
        <w:rPr>
          <w:sz w:val="21"/>
          <w:szCs w:val="21"/>
          <w:highlight w:val="none"/>
        </w:rPr>
        <w:instrText xml:space="preserve"> PAGEREF _Toc155267104 \h </w:instrText>
      </w:r>
      <w:r>
        <w:rPr>
          <w:sz w:val="21"/>
          <w:szCs w:val="21"/>
          <w:highlight w:val="none"/>
        </w:rPr>
        <w:fldChar w:fldCharType="separate"/>
      </w:r>
      <w:r>
        <w:rPr>
          <w:sz w:val="21"/>
          <w:szCs w:val="21"/>
          <w:highlight w:val="none"/>
        </w:rPr>
        <w:t>32</w:t>
      </w:r>
      <w:r>
        <w:rPr>
          <w:sz w:val="21"/>
          <w:szCs w:val="21"/>
          <w:highlight w:val="none"/>
        </w:rPr>
        <w:fldChar w:fldCharType="end"/>
      </w:r>
      <w:r>
        <w:rPr>
          <w:sz w:val="21"/>
          <w:szCs w:val="21"/>
          <w:highlight w:val="none"/>
        </w:rPr>
        <w:fldChar w:fldCharType="end"/>
      </w:r>
    </w:p>
    <w:p w14:paraId="294A1B65">
      <w:pPr>
        <w:pStyle w:val="27"/>
        <w:rPr>
          <w:rFonts w:ascii="等线" w:hAnsi="等线" w:eastAsia="等线"/>
          <w:kern w:val="2"/>
          <w:sz w:val="21"/>
          <w:szCs w:val="21"/>
          <w:highlight w:val="none"/>
        </w:rPr>
      </w:pPr>
      <w:r>
        <w:rPr>
          <w:highlight w:val="none"/>
        </w:rPr>
        <w:fldChar w:fldCharType="begin"/>
      </w:r>
      <w:r>
        <w:rPr>
          <w:highlight w:val="none"/>
        </w:rPr>
        <w:instrText xml:space="preserve"> HYPERLINK \l "_Toc155267105" </w:instrText>
      </w:r>
      <w:r>
        <w:rPr>
          <w:highlight w:val="none"/>
        </w:rPr>
        <w:fldChar w:fldCharType="separate"/>
      </w:r>
      <w:r>
        <w:rPr>
          <w:rStyle w:val="39"/>
          <w:rFonts w:eastAsia="宋体"/>
          <w:sz w:val="21"/>
          <w:szCs w:val="21"/>
          <w:highlight w:val="none"/>
        </w:rPr>
        <w:t>三、最高最佳利用分析</w:t>
      </w:r>
      <w:r>
        <w:rPr>
          <w:sz w:val="21"/>
          <w:szCs w:val="21"/>
          <w:highlight w:val="none"/>
        </w:rPr>
        <w:tab/>
      </w:r>
      <w:r>
        <w:rPr>
          <w:sz w:val="21"/>
          <w:szCs w:val="21"/>
          <w:highlight w:val="none"/>
        </w:rPr>
        <w:fldChar w:fldCharType="begin"/>
      </w:r>
      <w:r>
        <w:rPr>
          <w:sz w:val="21"/>
          <w:szCs w:val="21"/>
          <w:highlight w:val="none"/>
        </w:rPr>
        <w:instrText xml:space="preserve"> PAGEREF _Toc155267105 \h </w:instrText>
      </w:r>
      <w:r>
        <w:rPr>
          <w:sz w:val="21"/>
          <w:szCs w:val="21"/>
          <w:highlight w:val="none"/>
        </w:rPr>
        <w:fldChar w:fldCharType="separate"/>
      </w:r>
      <w:r>
        <w:rPr>
          <w:sz w:val="21"/>
          <w:szCs w:val="21"/>
          <w:highlight w:val="none"/>
        </w:rPr>
        <w:t>46</w:t>
      </w:r>
      <w:r>
        <w:rPr>
          <w:sz w:val="21"/>
          <w:szCs w:val="21"/>
          <w:highlight w:val="none"/>
        </w:rPr>
        <w:fldChar w:fldCharType="end"/>
      </w:r>
      <w:r>
        <w:rPr>
          <w:sz w:val="21"/>
          <w:szCs w:val="21"/>
          <w:highlight w:val="none"/>
        </w:rPr>
        <w:fldChar w:fldCharType="end"/>
      </w:r>
    </w:p>
    <w:p w14:paraId="1B09CA2F">
      <w:pPr>
        <w:pStyle w:val="27"/>
        <w:rPr>
          <w:rFonts w:ascii="等线" w:hAnsi="等线" w:eastAsia="等线"/>
          <w:kern w:val="2"/>
          <w:sz w:val="21"/>
          <w:szCs w:val="21"/>
          <w:highlight w:val="none"/>
        </w:rPr>
      </w:pPr>
      <w:r>
        <w:rPr>
          <w:highlight w:val="none"/>
        </w:rPr>
        <w:fldChar w:fldCharType="begin"/>
      </w:r>
      <w:r>
        <w:rPr>
          <w:highlight w:val="none"/>
        </w:rPr>
        <w:instrText xml:space="preserve"> HYPERLINK \l "_Toc155267106" </w:instrText>
      </w:r>
      <w:r>
        <w:rPr>
          <w:highlight w:val="none"/>
        </w:rPr>
        <w:fldChar w:fldCharType="separate"/>
      </w:r>
      <w:r>
        <w:rPr>
          <w:rStyle w:val="39"/>
          <w:rFonts w:eastAsia="宋体"/>
          <w:sz w:val="21"/>
          <w:szCs w:val="21"/>
          <w:highlight w:val="none"/>
        </w:rPr>
        <w:t>四、估价方法适用性分析</w:t>
      </w:r>
      <w:r>
        <w:rPr>
          <w:sz w:val="21"/>
          <w:szCs w:val="21"/>
          <w:highlight w:val="none"/>
        </w:rPr>
        <w:tab/>
      </w:r>
      <w:r>
        <w:rPr>
          <w:sz w:val="21"/>
          <w:szCs w:val="21"/>
          <w:highlight w:val="none"/>
        </w:rPr>
        <w:fldChar w:fldCharType="begin"/>
      </w:r>
      <w:r>
        <w:rPr>
          <w:sz w:val="21"/>
          <w:szCs w:val="21"/>
          <w:highlight w:val="none"/>
        </w:rPr>
        <w:instrText xml:space="preserve"> PAGEREF _Toc155267106 \h </w:instrText>
      </w:r>
      <w:r>
        <w:rPr>
          <w:sz w:val="21"/>
          <w:szCs w:val="21"/>
          <w:highlight w:val="none"/>
        </w:rPr>
        <w:fldChar w:fldCharType="separate"/>
      </w:r>
      <w:r>
        <w:rPr>
          <w:sz w:val="21"/>
          <w:szCs w:val="21"/>
          <w:highlight w:val="none"/>
        </w:rPr>
        <w:t>48</w:t>
      </w:r>
      <w:r>
        <w:rPr>
          <w:sz w:val="21"/>
          <w:szCs w:val="21"/>
          <w:highlight w:val="none"/>
        </w:rPr>
        <w:fldChar w:fldCharType="end"/>
      </w:r>
      <w:r>
        <w:rPr>
          <w:sz w:val="21"/>
          <w:szCs w:val="21"/>
          <w:highlight w:val="none"/>
        </w:rPr>
        <w:fldChar w:fldCharType="end"/>
      </w:r>
    </w:p>
    <w:p w14:paraId="619E3467">
      <w:pPr>
        <w:pStyle w:val="27"/>
        <w:rPr>
          <w:rFonts w:ascii="等线" w:hAnsi="等线" w:eastAsia="等线"/>
          <w:kern w:val="2"/>
          <w:sz w:val="21"/>
          <w:szCs w:val="21"/>
          <w:highlight w:val="none"/>
        </w:rPr>
      </w:pPr>
      <w:r>
        <w:rPr>
          <w:highlight w:val="none"/>
        </w:rPr>
        <w:fldChar w:fldCharType="begin"/>
      </w:r>
      <w:r>
        <w:rPr>
          <w:highlight w:val="none"/>
        </w:rPr>
        <w:instrText xml:space="preserve"> HYPERLINK \l "_Toc155267107" </w:instrText>
      </w:r>
      <w:r>
        <w:rPr>
          <w:highlight w:val="none"/>
        </w:rPr>
        <w:fldChar w:fldCharType="separate"/>
      </w:r>
      <w:r>
        <w:rPr>
          <w:rStyle w:val="39"/>
          <w:rFonts w:eastAsia="宋体"/>
          <w:sz w:val="21"/>
          <w:szCs w:val="21"/>
          <w:highlight w:val="none"/>
        </w:rPr>
        <w:t>五、估价测算过程</w:t>
      </w:r>
      <w:r>
        <w:rPr>
          <w:sz w:val="21"/>
          <w:szCs w:val="21"/>
          <w:highlight w:val="none"/>
        </w:rPr>
        <w:tab/>
      </w:r>
      <w:r>
        <w:rPr>
          <w:sz w:val="21"/>
          <w:szCs w:val="21"/>
          <w:highlight w:val="none"/>
        </w:rPr>
        <w:fldChar w:fldCharType="begin"/>
      </w:r>
      <w:r>
        <w:rPr>
          <w:sz w:val="21"/>
          <w:szCs w:val="21"/>
          <w:highlight w:val="none"/>
        </w:rPr>
        <w:instrText xml:space="preserve"> PAGEREF _Toc155267107 \h </w:instrText>
      </w:r>
      <w:r>
        <w:rPr>
          <w:sz w:val="21"/>
          <w:szCs w:val="21"/>
          <w:highlight w:val="none"/>
        </w:rPr>
        <w:fldChar w:fldCharType="separate"/>
      </w:r>
      <w:r>
        <w:rPr>
          <w:sz w:val="21"/>
          <w:szCs w:val="21"/>
          <w:highlight w:val="none"/>
        </w:rPr>
        <w:t>51</w:t>
      </w:r>
      <w:r>
        <w:rPr>
          <w:sz w:val="21"/>
          <w:szCs w:val="21"/>
          <w:highlight w:val="none"/>
        </w:rPr>
        <w:fldChar w:fldCharType="end"/>
      </w:r>
      <w:r>
        <w:rPr>
          <w:sz w:val="21"/>
          <w:szCs w:val="21"/>
          <w:highlight w:val="none"/>
        </w:rPr>
        <w:fldChar w:fldCharType="end"/>
      </w:r>
    </w:p>
    <w:p w14:paraId="0D4D50A0">
      <w:pPr>
        <w:pStyle w:val="27"/>
        <w:rPr>
          <w:rFonts w:ascii="等线" w:hAnsi="等线" w:eastAsia="等线"/>
          <w:kern w:val="2"/>
          <w:sz w:val="21"/>
          <w:szCs w:val="21"/>
          <w:highlight w:val="none"/>
        </w:rPr>
      </w:pPr>
      <w:r>
        <w:rPr>
          <w:highlight w:val="none"/>
        </w:rPr>
        <w:fldChar w:fldCharType="begin"/>
      </w:r>
      <w:r>
        <w:rPr>
          <w:highlight w:val="none"/>
        </w:rPr>
        <w:instrText xml:space="preserve"> HYPERLINK \l "_Toc155267108" </w:instrText>
      </w:r>
      <w:r>
        <w:rPr>
          <w:highlight w:val="none"/>
        </w:rPr>
        <w:fldChar w:fldCharType="separate"/>
      </w:r>
      <w:r>
        <w:rPr>
          <w:rStyle w:val="39"/>
          <w:rFonts w:eastAsia="宋体"/>
          <w:sz w:val="21"/>
          <w:szCs w:val="21"/>
          <w:highlight w:val="none"/>
        </w:rPr>
        <w:t>六、估价结果确定</w:t>
      </w:r>
      <w:r>
        <w:rPr>
          <w:sz w:val="21"/>
          <w:szCs w:val="21"/>
          <w:highlight w:val="none"/>
        </w:rPr>
        <w:tab/>
      </w:r>
      <w:r>
        <w:rPr>
          <w:sz w:val="21"/>
          <w:szCs w:val="21"/>
          <w:highlight w:val="none"/>
        </w:rPr>
        <w:fldChar w:fldCharType="begin"/>
      </w:r>
      <w:r>
        <w:rPr>
          <w:sz w:val="21"/>
          <w:szCs w:val="21"/>
          <w:highlight w:val="none"/>
        </w:rPr>
        <w:instrText xml:space="preserve"> PAGEREF _Toc155267108 \h </w:instrText>
      </w:r>
      <w:r>
        <w:rPr>
          <w:sz w:val="21"/>
          <w:szCs w:val="21"/>
          <w:highlight w:val="none"/>
        </w:rPr>
        <w:fldChar w:fldCharType="separate"/>
      </w:r>
      <w:r>
        <w:rPr>
          <w:sz w:val="21"/>
          <w:szCs w:val="21"/>
          <w:highlight w:val="none"/>
        </w:rPr>
        <w:t>79</w:t>
      </w:r>
      <w:r>
        <w:rPr>
          <w:sz w:val="21"/>
          <w:szCs w:val="21"/>
          <w:highlight w:val="none"/>
        </w:rPr>
        <w:fldChar w:fldCharType="end"/>
      </w:r>
      <w:r>
        <w:rPr>
          <w:sz w:val="21"/>
          <w:szCs w:val="21"/>
          <w:highlight w:val="none"/>
        </w:rPr>
        <w:fldChar w:fldCharType="end"/>
      </w:r>
    </w:p>
    <w:p w14:paraId="6A1AD19B">
      <w:pPr>
        <w:pStyle w:val="23"/>
        <w:rPr>
          <w:rFonts w:ascii="等线" w:hAnsi="等线" w:eastAsia="等线"/>
          <w:b w:val="0"/>
          <w:bCs w:val="0"/>
          <w:kern w:val="2"/>
          <w:sz w:val="24"/>
          <w:szCs w:val="24"/>
          <w:highlight w:val="none"/>
        </w:rPr>
      </w:pPr>
      <w:r>
        <w:rPr>
          <w:highlight w:val="none"/>
        </w:rPr>
        <w:fldChar w:fldCharType="begin"/>
      </w:r>
      <w:r>
        <w:rPr>
          <w:highlight w:val="none"/>
        </w:rPr>
        <w:instrText xml:space="preserve"> HYPERLINK \l "_Toc155267109" </w:instrText>
      </w:r>
      <w:r>
        <w:rPr>
          <w:highlight w:val="none"/>
        </w:rPr>
        <w:fldChar w:fldCharType="separate"/>
      </w:r>
      <w:r>
        <w:rPr>
          <w:rStyle w:val="39"/>
          <w:rFonts w:eastAsia="方正黑体简体"/>
          <w:sz w:val="24"/>
          <w:szCs w:val="24"/>
          <w:highlight w:val="none"/>
        </w:rPr>
        <w:t>附   件</w:t>
      </w:r>
      <w:r>
        <w:rPr>
          <w:sz w:val="24"/>
          <w:szCs w:val="24"/>
          <w:highlight w:val="none"/>
        </w:rPr>
        <w:tab/>
      </w:r>
      <w:r>
        <w:rPr>
          <w:sz w:val="24"/>
          <w:szCs w:val="24"/>
          <w:highlight w:val="none"/>
        </w:rPr>
        <w:fldChar w:fldCharType="begin"/>
      </w:r>
      <w:r>
        <w:rPr>
          <w:sz w:val="24"/>
          <w:szCs w:val="24"/>
          <w:highlight w:val="none"/>
        </w:rPr>
        <w:instrText xml:space="preserve"> PAGEREF _Toc155267109 \h </w:instrText>
      </w:r>
      <w:r>
        <w:rPr>
          <w:sz w:val="24"/>
          <w:szCs w:val="24"/>
          <w:highlight w:val="none"/>
        </w:rPr>
        <w:fldChar w:fldCharType="separate"/>
      </w:r>
      <w:r>
        <w:rPr>
          <w:sz w:val="24"/>
          <w:szCs w:val="24"/>
          <w:highlight w:val="none"/>
        </w:rPr>
        <w:t>80</w:t>
      </w:r>
      <w:r>
        <w:rPr>
          <w:sz w:val="24"/>
          <w:szCs w:val="24"/>
          <w:highlight w:val="none"/>
        </w:rPr>
        <w:fldChar w:fldCharType="end"/>
      </w:r>
      <w:r>
        <w:rPr>
          <w:sz w:val="24"/>
          <w:szCs w:val="24"/>
          <w:highlight w:val="none"/>
        </w:rPr>
        <w:fldChar w:fldCharType="end"/>
      </w:r>
    </w:p>
    <w:p w14:paraId="21E80C17">
      <w:pPr>
        <w:numPr>
          <w:ilvl w:val="0"/>
          <w:numId w:val="5"/>
        </w:numPr>
        <w:spacing w:line="360" w:lineRule="auto"/>
        <w:jc w:val="both"/>
        <w:rPr>
          <w:rFonts w:ascii="Arial" w:hAnsi="Arial" w:cs="Arial"/>
          <w:sz w:val="21"/>
          <w:szCs w:val="21"/>
          <w:highlight w:val="none"/>
        </w:rPr>
      </w:pPr>
      <w:r>
        <w:rPr>
          <w:rFonts w:ascii="宋体" w:hAnsi="宋体" w:cs="Arial"/>
          <w:szCs w:val="24"/>
          <w:highlight w:val="none"/>
        </w:rPr>
        <w:fldChar w:fldCharType="end"/>
      </w:r>
      <w:r>
        <w:rPr>
          <w:rFonts w:hint="eastAsia" w:ascii="Arial" w:hAnsi="Arial" w:cs="Arial"/>
          <w:sz w:val="21"/>
          <w:szCs w:val="21"/>
          <w:highlight w:val="none"/>
        </w:rPr>
        <w:t>《估价委托书》复印件</w:t>
      </w:r>
    </w:p>
    <w:p w14:paraId="5E248D98">
      <w:pPr>
        <w:numPr>
          <w:ilvl w:val="0"/>
          <w:numId w:val="5"/>
        </w:numPr>
        <w:spacing w:line="360" w:lineRule="auto"/>
        <w:jc w:val="both"/>
        <w:rPr>
          <w:rFonts w:ascii="Arial" w:hAnsi="Arial" w:cs="Arial"/>
          <w:sz w:val="21"/>
          <w:szCs w:val="21"/>
          <w:highlight w:val="none"/>
        </w:rPr>
      </w:pPr>
      <w:r>
        <w:rPr>
          <w:rFonts w:hint="eastAsia" w:ascii="Arial" w:hAnsi="Arial" w:cs="Arial"/>
          <w:sz w:val="21"/>
          <w:szCs w:val="21"/>
          <w:highlight w:val="none"/>
        </w:rPr>
        <w:t>估价对象所在位置示意图</w:t>
      </w:r>
    </w:p>
    <w:p w14:paraId="3B58E5BF">
      <w:pPr>
        <w:numPr>
          <w:ilvl w:val="0"/>
          <w:numId w:val="5"/>
        </w:numPr>
        <w:spacing w:line="360" w:lineRule="auto"/>
        <w:jc w:val="both"/>
        <w:rPr>
          <w:rFonts w:ascii="Arial" w:hAnsi="Arial" w:cs="Arial"/>
          <w:sz w:val="21"/>
          <w:szCs w:val="21"/>
          <w:highlight w:val="none"/>
        </w:rPr>
      </w:pPr>
      <w:r>
        <w:rPr>
          <w:rFonts w:hint="eastAsia" w:ascii="Arial" w:hAnsi="Arial" w:cs="Arial"/>
          <w:sz w:val="21"/>
          <w:szCs w:val="21"/>
          <w:highlight w:val="none"/>
        </w:rPr>
        <w:t>估价对象现状照片</w:t>
      </w:r>
    </w:p>
    <w:p w14:paraId="665D2791">
      <w:pPr>
        <w:numPr>
          <w:ilvl w:val="0"/>
          <w:numId w:val="5"/>
        </w:numPr>
        <w:spacing w:line="360" w:lineRule="auto"/>
        <w:jc w:val="both"/>
        <w:rPr>
          <w:rFonts w:ascii="Arial" w:hAnsi="Arial" w:cs="Arial"/>
          <w:sz w:val="21"/>
          <w:szCs w:val="21"/>
          <w:highlight w:val="none"/>
        </w:rPr>
      </w:pPr>
      <w:r>
        <w:rPr>
          <w:rFonts w:hint="eastAsia" w:ascii="Arial" w:hAnsi="Arial" w:cs="Arial"/>
          <w:sz w:val="21"/>
          <w:szCs w:val="21"/>
          <w:highlight w:val="none"/>
          <w:lang w:eastAsia="zh-CN"/>
        </w:rPr>
        <w:t>《</w:t>
      </w:r>
      <w:r>
        <w:rPr>
          <w:rFonts w:hint="eastAsia" w:ascii="Arial" w:hAnsi="Arial" w:cs="Arial"/>
          <w:sz w:val="21"/>
          <w:szCs w:val="21"/>
          <w:highlight w:val="none"/>
          <w:lang w:val="en-US" w:eastAsia="zh-CN"/>
        </w:rPr>
        <w:t>北京市大兴区发展和改革委员会 关于转发大兴区采育镇城镇中心区定向安置房项目核准批复的通知》[京兴发改转（2010）3号]及附件复印件</w:t>
      </w:r>
    </w:p>
    <w:p w14:paraId="57653B75">
      <w:pPr>
        <w:numPr>
          <w:ilvl w:val="0"/>
          <w:numId w:val="5"/>
        </w:numPr>
        <w:spacing w:line="360" w:lineRule="auto"/>
        <w:jc w:val="both"/>
        <w:rPr>
          <w:rFonts w:ascii="Arial" w:hAnsi="Arial" w:cs="Arial"/>
          <w:sz w:val="21"/>
          <w:szCs w:val="21"/>
          <w:highlight w:val="none"/>
        </w:rPr>
      </w:pPr>
      <w:r>
        <w:rPr>
          <w:rFonts w:hint="eastAsia" w:ascii="Arial" w:hAnsi="Arial" w:cs="Arial"/>
          <w:sz w:val="21"/>
          <w:szCs w:val="21"/>
          <w:highlight w:val="none"/>
          <w:lang w:val="en-US" w:eastAsia="zh-CN"/>
        </w:rPr>
        <w:t>《国有土地使用证》[京兴国用（2010）出第00133、00134、00135号]部分复印件</w:t>
      </w:r>
    </w:p>
    <w:p w14:paraId="5F99CCCB">
      <w:pPr>
        <w:numPr>
          <w:ilvl w:val="0"/>
          <w:numId w:val="5"/>
        </w:numPr>
        <w:spacing w:line="360" w:lineRule="auto"/>
        <w:jc w:val="both"/>
        <w:rPr>
          <w:rFonts w:ascii="Arial" w:hAnsi="Arial" w:cs="Arial"/>
          <w:sz w:val="21"/>
          <w:szCs w:val="21"/>
          <w:highlight w:val="none"/>
        </w:rPr>
      </w:pPr>
      <w:r>
        <w:rPr>
          <w:rFonts w:hint="eastAsia" w:ascii="Arial" w:hAnsi="Arial" w:cs="Arial"/>
          <w:sz w:val="21"/>
          <w:szCs w:val="21"/>
          <w:highlight w:val="none"/>
          <w:lang w:eastAsia="zh-CN"/>
        </w:rPr>
        <w:t>《</w:t>
      </w:r>
      <w:r>
        <w:rPr>
          <w:rFonts w:hint="eastAsia" w:ascii="Arial" w:hAnsi="Arial" w:cs="Arial"/>
          <w:sz w:val="21"/>
          <w:szCs w:val="21"/>
          <w:highlight w:val="none"/>
          <w:lang w:val="en-US" w:eastAsia="zh-CN"/>
        </w:rPr>
        <w:t>北京市大兴区发展和改革委员会 关于转发大兴区采育镇区四号地01-0001A、B地块住宅混合公建用地、二类居住用地回迁安置房项目核准批复的通知》[京兴发改转（2012）27号]及附件复印件</w:t>
      </w:r>
    </w:p>
    <w:p w14:paraId="5C72AEF2">
      <w:pPr>
        <w:numPr>
          <w:ilvl w:val="0"/>
          <w:numId w:val="5"/>
        </w:numPr>
        <w:spacing w:line="360" w:lineRule="auto"/>
        <w:jc w:val="both"/>
        <w:rPr>
          <w:rFonts w:ascii="Arial" w:hAnsi="Arial" w:cs="Arial"/>
          <w:sz w:val="21"/>
          <w:szCs w:val="21"/>
          <w:highlight w:val="none"/>
        </w:rPr>
      </w:pPr>
      <w:r>
        <w:rPr>
          <w:rFonts w:hint="eastAsia" w:ascii="Arial" w:hAnsi="Arial" w:cs="Arial"/>
          <w:sz w:val="21"/>
          <w:szCs w:val="21"/>
          <w:highlight w:val="none"/>
          <w:lang w:eastAsia="zh-CN"/>
        </w:rPr>
        <w:t>《</w:t>
      </w:r>
      <w:r>
        <w:rPr>
          <w:rFonts w:hint="eastAsia" w:ascii="Arial" w:hAnsi="Arial" w:cs="Arial"/>
          <w:sz w:val="21"/>
          <w:szCs w:val="21"/>
          <w:highlight w:val="none"/>
          <w:lang w:val="en-US" w:eastAsia="zh-CN"/>
        </w:rPr>
        <w:t>北京市大兴区采育镇四号地01-0001A、01-0001B地块项目开发回购协议书补充协议》[兴采01-0001协字（2012）001号附件1]</w:t>
      </w:r>
      <w:r>
        <w:rPr>
          <w:rFonts w:hint="eastAsia" w:ascii="Arial" w:hAnsi="Arial" w:cs="Arial"/>
          <w:sz w:val="21"/>
          <w:szCs w:val="21"/>
          <w:highlight w:val="none"/>
        </w:rPr>
        <w:t>复印件</w:t>
      </w:r>
    </w:p>
    <w:p w14:paraId="36AE5C98">
      <w:pPr>
        <w:numPr>
          <w:ilvl w:val="0"/>
          <w:numId w:val="5"/>
        </w:numPr>
        <w:spacing w:line="360" w:lineRule="auto"/>
        <w:jc w:val="both"/>
        <w:rPr>
          <w:rFonts w:ascii="Arial" w:hAnsi="Arial" w:cs="Arial"/>
          <w:sz w:val="21"/>
          <w:szCs w:val="21"/>
          <w:highlight w:val="none"/>
        </w:rPr>
      </w:pPr>
      <w:r>
        <w:rPr>
          <w:rFonts w:hint="eastAsia" w:ascii="Arial" w:hAnsi="Arial" w:cs="Arial"/>
          <w:sz w:val="21"/>
          <w:szCs w:val="21"/>
          <w:highlight w:val="none"/>
          <w:lang w:eastAsia="zh-CN"/>
        </w:rPr>
        <w:t>《</w:t>
      </w:r>
      <w:r>
        <w:rPr>
          <w:rFonts w:hint="eastAsia" w:ascii="Arial" w:hAnsi="Arial" w:cs="Arial"/>
          <w:sz w:val="21"/>
          <w:szCs w:val="21"/>
          <w:highlight w:val="none"/>
          <w:lang w:val="en-US" w:eastAsia="zh-CN"/>
        </w:rPr>
        <w:t>北京市大兴区住房和城乡建设委员会 关于采育数字时尚小镇保障性住房使用管理有关问题的请示》[京兴建文（2025）123号]</w:t>
      </w:r>
      <w:r>
        <w:rPr>
          <w:rFonts w:hint="eastAsia" w:ascii="Arial" w:hAnsi="Arial" w:cs="Arial"/>
          <w:sz w:val="21"/>
          <w:szCs w:val="21"/>
          <w:highlight w:val="none"/>
        </w:rPr>
        <w:t>复印件</w:t>
      </w:r>
    </w:p>
    <w:p w14:paraId="5A231586">
      <w:pPr>
        <w:numPr>
          <w:ilvl w:val="0"/>
          <w:numId w:val="5"/>
        </w:numPr>
        <w:spacing w:line="360" w:lineRule="auto"/>
        <w:jc w:val="both"/>
        <w:rPr>
          <w:rFonts w:ascii="Arial" w:hAnsi="Arial" w:cs="Arial"/>
          <w:sz w:val="21"/>
          <w:szCs w:val="21"/>
          <w:highlight w:val="none"/>
        </w:rPr>
      </w:pPr>
      <w:r>
        <w:rPr>
          <w:rFonts w:hint="eastAsia" w:ascii="Arial" w:hAnsi="Arial" w:cs="Arial"/>
          <w:sz w:val="21"/>
          <w:szCs w:val="21"/>
          <w:highlight w:val="none"/>
          <w:lang w:val="en-US" w:eastAsia="zh-CN"/>
        </w:rPr>
        <w:t>《北京市大兴区住房和城乡建设委员会 关于采育数字时尚小镇保障性住房相关事宜专题会会议纪要》</w:t>
      </w:r>
      <w:r>
        <w:rPr>
          <w:rFonts w:hint="eastAsia" w:ascii="Arial" w:hAnsi="Arial" w:cs="Arial"/>
          <w:sz w:val="21"/>
          <w:szCs w:val="21"/>
          <w:highlight w:val="none"/>
        </w:rPr>
        <w:t>复印件</w:t>
      </w:r>
    </w:p>
    <w:p w14:paraId="0EFD9B83">
      <w:pPr>
        <w:numPr>
          <w:ilvl w:val="0"/>
          <w:numId w:val="5"/>
        </w:numPr>
        <w:spacing w:line="360" w:lineRule="auto"/>
        <w:jc w:val="both"/>
        <w:rPr>
          <w:rFonts w:ascii="Arial" w:hAnsi="Arial" w:cs="Arial"/>
          <w:sz w:val="21"/>
          <w:szCs w:val="21"/>
          <w:highlight w:val="none"/>
        </w:rPr>
      </w:pPr>
      <w:r>
        <w:rPr>
          <w:rFonts w:hint="eastAsia" w:ascii="Arial" w:hAnsi="Arial" w:cs="Arial"/>
          <w:sz w:val="21"/>
          <w:szCs w:val="21"/>
          <w:highlight w:val="none"/>
          <w:lang w:eastAsia="zh-CN"/>
        </w:rPr>
        <w:t>《</w:t>
      </w:r>
      <w:r>
        <w:rPr>
          <w:rFonts w:hint="eastAsia" w:ascii="Arial" w:hAnsi="Arial" w:cs="Arial"/>
          <w:sz w:val="21"/>
          <w:szCs w:val="21"/>
          <w:highlight w:val="none"/>
          <w:lang w:val="en-US" w:eastAsia="zh-CN"/>
        </w:rPr>
        <w:t>房屋所有权证书》[X京房权证兴字第144437、144436、144435、144444、1444440、144439、144442、144443、144449、144445、144447、194022号]</w:t>
      </w:r>
      <w:r>
        <w:rPr>
          <w:rFonts w:hint="eastAsia" w:ascii="Arial" w:hAnsi="Arial" w:cs="Arial"/>
          <w:sz w:val="21"/>
          <w:szCs w:val="21"/>
          <w:highlight w:val="none"/>
        </w:rPr>
        <w:t>复印件</w:t>
      </w:r>
    </w:p>
    <w:p w14:paraId="3F3841DC">
      <w:pPr>
        <w:numPr>
          <w:ilvl w:val="0"/>
          <w:numId w:val="5"/>
        </w:numPr>
        <w:spacing w:line="360" w:lineRule="auto"/>
        <w:jc w:val="both"/>
        <w:rPr>
          <w:rFonts w:ascii="Arial" w:hAnsi="Arial" w:cs="Arial"/>
          <w:sz w:val="21"/>
          <w:szCs w:val="21"/>
          <w:highlight w:val="none"/>
        </w:rPr>
      </w:pPr>
      <w:r>
        <w:rPr>
          <w:rFonts w:hint="eastAsia" w:ascii="Arial" w:hAnsi="Arial" w:cs="Arial"/>
          <w:sz w:val="21"/>
          <w:szCs w:val="21"/>
          <w:highlight w:val="none"/>
          <w:lang w:eastAsia="zh-CN"/>
        </w:rPr>
        <w:t>《</w:t>
      </w:r>
      <w:r>
        <w:rPr>
          <w:rFonts w:hint="eastAsia" w:ascii="Arial" w:hAnsi="Arial" w:cs="Arial"/>
          <w:sz w:val="21"/>
          <w:szCs w:val="21"/>
          <w:highlight w:val="none"/>
          <w:lang w:val="en-US" w:eastAsia="zh-CN"/>
        </w:rPr>
        <w:t>房屋所有权证书》[X京房权证兴字第100091、102139、102135、102136、102140、102137、102138、103831、102031、110683、110394、110393、110397、110396、110395、110392、110389号]复印件</w:t>
      </w:r>
    </w:p>
    <w:p w14:paraId="64C1C037">
      <w:pPr>
        <w:numPr>
          <w:ilvl w:val="0"/>
          <w:numId w:val="5"/>
        </w:numPr>
        <w:spacing w:line="360" w:lineRule="auto"/>
        <w:jc w:val="both"/>
        <w:rPr>
          <w:rFonts w:ascii="Arial" w:hAnsi="Arial" w:cs="Arial"/>
          <w:sz w:val="21"/>
          <w:szCs w:val="21"/>
          <w:highlight w:val="none"/>
        </w:rPr>
      </w:pPr>
      <w:r>
        <w:rPr>
          <w:rFonts w:hint="eastAsia" w:ascii="Arial" w:hAnsi="Arial" w:cs="Arial"/>
          <w:sz w:val="21"/>
          <w:szCs w:val="21"/>
          <w:highlight w:val="none"/>
          <w:lang w:eastAsia="zh-CN"/>
        </w:rPr>
        <w:t>《</w:t>
      </w:r>
      <w:r>
        <w:rPr>
          <w:rFonts w:hint="eastAsia" w:ascii="Arial" w:hAnsi="Arial" w:cs="Arial"/>
          <w:sz w:val="21"/>
          <w:szCs w:val="21"/>
          <w:highlight w:val="none"/>
          <w:lang w:val="en-US" w:eastAsia="zh-CN"/>
        </w:rPr>
        <w:t>房屋所有权证书》[X京房权证兴字第103107、103825号]复印件</w:t>
      </w:r>
    </w:p>
    <w:p w14:paraId="56A0AD7E">
      <w:pPr>
        <w:numPr>
          <w:ilvl w:val="0"/>
          <w:numId w:val="5"/>
        </w:numPr>
        <w:spacing w:line="360" w:lineRule="auto"/>
        <w:jc w:val="both"/>
        <w:rPr>
          <w:rFonts w:ascii="Arial" w:hAnsi="Arial" w:cs="Arial"/>
          <w:sz w:val="21"/>
          <w:szCs w:val="21"/>
          <w:highlight w:val="none"/>
        </w:rPr>
      </w:pPr>
      <w:r>
        <w:rPr>
          <w:rFonts w:hint="eastAsia" w:ascii="Arial" w:hAnsi="Arial" w:cs="Arial"/>
          <w:sz w:val="21"/>
          <w:szCs w:val="21"/>
          <w:highlight w:val="none"/>
          <w:lang w:eastAsia="zh-CN"/>
        </w:rPr>
        <w:t>《</w:t>
      </w:r>
      <w:r>
        <w:rPr>
          <w:rFonts w:hint="eastAsia" w:ascii="Arial" w:hAnsi="Arial" w:cs="Arial"/>
          <w:sz w:val="21"/>
          <w:szCs w:val="21"/>
          <w:highlight w:val="none"/>
          <w:lang w:val="en-US" w:eastAsia="zh-CN"/>
        </w:rPr>
        <w:t>房屋所有权证书》[X京房权证兴字第146943、146944、102030、100093、102028号]复印件</w:t>
      </w:r>
    </w:p>
    <w:p w14:paraId="2BF78C06">
      <w:pPr>
        <w:numPr>
          <w:ilvl w:val="0"/>
          <w:numId w:val="5"/>
        </w:numPr>
        <w:spacing w:line="360" w:lineRule="auto"/>
        <w:jc w:val="both"/>
        <w:rPr>
          <w:rFonts w:ascii="Arial" w:hAnsi="Arial" w:cs="Arial"/>
          <w:sz w:val="21"/>
          <w:szCs w:val="21"/>
          <w:highlight w:val="none"/>
        </w:rPr>
      </w:pPr>
      <w:r>
        <w:rPr>
          <w:rFonts w:hint="eastAsia" w:ascii="Arial" w:hAnsi="Arial" w:cs="Arial"/>
          <w:sz w:val="21"/>
          <w:szCs w:val="21"/>
          <w:highlight w:val="none"/>
          <w:lang w:eastAsia="zh-CN"/>
        </w:rPr>
        <w:t>《</w:t>
      </w:r>
      <w:r>
        <w:rPr>
          <w:rFonts w:hint="eastAsia" w:ascii="Arial" w:hAnsi="Arial" w:cs="Arial"/>
          <w:sz w:val="21"/>
          <w:szCs w:val="21"/>
          <w:highlight w:val="none"/>
          <w:lang w:val="en-US" w:eastAsia="zh-CN"/>
        </w:rPr>
        <w:t>北京市房屋建筑和市政基础设施工程竣工验收备案表》[编号：1004大竣2012（建）0138号、1005大竣2012（建）0139号、1006大竣2012（建）0140号、1007大竣2012（建）0141号]复印件</w:t>
      </w:r>
    </w:p>
    <w:p w14:paraId="45B787A5">
      <w:pPr>
        <w:numPr>
          <w:ilvl w:val="0"/>
          <w:numId w:val="5"/>
        </w:numPr>
        <w:spacing w:line="360" w:lineRule="auto"/>
        <w:jc w:val="both"/>
        <w:rPr>
          <w:rFonts w:ascii="Arial" w:hAnsi="Arial" w:cs="Arial"/>
          <w:sz w:val="21"/>
          <w:szCs w:val="21"/>
          <w:highlight w:val="none"/>
        </w:rPr>
      </w:pPr>
      <w:r>
        <w:rPr>
          <w:rFonts w:hint="eastAsia" w:ascii="Arial" w:hAnsi="Arial" w:cs="Arial"/>
          <w:sz w:val="21"/>
          <w:szCs w:val="21"/>
          <w:highlight w:val="none"/>
          <w:lang w:eastAsia="zh-CN"/>
        </w:rPr>
        <w:t>《</w:t>
      </w:r>
      <w:r>
        <w:rPr>
          <w:rFonts w:hint="eastAsia" w:ascii="Arial" w:hAnsi="Arial" w:cs="Arial"/>
          <w:sz w:val="21"/>
          <w:szCs w:val="21"/>
          <w:highlight w:val="none"/>
          <w:lang w:val="en-US" w:eastAsia="zh-CN"/>
        </w:rPr>
        <w:t>北京市房屋建筑和市政基础设施工程竣工验收备案表》[编号：0327大竣2014（建）0049号、0149大竣2014（建）0029号、0150大竣2014（建）0030号、0151大竣2014（建）0031号]复印件</w:t>
      </w:r>
    </w:p>
    <w:p w14:paraId="38892B14">
      <w:pPr>
        <w:numPr>
          <w:ilvl w:val="0"/>
          <w:numId w:val="5"/>
        </w:numPr>
        <w:spacing w:line="360" w:lineRule="auto"/>
        <w:jc w:val="both"/>
        <w:rPr>
          <w:rFonts w:ascii="Arial" w:hAnsi="Arial" w:cs="Arial"/>
          <w:sz w:val="21"/>
          <w:szCs w:val="21"/>
          <w:highlight w:val="none"/>
        </w:rPr>
      </w:pPr>
      <w:r>
        <w:rPr>
          <w:rFonts w:hint="eastAsia" w:ascii="Arial" w:hAnsi="Arial" w:cs="Arial"/>
          <w:sz w:val="21"/>
          <w:szCs w:val="21"/>
          <w:highlight w:val="none"/>
          <w:lang w:val="en-US" w:eastAsia="zh-CN"/>
        </w:rPr>
        <w:t>《采育数字时尚小镇保障性住房趸组协议》及其附件复印件</w:t>
      </w:r>
    </w:p>
    <w:p w14:paraId="4F9211A4">
      <w:pPr>
        <w:numPr>
          <w:ilvl w:val="0"/>
          <w:numId w:val="5"/>
        </w:numPr>
        <w:spacing w:line="360" w:lineRule="auto"/>
        <w:jc w:val="both"/>
        <w:rPr>
          <w:rFonts w:ascii="Arial" w:hAnsi="Arial" w:cs="Arial"/>
          <w:sz w:val="21"/>
          <w:szCs w:val="21"/>
          <w:highlight w:val="none"/>
        </w:rPr>
      </w:pPr>
      <w:r>
        <w:rPr>
          <w:rFonts w:hint="eastAsia" w:ascii="Arial" w:hAnsi="Arial" w:cs="Arial"/>
          <w:sz w:val="21"/>
          <w:szCs w:val="21"/>
          <w:highlight w:val="none"/>
        </w:rPr>
        <w:t>估价委托人《营业执照（副本）》复印件</w:t>
      </w:r>
    </w:p>
    <w:p w14:paraId="31BB9852">
      <w:pPr>
        <w:numPr>
          <w:ilvl w:val="0"/>
          <w:numId w:val="5"/>
        </w:numPr>
        <w:spacing w:line="360" w:lineRule="auto"/>
        <w:jc w:val="both"/>
        <w:rPr>
          <w:rFonts w:ascii="Arial" w:hAnsi="Arial" w:cs="Arial"/>
          <w:sz w:val="21"/>
          <w:szCs w:val="21"/>
          <w:highlight w:val="none"/>
        </w:rPr>
      </w:pPr>
      <w:r>
        <w:rPr>
          <w:rFonts w:hint="eastAsia" w:ascii="Arial" w:hAnsi="Arial" w:cs="Arial"/>
          <w:sz w:val="21"/>
          <w:szCs w:val="21"/>
          <w:highlight w:val="none"/>
        </w:rPr>
        <w:t>房地产估价机构《营业执照（副本）》复印件</w:t>
      </w:r>
    </w:p>
    <w:p w14:paraId="04CF502B">
      <w:pPr>
        <w:numPr>
          <w:ilvl w:val="0"/>
          <w:numId w:val="5"/>
        </w:numPr>
        <w:spacing w:line="360" w:lineRule="auto"/>
        <w:jc w:val="both"/>
        <w:rPr>
          <w:rFonts w:ascii="Arial" w:hAnsi="Arial" w:cs="Arial"/>
          <w:sz w:val="21"/>
          <w:szCs w:val="21"/>
          <w:highlight w:val="none"/>
        </w:rPr>
      </w:pPr>
      <w:r>
        <w:rPr>
          <w:rFonts w:hint="eastAsia" w:ascii="Arial" w:hAnsi="Arial" w:cs="Arial"/>
          <w:sz w:val="21"/>
          <w:szCs w:val="21"/>
          <w:highlight w:val="none"/>
        </w:rPr>
        <w:t>房地产估价机构资质证书复印件</w:t>
      </w:r>
    </w:p>
    <w:p w14:paraId="204334F3">
      <w:pPr>
        <w:numPr>
          <w:ilvl w:val="0"/>
          <w:numId w:val="5"/>
        </w:numPr>
        <w:spacing w:line="360" w:lineRule="auto"/>
        <w:jc w:val="both"/>
        <w:rPr>
          <w:rFonts w:ascii="Arial" w:hAnsi="Arial" w:cs="Arial"/>
          <w:sz w:val="21"/>
          <w:szCs w:val="21"/>
          <w:highlight w:val="none"/>
        </w:rPr>
      </w:pPr>
      <w:r>
        <w:rPr>
          <w:rFonts w:hint="eastAsia" w:ascii="Arial" w:hAnsi="Arial" w:cs="Arial"/>
          <w:sz w:val="21"/>
          <w:szCs w:val="21"/>
          <w:highlight w:val="none"/>
        </w:rPr>
        <w:t>评估专业人员执业证书复印件</w:t>
      </w:r>
    </w:p>
    <w:p w14:paraId="4D531203">
      <w:pPr>
        <w:spacing w:line="240" w:lineRule="auto"/>
        <w:jc w:val="both"/>
        <w:outlineLvl w:val="0"/>
        <w:rPr>
          <w:rFonts w:ascii="Arial" w:hAnsi="Arial" w:eastAsia="楷体_GB2312" w:cs="Arial"/>
          <w:i/>
          <w:kern w:val="2"/>
          <w:sz w:val="28"/>
          <w:szCs w:val="28"/>
          <w:highlight w:val="none"/>
        </w:rPr>
        <w:sectPr>
          <w:headerReference r:id="rId12" w:type="first"/>
          <w:headerReference r:id="rId10" w:type="default"/>
          <w:headerReference r:id="rId11" w:type="even"/>
          <w:pgSz w:w="11907" w:h="16840"/>
          <w:pgMar w:top="1843" w:right="1134" w:bottom="1134" w:left="1134" w:header="1134" w:footer="907" w:gutter="340"/>
          <w:cols w:space="720" w:num="1"/>
          <w:docGrid w:linePitch="326" w:charSpace="0"/>
        </w:sectPr>
      </w:pPr>
    </w:p>
    <w:p w14:paraId="06E6DEBA">
      <w:pPr>
        <w:pStyle w:val="2"/>
        <w:spacing w:line="480" w:lineRule="auto"/>
        <w:jc w:val="center"/>
        <w:rPr>
          <w:rFonts w:eastAsia="方正黑体简体"/>
          <w:b w:val="0"/>
          <w:kern w:val="2"/>
          <w:sz w:val="32"/>
          <w:szCs w:val="32"/>
          <w:highlight w:val="none"/>
        </w:rPr>
      </w:pPr>
      <w:bookmarkStart w:id="5" w:name="_Toc155267083"/>
      <w:bookmarkStart w:id="6" w:name="_Toc379795041"/>
      <w:r>
        <w:rPr>
          <w:rFonts w:hint="eastAsia" w:eastAsia="方正黑体简体"/>
          <w:b w:val="0"/>
          <w:kern w:val="2"/>
          <w:sz w:val="32"/>
          <w:szCs w:val="32"/>
          <w:highlight w:val="none"/>
        </w:rPr>
        <w:t>估价师声明</w:t>
      </w:r>
      <w:bookmarkEnd w:id="5"/>
      <w:bookmarkEnd w:id="6"/>
    </w:p>
    <w:p w14:paraId="61FB2CAE">
      <w:pPr>
        <w:spacing w:line="480" w:lineRule="auto"/>
        <w:jc w:val="both"/>
        <w:outlineLvl w:val="0"/>
        <w:rPr>
          <w:rFonts w:ascii="Arial" w:hAnsi="Arial" w:cs="Arial"/>
          <w:kern w:val="2"/>
          <w:sz w:val="21"/>
          <w:szCs w:val="21"/>
          <w:highlight w:val="none"/>
        </w:rPr>
      </w:pPr>
      <w:r>
        <w:rPr>
          <w:rFonts w:ascii="Arial" w:hAnsi="Arial" w:cs="Arial"/>
          <w:kern w:val="2"/>
          <w:sz w:val="21"/>
          <w:szCs w:val="21"/>
          <w:highlight w:val="none"/>
        </w:rPr>
        <w:t>注册房地产估价师郑重声明：</w:t>
      </w:r>
    </w:p>
    <w:p w14:paraId="7BEE085E">
      <w:pPr>
        <w:spacing w:line="480" w:lineRule="auto"/>
        <w:jc w:val="both"/>
        <w:outlineLvl w:val="0"/>
        <w:rPr>
          <w:rFonts w:ascii="Arial" w:hAnsi="Arial" w:cs="Arial"/>
          <w:kern w:val="2"/>
          <w:sz w:val="21"/>
          <w:szCs w:val="21"/>
          <w:highlight w:val="none"/>
        </w:rPr>
      </w:pPr>
      <w:bookmarkStart w:id="7" w:name="_Toc168225811"/>
      <w:r>
        <w:rPr>
          <w:rFonts w:ascii="Arial" w:hAnsi="Arial" w:cs="Arial"/>
          <w:kern w:val="2"/>
          <w:sz w:val="21"/>
          <w:szCs w:val="21"/>
          <w:highlight w:val="none"/>
        </w:rPr>
        <w:t>（一）注册房地产估价师在本估价报告中对事实的说明是真实的和准确的，没有虚假记载、误导性陈述和重大遗漏。</w:t>
      </w:r>
    </w:p>
    <w:p w14:paraId="75C3F355">
      <w:pPr>
        <w:spacing w:line="480" w:lineRule="auto"/>
        <w:jc w:val="both"/>
        <w:outlineLvl w:val="0"/>
        <w:rPr>
          <w:rFonts w:ascii="Arial" w:hAnsi="Arial" w:cs="Arial"/>
          <w:kern w:val="2"/>
          <w:sz w:val="21"/>
          <w:szCs w:val="21"/>
          <w:highlight w:val="none"/>
        </w:rPr>
      </w:pPr>
      <w:r>
        <w:rPr>
          <w:rFonts w:ascii="Arial" w:hAnsi="Arial" w:cs="Arial"/>
          <w:kern w:val="2"/>
          <w:sz w:val="21"/>
          <w:szCs w:val="21"/>
          <w:highlight w:val="none"/>
        </w:rPr>
        <w:t>（二）本估价报告中的分析、意见和结论是注册房地产估价师独立、客观、公正的专业分析、意见和结论，但受到本估价报告中已说明的估价假设和限制条件的限制。</w:t>
      </w:r>
    </w:p>
    <w:p w14:paraId="795B0760">
      <w:pPr>
        <w:spacing w:line="480" w:lineRule="auto"/>
        <w:jc w:val="both"/>
        <w:outlineLvl w:val="0"/>
        <w:rPr>
          <w:rFonts w:ascii="Arial" w:hAnsi="Arial" w:cs="Arial"/>
          <w:kern w:val="2"/>
          <w:sz w:val="21"/>
          <w:szCs w:val="21"/>
          <w:highlight w:val="none"/>
        </w:rPr>
      </w:pPr>
      <w:r>
        <w:rPr>
          <w:rFonts w:ascii="Arial" w:hAnsi="Arial" w:cs="Arial"/>
          <w:kern w:val="2"/>
          <w:sz w:val="21"/>
          <w:szCs w:val="21"/>
          <w:highlight w:val="none"/>
        </w:rPr>
        <w:t>（三）</w:t>
      </w:r>
      <w:r>
        <w:rPr>
          <w:rFonts w:hint="eastAsia" w:ascii="Arial" w:hAnsi="Arial" w:cs="Arial"/>
          <w:kern w:val="2"/>
          <w:sz w:val="21"/>
          <w:szCs w:val="21"/>
          <w:highlight w:val="none"/>
        </w:rPr>
        <w:t>评估专业人员已对估价对象进行了实地查勘。我们</w:t>
      </w:r>
      <w:r>
        <w:rPr>
          <w:rFonts w:ascii="Arial" w:hAnsi="Arial" w:cs="Arial"/>
          <w:kern w:val="2"/>
          <w:sz w:val="21"/>
          <w:szCs w:val="21"/>
          <w:highlight w:val="none"/>
        </w:rPr>
        <w:t>与估价报告中的估价对象没有现实或潜在的利益，与估价委托人及估价利害关系人没有利害关系，也对本估价报告中的估价对象、估价委托人及估价利害关系人没有偏见。</w:t>
      </w:r>
    </w:p>
    <w:p w14:paraId="3436E5B0">
      <w:pPr>
        <w:spacing w:line="480" w:lineRule="auto"/>
        <w:jc w:val="both"/>
        <w:outlineLvl w:val="0"/>
        <w:rPr>
          <w:rFonts w:ascii="Arial" w:hAnsi="Arial" w:cs="Arial"/>
          <w:kern w:val="2"/>
          <w:sz w:val="21"/>
          <w:szCs w:val="21"/>
          <w:highlight w:val="none"/>
        </w:rPr>
      </w:pPr>
      <w:r>
        <w:rPr>
          <w:rFonts w:ascii="Arial" w:hAnsi="Arial" w:cs="Arial"/>
          <w:kern w:val="2"/>
          <w:sz w:val="21"/>
          <w:szCs w:val="21"/>
          <w:highlight w:val="none"/>
        </w:rPr>
        <w:t>（四）注册房地产估价师依照中华人民共和国国家标准《房地产估价规范》</w:t>
      </w:r>
      <w:bookmarkStart w:id="8" w:name="_Hlk130229083"/>
      <w:r>
        <w:rPr>
          <w:rFonts w:ascii="Arial" w:hAnsi="Arial" w:cs="Arial"/>
          <w:kern w:val="2"/>
          <w:sz w:val="21"/>
          <w:szCs w:val="21"/>
          <w:highlight w:val="none"/>
        </w:rPr>
        <w:t>[GB/T</w:t>
      </w:r>
      <w:r>
        <w:rPr>
          <w:rFonts w:hint="eastAsia" w:ascii="Arial" w:hAnsi="Arial" w:cs="Arial"/>
          <w:kern w:val="2"/>
          <w:sz w:val="21"/>
          <w:szCs w:val="21"/>
          <w:highlight w:val="none"/>
        </w:rPr>
        <w:t xml:space="preserve"> </w:t>
      </w:r>
      <w:r>
        <w:rPr>
          <w:rFonts w:ascii="Arial" w:hAnsi="Arial" w:cs="Arial"/>
          <w:kern w:val="2"/>
          <w:sz w:val="21"/>
          <w:szCs w:val="21"/>
          <w:highlight w:val="none"/>
        </w:rPr>
        <w:t>50291-2015]</w:t>
      </w:r>
      <w:bookmarkEnd w:id="8"/>
      <w:r>
        <w:rPr>
          <w:rFonts w:hint="eastAsia" w:ascii="Arial" w:hAnsi="Arial" w:cs="Arial"/>
          <w:kern w:val="2"/>
          <w:sz w:val="21"/>
          <w:szCs w:val="21"/>
          <w:highlight w:val="none"/>
        </w:rPr>
        <w:t>、《</w:t>
      </w:r>
      <w:r>
        <w:rPr>
          <w:rFonts w:ascii="Arial" w:hAnsi="Arial" w:cs="Arial"/>
          <w:kern w:val="2"/>
          <w:sz w:val="21"/>
          <w:szCs w:val="21"/>
          <w:highlight w:val="none"/>
        </w:rPr>
        <w:t>房地产估价基本术语标</w:t>
      </w:r>
      <w:r>
        <w:rPr>
          <w:rFonts w:hint="eastAsia" w:ascii="Arial" w:hAnsi="Arial" w:cs="Arial"/>
          <w:kern w:val="2"/>
          <w:sz w:val="21"/>
          <w:szCs w:val="21"/>
          <w:highlight w:val="none"/>
        </w:rPr>
        <w:t>准》</w:t>
      </w:r>
      <w:bookmarkStart w:id="9" w:name="_Hlk130229088"/>
      <w:r>
        <w:rPr>
          <w:rFonts w:ascii="Arial" w:hAnsi="Arial" w:cs="Arial"/>
          <w:kern w:val="2"/>
          <w:sz w:val="21"/>
          <w:szCs w:val="21"/>
          <w:highlight w:val="none"/>
        </w:rPr>
        <w:t>[GB/T</w:t>
      </w:r>
      <w:r>
        <w:rPr>
          <w:rFonts w:hint="eastAsia" w:ascii="Arial" w:hAnsi="Arial" w:cs="Arial"/>
          <w:kern w:val="2"/>
          <w:sz w:val="21"/>
          <w:szCs w:val="21"/>
          <w:highlight w:val="none"/>
        </w:rPr>
        <w:t xml:space="preserve"> </w:t>
      </w:r>
      <w:r>
        <w:rPr>
          <w:rFonts w:ascii="Arial" w:hAnsi="Arial" w:cs="Arial"/>
          <w:kern w:val="2"/>
          <w:sz w:val="21"/>
          <w:szCs w:val="21"/>
          <w:highlight w:val="none"/>
        </w:rPr>
        <w:t>50899-2013]</w:t>
      </w:r>
      <w:bookmarkEnd w:id="9"/>
      <w:r>
        <w:rPr>
          <w:rFonts w:ascii="Arial" w:hAnsi="Arial" w:cs="Arial"/>
          <w:kern w:val="2"/>
          <w:sz w:val="21"/>
          <w:szCs w:val="21"/>
          <w:highlight w:val="none"/>
        </w:rPr>
        <w:t>以及相关房地产估价专项标准，撰写本估价报告。</w:t>
      </w:r>
    </w:p>
    <w:p w14:paraId="3916557F">
      <w:pPr>
        <w:rPr>
          <w:rFonts w:ascii="Arial" w:hAnsi="Arial" w:eastAsia="楷体_GB2312" w:cs="Arial"/>
          <w:kern w:val="2"/>
          <w:sz w:val="28"/>
          <w:highlight w:val="none"/>
        </w:rPr>
        <w:sectPr>
          <w:headerReference r:id="rId15" w:type="first"/>
          <w:footerReference r:id="rId16" w:type="first"/>
          <w:headerReference r:id="rId13" w:type="default"/>
          <w:headerReference r:id="rId14" w:type="even"/>
          <w:pgSz w:w="11907" w:h="16840"/>
          <w:pgMar w:top="1843" w:right="1134" w:bottom="1134" w:left="1134" w:header="1134" w:footer="907" w:gutter="340"/>
          <w:cols w:space="720" w:num="1"/>
          <w:docGrid w:linePitch="326" w:charSpace="0"/>
        </w:sectPr>
      </w:pPr>
    </w:p>
    <w:p w14:paraId="28DACAB2">
      <w:pPr>
        <w:pStyle w:val="2"/>
        <w:spacing w:line="480" w:lineRule="auto"/>
        <w:jc w:val="center"/>
        <w:rPr>
          <w:rFonts w:eastAsia="方正黑体简体"/>
          <w:b w:val="0"/>
          <w:kern w:val="2"/>
          <w:sz w:val="32"/>
          <w:szCs w:val="32"/>
          <w:highlight w:val="none"/>
        </w:rPr>
      </w:pPr>
      <w:bookmarkStart w:id="10" w:name="_Toc155267084"/>
      <w:bookmarkStart w:id="11" w:name="_Toc379795042"/>
      <w:r>
        <w:rPr>
          <w:rFonts w:hint="eastAsia" w:eastAsia="方正黑体简体"/>
          <w:b w:val="0"/>
          <w:kern w:val="2"/>
          <w:sz w:val="32"/>
          <w:szCs w:val="32"/>
          <w:highlight w:val="none"/>
        </w:rPr>
        <w:t>估价假设和限制条件</w:t>
      </w:r>
      <w:bookmarkEnd w:id="10"/>
      <w:bookmarkEnd w:id="11"/>
    </w:p>
    <w:p w14:paraId="6C9ED52B">
      <w:pPr>
        <w:spacing w:line="480" w:lineRule="auto"/>
        <w:jc w:val="both"/>
        <w:outlineLvl w:val="0"/>
        <w:rPr>
          <w:rFonts w:ascii="Arial" w:hAnsi="Arial" w:cs="Arial"/>
          <w:b/>
          <w:kern w:val="2"/>
          <w:sz w:val="21"/>
          <w:szCs w:val="21"/>
          <w:highlight w:val="none"/>
        </w:rPr>
      </w:pPr>
      <w:r>
        <w:rPr>
          <w:rFonts w:ascii="Arial" w:hAnsi="Arial" w:cs="Arial"/>
          <w:b/>
          <w:kern w:val="2"/>
          <w:sz w:val="21"/>
          <w:szCs w:val="21"/>
          <w:highlight w:val="none"/>
        </w:rPr>
        <w:t>（一）</w:t>
      </w:r>
      <w:r>
        <w:rPr>
          <w:rFonts w:hint="eastAsia" w:ascii="Arial" w:hAnsi="Arial" w:cs="Arial"/>
          <w:b/>
          <w:kern w:val="2"/>
          <w:sz w:val="21"/>
          <w:szCs w:val="21"/>
          <w:highlight w:val="none"/>
        </w:rPr>
        <w:t>本次估价的一般假设</w:t>
      </w:r>
    </w:p>
    <w:p w14:paraId="2464CFE7">
      <w:pPr>
        <w:spacing w:line="480" w:lineRule="auto"/>
        <w:ind w:firstLine="420" w:firstLineChars="200"/>
        <w:jc w:val="both"/>
        <w:rPr>
          <w:rFonts w:ascii="Arial" w:hAnsi="Arial" w:cs="Arial"/>
          <w:kern w:val="2"/>
          <w:sz w:val="21"/>
          <w:szCs w:val="21"/>
          <w:highlight w:val="none"/>
        </w:rPr>
      </w:pPr>
      <w:r>
        <w:rPr>
          <w:rFonts w:ascii="Arial" w:hAnsi="Arial" w:cs="Arial"/>
          <w:kern w:val="2"/>
          <w:sz w:val="21"/>
          <w:szCs w:val="21"/>
          <w:highlight w:val="none"/>
        </w:rPr>
        <w:t>1.在</w:t>
      </w:r>
      <w:r>
        <w:rPr>
          <w:rFonts w:hint="eastAsia" w:ascii="Arial" w:hAnsi="Arial" w:cs="Arial"/>
          <w:kern w:val="2"/>
          <w:sz w:val="21"/>
          <w:szCs w:val="21"/>
          <w:highlight w:val="none"/>
        </w:rPr>
        <w:t>估价时段</w:t>
      </w:r>
      <w:r>
        <w:rPr>
          <w:rFonts w:ascii="Arial" w:hAnsi="Arial" w:cs="Arial"/>
          <w:kern w:val="2"/>
          <w:sz w:val="21"/>
          <w:szCs w:val="21"/>
          <w:highlight w:val="none"/>
        </w:rPr>
        <w:t>的房地产</w:t>
      </w:r>
      <w:r>
        <w:rPr>
          <w:rFonts w:hint="eastAsia" w:ascii="Arial" w:hAnsi="Arial" w:cs="Arial"/>
          <w:kern w:val="2"/>
          <w:sz w:val="21"/>
          <w:szCs w:val="21"/>
          <w:highlight w:val="none"/>
        </w:rPr>
        <w:t>租赁</w:t>
      </w:r>
      <w:r>
        <w:rPr>
          <w:rFonts w:ascii="Arial" w:hAnsi="Arial" w:cs="Arial"/>
          <w:kern w:val="2"/>
          <w:sz w:val="21"/>
          <w:szCs w:val="21"/>
          <w:highlight w:val="none"/>
        </w:rPr>
        <w:t>市场为公开、平等、自愿的交易市场。</w:t>
      </w:r>
    </w:p>
    <w:p w14:paraId="4A889F5E">
      <w:pPr>
        <w:spacing w:line="480" w:lineRule="auto"/>
        <w:ind w:firstLine="420" w:firstLineChars="200"/>
        <w:jc w:val="both"/>
        <w:rPr>
          <w:rFonts w:ascii="Arial" w:hAnsi="Arial" w:cs="Arial"/>
          <w:kern w:val="2"/>
          <w:sz w:val="21"/>
          <w:szCs w:val="21"/>
          <w:highlight w:val="none"/>
        </w:rPr>
      </w:pPr>
      <w:r>
        <w:rPr>
          <w:rFonts w:hint="eastAsia" w:ascii="Arial" w:hAnsi="Arial" w:cs="Arial"/>
          <w:kern w:val="2"/>
          <w:sz w:val="21"/>
          <w:szCs w:val="21"/>
          <w:highlight w:val="none"/>
        </w:rPr>
        <w:t>2.</w:t>
      </w:r>
      <w:r>
        <w:rPr>
          <w:rFonts w:ascii="Arial" w:hAnsi="Arial" w:cs="Arial"/>
          <w:kern w:val="2"/>
          <w:sz w:val="21"/>
          <w:highlight w:val="none"/>
        </w:rPr>
        <w:t>以估价对象为符合法律、法规规定，在市场上可进行出租的房地产为假设前提。</w:t>
      </w:r>
    </w:p>
    <w:p w14:paraId="7656B9CE">
      <w:pPr>
        <w:spacing w:line="480" w:lineRule="auto"/>
        <w:ind w:firstLine="420" w:firstLineChars="200"/>
        <w:jc w:val="both"/>
        <w:rPr>
          <w:rFonts w:ascii="Arial" w:hAnsi="Arial" w:cs="Arial"/>
          <w:kern w:val="2"/>
          <w:sz w:val="21"/>
          <w:szCs w:val="21"/>
          <w:highlight w:val="none"/>
        </w:rPr>
      </w:pPr>
      <w:r>
        <w:rPr>
          <w:rFonts w:hint="eastAsia" w:ascii="Arial" w:hAnsi="Arial" w:cs="Arial"/>
          <w:kern w:val="2"/>
          <w:sz w:val="21"/>
          <w:highlight w:val="none"/>
        </w:rPr>
        <w:t>3</w:t>
      </w:r>
      <w:r>
        <w:rPr>
          <w:rFonts w:ascii="Arial" w:hAnsi="Arial" w:cs="Arial"/>
          <w:kern w:val="2"/>
          <w:sz w:val="21"/>
          <w:highlight w:val="none"/>
        </w:rPr>
        <w:t>.以</w:t>
      </w:r>
      <w:r>
        <w:rPr>
          <w:rFonts w:hint="eastAsia" w:ascii="Arial" w:hAnsi="Arial" w:cs="Arial"/>
          <w:kern w:val="2"/>
          <w:sz w:val="21"/>
          <w:highlight w:val="none"/>
        </w:rPr>
        <w:t>估价委托人</w:t>
      </w:r>
      <w:r>
        <w:rPr>
          <w:rFonts w:ascii="Arial" w:hAnsi="Arial" w:cs="Arial"/>
          <w:kern w:val="2"/>
          <w:sz w:val="21"/>
          <w:highlight w:val="none"/>
        </w:rPr>
        <w:t>能按照设定用途</w:t>
      </w:r>
      <w:r>
        <w:rPr>
          <w:rFonts w:hint="eastAsia" w:ascii="宋体" w:hAnsi="宋体"/>
          <w:kern w:val="2"/>
          <w:sz w:val="21"/>
          <w:highlight w:val="none"/>
        </w:rPr>
        <w:t>正常使用并可持续对外出租</w:t>
      </w:r>
      <w:r>
        <w:rPr>
          <w:rFonts w:ascii="Arial" w:hAnsi="Arial" w:cs="Arial"/>
          <w:kern w:val="2"/>
          <w:sz w:val="21"/>
          <w:highlight w:val="none"/>
        </w:rPr>
        <w:t>为假设前提。</w:t>
      </w:r>
    </w:p>
    <w:p w14:paraId="7822F9CF">
      <w:pPr>
        <w:spacing w:line="480" w:lineRule="auto"/>
        <w:ind w:firstLine="420" w:firstLineChars="200"/>
        <w:jc w:val="both"/>
        <w:rPr>
          <w:rFonts w:ascii="Arial" w:hAnsi="Arial" w:cs="Arial"/>
          <w:kern w:val="2"/>
          <w:sz w:val="21"/>
          <w:szCs w:val="21"/>
          <w:highlight w:val="none"/>
        </w:rPr>
      </w:pPr>
      <w:r>
        <w:rPr>
          <w:rFonts w:ascii="Arial" w:hAnsi="Arial" w:cs="Arial"/>
          <w:kern w:val="2"/>
          <w:sz w:val="21"/>
          <w:szCs w:val="21"/>
          <w:highlight w:val="none"/>
        </w:rPr>
        <w:t>4.评估专业人员已对估价委托人所提供的、本估价报告所依据的估价对象的相关资料进行了检查，无理由怀疑其合法性、真实性、准确性和完整性。本次评估设定估价委托人提供的资料合法、属实，并且提供了与本次评估有关的所有资料，没有保留及隐瞒。</w:t>
      </w:r>
    </w:p>
    <w:p w14:paraId="70D682A4">
      <w:pPr>
        <w:spacing w:line="480" w:lineRule="auto"/>
        <w:ind w:firstLine="420" w:firstLineChars="200"/>
        <w:jc w:val="both"/>
        <w:rPr>
          <w:rFonts w:ascii="Arial" w:hAnsi="Arial" w:cs="Arial"/>
          <w:kern w:val="2"/>
          <w:sz w:val="21"/>
          <w:szCs w:val="21"/>
          <w:highlight w:val="none"/>
        </w:rPr>
      </w:pPr>
      <w:r>
        <w:rPr>
          <w:rFonts w:ascii="Arial" w:hAnsi="Arial" w:cs="Arial"/>
          <w:kern w:val="2"/>
          <w:sz w:val="21"/>
          <w:szCs w:val="21"/>
          <w:highlight w:val="none"/>
        </w:rPr>
        <w:t>5</w:t>
      </w:r>
      <w:r>
        <w:rPr>
          <w:rFonts w:hint="eastAsia" w:ascii="Arial" w:hAnsi="Arial" w:cs="Arial"/>
          <w:kern w:val="2"/>
          <w:sz w:val="21"/>
          <w:szCs w:val="21"/>
          <w:highlight w:val="none"/>
        </w:rPr>
        <w:t>.本次估价结果是在满足全部假设与限制条件下，于价值时点</w:t>
      </w:r>
      <w:r>
        <w:rPr>
          <w:rFonts w:hint="eastAsia" w:ascii="Arial" w:hAnsi="Arial" w:cs="Arial"/>
          <w:kern w:val="2"/>
          <w:sz w:val="21"/>
          <w:szCs w:val="21"/>
          <w:highlight w:val="none"/>
          <w:lang w:eastAsia="zh-CN"/>
        </w:rPr>
        <w:t>2025年12月26日</w:t>
      </w:r>
      <w:r>
        <w:rPr>
          <w:rFonts w:hint="eastAsia" w:ascii="Arial" w:hAnsi="Arial" w:cs="Arial"/>
          <w:kern w:val="2"/>
          <w:sz w:val="21"/>
          <w:szCs w:val="21"/>
          <w:highlight w:val="none"/>
        </w:rPr>
        <w:t>，</w:t>
      </w:r>
      <w:r>
        <w:rPr>
          <w:rFonts w:hint="eastAsia" w:ascii="Arial" w:hAnsi="Arial" w:cs="Arial"/>
          <w:sz w:val="21"/>
          <w:szCs w:val="21"/>
          <w:highlight w:val="none"/>
        </w:rPr>
        <w:t>市场租赁住房租金是指市场租赁住房于价值时点在公开市场上的平均租金，</w:t>
      </w:r>
      <w:r>
        <w:rPr>
          <w:rFonts w:hint="eastAsia" w:ascii="Arial" w:hAnsi="Arial" w:cs="Arial"/>
          <w:sz w:val="21"/>
          <w:szCs w:val="21"/>
          <w:highlight w:val="none"/>
          <w:lang w:eastAsia="zh-CN"/>
        </w:rPr>
        <w:t>包含房屋、家具家电使用费、物业费及租赁税费，包含持有运营单位在住房租赁合同中明确约定由出租人承担的基础服务费（例如基础物业管理服务、公区保洁、公区维保等费用），不包含增值服务费（例如室内保洁、室内人为损坏维修、洗衣、送餐等费用）、能源费（包括公区能源费及室内能源费，例如水、电、气、暖、网络等费用）、车位使用费等费用</w:t>
      </w:r>
      <w:r>
        <w:rPr>
          <w:rFonts w:hint="eastAsia" w:ascii="Arial" w:hAnsi="Arial" w:cs="Arial"/>
          <w:sz w:val="21"/>
          <w:szCs w:val="21"/>
          <w:highlight w:val="none"/>
        </w:rPr>
        <w:t>。</w:t>
      </w:r>
    </w:p>
    <w:p w14:paraId="705EC4F0">
      <w:pPr>
        <w:spacing w:line="480" w:lineRule="auto"/>
        <w:ind w:firstLine="420" w:firstLineChars="200"/>
        <w:jc w:val="both"/>
        <w:rPr>
          <w:rFonts w:ascii="Arial" w:hAnsi="Arial" w:cs="Arial"/>
          <w:kern w:val="2"/>
          <w:sz w:val="21"/>
          <w:szCs w:val="21"/>
          <w:highlight w:val="none"/>
        </w:rPr>
      </w:pPr>
      <w:r>
        <w:rPr>
          <w:rFonts w:ascii="Arial" w:hAnsi="Arial" w:cs="Arial"/>
          <w:kern w:val="2"/>
          <w:sz w:val="21"/>
          <w:szCs w:val="21"/>
          <w:highlight w:val="none"/>
        </w:rPr>
        <w:t>6</w:t>
      </w:r>
      <w:r>
        <w:rPr>
          <w:rFonts w:hint="eastAsia" w:ascii="Arial" w:hAnsi="Arial" w:cs="Arial"/>
          <w:kern w:val="2"/>
          <w:sz w:val="21"/>
          <w:szCs w:val="21"/>
          <w:highlight w:val="none"/>
        </w:rPr>
        <w:t>.本次估价所涉及</w:t>
      </w:r>
      <w:r>
        <w:rPr>
          <w:rFonts w:ascii="Arial" w:hAnsi="Arial" w:cs="Arial"/>
          <w:kern w:val="2"/>
          <w:sz w:val="21"/>
          <w:szCs w:val="21"/>
          <w:highlight w:val="none"/>
        </w:rPr>
        <w:t>估价对象</w:t>
      </w:r>
      <w:r>
        <w:rPr>
          <w:rFonts w:hint="eastAsia" w:ascii="Arial" w:hAnsi="Arial" w:cs="Arial"/>
          <w:kern w:val="2"/>
          <w:sz w:val="21"/>
          <w:szCs w:val="21"/>
          <w:highlight w:val="none"/>
        </w:rPr>
        <w:t>坐落、户型、建筑面积、朝向、套数、装修及设备等情况均以估价委托人提供的《估价委托书》</w:t>
      </w:r>
      <w:r>
        <w:rPr>
          <w:rFonts w:hint="eastAsia" w:ascii="Arial" w:hAnsi="Arial" w:cs="Arial"/>
          <w:kern w:val="2"/>
          <w:sz w:val="21"/>
          <w:szCs w:val="21"/>
          <w:highlight w:val="none"/>
          <w:lang w:eastAsia="zh-CN"/>
        </w:rPr>
        <w:t>、</w:t>
      </w:r>
      <w:r>
        <w:rPr>
          <w:rFonts w:hint="eastAsia" w:ascii="Arial" w:hAnsi="Arial" w:cs="Arial"/>
          <w:sz w:val="21"/>
          <w:szCs w:val="21"/>
          <w:highlight w:val="none"/>
          <w:lang w:val="en-US" w:eastAsia="zh-CN"/>
        </w:rPr>
        <w:t>《采育数字时尚小镇保障性住房趸组协议》及其附件</w:t>
      </w:r>
      <w:r>
        <w:rPr>
          <w:rFonts w:ascii="Arial" w:hAnsi="Arial" w:cs="Arial"/>
          <w:kern w:val="2"/>
          <w:sz w:val="21"/>
          <w:szCs w:val="21"/>
          <w:highlight w:val="none"/>
        </w:rPr>
        <w:t>为</w:t>
      </w:r>
      <w:r>
        <w:rPr>
          <w:rFonts w:ascii="Arial" w:hAnsi="Arial" w:cs="Arial"/>
          <w:sz w:val="21"/>
          <w:szCs w:val="21"/>
          <w:highlight w:val="none"/>
        </w:rPr>
        <w:t>依据。</w:t>
      </w:r>
      <w:r>
        <w:rPr>
          <w:rFonts w:ascii="Arial" w:hAnsi="Arial" w:cs="Arial"/>
          <w:kern w:val="2"/>
          <w:sz w:val="21"/>
          <w:highlight w:val="none"/>
        </w:rPr>
        <w:t>如上述情况发生变化，估价结果需做相应调整，在此提请报告使用者注意。</w:t>
      </w:r>
    </w:p>
    <w:p w14:paraId="7EB612A9">
      <w:pPr>
        <w:spacing w:line="480" w:lineRule="auto"/>
        <w:ind w:firstLine="420" w:firstLineChars="200"/>
        <w:jc w:val="both"/>
        <w:rPr>
          <w:rFonts w:ascii="Arial" w:hAnsi="Arial" w:cs="Arial"/>
          <w:kern w:val="2"/>
          <w:sz w:val="21"/>
          <w:szCs w:val="21"/>
          <w:highlight w:val="none"/>
        </w:rPr>
      </w:pPr>
      <w:r>
        <w:rPr>
          <w:rFonts w:ascii="Arial" w:hAnsi="Arial" w:cs="Arial"/>
          <w:sz w:val="21"/>
          <w:szCs w:val="21"/>
          <w:highlight w:val="none"/>
        </w:rPr>
        <w:t>7.</w:t>
      </w:r>
      <w:r>
        <w:rPr>
          <w:rFonts w:ascii="Arial" w:hAnsi="Arial" w:cs="Arial"/>
          <w:kern w:val="2"/>
          <w:sz w:val="21"/>
          <w:szCs w:val="21"/>
          <w:highlight w:val="none"/>
        </w:rPr>
        <w:t>评估专业人员</w:t>
      </w:r>
      <w:r>
        <w:rPr>
          <w:rFonts w:hint="eastAsia" w:ascii="Arial" w:hAnsi="Arial" w:cs="Arial"/>
          <w:kern w:val="2"/>
          <w:sz w:val="21"/>
          <w:szCs w:val="21"/>
          <w:highlight w:val="none"/>
        </w:rPr>
        <w:t>仅</w:t>
      </w:r>
      <w:r>
        <w:rPr>
          <w:rFonts w:ascii="Arial" w:hAnsi="Arial" w:cs="Arial"/>
          <w:kern w:val="2"/>
          <w:sz w:val="21"/>
          <w:szCs w:val="21"/>
          <w:highlight w:val="none"/>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29F6D7C1">
      <w:pPr>
        <w:spacing w:line="480" w:lineRule="auto"/>
        <w:ind w:firstLine="420" w:firstLineChars="200"/>
        <w:jc w:val="both"/>
        <w:rPr>
          <w:rFonts w:ascii="Arial" w:hAnsi="Arial" w:cs="Arial"/>
          <w:kern w:val="2"/>
          <w:sz w:val="21"/>
          <w:szCs w:val="21"/>
          <w:highlight w:val="none"/>
        </w:rPr>
      </w:pPr>
      <w:r>
        <w:rPr>
          <w:rFonts w:ascii="Arial" w:hAnsi="Arial" w:cs="Arial"/>
          <w:kern w:val="2"/>
          <w:sz w:val="21"/>
          <w:szCs w:val="21"/>
          <w:highlight w:val="none"/>
        </w:rPr>
        <w:t>8.任何有关估价对象的运作方式、程序符合国家、地方的有关法律、法规。</w:t>
      </w:r>
    </w:p>
    <w:p w14:paraId="7DBFD26A">
      <w:pPr>
        <w:spacing w:line="480" w:lineRule="auto"/>
        <w:ind w:firstLine="420" w:firstLineChars="200"/>
        <w:jc w:val="both"/>
        <w:rPr>
          <w:rFonts w:ascii="Arial" w:hAnsi="Arial" w:cs="Arial"/>
          <w:kern w:val="2"/>
          <w:sz w:val="21"/>
          <w:szCs w:val="21"/>
          <w:highlight w:val="none"/>
        </w:rPr>
      </w:pPr>
      <w:r>
        <w:rPr>
          <w:rFonts w:ascii="Arial" w:hAnsi="Arial" w:cs="Arial"/>
          <w:kern w:val="2"/>
          <w:sz w:val="21"/>
          <w:szCs w:val="21"/>
          <w:highlight w:val="none"/>
        </w:rPr>
        <w:t>9.本次估价结果未考虑国家宏观政策发生重大变化以及遇有自然力和其他不可抗力对估价结果的影响。</w:t>
      </w:r>
    </w:p>
    <w:p w14:paraId="42F81B67">
      <w:pPr>
        <w:spacing w:line="480" w:lineRule="auto"/>
        <w:ind w:firstLine="420" w:firstLineChars="200"/>
        <w:jc w:val="both"/>
        <w:rPr>
          <w:rFonts w:ascii="Arial" w:hAnsi="Arial" w:cs="Arial"/>
          <w:kern w:val="2"/>
          <w:sz w:val="21"/>
          <w:szCs w:val="21"/>
          <w:highlight w:val="none"/>
        </w:rPr>
      </w:pPr>
      <w:r>
        <w:rPr>
          <w:rFonts w:ascii="Arial" w:hAnsi="Arial" w:cs="Arial"/>
          <w:kern w:val="2"/>
          <w:sz w:val="21"/>
          <w:szCs w:val="21"/>
          <w:highlight w:val="none"/>
        </w:rPr>
        <w:t>10</w:t>
      </w:r>
      <w:r>
        <w:rPr>
          <w:rFonts w:hint="eastAsia" w:ascii="Arial" w:hAnsi="Arial" w:cs="Arial"/>
          <w:kern w:val="2"/>
          <w:sz w:val="21"/>
          <w:szCs w:val="21"/>
          <w:highlight w:val="none"/>
        </w:rPr>
        <w:t>.</w:t>
      </w:r>
      <w:r>
        <w:rPr>
          <w:rFonts w:ascii="Arial" w:hAnsi="Arial" w:cs="Arial"/>
          <w:kern w:val="2"/>
          <w:sz w:val="21"/>
          <w:szCs w:val="21"/>
          <w:highlight w:val="none"/>
        </w:rPr>
        <w:t>估价结果未考虑估价对象及其运营企业已承担的债务、或有债务及经营决策失误或市场运作失当对其</w:t>
      </w:r>
      <w:bookmarkStart w:id="12" w:name="_Hlk130229376"/>
      <w:r>
        <w:rPr>
          <w:rFonts w:hint="eastAsia" w:ascii="Arial" w:hAnsi="Arial" w:cs="Arial"/>
          <w:kern w:val="2"/>
          <w:sz w:val="21"/>
          <w:szCs w:val="21"/>
          <w:highlight w:val="none"/>
        </w:rPr>
        <w:t>租赁价格水平</w:t>
      </w:r>
      <w:bookmarkEnd w:id="12"/>
      <w:r>
        <w:rPr>
          <w:rFonts w:ascii="Arial" w:hAnsi="Arial" w:cs="Arial"/>
          <w:kern w:val="2"/>
          <w:sz w:val="21"/>
          <w:szCs w:val="21"/>
          <w:highlight w:val="none"/>
        </w:rPr>
        <w:t>的影响。</w:t>
      </w:r>
    </w:p>
    <w:p w14:paraId="434011AA">
      <w:pPr>
        <w:spacing w:line="480" w:lineRule="auto"/>
        <w:ind w:firstLine="420" w:firstLineChars="200"/>
        <w:jc w:val="both"/>
        <w:rPr>
          <w:rFonts w:ascii="Arial" w:hAnsi="Arial" w:cs="Arial"/>
          <w:kern w:val="2"/>
          <w:sz w:val="21"/>
          <w:szCs w:val="21"/>
          <w:highlight w:val="none"/>
        </w:rPr>
      </w:pPr>
      <w:r>
        <w:rPr>
          <w:rFonts w:hint="eastAsia" w:ascii="Arial" w:hAnsi="Arial" w:cs="Arial"/>
          <w:kern w:val="2"/>
          <w:sz w:val="21"/>
          <w:szCs w:val="21"/>
          <w:highlight w:val="none"/>
        </w:rPr>
        <w:t>1</w:t>
      </w:r>
      <w:r>
        <w:rPr>
          <w:rFonts w:ascii="Arial" w:hAnsi="Arial" w:cs="Arial"/>
          <w:kern w:val="2"/>
          <w:sz w:val="21"/>
          <w:szCs w:val="21"/>
          <w:highlight w:val="none"/>
        </w:rPr>
        <w:t>1</w:t>
      </w:r>
      <w:r>
        <w:rPr>
          <w:rFonts w:hint="eastAsia" w:ascii="Arial" w:hAnsi="Arial" w:cs="Arial"/>
          <w:kern w:val="2"/>
          <w:sz w:val="21"/>
          <w:szCs w:val="21"/>
          <w:highlight w:val="none"/>
        </w:rPr>
        <w:t>.评估专业人员于202</w:t>
      </w:r>
      <w:r>
        <w:rPr>
          <w:rFonts w:hint="eastAsia" w:ascii="Arial" w:hAnsi="Arial" w:cs="Arial"/>
          <w:kern w:val="2"/>
          <w:sz w:val="21"/>
          <w:szCs w:val="21"/>
          <w:highlight w:val="none"/>
          <w:lang w:val="en-US" w:eastAsia="zh-CN"/>
        </w:rPr>
        <w:t>5</w:t>
      </w:r>
      <w:r>
        <w:rPr>
          <w:rFonts w:hint="eastAsia" w:ascii="Arial" w:hAnsi="Arial" w:cs="Arial"/>
          <w:kern w:val="2"/>
          <w:sz w:val="21"/>
          <w:szCs w:val="21"/>
          <w:highlight w:val="none"/>
        </w:rPr>
        <w:t>年</w:t>
      </w:r>
      <w:r>
        <w:rPr>
          <w:rFonts w:hint="eastAsia" w:ascii="Arial" w:hAnsi="Arial" w:cs="Arial"/>
          <w:kern w:val="2"/>
          <w:sz w:val="21"/>
          <w:szCs w:val="21"/>
          <w:highlight w:val="none"/>
          <w:lang w:val="en-US" w:eastAsia="zh-CN"/>
        </w:rPr>
        <w:t>11</w:t>
      </w:r>
      <w:r>
        <w:rPr>
          <w:rFonts w:hint="eastAsia" w:ascii="Arial" w:hAnsi="Arial" w:cs="Arial"/>
          <w:kern w:val="2"/>
          <w:sz w:val="21"/>
          <w:szCs w:val="21"/>
          <w:highlight w:val="none"/>
        </w:rPr>
        <w:t>月</w:t>
      </w:r>
      <w:r>
        <w:rPr>
          <w:rFonts w:hint="eastAsia" w:ascii="Arial" w:hAnsi="Arial" w:cs="Arial"/>
          <w:kern w:val="2"/>
          <w:sz w:val="21"/>
          <w:szCs w:val="21"/>
          <w:highlight w:val="none"/>
          <w:lang w:val="en-US" w:eastAsia="zh-CN"/>
        </w:rPr>
        <w:t>28</w:t>
      </w:r>
      <w:r>
        <w:rPr>
          <w:rFonts w:hint="eastAsia" w:ascii="Arial" w:hAnsi="Arial" w:cs="Arial"/>
          <w:kern w:val="2"/>
          <w:sz w:val="21"/>
          <w:szCs w:val="21"/>
          <w:highlight w:val="none"/>
        </w:rPr>
        <w:t>日对估价对象现状利用状况进行了实地查勘</w:t>
      </w:r>
      <w:r>
        <w:rPr>
          <w:rFonts w:hint="eastAsia" w:ascii="Arial" w:hAnsi="Arial" w:cs="Arial"/>
          <w:kern w:val="2"/>
          <w:sz w:val="21"/>
          <w:szCs w:val="21"/>
          <w:highlight w:val="none"/>
          <w:lang w:eastAsia="zh-CN"/>
        </w:rPr>
        <w:t>。</w:t>
      </w:r>
      <w:r>
        <w:rPr>
          <w:rFonts w:hint="eastAsia" w:ascii="Arial" w:hAnsi="Arial" w:cs="Arial"/>
          <w:kern w:val="2"/>
          <w:sz w:val="21"/>
          <w:szCs w:val="21"/>
          <w:highlight w:val="none"/>
        </w:rPr>
        <w:t>本次评估设定估价对象在价值时点</w:t>
      </w:r>
      <w:r>
        <w:rPr>
          <w:rFonts w:hint="eastAsia" w:ascii="Arial" w:hAnsi="Arial" w:cs="Arial"/>
          <w:kern w:val="2"/>
          <w:sz w:val="21"/>
          <w:szCs w:val="21"/>
          <w:highlight w:val="none"/>
          <w:lang w:eastAsia="zh-CN"/>
        </w:rPr>
        <w:t>2025年12月26日</w:t>
      </w:r>
      <w:r>
        <w:rPr>
          <w:rFonts w:hint="eastAsia" w:ascii="Arial" w:hAnsi="Arial" w:cs="Arial"/>
          <w:kern w:val="2"/>
          <w:sz w:val="21"/>
          <w:szCs w:val="21"/>
          <w:highlight w:val="none"/>
        </w:rPr>
        <w:t>的现状利用状况同实地勘察日利用状况相同。</w:t>
      </w:r>
    </w:p>
    <w:p w14:paraId="0BF27908">
      <w:pPr>
        <w:spacing w:line="480" w:lineRule="auto"/>
        <w:ind w:firstLine="420" w:firstLineChars="200"/>
        <w:jc w:val="both"/>
        <w:rPr>
          <w:rFonts w:ascii="Arial" w:hAnsi="Arial" w:cs="Arial"/>
          <w:kern w:val="2"/>
          <w:sz w:val="21"/>
          <w:szCs w:val="21"/>
          <w:highlight w:val="none"/>
        </w:rPr>
      </w:pPr>
      <w:r>
        <w:rPr>
          <w:rFonts w:hint="eastAsia" w:ascii="Arial" w:hAnsi="Arial" w:cs="Arial"/>
          <w:kern w:val="2"/>
          <w:sz w:val="21"/>
          <w:szCs w:val="21"/>
          <w:highlight w:val="none"/>
        </w:rPr>
        <w:t>1</w:t>
      </w:r>
      <w:r>
        <w:rPr>
          <w:rFonts w:ascii="Arial" w:hAnsi="Arial" w:cs="Arial"/>
          <w:kern w:val="2"/>
          <w:sz w:val="21"/>
          <w:szCs w:val="21"/>
          <w:highlight w:val="none"/>
        </w:rPr>
        <w:t>2</w:t>
      </w:r>
      <w:r>
        <w:rPr>
          <w:rFonts w:hint="eastAsia" w:ascii="Arial" w:hAnsi="Arial" w:cs="Arial"/>
          <w:kern w:val="2"/>
          <w:sz w:val="21"/>
          <w:szCs w:val="21"/>
          <w:highlight w:val="none"/>
        </w:rPr>
        <w:t>.根据估价目的，本次估价未考虑抵押、租赁、地役、查封等他项权利影响，故设定估价对象于价值时点不存在抵押、租赁、地役、查封等他项权利限制。</w:t>
      </w:r>
    </w:p>
    <w:p w14:paraId="7019EC50">
      <w:pPr>
        <w:spacing w:line="480" w:lineRule="auto"/>
        <w:jc w:val="both"/>
        <w:outlineLvl w:val="0"/>
        <w:rPr>
          <w:rFonts w:ascii="Arial" w:hAnsi="Arial" w:cs="Arial"/>
          <w:b/>
          <w:kern w:val="2"/>
          <w:sz w:val="21"/>
          <w:szCs w:val="21"/>
          <w:highlight w:val="none"/>
        </w:rPr>
      </w:pPr>
      <w:r>
        <w:rPr>
          <w:rFonts w:ascii="Arial" w:hAnsi="Arial" w:cs="Arial"/>
          <w:b/>
          <w:kern w:val="2"/>
          <w:sz w:val="21"/>
          <w:szCs w:val="21"/>
          <w:highlight w:val="none"/>
        </w:rPr>
        <w:t>（</w:t>
      </w:r>
      <w:r>
        <w:rPr>
          <w:rFonts w:hint="eastAsia" w:ascii="Arial" w:hAnsi="Arial" w:cs="Arial"/>
          <w:b/>
          <w:kern w:val="2"/>
          <w:sz w:val="21"/>
          <w:szCs w:val="21"/>
          <w:highlight w:val="none"/>
        </w:rPr>
        <w:t>二</w:t>
      </w:r>
      <w:r>
        <w:rPr>
          <w:rFonts w:ascii="Arial" w:hAnsi="Arial" w:cs="Arial"/>
          <w:b/>
          <w:kern w:val="2"/>
          <w:sz w:val="21"/>
          <w:szCs w:val="21"/>
          <w:highlight w:val="none"/>
        </w:rPr>
        <w:t>）</w:t>
      </w:r>
      <w:r>
        <w:rPr>
          <w:rFonts w:hint="eastAsia" w:ascii="Arial" w:hAnsi="Arial" w:cs="Arial"/>
          <w:b/>
          <w:kern w:val="2"/>
          <w:sz w:val="21"/>
          <w:szCs w:val="21"/>
          <w:highlight w:val="none"/>
        </w:rPr>
        <w:t>本次估价的未定事项假设</w:t>
      </w:r>
    </w:p>
    <w:p w14:paraId="2D8BB30C">
      <w:pPr>
        <w:spacing w:line="480" w:lineRule="auto"/>
        <w:ind w:firstLine="420" w:firstLineChars="200"/>
        <w:jc w:val="both"/>
        <w:rPr>
          <w:rFonts w:ascii="Arial" w:hAnsi="Arial" w:cs="Arial"/>
          <w:sz w:val="21"/>
          <w:szCs w:val="21"/>
          <w:highlight w:val="none"/>
        </w:rPr>
      </w:pPr>
      <w:r>
        <w:rPr>
          <w:rFonts w:hint="eastAsia" w:ascii="Arial" w:hAnsi="Arial" w:cs="Arial"/>
          <w:sz w:val="21"/>
          <w:szCs w:val="21"/>
          <w:highlight w:val="none"/>
        </w:rPr>
        <w:t>无。</w:t>
      </w:r>
    </w:p>
    <w:p w14:paraId="6360A21B">
      <w:pPr>
        <w:spacing w:line="480" w:lineRule="auto"/>
        <w:jc w:val="both"/>
        <w:outlineLvl w:val="0"/>
        <w:rPr>
          <w:rFonts w:ascii="Arial" w:hAnsi="Arial" w:cs="Arial"/>
          <w:b/>
          <w:kern w:val="2"/>
          <w:sz w:val="21"/>
          <w:szCs w:val="21"/>
          <w:highlight w:val="none"/>
        </w:rPr>
      </w:pPr>
      <w:r>
        <w:rPr>
          <w:rFonts w:ascii="Arial" w:hAnsi="Arial" w:cs="Arial"/>
          <w:b/>
          <w:kern w:val="2"/>
          <w:sz w:val="21"/>
          <w:szCs w:val="21"/>
          <w:highlight w:val="none"/>
        </w:rPr>
        <w:t>（</w:t>
      </w:r>
      <w:r>
        <w:rPr>
          <w:rFonts w:hint="eastAsia" w:ascii="Arial" w:hAnsi="Arial" w:cs="Arial"/>
          <w:b/>
          <w:kern w:val="2"/>
          <w:sz w:val="21"/>
          <w:szCs w:val="21"/>
          <w:highlight w:val="none"/>
        </w:rPr>
        <w:t>三</w:t>
      </w:r>
      <w:r>
        <w:rPr>
          <w:rFonts w:ascii="Arial" w:hAnsi="Arial" w:cs="Arial"/>
          <w:b/>
          <w:kern w:val="2"/>
          <w:sz w:val="21"/>
          <w:szCs w:val="21"/>
          <w:highlight w:val="none"/>
        </w:rPr>
        <w:t>）</w:t>
      </w:r>
      <w:r>
        <w:rPr>
          <w:rFonts w:hint="eastAsia" w:ascii="Arial" w:hAnsi="Arial" w:cs="Arial"/>
          <w:b/>
          <w:kern w:val="2"/>
          <w:sz w:val="21"/>
          <w:szCs w:val="21"/>
          <w:highlight w:val="none"/>
        </w:rPr>
        <w:t>本次估价的</w:t>
      </w:r>
      <w:bookmarkStart w:id="13" w:name="_Hlk118391731"/>
      <w:r>
        <w:rPr>
          <w:rFonts w:hint="eastAsia" w:ascii="Arial" w:hAnsi="Arial" w:cs="Arial"/>
          <w:b/>
          <w:kern w:val="2"/>
          <w:sz w:val="21"/>
          <w:szCs w:val="21"/>
          <w:highlight w:val="none"/>
        </w:rPr>
        <w:t>背离事实假设</w:t>
      </w:r>
      <w:bookmarkEnd w:id="13"/>
    </w:p>
    <w:p w14:paraId="0D37E258">
      <w:pPr>
        <w:spacing w:line="480" w:lineRule="auto"/>
        <w:ind w:firstLine="420" w:firstLineChars="200"/>
        <w:jc w:val="both"/>
        <w:rPr>
          <w:rFonts w:ascii="Arial" w:hAnsi="Arial" w:cs="Arial"/>
          <w:kern w:val="2"/>
          <w:sz w:val="21"/>
          <w:szCs w:val="21"/>
          <w:highlight w:val="none"/>
        </w:rPr>
      </w:pPr>
      <w:r>
        <w:rPr>
          <w:rFonts w:hint="eastAsia" w:ascii="Arial" w:hAnsi="Arial" w:cs="Arial"/>
          <w:kern w:val="2"/>
          <w:sz w:val="21"/>
          <w:szCs w:val="21"/>
          <w:highlight w:val="none"/>
        </w:rPr>
        <w:t>于价值时点，估价对象已竣工，</w:t>
      </w:r>
      <w:r>
        <w:rPr>
          <w:rFonts w:hint="eastAsia" w:ascii="Arial" w:hAnsi="Arial" w:cs="Arial"/>
          <w:sz w:val="21"/>
          <w:szCs w:val="21"/>
          <w:highlight w:val="none"/>
          <w:lang w:val="en-US" w:eastAsia="zh-CN"/>
        </w:rPr>
        <w:t>根据</w:t>
      </w:r>
      <w:r>
        <w:rPr>
          <w:rFonts w:hint="eastAsia" w:ascii="Arial" w:hAnsi="Arial" w:cs="Arial"/>
          <w:sz w:val="21"/>
          <w:szCs w:val="21"/>
          <w:highlight w:val="none"/>
          <w:lang w:eastAsia="zh-CN"/>
        </w:rPr>
        <w:t>《</w:t>
      </w:r>
      <w:r>
        <w:rPr>
          <w:rFonts w:hint="eastAsia" w:ascii="Arial" w:hAnsi="Arial" w:cs="Arial"/>
          <w:sz w:val="21"/>
          <w:szCs w:val="21"/>
          <w:highlight w:val="none"/>
          <w:lang w:val="en-US" w:eastAsia="zh-CN"/>
        </w:rPr>
        <w:t>北京市大兴区住房和城乡建设委员会 关于采育数字时尚小镇保障性住房使用管理有关问题的请示》[京兴建文（2025）123号]、《采育数字时尚小镇保障性住房趸组协议》及其附件、</w:t>
      </w:r>
      <w:r>
        <w:rPr>
          <w:rFonts w:hint="eastAsia" w:ascii="Arial" w:hAnsi="Arial" w:cs="Arial"/>
          <w:sz w:val="21"/>
          <w:szCs w:val="21"/>
          <w:highlight w:val="none"/>
        </w:rPr>
        <w:t>《估价委托书》</w:t>
      </w:r>
      <w:r>
        <w:rPr>
          <w:rFonts w:hint="eastAsia" w:ascii="Arial" w:hAnsi="Arial" w:cs="Arial"/>
          <w:sz w:val="21"/>
          <w:szCs w:val="21"/>
          <w:highlight w:val="none"/>
          <w:lang w:val="en-US" w:eastAsia="zh-CN"/>
        </w:rPr>
        <w:t>及评估专业人员实地查勘</w:t>
      </w:r>
      <w:r>
        <w:rPr>
          <w:rFonts w:hint="eastAsia" w:ascii="Arial" w:hAnsi="Arial" w:cs="Arial"/>
          <w:kern w:val="2"/>
          <w:sz w:val="21"/>
          <w:szCs w:val="21"/>
          <w:highlight w:val="none"/>
        </w:rPr>
        <w:t>，</w:t>
      </w:r>
      <w:r>
        <w:rPr>
          <w:rFonts w:hint="eastAsia" w:ascii="Arial" w:hAnsi="Arial" w:cs="Arial"/>
          <w:sz w:val="21"/>
          <w:szCs w:val="21"/>
          <w:highlight w:val="none"/>
          <w:lang w:val="en-US" w:eastAsia="zh-CN"/>
        </w:rPr>
        <w:t>估价对象共计</w:t>
      </w:r>
      <w:r>
        <w:rPr>
          <w:rFonts w:hint="eastAsia" w:ascii="Arial" w:hAnsi="Arial" w:cs="Arial"/>
          <w:kern w:val="2"/>
          <w:sz w:val="21"/>
          <w:szCs w:val="21"/>
          <w:highlight w:val="none"/>
          <w:lang w:eastAsia="zh-CN"/>
        </w:rPr>
        <w:t>1324套</w:t>
      </w:r>
      <w:r>
        <w:rPr>
          <w:rFonts w:hint="eastAsia" w:ascii="Arial" w:hAnsi="Arial" w:cs="Arial"/>
          <w:kern w:val="2"/>
          <w:sz w:val="21"/>
          <w:szCs w:val="21"/>
          <w:highlight w:val="none"/>
          <w:lang w:val="en-US" w:eastAsia="zh-CN"/>
        </w:rPr>
        <w:t>住宅用房，其中已转化人才公租房500套现状</w:t>
      </w:r>
      <w:r>
        <w:rPr>
          <w:rFonts w:hint="eastAsia" w:ascii="Arial" w:hAnsi="Arial" w:cs="Arial"/>
          <w:kern w:val="2"/>
          <w:sz w:val="21"/>
          <w:szCs w:val="21"/>
          <w:highlight w:val="none"/>
        </w:rPr>
        <w:t>室内装修情况为</w:t>
      </w:r>
      <w:r>
        <w:rPr>
          <w:rFonts w:hint="eastAsia" w:ascii="Arial" w:hAnsi="Arial" w:cs="Arial"/>
          <w:kern w:val="2"/>
          <w:sz w:val="21"/>
          <w:szCs w:val="21"/>
          <w:highlight w:val="none"/>
          <w:lang w:val="en-US" w:eastAsia="zh-CN"/>
        </w:rPr>
        <w:t>精装修，安置房剩余房源824套现状为毛坯，后续由北京市大兴区保障性住房建设投资有限公司按实际情况分期分批对824套剩余房源进行装修，估价对象全部房源均按照精装修标准配租，故本次评估</w:t>
      </w:r>
      <w:r>
        <w:rPr>
          <w:rFonts w:hint="eastAsia" w:ascii="Arial" w:hAnsi="Arial" w:cs="Arial"/>
          <w:kern w:val="2"/>
          <w:sz w:val="21"/>
          <w:szCs w:val="21"/>
          <w:highlight w:val="none"/>
        </w:rPr>
        <w:t>室内装修情况均</w:t>
      </w:r>
      <w:r>
        <w:rPr>
          <w:rFonts w:hint="eastAsia" w:ascii="Arial" w:hAnsi="Arial" w:cs="Arial"/>
          <w:kern w:val="2"/>
          <w:sz w:val="21"/>
          <w:szCs w:val="21"/>
          <w:highlight w:val="none"/>
          <w:lang w:val="en-US" w:eastAsia="zh-CN"/>
        </w:rPr>
        <w:t>设定</w:t>
      </w:r>
      <w:r>
        <w:rPr>
          <w:rFonts w:hint="eastAsia" w:ascii="Arial" w:hAnsi="Arial" w:cs="Arial"/>
          <w:kern w:val="2"/>
          <w:sz w:val="21"/>
          <w:szCs w:val="21"/>
          <w:highlight w:val="none"/>
        </w:rPr>
        <w:t>为精装修。</w:t>
      </w:r>
    </w:p>
    <w:p w14:paraId="33F2F91A">
      <w:pPr>
        <w:spacing w:line="480" w:lineRule="auto"/>
        <w:jc w:val="both"/>
        <w:outlineLvl w:val="0"/>
        <w:rPr>
          <w:rFonts w:ascii="Arial" w:hAnsi="Arial" w:cs="Arial"/>
          <w:b/>
          <w:kern w:val="2"/>
          <w:sz w:val="21"/>
          <w:szCs w:val="21"/>
          <w:highlight w:val="none"/>
        </w:rPr>
      </w:pPr>
      <w:r>
        <w:rPr>
          <w:rFonts w:ascii="Arial" w:hAnsi="Arial" w:cs="Arial"/>
          <w:b/>
          <w:kern w:val="2"/>
          <w:sz w:val="21"/>
          <w:szCs w:val="21"/>
          <w:highlight w:val="none"/>
        </w:rPr>
        <w:t>（</w:t>
      </w:r>
      <w:r>
        <w:rPr>
          <w:rFonts w:hint="eastAsia" w:ascii="Arial" w:hAnsi="Arial" w:cs="Arial"/>
          <w:b/>
          <w:kern w:val="2"/>
          <w:sz w:val="21"/>
          <w:szCs w:val="21"/>
          <w:highlight w:val="none"/>
        </w:rPr>
        <w:t>四</w:t>
      </w:r>
      <w:r>
        <w:rPr>
          <w:rFonts w:ascii="Arial" w:hAnsi="Arial" w:cs="Arial"/>
          <w:b/>
          <w:kern w:val="2"/>
          <w:sz w:val="21"/>
          <w:szCs w:val="21"/>
          <w:highlight w:val="none"/>
        </w:rPr>
        <w:t>）</w:t>
      </w:r>
      <w:r>
        <w:rPr>
          <w:rFonts w:hint="eastAsia" w:ascii="Arial" w:hAnsi="Arial" w:cs="Arial"/>
          <w:b/>
          <w:kern w:val="2"/>
          <w:sz w:val="21"/>
          <w:szCs w:val="21"/>
          <w:highlight w:val="none"/>
        </w:rPr>
        <w:t>本次估价的</w:t>
      </w:r>
      <w:bookmarkStart w:id="14" w:name="_Hlk124791168"/>
      <w:r>
        <w:rPr>
          <w:rFonts w:hint="eastAsia" w:ascii="Arial" w:hAnsi="Arial" w:cs="Arial"/>
          <w:b/>
          <w:kern w:val="2"/>
          <w:sz w:val="21"/>
          <w:szCs w:val="21"/>
          <w:highlight w:val="none"/>
        </w:rPr>
        <w:t>不相一致假设</w:t>
      </w:r>
      <w:bookmarkEnd w:id="14"/>
    </w:p>
    <w:p w14:paraId="0B4B1797">
      <w:pPr>
        <w:spacing w:line="480" w:lineRule="auto"/>
        <w:ind w:firstLine="420" w:firstLineChars="200"/>
        <w:jc w:val="both"/>
        <w:rPr>
          <w:rFonts w:ascii="Arial" w:hAnsi="Arial" w:cs="Arial"/>
          <w:kern w:val="2"/>
          <w:sz w:val="21"/>
          <w:szCs w:val="21"/>
          <w:highlight w:val="none"/>
        </w:rPr>
      </w:pPr>
      <w:r>
        <w:rPr>
          <w:rFonts w:hint="eastAsia" w:ascii="Arial" w:hAnsi="Arial" w:cs="Arial"/>
          <w:kern w:val="2"/>
          <w:sz w:val="21"/>
          <w:szCs w:val="21"/>
          <w:highlight w:val="none"/>
        </w:rPr>
        <w:t>无。</w:t>
      </w:r>
    </w:p>
    <w:p w14:paraId="5AD4B7B9">
      <w:pPr>
        <w:spacing w:line="480" w:lineRule="auto"/>
        <w:jc w:val="both"/>
        <w:outlineLvl w:val="0"/>
        <w:rPr>
          <w:rFonts w:ascii="Arial" w:hAnsi="Arial" w:cs="Arial"/>
          <w:b/>
          <w:kern w:val="2"/>
          <w:sz w:val="21"/>
          <w:szCs w:val="21"/>
          <w:highlight w:val="none"/>
        </w:rPr>
      </w:pPr>
      <w:r>
        <w:rPr>
          <w:rFonts w:ascii="Arial" w:hAnsi="Arial" w:cs="Arial"/>
          <w:b/>
          <w:kern w:val="2"/>
          <w:sz w:val="21"/>
          <w:szCs w:val="21"/>
          <w:highlight w:val="none"/>
        </w:rPr>
        <w:t>（</w:t>
      </w:r>
      <w:r>
        <w:rPr>
          <w:rFonts w:hint="eastAsia" w:ascii="Arial" w:hAnsi="Arial" w:cs="Arial"/>
          <w:b/>
          <w:kern w:val="2"/>
          <w:sz w:val="21"/>
          <w:szCs w:val="21"/>
          <w:highlight w:val="none"/>
        </w:rPr>
        <w:t>五</w:t>
      </w:r>
      <w:r>
        <w:rPr>
          <w:rFonts w:ascii="Arial" w:hAnsi="Arial" w:cs="Arial"/>
          <w:b/>
          <w:kern w:val="2"/>
          <w:sz w:val="21"/>
          <w:szCs w:val="21"/>
          <w:highlight w:val="none"/>
        </w:rPr>
        <w:t>）</w:t>
      </w:r>
      <w:r>
        <w:rPr>
          <w:rFonts w:hint="eastAsia" w:ascii="Arial" w:hAnsi="Arial" w:cs="Arial"/>
          <w:b/>
          <w:kern w:val="2"/>
          <w:sz w:val="21"/>
          <w:szCs w:val="21"/>
          <w:highlight w:val="none"/>
        </w:rPr>
        <w:t>本次估价的依据不足假设</w:t>
      </w:r>
    </w:p>
    <w:p w14:paraId="2D991311">
      <w:pPr>
        <w:overflowPunct w:val="0"/>
        <w:spacing w:line="480" w:lineRule="auto"/>
        <w:ind w:firstLine="420" w:firstLineChars="200"/>
        <w:jc w:val="both"/>
        <w:textAlignment w:val="auto"/>
        <w:rPr>
          <w:rFonts w:hint="eastAsia" w:ascii="Arial" w:hAnsi="Arial" w:cs="Arial"/>
          <w:kern w:val="2"/>
          <w:sz w:val="21"/>
          <w:szCs w:val="21"/>
          <w:highlight w:val="none"/>
        </w:rPr>
      </w:pPr>
      <w:r>
        <w:rPr>
          <w:rFonts w:hint="eastAsia" w:ascii="Arial" w:hAnsi="Arial" w:cs="Arial"/>
          <w:kern w:val="2"/>
          <w:sz w:val="21"/>
          <w:szCs w:val="21"/>
          <w:highlight w:val="none"/>
          <w:lang w:val="en-US" w:eastAsia="zh-CN"/>
        </w:rPr>
        <w:t>1.</w:t>
      </w:r>
      <w:r>
        <w:rPr>
          <w:rFonts w:hint="eastAsia" w:ascii="Arial" w:hAnsi="Arial" w:cs="Arial"/>
          <w:kern w:val="2"/>
          <w:sz w:val="21"/>
          <w:szCs w:val="21"/>
          <w:highlight w:val="none"/>
        </w:rPr>
        <w:t>截至价值时点，估价对象</w:t>
      </w:r>
      <w:r>
        <w:rPr>
          <w:rFonts w:hint="eastAsia" w:ascii="Arial" w:hAnsi="Arial" w:cs="Arial"/>
          <w:kern w:val="2"/>
          <w:sz w:val="21"/>
          <w:szCs w:val="21"/>
          <w:highlight w:val="none"/>
          <w:lang w:val="en-US" w:eastAsia="zh-CN"/>
        </w:rPr>
        <w:t>中</w:t>
      </w:r>
      <w:r>
        <w:rPr>
          <w:rFonts w:hint="eastAsia" w:ascii="Arial" w:hAnsi="Arial" w:cs="Arial"/>
          <w:kern w:val="2"/>
          <w:sz w:val="21"/>
          <w:szCs w:val="21"/>
          <w:highlight w:val="none"/>
          <w:lang w:eastAsia="zh-CN"/>
        </w:rPr>
        <w:t>北京市大兴区育林街1号院（育新花园北里）4号楼1单元401号等489套</w:t>
      </w:r>
      <w:r>
        <w:rPr>
          <w:rFonts w:hint="eastAsia" w:ascii="Arial" w:hAnsi="Arial" w:cs="Arial"/>
          <w:kern w:val="2"/>
          <w:sz w:val="21"/>
          <w:szCs w:val="21"/>
          <w:highlight w:val="none"/>
          <w:lang w:val="en-US" w:eastAsia="zh-CN"/>
        </w:rPr>
        <w:t>剩余房源，产权单位为北京丽富房地产开发有限公司，根据</w:t>
      </w:r>
      <w:r>
        <w:rPr>
          <w:rFonts w:hint="eastAsia" w:ascii="Arial" w:hAnsi="Arial" w:cs="Arial"/>
          <w:sz w:val="21"/>
          <w:szCs w:val="21"/>
          <w:highlight w:val="none"/>
          <w:lang w:eastAsia="zh-CN"/>
        </w:rPr>
        <w:t>《</w:t>
      </w:r>
      <w:r>
        <w:rPr>
          <w:rFonts w:hint="eastAsia" w:ascii="Arial" w:hAnsi="Arial" w:cs="Arial"/>
          <w:sz w:val="21"/>
          <w:szCs w:val="21"/>
          <w:highlight w:val="none"/>
          <w:lang w:val="en-US" w:eastAsia="zh-CN"/>
        </w:rPr>
        <w:t>北京市大兴区采育镇四号地01-0001A、01-0001B地块项目开发回购协议书补充协议》[兴采01-0001协字（2012）001号附件1]、《采育数字时尚小镇保障性住房趸组协议》及其附件，</w:t>
      </w:r>
      <w:r>
        <w:rPr>
          <w:rFonts w:hint="eastAsia" w:ascii="Arial" w:hAnsi="Arial" w:cs="Arial"/>
          <w:kern w:val="2"/>
          <w:sz w:val="21"/>
          <w:szCs w:val="21"/>
          <w:highlight w:val="none"/>
          <w:lang w:val="en-US" w:eastAsia="zh-CN"/>
        </w:rPr>
        <w:t>经区政府批准已由兴创投资有限公司回购，但暂未办理产权过户手续。经与估价委托人确认，兴创投资有限公司对上述租赁房屋享有合法、完整的占有、使用、收益及出租的权利，房屋来源合法，不存在任何抵押、租赁、查封等权利受限情形</w:t>
      </w:r>
      <w:r>
        <w:rPr>
          <w:rFonts w:hint="eastAsia" w:ascii="Arial" w:hAnsi="Arial" w:cs="Arial"/>
          <w:kern w:val="2"/>
          <w:sz w:val="21"/>
          <w:szCs w:val="21"/>
          <w:highlight w:val="none"/>
        </w:rPr>
        <w:t>，并以估价对象可正常</w:t>
      </w:r>
      <w:r>
        <w:rPr>
          <w:rFonts w:hint="eastAsia" w:ascii="Arial" w:hAnsi="Arial" w:cs="Arial"/>
          <w:kern w:val="2"/>
          <w:sz w:val="21"/>
          <w:szCs w:val="21"/>
          <w:highlight w:val="none"/>
          <w:lang w:val="en-US" w:eastAsia="zh-CN"/>
        </w:rPr>
        <w:t>办理产权过户手续为前提</w:t>
      </w:r>
      <w:r>
        <w:rPr>
          <w:rFonts w:hint="eastAsia" w:ascii="Arial" w:hAnsi="Arial" w:cs="Arial"/>
          <w:kern w:val="2"/>
          <w:sz w:val="21"/>
          <w:szCs w:val="21"/>
          <w:highlight w:val="none"/>
        </w:rPr>
        <w:t>，</w:t>
      </w:r>
      <w:r>
        <w:rPr>
          <w:rFonts w:hint="eastAsia" w:ascii="Arial" w:hAnsi="Arial" w:cs="Arial"/>
          <w:kern w:val="2"/>
          <w:sz w:val="21"/>
          <w:szCs w:val="21"/>
          <w:highlight w:val="none"/>
          <w:lang w:val="en-US" w:eastAsia="zh-CN"/>
        </w:rPr>
        <w:t>再此</w:t>
      </w:r>
      <w:r>
        <w:rPr>
          <w:rFonts w:hint="eastAsia" w:ascii="Arial" w:hAnsi="Arial" w:cs="Arial"/>
          <w:kern w:val="2"/>
          <w:sz w:val="21"/>
          <w:szCs w:val="21"/>
          <w:highlight w:val="none"/>
        </w:rPr>
        <w:t>提请报告使用者注意。</w:t>
      </w:r>
    </w:p>
    <w:p w14:paraId="32AD1121">
      <w:pPr>
        <w:overflowPunct w:val="0"/>
        <w:spacing w:line="480" w:lineRule="auto"/>
        <w:ind w:firstLine="420" w:firstLineChars="200"/>
        <w:jc w:val="both"/>
        <w:textAlignment w:val="auto"/>
        <w:rPr>
          <w:rFonts w:hint="default" w:ascii="Arial" w:hAnsi="Arial" w:eastAsia="宋体" w:cs="Arial"/>
          <w:kern w:val="2"/>
          <w:sz w:val="21"/>
          <w:szCs w:val="21"/>
          <w:highlight w:val="none"/>
          <w:lang w:val="en-US" w:eastAsia="zh-CN"/>
        </w:rPr>
      </w:pPr>
      <w:r>
        <w:rPr>
          <w:rFonts w:hint="eastAsia" w:ascii="Arial" w:hAnsi="Arial" w:cs="Arial"/>
          <w:kern w:val="2"/>
          <w:sz w:val="21"/>
          <w:szCs w:val="21"/>
          <w:highlight w:val="none"/>
          <w:lang w:val="en-US" w:eastAsia="zh-CN"/>
        </w:rPr>
        <w:t>2.截至报告出具日，估价未提供估价对象北京市大兴区育林街1号院5、8、16号楼；大兴区育林街2号院21、22、23号楼；大兴区育林街8号院1、2、3、4、7、9、11、12、13号楼；大兴区育仁街1号院3、7、8、9号楼所对应的</w:t>
      </w:r>
      <w:r>
        <w:rPr>
          <w:rFonts w:hint="eastAsia" w:ascii="Arial" w:hAnsi="Arial" w:cs="Arial"/>
          <w:sz w:val="21"/>
          <w:szCs w:val="21"/>
          <w:highlight w:val="none"/>
          <w:lang w:eastAsia="zh-CN"/>
        </w:rPr>
        <w:t>《</w:t>
      </w:r>
      <w:r>
        <w:rPr>
          <w:rFonts w:hint="eastAsia" w:ascii="Arial" w:hAnsi="Arial" w:cs="Arial"/>
          <w:sz w:val="21"/>
          <w:szCs w:val="21"/>
          <w:highlight w:val="none"/>
          <w:lang w:val="en-US" w:eastAsia="zh-CN"/>
        </w:rPr>
        <w:t>房屋所有权证书》，根据《采育数字时尚小镇保障性住房趸组协议》及其附件描述，经与估价委托人确认，本次评估设定上述楼栋均已取得</w:t>
      </w:r>
      <w:r>
        <w:rPr>
          <w:rFonts w:hint="eastAsia" w:ascii="Arial" w:hAnsi="Arial" w:cs="Arial"/>
          <w:sz w:val="21"/>
          <w:szCs w:val="21"/>
          <w:highlight w:val="none"/>
          <w:lang w:eastAsia="zh-CN"/>
        </w:rPr>
        <w:t>《</w:t>
      </w:r>
      <w:r>
        <w:rPr>
          <w:rFonts w:hint="eastAsia" w:ascii="Arial" w:hAnsi="Arial" w:cs="Arial"/>
          <w:sz w:val="21"/>
          <w:szCs w:val="21"/>
          <w:highlight w:val="none"/>
          <w:lang w:val="en-US" w:eastAsia="zh-CN"/>
        </w:rPr>
        <w:t>房屋所有权证书》，</w:t>
      </w:r>
      <w:r>
        <w:rPr>
          <w:rFonts w:hint="eastAsia" w:ascii="Arial" w:hAnsi="Arial" w:cs="Arial"/>
          <w:kern w:val="2"/>
          <w:sz w:val="21"/>
          <w:szCs w:val="21"/>
          <w:highlight w:val="none"/>
          <w:lang w:val="en-US" w:eastAsia="zh-CN"/>
        </w:rPr>
        <w:t>房屋所有权人为北京兴创投资有限公司，再此</w:t>
      </w:r>
      <w:r>
        <w:rPr>
          <w:rFonts w:hint="eastAsia" w:ascii="Arial" w:hAnsi="Arial" w:cs="Arial"/>
          <w:kern w:val="2"/>
          <w:sz w:val="21"/>
          <w:szCs w:val="21"/>
          <w:highlight w:val="none"/>
        </w:rPr>
        <w:t>提请报告使用者注意。</w:t>
      </w:r>
    </w:p>
    <w:p w14:paraId="647D4B5D">
      <w:pPr>
        <w:spacing w:line="480" w:lineRule="auto"/>
        <w:jc w:val="both"/>
        <w:outlineLvl w:val="0"/>
        <w:rPr>
          <w:rFonts w:ascii="Arial" w:hAnsi="Arial" w:cs="Arial"/>
          <w:b/>
          <w:kern w:val="2"/>
          <w:sz w:val="21"/>
          <w:szCs w:val="21"/>
          <w:highlight w:val="none"/>
        </w:rPr>
      </w:pPr>
      <w:r>
        <w:rPr>
          <w:rFonts w:ascii="Arial" w:hAnsi="Arial" w:cs="Arial"/>
          <w:b/>
          <w:kern w:val="2"/>
          <w:sz w:val="21"/>
          <w:szCs w:val="21"/>
          <w:highlight w:val="none"/>
        </w:rPr>
        <w:t>（</w:t>
      </w:r>
      <w:r>
        <w:rPr>
          <w:rFonts w:hint="eastAsia" w:ascii="Arial" w:hAnsi="Arial" w:cs="Arial"/>
          <w:b/>
          <w:kern w:val="2"/>
          <w:sz w:val="21"/>
          <w:szCs w:val="21"/>
          <w:highlight w:val="none"/>
        </w:rPr>
        <w:t>六</w:t>
      </w:r>
      <w:r>
        <w:rPr>
          <w:rFonts w:ascii="Arial" w:hAnsi="Arial" w:cs="Arial"/>
          <w:b/>
          <w:kern w:val="2"/>
          <w:sz w:val="21"/>
          <w:szCs w:val="21"/>
          <w:highlight w:val="none"/>
        </w:rPr>
        <w:t>）</w:t>
      </w:r>
      <w:r>
        <w:rPr>
          <w:rFonts w:hint="eastAsia" w:ascii="Arial" w:hAnsi="Arial" w:cs="Arial"/>
          <w:b/>
          <w:kern w:val="2"/>
          <w:sz w:val="21"/>
          <w:szCs w:val="21"/>
          <w:highlight w:val="none"/>
        </w:rPr>
        <w:t>估价报告使用限制</w:t>
      </w:r>
    </w:p>
    <w:p w14:paraId="35C126F9">
      <w:pPr>
        <w:spacing w:line="480" w:lineRule="auto"/>
        <w:ind w:firstLine="420" w:firstLineChars="200"/>
        <w:jc w:val="both"/>
        <w:rPr>
          <w:rFonts w:ascii="Arial" w:hAnsi="Arial" w:cs="Arial"/>
          <w:kern w:val="2"/>
          <w:sz w:val="21"/>
          <w:szCs w:val="21"/>
          <w:highlight w:val="none"/>
        </w:rPr>
      </w:pPr>
      <w:r>
        <w:rPr>
          <w:rFonts w:hint="eastAsia" w:ascii="Arial" w:hAnsi="Arial" w:cs="Arial"/>
          <w:kern w:val="2"/>
          <w:sz w:val="21"/>
          <w:szCs w:val="21"/>
          <w:highlight w:val="none"/>
        </w:rPr>
        <w:t>1.使用范围：本估价报告只能由估价报告载明的报告使用者使用，且只能用于本报告载明的唯一估价目的和用途。</w:t>
      </w:r>
    </w:p>
    <w:p w14:paraId="4E00DF6B">
      <w:pPr>
        <w:spacing w:line="480" w:lineRule="auto"/>
        <w:ind w:firstLine="420" w:firstLineChars="200"/>
        <w:jc w:val="both"/>
        <w:rPr>
          <w:rFonts w:ascii="Arial" w:hAnsi="Arial" w:cs="Arial"/>
          <w:kern w:val="2"/>
          <w:sz w:val="21"/>
          <w:szCs w:val="21"/>
          <w:highlight w:val="none"/>
        </w:rPr>
      </w:pPr>
      <w:r>
        <w:rPr>
          <w:rFonts w:hint="eastAsia" w:ascii="Arial" w:hAnsi="Arial" w:cs="Arial"/>
          <w:kern w:val="2"/>
          <w:sz w:val="21"/>
          <w:szCs w:val="21"/>
          <w:highlight w:val="none"/>
        </w:rPr>
        <w:t>2.估价委托人或者本估价报告使用人应按照法律规定和估价报告载明的使用范围使用本估价报告。估价委托人或者估价报告使用人违反前述规定使用本估价报告的，估价机构和评估专业人员不承担责任。</w:t>
      </w:r>
    </w:p>
    <w:p w14:paraId="1287F838">
      <w:pPr>
        <w:spacing w:line="480" w:lineRule="auto"/>
        <w:ind w:firstLine="420" w:firstLineChars="200"/>
        <w:jc w:val="both"/>
        <w:rPr>
          <w:rFonts w:ascii="Arial" w:hAnsi="Arial" w:cs="Arial"/>
          <w:kern w:val="2"/>
          <w:sz w:val="21"/>
          <w:szCs w:val="21"/>
          <w:highlight w:val="none"/>
        </w:rPr>
      </w:pPr>
      <w:r>
        <w:rPr>
          <w:rFonts w:hint="eastAsia" w:ascii="Arial" w:hAnsi="Arial" w:cs="Arial"/>
          <w:kern w:val="2"/>
          <w:sz w:val="21"/>
          <w:szCs w:val="21"/>
          <w:highlight w:val="none"/>
        </w:rPr>
        <w:t>3.除估价委托人、估价委托合同中约定的其他估价报告使用人和法律、行政法规规定的估价报告使用人之外，其他任何机构和个人不能成为估价报告的使用人。</w:t>
      </w:r>
    </w:p>
    <w:p w14:paraId="054A48D9">
      <w:pPr>
        <w:spacing w:line="480" w:lineRule="auto"/>
        <w:ind w:firstLine="420" w:firstLineChars="200"/>
        <w:jc w:val="both"/>
        <w:rPr>
          <w:rFonts w:ascii="Arial" w:hAnsi="Arial" w:cs="Arial"/>
          <w:kern w:val="2"/>
          <w:sz w:val="21"/>
          <w:szCs w:val="21"/>
          <w:highlight w:val="none"/>
        </w:rPr>
      </w:pPr>
      <w:r>
        <w:rPr>
          <w:rFonts w:hint="eastAsia" w:ascii="Arial" w:hAnsi="Arial" w:cs="Arial"/>
          <w:kern w:val="2"/>
          <w:sz w:val="21"/>
          <w:szCs w:val="21"/>
          <w:highlight w:val="none"/>
        </w:rPr>
        <w:t>4.估价报告使用人应当正确理解估价结论。估价结论不等同于估价对象可实现价格，估价结论不应当被认为是对估价对象可实现价格的保证。</w:t>
      </w:r>
    </w:p>
    <w:p w14:paraId="0DD971C5">
      <w:pPr>
        <w:spacing w:line="480" w:lineRule="auto"/>
        <w:ind w:firstLine="420" w:firstLineChars="200"/>
        <w:jc w:val="both"/>
        <w:rPr>
          <w:rFonts w:ascii="Arial" w:hAnsi="Arial" w:cs="Arial"/>
          <w:kern w:val="2"/>
          <w:sz w:val="21"/>
          <w:szCs w:val="21"/>
          <w:highlight w:val="none"/>
        </w:rPr>
      </w:pPr>
      <w:r>
        <w:rPr>
          <w:rFonts w:hint="eastAsia" w:ascii="Arial" w:hAnsi="Arial" w:cs="Arial"/>
          <w:kern w:val="2"/>
          <w:sz w:val="21"/>
          <w:szCs w:val="21"/>
          <w:highlight w:val="none"/>
        </w:rPr>
        <w:t>5.</w:t>
      </w:r>
      <w:r>
        <w:rPr>
          <w:rFonts w:ascii="Arial" w:hAnsi="Arial" w:cs="Arial"/>
          <w:kern w:val="2"/>
          <w:sz w:val="21"/>
          <w:szCs w:val="21"/>
          <w:highlight w:val="none"/>
        </w:rPr>
        <w:t>本</w:t>
      </w:r>
      <w:r>
        <w:rPr>
          <w:rFonts w:ascii="Arial" w:hAnsi="Arial" w:cs="Arial"/>
          <w:sz w:val="21"/>
          <w:szCs w:val="21"/>
          <w:highlight w:val="none"/>
        </w:rPr>
        <w:t>估价报告</w:t>
      </w:r>
      <w:r>
        <w:rPr>
          <w:rFonts w:ascii="Arial" w:hAnsi="Arial" w:cs="Arial"/>
          <w:kern w:val="2"/>
          <w:sz w:val="21"/>
          <w:szCs w:val="21"/>
          <w:highlight w:val="none"/>
        </w:rPr>
        <w:t>评估目的是</w:t>
      </w:r>
      <w:r>
        <w:rPr>
          <w:rFonts w:hint="eastAsia" w:ascii="Arial" w:hAnsi="Arial" w:cs="Arial"/>
          <w:sz w:val="21"/>
          <w:szCs w:val="21"/>
          <w:highlight w:val="none"/>
        </w:rPr>
        <w:t>为有关单位</w:t>
      </w:r>
      <w:r>
        <w:rPr>
          <w:rFonts w:hint="eastAsia" w:ascii="Arial" w:hAnsi="Arial" w:cs="Arial"/>
          <w:sz w:val="21"/>
          <w:szCs w:val="21"/>
          <w:highlight w:val="none"/>
          <w:lang w:eastAsia="zh-CN"/>
        </w:rPr>
        <w:t>合理确定保障性租赁住房项目租金</w:t>
      </w:r>
      <w:r>
        <w:rPr>
          <w:rFonts w:hint="eastAsia" w:ascii="Arial" w:hAnsi="Arial" w:cs="Arial"/>
          <w:sz w:val="21"/>
          <w:szCs w:val="21"/>
          <w:highlight w:val="none"/>
        </w:rPr>
        <w:t>提供参考依据</w:t>
      </w:r>
      <w:r>
        <w:rPr>
          <w:rFonts w:ascii="Arial" w:hAnsi="Arial" w:cs="Arial"/>
          <w:kern w:val="2"/>
          <w:sz w:val="21"/>
          <w:szCs w:val="21"/>
          <w:highlight w:val="none"/>
        </w:rPr>
        <w:t>，不做其他评估目的之用。如果估价对象的评估条件或目的发生变化，需重新进行评估。</w:t>
      </w:r>
    </w:p>
    <w:p w14:paraId="69EE4A3C">
      <w:pPr>
        <w:spacing w:line="480" w:lineRule="auto"/>
        <w:ind w:firstLine="420" w:firstLineChars="200"/>
        <w:jc w:val="both"/>
        <w:rPr>
          <w:rFonts w:ascii="Arial" w:hAnsi="Arial" w:cs="Arial"/>
          <w:kern w:val="2"/>
          <w:sz w:val="21"/>
          <w:szCs w:val="21"/>
          <w:highlight w:val="none"/>
        </w:rPr>
      </w:pPr>
      <w:r>
        <w:rPr>
          <w:rFonts w:hint="eastAsia" w:ascii="Arial" w:hAnsi="Arial" w:cs="Arial"/>
          <w:sz w:val="21"/>
          <w:szCs w:val="21"/>
          <w:highlight w:val="none"/>
        </w:rPr>
        <w:t>6</w:t>
      </w:r>
      <w:r>
        <w:rPr>
          <w:rFonts w:ascii="Arial" w:hAnsi="Arial" w:cs="Arial"/>
          <w:sz w:val="21"/>
          <w:szCs w:val="21"/>
          <w:highlight w:val="none"/>
        </w:rPr>
        <w:t>.</w:t>
      </w:r>
      <w:r>
        <w:rPr>
          <w:rFonts w:hint="eastAsia" w:ascii="Arial" w:hAnsi="Arial" w:cs="Arial"/>
          <w:kern w:val="2"/>
          <w:sz w:val="21"/>
          <w:szCs w:val="21"/>
          <w:highlight w:val="none"/>
        </w:rPr>
        <w:t>估价委托人应对其提供的评估相关资料的真实性、完整性和合法性负责</w:t>
      </w:r>
      <w:r>
        <w:rPr>
          <w:rFonts w:ascii="Arial" w:hAnsi="Arial" w:cs="Arial"/>
          <w:kern w:val="2"/>
          <w:sz w:val="21"/>
          <w:szCs w:val="21"/>
          <w:highlight w:val="none"/>
        </w:rPr>
        <w:t>。如因资料失实或资料提供人有所隐匿而导致估价结果失真，估价机构不承担相应的责任。</w:t>
      </w:r>
    </w:p>
    <w:p w14:paraId="75A2DE6C">
      <w:pPr>
        <w:spacing w:line="480" w:lineRule="auto"/>
        <w:ind w:firstLine="420" w:firstLineChars="200"/>
        <w:jc w:val="both"/>
        <w:rPr>
          <w:rFonts w:ascii="Arial" w:hAnsi="Arial" w:cs="Arial"/>
          <w:kern w:val="2"/>
          <w:sz w:val="21"/>
          <w:szCs w:val="21"/>
          <w:highlight w:val="none"/>
        </w:rPr>
      </w:pPr>
      <w:r>
        <w:rPr>
          <w:rFonts w:hint="eastAsia" w:ascii="Arial" w:hAnsi="Arial" w:cs="Arial"/>
          <w:kern w:val="2"/>
          <w:sz w:val="21"/>
          <w:szCs w:val="21"/>
          <w:highlight w:val="none"/>
        </w:rPr>
        <w:t>7.本次评估估价结果是反应在本次估价目的下，根据公开市场原则确定的估价对象现行的租赁市场价格，未考虑国家宏观经济政策发生变化等不可预见因素以及遇有自然力和其他不可抗力对估价对象租赁价格的影响。</w:t>
      </w:r>
    </w:p>
    <w:p w14:paraId="043BD464">
      <w:pPr>
        <w:spacing w:line="480" w:lineRule="auto"/>
        <w:ind w:firstLine="420" w:firstLineChars="200"/>
        <w:jc w:val="both"/>
        <w:rPr>
          <w:rFonts w:ascii="Arial" w:hAnsi="Arial" w:cs="Arial"/>
          <w:sz w:val="21"/>
          <w:szCs w:val="21"/>
          <w:highlight w:val="none"/>
        </w:rPr>
      </w:pPr>
      <w:r>
        <w:rPr>
          <w:rFonts w:hint="eastAsia" w:ascii="Arial" w:hAnsi="Arial" w:cs="Arial"/>
          <w:sz w:val="21"/>
          <w:szCs w:val="21"/>
          <w:highlight w:val="none"/>
        </w:rPr>
        <w:t>8</w:t>
      </w:r>
      <w:r>
        <w:rPr>
          <w:rFonts w:ascii="Arial" w:hAnsi="Arial" w:cs="Arial"/>
          <w:sz w:val="21"/>
          <w:szCs w:val="21"/>
          <w:highlight w:val="none"/>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064FBD40">
      <w:pPr>
        <w:spacing w:line="480" w:lineRule="auto"/>
        <w:ind w:firstLine="420" w:firstLineChars="200"/>
        <w:jc w:val="both"/>
        <w:rPr>
          <w:rFonts w:ascii="Arial" w:hAnsi="Arial" w:cs="Arial"/>
          <w:sz w:val="21"/>
          <w:szCs w:val="21"/>
          <w:highlight w:val="none"/>
        </w:rPr>
      </w:pPr>
      <w:r>
        <w:rPr>
          <w:rFonts w:hint="eastAsia" w:ascii="Arial" w:hAnsi="Arial" w:cs="Arial"/>
          <w:sz w:val="21"/>
          <w:szCs w:val="21"/>
          <w:highlight w:val="none"/>
        </w:rPr>
        <w:t>9</w:t>
      </w:r>
      <w:r>
        <w:rPr>
          <w:rFonts w:ascii="Arial" w:hAnsi="Arial" w:cs="Arial"/>
          <w:sz w:val="21"/>
          <w:szCs w:val="21"/>
          <w:highlight w:val="none"/>
        </w:rPr>
        <w:t>.本估价报告在估价机构盖章和注册房地产估价师签字</w:t>
      </w:r>
      <w:r>
        <w:rPr>
          <w:rFonts w:hint="eastAsia" w:ascii="Arial" w:hAnsi="Arial" w:cs="Arial"/>
          <w:sz w:val="21"/>
          <w:szCs w:val="21"/>
          <w:highlight w:val="none"/>
        </w:rPr>
        <w:t>或盖章</w:t>
      </w:r>
      <w:r>
        <w:rPr>
          <w:rFonts w:ascii="Arial" w:hAnsi="Arial" w:cs="Arial"/>
          <w:sz w:val="21"/>
          <w:szCs w:val="21"/>
          <w:highlight w:val="none"/>
        </w:rPr>
        <w:t>的条件下有效。</w:t>
      </w:r>
    </w:p>
    <w:p w14:paraId="3C1BE737">
      <w:pPr>
        <w:spacing w:line="480" w:lineRule="auto"/>
        <w:ind w:firstLine="420" w:firstLineChars="200"/>
        <w:jc w:val="both"/>
        <w:rPr>
          <w:rFonts w:ascii="Arial" w:hAnsi="Arial" w:cs="Arial"/>
          <w:sz w:val="21"/>
          <w:szCs w:val="21"/>
          <w:highlight w:val="none"/>
        </w:rPr>
      </w:pPr>
      <w:r>
        <w:rPr>
          <w:rFonts w:hint="eastAsia" w:ascii="Arial" w:hAnsi="Arial" w:cs="Arial"/>
          <w:kern w:val="2"/>
          <w:sz w:val="21"/>
          <w:szCs w:val="21"/>
          <w:highlight w:val="none"/>
        </w:rPr>
        <w:t>10</w:t>
      </w:r>
      <w:r>
        <w:rPr>
          <w:rFonts w:ascii="Arial" w:hAnsi="Arial" w:cs="Arial"/>
          <w:kern w:val="2"/>
          <w:sz w:val="21"/>
          <w:szCs w:val="21"/>
          <w:highlight w:val="none"/>
        </w:rPr>
        <w:t>.</w:t>
      </w:r>
      <w:r>
        <w:rPr>
          <w:rFonts w:ascii="Arial" w:hAnsi="Arial" w:cs="Arial"/>
          <w:sz w:val="21"/>
          <w:szCs w:val="21"/>
          <w:highlight w:val="none"/>
        </w:rPr>
        <w:t>价值时点后，估价报告有效期内估价对象的质量及价格标准发生变化，并对估价对象租赁价值产生明显影响时，不能直接使用本次估价结论</w:t>
      </w:r>
      <w:r>
        <w:rPr>
          <w:rFonts w:hint="eastAsia" w:ascii="Arial" w:hAnsi="Arial" w:cs="Arial"/>
          <w:sz w:val="21"/>
          <w:szCs w:val="21"/>
          <w:highlight w:val="none"/>
        </w:rPr>
        <w:t>。</w:t>
      </w:r>
    </w:p>
    <w:p w14:paraId="1581EDD8">
      <w:pPr>
        <w:spacing w:line="480" w:lineRule="auto"/>
        <w:ind w:firstLine="420" w:firstLineChars="200"/>
        <w:jc w:val="both"/>
        <w:rPr>
          <w:rFonts w:ascii="Arial" w:hAnsi="Arial" w:cs="Arial"/>
          <w:sz w:val="21"/>
          <w:szCs w:val="21"/>
          <w:highlight w:val="none"/>
        </w:rPr>
      </w:pPr>
      <w:r>
        <w:rPr>
          <w:rFonts w:hint="eastAsia" w:ascii="Arial" w:hAnsi="Arial" w:cs="Arial"/>
          <w:sz w:val="21"/>
          <w:szCs w:val="21"/>
          <w:highlight w:val="none"/>
        </w:rPr>
        <w:t>11.</w:t>
      </w:r>
      <w:r>
        <w:rPr>
          <w:rFonts w:ascii="Arial" w:hAnsi="Arial" w:cs="Arial"/>
          <w:sz w:val="21"/>
          <w:szCs w:val="21"/>
          <w:highlight w:val="none"/>
        </w:rPr>
        <w:t>本次估价未考虑特殊交易方式对估价结果的影响。</w:t>
      </w:r>
    </w:p>
    <w:p w14:paraId="348E282C">
      <w:pPr>
        <w:spacing w:line="480" w:lineRule="auto"/>
        <w:ind w:firstLine="420" w:firstLineChars="200"/>
        <w:jc w:val="both"/>
        <w:rPr>
          <w:rFonts w:ascii="Arial" w:hAnsi="Arial" w:cs="Arial"/>
          <w:sz w:val="21"/>
          <w:szCs w:val="21"/>
          <w:highlight w:val="none"/>
        </w:rPr>
      </w:pPr>
      <w:r>
        <w:rPr>
          <w:rFonts w:hint="eastAsia" w:ascii="Arial" w:hAnsi="Arial" w:cs="Arial"/>
          <w:sz w:val="21"/>
          <w:szCs w:val="21"/>
          <w:highlight w:val="none"/>
        </w:rPr>
        <w:t>12.根据评估专业人员调查，于价值时点，估价对象存在抵押情况，根据本次估价目的，不考虑抵押权对估价结果的影响。</w:t>
      </w:r>
    </w:p>
    <w:p w14:paraId="4CA7FC5F">
      <w:pPr>
        <w:spacing w:line="480" w:lineRule="auto"/>
        <w:ind w:firstLine="420" w:firstLineChars="200"/>
        <w:jc w:val="both"/>
        <w:rPr>
          <w:rFonts w:ascii="Arial" w:hAnsi="Arial" w:cs="Arial"/>
          <w:sz w:val="21"/>
          <w:szCs w:val="21"/>
          <w:highlight w:val="none"/>
        </w:rPr>
      </w:pPr>
      <w:r>
        <w:rPr>
          <w:rFonts w:hint="eastAsia" w:ascii="Arial" w:hAnsi="Arial" w:cs="Arial"/>
          <w:kern w:val="2"/>
          <w:sz w:val="21"/>
          <w:szCs w:val="21"/>
          <w:highlight w:val="none"/>
        </w:rPr>
        <w:t>13</w:t>
      </w:r>
      <w:r>
        <w:rPr>
          <w:rFonts w:ascii="Arial" w:hAnsi="Arial" w:cs="Arial"/>
          <w:kern w:val="2"/>
          <w:sz w:val="21"/>
          <w:szCs w:val="21"/>
          <w:highlight w:val="none"/>
        </w:rPr>
        <w:t>.本估价报告</w:t>
      </w:r>
      <w:r>
        <w:rPr>
          <w:rFonts w:hint="eastAsia" w:ascii="Arial" w:hAnsi="Arial" w:cs="Arial"/>
          <w:kern w:val="2"/>
          <w:sz w:val="21"/>
          <w:szCs w:val="21"/>
          <w:highlight w:val="none"/>
        </w:rPr>
        <w:t>自报告出具日起计算，自</w:t>
      </w:r>
      <w:r>
        <w:rPr>
          <w:rFonts w:ascii="Arial" w:hAnsi="Arial" w:cs="Arial"/>
          <w:kern w:val="2"/>
          <w:sz w:val="21"/>
          <w:szCs w:val="21"/>
          <w:highlight w:val="none"/>
        </w:rPr>
        <w:t>202</w:t>
      </w:r>
      <w:r>
        <w:rPr>
          <w:rFonts w:hint="eastAsia" w:ascii="Arial" w:hAnsi="Arial" w:cs="Arial"/>
          <w:kern w:val="2"/>
          <w:sz w:val="21"/>
          <w:szCs w:val="21"/>
          <w:highlight w:val="none"/>
          <w:lang w:val="en-US" w:eastAsia="zh-CN"/>
        </w:rPr>
        <w:t>6</w:t>
      </w:r>
      <w:r>
        <w:rPr>
          <w:rFonts w:ascii="Arial" w:hAnsi="Arial" w:cs="Arial"/>
          <w:kern w:val="2"/>
          <w:sz w:val="21"/>
          <w:szCs w:val="21"/>
          <w:highlight w:val="none"/>
        </w:rPr>
        <w:t>年</w:t>
      </w:r>
      <w:r>
        <w:rPr>
          <w:rFonts w:hint="eastAsia" w:ascii="Arial" w:hAnsi="Arial" w:cs="Arial"/>
          <w:kern w:val="2"/>
          <w:sz w:val="21"/>
          <w:szCs w:val="21"/>
          <w:highlight w:val="none"/>
          <w:lang w:val="en-US" w:eastAsia="zh-CN"/>
        </w:rPr>
        <w:t>3</w:t>
      </w:r>
      <w:r>
        <w:rPr>
          <w:rFonts w:ascii="Arial" w:hAnsi="Arial" w:cs="Arial"/>
          <w:kern w:val="2"/>
          <w:sz w:val="21"/>
          <w:szCs w:val="21"/>
          <w:highlight w:val="none"/>
        </w:rPr>
        <w:t>月</w:t>
      </w:r>
      <w:r>
        <w:rPr>
          <w:rFonts w:hint="eastAsia" w:ascii="Arial" w:hAnsi="Arial" w:cs="Arial"/>
          <w:kern w:val="2"/>
          <w:sz w:val="21"/>
          <w:szCs w:val="21"/>
          <w:highlight w:val="none"/>
          <w:lang w:val="en-US" w:eastAsia="zh-CN"/>
        </w:rPr>
        <w:t>6</w:t>
      </w:r>
      <w:r>
        <w:rPr>
          <w:rFonts w:ascii="Arial" w:hAnsi="Arial" w:cs="Arial"/>
          <w:kern w:val="2"/>
          <w:sz w:val="21"/>
          <w:szCs w:val="21"/>
          <w:highlight w:val="none"/>
        </w:rPr>
        <w:t>日</w:t>
      </w:r>
      <w:r>
        <w:rPr>
          <w:rFonts w:hint="eastAsia" w:ascii="Arial" w:hAnsi="Arial" w:cs="Arial"/>
          <w:kern w:val="2"/>
          <w:sz w:val="21"/>
          <w:szCs w:val="21"/>
          <w:highlight w:val="none"/>
        </w:rPr>
        <w:t>至</w:t>
      </w:r>
      <w:r>
        <w:rPr>
          <w:rFonts w:ascii="Arial" w:hAnsi="Arial" w:cs="Arial"/>
          <w:kern w:val="2"/>
          <w:sz w:val="21"/>
          <w:szCs w:val="21"/>
          <w:highlight w:val="none"/>
        </w:rPr>
        <w:t>202</w:t>
      </w:r>
      <w:r>
        <w:rPr>
          <w:rFonts w:hint="eastAsia" w:ascii="Arial" w:hAnsi="Arial" w:cs="Arial"/>
          <w:kern w:val="2"/>
          <w:sz w:val="21"/>
          <w:szCs w:val="21"/>
          <w:highlight w:val="none"/>
          <w:lang w:val="en-US" w:eastAsia="zh-CN"/>
        </w:rPr>
        <w:t>7</w:t>
      </w:r>
      <w:r>
        <w:rPr>
          <w:rFonts w:hint="eastAsia" w:ascii="Arial" w:hAnsi="Arial" w:cs="Arial"/>
          <w:kern w:val="2"/>
          <w:sz w:val="21"/>
          <w:szCs w:val="21"/>
          <w:highlight w:val="none"/>
        </w:rPr>
        <w:t>年</w:t>
      </w:r>
      <w:r>
        <w:rPr>
          <w:rFonts w:hint="eastAsia" w:ascii="Arial" w:hAnsi="Arial" w:cs="Arial"/>
          <w:kern w:val="2"/>
          <w:sz w:val="21"/>
          <w:szCs w:val="21"/>
          <w:highlight w:val="none"/>
          <w:lang w:val="en-US" w:eastAsia="zh-CN"/>
        </w:rPr>
        <w:t>3</w:t>
      </w:r>
      <w:r>
        <w:rPr>
          <w:rFonts w:hint="eastAsia" w:ascii="Arial" w:hAnsi="Arial" w:cs="Arial"/>
          <w:kern w:val="2"/>
          <w:sz w:val="21"/>
          <w:szCs w:val="21"/>
          <w:highlight w:val="none"/>
        </w:rPr>
        <w:t>月</w:t>
      </w:r>
      <w:r>
        <w:rPr>
          <w:rFonts w:hint="eastAsia" w:ascii="Arial" w:hAnsi="Arial" w:cs="Arial"/>
          <w:kern w:val="2"/>
          <w:sz w:val="21"/>
          <w:szCs w:val="21"/>
          <w:highlight w:val="none"/>
          <w:lang w:val="en-US" w:eastAsia="zh-CN"/>
        </w:rPr>
        <w:t>5</w:t>
      </w:r>
      <w:r>
        <w:rPr>
          <w:rFonts w:hint="eastAsia" w:ascii="Arial" w:hAnsi="Arial" w:cs="Arial"/>
          <w:kern w:val="2"/>
          <w:sz w:val="21"/>
          <w:szCs w:val="21"/>
          <w:highlight w:val="none"/>
        </w:rPr>
        <w:t>日有效</w:t>
      </w:r>
      <w:r>
        <w:rPr>
          <w:rFonts w:ascii="Arial" w:hAnsi="Arial" w:cs="Arial"/>
          <w:kern w:val="2"/>
          <w:sz w:val="21"/>
          <w:szCs w:val="21"/>
          <w:highlight w:val="none"/>
        </w:rPr>
        <w:t>。</w:t>
      </w:r>
    </w:p>
    <w:bookmarkEnd w:id="7"/>
    <w:p w14:paraId="6389A0ED">
      <w:pPr>
        <w:spacing w:line="480" w:lineRule="auto"/>
        <w:jc w:val="both"/>
        <w:rPr>
          <w:rFonts w:ascii="Arial" w:hAnsi="Arial" w:cs="Arial"/>
          <w:kern w:val="2"/>
          <w:sz w:val="21"/>
          <w:szCs w:val="21"/>
          <w:highlight w:val="none"/>
        </w:rPr>
        <w:sectPr>
          <w:pgSz w:w="11907" w:h="16840"/>
          <w:pgMar w:top="1843" w:right="1134" w:bottom="1134" w:left="1134" w:header="1134" w:footer="907" w:gutter="340"/>
          <w:cols w:space="720" w:num="1"/>
          <w:docGrid w:linePitch="326" w:charSpace="0"/>
        </w:sectPr>
      </w:pPr>
    </w:p>
    <w:p w14:paraId="31EF8AD3">
      <w:pPr>
        <w:pStyle w:val="2"/>
        <w:spacing w:line="360" w:lineRule="auto"/>
        <w:jc w:val="center"/>
        <w:rPr>
          <w:rFonts w:eastAsia="方正黑体简体"/>
          <w:b w:val="0"/>
          <w:kern w:val="2"/>
          <w:sz w:val="32"/>
          <w:szCs w:val="32"/>
          <w:highlight w:val="none"/>
        </w:rPr>
      </w:pPr>
      <w:bookmarkStart w:id="15" w:name="_Toc155267085"/>
      <w:bookmarkStart w:id="16" w:name="_Toc168225812"/>
      <w:r>
        <w:rPr>
          <w:rFonts w:hint="eastAsia" w:eastAsia="方正黑体简体"/>
          <w:b w:val="0"/>
          <w:kern w:val="2"/>
          <w:sz w:val="32"/>
          <w:szCs w:val="32"/>
          <w:highlight w:val="none"/>
        </w:rPr>
        <w:t>估价结果报告</w:t>
      </w:r>
      <w:bookmarkEnd w:id="15"/>
      <w:bookmarkEnd w:id="16"/>
    </w:p>
    <w:p w14:paraId="4DAD9B9D">
      <w:pPr>
        <w:pStyle w:val="3"/>
        <w:numPr>
          <w:ilvl w:val="0"/>
          <w:numId w:val="0"/>
        </w:numPr>
        <w:wordWrap w:val="0"/>
        <w:overflowPunct w:val="0"/>
        <w:spacing w:line="480" w:lineRule="auto"/>
        <w:ind w:left="358" w:hanging="358" w:hangingChars="170"/>
        <w:jc w:val="both"/>
        <w:textAlignment w:val="auto"/>
        <w:rPr>
          <w:rFonts w:eastAsia="宋体"/>
          <w:b w:val="0"/>
          <w:kern w:val="2"/>
          <w:sz w:val="21"/>
          <w:szCs w:val="21"/>
          <w:highlight w:val="none"/>
        </w:rPr>
      </w:pPr>
      <w:bookmarkStart w:id="17" w:name="_Toc216083223"/>
      <w:bookmarkStart w:id="18" w:name="_Toc155267086"/>
      <w:r>
        <w:rPr>
          <w:rFonts w:eastAsia="宋体"/>
          <w:kern w:val="2"/>
          <w:sz w:val="21"/>
          <w:szCs w:val="21"/>
          <w:highlight w:val="none"/>
        </w:rPr>
        <w:t>一</w:t>
      </w:r>
      <w:bookmarkEnd w:id="17"/>
      <w:r>
        <w:rPr>
          <w:rFonts w:eastAsia="宋体"/>
          <w:kern w:val="2"/>
          <w:sz w:val="21"/>
          <w:szCs w:val="21"/>
          <w:highlight w:val="none"/>
        </w:rPr>
        <w:t>、估价委托人</w:t>
      </w:r>
      <w:bookmarkEnd w:id="18"/>
    </w:p>
    <w:p w14:paraId="2E54142A">
      <w:pPr>
        <w:wordWrap w:val="0"/>
        <w:overflowPunct w:val="0"/>
        <w:spacing w:line="480" w:lineRule="auto"/>
        <w:ind w:firstLine="420" w:firstLineChars="200"/>
        <w:jc w:val="both"/>
        <w:textAlignment w:val="auto"/>
        <w:rPr>
          <w:rFonts w:hint="eastAsia" w:ascii="Arial" w:hAnsi="Arial" w:eastAsia="宋体" w:cs="Arial"/>
          <w:sz w:val="21"/>
          <w:szCs w:val="21"/>
          <w:highlight w:val="none"/>
          <w:lang w:eastAsia="zh-CN"/>
        </w:rPr>
      </w:pPr>
      <w:r>
        <w:rPr>
          <w:rFonts w:ascii="Arial" w:hAnsi="Arial" w:cs="Arial"/>
          <w:sz w:val="21"/>
          <w:szCs w:val="21"/>
          <w:highlight w:val="none"/>
        </w:rPr>
        <w:t>单位名称：</w:t>
      </w:r>
      <w:r>
        <w:rPr>
          <w:rFonts w:hint="eastAsia" w:ascii="Arial" w:hAnsi="Arial" w:cs="Arial"/>
          <w:sz w:val="21"/>
          <w:szCs w:val="21"/>
          <w:highlight w:val="none"/>
          <w:lang w:eastAsia="zh-CN"/>
        </w:rPr>
        <w:t>北京市大兴区保障性住房建设投资有限公司</w:t>
      </w:r>
    </w:p>
    <w:p w14:paraId="6A96631A">
      <w:pPr>
        <w:wordWrap w:val="0"/>
        <w:overflowPunct w:val="0"/>
        <w:spacing w:line="480" w:lineRule="auto"/>
        <w:ind w:firstLine="420" w:firstLineChars="200"/>
        <w:jc w:val="both"/>
        <w:textAlignment w:val="auto"/>
        <w:rPr>
          <w:rFonts w:hint="eastAsia" w:ascii="Arial" w:hAnsi="Arial" w:cs="Arial"/>
          <w:sz w:val="21"/>
          <w:szCs w:val="21"/>
          <w:highlight w:val="none"/>
        </w:rPr>
      </w:pPr>
      <w:r>
        <w:rPr>
          <w:rFonts w:hint="eastAsia" w:ascii="Arial" w:hAnsi="Arial" w:cs="Arial"/>
          <w:sz w:val="21"/>
          <w:szCs w:val="21"/>
          <w:highlight w:val="none"/>
        </w:rPr>
        <w:t>地    址：北京市大兴区新源大街兴创总部公园-2栋</w:t>
      </w:r>
    </w:p>
    <w:p w14:paraId="0C637BEE">
      <w:pPr>
        <w:wordWrap w:val="0"/>
        <w:overflowPunct w:val="0"/>
        <w:spacing w:line="480" w:lineRule="auto"/>
        <w:ind w:firstLine="420" w:firstLineChars="200"/>
        <w:jc w:val="both"/>
        <w:textAlignment w:val="auto"/>
        <w:rPr>
          <w:rFonts w:hint="default" w:ascii="Arial" w:hAnsi="Arial" w:cs="Arial"/>
          <w:sz w:val="21"/>
          <w:szCs w:val="21"/>
          <w:highlight w:val="none"/>
          <w:lang w:val="en-US" w:eastAsia="zh-CN"/>
        </w:rPr>
      </w:pPr>
      <w:r>
        <w:rPr>
          <w:rFonts w:hint="eastAsia" w:ascii="Arial" w:hAnsi="Arial" w:cs="Arial"/>
          <w:sz w:val="21"/>
          <w:szCs w:val="21"/>
          <w:highlight w:val="none"/>
          <w:lang w:val="en-US" w:eastAsia="zh-CN"/>
        </w:rPr>
        <w:t>联 系 人：崔梦杰</w:t>
      </w:r>
    </w:p>
    <w:p w14:paraId="6D87A4D2">
      <w:pPr>
        <w:wordWrap w:val="0"/>
        <w:overflowPunct w:val="0"/>
        <w:spacing w:line="480" w:lineRule="auto"/>
        <w:ind w:firstLine="420" w:firstLineChars="200"/>
        <w:jc w:val="both"/>
        <w:textAlignment w:val="auto"/>
        <w:rPr>
          <w:rFonts w:hint="default" w:ascii="Arial" w:hAnsi="Arial" w:cs="Arial"/>
          <w:sz w:val="21"/>
          <w:szCs w:val="21"/>
          <w:highlight w:val="none"/>
          <w:lang w:val="en-US" w:eastAsia="zh-CN"/>
        </w:rPr>
      </w:pPr>
      <w:r>
        <w:rPr>
          <w:rFonts w:hint="eastAsia" w:ascii="Arial" w:hAnsi="Arial" w:cs="Arial"/>
          <w:sz w:val="21"/>
          <w:szCs w:val="21"/>
          <w:highlight w:val="none"/>
          <w:lang w:val="en-US" w:eastAsia="zh-CN"/>
        </w:rPr>
        <w:t>电    话：15001339691</w:t>
      </w:r>
    </w:p>
    <w:p w14:paraId="2664C01A">
      <w:pPr>
        <w:wordWrap w:val="0"/>
        <w:overflowPunct w:val="0"/>
        <w:spacing w:line="480" w:lineRule="auto"/>
        <w:ind w:firstLine="420" w:firstLineChars="200"/>
        <w:jc w:val="both"/>
        <w:textAlignment w:val="auto"/>
        <w:rPr>
          <w:rFonts w:ascii="Arial" w:hAnsi="Arial" w:cs="Arial"/>
          <w:sz w:val="21"/>
          <w:szCs w:val="21"/>
          <w:highlight w:val="none"/>
        </w:rPr>
      </w:pPr>
    </w:p>
    <w:p w14:paraId="022A6F41">
      <w:pPr>
        <w:pStyle w:val="3"/>
        <w:numPr>
          <w:ilvl w:val="0"/>
          <w:numId w:val="0"/>
        </w:numPr>
        <w:wordWrap w:val="0"/>
        <w:overflowPunct w:val="0"/>
        <w:spacing w:line="480" w:lineRule="auto"/>
        <w:ind w:left="358" w:hanging="358" w:hangingChars="170"/>
        <w:jc w:val="both"/>
        <w:textAlignment w:val="auto"/>
        <w:rPr>
          <w:rFonts w:eastAsia="宋体"/>
          <w:kern w:val="2"/>
          <w:sz w:val="21"/>
          <w:szCs w:val="21"/>
          <w:highlight w:val="none"/>
        </w:rPr>
      </w:pPr>
      <w:bookmarkStart w:id="19" w:name="_Toc155267087"/>
      <w:bookmarkStart w:id="20" w:name="_Toc168225814"/>
      <w:r>
        <w:rPr>
          <w:rFonts w:eastAsia="宋体"/>
          <w:kern w:val="2"/>
          <w:sz w:val="21"/>
          <w:szCs w:val="21"/>
          <w:highlight w:val="none"/>
        </w:rPr>
        <w:t>二、房地产估价机构</w:t>
      </w:r>
      <w:bookmarkEnd w:id="19"/>
      <w:bookmarkEnd w:id="20"/>
    </w:p>
    <w:p w14:paraId="30FAC0DE">
      <w:pPr>
        <w:wordWrap w:val="0"/>
        <w:overflowPunct w:val="0"/>
        <w:spacing w:line="480" w:lineRule="auto"/>
        <w:ind w:firstLine="420" w:firstLineChars="200"/>
        <w:jc w:val="both"/>
        <w:rPr>
          <w:rFonts w:ascii="Arial" w:hAnsi="Arial" w:cs="Arial"/>
          <w:sz w:val="21"/>
          <w:szCs w:val="21"/>
          <w:highlight w:val="none"/>
        </w:rPr>
      </w:pPr>
      <w:r>
        <w:rPr>
          <w:rFonts w:hint="eastAsia" w:ascii="Arial" w:hAnsi="Arial" w:cs="Arial"/>
          <w:sz w:val="21"/>
          <w:szCs w:val="21"/>
          <w:highlight w:val="none"/>
        </w:rPr>
        <w:t>受托机构：北京康正宏基房地产评估有限公司</w:t>
      </w:r>
    </w:p>
    <w:p w14:paraId="1EC5DD98">
      <w:pPr>
        <w:wordWrap w:val="0"/>
        <w:overflowPunct w:val="0"/>
        <w:spacing w:line="480" w:lineRule="auto"/>
        <w:ind w:firstLine="420" w:firstLineChars="200"/>
        <w:jc w:val="both"/>
        <w:rPr>
          <w:rFonts w:ascii="Arial" w:hAnsi="Arial" w:cs="Arial"/>
          <w:sz w:val="21"/>
          <w:szCs w:val="21"/>
          <w:highlight w:val="none"/>
        </w:rPr>
      </w:pPr>
      <w:r>
        <w:rPr>
          <w:rFonts w:hint="eastAsia" w:ascii="Arial" w:hAnsi="Arial" w:cs="Arial"/>
          <w:sz w:val="21"/>
          <w:szCs w:val="21"/>
          <w:highlight w:val="none"/>
        </w:rPr>
        <w:t>资质级别：壹级</w:t>
      </w:r>
    </w:p>
    <w:p w14:paraId="27D2CBA4">
      <w:pPr>
        <w:overflowPunct w:val="0"/>
        <w:spacing w:line="480" w:lineRule="auto"/>
        <w:ind w:firstLine="420" w:firstLineChars="200"/>
        <w:jc w:val="both"/>
        <w:textAlignment w:val="auto"/>
        <w:rPr>
          <w:rFonts w:ascii="Arial" w:hAnsi="Arial"/>
          <w:sz w:val="21"/>
          <w:szCs w:val="21"/>
          <w:highlight w:val="none"/>
        </w:rPr>
      </w:pPr>
      <w:r>
        <w:rPr>
          <w:rFonts w:hint="eastAsia" w:ascii="Arial" w:hAnsi="Arial"/>
          <w:sz w:val="21"/>
          <w:szCs w:val="21"/>
          <w:highlight w:val="none"/>
        </w:rPr>
        <w:t>资格证书号：建房估备字[2013第]081号</w:t>
      </w:r>
    </w:p>
    <w:p w14:paraId="5CDB07A0">
      <w:pPr>
        <w:overflowPunct w:val="0"/>
        <w:spacing w:line="480" w:lineRule="auto"/>
        <w:ind w:firstLine="420" w:firstLineChars="200"/>
        <w:jc w:val="both"/>
        <w:textAlignment w:val="auto"/>
        <w:rPr>
          <w:rFonts w:ascii="Arial" w:hAnsi="Arial"/>
          <w:sz w:val="21"/>
          <w:szCs w:val="21"/>
          <w:highlight w:val="none"/>
        </w:rPr>
      </w:pPr>
      <w:r>
        <w:rPr>
          <w:rFonts w:hint="eastAsia" w:ascii="Arial" w:hAnsi="Arial"/>
          <w:sz w:val="21"/>
          <w:szCs w:val="21"/>
          <w:highlight w:val="none"/>
        </w:rPr>
        <w:t>有效期限：</w:t>
      </w:r>
      <w:r>
        <w:rPr>
          <w:rFonts w:ascii="Arial" w:hAnsi="Arial"/>
          <w:sz w:val="21"/>
          <w:szCs w:val="21"/>
          <w:highlight w:val="none"/>
        </w:rPr>
        <w:t>2022</w:t>
      </w:r>
      <w:r>
        <w:rPr>
          <w:rFonts w:hint="eastAsia" w:ascii="Arial" w:hAnsi="Arial"/>
          <w:sz w:val="21"/>
          <w:szCs w:val="21"/>
          <w:highlight w:val="none"/>
        </w:rPr>
        <w:t>年</w:t>
      </w:r>
      <w:r>
        <w:rPr>
          <w:rFonts w:ascii="Arial" w:hAnsi="Arial"/>
          <w:sz w:val="21"/>
          <w:szCs w:val="21"/>
          <w:highlight w:val="none"/>
        </w:rPr>
        <w:t>8</w:t>
      </w:r>
      <w:r>
        <w:rPr>
          <w:rFonts w:hint="eastAsia" w:ascii="Arial" w:hAnsi="Arial"/>
          <w:sz w:val="21"/>
          <w:szCs w:val="21"/>
          <w:highlight w:val="none"/>
        </w:rPr>
        <w:t>月</w:t>
      </w:r>
      <w:r>
        <w:rPr>
          <w:rFonts w:ascii="Arial" w:hAnsi="Arial"/>
          <w:sz w:val="21"/>
          <w:szCs w:val="21"/>
          <w:highlight w:val="none"/>
        </w:rPr>
        <w:t>30</w:t>
      </w:r>
      <w:r>
        <w:rPr>
          <w:rFonts w:hint="eastAsia" w:ascii="Arial" w:hAnsi="Arial"/>
          <w:sz w:val="21"/>
          <w:szCs w:val="21"/>
          <w:highlight w:val="none"/>
        </w:rPr>
        <w:t>日至</w:t>
      </w:r>
      <w:r>
        <w:rPr>
          <w:rFonts w:ascii="Arial" w:hAnsi="Arial"/>
          <w:sz w:val="21"/>
          <w:szCs w:val="21"/>
          <w:highlight w:val="none"/>
        </w:rPr>
        <w:t>2025</w:t>
      </w:r>
      <w:r>
        <w:rPr>
          <w:rFonts w:hint="eastAsia" w:ascii="Arial" w:hAnsi="Arial"/>
          <w:sz w:val="21"/>
          <w:szCs w:val="21"/>
          <w:highlight w:val="none"/>
        </w:rPr>
        <w:t>年</w:t>
      </w:r>
      <w:r>
        <w:rPr>
          <w:rFonts w:ascii="Arial" w:hAnsi="Arial"/>
          <w:sz w:val="21"/>
          <w:szCs w:val="21"/>
          <w:highlight w:val="none"/>
        </w:rPr>
        <w:t>8</w:t>
      </w:r>
      <w:r>
        <w:rPr>
          <w:rFonts w:hint="eastAsia" w:ascii="Arial" w:hAnsi="Arial"/>
          <w:sz w:val="21"/>
          <w:szCs w:val="21"/>
          <w:highlight w:val="none"/>
        </w:rPr>
        <w:t>月</w:t>
      </w:r>
      <w:r>
        <w:rPr>
          <w:rFonts w:ascii="Arial" w:hAnsi="Arial"/>
          <w:sz w:val="21"/>
          <w:szCs w:val="21"/>
          <w:highlight w:val="none"/>
        </w:rPr>
        <w:t>29</w:t>
      </w:r>
      <w:r>
        <w:rPr>
          <w:rFonts w:hint="eastAsia" w:ascii="Arial" w:hAnsi="Arial"/>
          <w:sz w:val="21"/>
          <w:szCs w:val="21"/>
          <w:highlight w:val="none"/>
        </w:rPr>
        <w:t>日</w:t>
      </w:r>
    </w:p>
    <w:p w14:paraId="59C0760A">
      <w:pPr>
        <w:overflowPunct w:val="0"/>
        <w:spacing w:line="480" w:lineRule="auto"/>
        <w:ind w:firstLine="420" w:firstLineChars="200"/>
        <w:jc w:val="both"/>
        <w:textAlignment w:val="auto"/>
        <w:rPr>
          <w:rFonts w:ascii="Arial" w:hAnsi="Arial"/>
          <w:sz w:val="21"/>
          <w:szCs w:val="21"/>
          <w:highlight w:val="none"/>
        </w:rPr>
      </w:pPr>
      <w:r>
        <w:rPr>
          <w:rFonts w:hint="eastAsia" w:ascii="Arial" w:hAnsi="Arial"/>
          <w:sz w:val="21"/>
          <w:szCs w:val="21"/>
          <w:highlight w:val="none"/>
        </w:rPr>
        <w:t>注册地址：北京市丰台区芳城园一区16号楼2层2门配套公建01</w:t>
      </w:r>
    </w:p>
    <w:p w14:paraId="477D5392">
      <w:pPr>
        <w:overflowPunct w:val="0"/>
        <w:spacing w:line="480" w:lineRule="auto"/>
        <w:ind w:firstLine="420" w:firstLineChars="200"/>
        <w:jc w:val="both"/>
        <w:rPr>
          <w:rFonts w:ascii="Arial" w:hAnsi="Arial" w:cs="Arial"/>
          <w:sz w:val="21"/>
          <w:szCs w:val="21"/>
          <w:highlight w:val="none"/>
        </w:rPr>
      </w:pPr>
      <w:r>
        <w:rPr>
          <w:rFonts w:hint="eastAsia" w:ascii="Arial" w:hAnsi="Arial" w:cs="Arial"/>
          <w:sz w:val="21"/>
          <w:szCs w:val="21"/>
          <w:highlight w:val="none"/>
        </w:rPr>
        <w:t>法定代表人：齐宏</w:t>
      </w:r>
    </w:p>
    <w:p w14:paraId="2DFBDE22">
      <w:pPr>
        <w:wordWrap w:val="0"/>
        <w:overflowPunct w:val="0"/>
        <w:spacing w:line="480" w:lineRule="auto"/>
        <w:ind w:firstLine="420" w:firstLineChars="200"/>
        <w:jc w:val="both"/>
        <w:textAlignment w:val="auto"/>
        <w:rPr>
          <w:rFonts w:ascii="Arial" w:hAnsi="Arial" w:cs="Arial"/>
          <w:sz w:val="21"/>
          <w:szCs w:val="21"/>
          <w:highlight w:val="none"/>
        </w:rPr>
      </w:pPr>
      <w:r>
        <w:rPr>
          <w:rFonts w:ascii="Arial" w:hAnsi="Arial" w:cs="Arial"/>
          <w:sz w:val="21"/>
          <w:szCs w:val="21"/>
          <w:highlight w:val="none"/>
        </w:rPr>
        <w:t>联</w:t>
      </w:r>
      <w:r>
        <w:rPr>
          <w:rFonts w:hint="eastAsia" w:ascii="Arial" w:hAnsi="Arial" w:cs="Arial"/>
          <w:sz w:val="21"/>
          <w:szCs w:val="21"/>
          <w:highlight w:val="none"/>
        </w:rPr>
        <w:t xml:space="preserve"> </w:t>
      </w:r>
      <w:r>
        <w:rPr>
          <w:rFonts w:ascii="Arial" w:hAnsi="Arial" w:cs="Arial"/>
          <w:sz w:val="21"/>
          <w:szCs w:val="21"/>
          <w:highlight w:val="none"/>
        </w:rPr>
        <w:t>系</w:t>
      </w:r>
      <w:r>
        <w:rPr>
          <w:rFonts w:hint="eastAsia" w:ascii="Arial" w:hAnsi="Arial" w:cs="Arial"/>
          <w:sz w:val="21"/>
          <w:szCs w:val="21"/>
          <w:highlight w:val="none"/>
        </w:rPr>
        <w:t xml:space="preserve"> </w:t>
      </w:r>
      <w:r>
        <w:rPr>
          <w:rFonts w:ascii="Arial" w:hAnsi="Arial" w:cs="Arial"/>
          <w:sz w:val="21"/>
          <w:szCs w:val="21"/>
          <w:highlight w:val="none"/>
        </w:rPr>
        <w:t>人：</w:t>
      </w:r>
      <w:r>
        <w:rPr>
          <w:rFonts w:hint="eastAsia" w:ascii="Arial" w:hAnsi="Arial" w:cs="Arial"/>
          <w:sz w:val="21"/>
          <w:szCs w:val="21"/>
          <w:highlight w:val="none"/>
        </w:rPr>
        <w:t>李诗霖</w:t>
      </w:r>
    </w:p>
    <w:p w14:paraId="32858CE1">
      <w:pPr>
        <w:wordWrap w:val="0"/>
        <w:overflowPunct w:val="0"/>
        <w:spacing w:line="480" w:lineRule="auto"/>
        <w:ind w:firstLine="420" w:firstLineChars="200"/>
        <w:jc w:val="both"/>
        <w:textAlignment w:val="auto"/>
        <w:rPr>
          <w:rFonts w:ascii="Arial" w:hAnsi="Arial" w:cs="Arial"/>
          <w:sz w:val="21"/>
          <w:szCs w:val="21"/>
          <w:highlight w:val="none"/>
        </w:rPr>
      </w:pPr>
      <w:r>
        <w:rPr>
          <w:rFonts w:ascii="Arial" w:hAnsi="Arial" w:cs="Arial"/>
          <w:sz w:val="21"/>
          <w:szCs w:val="21"/>
          <w:highlight w:val="none"/>
        </w:rPr>
        <w:t>联系电话：010-82253558</w:t>
      </w:r>
    </w:p>
    <w:p w14:paraId="487A5500">
      <w:pPr>
        <w:wordWrap w:val="0"/>
        <w:overflowPunct w:val="0"/>
        <w:spacing w:line="480" w:lineRule="auto"/>
        <w:ind w:firstLine="420" w:firstLineChars="200"/>
        <w:jc w:val="both"/>
        <w:textAlignment w:val="auto"/>
        <w:rPr>
          <w:rFonts w:ascii="Arial" w:hAnsi="Arial" w:cs="Arial"/>
          <w:kern w:val="2"/>
          <w:sz w:val="21"/>
          <w:szCs w:val="21"/>
          <w:highlight w:val="none"/>
        </w:rPr>
      </w:pPr>
    </w:p>
    <w:p w14:paraId="181BC2DC">
      <w:pPr>
        <w:pStyle w:val="3"/>
        <w:numPr>
          <w:ilvl w:val="0"/>
          <w:numId w:val="0"/>
        </w:numPr>
        <w:wordWrap w:val="0"/>
        <w:overflowPunct w:val="0"/>
        <w:spacing w:line="480" w:lineRule="auto"/>
        <w:ind w:left="358" w:hanging="358" w:hangingChars="170"/>
        <w:jc w:val="both"/>
        <w:textAlignment w:val="auto"/>
        <w:rPr>
          <w:rFonts w:eastAsia="宋体"/>
          <w:kern w:val="2"/>
          <w:sz w:val="21"/>
          <w:szCs w:val="21"/>
          <w:highlight w:val="none"/>
        </w:rPr>
      </w:pPr>
      <w:bookmarkStart w:id="21" w:name="_Toc168225815"/>
      <w:bookmarkStart w:id="22" w:name="_Toc155267088"/>
      <w:r>
        <w:rPr>
          <w:rFonts w:eastAsia="宋体"/>
          <w:kern w:val="2"/>
          <w:sz w:val="21"/>
          <w:szCs w:val="21"/>
          <w:highlight w:val="none"/>
        </w:rPr>
        <w:t>三、估价目的</w:t>
      </w:r>
      <w:bookmarkEnd w:id="21"/>
      <w:bookmarkEnd w:id="22"/>
    </w:p>
    <w:p w14:paraId="7C0F2DF0">
      <w:pPr>
        <w:wordWrap w:val="0"/>
        <w:overflowPunct w:val="0"/>
        <w:spacing w:line="480" w:lineRule="auto"/>
        <w:ind w:firstLine="420" w:firstLineChars="200"/>
        <w:jc w:val="both"/>
        <w:textAlignment w:val="auto"/>
        <w:rPr>
          <w:rFonts w:ascii="Arial" w:hAnsi="Arial" w:cs="Arial"/>
          <w:kern w:val="2"/>
          <w:sz w:val="21"/>
          <w:szCs w:val="21"/>
          <w:highlight w:val="none"/>
        </w:rPr>
      </w:pPr>
      <w:r>
        <w:rPr>
          <w:rFonts w:hint="eastAsia" w:ascii="Arial" w:hAnsi="Arial"/>
          <w:kern w:val="2"/>
          <w:sz w:val="21"/>
        </w:rPr>
        <w:t>为估价委托人了解估价对象房地产市场租金水平提供参考依据</w:t>
      </w:r>
      <w:r>
        <w:rPr>
          <w:rFonts w:ascii="Arial" w:hAnsi="Arial" w:cs="Arial"/>
          <w:sz w:val="21"/>
          <w:szCs w:val="21"/>
          <w:highlight w:val="none"/>
        </w:rPr>
        <w:t>。</w:t>
      </w:r>
      <w:r>
        <w:rPr>
          <w:rFonts w:ascii="Arial" w:hAnsi="Arial" w:cs="Arial"/>
          <w:kern w:val="2"/>
          <w:sz w:val="21"/>
          <w:szCs w:val="21"/>
          <w:highlight w:val="none"/>
        </w:rPr>
        <w:t xml:space="preserve"> </w:t>
      </w:r>
    </w:p>
    <w:p w14:paraId="6D623CFB">
      <w:pPr>
        <w:wordWrap w:val="0"/>
        <w:overflowPunct w:val="0"/>
        <w:spacing w:line="480" w:lineRule="auto"/>
        <w:ind w:firstLine="420" w:firstLineChars="200"/>
        <w:jc w:val="both"/>
        <w:textAlignment w:val="auto"/>
        <w:rPr>
          <w:rFonts w:ascii="Arial" w:hAnsi="Arial" w:cs="Arial"/>
          <w:sz w:val="21"/>
          <w:szCs w:val="21"/>
          <w:highlight w:val="none"/>
        </w:rPr>
      </w:pPr>
    </w:p>
    <w:p w14:paraId="6CCA5F7E">
      <w:pPr>
        <w:pStyle w:val="3"/>
        <w:numPr>
          <w:ilvl w:val="0"/>
          <w:numId w:val="0"/>
        </w:numPr>
        <w:wordWrap w:val="0"/>
        <w:overflowPunct w:val="0"/>
        <w:spacing w:line="480" w:lineRule="auto"/>
        <w:ind w:left="358" w:hanging="358" w:hangingChars="170"/>
        <w:jc w:val="both"/>
        <w:textAlignment w:val="auto"/>
        <w:rPr>
          <w:rFonts w:eastAsia="宋体"/>
          <w:kern w:val="2"/>
          <w:sz w:val="21"/>
          <w:szCs w:val="21"/>
          <w:highlight w:val="none"/>
        </w:rPr>
      </w:pPr>
      <w:bookmarkStart w:id="23" w:name="_Toc155267089"/>
      <w:bookmarkStart w:id="24" w:name="_Toc168225816"/>
      <w:r>
        <w:rPr>
          <w:rFonts w:eastAsia="宋体"/>
          <w:kern w:val="2"/>
          <w:sz w:val="21"/>
          <w:szCs w:val="21"/>
          <w:highlight w:val="none"/>
        </w:rPr>
        <w:t>四、估价对象</w:t>
      </w:r>
      <w:bookmarkEnd w:id="23"/>
      <w:bookmarkEnd w:id="24"/>
    </w:p>
    <w:p w14:paraId="2ABE5DC9">
      <w:pPr>
        <w:wordWrap w:val="0"/>
        <w:overflowPunct w:val="0"/>
        <w:spacing w:line="480" w:lineRule="auto"/>
        <w:jc w:val="both"/>
        <w:textAlignment w:val="auto"/>
        <w:rPr>
          <w:rFonts w:ascii="Arial" w:hAnsi="Arial" w:cs="Arial"/>
          <w:b/>
          <w:kern w:val="2"/>
          <w:sz w:val="21"/>
          <w:szCs w:val="21"/>
          <w:highlight w:val="none"/>
        </w:rPr>
      </w:pPr>
      <w:r>
        <w:rPr>
          <w:rFonts w:ascii="Arial" w:hAnsi="Arial" w:cs="Arial"/>
          <w:b/>
          <w:kern w:val="2"/>
          <w:sz w:val="21"/>
          <w:szCs w:val="21"/>
          <w:highlight w:val="none"/>
        </w:rPr>
        <w:t>（一）估价对象范围</w:t>
      </w:r>
    </w:p>
    <w:p w14:paraId="0E417FBB">
      <w:pPr>
        <w:overflowPunct w:val="0"/>
        <w:spacing w:line="480" w:lineRule="auto"/>
        <w:ind w:firstLine="420" w:firstLineChars="200"/>
        <w:jc w:val="both"/>
        <w:textAlignment w:val="auto"/>
        <w:rPr>
          <w:rFonts w:hint="default" w:ascii="Arial" w:hAnsi="Arial" w:cs="Arial"/>
          <w:kern w:val="2"/>
          <w:sz w:val="21"/>
          <w:szCs w:val="21"/>
          <w:highlight w:val="none"/>
          <w:lang w:val="en-US" w:eastAsia="zh-CN"/>
        </w:rPr>
      </w:pPr>
      <w:r>
        <w:rPr>
          <w:rFonts w:hint="eastAsia" w:ascii="Arial" w:hAnsi="Arial" w:eastAsia="宋体" w:cs="Arial"/>
          <w:sz w:val="21"/>
          <w:szCs w:val="21"/>
          <w:highlight w:val="none"/>
          <w:lang w:val="en-US" w:eastAsia="zh-CN"/>
        </w:rPr>
        <w:t>根据</w:t>
      </w:r>
      <w:r>
        <w:rPr>
          <w:rFonts w:hint="eastAsia" w:ascii="Arial" w:hAnsi="Arial" w:cs="Arial"/>
          <w:sz w:val="21"/>
          <w:szCs w:val="21"/>
          <w:highlight w:val="none"/>
          <w:lang w:val="en-US" w:eastAsia="zh-CN"/>
        </w:rPr>
        <w:t>《采育数字时尚小镇保障性住房趸组协议》及其附件、</w:t>
      </w:r>
      <w:r>
        <w:rPr>
          <w:rFonts w:hint="eastAsia" w:ascii="Arial" w:hAnsi="Arial" w:cs="Arial"/>
          <w:sz w:val="21"/>
          <w:szCs w:val="21"/>
          <w:highlight w:val="none"/>
          <w:lang w:eastAsia="zh-CN"/>
        </w:rPr>
        <w:t>《</w:t>
      </w:r>
      <w:r>
        <w:rPr>
          <w:rFonts w:hint="eastAsia" w:ascii="Arial" w:hAnsi="Arial" w:cs="Arial"/>
          <w:sz w:val="21"/>
          <w:szCs w:val="21"/>
          <w:highlight w:val="none"/>
          <w:lang w:val="en-US" w:eastAsia="zh-CN"/>
        </w:rPr>
        <w:t>房屋所有权证书》[X京房权证兴字第144437、144436、144435、144444、1444440、144439、144442、144443、144449、144445、144447、194022号]</w:t>
      </w:r>
      <w:r>
        <w:rPr>
          <w:rFonts w:hint="eastAsia" w:ascii="Arial" w:hAnsi="Arial" w:cs="Arial"/>
          <w:sz w:val="21"/>
          <w:szCs w:val="21"/>
          <w:highlight w:val="none"/>
        </w:rPr>
        <w:t>、</w:t>
      </w:r>
      <w:r>
        <w:rPr>
          <w:rFonts w:hint="eastAsia" w:ascii="Arial" w:hAnsi="Arial" w:cs="Arial"/>
          <w:sz w:val="21"/>
          <w:szCs w:val="21"/>
          <w:highlight w:val="none"/>
          <w:lang w:eastAsia="zh-CN"/>
        </w:rPr>
        <w:t>《</w:t>
      </w:r>
      <w:r>
        <w:rPr>
          <w:rFonts w:hint="eastAsia" w:ascii="Arial" w:hAnsi="Arial" w:cs="Arial"/>
          <w:sz w:val="21"/>
          <w:szCs w:val="21"/>
          <w:highlight w:val="none"/>
          <w:lang w:val="en-US" w:eastAsia="zh-CN"/>
        </w:rPr>
        <w:t>北京市大兴区采育镇四号地01-0001A、01-0001B地块项目开发回购协议书补充协议》[兴采01-0001协字（2012）001号附件1]及</w:t>
      </w:r>
      <w:r>
        <w:rPr>
          <w:rFonts w:hint="eastAsia" w:ascii="Arial" w:hAnsi="Arial" w:cs="Arial"/>
          <w:sz w:val="21"/>
          <w:szCs w:val="21"/>
          <w:highlight w:val="none"/>
        </w:rPr>
        <w:t>《估价委托书》</w:t>
      </w:r>
      <w:r>
        <w:rPr>
          <w:rFonts w:hint="eastAsia" w:ascii="Arial" w:hAnsi="Arial" w:cs="Arial"/>
          <w:sz w:val="21"/>
          <w:szCs w:val="21"/>
          <w:highlight w:val="none"/>
          <w:lang w:val="en-US" w:eastAsia="zh-CN"/>
        </w:rPr>
        <w:t>，估价对象中</w:t>
      </w:r>
      <w:r>
        <w:rPr>
          <w:rFonts w:hint="eastAsia" w:ascii="Arial" w:hAnsi="Arial" w:cs="Arial"/>
          <w:kern w:val="2"/>
          <w:sz w:val="21"/>
          <w:szCs w:val="21"/>
          <w:highlight w:val="none"/>
          <w:lang w:eastAsia="zh-CN"/>
        </w:rPr>
        <w:t>北京市大兴区育林街1号院（育新花园北里）4号楼1单元401号等489套</w:t>
      </w:r>
      <w:r>
        <w:rPr>
          <w:rFonts w:hint="eastAsia" w:ascii="Arial" w:hAnsi="Arial" w:cs="Arial"/>
          <w:kern w:val="2"/>
          <w:sz w:val="21"/>
          <w:szCs w:val="21"/>
          <w:highlight w:val="none"/>
          <w:lang w:val="en-US" w:eastAsia="zh-CN"/>
        </w:rPr>
        <w:t>住宅用房，建筑面积37037.43平方米，由北京丽富房地产开发有限公司于2011年通过挂牌方式合法取得并开发，证载产权单位为北京丽富房地产开发有限公司。兴创投资有限公司</w:t>
      </w:r>
      <w:r>
        <w:rPr>
          <w:rFonts w:hint="default" w:ascii="Arial" w:hAnsi="Arial" w:cs="Arial"/>
          <w:kern w:val="2"/>
          <w:sz w:val="21"/>
          <w:szCs w:val="21"/>
          <w:highlight w:val="none"/>
          <w:lang w:val="en-US" w:eastAsia="zh-CN"/>
        </w:rPr>
        <w:t>于房屋建成后，按住宅回购价格 9000元/平方米向该公司完成房源回购，并已于 2014年9月全额付清全部回购款项</w:t>
      </w:r>
      <w:r>
        <w:rPr>
          <w:rFonts w:hint="eastAsia" w:ascii="Arial" w:hAnsi="Arial" w:cs="Arial"/>
          <w:kern w:val="2"/>
          <w:sz w:val="21"/>
          <w:szCs w:val="21"/>
          <w:highlight w:val="none"/>
          <w:lang w:val="en-US" w:eastAsia="zh-CN"/>
        </w:rPr>
        <w:t>。</w:t>
      </w:r>
      <w:r>
        <w:rPr>
          <w:rFonts w:hint="default" w:ascii="Arial" w:hAnsi="Arial" w:cs="Arial"/>
          <w:kern w:val="2"/>
          <w:sz w:val="21"/>
          <w:szCs w:val="21"/>
          <w:highlight w:val="none"/>
          <w:lang w:val="en-US" w:eastAsia="zh-CN"/>
        </w:rPr>
        <w:t>截至</w:t>
      </w:r>
      <w:r>
        <w:rPr>
          <w:rFonts w:hint="eastAsia" w:ascii="Arial" w:hAnsi="Arial" w:cs="Arial"/>
          <w:kern w:val="2"/>
          <w:sz w:val="21"/>
          <w:szCs w:val="21"/>
          <w:highlight w:val="none"/>
          <w:lang w:val="en-US" w:eastAsia="zh-CN"/>
        </w:rPr>
        <w:t>报告出具日，上述房屋尚未办理不动产权变更登记。经与估价委托人确认，兴创投资有限公司对上述租赁房屋享有合法、完整的占有、使用、收益及出租的权利，房屋来源合法，不存在任何抵押、租赁、查封等权利受限情形。</w:t>
      </w:r>
    </w:p>
    <w:p w14:paraId="07121A65">
      <w:pPr>
        <w:overflowPunct w:val="0"/>
        <w:spacing w:line="480" w:lineRule="auto"/>
        <w:ind w:firstLine="420" w:firstLineChars="200"/>
        <w:jc w:val="both"/>
        <w:textAlignment w:val="auto"/>
        <w:rPr>
          <w:rFonts w:hint="default" w:ascii="Arial" w:hAnsi="Arial" w:cs="Arial"/>
          <w:kern w:val="2"/>
          <w:sz w:val="21"/>
          <w:szCs w:val="21"/>
          <w:highlight w:val="none"/>
          <w:lang w:val="en-US" w:eastAsia="zh-CN"/>
        </w:rPr>
      </w:pPr>
      <w:r>
        <w:rPr>
          <w:rFonts w:hint="eastAsia" w:ascii="Arial" w:hAnsi="Arial" w:eastAsia="宋体" w:cs="Arial"/>
          <w:sz w:val="21"/>
          <w:szCs w:val="21"/>
          <w:highlight w:val="none"/>
          <w:lang w:val="en-US" w:eastAsia="zh-CN"/>
        </w:rPr>
        <w:t>根据</w:t>
      </w:r>
      <w:r>
        <w:rPr>
          <w:rFonts w:hint="eastAsia" w:ascii="Arial" w:hAnsi="Arial" w:cs="Arial"/>
          <w:sz w:val="21"/>
          <w:szCs w:val="21"/>
          <w:highlight w:val="none"/>
          <w:lang w:eastAsia="zh-CN"/>
        </w:rPr>
        <w:t>《</w:t>
      </w:r>
      <w:r>
        <w:rPr>
          <w:rFonts w:hint="eastAsia" w:ascii="Arial" w:hAnsi="Arial" w:cs="Arial"/>
          <w:sz w:val="21"/>
          <w:szCs w:val="21"/>
          <w:highlight w:val="none"/>
          <w:lang w:val="en-US" w:eastAsia="zh-CN"/>
        </w:rPr>
        <w:t>房屋所有权证书》[X京房权证兴字第100091、102139、102135、102136、102140、102137、102138、103831、102031、110683、110394、110393、110397、110396、110395、110392、110389号]、</w:t>
      </w:r>
      <w:r>
        <w:rPr>
          <w:rFonts w:hint="eastAsia" w:ascii="Arial" w:hAnsi="Arial" w:cs="Arial"/>
          <w:sz w:val="21"/>
          <w:szCs w:val="21"/>
          <w:highlight w:val="none"/>
        </w:rPr>
        <w:t>《估价委托书》</w:t>
      </w:r>
      <w:r>
        <w:rPr>
          <w:rFonts w:hint="eastAsia" w:ascii="Arial" w:hAnsi="Arial" w:cs="Arial"/>
          <w:sz w:val="21"/>
          <w:szCs w:val="21"/>
          <w:highlight w:val="none"/>
          <w:lang w:eastAsia="zh-CN"/>
        </w:rPr>
        <w:t>、</w:t>
      </w:r>
      <w:r>
        <w:rPr>
          <w:rFonts w:hint="eastAsia" w:ascii="Arial" w:hAnsi="Arial" w:cs="Arial"/>
          <w:sz w:val="21"/>
          <w:szCs w:val="21"/>
          <w:highlight w:val="none"/>
          <w:lang w:val="en-US" w:eastAsia="zh-CN"/>
        </w:rPr>
        <w:t>《采育数字时尚小镇保障性住房趸组协议》及其附件，估价对象中</w:t>
      </w:r>
      <w:r>
        <w:rPr>
          <w:rFonts w:hint="eastAsia" w:ascii="Arial" w:hAnsi="Arial" w:cs="Arial"/>
          <w:kern w:val="2"/>
          <w:sz w:val="21"/>
          <w:szCs w:val="21"/>
          <w:highlight w:val="none"/>
          <w:lang w:eastAsia="zh-CN"/>
        </w:rPr>
        <w:t>北京市大兴区育林街2号院（育新花园中里）1号楼1单元101号等508套</w:t>
      </w:r>
      <w:r>
        <w:rPr>
          <w:rFonts w:hint="eastAsia" w:ascii="Arial" w:hAnsi="Arial" w:cs="Arial"/>
          <w:kern w:val="2"/>
          <w:sz w:val="21"/>
          <w:szCs w:val="21"/>
          <w:highlight w:val="none"/>
          <w:lang w:val="en-US" w:eastAsia="zh-CN"/>
        </w:rPr>
        <w:t>住宅用房，建筑面积42042.19平方米，房屋所有权人为北京兴创投资有限公司，房屋性质均为商品房。</w:t>
      </w:r>
    </w:p>
    <w:p w14:paraId="59D53329">
      <w:pPr>
        <w:overflowPunct w:val="0"/>
        <w:spacing w:line="480" w:lineRule="auto"/>
        <w:ind w:firstLine="420" w:firstLineChars="200"/>
        <w:jc w:val="both"/>
        <w:textAlignment w:val="auto"/>
        <w:rPr>
          <w:rFonts w:hint="eastAsia" w:ascii="Arial" w:hAnsi="Arial" w:cs="Arial"/>
          <w:kern w:val="2"/>
          <w:sz w:val="21"/>
          <w:szCs w:val="21"/>
          <w:highlight w:val="none"/>
          <w:lang w:val="en-US" w:eastAsia="zh-CN"/>
        </w:rPr>
      </w:pPr>
      <w:r>
        <w:rPr>
          <w:rFonts w:hint="eastAsia" w:ascii="Arial" w:hAnsi="Arial" w:eastAsia="宋体" w:cs="Arial"/>
          <w:sz w:val="21"/>
          <w:szCs w:val="21"/>
          <w:highlight w:val="none"/>
          <w:lang w:val="en-US" w:eastAsia="zh-CN"/>
        </w:rPr>
        <w:t>根据</w:t>
      </w:r>
      <w:r>
        <w:rPr>
          <w:rFonts w:hint="eastAsia" w:ascii="Arial" w:hAnsi="Arial" w:cs="Arial"/>
          <w:sz w:val="21"/>
          <w:szCs w:val="21"/>
          <w:highlight w:val="none"/>
          <w:lang w:eastAsia="zh-CN"/>
        </w:rPr>
        <w:t>《</w:t>
      </w:r>
      <w:r>
        <w:rPr>
          <w:rFonts w:hint="eastAsia" w:ascii="Arial" w:hAnsi="Arial" w:cs="Arial"/>
          <w:sz w:val="21"/>
          <w:szCs w:val="21"/>
          <w:highlight w:val="none"/>
          <w:lang w:val="en-US" w:eastAsia="zh-CN"/>
        </w:rPr>
        <w:t>房屋所有权证书》[X京房权证兴字第103107、103825号]、</w:t>
      </w:r>
      <w:r>
        <w:rPr>
          <w:rFonts w:hint="eastAsia" w:ascii="Arial" w:hAnsi="Arial" w:cs="Arial"/>
          <w:sz w:val="21"/>
          <w:szCs w:val="21"/>
          <w:highlight w:val="none"/>
        </w:rPr>
        <w:t>《估价委托书》</w:t>
      </w:r>
      <w:r>
        <w:rPr>
          <w:rFonts w:hint="eastAsia" w:ascii="Arial" w:hAnsi="Arial" w:cs="Arial"/>
          <w:sz w:val="21"/>
          <w:szCs w:val="21"/>
          <w:highlight w:val="none"/>
          <w:lang w:eastAsia="zh-CN"/>
        </w:rPr>
        <w:t>、</w:t>
      </w:r>
      <w:r>
        <w:rPr>
          <w:rFonts w:hint="eastAsia" w:ascii="Arial" w:hAnsi="Arial" w:cs="Arial"/>
          <w:sz w:val="21"/>
          <w:szCs w:val="21"/>
          <w:highlight w:val="none"/>
          <w:lang w:val="en-US" w:eastAsia="zh-CN"/>
        </w:rPr>
        <w:t>《采育数字时尚小镇保障性住房趸组协议》及其附件</w:t>
      </w:r>
      <w:r>
        <w:rPr>
          <w:rFonts w:hint="eastAsia" w:ascii="Arial" w:hAnsi="Arial" w:cs="Arial"/>
          <w:sz w:val="21"/>
          <w:szCs w:val="21"/>
          <w:highlight w:val="none"/>
          <w:lang w:eastAsia="zh-CN"/>
        </w:rPr>
        <w:t>，</w:t>
      </w:r>
      <w:r>
        <w:rPr>
          <w:rFonts w:hint="eastAsia" w:ascii="Arial" w:hAnsi="Arial" w:cs="Arial"/>
          <w:sz w:val="21"/>
          <w:szCs w:val="21"/>
          <w:highlight w:val="none"/>
          <w:lang w:val="en-US" w:eastAsia="zh-CN"/>
        </w:rPr>
        <w:t>估价对象</w:t>
      </w:r>
      <w:r>
        <w:rPr>
          <w:rFonts w:hint="eastAsia" w:ascii="Arial" w:hAnsi="Arial" w:cs="Arial"/>
          <w:kern w:val="2"/>
          <w:sz w:val="21"/>
          <w:szCs w:val="21"/>
          <w:highlight w:val="none"/>
          <w:lang w:eastAsia="zh-CN"/>
        </w:rPr>
        <w:t>北京市大兴区育林街8号院（育新花园西里）1号楼1单元102号等239套</w:t>
      </w:r>
      <w:r>
        <w:rPr>
          <w:rFonts w:hint="eastAsia" w:ascii="Arial" w:hAnsi="Arial" w:cs="Arial"/>
          <w:kern w:val="2"/>
          <w:sz w:val="21"/>
          <w:szCs w:val="21"/>
          <w:highlight w:val="none"/>
          <w:lang w:val="en-US" w:eastAsia="zh-CN"/>
        </w:rPr>
        <w:t>住宅用房，建筑面积19701.92平方米，房屋所有权人为北京兴创投资有限公司，房屋性质均为商品房。</w:t>
      </w:r>
    </w:p>
    <w:p w14:paraId="50F6552A">
      <w:pPr>
        <w:overflowPunct w:val="0"/>
        <w:spacing w:line="480" w:lineRule="auto"/>
        <w:ind w:firstLine="420" w:firstLineChars="200"/>
        <w:jc w:val="both"/>
        <w:textAlignment w:val="auto"/>
        <w:rPr>
          <w:rFonts w:hint="eastAsia" w:ascii="Arial" w:hAnsi="Arial" w:cs="Arial"/>
          <w:kern w:val="2"/>
          <w:sz w:val="21"/>
          <w:szCs w:val="21"/>
          <w:highlight w:val="none"/>
          <w:lang w:val="en-US" w:eastAsia="zh-CN"/>
        </w:rPr>
      </w:pPr>
      <w:r>
        <w:rPr>
          <w:rFonts w:hint="eastAsia" w:ascii="Arial" w:hAnsi="Arial" w:eastAsia="宋体" w:cs="Arial"/>
          <w:sz w:val="21"/>
          <w:szCs w:val="21"/>
          <w:highlight w:val="none"/>
          <w:lang w:val="en-US" w:eastAsia="zh-CN"/>
        </w:rPr>
        <w:t>根据</w:t>
      </w:r>
      <w:r>
        <w:rPr>
          <w:rFonts w:hint="eastAsia" w:ascii="Arial" w:hAnsi="Arial" w:cs="Arial"/>
          <w:sz w:val="21"/>
          <w:szCs w:val="21"/>
          <w:highlight w:val="none"/>
          <w:lang w:eastAsia="zh-CN"/>
        </w:rPr>
        <w:t>《</w:t>
      </w:r>
      <w:r>
        <w:rPr>
          <w:rFonts w:hint="eastAsia" w:ascii="Arial" w:hAnsi="Arial" w:cs="Arial"/>
          <w:sz w:val="21"/>
          <w:szCs w:val="21"/>
          <w:highlight w:val="none"/>
          <w:lang w:val="en-US" w:eastAsia="zh-CN"/>
        </w:rPr>
        <w:t>房屋所有权证书》[X京房权证兴字第146943、146944、102030、100093、102028号]、</w:t>
      </w:r>
      <w:r>
        <w:rPr>
          <w:rFonts w:hint="eastAsia" w:ascii="Arial" w:hAnsi="Arial" w:cs="Arial"/>
          <w:sz w:val="21"/>
          <w:szCs w:val="21"/>
          <w:highlight w:val="none"/>
        </w:rPr>
        <w:t>《估价委托书》</w:t>
      </w:r>
      <w:r>
        <w:rPr>
          <w:rFonts w:hint="eastAsia" w:ascii="Arial" w:hAnsi="Arial" w:cs="Arial"/>
          <w:sz w:val="21"/>
          <w:szCs w:val="21"/>
          <w:highlight w:val="none"/>
          <w:lang w:eastAsia="zh-CN"/>
        </w:rPr>
        <w:t>、</w:t>
      </w:r>
      <w:r>
        <w:rPr>
          <w:rFonts w:hint="eastAsia" w:ascii="Arial" w:hAnsi="Arial" w:cs="Arial"/>
          <w:sz w:val="21"/>
          <w:szCs w:val="21"/>
          <w:highlight w:val="none"/>
          <w:lang w:val="en-US" w:eastAsia="zh-CN"/>
        </w:rPr>
        <w:t>《采育数字时尚小镇保障性住房趸组协议》及其附件</w:t>
      </w:r>
      <w:r>
        <w:rPr>
          <w:rFonts w:hint="eastAsia" w:ascii="Arial" w:hAnsi="Arial" w:cs="Arial"/>
          <w:sz w:val="21"/>
          <w:szCs w:val="21"/>
          <w:highlight w:val="none"/>
          <w:lang w:eastAsia="zh-CN"/>
        </w:rPr>
        <w:t>，</w:t>
      </w:r>
      <w:r>
        <w:rPr>
          <w:rFonts w:hint="eastAsia" w:ascii="Arial" w:hAnsi="Arial" w:cs="Arial"/>
          <w:sz w:val="21"/>
          <w:szCs w:val="21"/>
          <w:highlight w:val="none"/>
          <w:lang w:val="en-US" w:eastAsia="zh-CN"/>
        </w:rPr>
        <w:t>估价对象</w:t>
      </w:r>
      <w:r>
        <w:rPr>
          <w:rFonts w:hint="eastAsia" w:ascii="Arial" w:hAnsi="Arial" w:cs="Arial"/>
          <w:kern w:val="2"/>
          <w:sz w:val="21"/>
          <w:szCs w:val="21"/>
          <w:highlight w:val="none"/>
          <w:lang w:eastAsia="zh-CN"/>
        </w:rPr>
        <w:t>北京市大兴区育仁街1号院（育新花园南里）1号楼2单元1501号等88套</w:t>
      </w:r>
      <w:r>
        <w:rPr>
          <w:rFonts w:hint="eastAsia" w:ascii="Arial" w:hAnsi="Arial" w:cs="Arial"/>
          <w:kern w:val="2"/>
          <w:sz w:val="21"/>
          <w:szCs w:val="21"/>
          <w:highlight w:val="none"/>
          <w:lang w:val="en-US" w:eastAsia="zh-CN"/>
        </w:rPr>
        <w:t>住宅用房，建筑面积7253.36平方米，房屋所有权人为北京兴创投资有限公司，房屋性质包含商品房、定向安置房。</w:t>
      </w:r>
    </w:p>
    <w:p w14:paraId="41783FCF">
      <w:pPr>
        <w:overflowPunct w:val="0"/>
        <w:spacing w:line="480" w:lineRule="auto"/>
        <w:ind w:firstLine="420" w:firstLineChars="200"/>
        <w:jc w:val="both"/>
        <w:textAlignment w:val="auto"/>
        <w:rPr>
          <w:rFonts w:hint="eastAsia" w:ascii="Arial" w:hAnsi="Arial" w:cs="Arial"/>
          <w:sz w:val="21"/>
          <w:szCs w:val="21"/>
          <w:highlight w:val="none"/>
        </w:rPr>
      </w:pPr>
      <w:r>
        <w:rPr>
          <w:rFonts w:hint="eastAsia" w:ascii="Arial" w:hAnsi="Arial" w:cs="Arial"/>
          <w:sz w:val="21"/>
          <w:szCs w:val="21"/>
          <w:highlight w:val="none"/>
          <w:lang w:val="en-US" w:eastAsia="zh-CN"/>
        </w:rPr>
        <w:t>另根据</w:t>
      </w:r>
      <w:r>
        <w:rPr>
          <w:rFonts w:hint="eastAsia" w:ascii="Arial" w:hAnsi="Arial" w:cs="Arial"/>
          <w:sz w:val="21"/>
          <w:szCs w:val="21"/>
          <w:highlight w:val="none"/>
          <w:lang w:eastAsia="zh-CN"/>
        </w:rPr>
        <w:t>《</w:t>
      </w:r>
      <w:r>
        <w:rPr>
          <w:rFonts w:hint="eastAsia" w:ascii="Arial" w:hAnsi="Arial" w:cs="Arial"/>
          <w:sz w:val="21"/>
          <w:szCs w:val="21"/>
          <w:highlight w:val="none"/>
          <w:lang w:val="en-US" w:eastAsia="zh-CN"/>
        </w:rPr>
        <w:t>北京市大兴区住房和城乡建设委员会 关于采育数字时尚小镇保障性住房使用管理有关问题的请示》[京兴建文（2025）123号]、《北京市大兴区住房和城乡建设委员会 关于采育数字时尚小镇保障性住房相关事宜专题会会议纪要》、《采育数字时尚小镇保障性住房趸组协议》及其附件、</w:t>
      </w:r>
      <w:r>
        <w:rPr>
          <w:rFonts w:hint="eastAsia" w:ascii="Arial" w:hAnsi="Arial" w:cs="Arial"/>
          <w:sz w:val="21"/>
          <w:szCs w:val="21"/>
          <w:highlight w:val="none"/>
        </w:rPr>
        <w:t>《估价委托书》</w:t>
      </w:r>
      <w:r>
        <w:rPr>
          <w:rFonts w:hint="eastAsia" w:ascii="Arial" w:hAnsi="Arial" w:cs="Arial"/>
          <w:sz w:val="21"/>
          <w:szCs w:val="21"/>
          <w:highlight w:val="none"/>
          <w:lang w:eastAsia="zh-CN"/>
        </w:rPr>
        <w:t>，</w:t>
      </w:r>
      <w:r>
        <w:rPr>
          <w:rFonts w:hint="eastAsia" w:ascii="Arial" w:hAnsi="Arial" w:cs="Arial"/>
          <w:sz w:val="21"/>
          <w:szCs w:val="21"/>
          <w:highlight w:val="none"/>
          <w:lang w:val="en-US" w:eastAsia="zh-CN"/>
        </w:rPr>
        <w:t>估价对象为</w:t>
      </w:r>
      <w:r>
        <w:rPr>
          <w:rFonts w:hint="eastAsia" w:ascii="Arial" w:hAnsi="Arial" w:cs="Arial"/>
          <w:kern w:val="2"/>
          <w:sz w:val="21"/>
          <w:szCs w:val="21"/>
          <w:highlight w:val="none"/>
          <w:lang w:eastAsia="zh-CN"/>
        </w:rPr>
        <w:t>北京市大兴区采育数字时尚小镇（育新花园）共计1324套</w:t>
      </w:r>
      <w:r>
        <w:rPr>
          <w:rFonts w:hint="eastAsia" w:ascii="Arial" w:hAnsi="Arial" w:cs="Arial"/>
          <w:kern w:val="2"/>
          <w:sz w:val="21"/>
          <w:szCs w:val="21"/>
          <w:highlight w:val="none"/>
        </w:rPr>
        <w:t>住宅</w:t>
      </w:r>
      <w:r>
        <w:rPr>
          <w:rFonts w:hint="eastAsia" w:ascii="Arial" w:hAnsi="Arial" w:cs="Arial"/>
          <w:kern w:val="2"/>
          <w:sz w:val="21"/>
          <w:szCs w:val="21"/>
          <w:highlight w:val="none"/>
          <w:lang w:val="en-US" w:eastAsia="zh-CN"/>
        </w:rPr>
        <w:t>用房</w:t>
      </w:r>
      <w:r>
        <w:rPr>
          <w:rFonts w:hint="eastAsia" w:ascii="Arial" w:hAnsi="Arial" w:cs="Arial"/>
          <w:kern w:val="2"/>
          <w:sz w:val="21"/>
          <w:szCs w:val="21"/>
          <w:highlight w:val="none"/>
          <w:lang w:eastAsia="zh-CN"/>
        </w:rPr>
        <w:t>，</w:t>
      </w:r>
      <w:r>
        <w:rPr>
          <w:rFonts w:hint="eastAsia" w:ascii="Arial" w:hAnsi="Arial" w:cs="Arial"/>
          <w:kern w:val="2"/>
          <w:sz w:val="21"/>
          <w:szCs w:val="21"/>
          <w:highlight w:val="none"/>
          <w:lang w:val="en-US" w:eastAsia="zh-CN"/>
        </w:rPr>
        <w:t>其中已转化人才公租房500套（现状为精装修），安置房剩余房源824套（现状为毛坯），总建筑面积106034.90平方米，其中，</w:t>
      </w:r>
      <w:r>
        <w:rPr>
          <w:rFonts w:hint="eastAsia" w:ascii="Arial" w:hAnsi="Arial" w:cs="Arial"/>
          <w:kern w:val="2"/>
          <w:sz w:val="21"/>
          <w:szCs w:val="21"/>
          <w:highlight w:val="none"/>
          <w:lang w:eastAsia="zh-CN"/>
        </w:rPr>
        <w:t>北京市大兴区育林街1号院（育新花园北里）4号楼1单元401号等489套，</w:t>
      </w:r>
      <w:r>
        <w:rPr>
          <w:rFonts w:hint="eastAsia" w:ascii="Arial" w:hAnsi="Arial" w:cs="Arial"/>
          <w:kern w:val="2"/>
          <w:sz w:val="21"/>
          <w:szCs w:val="21"/>
          <w:highlight w:val="none"/>
          <w:lang w:val="en-US" w:eastAsia="zh-CN"/>
        </w:rPr>
        <w:t>建筑面积37037.43平方米，回购主体为北京兴创投资有限公司；</w:t>
      </w:r>
      <w:r>
        <w:rPr>
          <w:rFonts w:hint="eastAsia" w:ascii="Arial" w:hAnsi="Arial" w:cs="Arial"/>
          <w:kern w:val="2"/>
          <w:sz w:val="21"/>
          <w:szCs w:val="21"/>
          <w:highlight w:val="none"/>
          <w:lang w:eastAsia="zh-CN"/>
        </w:rPr>
        <w:t>北京市大兴区育林街2号院（育新花园中里）1号楼1单元101号等508套 、育林街8号院（育新花园西里）1号楼1单元102号等239套、育仁街1号院（育新花园南里）1号楼2单元1501号等88套，</w:t>
      </w:r>
      <w:r>
        <w:rPr>
          <w:rFonts w:hint="eastAsia" w:ascii="Arial" w:hAnsi="Arial" w:cs="Arial"/>
          <w:kern w:val="2"/>
          <w:sz w:val="21"/>
          <w:szCs w:val="21"/>
          <w:highlight w:val="none"/>
          <w:lang w:val="en-US" w:eastAsia="zh-CN"/>
        </w:rPr>
        <w:t>建筑面积68997.47平方米，产权主体为北京兴创投资有限公司，由北京市大兴区保障性住房建设投资有限公司负责房源出租及运营管理。估价对象</w:t>
      </w:r>
      <w:r>
        <w:rPr>
          <w:rFonts w:hint="eastAsia" w:ascii="Arial" w:hAnsi="Arial" w:cs="Arial"/>
          <w:sz w:val="21"/>
          <w:szCs w:val="21"/>
          <w:highlight w:val="none"/>
        </w:rPr>
        <w:t>具体情况如下：</w:t>
      </w:r>
    </w:p>
    <w:p w14:paraId="49D3542C">
      <w:pPr>
        <w:keepNext w:val="0"/>
        <w:keepLines w:val="0"/>
        <w:pageBreakBefore w:val="0"/>
        <w:widowControl w:val="0"/>
        <w:kinsoku/>
        <w:wordWrap/>
        <w:overflowPunct w:val="0"/>
        <w:topLinePunct w:val="0"/>
        <w:autoSpaceDE/>
        <w:autoSpaceDN/>
        <w:bidi w:val="0"/>
        <w:adjustRightInd w:val="0"/>
        <w:snapToGrid/>
        <w:spacing w:line="360" w:lineRule="auto"/>
        <w:jc w:val="center"/>
        <w:textAlignment w:val="auto"/>
        <w:rPr>
          <w:rFonts w:hint="default" w:ascii="Arial" w:hAnsi="Arial" w:eastAsia="宋体" w:cs="Arial"/>
          <w:b/>
          <w:bCs/>
          <w:sz w:val="21"/>
          <w:szCs w:val="21"/>
          <w:highlight w:val="none"/>
          <w:lang w:val="en-US" w:eastAsia="zh-CN"/>
        </w:rPr>
      </w:pPr>
      <w:r>
        <w:rPr>
          <w:rFonts w:hint="eastAsia" w:ascii="Arial" w:hAnsi="Arial" w:cs="Arial"/>
          <w:b/>
          <w:bCs/>
          <w:sz w:val="21"/>
          <w:szCs w:val="21"/>
          <w:highlight w:val="none"/>
          <w:lang w:val="en-US" w:eastAsia="zh-CN"/>
        </w:rPr>
        <w:t>估价对象明细表</w:t>
      </w:r>
    </w:p>
    <w:tbl>
      <w:tblPr>
        <w:tblStyle w:val="33"/>
        <w:tblW w:w="9259" w:type="dxa"/>
        <w:tblInd w:w="113" w:type="dxa"/>
        <w:tblLayout w:type="fixed"/>
        <w:tblCellMar>
          <w:top w:w="0" w:type="dxa"/>
          <w:left w:w="108" w:type="dxa"/>
          <w:bottom w:w="0" w:type="dxa"/>
          <w:right w:w="108" w:type="dxa"/>
        </w:tblCellMar>
      </w:tblPr>
      <w:tblGrid>
        <w:gridCol w:w="779"/>
        <w:gridCol w:w="1332"/>
        <w:gridCol w:w="4008"/>
        <w:gridCol w:w="612"/>
        <w:gridCol w:w="924"/>
        <w:gridCol w:w="1604"/>
      </w:tblGrid>
      <w:tr w14:paraId="1DA7AD79">
        <w:tblPrEx>
          <w:tblCellMar>
            <w:top w:w="0" w:type="dxa"/>
            <w:left w:w="108" w:type="dxa"/>
            <w:bottom w:w="0" w:type="dxa"/>
            <w:right w:w="108" w:type="dxa"/>
          </w:tblCellMar>
        </w:tblPrEx>
        <w:trPr>
          <w:trHeight w:val="276" w:hRule="atLeast"/>
        </w:trPr>
        <w:tc>
          <w:tcPr>
            <w:tcW w:w="77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C230EB5">
            <w:pPr>
              <w:widowControl/>
              <w:adjustRightInd/>
              <w:spacing w:line="240" w:lineRule="auto"/>
              <w:jc w:val="center"/>
              <w:textAlignment w:val="auto"/>
              <w:rPr>
                <w:rFonts w:ascii="华文细黑" w:hAnsi="华文细黑" w:eastAsia="华文细黑" w:cs="Arial"/>
                <w:b/>
                <w:bCs/>
                <w:sz w:val="18"/>
                <w:szCs w:val="18"/>
                <w:highlight w:val="none"/>
              </w:rPr>
            </w:pPr>
            <w:r>
              <w:rPr>
                <w:rFonts w:ascii="华文细黑" w:hAnsi="华文细黑" w:eastAsia="华文细黑" w:cs="Arial"/>
                <w:b/>
                <w:bCs/>
                <w:sz w:val="18"/>
                <w:szCs w:val="18"/>
                <w:highlight w:val="none"/>
              </w:rPr>
              <w:t>户型</w:t>
            </w:r>
          </w:p>
        </w:tc>
        <w:tc>
          <w:tcPr>
            <w:tcW w:w="1332" w:type="dxa"/>
            <w:tcBorders>
              <w:top w:val="single" w:color="auto" w:sz="4" w:space="0"/>
              <w:left w:val="nil"/>
              <w:bottom w:val="single" w:color="auto" w:sz="4" w:space="0"/>
              <w:right w:val="single" w:color="auto" w:sz="4" w:space="0"/>
            </w:tcBorders>
            <w:shd w:val="clear" w:color="auto" w:fill="auto"/>
            <w:noWrap/>
            <w:vAlign w:val="center"/>
          </w:tcPr>
          <w:p w14:paraId="6FC4B22C">
            <w:pPr>
              <w:widowControl/>
              <w:adjustRightInd/>
              <w:spacing w:line="240" w:lineRule="auto"/>
              <w:jc w:val="center"/>
              <w:textAlignment w:val="auto"/>
              <w:rPr>
                <w:rFonts w:ascii="华文细黑" w:hAnsi="华文细黑" w:eastAsia="华文细黑" w:cs="Arial"/>
                <w:b/>
                <w:bCs/>
                <w:sz w:val="18"/>
                <w:szCs w:val="18"/>
                <w:highlight w:val="none"/>
              </w:rPr>
            </w:pPr>
            <w:r>
              <w:rPr>
                <w:rFonts w:ascii="华文细黑" w:hAnsi="华文细黑" w:eastAsia="华文细黑" w:cs="Arial"/>
                <w:b/>
                <w:bCs/>
                <w:sz w:val="18"/>
                <w:szCs w:val="18"/>
                <w:highlight w:val="none"/>
              </w:rPr>
              <w:t>面积（平方米）</w:t>
            </w:r>
          </w:p>
        </w:tc>
        <w:tc>
          <w:tcPr>
            <w:tcW w:w="4008" w:type="dxa"/>
            <w:tcBorders>
              <w:top w:val="single" w:color="auto" w:sz="4" w:space="0"/>
              <w:left w:val="nil"/>
              <w:bottom w:val="single" w:color="auto" w:sz="4" w:space="0"/>
              <w:right w:val="single" w:color="auto" w:sz="4" w:space="0"/>
            </w:tcBorders>
            <w:shd w:val="clear" w:color="auto" w:fill="auto"/>
            <w:noWrap/>
            <w:vAlign w:val="center"/>
          </w:tcPr>
          <w:p w14:paraId="0037BCF9">
            <w:pPr>
              <w:widowControl/>
              <w:adjustRightInd/>
              <w:spacing w:line="240" w:lineRule="auto"/>
              <w:jc w:val="center"/>
              <w:textAlignment w:val="auto"/>
              <w:rPr>
                <w:rFonts w:hint="default" w:ascii="华文细黑" w:hAnsi="华文细黑" w:eastAsia="华文细黑" w:cs="Arial"/>
                <w:b/>
                <w:bCs/>
                <w:sz w:val="18"/>
                <w:szCs w:val="18"/>
                <w:highlight w:val="none"/>
                <w:lang w:val="en-US" w:eastAsia="zh-CN"/>
              </w:rPr>
            </w:pPr>
            <w:r>
              <w:rPr>
                <w:rFonts w:hint="eastAsia" w:ascii="华文细黑" w:hAnsi="华文细黑" w:eastAsia="华文细黑" w:cs="Arial"/>
                <w:b/>
                <w:bCs/>
                <w:sz w:val="18"/>
                <w:szCs w:val="18"/>
                <w:highlight w:val="none"/>
                <w:lang w:val="en-US" w:eastAsia="zh-CN"/>
              </w:rPr>
              <w:t>所在楼栋</w:t>
            </w:r>
          </w:p>
        </w:tc>
        <w:tc>
          <w:tcPr>
            <w:tcW w:w="612" w:type="dxa"/>
            <w:tcBorders>
              <w:top w:val="single" w:color="auto" w:sz="4" w:space="0"/>
              <w:left w:val="nil"/>
              <w:bottom w:val="single" w:color="auto" w:sz="4" w:space="0"/>
              <w:right w:val="single" w:color="auto" w:sz="4" w:space="0"/>
            </w:tcBorders>
            <w:shd w:val="clear" w:color="auto" w:fill="auto"/>
            <w:noWrap/>
            <w:vAlign w:val="center"/>
          </w:tcPr>
          <w:p w14:paraId="6561D843">
            <w:pPr>
              <w:widowControl/>
              <w:adjustRightInd/>
              <w:spacing w:line="240" w:lineRule="auto"/>
              <w:jc w:val="center"/>
              <w:textAlignment w:val="auto"/>
              <w:rPr>
                <w:rFonts w:ascii="华文细黑" w:hAnsi="华文细黑" w:eastAsia="华文细黑" w:cs="Arial"/>
                <w:b/>
                <w:bCs/>
                <w:sz w:val="18"/>
                <w:szCs w:val="18"/>
                <w:highlight w:val="none"/>
              </w:rPr>
            </w:pPr>
            <w:r>
              <w:rPr>
                <w:rFonts w:ascii="华文细黑" w:hAnsi="华文细黑" w:eastAsia="华文细黑" w:cs="Arial"/>
                <w:b/>
                <w:bCs/>
                <w:sz w:val="18"/>
                <w:szCs w:val="18"/>
                <w:highlight w:val="none"/>
              </w:rPr>
              <w:t>朝向</w:t>
            </w:r>
          </w:p>
        </w:tc>
        <w:tc>
          <w:tcPr>
            <w:tcW w:w="924" w:type="dxa"/>
            <w:tcBorders>
              <w:top w:val="single" w:color="auto" w:sz="4" w:space="0"/>
              <w:left w:val="nil"/>
              <w:bottom w:val="single" w:color="auto" w:sz="4" w:space="0"/>
              <w:right w:val="single" w:color="auto" w:sz="4" w:space="0"/>
            </w:tcBorders>
            <w:shd w:val="clear" w:color="auto" w:fill="auto"/>
            <w:noWrap/>
            <w:vAlign w:val="center"/>
          </w:tcPr>
          <w:p w14:paraId="75E86095">
            <w:pPr>
              <w:widowControl/>
              <w:adjustRightInd/>
              <w:spacing w:line="240" w:lineRule="auto"/>
              <w:jc w:val="center"/>
              <w:textAlignment w:val="auto"/>
              <w:rPr>
                <w:rFonts w:ascii="华文细黑" w:hAnsi="华文细黑" w:eastAsia="华文细黑" w:cs="Arial"/>
                <w:b/>
                <w:bCs/>
                <w:sz w:val="18"/>
                <w:szCs w:val="18"/>
                <w:highlight w:val="none"/>
              </w:rPr>
            </w:pPr>
            <w:r>
              <w:rPr>
                <w:rFonts w:ascii="华文细黑" w:hAnsi="华文细黑" w:eastAsia="华文细黑" w:cs="Arial"/>
                <w:b/>
                <w:bCs/>
                <w:sz w:val="18"/>
                <w:szCs w:val="18"/>
                <w:highlight w:val="none"/>
              </w:rPr>
              <w:t>套数（套）</w:t>
            </w:r>
          </w:p>
        </w:tc>
        <w:tc>
          <w:tcPr>
            <w:tcW w:w="1604" w:type="dxa"/>
            <w:tcBorders>
              <w:top w:val="single" w:color="auto" w:sz="4" w:space="0"/>
              <w:left w:val="nil"/>
              <w:bottom w:val="single" w:color="auto" w:sz="4" w:space="0"/>
              <w:right w:val="single" w:color="auto" w:sz="4" w:space="0"/>
            </w:tcBorders>
            <w:shd w:val="clear" w:color="auto" w:fill="auto"/>
            <w:noWrap/>
            <w:vAlign w:val="center"/>
          </w:tcPr>
          <w:p w14:paraId="2E94584F">
            <w:pPr>
              <w:widowControl/>
              <w:adjustRightInd/>
              <w:spacing w:line="240" w:lineRule="auto"/>
              <w:jc w:val="center"/>
              <w:textAlignment w:val="auto"/>
              <w:rPr>
                <w:rFonts w:ascii="华文细黑" w:hAnsi="华文细黑" w:eastAsia="华文细黑" w:cs="Arial"/>
                <w:b/>
                <w:bCs/>
                <w:sz w:val="18"/>
                <w:szCs w:val="18"/>
                <w:highlight w:val="none"/>
              </w:rPr>
            </w:pPr>
            <w:r>
              <w:rPr>
                <w:rFonts w:ascii="华文细黑" w:hAnsi="华文细黑" w:eastAsia="华文细黑" w:cs="Arial"/>
                <w:b/>
                <w:bCs/>
                <w:sz w:val="18"/>
                <w:szCs w:val="18"/>
                <w:highlight w:val="none"/>
              </w:rPr>
              <w:t>总</w:t>
            </w:r>
            <w:r>
              <w:rPr>
                <w:rFonts w:hint="eastAsia" w:ascii="华文细黑" w:hAnsi="华文细黑" w:eastAsia="华文细黑" w:cs="Arial"/>
                <w:b/>
                <w:bCs/>
                <w:sz w:val="18"/>
                <w:szCs w:val="18"/>
                <w:highlight w:val="none"/>
                <w:lang w:val="en-US" w:eastAsia="zh-CN"/>
              </w:rPr>
              <w:t>建筑</w:t>
            </w:r>
            <w:r>
              <w:rPr>
                <w:rFonts w:ascii="华文细黑" w:hAnsi="华文细黑" w:eastAsia="华文细黑" w:cs="Arial"/>
                <w:b/>
                <w:bCs/>
                <w:sz w:val="18"/>
                <w:szCs w:val="18"/>
                <w:highlight w:val="none"/>
              </w:rPr>
              <w:t>面积（平方米）</w:t>
            </w:r>
          </w:p>
        </w:tc>
      </w:tr>
      <w:tr w14:paraId="55A3B5CE">
        <w:tblPrEx>
          <w:tblCellMar>
            <w:top w:w="0" w:type="dxa"/>
            <w:left w:w="108" w:type="dxa"/>
            <w:bottom w:w="0" w:type="dxa"/>
            <w:right w:w="108" w:type="dxa"/>
          </w:tblCellMar>
        </w:tblPrEx>
        <w:trPr>
          <w:trHeight w:val="276" w:hRule="atLeast"/>
        </w:trPr>
        <w:tc>
          <w:tcPr>
            <w:tcW w:w="779" w:type="dxa"/>
            <w:vMerge w:val="restart"/>
            <w:tcBorders>
              <w:top w:val="nil"/>
              <w:left w:val="single" w:color="auto" w:sz="4" w:space="0"/>
              <w:right w:val="single" w:color="auto" w:sz="4" w:space="0"/>
            </w:tcBorders>
            <w:shd w:val="clear" w:color="auto" w:fill="auto"/>
            <w:noWrap/>
            <w:vAlign w:val="center"/>
          </w:tcPr>
          <w:p w14:paraId="4B52CDCA">
            <w:pPr>
              <w:widowControl/>
              <w:adjustRightInd/>
              <w:spacing w:line="240" w:lineRule="auto"/>
              <w:jc w:val="center"/>
              <w:textAlignment w:val="auto"/>
              <w:rPr>
                <w:rFonts w:ascii="华文细黑" w:hAnsi="华文细黑" w:eastAsia="华文细黑" w:cs="Arial"/>
                <w:b/>
                <w:bCs/>
                <w:sz w:val="18"/>
                <w:szCs w:val="18"/>
                <w:highlight w:val="none"/>
              </w:rPr>
            </w:pPr>
            <w:r>
              <w:rPr>
                <w:rFonts w:ascii="华文细黑" w:hAnsi="华文细黑" w:eastAsia="华文细黑" w:cs="Arial"/>
                <w:b/>
                <w:bCs/>
                <w:sz w:val="18"/>
                <w:szCs w:val="18"/>
                <w:highlight w:val="none"/>
              </w:rPr>
              <w:t>一居室</w:t>
            </w:r>
          </w:p>
        </w:tc>
        <w:tc>
          <w:tcPr>
            <w:tcW w:w="1332" w:type="dxa"/>
            <w:tcBorders>
              <w:top w:val="nil"/>
              <w:left w:val="nil"/>
              <w:bottom w:val="single" w:color="auto" w:sz="4" w:space="0"/>
              <w:right w:val="single" w:color="auto" w:sz="4" w:space="0"/>
            </w:tcBorders>
            <w:shd w:val="clear" w:color="auto" w:fill="auto"/>
            <w:noWrap/>
            <w:vAlign w:val="center"/>
          </w:tcPr>
          <w:p w14:paraId="7453D062">
            <w:pPr>
              <w:widowControl/>
              <w:adjustRightInd/>
              <w:spacing w:line="240" w:lineRule="auto"/>
              <w:jc w:val="center"/>
              <w:textAlignment w:val="auto"/>
              <w:rPr>
                <w:rFonts w:ascii="华文细黑" w:hAnsi="华文细黑" w:eastAsia="华文细黑" w:cs="Arial"/>
                <w:sz w:val="18"/>
                <w:szCs w:val="18"/>
                <w:highlight w:val="none"/>
              </w:rPr>
            </w:pPr>
            <w:r>
              <w:rPr>
                <w:rFonts w:hint="eastAsia" w:ascii="华文细黑" w:hAnsi="华文细黑" w:eastAsia="华文细黑" w:cs="Arial"/>
                <w:sz w:val="18"/>
                <w:szCs w:val="18"/>
                <w:highlight w:val="none"/>
              </w:rPr>
              <w:t>52.63-69.91</w:t>
            </w:r>
          </w:p>
        </w:tc>
        <w:tc>
          <w:tcPr>
            <w:tcW w:w="4008" w:type="dxa"/>
            <w:tcBorders>
              <w:top w:val="nil"/>
              <w:left w:val="nil"/>
              <w:bottom w:val="single" w:color="auto" w:sz="4" w:space="0"/>
              <w:right w:val="single" w:color="auto" w:sz="4" w:space="0"/>
            </w:tcBorders>
            <w:shd w:val="clear" w:color="auto" w:fill="auto"/>
            <w:noWrap/>
            <w:vAlign w:val="center"/>
          </w:tcPr>
          <w:p w14:paraId="6930B147">
            <w:pPr>
              <w:widowControl/>
              <w:adjustRightInd/>
              <w:spacing w:line="240" w:lineRule="auto"/>
              <w:jc w:val="center"/>
              <w:textAlignment w:val="auto"/>
              <w:rPr>
                <w:rFonts w:ascii="华文细黑" w:hAnsi="华文细黑" w:eastAsia="华文细黑" w:cs="Arial"/>
                <w:sz w:val="18"/>
                <w:szCs w:val="18"/>
                <w:highlight w:val="none"/>
              </w:rPr>
            </w:pPr>
            <w:r>
              <w:rPr>
                <w:rFonts w:hint="eastAsia" w:ascii="华文细黑" w:hAnsi="华文细黑" w:eastAsia="华文细黑" w:cs="Arial"/>
                <w:sz w:val="18"/>
                <w:szCs w:val="18"/>
                <w:highlight w:val="none"/>
              </w:rPr>
              <w:t>育林街1号院4、5、20号楼；育林街2号院4、6、7、12、13、14、15、17、18、23号楼；育林街8号院2-4、7、8号楼；育仁街1号院5、6、7、10号楼</w:t>
            </w:r>
          </w:p>
        </w:tc>
        <w:tc>
          <w:tcPr>
            <w:tcW w:w="612" w:type="dxa"/>
            <w:tcBorders>
              <w:top w:val="nil"/>
              <w:left w:val="nil"/>
              <w:bottom w:val="single" w:color="auto" w:sz="4" w:space="0"/>
              <w:right w:val="single" w:color="auto" w:sz="4" w:space="0"/>
            </w:tcBorders>
            <w:shd w:val="clear" w:color="auto" w:fill="auto"/>
            <w:noWrap/>
            <w:vAlign w:val="center"/>
          </w:tcPr>
          <w:p w14:paraId="59883AF8">
            <w:pPr>
              <w:widowControl/>
              <w:adjustRightInd/>
              <w:spacing w:line="240" w:lineRule="auto"/>
              <w:jc w:val="center"/>
              <w:textAlignment w:val="auto"/>
              <w:rPr>
                <w:rFonts w:ascii="华文细黑" w:hAnsi="华文细黑" w:eastAsia="华文细黑" w:cs="Arial"/>
                <w:sz w:val="18"/>
                <w:szCs w:val="18"/>
                <w:highlight w:val="none"/>
              </w:rPr>
            </w:pPr>
            <w:r>
              <w:rPr>
                <w:rFonts w:ascii="华文细黑" w:hAnsi="华文细黑" w:eastAsia="华文细黑" w:cs="Arial"/>
                <w:sz w:val="18"/>
                <w:szCs w:val="18"/>
                <w:highlight w:val="none"/>
              </w:rPr>
              <w:t>南北</w:t>
            </w:r>
          </w:p>
        </w:tc>
        <w:tc>
          <w:tcPr>
            <w:tcW w:w="924" w:type="dxa"/>
            <w:tcBorders>
              <w:top w:val="nil"/>
              <w:left w:val="nil"/>
              <w:bottom w:val="single" w:color="auto" w:sz="4" w:space="0"/>
              <w:right w:val="single" w:color="auto" w:sz="4" w:space="0"/>
            </w:tcBorders>
            <w:shd w:val="clear" w:color="auto" w:fill="auto"/>
            <w:noWrap/>
            <w:vAlign w:val="center"/>
          </w:tcPr>
          <w:p w14:paraId="04F6BC14">
            <w:pPr>
              <w:widowControl/>
              <w:adjustRightInd/>
              <w:spacing w:line="240" w:lineRule="auto"/>
              <w:jc w:val="center"/>
              <w:textAlignment w:val="auto"/>
              <w:rPr>
                <w:rFonts w:hint="default" w:ascii="华文细黑" w:hAnsi="华文细黑" w:eastAsia="华文细黑" w:cs="Arial"/>
                <w:sz w:val="18"/>
                <w:szCs w:val="18"/>
                <w:highlight w:val="none"/>
                <w:lang w:val="en-US" w:eastAsia="zh-CN"/>
              </w:rPr>
            </w:pPr>
            <w:r>
              <w:rPr>
                <w:rFonts w:hint="eastAsia" w:ascii="华文细黑" w:hAnsi="华文细黑" w:eastAsia="华文细黑" w:cs="Arial"/>
                <w:sz w:val="18"/>
                <w:szCs w:val="18"/>
                <w:highlight w:val="none"/>
                <w:lang w:val="en-US" w:eastAsia="zh-CN"/>
              </w:rPr>
              <w:t>378</w:t>
            </w:r>
          </w:p>
        </w:tc>
        <w:tc>
          <w:tcPr>
            <w:tcW w:w="1604" w:type="dxa"/>
            <w:tcBorders>
              <w:top w:val="nil"/>
              <w:left w:val="nil"/>
              <w:bottom w:val="single" w:color="auto" w:sz="4" w:space="0"/>
              <w:right w:val="single" w:color="auto" w:sz="4" w:space="0"/>
            </w:tcBorders>
            <w:shd w:val="clear" w:color="auto" w:fill="auto"/>
            <w:noWrap/>
            <w:vAlign w:val="center"/>
          </w:tcPr>
          <w:p w14:paraId="554679B2">
            <w:pPr>
              <w:widowControl/>
              <w:adjustRightInd/>
              <w:spacing w:line="240" w:lineRule="auto"/>
              <w:jc w:val="center"/>
              <w:textAlignment w:val="auto"/>
              <w:rPr>
                <w:rFonts w:hint="default" w:ascii="华文细黑" w:hAnsi="华文细黑" w:eastAsia="华文细黑" w:cs="Arial"/>
                <w:sz w:val="18"/>
                <w:szCs w:val="18"/>
                <w:highlight w:val="none"/>
                <w:lang w:val="en-US" w:eastAsia="zh-CN"/>
              </w:rPr>
            </w:pPr>
            <w:r>
              <w:rPr>
                <w:rFonts w:hint="eastAsia" w:ascii="华文细黑" w:hAnsi="华文细黑" w:eastAsia="华文细黑" w:cs="Arial"/>
                <w:sz w:val="18"/>
                <w:szCs w:val="18"/>
                <w:highlight w:val="none"/>
                <w:lang w:val="en-US" w:eastAsia="zh-CN"/>
              </w:rPr>
              <w:t>25149.84</w:t>
            </w:r>
          </w:p>
        </w:tc>
      </w:tr>
      <w:tr w14:paraId="30278C4A">
        <w:tblPrEx>
          <w:tblCellMar>
            <w:top w:w="0" w:type="dxa"/>
            <w:left w:w="108" w:type="dxa"/>
            <w:bottom w:w="0" w:type="dxa"/>
            <w:right w:w="108" w:type="dxa"/>
          </w:tblCellMar>
        </w:tblPrEx>
        <w:trPr>
          <w:trHeight w:val="276" w:hRule="atLeast"/>
        </w:trPr>
        <w:tc>
          <w:tcPr>
            <w:tcW w:w="779" w:type="dxa"/>
            <w:vMerge w:val="continue"/>
            <w:tcBorders>
              <w:left w:val="single" w:color="auto" w:sz="4" w:space="0"/>
              <w:bottom w:val="single" w:color="auto" w:sz="4" w:space="0"/>
              <w:right w:val="single" w:color="auto" w:sz="4" w:space="0"/>
            </w:tcBorders>
            <w:shd w:val="clear" w:color="auto" w:fill="auto"/>
            <w:noWrap/>
            <w:vAlign w:val="center"/>
          </w:tcPr>
          <w:p w14:paraId="21AEFCB7">
            <w:pPr>
              <w:widowControl/>
              <w:adjustRightInd/>
              <w:spacing w:line="240" w:lineRule="auto"/>
              <w:jc w:val="center"/>
              <w:textAlignment w:val="auto"/>
              <w:rPr>
                <w:rFonts w:ascii="华文细黑" w:hAnsi="华文细黑" w:eastAsia="华文细黑" w:cs="Arial"/>
                <w:b/>
                <w:bCs/>
                <w:sz w:val="18"/>
                <w:szCs w:val="18"/>
                <w:highlight w:val="none"/>
              </w:rPr>
            </w:pPr>
          </w:p>
        </w:tc>
        <w:tc>
          <w:tcPr>
            <w:tcW w:w="1332" w:type="dxa"/>
            <w:tcBorders>
              <w:top w:val="nil"/>
              <w:left w:val="nil"/>
              <w:bottom w:val="single" w:color="auto" w:sz="4" w:space="0"/>
              <w:right w:val="single" w:color="auto" w:sz="4" w:space="0"/>
            </w:tcBorders>
            <w:shd w:val="clear" w:color="auto" w:fill="auto"/>
            <w:noWrap/>
            <w:vAlign w:val="center"/>
          </w:tcPr>
          <w:p w14:paraId="344F7427">
            <w:pPr>
              <w:widowControl/>
              <w:adjustRightInd/>
              <w:spacing w:line="240" w:lineRule="auto"/>
              <w:jc w:val="center"/>
              <w:textAlignment w:val="auto"/>
              <w:rPr>
                <w:rFonts w:hint="eastAsia" w:ascii="华文细黑" w:hAnsi="华文细黑" w:eastAsia="华文细黑" w:cs="Arial"/>
                <w:b/>
                <w:bCs/>
                <w:sz w:val="18"/>
                <w:szCs w:val="18"/>
                <w:highlight w:val="none"/>
              </w:rPr>
            </w:pPr>
            <w:r>
              <w:rPr>
                <w:rFonts w:hint="eastAsia" w:ascii="华文细黑" w:hAnsi="华文细黑" w:eastAsia="华文细黑" w:cs="Arial"/>
                <w:b/>
                <w:bCs/>
                <w:sz w:val="18"/>
                <w:szCs w:val="18"/>
                <w:highlight w:val="none"/>
                <w:lang w:val="en-US" w:eastAsia="zh-CN"/>
              </w:rPr>
              <w:t>小计</w:t>
            </w:r>
          </w:p>
        </w:tc>
        <w:tc>
          <w:tcPr>
            <w:tcW w:w="4008" w:type="dxa"/>
            <w:tcBorders>
              <w:top w:val="nil"/>
              <w:left w:val="nil"/>
              <w:bottom w:val="single" w:color="auto" w:sz="4" w:space="0"/>
              <w:right w:val="single" w:color="auto" w:sz="4" w:space="0"/>
            </w:tcBorders>
            <w:shd w:val="clear" w:color="auto" w:fill="auto"/>
            <w:noWrap/>
            <w:vAlign w:val="center"/>
          </w:tcPr>
          <w:p w14:paraId="5A2E77FA">
            <w:pPr>
              <w:widowControl/>
              <w:adjustRightInd/>
              <w:spacing w:line="240" w:lineRule="auto"/>
              <w:jc w:val="center"/>
              <w:textAlignment w:val="auto"/>
              <w:rPr>
                <w:rFonts w:hint="eastAsia" w:ascii="华文细黑" w:hAnsi="华文细黑" w:eastAsia="华文细黑" w:cs="Arial"/>
                <w:b/>
                <w:bCs/>
                <w:sz w:val="18"/>
                <w:szCs w:val="18"/>
                <w:highlight w:val="none"/>
                <w:lang w:val="en-US" w:eastAsia="zh-CN"/>
              </w:rPr>
            </w:pPr>
            <w:r>
              <w:rPr>
                <w:rFonts w:hint="eastAsia" w:ascii="华文细黑" w:hAnsi="华文细黑" w:eastAsia="华文细黑" w:cs="Arial"/>
                <w:b/>
                <w:bCs/>
                <w:sz w:val="18"/>
                <w:szCs w:val="18"/>
                <w:highlight w:val="none"/>
                <w:lang w:val="en-US" w:eastAsia="zh-CN"/>
              </w:rPr>
              <w:t>-</w:t>
            </w:r>
          </w:p>
        </w:tc>
        <w:tc>
          <w:tcPr>
            <w:tcW w:w="612" w:type="dxa"/>
            <w:tcBorders>
              <w:top w:val="nil"/>
              <w:left w:val="nil"/>
              <w:bottom w:val="single" w:color="auto" w:sz="4" w:space="0"/>
              <w:right w:val="single" w:color="auto" w:sz="4" w:space="0"/>
            </w:tcBorders>
            <w:shd w:val="clear" w:color="auto" w:fill="auto"/>
            <w:noWrap/>
            <w:vAlign w:val="center"/>
          </w:tcPr>
          <w:p w14:paraId="380CDAC1">
            <w:pPr>
              <w:widowControl/>
              <w:adjustRightInd/>
              <w:spacing w:line="240" w:lineRule="auto"/>
              <w:jc w:val="center"/>
              <w:textAlignment w:val="auto"/>
              <w:rPr>
                <w:rFonts w:hint="eastAsia" w:ascii="华文细黑" w:hAnsi="华文细黑" w:eastAsia="华文细黑" w:cs="Arial"/>
                <w:b/>
                <w:bCs/>
                <w:sz w:val="18"/>
                <w:szCs w:val="18"/>
                <w:highlight w:val="none"/>
                <w:lang w:val="en-US" w:eastAsia="zh-CN"/>
              </w:rPr>
            </w:pPr>
            <w:r>
              <w:rPr>
                <w:rFonts w:hint="eastAsia" w:ascii="华文细黑" w:hAnsi="华文细黑" w:eastAsia="华文细黑" w:cs="Arial"/>
                <w:b/>
                <w:bCs/>
                <w:sz w:val="18"/>
                <w:szCs w:val="18"/>
                <w:highlight w:val="none"/>
                <w:lang w:val="en-US" w:eastAsia="zh-CN"/>
              </w:rPr>
              <w:t>-</w:t>
            </w:r>
          </w:p>
        </w:tc>
        <w:tc>
          <w:tcPr>
            <w:tcW w:w="924" w:type="dxa"/>
            <w:tcBorders>
              <w:top w:val="nil"/>
              <w:left w:val="nil"/>
              <w:bottom w:val="single" w:color="auto" w:sz="4" w:space="0"/>
              <w:right w:val="single" w:color="auto" w:sz="4" w:space="0"/>
            </w:tcBorders>
            <w:shd w:val="clear" w:color="auto" w:fill="auto"/>
            <w:noWrap/>
            <w:vAlign w:val="center"/>
          </w:tcPr>
          <w:p w14:paraId="108E7CF8">
            <w:pPr>
              <w:widowControl/>
              <w:adjustRightInd/>
              <w:spacing w:line="240" w:lineRule="auto"/>
              <w:jc w:val="center"/>
              <w:textAlignment w:val="auto"/>
              <w:rPr>
                <w:rFonts w:hint="default" w:ascii="华文细黑" w:hAnsi="华文细黑" w:eastAsia="华文细黑" w:cs="Arial"/>
                <w:b/>
                <w:bCs/>
                <w:sz w:val="18"/>
                <w:szCs w:val="18"/>
                <w:highlight w:val="none"/>
                <w:lang w:val="en-US" w:eastAsia="zh-CN"/>
              </w:rPr>
            </w:pPr>
            <w:r>
              <w:rPr>
                <w:rFonts w:hint="eastAsia" w:ascii="华文细黑" w:hAnsi="华文细黑" w:eastAsia="华文细黑" w:cs="Arial"/>
                <w:b/>
                <w:bCs/>
                <w:sz w:val="18"/>
                <w:szCs w:val="18"/>
                <w:highlight w:val="none"/>
                <w:lang w:val="en-US" w:eastAsia="zh-CN"/>
              </w:rPr>
              <w:t>378</w:t>
            </w:r>
          </w:p>
        </w:tc>
        <w:tc>
          <w:tcPr>
            <w:tcW w:w="1604" w:type="dxa"/>
            <w:tcBorders>
              <w:top w:val="nil"/>
              <w:left w:val="nil"/>
              <w:bottom w:val="single" w:color="auto" w:sz="4" w:space="0"/>
              <w:right w:val="single" w:color="auto" w:sz="4" w:space="0"/>
            </w:tcBorders>
            <w:shd w:val="clear" w:color="auto" w:fill="auto"/>
            <w:noWrap/>
            <w:vAlign w:val="center"/>
          </w:tcPr>
          <w:p w14:paraId="611290AD">
            <w:pPr>
              <w:widowControl/>
              <w:adjustRightInd/>
              <w:spacing w:line="240" w:lineRule="auto"/>
              <w:jc w:val="center"/>
              <w:textAlignment w:val="auto"/>
              <w:rPr>
                <w:rFonts w:hint="eastAsia" w:ascii="华文细黑" w:hAnsi="华文细黑" w:eastAsia="华文细黑" w:cs="Arial"/>
                <w:b/>
                <w:bCs/>
                <w:sz w:val="18"/>
                <w:szCs w:val="18"/>
                <w:highlight w:val="none"/>
                <w:lang w:val="en-US" w:eastAsia="zh-CN"/>
              </w:rPr>
            </w:pPr>
            <w:r>
              <w:rPr>
                <w:rFonts w:hint="eastAsia" w:ascii="华文细黑" w:hAnsi="华文细黑" w:eastAsia="华文细黑" w:cs="Arial"/>
                <w:sz w:val="18"/>
                <w:szCs w:val="18"/>
                <w:highlight w:val="none"/>
                <w:lang w:val="en-US" w:eastAsia="zh-CN"/>
              </w:rPr>
              <w:t>25149.84</w:t>
            </w:r>
          </w:p>
        </w:tc>
      </w:tr>
      <w:tr w14:paraId="1A7DC0CB">
        <w:tblPrEx>
          <w:tblCellMar>
            <w:top w:w="0" w:type="dxa"/>
            <w:left w:w="108" w:type="dxa"/>
            <w:bottom w:w="0" w:type="dxa"/>
            <w:right w:w="108" w:type="dxa"/>
          </w:tblCellMar>
        </w:tblPrEx>
        <w:trPr>
          <w:trHeight w:val="1103" w:hRule="atLeast"/>
        </w:trPr>
        <w:tc>
          <w:tcPr>
            <w:tcW w:w="779" w:type="dxa"/>
            <w:vMerge w:val="restart"/>
            <w:tcBorders>
              <w:top w:val="nil"/>
              <w:left w:val="single" w:color="auto" w:sz="4" w:space="0"/>
              <w:right w:val="single" w:color="auto" w:sz="4" w:space="0"/>
            </w:tcBorders>
            <w:shd w:val="clear" w:color="auto" w:fill="auto"/>
            <w:noWrap/>
            <w:vAlign w:val="center"/>
          </w:tcPr>
          <w:p w14:paraId="30C366F5">
            <w:pPr>
              <w:widowControl/>
              <w:adjustRightInd/>
              <w:spacing w:line="240" w:lineRule="auto"/>
              <w:jc w:val="center"/>
              <w:textAlignment w:val="auto"/>
              <w:rPr>
                <w:rFonts w:ascii="华文细黑" w:hAnsi="华文细黑" w:eastAsia="华文细黑" w:cs="Arial"/>
                <w:b/>
                <w:bCs/>
                <w:sz w:val="18"/>
                <w:szCs w:val="18"/>
                <w:highlight w:val="none"/>
              </w:rPr>
            </w:pPr>
            <w:r>
              <w:rPr>
                <w:rFonts w:ascii="华文细黑" w:hAnsi="华文细黑" w:eastAsia="华文细黑" w:cs="Arial"/>
                <w:b/>
                <w:bCs/>
                <w:sz w:val="18"/>
                <w:szCs w:val="18"/>
                <w:highlight w:val="none"/>
              </w:rPr>
              <w:t>两居室</w:t>
            </w:r>
          </w:p>
        </w:tc>
        <w:tc>
          <w:tcPr>
            <w:tcW w:w="1332" w:type="dxa"/>
            <w:tcBorders>
              <w:top w:val="nil"/>
              <w:left w:val="nil"/>
              <w:bottom w:val="single" w:color="auto" w:sz="4" w:space="0"/>
              <w:right w:val="single" w:color="auto" w:sz="4" w:space="0"/>
            </w:tcBorders>
            <w:shd w:val="clear" w:color="auto" w:fill="auto"/>
            <w:noWrap/>
            <w:vAlign w:val="center"/>
          </w:tcPr>
          <w:p w14:paraId="2F8C9FE1">
            <w:pPr>
              <w:widowControl/>
              <w:adjustRightInd/>
              <w:spacing w:line="240" w:lineRule="auto"/>
              <w:jc w:val="center"/>
              <w:textAlignment w:val="auto"/>
              <w:rPr>
                <w:rFonts w:ascii="华文细黑" w:hAnsi="华文细黑" w:eastAsia="华文细黑" w:cs="Arial"/>
                <w:sz w:val="18"/>
                <w:szCs w:val="18"/>
                <w:highlight w:val="none"/>
              </w:rPr>
            </w:pPr>
            <w:r>
              <w:rPr>
                <w:rFonts w:hint="eastAsia" w:ascii="华文细黑" w:hAnsi="华文细黑" w:eastAsia="华文细黑" w:cs="Arial"/>
                <w:sz w:val="18"/>
                <w:szCs w:val="18"/>
                <w:highlight w:val="none"/>
              </w:rPr>
              <w:t>72.82-88.38</w:t>
            </w:r>
          </w:p>
        </w:tc>
        <w:tc>
          <w:tcPr>
            <w:tcW w:w="4008" w:type="dxa"/>
            <w:tcBorders>
              <w:top w:val="nil"/>
              <w:left w:val="nil"/>
              <w:bottom w:val="single" w:color="auto" w:sz="4" w:space="0"/>
              <w:right w:val="single" w:color="auto" w:sz="4" w:space="0"/>
            </w:tcBorders>
            <w:shd w:val="clear" w:color="auto" w:fill="auto"/>
            <w:noWrap/>
            <w:vAlign w:val="center"/>
          </w:tcPr>
          <w:p w14:paraId="0EC581B0">
            <w:pPr>
              <w:widowControl/>
              <w:adjustRightInd/>
              <w:spacing w:line="240" w:lineRule="auto"/>
              <w:jc w:val="center"/>
              <w:textAlignment w:val="auto"/>
              <w:rPr>
                <w:rFonts w:ascii="华文细黑" w:hAnsi="华文细黑" w:eastAsia="华文细黑" w:cs="Arial"/>
                <w:sz w:val="18"/>
                <w:szCs w:val="18"/>
                <w:highlight w:val="none"/>
              </w:rPr>
            </w:pPr>
            <w:r>
              <w:rPr>
                <w:rFonts w:hint="eastAsia" w:ascii="华文细黑" w:hAnsi="华文细黑" w:eastAsia="华文细黑" w:cs="Arial"/>
                <w:sz w:val="18"/>
                <w:szCs w:val="18"/>
                <w:highlight w:val="none"/>
              </w:rPr>
              <w:t>育林街1号院1-3、8-10、15、17、22、23号楼；育林街2号院1-4、6-13、15、17-23号楼；育林街8号院1-4、6-9、11-13号楼；育仁街1号院1-3、6、8-9、13-15号楼</w:t>
            </w:r>
          </w:p>
        </w:tc>
        <w:tc>
          <w:tcPr>
            <w:tcW w:w="612" w:type="dxa"/>
            <w:tcBorders>
              <w:top w:val="nil"/>
              <w:left w:val="nil"/>
              <w:bottom w:val="single" w:color="auto" w:sz="4" w:space="0"/>
              <w:right w:val="single" w:color="auto" w:sz="4" w:space="0"/>
            </w:tcBorders>
            <w:shd w:val="clear" w:color="auto" w:fill="auto"/>
            <w:noWrap/>
            <w:vAlign w:val="center"/>
          </w:tcPr>
          <w:p w14:paraId="6D4890CC">
            <w:pPr>
              <w:widowControl/>
              <w:adjustRightInd/>
              <w:spacing w:line="240" w:lineRule="auto"/>
              <w:jc w:val="center"/>
              <w:textAlignment w:val="auto"/>
              <w:rPr>
                <w:rFonts w:ascii="华文细黑" w:hAnsi="华文细黑" w:eastAsia="华文细黑" w:cs="Arial"/>
                <w:sz w:val="18"/>
                <w:szCs w:val="18"/>
                <w:highlight w:val="none"/>
              </w:rPr>
            </w:pPr>
            <w:r>
              <w:rPr>
                <w:rFonts w:ascii="华文细黑" w:hAnsi="华文细黑" w:eastAsia="华文细黑" w:cs="Arial"/>
                <w:sz w:val="18"/>
                <w:szCs w:val="18"/>
                <w:highlight w:val="none"/>
              </w:rPr>
              <w:t>南北</w:t>
            </w:r>
          </w:p>
        </w:tc>
        <w:tc>
          <w:tcPr>
            <w:tcW w:w="924" w:type="dxa"/>
            <w:tcBorders>
              <w:top w:val="nil"/>
              <w:left w:val="nil"/>
              <w:bottom w:val="single" w:color="auto" w:sz="4" w:space="0"/>
              <w:right w:val="single" w:color="auto" w:sz="4" w:space="0"/>
            </w:tcBorders>
            <w:shd w:val="clear" w:color="auto" w:fill="auto"/>
            <w:noWrap/>
            <w:vAlign w:val="center"/>
          </w:tcPr>
          <w:p w14:paraId="79FEFE0C">
            <w:pPr>
              <w:widowControl/>
              <w:adjustRightInd/>
              <w:spacing w:line="240" w:lineRule="auto"/>
              <w:jc w:val="center"/>
              <w:textAlignment w:val="auto"/>
              <w:rPr>
                <w:rFonts w:hint="default" w:ascii="华文细黑" w:hAnsi="华文细黑" w:eastAsia="华文细黑" w:cs="Arial"/>
                <w:sz w:val="18"/>
                <w:szCs w:val="18"/>
                <w:highlight w:val="none"/>
                <w:lang w:val="en-US" w:eastAsia="zh-CN"/>
              </w:rPr>
            </w:pPr>
            <w:r>
              <w:rPr>
                <w:rFonts w:hint="eastAsia" w:ascii="华文细黑" w:hAnsi="华文细黑" w:eastAsia="华文细黑" w:cs="Arial"/>
                <w:sz w:val="18"/>
                <w:szCs w:val="18"/>
                <w:highlight w:val="none"/>
                <w:lang w:val="en-US" w:eastAsia="zh-CN"/>
              </w:rPr>
              <w:t>916</w:t>
            </w:r>
          </w:p>
        </w:tc>
        <w:tc>
          <w:tcPr>
            <w:tcW w:w="1604" w:type="dxa"/>
            <w:tcBorders>
              <w:top w:val="nil"/>
              <w:left w:val="nil"/>
              <w:bottom w:val="single" w:color="auto" w:sz="4" w:space="0"/>
              <w:right w:val="single" w:color="auto" w:sz="4" w:space="0"/>
            </w:tcBorders>
            <w:shd w:val="clear" w:color="auto" w:fill="auto"/>
            <w:noWrap/>
            <w:vAlign w:val="center"/>
          </w:tcPr>
          <w:p w14:paraId="1EF8D47C">
            <w:pPr>
              <w:widowControl/>
              <w:adjustRightInd/>
              <w:spacing w:line="240" w:lineRule="auto"/>
              <w:jc w:val="center"/>
              <w:textAlignment w:val="auto"/>
              <w:rPr>
                <w:rFonts w:hint="default" w:ascii="华文细黑" w:hAnsi="华文细黑" w:eastAsia="华文细黑" w:cs="Arial"/>
                <w:sz w:val="18"/>
                <w:szCs w:val="18"/>
                <w:highlight w:val="none"/>
                <w:lang w:val="en-US" w:eastAsia="zh-CN"/>
              </w:rPr>
            </w:pPr>
            <w:r>
              <w:rPr>
                <w:rFonts w:hint="eastAsia" w:ascii="华文细黑" w:hAnsi="华文细黑" w:eastAsia="华文细黑" w:cs="Arial"/>
                <w:sz w:val="18"/>
                <w:szCs w:val="18"/>
                <w:highlight w:val="none"/>
                <w:lang w:val="en-US" w:eastAsia="zh-CN"/>
              </w:rPr>
              <w:t>78073.23</w:t>
            </w:r>
          </w:p>
        </w:tc>
      </w:tr>
      <w:tr w14:paraId="7A947C65">
        <w:tblPrEx>
          <w:tblCellMar>
            <w:top w:w="0" w:type="dxa"/>
            <w:left w:w="108" w:type="dxa"/>
            <w:bottom w:w="0" w:type="dxa"/>
            <w:right w:w="108" w:type="dxa"/>
          </w:tblCellMar>
        </w:tblPrEx>
        <w:trPr>
          <w:trHeight w:val="408" w:hRule="atLeast"/>
        </w:trPr>
        <w:tc>
          <w:tcPr>
            <w:tcW w:w="779" w:type="dxa"/>
            <w:vMerge w:val="continue"/>
            <w:tcBorders>
              <w:left w:val="single" w:color="auto" w:sz="4" w:space="0"/>
              <w:right w:val="single" w:color="auto" w:sz="4" w:space="0"/>
            </w:tcBorders>
            <w:vAlign w:val="center"/>
          </w:tcPr>
          <w:p w14:paraId="120FEE97">
            <w:pPr>
              <w:widowControl/>
              <w:adjustRightInd/>
              <w:spacing w:line="240" w:lineRule="auto"/>
              <w:jc w:val="both"/>
              <w:textAlignment w:val="auto"/>
              <w:rPr>
                <w:rFonts w:hint="eastAsia" w:ascii="华文细黑" w:hAnsi="华文细黑" w:eastAsia="华文细黑" w:cs="Arial"/>
                <w:b/>
                <w:bCs/>
                <w:sz w:val="18"/>
                <w:szCs w:val="18"/>
                <w:highlight w:val="none"/>
                <w:lang w:val="en-US" w:eastAsia="zh-CN"/>
              </w:rPr>
            </w:pPr>
          </w:p>
        </w:tc>
        <w:tc>
          <w:tcPr>
            <w:tcW w:w="1332" w:type="dxa"/>
            <w:tcBorders>
              <w:top w:val="nil"/>
              <w:left w:val="nil"/>
              <w:bottom w:val="single" w:color="auto" w:sz="4" w:space="0"/>
              <w:right w:val="single" w:color="auto" w:sz="4" w:space="0"/>
            </w:tcBorders>
            <w:shd w:val="clear" w:color="auto" w:fill="auto"/>
            <w:noWrap/>
            <w:vAlign w:val="center"/>
          </w:tcPr>
          <w:p w14:paraId="0B1FB537">
            <w:pPr>
              <w:widowControl/>
              <w:adjustRightInd/>
              <w:spacing w:line="240" w:lineRule="auto"/>
              <w:jc w:val="center"/>
              <w:textAlignment w:val="auto"/>
              <w:rPr>
                <w:rFonts w:hint="default" w:ascii="华文细黑" w:hAnsi="华文细黑" w:eastAsia="华文细黑" w:cs="Arial"/>
                <w:sz w:val="18"/>
                <w:szCs w:val="18"/>
                <w:highlight w:val="none"/>
                <w:lang w:val="en-US" w:eastAsia="zh-CN"/>
              </w:rPr>
            </w:pPr>
            <w:r>
              <w:rPr>
                <w:rFonts w:hint="eastAsia" w:ascii="华文细黑" w:hAnsi="华文细黑" w:eastAsia="华文细黑" w:cs="Arial"/>
                <w:sz w:val="18"/>
                <w:szCs w:val="18"/>
                <w:highlight w:val="none"/>
                <w:lang w:val="en-US" w:eastAsia="zh-CN"/>
              </w:rPr>
              <w:t>73.53</w:t>
            </w:r>
          </w:p>
        </w:tc>
        <w:tc>
          <w:tcPr>
            <w:tcW w:w="4008" w:type="dxa"/>
            <w:tcBorders>
              <w:top w:val="nil"/>
              <w:left w:val="nil"/>
              <w:bottom w:val="single" w:color="auto" w:sz="4" w:space="0"/>
              <w:right w:val="single" w:color="auto" w:sz="4" w:space="0"/>
            </w:tcBorders>
            <w:shd w:val="clear" w:color="auto" w:fill="auto"/>
            <w:noWrap/>
            <w:vAlign w:val="center"/>
          </w:tcPr>
          <w:p w14:paraId="259CEF42">
            <w:pPr>
              <w:widowControl/>
              <w:adjustRightInd/>
              <w:spacing w:line="240" w:lineRule="auto"/>
              <w:jc w:val="center"/>
              <w:textAlignment w:val="auto"/>
              <w:rPr>
                <w:rFonts w:ascii="华文细黑" w:hAnsi="华文细黑" w:eastAsia="华文细黑" w:cs="Arial"/>
                <w:sz w:val="18"/>
                <w:szCs w:val="18"/>
                <w:highlight w:val="none"/>
              </w:rPr>
            </w:pPr>
            <w:r>
              <w:rPr>
                <w:rFonts w:hint="eastAsia" w:ascii="华文细黑" w:hAnsi="华文细黑" w:eastAsia="华文细黑" w:cs="Arial"/>
                <w:sz w:val="18"/>
                <w:szCs w:val="18"/>
                <w:highlight w:val="none"/>
              </w:rPr>
              <w:t>育林街1号院1、2号楼</w:t>
            </w:r>
          </w:p>
        </w:tc>
        <w:tc>
          <w:tcPr>
            <w:tcW w:w="612" w:type="dxa"/>
            <w:tcBorders>
              <w:top w:val="nil"/>
              <w:left w:val="nil"/>
              <w:bottom w:val="single" w:color="auto" w:sz="4" w:space="0"/>
              <w:right w:val="single" w:color="auto" w:sz="4" w:space="0"/>
            </w:tcBorders>
            <w:shd w:val="clear" w:color="auto" w:fill="auto"/>
            <w:noWrap/>
            <w:vAlign w:val="center"/>
          </w:tcPr>
          <w:p w14:paraId="0745FAB0">
            <w:pPr>
              <w:widowControl/>
              <w:adjustRightInd/>
              <w:spacing w:line="240" w:lineRule="auto"/>
              <w:jc w:val="center"/>
              <w:textAlignment w:val="auto"/>
              <w:rPr>
                <w:rFonts w:ascii="华文细黑" w:hAnsi="华文细黑" w:eastAsia="华文细黑" w:cs="Arial"/>
                <w:sz w:val="18"/>
                <w:szCs w:val="18"/>
                <w:highlight w:val="none"/>
              </w:rPr>
            </w:pPr>
            <w:r>
              <w:rPr>
                <w:rFonts w:ascii="华文细黑" w:hAnsi="华文细黑" w:eastAsia="华文细黑" w:cs="Arial"/>
                <w:sz w:val="18"/>
                <w:szCs w:val="18"/>
                <w:highlight w:val="none"/>
              </w:rPr>
              <w:t>北</w:t>
            </w:r>
          </w:p>
        </w:tc>
        <w:tc>
          <w:tcPr>
            <w:tcW w:w="924" w:type="dxa"/>
            <w:tcBorders>
              <w:top w:val="nil"/>
              <w:left w:val="nil"/>
              <w:bottom w:val="single" w:color="auto" w:sz="4" w:space="0"/>
              <w:right w:val="single" w:color="auto" w:sz="4" w:space="0"/>
            </w:tcBorders>
            <w:shd w:val="clear" w:color="auto" w:fill="auto"/>
            <w:noWrap/>
            <w:vAlign w:val="center"/>
          </w:tcPr>
          <w:p w14:paraId="04EE3C87">
            <w:pPr>
              <w:widowControl/>
              <w:adjustRightInd/>
              <w:spacing w:line="240" w:lineRule="auto"/>
              <w:jc w:val="center"/>
              <w:textAlignment w:val="auto"/>
              <w:rPr>
                <w:rFonts w:hint="default" w:ascii="华文细黑" w:hAnsi="华文细黑" w:eastAsia="华文细黑" w:cs="Arial"/>
                <w:sz w:val="18"/>
                <w:szCs w:val="18"/>
                <w:highlight w:val="none"/>
                <w:lang w:val="en-US" w:eastAsia="zh-CN"/>
              </w:rPr>
            </w:pPr>
            <w:r>
              <w:rPr>
                <w:rFonts w:hint="eastAsia" w:ascii="华文细黑" w:hAnsi="华文细黑" w:eastAsia="华文细黑" w:cs="Arial"/>
                <w:sz w:val="18"/>
                <w:szCs w:val="18"/>
                <w:highlight w:val="none"/>
                <w:lang w:val="en-US" w:eastAsia="zh-CN"/>
              </w:rPr>
              <w:t>17</w:t>
            </w:r>
          </w:p>
        </w:tc>
        <w:tc>
          <w:tcPr>
            <w:tcW w:w="1604" w:type="dxa"/>
            <w:tcBorders>
              <w:top w:val="nil"/>
              <w:left w:val="nil"/>
              <w:bottom w:val="single" w:color="auto" w:sz="4" w:space="0"/>
              <w:right w:val="single" w:color="auto" w:sz="4" w:space="0"/>
            </w:tcBorders>
            <w:shd w:val="clear" w:color="auto" w:fill="auto"/>
            <w:noWrap/>
            <w:vAlign w:val="center"/>
          </w:tcPr>
          <w:p w14:paraId="467CA4EF">
            <w:pPr>
              <w:widowControl/>
              <w:adjustRightInd/>
              <w:spacing w:line="240" w:lineRule="auto"/>
              <w:jc w:val="center"/>
              <w:textAlignment w:val="auto"/>
              <w:rPr>
                <w:rFonts w:hint="default" w:ascii="华文细黑" w:hAnsi="华文细黑" w:eastAsia="华文细黑" w:cs="Arial"/>
                <w:sz w:val="18"/>
                <w:szCs w:val="18"/>
                <w:highlight w:val="none"/>
                <w:lang w:val="en-US" w:eastAsia="zh-CN"/>
              </w:rPr>
            </w:pPr>
            <w:r>
              <w:rPr>
                <w:rFonts w:hint="eastAsia" w:ascii="华文细黑" w:hAnsi="华文细黑" w:eastAsia="华文细黑" w:cs="Arial"/>
                <w:sz w:val="18"/>
                <w:szCs w:val="18"/>
                <w:highlight w:val="none"/>
                <w:lang w:val="en-US" w:eastAsia="zh-CN"/>
              </w:rPr>
              <w:t>1250.01</w:t>
            </w:r>
          </w:p>
        </w:tc>
      </w:tr>
      <w:tr w14:paraId="692BE4D8">
        <w:tblPrEx>
          <w:tblCellMar>
            <w:top w:w="0" w:type="dxa"/>
            <w:left w:w="108" w:type="dxa"/>
            <w:bottom w:w="0" w:type="dxa"/>
            <w:right w:w="108" w:type="dxa"/>
          </w:tblCellMar>
        </w:tblPrEx>
        <w:trPr>
          <w:trHeight w:val="408" w:hRule="atLeast"/>
        </w:trPr>
        <w:tc>
          <w:tcPr>
            <w:tcW w:w="779" w:type="dxa"/>
            <w:vMerge w:val="continue"/>
            <w:tcBorders>
              <w:left w:val="single" w:color="auto" w:sz="4" w:space="0"/>
              <w:bottom w:val="single" w:color="auto" w:sz="4" w:space="0"/>
              <w:right w:val="single" w:color="auto" w:sz="4" w:space="0"/>
            </w:tcBorders>
            <w:vAlign w:val="center"/>
          </w:tcPr>
          <w:p w14:paraId="20EED787">
            <w:pPr>
              <w:widowControl/>
              <w:adjustRightInd/>
              <w:spacing w:line="240" w:lineRule="auto"/>
              <w:jc w:val="both"/>
              <w:textAlignment w:val="auto"/>
              <w:rPr>
                <w:rFonts w:hint="eastAsia" w:ascii="华文细黑" w:hAnsi="华文细黑" w:eastAsia="华文细黑" w:cs="Arial"/>
                <w:b/>
                <w:bCs/>
                <w:sz w:val="18"/>
                <w:szCs w:val="18"/>
                <w:highlight w:val="none"/>
                <w:lang w:val="en-US" w:eastAsia="zh-CN"/>
              </w:rPr>
            </w:pPr>
          </w:p>
        </w:tc>
        <w:tc>
          <w:tcPr>
            <w:tcW w:w="1332" w:type="dxa"/>
            <w:tcBorders>
              <w:top w:val="nil"/>
              <w:left w:val="nil"/>
              <w:bottom w:val="single" w:color="auto" w:sz="4" w:space="0"/>
              <w:right w:val="single" w:color="auto" w:sz="4" w:space="0"/>
            </w:tcBorders>
            <w:shd w:val="clear" w:color="auto" w:fill="auto"/>
            <w:noWrap/>
            <w:vAlign w:val="center"/>
          </w:tcPr>
          <w:p w14:paraId="2A475C8D">
            <w:pPr>
              <w:widowControl/>
              <w:adjustRightInd/>
              <w:spacing w:line="240" w:lineRule="auto"/>
              <w:jc w:val="center"/>
              <w:textAlignment w:val="auto"/>
              <w:rPr>
                <w:rFonts w:hint="default" w:ascii="华文细黑" w:hAnsi="华文细黑" w:eastAsia="华文细黑" w:cs="Arial"/>
                <w:b/>
                <w:bCs/>
                <w:sz w:val="18"/>
                <w:szCs w:val="18"/>
                <w:highlight w:val="none"/>
                <w:lang w:val="en-US" w:eastAsia="zh-CN"/>
              </w:rPr>
            </w:pPr>
            <w:r>
              <w:rPr>
                <w:rFonts w:hint="eastAsia" w:ascii="华文细黑" w:hAnsi="华文细黑" w:eastAsia="华文细黑" w:cs="Arial"/>
                <w:b/>
                <w:bCs/>
                <w:sz w:val="18"/>
                <w:szCs w:val="18"/>
                <w:highlight w:val="none"/>
                <w:lang w:val="en-US" w:eastAsia="zh-CN"/>
              </w:rPr>
              <w:t>小计</w:t>
            </w:r>
          </w:p>
        </w:tc>
        <w:tc>
          <w:tcPr>
            <w:tcW w:w="4008" w:type="dxa"/>
            <w:tcBorders>
              <w:top w:val="nil"/>
              <w:left w:val="nil"/>
              <w:bottom w:val="single" w:color="auto" w:sz="4" w:space="0"/>
              <w:right w:val="single" w:color="auto" w:sz="4" w:space="0"/>
            </w:tcBorders>
            <w:shd w:val="clear" w:color="auto" w:fill="auto"/>
            <w:noWrap/>
            <w:vAlign w:val="center"/>
          </w:tcPr>
          <w:p w14:paraId="2E4A09A9">
            <w:pPr>
              <w:widowControl/>
              <w:adjustRightInd/>
              <w:spacing w:line="240" w:lineRule="auto"/>
              <w:jc w:val="center"/>
              <w:textAlignment w:val="auto"/>
              <w:rPr>
                <w:rFonts w:hint="eastAsia" w:ascii="华文细黑" w:hAnsi="华文细黑" w:eastAsia="华文细黑" w:cs="Arial"/>
                <w:b/>
                <w:bCs/>
                <w:sz w:val="18"/>
                <w:szCs w:val="18"/>
                <w:highlight w:val="none"/>
                <w:lang w:val="en-US" w:eastAsia="zh-CN"/>
              </w:rPr>
            </w:pPr>
            <w:r>
              <w:rPr>
                <w:rFonts w:hint="eastAsia" w:ascii="华文细黑" w:hAnsi="华文细黑" w:eastAsia="华文细黑" w:cs="Arial"/>
                <w:b/>
                <w:bCs/>
                <w:sz w:val="18"/>
                <w:szCs w:val="18"/>
                <w:highlight w:val="none"/>
                <w:lang w:val="en-US" w:eastAsia="zh-CN"/>
              </w:rPr>
              <w:t>-</w:t>
            </w:r>
          </w:p>
        </w:tc>
        <w:tc>
          <w:tcPr>
            <w:tcW w:w="612" w:type="dxa"/>
            <w:tcBorders>
              <w:top w:val="nil"/>
              <w:left w:val="nil"/>
              <w:bottom w:val="single" w:color="auto" w:sz="4" w:space="0"/>
              <w:right w:val="single" w:color="auto" w:sz="4" w:space="0"/>
            </w:tcBorders>
            <w:shd w:val="clear" w:color="auto" w:fill="auto"/>
            <w:noWrap/>
            <w:vAlign w:val="center"/>
          </w:tcPr>
          <w:p w14:paraId="60E44193">
            <w:pPr>
              <w:widowControl/>
              <w:adjustRightInd/>
              <w:spacing w:line="240" w:lineRule="auto"/>
              <w:jc w:val="center"/>
              <w:textAlignment w:val="auto"/>
              <w:rPr>
                <w:rFonts w:hint="eastAsia" w:ascii="华文细黑" w:hAnsi="华文细黑" w:eastAsia="华文细黑" w:cs="Arial"/>
                <w:b/>
                <w:bCs/>
                <w:sz w:val="18"/>
                <w:szCs w:val="18"/>
                <w:highlight w:val="none"/>
                <w:lang w:val="en-US" w:eastAsia="zh-CN"/>
              </w:rPr>
            </w:pPr>
            <w:r>
              <w:rPr>
                <w:rFonts w:hint="eastAsia" w:ascii="华文细黑" w:hAnsi="华文细黑" w:eastAsia="华文细黑" w:cs="Arial"/>
                <w:b/>
                <w:bCs/>
                <w:sz w:val="18"/>
                <w:szCs w:val="18"/>
                <w:highlight w:val="none"/>
                <w:lang w:val="en-US" w:eastAsia="zh-CN"/>
              </w:rPr>
              <w:t>-</w:t>
            </w:r>
          </w:p>
        </w:tc>
        <w:tc>
          <w:tcPr>
            <w:tcW w:w="924" w:type="dxa"/>
            <w:tcBorders>
              <w:top w:val="nil"/>
              <w:left w:val="nil"/>
              <w:bottom w:val="single" w:color="auto" w:sz="4" w:space="0"/>
              <w:right w:val="single" w:color="auto" w:sz="4" w:space="0"/>
            </w:tcBorders>
            <w:shd w:val="clear" w:color="auto" w:fill="auto"/>
            <w:noWrap/>
            <w:vAlign w:val="center"/>
          </w:tcPr>
          <w:p w14:paraId="5BC6CEB2">
            <w:pPr>
              <w:widowControl/>
              <w:adjustRightInd/>
              <w:spacing w:line="240" w:lineRule="auto"/>
              <w:jc w:val="center"/>
              <w:textAlignment w:val="auto"/>
              <w:rPr>
                <w:rFonts w:hint="default" w:ascii="华文细黑" w:hAnsi="华文细黑" w:eastAsia="华文细黑" w:cs="Arial"/>
                <w:b/>
                <w:bCs/>
                <w:sz w:val="18"/>
                <w:szCs w:val="18"/>
                <w:highlight w:val="none"/>
                <w:lang w:val="en-US" w:eastAsia="zh-CN"/>
              </w:rPr>
            </w:pPr>
            <w:r>
              <w:rPr>
                <w:rFonts w:hint="eastAsia" w:ascii="华文细黑" w:hAnsi="华文细黑" w:eastAsia="华文细黑" w:cs="Arial"/>
                <w:b/>
                <w:bCs/>
                <w:sz w:val="18"/>
                <w:szCs w:val="18"/>
                <w:highlight w:val="none"/>
                <w:lang w:val="en-US" w:eastAsia="zh-CN"/>
              </w:rPr>
              <w:t>933</w:t>
            </w:r>
          </w:p>
        </w:tc>
        <w:tc>
          <w:tcPr>
            <w:tcW w:w="1604" w:type="dxa"/>
            <w:tcBorders>
              <w:top w:val="nil"/>
              <w:left w:val="nil"/>
              <w:bottom w:val="single" w:color="auto" w:sz="4" w:space="0"/>
              <w:right w:val="single" w:color="auto" w:sz="4" w:space="0"/>
            </w:tcBorders>
            <w:shd w:val="clear" w:color="auto" w:fill="auto"/>
            <w:noWrap/>
            <w:vAlign w:val="center"/>
          </w:tcPr>
          <w:p w14:paraId="785D00E5">
            <w:pPr>
              <w:widowControl/>
              <w:adjustRightInd/>
              <w:spacing w:line="240" w:lineRule="auto"/>
              <w:jc w:val="center"/>
              <w:textAlignment w:val="auto"/>
              <w:rPr>
                <w:rFonts w:hint="default" w:ascii="华文细黑" w:hAnsi="华文细黑" w:eastAsia="华文细黑" w:cs="Arial"/>
                <w:b/>
                <w:bCs/>
                <w:sz w:val="18"/>
                <w:szCs w:val="18"/>
                <w:highlight w:val="none"/>
                <w:lang w:val="en-US" w:eastAsia="zh-CN"/>
              </w:rPr>
            </w:pPr>
            <w:r>
              <w:rPr>
                <w:rFonts w:hint="eastAsia" w:ascii="华文细黑" w:hAnsi="华文细黑" w:eastAsia="华文细黑" w:cs="Arial"/>
                <w:b/>
                <w:bCs/>
                <w:sz w:val="18"/>
                <w:szCs w:val="18"/>
                <w:highlight w:val="none"/>
                <w:lang w:val="en-US" w:eastAsia="zh-CN"/>
              </w:rPr>
              <w:t>79323.24</w:t>
            </w:r>
          </w:p>
        </w:tc>
      </w:tr>
      <w:tr w14:paraId="34422AE1">
        <w:tblPrEx>
          <w:tblCellMar>
            <w:top w:w="0" w:type="dxa"/>
            <w:left w:w="108" w:type="dxa"/>
            <w:bottom w:w="0" w:type="dxa"/>
            <w:right w:w="108" w:type="dxa"/>
          </w:tblCellMar>
        </w:tblPrEx>
        <w:trPr>
          <w:trHeight w:val="276" w:hRule="atLeast"/>
        </w:trPr>
        <w:tc>
          <w:tcPr>
            <w:tcW w:w="779" w:type="dxa"/>
            <w:vMerge w:val="restart"/>
            <w:tcBorders>
              <w:top w:val="nil"/>
              <w:left w:val="single" w:color="auto" w:sz="4" w:space="0"/>
              <w:right w:val="single" w:color="auto" w:sz="4" w:space="0"/>
            </w:tcBorders>
            <w:vAlign w:val="center"/>
          </w:tcPr>
          <w:p w14:paraId="32D35274">
            <w:pPr>
              <w:widowControl/>
              <w:adjustRightInd/>
              <w:spacing w:line="240" w:lineRule="auto"/>
              <w:jc w:val="center"/>
              <w:textAlignment w:val="auto"/>
              <w:rPr>
                <w:rFonts w:ascii="华文细黑" w:hAnsi="华文细黑" w:eastAsia="华文细黑" w:cs="Arial"/>
                <w:b/>
                <w:bCs/>
                <w:sz w:val="18"/>
                <w:szCs w:val="18"/>
                <w:highlight w:val="none"/>
              </w:rPr>
            </w:pPr>
            <w:r>
              <w:rPr>
                <w:rFonts w:hint="eastAsia" w:ascii="华文细黑" w:hAnsi="华文细黑" w:eastAsia="华文细黑" w:cs="Arial"/>
                <w:b/>
                <w:bCs/>
                <w:sz w:val="18"/>
                <w:szCs w:val="18"/>
                <w:highlight w:val="none"/>
                <w:lang w:val="en-US" w:eastAsia="zh-CN"/>
              </w:rPr>
              <w:t>三居室</w:t>
            </w:r>
          </w:p>
        </w:tc>
        <w:tc>
          <w:tcPr>
            <w:tcW w:w="1332" w:type="dxa"/>
            <w:tcBorders>
              <w:top w:val="nil"/>
              <w:left w:val="nil"/>
              <w:bottom w:val="single" w:color="auto" w:sz="4" w:space="0"/>
              <w:right w:val="single" w:color="auto" w:sz="4" w:space="0"/>
            </w:tcBorders>
            <w:shd w:val="clear" w:color="auto" w:fill="auto"/>
            <w:noWrap/>
            <w:vAlign w:val="center"/>
          </w:tcPr>
          <w:p w14:paraId="509EC757">
            <w:pPr>
              <w:widowControl/>
              <w:adjustRightInd/>
              <w:spacing w:line="240" w:lineRule="auto"/>
              <w:jc w:val="center"/>
              <w:textAlignment w:val="auto"/>
              <w:rPr>
                <w:rFonts w:ascii="华文细黑" w:hAnsi="华文细黑" w:eastAsia="华文细黑" w:cs="Arial"/>
                <w:sz w:val="18"/>
                <w:szCs w:val="18"/>
                <w:highlight w:val="none"/>
              </w:rPr>
            </w:pPr>
            <w:r>
              <w:rPr>
                <w:rFonts w:hint="eastAsia" w:ascii="华文细黑" w:hAnsi="华文细黑" w:eastAsia="华文细黑" w:cs="Arial"/>
                <w:sz w:val="18"/>
                <w:szCs w:val="18"/>
                <w:highlight w:val="none"/>
              </w:rPr>
              <w:t>90.99-129.32</w:t>
            </w:r>
          </w:p>
        </w:tc>
        <w:tc>
          <w:tcPr>
            <w:tcW w:w="4008" w:type="dxa"/>
            <w:tcBorders>
              <w:top w:val="nil"/>
              <w:left w:val="nil"/>
              <w:bottom w:val="single" w:color="auto" w:sz="4" w:space="0"/>
              <w:right w:val="single" w:color="auto" w:sz="4" w:space="0"/>
            </w:tcBorders>
            <w:shd w:val="clear" w:color="auto" w:fill="auto"/>
            <w:noWrap/>
            <w:vAlign w:val="center"/>
          </w:tcPr>
          <w:p w14:paraId="602B26CD">
            <w:pPr>
              <w:widowControl/>
              <w:adjustRightInd/>
              <w:spacing w:line="240" w:lineRule="auto"/>
              <w:jc w:val="center"/>
              <w:textAlignment w:val="auto"/>
              <w:rPr>
                <w:rFonts w:ascii="华文细黑" w:hAnsi="华文细黑" w:eastAsia="华文细黑" w:cs="Arial"/>
                <w:sz w:val="18"/>
                <w:szCs w:val="18"/>
                <w:highlight w:val="none"/>
              </w:rPr>
            </w:pPr>
            <w:r>
              <w:rPr>
                <w:rFonts w:hint="eastAsia" w:ascii="华文细黑" w:hAnsi="华文细黑" w:eastAsia="华文细黑" w:cs="Arial"/>
                <w:sz w:val="18"/>
                <w:szCs w:val="18"/>
                <w:highlight w:val="none"/>
              </w:rPr>
              <w:t>育林街1号院9、16号楼；育林街2号院7、8、10、11、12、18号楼；育林街8号院8号楼</w:t>
            </w:r>
          </w:p>
        </w:tc>
        <w:tc>
          <w:tcPr>
            <w:tcW w:w="612" w:type="dxa"/>
            <w:tcBorders>
              <w:top w:val="nil"/>
              <w:left w:val="nil"/>
              <w:bottom w:val="single" w:color="auto" w:sz="4" w:space="0"/>
              <w:right w:val="single" w:color="auto" w:sz="4" w:space="0"/>
            </w:tcBorders>
            <w:shd w:val="clear" w:color="auto" w:fill="auto"/>
            <w:noWrap/>
            <w:vAlign w:val="center"/>
          </w:tcPr>
          <w:p w14:paraId="723CA9E5">
            <w:pPr>
              <w:widowControl/>
              <w:adjustRightInd/>
              <w:spacing w:line="240" w:lineRule="auto"/>
              <w:jc w:val="center"/>
              <w:textAlignment w:val="auto"/>
              <w:rPr>
                <w:rFonts w:ascii="华文细黑" w:hAnsi="华文细黑" w:eastAsia="华文细黑" w:cs="Arial"/>
                <w:sz w:val="18"/>
                <w:szCs w:val="18"/>
                <w:highlight w:val="none"/>
              </w:rPr>
            </w:pPr>
            <w:r>
              <w:rPr>
                <w:rFonts w:ascii="华文细黑" w:hAnsi="华文细黑" w:eastAsia="华文细黑" w:cs="Arial"/>
                <w:sz w:val="18"/>
                <w:szCs w:val="18"/>
                <w:highlight w:val="none"/>
              </w:rPr>
              <w:t>南北</w:t>
            </w:r>
          </w:p>
        </w:tc>
        <w:tc>
          <w:tcPr>
            <w:tcW w:w="924" w:type="dxa"/>
            <w:tcBorders>
              <w:top w:val="nil"/>
              <w:left w:val="nil"/>
              <w:bottom w:val="single" w:color="auto" w:sz="4" w:space="0"/>
              <w:right w:val="single" w:color="auto" w:sz="4" w:space="0"/>
            </w:tcBorders>
            <w:shd w:val="clear" w:color="auto" w:fill="auto"/>
            <w:noWrap/>
            <w:vAlign w:val="center"/>
          </w:tcPr>
          <w:p w14:paraId="5CCB2048">
            <w:pPr>
              <w:widowControl/>
              <w:adjustRightInd/>
              <w:spacing w:line="240" w:lineRule="auto"/>
              <w:jc w:val="center"/>
              <w:textAlignment w:val="auto"/>
              <w:rPr>
                <w:rFonts w:hint="default" w:ascii="华文细黑" w:hAnsi="华文细黑" w:eastAsia="华文细黑" w:cs="Arial"/>
                <w:sz w:val="18"/>
                <w:szCs w:val="18"/>
                <w:highlight w:val="none"/>
                <w:lang w:val="en-US" w:eastAsia="zh-CN"/>
              </w:rPr>
            </w:pPr>
            <w:r>
              <w:rPr>
                <w:rFonts w:hint="eastAsia" w:ascii="华文细黑" w:hAnsi="华文细黑" w:eastAsia="华文细黑" w:cs="Arial"/>
                <w:sz w:val="18"/>
                <w:szCs w:val="18"/>
                <w:highlight w:val="none"/>
                <w:lang w:val="en-US" w:eastAsia="zh-CN"/>
              </w:rPr>
              <w:t>13</w:t>
            </w:r>
          </w:p>
        </w:tc>
        <w:tc>
          <w:tcPr>
            <w:tcW w:w="1604" w:type="dxa"/>
            <w:tcBorders>
              <w:top w:val="nil"/>
              <w:left w:val="nil"/>
              <w:bottom w:val="single" w:color="auto" w:sz="4" w:space="0"/>
              <w:right w:val="single" w:color="auto" w:sz="4" w:space="0"/>
            </w:tcBorders>
            <w:shd w:val="clear" w:color="auto" w:fill="auto"/>
            <w:noWrap/>
            <w:vAlign w:val="center"/>
          </w:tcPr>
          <w:p w14:paraId="02D311C2">
            <w:pPr>
              <w:widowControl/>
              <w:adjustRightInd/>
              <w:spacing w:line="240" w:lineRule="auto"/>
              <w:jc w:val="center"/>
              <w:textAlignment w:val="auto"/>
              <w:rPr>
                <w:rFonts w:ascii="华文细黑" w:hAnsi="华文细黑" w:eastAsia="华文细黑" w:cs="Arial"/>
                <w:sz w:val="18"/>
                <w:szCs w:val="18"/>
                <w:highlight w:val="none"/>
              </w:rPr>
            </w:pPr>
            <w:r>
              <w:rPr>
                <w:rFonts w:hint="eastAsia" w:ascii="华文细黑" w:hAnsi="华文细黑" w:eastAsia="华文细黑" w:cs="Arial"/>
                <w:sz w:val="18"/>
                <w:szCs w:val="18"/>
                <w:highlight w:val="none"/>
                <w:lang w:val="en-US" w:eastAsia="zh-CN"/>
              </w:rPr>
              <w:t>1561.82</w:t>
            </w:r>
          </w:p>
        </w:tc>
      </w:tr>
      <w:tr w14:paraId="6359E513">
        <w:tblPrEx>
          <w:tblCellMar>
            <w:top w:w="0" w:type="dxa"/>
            <w:left w:w="108" w:type="dxa"/>
            <w:bottom w:w="0" w:type="dxa"/>
            <w:right w:w="108" w:type="dxa"/>
          </w:tblCellMar>
        </w:tblPrEx>
        <w:trPr>
          <w:trHeight w:val="276" w:hRule="atLeast"/>
        </w:trPr>
        <w:tc>
          <w:tcPr>
            <w:tcW w:w="779" w:type="dxa"/>
            <w:vMerge w:val="continue"/>
            <w:tcBorders>
              <w:left w:val="single" w:color="auto" w:sz="4" w:space="0"/>
              <w:bottom w:val="single" w:color="auto" w:sz="4" w:space="0"/>
              <w:right w:val="single" w:color="auto" w:sz="4" w:space="0"/>
            </w:tcBorders>
            <w:vAlign w:val="center"/>
          </w:tcPr>
          <w:p w14:paraId="6095D831">
            <w:pPr>
              <w:widowControl/>
              <w:adjustRightInd/>
              <w:spacing w:line="240" w:lineRule="auto"/>
              <w:jc w:val="center"/>
              <w:textAlignment w:val="auto"/>
              <w:rPr>
                <w:rFonts w:hint="eastAsia" w:ascii="华文细黑" w:hAnsi="华文细黑" w:eastAsia="华文细黑" w:cs="Arial"/>
                <w:b/>
                <w:bCs/>
                <w:sz w:val="18"/>
                <w:szCs w:val="18"/>
                <w:highlight w:val="none"/>
                <w:lang w:val="en-US" w:eastAsia="zh-CN"/>
              </w:rPr>
            </w:pPr>
          </w:p>
        </w:tc>
        <w:tc>
          <w:tcPr>
            <w:tcW w:w="1332" w:type="dxa"/>
            <w:tcBorders>
              <w:top w:val="nil"/>
              <w:left w:val="nil"/>
              <w:bottom w:val="single" w:color="auto" w:sz="4" w:space="0"/>
              <w:right w:val="single" w:color="auto" w:sz="4" w:space="0"/>
            </w:tcBorders>
            <w:shd w:val="clear" w:color="auto" w:fill="auto"/>
            <w:noWrap/>
            <w:vAlign w:val="center"/>
          </w:tcPr>
          <w:p w14:paraId="003EDC86">
            <w:pPr>
              <w:widowControl/>
              <w:adjustRightInd/>
              <w:spacing w:line="240" w:lineRule="auto"/>
              <w:jc w:val="center"/>
              <w:textAlignment w:val="auto"/>
              <w:rPr>
                <w:rFonts w:hint="eastAsia" w:ascii="华文细黑" w:hAnsi="华文细黑" w:eastAsia="华文细黑" w:cs="Arial"/>
                <w:b/>
                <w:bCs/>
                <w:sz w:val="18"/>
                <w:szCs w:val="18"/>
                <w:highlight w:val="none"/>
              </w:rPr>
            </w:pPr>
            <w:r>
              <w:rPr>
                <w:rFonts w:hint="eastAsia" w:ascii="华文细黑" w:hAnsi="华文细黑" w:eastAsia="华文细黑" w:cs="Arial"/>
                <w:b/>
                <w:bCs/>
                <w:sz w:val="18"/>
                <w:szCs w:val="18"/>
                <w:highlight w:val="none"/>
                <w:lang w:val="en-US" w:eastAsia="zh-CN"/>
              </w:rPr>
              <w:t>小计</w:t>
            </w:r>
          </w:p>
        </w:tc>
        <w:tc>
          <w:tcPr>
            <w:tcW w:w="4008" w:type="dxa"/>
            <w:tcBorders>
              <w:top w:val="nil"/>
              <w:left w:val="nil"/>
              <w:bottom w:val="single" w:color="auto" w:sz="4" w:space="0"/>
              <w:right w:val="single" w:color="auto" w:sz="4" w:space="0"/>
            </w:tcBorders>
            <w:shd w:val="clear" w:color="auto" w:fill="auto"/>
            <w:noWrap/>
            <w:vAlign w:val="center"/>
          </w:tcPr>
          <w:p w14:paraId="0DC757C5">
            <w:pPr>
              <w:widowControl/>
              <w:adjustRightInd/>
              <w:spacing w:line="240" w:lineRule="auto"/>
              <w:jc w:val="center"/>
              <w:textAlignment w:val="auto"/>
              <w:rPr>
                <w:rFonts w:hint="eastAsia" w:ascii="华文细黑" w:hAnsi="华文细黑" w:eastAsia="华文细黑" w:cs="Arial"/>
                <w:b/>
                <w:bCs/>
                <w:sz w:val="18"/>
                <w:szCs w:val="18"/>
                <w:highlight w:val="none"/>
                <w:lang w:val="en-US" w:eastAsia="zh-CN"/>
              </w:rPr>
            </w:pPr>
            <w:r>
              <w:rPr>
                <w:rFonts w:hint="eastAsia" w:ascii="华文细黑" w:hAnsi="华文细黑" w:eastAsia="华文细黑" w:cs="Arial"/>
                <w:b/>
                <w:bCs/>
                <w:sz w:val="18"/>
                <w:szCs w:val="18"/>
                <w:highlight w:val="none"/>
                <w:lang w:val="en-US" w:eastAsia="zh-CN"/>
              </w:rPr>
              <w:t>-</w:t>
            </w:r>
          </w:p>
        </w:tc>
        <w:tc>
          <w:tcPr>
            <w:tcW w:w="612" w:type="dxa"/>
            <w:tcBorders>
              <w:top w:val="nil"/>
              <w:left w:val="nil"/>
              <w:bottom w:val="single" w:color="auto" w:sz="4" w:space="0"/>
              <w:right w:val="single" w:color="auto" w:sz="4" w:space="0"/>
            </w:tcBorders>
            <w:shd w:val="clear" w:color="auto" w:fill="auto"/>
            <w:noWrap/>
            <w:vAlign w:val="center"/>
          </w:tcPr>
          <w:p w14:paraId="17E55F33">
            <w:pPr>
              <w:widowControl/>
              <w:adjustRightInd/>
              <w:spacing w:line="240" w:lineRule="auto"/>
              <w:jc w:val="center"/>
              <w:textAlignment w:val="auto"/>
              <w:rPr>
                <w:rFonts w:hint="eastAsia" w:ascii="华文细黑" w:hAnsi="华文细黑" w:eastAsia="华文细黑" w:cs="Arial"/>
                <w:b/>
                <w:bCs/>
                <w:sz w:val="18"/>
                <w:szCs w:val="18"/>
                <w:highlight w:val="none"/>
                <w:lang w:val="en-US" w:eastAsia="zh-CN"/>
              </w:rPr>
            </w:pPr>
            <w:r>
              <w:rPr>
                <w:rFonts w:hint="eastAsia" w:ascii="华文细黑" w:hAnsi="华文细黑" w:eastAsia="华文细黑" w:cs="Arial"/>
                <w:b/>
                <w:bCs/>
                <w:sz w:val="18"/>
                <w:szCs w:val="18"/>
                <w:highlight w:val="none"/>
                <w:lang w:val="en-US" w:eastAsia="zh-CN"/>
              </w:rPr>
              <w:t>-</w:t>
            </w:r>
          </w:p>
        </w:tc>
        <w:tc>
          <w:tcPr>
            <w:tcW w:w="924" w:type="dxa"/>
            <w:tcBorders>
              <w:top w:val="nil"/>
              <w:left w:val="nil"/>
              <w:bottom w:val="single" w:color="auto" w:sz="4" w:space="0"/>
              <w:right w:val="single" w:color="auto" w:sz="4" w:space="0"/>
            </w:tcBorders>
            <w:shd w:val="clear" w:color="auto" w:fill="auto"/>
            <w:noWrap/>
            <w:vAlign w:val="center"/>
          </w:tcPr>
          <w:p w14:paraId="6A9C29C2">
            <w:pPr>
              <w:widowControl/>
              <w:adjustRightInd/>
              <w:spacing w:line="240" w:lineRule="auto"/>
              <w:jc w:val="center"/>
              <w:textAlignment w:val="auto"/>
              <w:rPr>
                <w:rFonts w:hint="default" w:ascii="华文细黑" w:hAnsi="华文细黑" w:eastAsia="华文细黑" w:cs="Arial"/>
                <w:b/>
                <w:bCs/>
                <w:sz w:val="18"/>
                <w:szCs w:val="18"/>
                <w:highlight w:val="none"/>
                <w:lang w:val="en-US" w:eastAsia="zh-CN"/>
              </w:rPr>
            </w:pPr>
            <w:r>
              <w:rPr>
                <w:rFonts w:hint="eastAsia" w:ascii="华文细黑" w:hAnsi="华文细黑" w:eastAsia="华文细黑" w:cs="Arial"/>
                <w:b/>
                <w:bCs/>
                <w:sz w:val="18"/>
                <w:szCs w:val="18"/>
                <w:highlight w:val="none"/>
                <w:lang w:val="en-US" w:eastAsia="zh-CN"/>
              </w:rPr>
              <w:t>13</w:t>
            </w:r>
          </w:p>
        </w:tc>
        <w:tc>
          <w:tcPr>
            <w:tcW w:w="1604" w:type="dxa"/>
            <w:tcBorders>
              <w:top w:val="nil"/>
              <w:left w:val="nil"/>
              <w:bottom w:val="single" w:color="auto" w:sz="4" w:space="0"/>
              <w:right w:val="single" w:color="auto" w:sz="4" w:space="0"/>
            </w:tcBorders>
            <w:shd w:val="clear" w:color="auto" w:fill="auto"/>
            <w:noWrap/>
            <w:vAlign w:val="center"/>
          </w:tcPr>
          <w:p w14:paraId="521A70C4">
            <w:pPr>
              <w:widowControl/>
              <w:adjustRightInd/>
              <w:spacing w:line="240" w:lineRule="auto"/>
              <w:jc w:val="center"/>
              <w:textAlignment w:val="auto"/>
              <w:rPr>
                <w:rFonts w:hint="default" w:ascii="华文细黑" w:hAnsi="华文细黑" w:eastAsia="华文细黑" w:cs="Arial"/>
                <w:b/>
                <w:bCs/>
                <w:sz w:val="18"/>
                <w:szCs w:val="18"/>
                <w:highlight w:val="none"/>
                <w:lang w:val="en-US" w:eastAsia="zh-CN"/>
              </w:rPr>
            </w:pPr>
            <w:r>
              <w:rPr>
                <w:rFonts w:hint="eastAsia" w:ascii="华文细黑" w:hAnsi="华文细黑" w:eastAsia="华文细黑" w:cs="Arial"/>
                <w:b/>
                <w:bCs/>
                <w:sz w:val="18"/>
                <w:szCs w:val="18"/>
                <w:highlight w:val="none"/>
                <w:lang w:val="en-US" w:eastAsia="zh-CN"/>
              </w:rPr>
              <w:t>1564.82</w:t>
            </w:r>
          </w:p>
        </w:tc>
      </w:tr>
      <w:tr w14:paraId="3BF037EB">
        <w:tblPrEx>
          <w:tblCellMar>
            <w:top w:w="0" w:type="dxa"/>
            <w:left w:w="108" w:type="dxa"/>
            <w:bottom w:w="0" w:type="dxa"/>
            <w:right w:w="108" w:type="dxa"/>
          </w:tblCellMar>
        </w:tblPrEx>
        <w:trPr>
          <w:trHeight w:val="90" w:hRule="atLeast"/>
        </w:trPr>
        <w:tc>
          <w:tcPr>
            <w:tcW w:w="779" w:type="dxa"/>
            <w:tcBorders>
              <w:top w:val="nil"/>
              <w:left w:val="single" w:color="auto" w:sz="4" w:space="0"/>
              <w:bottom w:val="single" w:color="auto" w:sz="4" w:space="0"/>
              <w:right w:val="single" w:color="auto" w:sz="4" w:space="0"/>
            </w:tcBorders>
            <w:shd w:val="clear" w:color="auto" w:fill="auto"/>
            <w:noWrap/>
            <w:vAlign w:val="center"/>
          </w:tcPr>
          <w:p w14:paraId="0EDBFBA7">
            <w:pPr>
              <w:widowControl/>
              <w:adjustRightInd/>
              <w:spacing w:line="240" w:lineRule="auto"/>
              <w:jc w:val="center"/>
              <w:textAlignment w:val="auto"/>
              <w:rPr>
                <w:rFonts w:ascii="华文细黑" w:hAnsi="华文细黑" w:eastAsia="华文细黑" w:cs="Arial"/>
                <w:b/>
                <w:bCs/>
                <w:sz w:val="18"/>
                <w:szCs w:val="18"/>
                <w:highlight w:val="none"/>
              </w:rPr>
            </w:pPr>
            <w:r>
              <w:rPr>
                <w:rFonts w:ascii="华文细黑" w:hAnsi="华文细黑" w:eastAsia="华文细黑" w:cs="Arial"/>
                <w:b/>
                <w:bCs/>
                <w:sz w:val="18"/>
                <w:szCs w:val="18"/>
                <w:highlight w:val="none"/>
              </w:rPr>
              <w:t>合计</w:t>
            </w:r>
          </w:p>
        </w:tc>
        <w:tc>
          <w:tcPr>
            <w:tcW w:w="1332" w:type="dxa"/>
            <w:tcBorders>
              <w:top w:val="nil"/>
              <w:left w:val="nil"/>
              <w:bottom w:val="single" w:color="auto" w:sz="4" w:space="0"/>
              <w:right w:val="single" w:color="auto" w:sz="4" w:space="0"/>
            </w:tcBorders>
            <w:shd w:val="clear" w:color="auto" w:fill="auto"/>
            <w:noWrap/>
            <w:vAlign w:val="center"/>
          </w:tcPr>
          <w:p w14:paraId="04C0CD8E">
            <w:pPr>
              <w:widowControl/>
              <w:adjustRightInd/>
              <w:spacing w:line="240" w:lineRule="auto"/>
              <w:jc w:val="center"/>
              <w:textAlignment w:val="auto"/>
              <w:rPr>
                <w:rFonts w:ascii="华文细黑" w:hAnsi="华文细黑" w:eastAsia="华文细黑" w:cs="Arial"/>
                <w:b/>
                <w:bCs/>
                <w:sz w:val="18"/>
                <w:szCs w:val="18"/>
                <w:highlight w:val="none"/>
              </w:rPr>
            </w:pPr>
            <w:r>
              <w:rPr>
                <w:rFonts w:ascii="华文细黑" w:hAnsi="华文细黑" w:eastAsia="华文细黑" w:cs="Arial"/>
                <w:b/>
                <w:bCs/>
                <w:sz w:val="18"/>
                <w:szCs w:val="18"/>
                <w:highlight w:val="none"/>
              </w:rPr>
              <w:t>-</w:t>
            </w:r>
          </w:p>
        </w:tc>
        <w:tc>
          <w:tcPr>
            <w:tcW w:w="4008" w:type="dxa"/>
            <w:tcBorders>
              <w:top w:val="nil"/>
              <w:left w:val="nil"/>
              <w:bottom w:val="single" w:color="auto" w:sz="4" w:space="0"/>
              <w:right w:val="single" w:color="auto" w:sz="4" w:space="0"/>
            </w:tcBorders>
            <w:shd w:val="clear" w:color="auto" w:fill="auto"/>
            <w:noWrap/>
            <w:vAlign w:val="center"/>
          </w:tcPr>
          <w:p w14:paraId="7BD43119">
            <w:pPr>
              <w:widowControl/>
              <w:adjustRightInd/>
              <w:spacing w:line="240" w:lineRule="auto"/>
              <w:jc w:val="center"/>
              <w:textAlignment w:val="auto"/>
              <w:rPr>
                <w:rFonts w:ascii="华文细黑" w:hAnsi="华文细黑" w:eastAsia="华文细黑" w:cs="Arial"/>
                <w:b/>
                <w:bCs/>
                <w:sz w:val="18"/>
                <w:szCs w:val="18"/>
                <w:highlight w:val="none"/>
              </w:rPr>
            </w:pPr>
            <w:r>
              <w:rPr>
                <w:rFonts w:hint="eastAsia" w:ascii="华文细黑" w:hAnsi="华文细黑" w:eastAsia="华文细黑" w:cs="Arial"/>
                <w:b/>
                <w:bCs/>
                <w:sz w:val="18"/>
                <w:szCs w:val="18"/>
                <w:highlight w:val="none"/>
              </w:rPr>
              <w:t>-</w:t>
            </w:r>
          </w:p>
        </w:tc>
        <w:tc>
          <w:tcPr>
            <w:tcW w:w="612" w:type="dxa"/>
            <w:tcBorders>
              <w:top w:val="nil"/>
              <w:left w:val="nil"/>
              <w:bottom w:val="single" w:color="auto" w:sz="4" w:space="0"/>
              <w:right w:val="single" w:color="auto" w:sz="4" w:space="0"/>
            </w:tcBorders>
            <w:shd w:val="clear" w:color="auto" w:fill="auto"/>
            <w:noWrap/>
            <w:vAlign w:val="center"/>
          </w:tcPr>
          <w:p w14:paraId="0A98D5B3">
            <w:pPr>
              <w:widowControl/>
              <w:adjustRightInd/>
              <w:spacing w:line="240" w:lineRule="auto"/>
              <w:jc w:val="center"/>
              <w:textAlignment w:val="auto"/>
              <w:rPr>
                <w:rFonts w:ascii="华文细黑" w:hAnsi="华文细黑" w:eastAsia="华文细黑" w:cs="Arial"/>
                <w:b/>
                <w:bCs/>
                <w:sz w:val="18"/>
                <w:szCs w:val="18"/>
                <w:highlight w:val="none"/>
              </w:rPr>
            </w:pPr>
            <w:r>
              <w:rPr>
                <w:rFonts w:hint="eastAsia" w:ascii="华文细黑" w:hAnsi="华文细黑" w:eastAsia="华文细黑" w:cs="Arial"/>
                <w:b/>
                <w:bCs/>
                <w:sz w:val="18"/>
                <w:szCs w:val="18"/>
                <w:highlight w:val="none"/>
              </w:rPr>
              <w:t>-</w:t>
            </w:r>
          </w:p>
        </w:tc>
        <w:tc>
          <w:tcPr>
            <w:tcW w:w="924" w:type="dxa"/>
            <w:tcBorders>
              <w:top w:val="nil"/>
              <w:left w:val="nil"/>
              <w:bottom w:val="single" w:color="auto" w:sz="4" w:space="0"/>
              <w:right w:val="single" w:color="auto" w:sz="4" w:space="0"/>
            </w:tcBorders>
            <w:shd w:val="clear" w:color="auto" w:fill="auto"/>
            <w:noWrap/>
            <w:vAlign w:val="center"/>
          </w:tcPr>
          <w:p w14:paraId="3D477CE7">
            <w:pPr>
              <w:widowControl/>
              <w:adjustRightInd/>
              <w:spacing w:line="240" w:lineRule="auto"/>
              <w:jc w:val="center"/>
              <w:textAlignment w:val="auto"/>
              <w:rPr>
                <w:rFonts w:hint="default" w:ascii="华文细黑" w:hAnsi="华文细黑" w:eastAsia="华文细黑" w:cs="Arial"/>
                <w:b/>
                <w:bCs/>
                <w:sz w:val="18"/>
                <w:szCs w:val="18"/>
                <w:highlight w:val="none"/>
                <w:lang w:val="en-US" w:eastAsia="zh-CN"/>
              </w:rPr>
            </w:pPr>
            <w:r>
              <w:rPr>
                <w:rFonts w:hint="eastAsia" w:ascii="华文细黑" w:hAnsi="华文细黑" w:eastAsia="华文细黑" w:cs="Arial"/>
                <w:b/>
                <w:bCs/>
                <w:sz w:val="18"/>
                <w:szCs w:val="18"/>
                <w:highlight w:val="none"/>
                <w:lang w:val="en-US" w:eastAsia="zh-CN"/>
              </w:rPr>
              <w:t>1324</w:t>
            </w:r>
          </w:p>
        </w:tc>
        <w:tc>
          <w:tcPr>
            <w:tcW w:w="1604" w:type="dxa"/>
            <w:tcBorders>
              <w:top w:val="nil"/>
              <w:left w:val="nil"/>
              <w:bottom w:val="single" w:color="auto" w:sz="4" w:space="0"/>
              <w:right w:val="single" w:color="auto" w:sz="4" w:space="0"/>
            </w:tcBorders>
            <w:shd w:val="clear" w:color="auto" w:fill="auto"/>
            <w:noWrap/>
            <w:vAlign w:val="center"/>
          </w:tcPr>
          <w:p w14:paraId="73B2B6FB">
            <w:pPr>
              <w:widowControl/>
              <w:adjustRightInd/>
              <w:spacing w:line="240" w:lineRule="auto"/>
              <w:jc w:val="center"/>
              <w:textAlignment w:val="auto"/>
              <w:rPr>
                <w:rFonts w:hint="default" w:ascii="华文细黑" w:hAnsi="华文细黑" w:eastAsia="华文细黑" w:cs="Arial"/>
                <w:b/>
                <w:bCs/>
                <w:sz w:val="18"/>
                <w:szCs w:val="18"/>
                <w:highlight w:val="none"/>
                <w:lang w:val="en-US" w:eastAsia="zh-CN"/>
              </w:rPr>
            </w:pPr>
            <w:r>
              <w:rPr>
                <w:rFonts w:hint="eastAsia" w:ascii="华文细黑" w:hAnsi="华文细黑" w:eastAsia="华文细黑" w:cs="Arial"/>
                <w:b/>
                <w:bCs/>
                <w:sz w:val="18"/>
                <w:szCs w:val="18"/>
                <w:highlight w:val="none"/>
                <w:lang w:val="en-US" w:eastAsia="zh-CN"/>
              </w:rPr>
              <w:t>106034.90</w:t>
            </w:r>
          </w:p>
        </w:tc>
      </w:tr>
    </w:tbl>
    <w:p w14:paraId="71CDD586">
      <w:pPr>
        <w:overflowPunct w:val="0"/>
        <w:spacing w:before="120" w:beforeLines="50" w:line="480" w:lineRule="auto"/>
        <w:ind w:firstLine="420" w:firstLineChars="200"/>
        <w:jc w:val="both"/>
        <w:textAlignment w:val="auto"/>
        <w:rPr>
          <w:rFonts w:ascii="Arial" w:hAnsi="Arial" w:cs="Arial"/>
          <w:sz w:val="21"/>
          <w:szCs w:val="21"/>
          <w:highlight w:val="none"/>
        </w:rPr>
      </w:pPr>
      <w:r>
        <w:rPr>
          <w:rFonts w:hint="eastAsia" w:ascii="Arial" w:hAnsi="Arial" w:cs="Arial"/>
          <w:kern w:val="2"/>
          <w:sz w:val="21"/>
          <w:szCs w:val="21"/>
          <w:highlight w:val="none"/>
        </w:rPr>
        <w:t>于价值时点，估价对象</w:t>
      </w:r>
      <w:r>
        <w:rPr>
          <w:rFonts w:hint="eastAsia" w:ascii="Arial" w:hAnsi="Arial" w:cs="Arial"/>
          <w:kern w:val="2"/>
          <w:sz w:val="21"/>
          <w:szCs w:val="21"/>
          <w:highlight w:val="none"/>
          <w:lang w:val="en-US" w:eastAsia="zh-CN"/>
        </w:rPr>
        <w:t>所属由于</w:t>
      </w:r>
      <w:r>
        <w:rPr>
          <w:rFonts w:hint="eastAsia" w:ascii="Arial" w:hAnsi="Arial" w:cs="Arial"/>
          <w:kern w:val="2"/>
          <w:sz w:val="21"/>
          <w:szCs w:val="21"/>
          <w:highlight w:val="none"/>
        </w:rPr>
        <w:t>已</w:t>
      </w:r>
      <w:r>
        <w:rPr>
          <w:rFonts w:hint="eastAsia" w:ascii="Arial" w:hAnsi="Arial" w:cs="Arial"/>
          <w:kern w:val="2"/>
          <w:sz w:val="21"/>
          <w:szCs w:val="21"/>
          <w:highlight w:val="none"/>
          <w:lang w:val="en-US" w:eastAsia="zh-CN"/>
        </w:rPr>
        <w:t>全部</w:t>
      </w:r>
      <w:r>
        <w:rPr>
          <w:rFonts w:hint="eastAsia" w:ascii="Arial" w:hAnsi="Arial" w:cs="Arial"/>
          <w:kern w:val="2"/>
          <w:sz w:val="21"/>
          <w:szCs w:val="21"/>
          <w:highlight w:val="none"/>
        </w:rPr>
        <w:t>竣工，</w:t>
      </w:r>
      <w:r>
        <w:rPr>
          <w:rFonts w:hint="eastAsia" w:ascii="Arial" w:hAnsi="Arial" w:cs="Arial"/>
          <w:sz w:val="21"/>
          <w:szCs w:val="21"/>
          <w:highlight w:val="none"/>
          <w:lang w:val="en-US" w:eastAsia="zh-CN"/>
        </w:rPr>
        <w:t>根据</w:t>
      </w:r>
      <w:r>
        <w:rPr>
          <w:rFonts w:hint="eastAsia" w:ascii="Arial" w:hAnsi="Arial" w:cs="Arial"/>
          <w:sz w:val="21"/>
          <w:szCs w:val="21"/>
          <w:highlight w:val="none"/>
          <w:lang w:eastAsia="zh-CN"/>
        </w:rPr>
        <w:t>《</w:t>
      </w:r>
      <w:r>
        <w:rPr>
          <w:rFonts w:hint="eastAsia" w:ascii="Arial" w:hAnsi="Arial" w:cs="Arial"/>
          <w:sz w:val="21"/>
          <w:szCs w:val="21"/>
          <w:highlight w:val="none"/>
          <w:lang w:val="en-US" w:eastAsia="zh-CN"/>
        </w:rPr>
        <w:t>北京市大兴区住房和城乡建设委员会 关于采育数字时尚小镇保障性住房使用管理有关问题的请示》[京兴建文（2025）123号]、《采育数字时尚小镇保障性住房趸组协议》及其附件、</w:t>
      </w:r>
      <w:r>
        <w:rPr>
          <w:rFonts w:hint="eastAsia" w:ascii="Arial" w:hAnsi="Arial" w:cs="Arial"/>
          <w:sz w:val="21"/>
          <w:szCs w:val="21"/>
          <w:highlight w:val="none"/>
        </w:rPr>
        <w:t>《估价委托书》</w:t>
      </w:r>
      <w:r>
        <w:rPr>
          <w:rFonts w:hint="eastAsia" w:ascii="Arial" w:hAnsi="Arial" w:cs="Arial"/>
          <w:sz w:val="21"/>
          <w:szCs w:val="21"/>
          <w:highlight w:val="none"/>
          <w:lang w:val="en-US" w:eastAsia="zh-CN"/>
        </w:rPr>
        <w:t>及评估专业人员实地查勘</w:t>
      </w:r>
      <w:r>
        <w:rPr>
          <w:rFonts w:hint="eastAsia" w:ascii="Arial" w:hAnsi="Arial" w:cs="Arial"/>
          <w:kern w:val="2"/>
          <w:sz w:val="21"/>
          <w:szCs w:val="21"/>
          <w:highlight w:val="none"/>
        </w:rPr>
        <w:t>，</w:t>
      </w:r>
      <w:r>
        <w:rPr>
          <w:rFonts w:hint="eastAsia" w:ascii="Arial" w:hAnsi="Arial" w:cs="Arial"/>
          <w:sz w:val="21"/>
          <w:szCs w:val="21"/>
          <w:highlight w:val="none"/>
          <w:lang w:val="en-US" w:eastAsia="zh-CN"/>
        </w:rPr>
        <w:t>估价对象</w:t>
      </w:r>
      <w:r>
        <w:rPr>
          <w:rFonts w:hint="eastAsia" w:ascii="Arial" w:hAnsi="Arial" w:cs="Arial"/>
          <w:kern w:val="2"/>
          <w:sz w:val="21"/>
          <w:szCs w:val="21"/>
          <w:highlight w:val="none"/>
          <w:lang w:eastAsia="zh-CN"/>
        </w:rPr>
        <w:t>1324套</w:t>
      </w:r>
      <w:r>
        <w:rPr>
          <w:rFonts w:hint="eastAsia" w:ascii="Arial" w:hAnsi="Arial" w:cs="Arial"/>
          <w:kern w:val="2"/>
          <w:sz w:val="21"/>
          <w:szCs w:val="21"/>
          <w:highlight w:val="none"/>
          <w:lang w:val="en-US" w:eastAsia="zh-CN"/>
        </w:rPr>
        <w:t>住宅用房，其中已转化人才公租房500套现状</w:t>
      </w:r>
      <w:r>
        <w:rPr>
          <w:rFonts w:hint="eastAsia" w:ascii="Arial" w:hAnsi="Arial" w:cs="Arial"/>
          <w:kern w:val="2"/>
          <w:sz w:val="21"/>
          <w:szCs w:val="21"/>
          <w:highlight w:val="none"/>
        </w:rPr>
        <w:t>室内装修情况均为</w:t>
      </w:r>
      <w:r>
        <w:rPr>
          <w:rFonts w:hint="eastAsia" w:ascii="Arial" w:hAnsi="Arial" w:cs="Arial"/>
          <w:kern w:val="2"/>
          <w:sz w:val="21"/>
          <w:szCs w:val="21"/>
          <w:highlight w:val="none"/>
          <w:lang w:val="en-US" w:eastAsia="zh-CN"/>
        </w:rPr>
        <w:t>精装修，安置房剩余房源824套现状为毛坯，后续由北京市大兴区保障性住房建设投资有限公司按实际情况分期分批对824套剩余房源进行装修，估价对象全部房源均按照精装修标准配租，故本次评估</w:t>
      </w:r>
      <w:r>
        <w:rPr>
          <w:rFonts w:hint="eastAsia" w:ascii="Arial" w:hAnsi="Arial" w:cs="Arial"/>
          <w:kern w:val="2"/>
          <w:sz w:val="21"/>
          <w:szCs w:val="21"/>
          <w:highlight w:val="none"/>
        </w:rPr>
        <w:t>室内装修情况均</w:t>
      </w:r>
      <w:r>
        <w:rPr>
          <w:rFonts w:hint="eastAsia" w:ascii="Arial" w:hAnsi="Arial" w:cs="Arial"/>
          <w:kern w:val="2"/>
          <w:sz w:val="21"/>
          <w:szCs w:val="21"/>
          <w:highlight w:val="none"/>
          <w:lang w:val="en-US" w:eastAsia="zh-CN"/>
        </w:rPr>
        <w:t>设定</w:t>
      </w:r>
      <w:r>
        <w:rPr>
          <w:rFonts w:hint="eastAsia" w:ascii="Arial" w:hAnsi="Arial" w:cs="Arial"/>
          <w:kern w:val="2"/>
          <w:sz w:val="21"/>
          <w:szCs w:val="21"/>
          <w:highlight w:val="none"/>
        </w:rPr>
        <w:t>为精装修。</w:t>
      </w:r>
    </w:p>
    <w:p w14:paraId="522BCC64">
      <w:pPr>
        <w:rPr>
          <w:rFonts w:hint="eastAsia" w:ascii="Arial" w:hAnsi="Arial" w:cs="Arial"/>
          <w:kern w:val="2"/>
          <w:sz w:val="21"/>
          <w:szCs w:val="21"/>
          <w:highlight w:val="none"/>
        </w:rPr>
      </w:pPr>
      <w:r>
        <w:rPr>
          <w:rFonts w:hint="eastAsia" w:ascii="Arial" w:hAnsi="Arial" w:cs="Arial"/>
          <w:kern w:val="2"/>
          <w:sz w:val="21"/>
          <w:szCs w:val="21"/>
          <w:highlight w:val="none"/>
        </w:rPr>
        <w:br w:type="page"/>
      </w:r>
    </w:p>
    <w:p w14:paraId="6FCFE5BA">
      <w:pPr>
        <w:overflowPunct w:val="0"/>
        <w:spacing w:line="480" w:lineRule="auto"/>
        <w:jc w:val="center"/>
        <w:textAlignment w:val="auto"/>
        <w:rPr>
          <w:highlight w:val="none"/>
        </w:rPr>
      </w:pPr>
      <w:r>
        <w:rPr>
          <w:rFonts w:hint="eastAsia" w:ascii="Arial" w:hAnsi="Arial" w:cs="Arial"/>
          <w:kern w:val="2"/>
          <w:sz w:val="21"/>
          <w:szCs w:val="21"/>
          <w:highlight w:val="none"/>
        </w:rPr>
        <w:t>估价对象位置示意图</w:t>
      </w:r>
      <w:r>
        <w:rPr>
          <w:highlight w:val="none"/>
        </w:rPr>
        <w:t xml:space="preserve"> </w:t>
      </w:r>
    </w:p>
    <w:p w14:paraId="00856075">
      <w:pPr>
        <w:overflowPunct w:val="0"/>
        <w:spacing w:line="480" w:lineRule="auto"/>
        <w:jc w:val="center"/>
        <w:textAlignment w:val="auto"/>
        <w:rPr>
          <w:rFonts w:ascii="Arial" w:hAnsi="Arial" w:cs="Arial"/>
          <w:kern w:val="2"/>
          <w:sz w:val="21"/>
          <w:szCs w:val="21"/>
          <w:highlight w:val="none"/>
        </w:rPr>
      </w:pPr>
      <w:r>
        <w:rPr>
          <w:highlight w:val="none"/>
        </w:rPr>
        <mc:AlternateContent>
          <mc:Choice Requires="wps">
            <w:drawing>
              <wp:anchor distT="0" distB="0" distL="114300" distR="114300" simplePos="0" relativeHeight="251662336" behindDoc="0" locked="0" layoutInCell="1" allowOverlap="1">
                <wp:simplePos x="0" y="0"/>
                <wp:positionH relativeFrom="column">
                  <wp:posOffset>3472180</wp:posOffset>
                </wp:positionH>
                <wp:positionV relativeFrom="paragraph">
                  <wp:posOffset>2343785</wp:posOffset>
                </wp:positionV>
                <wp:extent cx="1057275" cy="390525"/>
                <wp:effectExtent l="4445" t="287655" r="5080" b="7620"/>
                <wp:wrapNone/>
                <wp:docPr id="28" name="自选图形 2"/>
                <wp:cNvGraphicFramePr/>
                <a:graphic xmlns:a="http://schemas.openxmlformats.org/drawingml/2006/main">
                  <a:graphicData uri="http://schemas.microsoft.com/office/word/2010/wordprocessingShape">
                    <wps:wsp>
                      <wps:cNvSpPr>
                        <a:spLocks noChangeArrowheads="1"/>
                      </wps:cNvSpPr>
                      <wps:spPr bwMode="auto">
                        <a:xfrm>
                          <a:off x="0" y="0"/>
                          <a:ext cx="1057275" cy="390525"/>
                        </a:xfrm>
                        <a:prstGeom prst="wedgeRoundRectCallout">
                          <a:avLst>
                            <a:gd name="adj1" fmla="val -46216"/>
                            <a:gd name="adj2" fmla="val -120081"/>
                            <a:gd name="adj3" fmla="val 16667"/>
                          </a:avLst>
                        </a:prstGeom>
                        <a:solidFill>
                          <a:srgbClr val="FF0000"/>
                        </a:solidFill>
                        <a:ln w="9525">
                          <a:solidFill>
                            <a:srgbClr val="000000"/>
                          </a:solidFill>
                          <a:miter lim="800000"/>
                        </a:ln>
                      </wps:spPr>
                      <wps:txbx>
                        <w:txbxContent>
                          <w:p w14:paraId="5B299BA6">
                            <w:pPr>
                              <w:rPr>
                                <w:b/>
                                <w:bCs/>
                                <w:color w:val="FFFFFF" w:themeColor="background1"/>
                                <w14:textFill>
                                  <w14:solidFill>
                                    <w14:schemeClr w14:val="bg1"/>
                                  </w14:solidFill>
                                </w14:textFill>
                              </w:rPr>
                            </w:pPr>
                            <w:r>
                              <w:rPr>
                                <w:rFonts w:hint="eastAsia" w:ascii="Arial" w:hAnsi="Arial" w:cs="Arial"/>
                                <w:b/>
                                <w:bCs/>
                                <w:color w:val="FFFFFF" w:themeColor="background1"/>
                                <w:kern w:val="2"/>
                                <w:sz w:val="21"/>
                                <w:szCs w:val="21"/>
                                <w:highlight w:val="none"/>
                                <w:lang w:eastAsia="zh-CN"/>
                                <w14:textFill>
                                  <w14:solidFill>
                                    <w14:schemeClr w14:val="bg1"/>
                                  </w14:solidFill>
                                </w14:textFill>
                              </w:rPr>
                              <w:t>育新花园南里</w:t>
                            </w:r>
                          </w:p>
                        </w:txbxContent>
                      </wps:txbx>
                      <wps:bodyPr rot="0" vert="horz" wrap="square" lIns="91440" tIns="45720" rIns="91440" bIns="45720" anchor="t" anchorCtr="0" upright="1">
                        <a:noAutofit/>
                      </wps:bodyPr>
                    </wps:wsp>
                  </a:graphicData>
                </a:graphic>
              </wp:anchor>
            </w:drawing>
          </mc:Choice>
          <mc:Fallback>
            <w:pict>
              <v:shape id="自选图形 2" o:spid="_x0000_s1026" o:spt="62" type="#_x0000_t62" style="position:absolute;left:0pt;margin-left:273.4pt;margin-top:184.55pt;height:30.75pt;width:83.25pt;z-index:251662336;mso-width-relative:page;mso-height-relative:page;" fillcolor="#FF0000" filled="t" stroked="t" coordsize="21600,21600" o:gfxdata="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BTmrcvXAAAACwEAAA8AAAAAAAAAAQAgAAAAIgAA&#10;AGRycy9kb3ducmV2LnhtbFBLAQIUABQAAAAIAIdO4kA3vgf8ewIAAAoFAAAOAAAAAAAAAAEAIAAA&#10;ACYBAABkcnMvZTJvRG9jLnhtbFBLBQYAAAAABgAGAFkBAAATBgAAAAA=&#10;" adj="817,-15137,14400">
                <v:fill on="t" focussize="0,0"/>
                <v:stroke color="#000000" miterlimit="8" joinstyle="miter"/>
                <v:imagedata o:title=""/>
                <o:lock v:ext="edit" aspectratio="f"/>
                <v:textbox>
                  <w:txbxContent>
                    <w:p w14:paraId="5B299BA6">
                      <w:pPr>
                        <w:rPr>
                          <w:b/>
                          <w:bCs/>
                          <w:color w:val="FFFFFF" w:themeColor="background1"/>
                          <w14:textFill>
                            <w14:solidFill>
                              <w14:schemeClr w14:val="bg1"/>
                            </w14:solidFill>
                          </w14:textFill>
                        </w:rPr>
                      </w:pPr>
                      <w:r>
                        <w:rPr>
                          <w:rFonts w:hint="eastAsia" w:ascii="Arial" w:hAnsi="Arial" w:cs="Arial"/>
                          <w:b/>
                          <w:bCs/>
                          <w:color w:val="FFFFFF" w:themeColor="background1"/>
                          <w:kern w:val="2"/>
                          <w:sz w:val="21"/>
                          <w:szCs w:val="21"/>
                          <w:highlight w:val="none"/>
                          <w:lang w:eastAsia="zh-CN"/>
                          <w14:textFill>
                            <w14:solidFill>
                              <w14:schemeClr w14:val="bg1"/>
                            </w14:solidFill>
                          </w14:textFill>
                        </w:rPr>
                        <w:t>育新花园南里</w:t>
                      </w:r>
                    </w:p>
                  </w:txbxContent>
                </v:textbox>
              </v:shape>
            </w:pict>
          </mc:Fallback>
        </mc:AlternateContent>
      </w:r>
      <w:r>
        <w:rPr>
          <w:highlight w:val="none"/>
        </w:rPr>
        <mc:AlternateContent>
          <mc:Choice Requires="wps">
            <w:drawing>
              <wp:anchor distT="0" distB="0" distL="114300" distR="114300" simplePos="0" relativeHeight="251661312" behindDoc="0" locked="0" layoutInCell="1" allowOverlap="1">
                <wp:simplePos x="0" y="0"/>
                <wp:positionH relativeFrom="column">
                  <wp:posOffset>1452880</wp:posOffset>
                </wp:positionH>
                <wp:positionV relativeFrom="paragraph">
                  <wp:posOffset>819785</wp:posOffset>
                </wp:positionV>
                <wp:extent cx="1057275" cy="390525"/>
                <wp:effectExtent l="4445" t="4445" r="203200" b="458470"/>
                <wp:wrapNone/>
                <wp:docPr id="27" name="自选图形 2"/>
                <wp:cNvGraphicFramePr/>
                <a:graphic xmlns:a="http://schemas.openxmlformats.org/drawingml/2006/main">
                  <a:graphicData uri="http://schemas.microsoft.com/office/word/2010/wordprocessingShape">
                    <wps:wsp>
                      <wps:cNvSpPr>
                        <a:spLocks noChangeArrowheads="1"/>
                      </wps:cNvSpPr>
                      <wps:spPr bwMode="auto">
                        <a:xfrm>
                          <a:off x="0" y="0"/>
                          <a:ext cx="1057275" cy="390525"/>
                        </a:xfrm>
                        <a:prstGeom prst="wedgeRoundRectCallout">
                          <a:avLst>
                            <a:gd name="adj1" fmla="val 66216"/>
                            <a:gd name="adj2" fmla="val 160894"/>
                            <a:gd name="adj3" fmla="val 16667"/>
                          </a:avLst>
                        </a:prstGeom>
                        <a:solidFill>
                          <a:srgbClr val="FF0000"/>
                        </a:solidFill>
                        <a:ln w="9525">
                          <a:solidFill>
                            <a:srgbClr val="000000"/>
                          </a:solidFill>
                          <a:miter lim="800000"/>
                        </a:ln>
                      </wps:spPr>
                      <wps:txbx>
                        <w:txbxContent>
                          <w:p w14:paraId="1C00578F">
                            <w:pPr>
                              <w:jc w:val="center"/>
                              <w:rPr>
                                <w:b/>
                                <w:bCs/>
                                <w:color w:val="FFFFFF" w:themeColor="background1"/>
                                <w14:textFill>
                                  <w14:solidFill>
                                    <w14:schemeClr w14:val="bg1"/>
                                  </w14:solidFill>
                                </w14:textFill>
                              </w:rPr>
                            </w:pPr>
                            <w:r>
                              <w:rPr>
                                <w:rFonts w:hint="eastAsia" w:ascii="Arial" w:hAnsi="Arial" w:cs="Arial"/>
                                <w:b/>
                                <w:bCs/>
                                <w:color w:val="FFFFFF" w:themeColor="background1"/>
                                <w:kern w:val="2"/>
                                <w:sz w:val="21"/>
                                <w:szCs w:val="21"/>
                                <w:highlight w:val="none"/>
                                <w:lang w:val="en-US" w:eastAsia="zh-CN"/>
                                <w14:textFill>
                                  <w14:solidFill>
                                    <w14:schemeClr w14:val="bg1"/>
                                  </w14:solidFill>
                                </w14:textFill>
                              </w:rPr>
                              <w:t>育新花园</w:t>
                            </w:r>
                            <w:r>
                              <w:rPr>
                                <w:rFonts w:hint="eastAsia" w:ascii="Arial" w:hAnsi="Arial" w:cs="Arial"/>
                                <w:b/>
                                <w:bCs/>
                                <w:color w:val="FFFFFF" w:themeColor="background1"/>
                                <w:kern w:val="2"/>
                                <w:sz w:val="21"/>
                                <w:szCs w:val="21"/>
                                <w:highlight w:val="none"/>
                                <w:lang w:eastAsia="zh-CN"/>
                                <w14:textFill>
                                  <w14:solidFill>
                                    <w14:schemeClr w14:val="bg1"/>
                                  </w14:solidFill>
                                </w14:textFill>
                              </w:rPr>
                              <w:t>西里</w:t>
                            </w:r>
                          </w:p>
                        </w:txbxContent>
                      </wps:txbx>
                      <wps:bodyPr rot="0" vert="horz" wrap="square" lIns="91440" tIns="45720" rIns="91440" bIns="45720" anchor="t" anchorCtr="0" upright="1">
                        <a:noAutofit/>
                      </wps:bodyPr>
                    </wps:wsp>
                  </a:graphicData>
                </a:graphic>
              </wp:anchor>
            </w:drawing>
          </mc:Choice>
          <mc:Fallback>
            <w:pict>
              <v:shape id="自选图形 2" o:spid="_x0000_s1026" o:spt="62" type="#_x0000_t62" style="position:absolute;left:0pt;margin-left:114.4pt;margin-top:64.55pt;height:30.75pt;width:83.25pt;z-index:251661312;mso-width-relative:page;mso-height-relative:page;" fillcolor="#FF0000" filled="t" stroked="t" coordsize="21600,21600" o:gfxdata="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Dn8anjaAAAACwEAAA8AAAAAAAAAAQAgAAAAIgAA&#10;AGRycy9kb3ducmV2LnhtbFBLAQIUABQAAAAIAIdO4kAZy93HeAIAAAgFAAAOAAAAAAAAAAEAIAAA&#10;ACkBAABkcnMvZTJvRG9jLnhtbFBLBQYAAAAABgAGAFkBAAATBgAAAAA=&#10;" adj="25103,45553,14400">
                <v:fill on="t" focussize="0,0"/>
                <v:stroke color="#000000" miterlimit="8" joinstyle="miter"/>
                <v:imagedata o:title=""/>
                <o:lock v:ext="edit" aspectratio="f"/>
                <v:textbox>
                  <w:txbxContent>
                    <w:p w14:paraId="1C00578F">
                      <w:pPr>
                        <w:jc w:val="center"/>
                        <w:rPr>
                          <w:b/>
                          <w:bCs/>
                          <w:color w:val="FFFFFF" w:themeColor="background1"/>
                          <w14:textFill>
                            <w14:solidFill>
                              <w14:schemeClr w14:val="bg1"/>
                            </w14:solidFill>
                          </w14:textFill>
                        </w:rPr>
                      </w:pPr>
                      <w:r>
                        <w:rPr>
                          <w:rFonts w:hint="eastAsia" w:ascii="Arial" w:hAnsi="Arial" w:cs="Arial"/>
                          <w:b/>
                          <w:bCs/>
                          <w:color w:val="FFFFFF" w:themeColor="background1"/>
                          <w:kern w:val="2"/>
                          <w:sz w:val="21"/>
                          <w:szCs w:val="21"/>
                          <w:highlight w:val="none"/>
                          <w:lang w:val="en-US" w:eastAsia="zh-CN"/>
                          <w14:textFill>
                            <w14:solidFill>
                              <w14:schemeClr w14:val="bg1"/>
                            </w14:solidFill>
                          </w14:textFill>
                        </w:rPr>
                        <w:t>育新花园</w:t>
                      </w:r>
                      <w:r>
                        <w:rPr>
                          <w:rFonts w:hint="eastAsia" w:ascii="Arial" w:hAnsi="Arial" w:cs="Arial"/>
                          <w:b/>
                          <w:bCs/>
                          <w:color w:val="FFFFFF" w:themeColor="background1"/>
                          <w:kern w:val="2"/>
                          <w:sz w:val="21"/>
                          <w:szCs w:val="21"/>
                          <w:highlight w:val="none"/>
                          <w:lang w:eastAsia="zh-CN"/>
                          <w14:textFill>
                            <w14:solidFill>
                              <w14:schemeClr w14:val="bg1"/>
                            </w14:solidFill>
                          </w14:textFill>
                        </w:rPr>
                        <w:t>西里</w:t>
                      </w:r>
                    </w:p>
                  </w:txbxContent>
                </v:textbox>
              </v:shape>
            </w:pict>
          </mc:Fallback>
        </mc:AlternateContent>
      </w:r>
      <w:r>
        <w:rPr>
          <w:highlight w:val="none"/>
        </w:rPr>
        <mc:AlternateContent>
          <mc:Choice Requires="wps">
            <w:drawing>
              <wp:anchor distT="0" distB="0" distL="114300" distR="114300" simplePos="0" relativeHeight="251660288" behindDoc="0" locked="0" layoutInCell="1" allowOverlap="1">
                <wp:simplePos x="0" y="0"/>
                <wp:positionH relativeFrom="column">
                  <wp:posOffset>1993900</wp:posOffset>
                </wp:positionH>
                <wp:positionV relativeFrom="paragraph">
                  <wp:posOffset>133985</wp:posOffset>
                </wp:positionV>
                <wp:extent cx="1057275" cy="390525"/>
                <wp:effectExtent l="4445" t="4445" r="157480" b="549910"/>
                <wp:wrapNone/>
                <wp:docPr id="5" name="自选图形 2"/>
                <wp:cNvGraphicFramePr/>
                <a:graphic xmlns:a="http://schemas.openxmlformats.org/drawingml/2006/main">
                  <a:graphicData uri="http://schemas.microsoft.com/office/word/2010/wordprocessingShape">
                    <wps:wsp>
                      <wps:cNvSpPr>
                        <a:spLocks noChangeArrowheads="1"/>
                      </wps:cNvSpPr>
                      <wps:spPr bwMode="auto">
                        <a:xfrm>
                          <a:off x="0" y="0"/>
                          <a:ext cx="1057275" cy="390525"/>
                        </a:xfrm>
                        <a:prstGeom prst="wedgeRoundRectCallout">
                          <a:avLst>
                            <a:gd name="adj1" fmla="val 61891"/>
                            <a:gd name="adj2" fmla="val 184308"/>
                            <a:gd name="adj3" fmla="val 16667"/>
                          </a:avLst>
                        </a:prstGeom>
                        <a:solidFill>
                          <a:srgbClr val="FF0000"/>
                        </a:solidFill>
                        <a:ln w="9525">
                          <a:solidFill>
                            <a:srgbClr val="000000"/>
                          </a:solidFill>
                          <a:miter lim="800000"/>
                        </a:ln>
                      </wps:spPr>
                      <wps:txbx>
                        <w:txbxContent>
                          <w:p w14:paraId="514D61FE">
                            <w:pPr>
                              <w:rPr>
                                <w:b/>
                                <w:bCs/>
                                <w:color w:val="FFFFFF" w:themeColor="background1"/>
                                <w14:textFill>
                                  <w14:solidFill>
                                    <w14:schemeClr w14:val="bg1"/>
                                  </w14:solidFill>
                                </w14:textFill>
                              </w:rPr>
                            </w:pPr>
                            <w:r>
                              <w:rPr>
                                <w:rFonts w:hint="eastAsia"/>
                                <w:b/>
                                <w:bCs/>
                                <w:color w:val="FFFFFF" w:themeColor="background1"/>
                                <w:sz w:val="21"/>
                                <w:szCs w:val="16"/>
                                <w14:textFill>
                                  <w14:solidFill>
                                    <w14:schemeClr w14:val="bg1"/>
                                  </w14:solidFill>
                                </w14:textFill>
                              </w:rPr>
                              <w:t>育新花园北里</w:t>
                            </w:r>
                          </w:p>
                        </w:txbxContent>
                      </wps:txbx>
                      <wps:bodyPr rot="0" vert="horz" wrap="square" lIns="91440" tIns="45720" rIns="91440" bIns="45720" anchor="t" anchorCtr="0" upright="1">
                        <a:noAutofit/>
                      </wps:bodyPr>
                    </wps:wsp>
                  </a:graphicData>
                </a:graphic>
              </wp:anchor>
            </w:drawing>
          </mc:Choice>
          <mc:Fallback>
            <w:pict>
              <v:shape id="自选图形 2" o:spid="_x0000_s1026" o:spt="62" type="#_x0000_t62" style="position:absolute;left:0pt;margin-left:157pt;margin-top:10.55pt;height:30.75pt;width:83.25pt;z-index:251660288;mso-width-relative:page;mso-height-relative:page;" fillcolor="#FF0000" filled="t" stroked="t" coordsize="21600,21600" o:gfxdata="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GG3ibrYAAAACQEAAA8AAAAAAAAAAQAgAAAAIgAA&#10;AGRycy9kb3ducmV2LnhtbFBLAQIUABQAAAAIAIdO4kD6e6fgegIAAAcFAAAOAAAAAAAAAAEAIAAA&#10;ACcBAABkcnMvZTJvRG9jLnhtbFBLBQYAAAAABgAGAFkBAAATBgAAAAA=&#10;" adj="24168,50611,14400">
                <v:fill on="t" focussize="0,0"/>
                <v:stroke color="#000000" miterlimit="8" joinstyle="miter"/>
                <v:imagedata o:title=""/>
                <o:lock v:ext="edit" aspectratio="f"/>
                <v:textbox>
                  <w:txbxContent>
                    <w:p w14:paraId="514D61FE">
                      <w:pPr>
                        <w:rPr>
                          <w:b/>
                          <w:bCs/>
                          <w:color w:val="FFFFFF" w:themeColor="background1"/>
                          <w14:textFill>
                            <w14:solidFill>
                              <w14:schemeClr w14:val="bg1"/>
                            </w14:solidFill>
                          </w14:textFill>
                        </w:rPr>
                      </w:pPr>
                      <w:r>
                        <w:rPr>
                          <w:rFonts w:hint="eastAsia"/>
                          <w:b/>
                          <w:bCs/>
                          <w:color w:val="FFFFFF" w:themeColor="background1"/>
                          <w:sz w:val="21"/>
                          <w:szCs w:val="16"/>
                          <w14:textFill>
                            <w14:solidFill>
                              <w14:schemeClr w14:val="bg1"/>
                            </w14:solidFill>
                          </w14:textFill>
                        </w:rPr>
                        <w:t>育新花园北里</w:t>
                      </w:r>
                    </w:p>
                  </w:txbxContent>
                </v:textbox>
              </v:shape>
            </w:pict>
          </mc:Fallback>
        </mc:AlternateContent>
      </w:r>
      <w:r>
        <w:rPr>
          <w:highlight w:val="none"/>
        </w:rPr>
        <mc:AlternateContent>
          <mc:Choice Requires="wps">
            <w:drawing>
              <wp:anchor distT="0" distB="0" distL="114300" distR="114300" simplePos="0" relativeHeight="251659264" behindDoc="0" locked="0" layoutInCell="1" allowOverlap="1">
                <wp:simplePos x="0" y="0"/>
                <wp:positionH relativeFrom="column">
                  <wp:posOffset>3319780</wp:posOffset>
                </wp:positionH>
                <wp:positionV relativeFrom="paragraph">
                  <wp:posOffset>507365</wp:posOffset>
                </wp:positionV>
                <wp:extent cx="1057275" cy="390525"/>
                <wp:effectExtent l="4445" t="4445" r="5080" b="610870"/>
                <wp:wrapNone/>
                <wp:docPr id="559770231" name="自选图形 2"/>
                <wp:cNvGraphicFramePr/>
                <a:graphic xmlns:a="http://schemas.openxmlformats.org/drawingml/2006/main">
                  <a:graphicData uri="http://schemas.microsoft.com/office/word/2010/wordprocessingShape">
                    <wps:wsp>
                      <wps:cNvSpPr>
                        <a:spLocks noChangeArrowheads="1"/>
                      </wps:cNvSpPr>
                      <wps:spPr bwMode="auto">
                        <a:xfrm>
                          <a:off x="0" y="0"/>
                          <a:ext cx="1057275" cy="390525"/>
                        </a:xfrm>
                        <a:prstGeom prst="wedgeRoundRectCallout">
                          <a:avLst>
                            <a:gd name="adj1" fmla="val -47657"/>
                            <a:gd name="adj2" fmla="val 199918"/>
                            <a:gd name="adj3" fmla="val 16667"/>
                          </a:avLst>
                        </a:prstGeom>
                        <a:solidFill>
                          <a:srgbClr val="FF0000"/>
                        </a:solidFill>
                        <a:ln w="9525">
                          <a:solidFill>
                            <a:srgbClr val="000000"/>
                          </a:solidFill>
                          <a:miter lim="800000"/>
                        </a:ln>
                      </wps:spPr>
                      <wps:txbx>
                        <w:txbxContent>
                          <w:p w14:paraId="72A4BEA1">
                            <w:pPr>
                              <w:rPr>
                                <w:b/>
                                <w:bCs/>
                                <w:color w:val="FFFFFF" w:themeColor="background1"/>
                                <w:sz w:val="21"/>
                                <w:szCs w:val="21"/>
                                <w14:textFill>
                                  <w14:solidFill>
                                    <w14:schemeClr w14:val="bg1"/>
                                  </w14:solidFill>
                                </w14:textFill>
                              </w:rPr>
                            </w:pPr>
                            <w:r>
                              <w:rPr>
                                <w:rFonts w:hint="eastAsia" w:ascii="Arial" w:hAnsi="Arial" w:cs="Arial"/>
                                <w:b/>
                                <w:bCs/>
                                <w:color w:val="FFFFFF" w:themeColor="background1"/>
                                <w:kern w:val="2"/>
                                <w:sz w:val="21"/>
                                <w:szCs w:val="21"/>
                                <w:highlight w:val="none"/>
                                <w:lang w:val="en-US" w:eastAsia="zh-CN"/>
                                <w14:textFill>
                                  <w14:solidFill>
                                    <w14:schemeClr w14:val="bg1"/>
                                  </w14:solidFill>
                                </w14:textFill>
                              </w:rPr>
                              <w:t>育新花园中里</w:t>
                            </w:r>
                          </w:p>
                        </w:txbxContent>
                      </wps:txbx>
                      <wps:bodyPr rot="0" vert="horz" wrap="square" lIns="91440" tIns="45720" rIns="91440" bIns="45720" anchor="t" anchorCtr="0" upright="1">
                        <a:noAutofit/>
                      </wps:bodyPr>
                    </wps:wsp>
                  </a:graphicData>
                </a:graphic>
              </wp:anchor>
            </w:drawing>
          </mc:Choice>
          <mc:Fallback>
            <w:pict>
              <v:shape id="自选图形 2" o:spid="_x0000_s1026" o:spt="62" type="#_x0000_t62" style="position:absolute;left:0pt;margin-left:261.4pt;margin-top:39.95pt;height:30.75pt;width:83.25pt;z-index:251659264;mso-width-relative:page;mso-height-relative:page;" fillcolor="#FF0000" filled="t" stroked="t" coordsize="21600,21600" o:gfxdata="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CY62rTbAAAACgEAAA8AAAAAAAAA&#10;AQAgAAAAIgAAAGRycy9kb3ducmV2LnhtbFBLAQIUABQAAAAIAIdO4kAFXZsqgAIAABAFAAAOAAAA&#10;AAAAAAEAIAAAACoBAABkcnMvZTJvRG9jLnhtbFBLBQYAAAAABgAGAFkBAAAcBgAAAAA=&#10;" adj="506,53982,14400">
                <v:fill on="t" focussize="0,0"/>
                <v:stroke color="#000000" miterlimit="8" joinstyle="miter"/>
                <v:imagedata o:title=""/>
                <o:lock v:ext="edit" aspectratio="f"/>
                <v:textbox>
                  <w:txbxContent>
                    <w:p w14:paraId="72A4BEA1">
                      <w:pPr>
                        <w:rPr>
                          <w:b/>
                          <w:bCs/>
                          <w:color w:val="FFFFFF" w:themeColor="background1"/>
                          <w:sz w:val="21"/>
                          <w:szCs w:val="21"/>
                          <w14:textFill>
                            <w14:solidFill>
                              <w14:schemeClr w14:val="bg1"/>
                            </w14:solidFill>
                          </w14:textFill>
                        </w:rPr>
                      </w:pPr>
                      <w:r>
                        <w:rPr>
                          <w:rFonts w:hint="eastAsia" w:ascii="Arial" w:hAnsi="Arial" w:cs="Arial"/>
                          <w:b/>
                          <w:bCs/>
                          <w:color w:val="FFFFFF" w:themeColor="background1"/>
                          <w:kern w:val="2"/>
                          <w:sz w:val="21"/>
                          <w:szCs w:val="21"/>
                          <w:highlight w:val="none"/>
                          <w:lang w:val="en-US" w:eastAsia="zh-CN"/>
                          <w14:textFill>
                            <w14:solidFill>
                              <w14:schemeClr w14:val="bg1"/>
                            </w14:solidFill>
                          </w14:textFill>
                        </w:rPr>
                        <w:t>育新花园中里</w:t>
                      </w:r>
                    </w:p>
                  </w:txbxContent>
                </v:textbox>
              </v:shape>
            </w:pict>
          </mc:Fallback>
        </mc:AlternateContent>
      </w:r>
      <w:r>
        <w:rPr>
          <w:highlight w:val="none"/>
        </w:rPr>
        <w:drawing>
          <wp:inline distT="0" distB="0" distL="114300" distR="114300">
            <wp:extent cx="4674870" cy="3115310"/>
            <wp:effectExtent l="0" t="0" r="3810" b="889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26"/>
                    <a:stretch>
                      <a:fillRect/>
                    </a:stretch>
                  </pic:blipFill>
                  <pic:spPr>
                    <a:xfrm>
                      <a:off x="0" y="0"/>
                      <a:ext cx="4674870" cy="3115310"/>
                    </a:xfrm>
                    <a:prstGeom prst="rect">
                      <a:avLst/>
                    </a:prstGeom>
                    <a:noFill/>
                    <a:ln>
                      <a:noFill/>
                    </a:ln>
                  </pic:spPr>
                </pic:pic>
              </a:graphicData>
            </a:graphic>
          </wp:inline>
        </w:drawing>
      </w:r>
    </w:p>
    <w:p w14:paraId="17D215D7">
      <w:pPr>
        <w:wordWrap w:val="0"/>
        <w:overflowPunct w:val="0"/>
        <w:spacing w:line="480" w:lineRule="auto"/>
        <w:jc w:val="both"/>
        <w:textAlignment w:val="auto"/>
        <w:rPr>
          <w:rFonts w:ascii="Arial" w:hAnsi="Arial" w:cs="Arial"/>
          <w:b/>
          <w:kern w:val="2"/>
          <w:sz w:val="21"/>
          <w:szCs w:val="21"/>
          <w:highlight w:val="none"/>
        </w:rPr>
      </w:pPr>
      <w:r>
        <w:rPr>
          <w:rFonts w:ascii="Arial" w:hAnsi="Arial" w:cs="Arial"/>
          <w:b/>
          <w:kern w:val="2"/>
          <w:sz w:val="21"/>
          <w:szCs w:val="21"/>
          <w:highlight w:val="none"/>
        </w:rPr>
        <w:t>（二）土地基本状况</w:t>
      </w:r>
    </w:p>
    <w:p w14:paraId="5FA32127">
      <w:pPr>
        <w:wordWrap w:val="0"/>
        <w:overflowPunct w:val="0"/>
        <w:spacing w:line="480" w:lineRule="auto"/>
        <w:ind w:firstLine="420" w:firstLineChars="200"/>
        <w:jc w:val="both"/>
        <w:textAlignment w:val="auto"/>
        <w:rPr>
          <w:rFonts w:hint="default" w:ascii="Arial" w:hAnsi="Arial" w:cs="Arial"/>
          <w:sz w:val="21"/>
          <w:szCs w:val="21"/>
          <w:highlight w:val="none"/>
          <w:lang w:val="en-US"/>
        </w:rPr>
      </w:pPr>
      <w:r>
        <w:rPr>
          <w:rFonts w:ascii="Arial" w:hAnsi="Arial" w:cs="Arial"/>
          <w:sz w:val="21"/>
          <w:szCs w:val="21"/>
          <w:highlight w:val="none"/>
        </w:rPr>
        <w:t>1.</w:t>
      </w:r>
      <w:r>
        <w:rPr>
          <w:rFonts w:hint="eastAsia" w:ascii="Arial" w:hAnsi="Arial" w:eastAsia="宋体" w:cs="Arial"/>
          <w:sz w:val="21"/>
          <w:szCs w:val="21"/>
          <w:highlight w:val="none"/>
          <w:lang w:val="en-US" w:eastAsia="zh-CN"/>
        </w:rPr>
        <w:t>根据</w:t>
      </w:r>
      <w:r>
        <w:rPr>
          <w:rFonts w:hint="eastAsia" w:ascii="Arial" w:hAnsi="Arial" w:cs="Arial"/>
          <w:sz w:val="21"/>
          <w:szCs w:val="21"/>
          <w:highlight w:val="none"/>
          <w:lang w:val="en-US" w:eastAsia="zh-CN"/>
        </w:rPr>
        <w:t>《采育数字时尚小镇保障性住房趸组协议》及其附件及</w:t>
      </w:r>
      <w:r>
        <w:rPr>
          <w:rFonts w:hint="eastAsia" w:ascii="Arial" w:hAnsi="Arial" w:cs="Arial"/>
          <w:sz w:val="21"/>
          <w:szCs w:val="21"/>
          <w:highlight w:val="none"/>
          <w:lang w:eastAsia="zh-CN"/>
        </w:rPr>
        <w:t>《</w:t>
      </w:r>
      <w:r>
        <w:rPr>
          <w:rFonts w:hint="eastAsia" w:ascii="Arial" w:hAnsi="Arial" w:cs="Arial"/>
          <w:sz w:val="21"/>
          <w:szCs w:val="21"/>
          <w:highlight w:val="none"/>
          <w:lang w:val="en-US" w:eastAsia="zh-CN"/>
        </w:rPr>
        <w:t>房屋所有权证书》[X京房权证兴字第144437、144436、144435、144444、1444440、144439、144442、144443、144449、144445、144447、194022号]，估价对象中</w:t>
      </w:r>
      <w:r>
        <w:rPr>
          <w:rFonts w:hint="eastAsia" w:ascii="Arial" w:hAnsi="Arial" w:cs="Arial"/>
          <w:kern w:val="2"/>
          <w:sz w:val="21"/>
          <w:szCs w:val="21"/>
          <w:highlight w:val="none"/>
          <w:lang w:eastAsia="zh-CN"/>
        </w:rPr>
        <w:t>北京市大兴区育林街1号院（育新花园北里）4号楼1单元401号等489套</w:t>
      </w:r>
      <w:r>
        <w:rPr>
          <w:rFonts w:hint="eastAsia" w:ascii="Arial" w:hAnsi="Arial" w:cs="Arial"/>
          <w:kern w:val="2"/>
          <w:sz w:val="21"/>
          <w:szCs w:val="21"/>
          <w:highlight w:val="none"/>
          <w:lang w:val="en-US" w:eastAsia="zh-CN"/>
        </w:rPr>
        <w:t>住宅用房，由北京丽富房地产开发有限公司于2011年通过挂牌方式合法取得并开发，土地使用权取得方式为有偿（出让），证载产权单位为北京丽富房地产开发有限公司。兴创投资有限公司</w:t>
      </w:r>
      <w:r>
        <w:rPr>
          <w:rFonts w:hint="default" w:ascii="Arial" w:hAnsi="Arial" w:cs="Arial"/>
          <w:kern w:val="2"/>
          <w:sz w:val="21"/>
          <w:szCs w:val="21"/>
          <w:highlight w:val="none"/>
          <w:lang w:val="en-US" w:eastAsia="zh-CN"/>
        </w:rPr>
        <w:t>于房屋建成后回购</w:t>
      </w:r>
      <w:r>
        <w:rPr>
          <w:rFonts w:hint="eastAsia" w:ascii="Arial" w:hAnsi="Arial" w:cs="Arial"/>
          <w:kern w:val="2"/>
          <w:sz w:val="21"/>
          <w:szCs w:val="21"/>
          <w:highlight w:val="none"/>
          <w:lang w:val="en-US" w:eastAsia="zh-CN"/>
        </w:rPr>
        <w:t>。</w:t>
      </w:r>
      <w:r>
        <w:rPr>
          <w:rFonts w:hint="default" w:ascii="Arial" w:hAnsi="Arial" w:cs="Arial"/>
          <w:kern w:val="2"/>
          <w:sz w:val="21"/>
          <w:szCs w:val="21"/>
          <w:highlight w:val="none"/>
          <w:lang w:val="en-US" w:eastAsia="zh-CN"/>
        </w:rPr>
        <w:t>截至</w:t>
      </w:r>
      <w:r>
        <w:rPr>
          <w:rFonts w:hint="eastAsia" w:ascii="Arial" w:hAnsi="Arial" w:cs="Arial"/>
          <w:kern w:val="2"/>
          <w:sz w:val="21"/>
          <w:szCs w:val="21"/>
          <w:highlight w:val="none"/>
          <w:lang w:val="en-US" w:eastAsia="zh-CN"/>
        </w:rPr>
        <w:t>报告出具日，上述房屋尚未办理不动产权变更登记。所属宗地现状四至为</w:t>
      </w:r>
      <w:r>
        <w:rPr>
          <w:rFonts w:hint="eastAsia" w:ascii="Arial" w:hAnsi="Arial" w:cs="Arial"/>
          <w:kern w:val="2"/>
          <w:sz w:val="21"/>
          <w:szCs w:val="21"/>
          <w:highlight w:val="none"/>
        </w:rPr>
        <w:t>东至</w:t>
      </w:r>
      <w:r>
        <w:rPr>
          <w:rFonts w:hint="eastAsia" w:ascii="Arial" w:hAnsi="Arial" w:cs="Arial"/>
          <w:kern w:val="2"/>
          <w:sz w:val="21"/>
          <w:szCs w:val="21"/>
          <w:highlight w:val="none"/>
          <w:lang w:val="en-US" w:eastAsia="zh-CN"/>
        </w:rPr>
        <w:t>育仁街</w:t>
      </w:r>
      <w:r>
        <w:rPr>
          <w:rFonts w:hint="eastAsia" w:ascii="Arial" w:hAnsi="Arial" w:cs="Arial"/>
          <w:kern w:val="2"/>
          <w:sz w:val="21"/>
          <w:szCs w:val="21"/>
          <w:highlight w:val="none"/>
        </w:rPr>
        <w:t>，南至</w:t>
      </w:r>
      <w:r>
        <w:rPr>
          <w:rFonts w:hint="eastAsia" w:ascii="Arial" w:hAnsi="Arial" w:cs="Arial"/>
          <w:kern w:val="2"/>
          <w:sz w:val="21"/>
          <w:szCs w:val="21"/>
          <w:highlight w:val="none"/>
          <w:lang w:val="en-US" w:eastAsia="zh-CN"/>
        </w:rPr>
        <w:t>育林街</w:t>
      </w:r>
      <w:r>
        <w:rPr>
          <w:rFonts w:hint="eastAsia" w:ascii="Arial" w:hAnsi="Arial" w:cs="Arial"/>
          <w:kern w:val="2"/>
          <w:sz w:val="21"/>
          <w:szCs w:val="21"/>
          <w:highlight w:val="none"/>
        </w:rPr>
        <w:t>，西至</w:t>
      </w:r>
      <w:r>
        <w:rPr>
          <w:rFonts w:hint="eastAsia" w:ascii="Arial" w:hAnsi="Arial" w:cs="Arial"/>
          <w:kern w:val="2"/>
          <w:sz w:val="21"/>
          <w:szCs w:val="21"/>
          <w:highlight w:val="none"/>
          <w:lang w:val="en-US" w:eastAsia="zh-CN"/>
        </w:rPr>
        <w:t>福源路</w:t>
      </w:r>
      <w:r>
        <w:rPr>
          <w:rFonts w:hint="eastAsia" w:ascii="Arial" w:hAnsi="Arial" w:cs="Arial"/>
          <w:kern w:val="2"/>
          <w:sz w:val="21"/>
          <w:szCs w:val="21"/>
          <w:highlight w:val="none"/>
        </w:rPr>
        <w:t>，北至</w:t>
      </w:r>
      <w:r>
        <w:rPr>
          <w:rFonts w:hint="eastAsia" w:ascii="Arial" w:hAnsi="Arial" w:cs="Arial"/>
          <w:kern w:val="2"/>
          <w:sz w:val="21"/>
          <w:szCs w:val="21"/>
          <w:highlight w:val="none"/>
          <w:lang w:val="en-US" w:eastAsia="zh-CN"/>
        </w:rPr>
        <w:t>育胜街</w:t>
      </w:r>
      <w:r>
        <w:rPr>
          <w:rFonts w:hint="eastAsia" w:ascii="Arial" w:hAnsi="Arial" w:cs="Arial"/>
          <w:kern w:val="2"/>
          <w:sz w:val="21"/>
          <w:szCs w:val="21"/>
          <w:highlight w:val="none"/>
        </w:rPr>
        <w:t>。</w:t>
      </w:r>
    </w:p>
    <w:p w14:paraId="79DA86AA">
      <w:pPr>
        <w:wordWrap w:val="0"/>
        <w:overflowPunct w:val="0"/>
        <w:spacing w:line="480" w:lineRule="auto"/>
        <w:ind w:firstLine="420" w:firstLineChars="200"/>
        <w:jc w:val="both"/>
        <w:textAlignment w:val="auto"/>
        <w:rPr>
          <w:rFonts w:hint="default" w:ascii="Arial" w:hAnsi="Arial" w:cs="Arial"/>
          <w:kern w:val="2"/>
          <w:sz w:val="21"/>
          <w:szCs w:val="21"/>
          <w:highlight w:val="none"/>
          <w:lang w:val="en-US" w:eastAsia="zh-CN"/>
        </w:rPr>
      </w:pPr>
      <w:r>
        <w:rPr>
          <w:rFonts w:hint="eastAsia" w:ascii="Arial" w:hAnsi="Arial" w:cs="Arial"/>
          <w:kern w:val="2"/>
          <w:sz w:val="21"/>
          <w:szCs w:val="21"/>
          <w:highlight w:val="none"/>
          <w:lang w:val="en-US" w:eastAsia="zh-CN"/>
        </w:rPr>
        <w:t>根据《国有土地使用证》[京兴国用（2010）出第00133号]部分复印件，估价对象北京市大兴区育林街2号院（育新花园中里）1号楼1单元101号等508套住宅用房</w:t>
      </w:r>
      <w:r>
        <w:rPr>
          <w:rFonts w:hint="eastAsia" w:ascii="Arial" w:hAnsi="Arial" w:cs="Arial"/>
          <w:kern w:val="2"/>
          <w:sz w:val="21"/>
          <w:szCs w:val="21"/>
          <w:highlight w:val="none"/>
          <w:lang w:eastAsia="zh-CN"/>
        </w:rPr>
        <w:t>，</w:t>
      </w:r>
      <w:r>
        <w:rPr>
          <w:rFonts w:hint="eastAsia" w:ascii="Arial" w:hAnsi="Arial" w:cs="Arial"/>
          <w:kern w:val="2"/>
          <w:sz w:val="21"/>
          <w:szCs w:val="21"/>
          <w:highlight w:val="none"/>
          <w:lang w:val="en-US" w:eastAsia="zh-CN"/>
        </w:rPr>
        <w:t>所属宗地</w:t>
      </w:r>
      <w:r>
        <w:rPr>
          <w:rFonts w:hint="eastAsia" w:ascii="Arial" w:hAnsi="Arial" w:cs="Arial"/>
          <w:sz w:val="21"/>
          <w:szCs w:val="21"/>
          <w:highlight w:val="none"/>
          <w:lang w:val="en-US" w:eastAsia="zh-CN"/>
        </w:rPr>
        <w:t>土地使用权人为北京兴创投资有限公司，使用权类型</w:t>
      </w:r>
      <w:r>
        <w:rPr>
          <w:rFonts w:hint="eastAsia" w:ascii="Arial" w:hAnsi="Arial" w:cs="Arial"/>
          <w:kern w:val="2"/>
          <w:sz w:val="21"/>
          <w:szCs w:val="21"/>
          <w:highlight w:val="none"/>
        </w:rPr>
        <w:t>为出让，</w:t>
      </w:r>
      <w:r>
        <w:rPr>
          <w:rFonts w:hint="eastAsia" w:ascii="Arial" w:hAnsi="Arial" w:cs="Arial"/>
          <w:kern w:val="2"/>
          <w:sz w:val="21"/>
          <w:szCs w:val="21"/>
          <w:highlight w:val="none"/>
          <w:lang w:val="en-US" w:eastAsia="zh-CN"/>
        </w:rPr>
        <w:t>地类用途为住宅、商业（配套）、综合、地下车库，使用权面积116959.55平方米，证载</w:t>
      </w:r>
      <w:r>
        <w:rPr>
          <w:rFonts w:hint="eastAsia" w:ascii="Arial" w:hAnsi="Arial" w:cs="Arial"/>
          <w:kern w:val="2"/>
          <w:sz w:val="21"/>
          <w:szCs w:val="21"/>
          <w:highlight w:val="none"/>
        </w:rPr>
        <w:t>四至为东至</w:t>
      </w:r>
      <w:r>
        <w:rPr>
          <w:rFonts w:hint="eastAsia" w:ascii="Arial" w:hAnsi="Arial" w:cs="Arial"/>
          <w:kern w:val="2"/>
          <w:sz w:val="21"/>
          <w:szCs w:val="21"/>
          <w:highlight w:val="none"/>
          <w:lang w:val="en-US" w:eastAsia="zh-CN"/>
        </w:rPr>
        <w:t>采源路</w:t>
      </w:r>
      <w:r>
        <w:rPr>
          <w:rFonts w:hint="eastAsia" w:ascii="Arial" w:hAnsi="Arial" w:cs="Arial"/>
          <w:kern w:val="2"/>
          <w:sz w:val="21"/>
          <w:szCs w:val="21"/>
          <w:highlight w:val="none"/>
        </w:rPr>
        <w:t>，南至</w:t>
      </w:r>
      <w:r>
        <w:rPr>
          <w:rFonts w:hint="eastAsia" w:ascii="Arial" w:hAnsi="Arial" w:cs="Arial"/>
          <w:kern w:val="2"/>
          <w:sz w:val="21"/>
          <w:szCs w:val="21"/>
          <w:highlight w:val="none"/>
          <w:lang w:val="en-US" w:eastAsia="zh-CN"/>
        </w:rPr>
        <w:t>采育镇大街（现采星路）</w:t>
      </w:r>
      <w:r>
        <w:rPr>
          <w:rFonts w:hint="eastAsia" w:ascii="Arial" w:hAnsi="Arial" w:cs="Arial"/>
          <w:kern w:val="2"/>
          <w:sz w:val="21"/>
          <w:szCs w:val="21"/>
          <w:highlight w:val="none"/>
        </w:rPr>
        <w:t>，西至</w:t>
      </w:r>
      <w:r>
        <w:rPr>
          <w:rFonts w:hint="eastAsia" w:ascii="Arial" w:hAnsi="Arial" w:cs="Arial"/>
          <w:kern w:val="2"/>
          <w:sz w:val="21"/>
          <w:szCs w:val="21"/>
          <w:highlight w:val="none"/>
          <w:lang w:val="en-US" w:eastAsia="zh-CN"/>
        </w:rPr>
        <w:t>采福路</w:t>
      </w:r>
      <w:r>
        <w:rPr>
          <w:rFonts w:hint="eastAsia" w:ascii="Arial" w:hAnsi="Arial" w:cs="Arial"/>
          <w:kern w:val="2"/>
          <w:sz w:val="21"/>
          <w:szCs w:val="21"/>
          <w:highlight w:val="none"/>
        </w:rPr>
        <w:t>，北至</w:t>
      </w:r>
      <w:r>
        <w:rPr>
          <w:rFonts w:hint="eastAsia" w:ascii="Arial" w:hAnsi="Arial" w:cs="Arial"/>
          <w:kern w:val="2"/>
          <w:sz w:val="21"/>
          <w:szCs w:val="21"/>
          <w:highlight w:val="none"/>
          <w:lang w:val="en-US" w:eastAsia="zh-CN"/>
        </w:rPr>
        <w:t>育林街</w:t>
      </w:r>
      <w:r>
        <w:rPr>
          <w:rFonts w:hint="eastAsia" w:ascii="Arial" w:hAnsi="Arial" w:cs="Arial"/>
          <w:kern w:val="2"/>
          <w:sz w:val="21"/>
          <w:szCs w:val="21"/>
          <w:highlight w:val="none"/>
          <w:lang w:eastAsia="zh-CN"/>
        </w:rPr>
        <w:t>。</w:t>
      </w:r>
      <w:r>
        <w:rPr>
          <w:rFonts w:hint="eastAsia" w:ascii="Arial" w:hAnsi="Arial" w:cs="Arial"/>
          <w:kern w:val="2"/>
          <w:sz w:val="21"/>
          <w:szCs w:val="21"/>
          <w:highlight w:val="none"/>
          <w:lang w:val="en-US" w:eastAsia="zh-CN"/>
        </w:rPr>
        <w:t>土地终止日期为住宅2080年7月19日、商业（配套）2050年7月19日、综合2060年7月19日、地下车库2060年7月19日。</w:t>
      </w:r>
    </w:p>
    <w:p w14:paraId="2F0474EB">
      <w:pPr>
        <w:wordWrap w:val="0"/>
        <w:overflowPunct w:val="0"/>
        <w:spacing w:line="480" w:lineRule="auto"/>
        <w:ind w:firstLine="420" w:firstLineChars="200"/>
        <w:jc w:val="both"/>
        <w:textAlignment w:val="auto"/>
        <w:rPr>
          <w:rFonts w:hint="eastAsia" w:ascii="Arial" w:hAnsi="Arial" w:cs="Arial"/>
          <w:kern w:val="2"/>
          <w:sz w:val="21"/>
          <w:szCs w:val="21"/>
          <w:highlight w:val="none"/>
          <w:lang w:val="en-US" w:eastAsia="zh-CN"/>
        </w:rPr>
      </w:pPr>
      <w:r>
        <w:rPr>
          <w:rFonts w:hint="eastAsia" w:ascii="Arial" w:hAnsi="Arial" w:cs="Arial"/>
          <w:kern w:val="2"/>
          <w:sz w:val="21"/>
          <w:szCs w:val="21"/>
          <w:highlight w:val="none"/>
          <w:lang w:val="en-US" w:eastAsia="zh-CN"/>
        </w:rPr>
        <w:t>根据《国有土地使用证》[京兴国用（2010）出第00134号]部分复印件，估价对象北京市大兴区育林街8号院（育新花园</w:t>
      </w:r>
      <w:r>
        <w:rPr>
          <w:rFonts w:hint="eastAsia" w:ascii="Arial" w:hAnsi="Arial" w:cs="Arial"/>
          <w:kern w:val="2"/>
          <w:sz w:val="21"/>
          <w:szCs w:val="21"/>
          <w:highlight w:val="none"/>
          <w:lang w:eastAsia="zh-CN"/>
        </w:rPr>
        <w:t>西里）1号楼1单元102号等239套</w:t>
      </w:r>
      <w:r>
        <w:rPr>
          <w:rFonts w:hint="eastAsia" w:ascii="Arial" w:hAnsi="Arial" w:cs="Arial"/>
          <w:kern w:val="2"/>
          <w:sz w:val="21"/>
          <w:szCs w:val="21"/>
          <w:highlight w:val="none"/>
          <w:lang w:val="en-US" w:eastAsia="zh-CN"/>
        </w:rPr>
        <w:t>住宅用房</w:t>
      </w:r>
      <w:r>
        <w:rPr>
          <w:rFonts w:hint="eastAsia" w:ascii="Arial" w:hAnsi="Arial" w:cs="Arial"/>
          <w:kern w:val="2"/>
          <w:sz w:val="21"/>
          <w:szCs w:val="21"/>
          <w:highlight w:val="none"/>
          <w:lang w:eastAsia="zh-CN"/>
        </w:rPr>
        <w:t>，</w:t>
      </w:r>
      <w:r>
        <w:rPr>
          <w:rFonts w:hint="eastAsia" w:ascii="Arial" w:hAnsi="Arial" w:cs="Arial"/>
          <w:kern w:val="2"/>
          <w:sz w:val="21"/>
          <w:szCs w:val="21"/>
          <w:highlight w:val="none"/>
          <w:lang w:val="en-US" w:eastAsia="zh-CN"/>
        </w:rPr>
        <w:t>所属宗地</w:t>
      </w:r>
      <w:r>
        <w:rPr>
          <w:rFonts w:hint="eastAsia" w:ascii="Arial" w:hAnsi="Arial" w:cs="Arial"/>
          <w:sz w:val="21"/>
          <w:szCs w:val="21"/>
          <w:highlight w:val="none"/>
          <w:lang w:val="en-US" w:eastAsia="zh-CN"/>
        </w:rPr>
        <w:t>土地使用权人为北京兴创投资有限公司，使用权类型</w:t>
      </w:r>
      <w:r>
        <w:rPr>
          <w:rFonts w:hint="eastAsia" w:ascii="Arial" w:hAnsi="Arial" w:cs="Arial"/>
          <w:kern w:val="2"/>
          <w:sz w:val="21"/>
          <w:szCs w:val="21"/>
          <w:highlight w:val="none"/>
        </w:rPr>
        <w:t>为出让，</w:t>
      </w:r>
      <w:r>
        <w:rPr>
          <w:rFonts w:hint="eastAsia" w:ascii="Arial" w:hAnsi="Arial" w:cs="Arial"/>
          <w:kern w:val="2"/>
          <w:sz w:val="21"/>
          <w:szCs w:val="21"/>
          <w:highlight w:val="none"/>
          <w:lang w:val="en-US" w:eastAsia="zh-CN"/>
        </w:rPr>
        <w:t>地类用途为住宅、商业（配套）、综合，使用权面积50902.69平方米，证载</w:t>
      </w:r>
      <w:r>
        <w:rPr>
          <w:rFonts w:hint="eastAsia" w:ascii="Arial" w:hAnsi="Arial" w:cs="Arial"/>
          <w:kern w:val="2"/>
          <w:sz w:val="21"/>
          <w:szCs w:val="21"/>
          <w:highlight w:val="none"/>
        </w:rPr>
        <w:t>四至为东至</w:t>
      </w:r>
      <w:r>
        <w:rPr>
          <w:rFonts w:hint="eastAsia" w:ascii="Arial" w:hAnsi="Arial" w:cs="Arial"/>
          <w:kern w:val="2"/>
          <w:sz w:val="21"/>
          <w:szCs w:val="21"/>
          <w:highlight w:val="none"/>
          <w:lang w:val="en-US" w:eastAsia="zh-CN"/>
        </w:rPr>
        <w:t>北京市大兴区采育镇第一中心小学</w:t>
      </w:r>
      <w:r>
        <w:rPr>
          <w:rFonts w:hint="eastAsia" w:ascii="Arial" w:hAnsi="Arial" w:cs="Arial"/>
          <w:kern w:val="2"/>
          <w:sz w:val="21"/>
          <w:szCs w:val="21"/>
          <w:highlight w:val="none"/>
        </w:rPr>
        <w:t>，南至</w:t>
      </w:r>
      <w:r>
        <w:rPr>
          <w:rFonts w:hint="eastAsia" w:ascii="Arial" w:hAnsi="Arial" w:cs="Arial"/>
          <w:kern w:val="2"/>
          <w:sz w:val="21"/>
          <w:szCs w:val="21"/>
          <w:highlight w:val="none"/>
          <w:lang w:val="en-US" w:eastAsia="zh-CN"/>
        </w:rPr>
        <w:t>采育镇区一号路（现育富街）</w:t>
      </w:r>
      <w:r>
        <w:rPr>
          <w:rFonts w:hint="eastAsia" w:ascii="Arial" w:hAnsi="Arial" w:cs="Arial"/>
          <w:kern w:val="2"/>
          <w:sz w:val="21"/>
          <w:szCs w:val="21"/>
          <w:highlight w:val="none"/>
        </w:rPr>
        <w:t>，西至</w:t>
      </w:r>
      <w:r>
        <w:rPr>
          <w:rFonts w:hint="eastAsia" w:ascii="Arial" w:hAnsi="Arial" w:cs="Arial"/>
          <w:kern w:val="2"/>
          <w:sz w:val="21"/>
          <w:szCs w:val="21"/>
          <w:highlight w:val="none"/>
          <w:lang w:val="en-US" w:eastAsia="zh-CN"/>
        </w:rPr>
        <w:t>采星路</w:t>
      </w:r>
      <w:r>
        <w:rPr>
          <w:rFonts w:hint="eastAsia" w:ascii="Arial" w:hAnsi="Arial" w:cs="Arial"/>
          <w:kern w:val="2"/>
          <w:sz w:val="21"/>
          <w:szCs w:val="21"/>
          <w:highlight w:val="none"/>
        </w:rPr>
        <w:t>，北至</w:t>
      </w:r>
      <w:r>
        <w:rPr>
          <w:rFonts w:hint="eastAsia" w:ascii="Arial" w:hAnsi="Arial" w:cs="Arial"/>
          <w:kern w:val="2"/>
          <w:sz w:val="21"/>
          <w:szCs w:val="21"/>
          <w:highlight w:val="none"/>
          <w:lang w:val="en-US" w:eastAsia="zh-CN"/>
        </w:rPr>
        <w:t>育林街</w:t>
      </w:r>
      <w:r>
        <w:rPr>
          <w:rFonts w:hint="eastAsia" w:ascii="Arial" w:hAnsi="Arial" w:cs="Arial"/>
          <w:kern w:val="2"/>
          <w:sz w:val="21"/>
          <w:szCs w:val="21"/>
          <w:highlight w:val="none"/>
          <w:lang w:eastAsia="zh-CN"/>
        </w:rPr>
        <w:t>。</w:t>
      </w:r>
      <w:r>
        <w:rPr>
          <w:rFonts w:hint="eastAsia" w:ascii="Arial" w:hAnsi="Arial" w:cs="Arial"/>
          <w:kern w:val="2"/>
          <w:sz w:val="21"/>
          <w:szCs w:val="21"/>
          <w:highlight w:val="none"/>
          <w:lang w:val="en-US" w:eastAsia="zh-CN"/>
        </w:rPr>
        <w:t>土地终止日期为住宅2080年7月19日、商业（配套）2050年7月19日、综合2060年7月19日。</w:t>
      </w:r>
    </w:p>
    <w:p w14:paraId="6A25517D">
      <w:pPr>
        <w:wordWrap w:val="0"/>
        <w:overflowPunct w:val="0"/>
        <w:spacing w:line="480" w:lineRule="auto"/>
        <w:ind w:firstLine="420" w:firstLineChars="200"/>
        <w:jc w:val="both"/>
        <w:textAlignment w:val="auto"/>
        <w:rPr>
          <w:rFonts w:ascii="Arial" w:hAnsi="Arial" w:cs="Arial"/>
          <w:sz w:val="21"/>
          <w:szCs w:val="21"/>
          <w:highlight w:val="none"/>
        </w:rPr>
      </w:pPr>
      <w:r>
        <w:rPr>
          <w:rFonts w:hint="eastAsia" w:ascii="Arial" w:hAnsi="Arial" w:cs="Arial"/>
          <w:kern w:val="2"/>
          <w:sz w:val="21"/>
          <w:szCs w:val="21"/>
          <w:highlight w:val="none"/>
          <w:lang w:val="en-US" w:eastAsia="zh-CN"/>
        </w:rPr>
        <w:t>根据《国有土地使用证》[京兴国用（2010）出第00135号]部分复印件，估价对象北京市大兴区</w:t>
      </w:r>
      <w:r>
        <w:rPr>
          <w:rFonts w:hint="eastAsia" w:ascii="Arial" w:hAnsi="Arial" w:cs="Arial"/>
          <w:kern w:val="2"/>
          <w:sz w:val="21"/>
          <w:szCs w:val="21"/>
          <w:highlight w:val="none"/>
          <w:lang w:eastAsia="zh-CN"/>
        </w:rPr>
        <w:t>育仁街1号院（育新花园南里）1号楼2单元1501号等88套</w:t>
      </w:r>
      <w:r>
        <w:rPr>
          <w:rFonts w:hint="eastAsia" w:ascii="Arial" w:hAnsi="Arial" w:cs="Arial"/>
          <w:kern w:val="2"/>
          <w:sz w:val="21"/>
          <w:szCs w:val="21"/>
          <w:highlight w:val="none"/>
          <w:lang w:val="en-US" w:eastAsia="zh-CN"/>
        </w:rPr>
        <w:t>住宅用房</w:t>
      </w:r>
      <w:r>
        <w:rPr>
          <w:rFonts w:hint="eastAsia" w:ascii="Arial" w:hAnsi="Arial" w:cs="Arial"/>
          <w:kern w:val="2"/>
          <w:sz w:val="21"/>
          <w:szCs w:val="21"/>
          <w:highlight w:val="none"/>
          <w:lang w:eastAsia="zh-CN"/>
        </w:rPr>
        <w:t>，</w:t>
      </w:r>
      <w:r>
        <w:rPr>
          <w:rFonts w:hint="eastAsia" w:ascii="Arial" w:hAnsi="Arial" w:cs="Arial"/>
          <w:kern w:val="2"/>
          <w:sz w:val="21"/>
          <w:szCs w:val="21"/>
          <w:highlight w:val="none"/>
          <w:lang w:val="en-US" w:eastAsia="zh-CN"/>
        </w:rPr>
        <w:t>所属宗地</w:t>
      </w:r>
      <w:r>
        <w:rPr>
          <w:rFonts w:hint="eastAsia" w:ascii="Arial" w:hAnsi="Arial" w:cs="Arial"/>
          <w:sz w:val="21"/>
          <w:szCs w:val="21"/>
          <w:highlight w:val="none"/>
          <w:lang w:val="en-US" w:eastAsia="zh-CN"/>
        </w:rPr>
        <w:t>土地使用权人为北京兴创投资有限公司，使用权类型</w:t>
      </w:r>
      <w:r>
        <w:rPr>
          <w:rFonts w:hint="eastAsia" w:ascii="Arial" w:hAnsi="Arial" w:cs="Arial"/>
          <w:kern w:val="2"/>
          <w:sz w:val="21"/>
          <w:szCs w:val="21"/>
          <w:highlight w:val="none"/>
        </w:rPr>
        <w:t>为出让，</w:t>
      </w:r>
      <w:r>
        <w:rPr>
          <w:rFonts w:hint="eastAsia" w:ascii="Arial" w:hAnsi="Arial" w:cs="Arial"/>
          <w:kern w:val="2"/>
          <w:sz w:val="21"/>
          <w:szCs w:val="21"/>
          <w:highlight w:val="none"/>
          <w:lang w:val="en-US" w:eastAsia="zh-CN"/>
        </w:rPr>
        <w:t>地类用途为住宅、商业（配套）、综合，使用权面积63631.91平方米，证载</w:t>
      </w:r>
      <w:r>
        <w:rPr>
          <w:rFonts w:hint="eastAsia" w:ascii="Arial" w:hAnsi="Arial" w:cs="Arial"/>
          <w:kern w:val="2"/>
          <w:sz w:val="21"/>
          <w:szCs w:val="21"/>
          <w:highlight w:val="none"/>
        </w:rPr>
        <w:t>四至为东至</w:t>
      </w:r>
      <w:r>
        <w:rPr>
          <w:rFonts w:hint="eastAsia" w:ascii="Arial" w:hAnsi="Arial" w:cs="Arial"/>
          <w:kern w:val="2"/>
          <w:sz w:val="21"/>
          <w:szCs w:val="21"/>
          <w:highlight w:val="none"/>
          <w:lang w:val="en-US" w:eastAsia="zh-CN"/>
        </w:rPr>
        <w:t>采源路</w:t>
      </w:r>
      <w:r>
        <w:rPr>
          <w:rFonts w:hint="eastAsia" w:ascii="Arial" w:hAnsi="Arial" w:cs="Arial"/>
          <w:kern w:val="2"/>
          <w:sz w:val="21"/>
          <w:szCs w:val="21"/>
          <w:highlight w:val="none"/>
        </w:rPr>
        <w:t>，南至</w:t>
      </w:r>
      <w:r>
        <w:rPr>
          <w:rFonts w:hint="eastAsia" w:ascii="Arial" w:hAnsi="Arial" w:cs="Arial"/>
          <w:kern w:val="2"/>
          <w:sz w:val="21"/>
          <w:szCs w:val="21"/>
          <w:highlight w:val="none"/>
          <w:lang w:val="en-US" w:eastAsia="zh-CN"/>
        </w:rPr>
        <w:t>育仁街</w:t>
      </w:r>
      <w:r>
        <w:rPr>
          <w:rFonts w:hint="eastAsia" w:ascii="Arial" w:hAnsi="Arial" w:cs="Arial"/>
          <w:kern w:val="2"/>
          <w:sz w:val="21"/>
          <w:szCs w:val="21"/>
          <w:highlight w:val="none"/>
        </w:rPr>
        <w:t>，西至</w:t>
      </w:r>
      <w:r>
        <w:rPr>
          <w:rFonts w:hint="eastAsia" w:ascii="Arial" w:hAnsi="Arial" w:cs="Arial"/>
          <w:kern w:val="2"/>
          <w:sz w:val="21"/>
          <w:szCs w:val="21"/>
          <w:highlight w:val="none"/>
          <w:lang w:val="en-US" w:eastAsia="zh-CN"/>
        </w:rPr>
        <w:t>采福路（现福源路）</w:t>
      </w:r>
      <w:r>
        <w:rPr>
          <w:rFonts w:hint="eastAsia" w:ascii="Arial" w:hAnsi="Arial" w:cs="Arial"/>
          <w:kern w:val="2"/>
          <w:sz w:val="21"/>
          <w:szCs w:val="21"/>
          <w:highlight w:val="none"/>
        </w:rPr>
        <w:t>，北至</w:t>
      </w:r>
      <w:r>
        <w:rPr>
          <w:rFonts w:hint="eastAsia" w:ascii="Arial" w:hAnsi="Arial" w:cs="Arial"/>
          <w:kern w:val="2"/>
          <w:sz w:val="21"/>
          <w:szCs w:val="21"/>
          <w:highlight w:val="none"/>
          <w:lang w:val="en-US" w:eastAsia="zh-CN"/>
        </w:rPr>
        <w:t>育才街</w:t>
      </w:r>
      <w:r>
        <w:rPr>
          <w:rFonts w:hint="eastAsia" w:ascii="Arial" w:hAnsi="Arial" w:cs="Arial"/>
          <w:kern w:val="2"/>
          <w:sz w:val="21"/>
          <w:szCs w:val="21"/>
          <w:highlight w:val="none"/>
          <w:lang w:eastAsia="zh-CN"/>
        </w:rPr>
        <w:t>。</w:t>
      </w:r>
      <w:r>
        <w:rPr>
          <w:rFonts w:hint="eastAsia" w:ascii="Arial" w:hAnsi="Arial" w:cs="Arial"/>
          <w:kern w:val="2"/>
          <w:sz w:val="21"/>
          <w:szCs w:val="21"/>
          <w:highlight w:val="none"/>
          <w:lang w:val="en-US" w:eastAsia="zh-CN"/>
        </w:rPr>
        <w:t>土地终止日期为住宅2080年7月19日、商业（配套）2050年7月19日、综合2060年7月19日。</w:t>
      </w:r>
    </w:p>
    <w:p w14:paraId="20B6F562">
      <w:pPr>
        <w:wordWrap w:val="0"/>
        <w:overflowPunct w:val="0"/>
        <w:spacing w:line="480" w:lineRule="auto"/>
        <w:ind w:firstLine="420" w:firstLineChars="200"/>
        <w:jc w:val="both"/>
        <w:textAlignment w:val="auto"/>
        <w:rPr>
          <w:rFonts w:ascii="Arial" w:hAnsi="Arial" w:cs="Arial"/>
          <w:sz w:val="21"/>
          <w:szCs w:val="21"/>
          <w:highlight w:val="none"/>
        </w:rPr>
      </w:pPr>
      <w:r>
        <w:rPr>
          <w:rFonts w:hint="eastAsia" w:ascii="Arial" w:hAnsi="Arial" w:cs="Arial"/>
          <w:sz w:val="21"/>
          <w:szCs w:val="21"/>
          <w:highlight w:val="none"/>
          <w:lang w:val="en-US" w:eastAsia="zh-CN"/>
        </w:rPr>
        <w:t>2</w:t>
      </w:r>
      <w:r>
        <w:rPr>
          <w:rFonts w:ascii="Arial" w:hAnsi="Arial" w:cs="Arial"/>
          <w:sz w:val="21"/>
          <w:szCs w:val="21"/>
          <w:highlight w:val="none"/>
        </w:rPr>
        <w:t>.估价对象所属项目用地呈</w:t>
      </w:r>
      <w:r>
        <w:rPr>
          <w:rFonts w:hint="eastAsia" w:ascii="Arial" w:hAnsi="Arial" w:cs="Arial"/>
          <w:sz w:val="21"/>
          <w:szCs w:val="21"/>
          <w:highlight w:val="none"/>
        </w:rPr>
        <w:t>较</w:t>
      </w:r>
      <w:r>
        <w:rPr>
          <w:rFonts w:ascii="Arial" w:hAnsi="Arial" w:cs="Arial"/>
          <w:sz w:val="21"/>
          <w:szCs w:val="21"/>
          <w:highlight w:val="none"/>
        </w:rPr>
        <w:t>规则形状，</w:t>
      </w:r>
      <w:r>
        <w:rPr>
          <w:rFonts w:hint="eastAsia" w:ascii="Arial" w:hAnsi="Arial" w:cs="Arial"/>
          <w:sz w:val="21"/>
          <w:szCs w:val="21"/>
          <w:highlight w:val="none"/>
        </w:rPr>
        <w:t>对利用无不良影响，</w:t>
      </w:r>
      <w:r>
        <w:rPr>
          <w:rFonts w:ascii="Arial" w:hAnsi="Arial" w:cs="Arial"/>
          <w:sz w:val="21"/>
          <w:szCs w:val="21"/>
          <w:highlight w:val="none"/>
        </w:rPr>
        <w:t>场地</w:t>
      </w:r>
      <w:r>
        <w:rPr>
          <w:rFonts w:hint="eastAsia" w:ascii="Arial" w:hAnsi="Arial" w:cs="Arial"/>
          <w:sz w:val="21"/>
          <w:szCs w:val="21"/>
          <w:highlight w:val="none"/>
        </w:rPr>
        <w:t>呈</w:t>
      </w:r>
      <w:r>
        <w:rPr>
          <w:rFonts w:ascii="Arial" w:hAnsi="Arial" w:cs="Arial"/>
          <w:sz w:val="21"/>
          <w:szCs w:val="21"/>
          <w:highlight w:val="none"/>
        </w:rPr>
        <w:t>较平坦地势</w:t>
      </w:r>
      <w:r>
        <w:rPr>
          <w:rFonts w:hint="eastAsia" w:ascii="Arial" w:hAnsi="Arial" w:cs="Arial"/>
          <w:sz w:val="21"/>
          <w:szCs w:val="21"/>
          <w:highlight w:val="none"/>
        </w:rPr>
        <w:t>，工程地质条件良好，无不良地质现象</w:t>
      </w:r>
      <w:r>
        <w:rPr>
          <w:rFonts w:ascii="Arial" w:hAnsi="Arial" w:cs="Arial"/>
          <w:sz w:val="21"/>
          <w:szCs w:val="21"/>
          <w:highlight w:val="none"/>
        </w:rPr>
        <w:t>。</w:t>
      </w:r>
      <w:r>
        <w:rPr>
          <w:rFonts w:hint="eastAsia" w:ascii="Arial" w:hAnsi="Arial" w:cs="Arial"/>
          <w:sz w:val="21"/>
          <w:szCs w:val="21"/>
          <w:highlight w:val="none"/>
        </w:rPr>
        <w:t>估价对象现状已完成开发建设，土地利用程度高。</w:t>
      </w:r>
    </w:p>
    <w:p w14:paraId="25F07803">
      <w:pPr>
        <w:wordWrap w:val="0"/>
        <w:overflowPunct w:val="0"/>
        <w:spacing w:line="480" w:lineRule="auto"/>
        <w:ind w:firstLine="420" w:firstLineChars="200"/>
        <w:jc w:val="both"/>
        <w:textAlignment w:val="auto"/>
        <w:rPr>
          <w:rFonts w:ascii="Arial" w:hAnsi="Arial" w:cs="Arial"/>
          <w:sz w:val="21"/>
          <w:szCs w:val="21"/>
          <w:highlight w:val="none"/>
        </w:rPr>
      </w:pPr>
      <w:r>
        <w:rPr>
          <w:rFonts w:hint="eastAsia" w:ascii="Arial" w:hAnsi="Arial" w:cs="Arial"/>
          <w:sz w:val="21"/>
          <w:szCs w:val="21"/>
          <w:highlight w:val="none"/>
          <w:lang w:val="en-US" w:eastAsia="zh-CN"/>
        </w:rPr>
        <w:t>3</w:t>
      </w:r>
      <w:r>
        <w:rPr>
          <w:rFonts w:ascii="Arial" w:hAnsi="Arial" w:cs="Arial"/>
          <w:sz w:val="21"/>
          <w:szCs w:val="21"/>
          <w:highlight w:val="none"/>
        </w:rPr>
        <w:t>.</w:t>
      </w:r>
      <w:r>
        <w:rPr>
          <w:rFonts w:hint="eastAsia" w:ascii="Arial" w:hAnsi="Arial" w:cs="Arial"/>
          <w:sz w:val="21"/>
          <w:szCs w:val="21"/>
          <w:highlight w:val="none"/>
        </w:rPr>
        <w:t>开发程度</w:t>
      </w:r>
      <w:r>
        <w:rPr>
          <w:rFonts w:ascii="Arial" w:hAnsi="Arial" w:cs="Arial"/>
          <w:sz w:val="21"/>
          <w:szCs w:val="21"/>
          <w:highlight w:val="none"/>
        </w:rPr>
        <w:t>：</w:t>
      </w:r>
    </w:p>
    <w:p w14:paraId="1538C28A">
      <w:pPr>
        <w:wordWrap w:val="0"/>
        <w:overflowPunct w:val="0"/>
        <w:spacing w:line="480" w:lineRule="auto"/>
        <w:ind w:firstLine="420" w:firstLineChars="200"/>
        <w:jc w:val="both"/>
        <w:textAlignment w:val="auto"/>
        <w:rPr>
          <w:rFonts w:ascii="Arial" w:hAnsi="Arial" w:cs="Arial"/>
          <w:kern w:val="2"/>
          <w:sz w:val="21"/>
          <w:szCs w:val="21"/>
          <w:highlight w:val="none"/>
        </w:rPr>
      </w:pPr>
      <w:r>
        <w:rPr>
          <w:rFonts w:ascii="Arial" w:hAnsi="Arial" w:cs="Arial"/>
          <w:kern w:val="2"/>
          <w:sz w:val="21"/>
          <w:szCs w:val="21"/>
          <w:highlight w:val="none"/>
        </w:rPr>
        <w:t>估价对象所在区域市政基础设施完备，为</w:t>
      </w:r>
      <w:r>
        <w:rPr>
          <w:rFonts w:hint="eastAsia" w:ascii="Arial" w:hAnsi="Arial" w:cs="Arial"/>
          <w:kern w:val="2"/>
          <w:sz w:val="21"/>
          <w:szCs w:val="21"/>
          <w:highlight w:val="none"/>
          <w:lang w:eastAsia="zh-CN"/>
        </w:rPr>
        <w:t>“</w:t>
      </w:r>
      <w:r>
        <w:rPr>
          <w:rFonts w:hint="eastAsia" w:ascii="Arial" w:hAnsi="Arial" w:cs="Arial"/>
          <w:kern w:val="2"/>
          <w:sz w:val="21"/>
          <w:szCs w:val="21"/>
          <w:highlight w:val="none"/>
        </w:rPr>
        <w:t>七</w:t>
      </w:r>
      <w:r>
        <w:rPr>
          <w:rFonts w:ascii="Arial" w:hAnsi="Arial" w:cs="Arial"/>
          <w:kern w:val="2"/>
          <w:sz w:val="21"/>
          <w:szCs w:val="21"/>
          <w:highlight w:val="none"/>
        </w:rPr>
        <w:t>通</w:t>
      </w:r>
      <w:r>
        <w:rPr>
          <w:rFonts w:hint="eastAsia" w:ascii="Arial" w:hAnsi="Arial" w:cs="Arial"/>
          <w:kern w:val="2"/>
          <w:sz w:val="21"/>
          <w:szCs w:val="21"/>
          <w:highlight w:val="none"/>
          <w:lang w:eastAsia="zh-CN"/>
        </w:rPr>
        <w:t>”</w:t>
      </w:r>
      <w:r>
        <w:rPr>
          <w:rFonts w:ascii="Arial" w:hAnsi="Arial" w:cs="Arial"/>
          <w:kern w:val="2"/>
          <w:sz w:val="21"/>
          <w:szCs w:val="21"/>
          <w:highlight w:val="none"/>
        </w:rPr>
        <w:t>（即通路、通电、通讯</w:t>
      </w:r>
      <w:r>
        <w:rPr>
          <w:rFonts w:hint="eastAsia" w:ascii="Arial" w:hAnsi="Arial" w:cs="Arial"/>
          <w:kern w:val="2"/>
          <w:sz w:val="21"/>
          <w:szCs w:val="21"/>
          <w:highlight w:val="none"/>
        </w:rPr>
        <w:t>、</w:t>
      </w:r>
      <w:r>
        <w:rPr>
          <w:rFonts w:ascii="Arial" w:hAnsi="Arial" w:cs="Arial"/>
          <w:kern w:val="2"/>
          <w:sz w:val="21"/>
          <w:szCs w:val="21"/>
          <w:highlight w:val="none"/>
        </w:rPr>
        <w:t>通上水、通下水、通燃气、通热力），且保证程度高。</w:t>
      </w:r>
    </w:p>
    <w:p w14:paraId="3D8BEB7E">
      <w:pPr>
        <w:wordWrap w:val="0"/>
        <w:overflowPunct w:val="0"/>
        <w:spacing w:line="480" w:lineRule="auto"/>
        <w:ind w:firstLine="420" w:firstLineChars="200"/>
        <w:jc w:val="both"/>
        <w:textAlignment w:val="auto"/>
        <w:rPr>
          <w:rFonts w:ascii="Arial" w:hAnsi="Arial" w:cs="Arial"/>
          <w:sz w:val="21"/>
          <w:szCs w:val="21"/>
          <w:highlight w:val="none"/>
        </w:rPr>
      </w:pPr>
      <w:r>
        <w:rPr>
          <w:rFonts w:hint="eastAsia" w:ascii="Arial" w:hAnsi="Arial" w:cs="Arial"/>
          <w:kern w:val="2"/>
          <w:sz w:val="21"/>
          <w:szCs w:val="21"/>
          <w:highlight w:val="none"/>
        </w:rPr>
        <w:t>综上所述，</w:t>
      </w:r>
      <w:r>
        <w:rPr>
          <w:rFonts w:ascii="Arial" w:hAnsi="Arial" w:cs="Arial"/>
          <w:kern w:val="2"/>
          <w:sz w:val="21"/>
          <w:szCs w:val="21"/>
          <w:highlight w:val="none"/>
        </w:rPr>
        <w:t>估价对象</w:t>
      </w:r>
      <w:r>
        <w:rPr>
          <w:rFonts w:hint="eastAsia" w:ascii="Arial" w:hAnsi="Arial" w:cs="Arial"/>
          <w:kern w:val="2"/>
          <w:sz w:val="21"/>
          <w:szCs w:val="21"/>
          <w:highlight w:val="none"/>
        </w:rPr>
        <w:t>所在区域</w:t>
      </w:r>
      <w:r>
        <w:rPr>
          <w:rFonts w:ascii="Arial" w:hAnsi="Arial" w:cs="Arial"/>
          <w:kern w:val="2"/>
          <w:sz w:val="21"/>
          <w:szCs w:val="21"/>
          <w:highlight w:val="none"/>
        </w:rPr>
        <w:t>土地实物状况较好，场地地势平坦，地质条件良好，基础设施完备，宗地条件有利于估价对象利用，对估价对象租赁价格无不良影响</w:t>
      </w:r>
      <w:r>
        <w:rPr>
          <w:rFonts w:hint="eastAsia" w:ascii="Arial" w:hAnsi="Arial" w:cs="Arial"/>
          <w:sz w:val="21"/>
          <w:szCs w:val="21"/>
          <w:highlight w:val="none"/>
        </w:rPr>
        <w:t>。</w:t>
      </w:r>
    </w:p>
    <w:p w14:paraId="3BD625ED">
      <w:pPr>
        <w:wordWrap w:val="0"/>
        <w:overflowPunct w:val="0"/>
        <w:spacing w:line="480" w:lineRule="auto"/>
        <w:ind w:firstLine="422" w:firstLineChars="200"/>
        <w:jc w:val="both"/>
        <w:textAlignment w:val="auto"/>
        <w:rPr>
          <w:rFonts w:ascii="Arial" w:hAnsi="Arial" w:cs="Arial"/>
          <w:b/>
          <w:kern w:val="2"/>
          <w:sz w:val="21"/>
          <w:szCs w:val="21"/>
          <w:highlight w:val="none"/>
        </w:rPr>
      </w:pPr>
      <w:r>
        <w:rPr>
          <w:rFonts w:ascii="Arial" w:hAnsi="Arial" w:cs="Arial"/>
          <w:b/>
          <w:kern w:val="2"/>
          <w:sz w:val="21"/>
          <w:szCs w:val="21"/>
          <w:highlight w:val="none"/>
        </w:rPr>
        <w:t>（</w:t>
      </w:r>
      <w:r>
        <w:rPr>
          <w:rFonts w:hint="eastAsia" w:ascii="Arial" w:hAnsi="Arial" w:cs="Arial"/>
          <w:b/>
          <w:kern w:val="2"/>
          <w:sz w:val="21"/>
          <w:szCs w:val="21"/>
          <w:highlight w:val="none"/>
        </w:rPr>
        <w:t>三</w:t>
      </w:r>
      <w:r>
        <w:rPr>
          <w:rFonts w:ascii="Arial" w:hAnsi="Arial" w:cs="Arial"/>
          <w:b/>
          <w:kern w:val="2"/>
          <w:sz w:val="21"/>
          <w:szCs w:val="21"/>
          <w:highlight w:val="none"/>
        </w:rPr>
        <w:t>）建筑物基本状况</w:t>
      </w:r>
    </w:p>
    <w:p w14:paraId="20B9476E">
      <w:pPr>
        <w:overflowPunct w:val="0"/>
        <w:spacing w:line="480" w:lineRule="auto"/>
        <w:ind w:firstLine="420" w:firstLineChars="200"/>
        <w:jc w:val="both"/>
        <w:textAlignment w:val="auto"/>
        <w:rPr>
          <w:rFonts w:hint="default" w:ascii="Arial" w:hAnsi="Arial" w:cs="Arial"/>
          <w:sz w:val="21"/>
          <w:szCs w:val="21"/>
          <w:highlight w:val="none"/>
          <w:lang w:val="en-US" w:eastAsia="zh-CN"/>
        </w:rPr>
      </w:pPr>
      <w:r>
        <w:rPr>
          <w:rFonts w:hint="eastAsia" w:ascii="Arial" w:hAnsi="Arial" w:cs="Arial"/>
          <w:sz w:val="21"/>
          <w:szCs w:val="21"/>
          <w:highlight w:val="none"/>
        </w:rPr>
        <w:t>1．建设规模：</w:t>
      </w:r>
      <w:r>
        <w:rPr>
          <w:rFonts w:hint="eastAsia" w:ascii="Arial" w:hAnsi="Arial" w:cs="Arial"/>
          <w:sz w:val="21"/>
          <w:szCs w:val="21"/>
          <w:highlight w:val="none"/>
          <w:lang w:val="en-US" w:eastAsia="zh-CN"/>
        </w:rPr>
        <w:t>估价对象所属</w:t>
      </w:r>
      <w:r>
        <w:rPr>
          <w:rFonts w:hint="default" w:ascii="Arial" w:hAnsi="Arial" w:eastAsia="宋体" w:cs="Arial"/>
          <w:sz w:val="21"/>
          <w:szCs w:val="21"/>
          <w:highlight w:val="none"/>
          <w:lang w:val="en-US" w:eastAsia="zh-CN"/>
        </w:rPr>
        <w:t>采育安置房项目位于采育城镇中心东侧，是采育镇土地一级开发项目使用的安置房。规划总用地面积约44万平方米，总建筑面积约85万平方米。项目分为两期建设，共计提供房源7989套，其中拆迁安置使用6172套，邵各庄组团拆迁安置预留使用55套，转化人才公租房使用500套，调剂石景山区使用320套，调剂首都环线高速公路（大兴段）使用118套。截至目前，剩余房源824套。</w:t>
      </w:r>
      <w:r>
        <w:rPr>
          <w:rFonts w:hint="eastAsia" w:ascii="Arial" w:hAnsi="Arial" w:cs="Arial"/>
          <w:sz w:val="21"/>
          <w:szCs w:val="21"/>
          <w:highlight w:val="none"/>
          <w:lang w:val="en-US" w:eastAsia="zh-CN"/>
        </w:rPr>
        <w:t>一期项目规划总用地面积约31万平方米，规划总建筑面积约46万平方米，建设房源5051套。项目产权单位为北京兴创投资有限公司，小区名称分别为育新花园中里、育新花园南里和育新花园西里。截至目前，项目剩余房源335套，建筑面积28023.7平方米。其中，一居室55套（户型面积区间62.56至64.70平方米），两居室272套（户型面积区间84.96至88.20平方米），三居室8套（户型面积区间127.31至129.32平方米）。剩余房源均未进行室内装修。二期项目规划总用地面积约13万平方米，规划总建筑面积约39万平方米，建设房源2938套。项目产权单位为北京丽富房地产开发有限公司，经区政府批准由兴创公司作为回购主体，回购房源作为采育镇土地一级开发项目安置房使用，小区名称为育新花园北里。截至目前，项目剩余房源489套，建筑面积37041.8平方米。其中，剩余一居室226套（户型面积区间52.63至69.91平方米），两居室258套（户型面积区间72.82至88.10平方米），三居室5套（户型面积区间90.99、129.10平方米）。剩余房源暂未办理产权过户手续，且均未进行室内装修。</w:t>
      </w:r>
    </w:p>
    <w:p w14:paraId="7CF1B3CE">
      <w:pPr>
        <w:overflowPunct w:val="0"/>
        <w:spacing w:line="480" w:lineRule="auto"/>
        <w:ind w:firstLine="420" w:firstLineChars="200"/>
        <w:jc w:val="both"/>
        <w:textAlignment w:val="auto"/>
        <w:rPr>
          <w:rFonts w:hint="eastAsia" w:ascii="Arial" w:hAnsi="Arial" w:cs="Arial"/>
          <w:sz w:val="21"/>
          <w:szCs w:val="21"/>
          <w:highlight w:val="none"/>
        </w:rPr>
      </w:pPr>
      <w:r>
        <w:rPr>
          <w:rFonts w:hint="eastAsia" w:ascii="Arial" w:hAnsi="Arial" w:cs="Arial"/>
          <w:sz w:val="21"/>
          <w:szCs w:val="21"/>
          <w:highlight w:val="none"/>
          <w:lang w:val="en-US" w:eastAsia="zh-CN"/>
        </w:rPr>
        <w:t>根据</w:t>
      </w:r>
      <w:r>
        <w:rPr>
          <w:rFonts w:hint="eastAsia" w:ascii="Arial" w:hAnsi="Arial" w:cs="Arial"/>
          <w:sz w:val="21"/>
          <w:szCs w:val="21"/>
          <w:highlight w:val="none"/>
          <w:lang w:eastAsia="zh-CN"/>
        </w:rPr>
        <w:t>《</w:t>
      </w:r>
      <w:r>
        <w:rPr>
          <w:rFonts w:hint="eastAsia" w:ascii="Arial" w:hAnsi="Arial" w:cs="Arial"/>
          <w:sz w:val="21"/>
          <w:szCs w:val="21"/>
          <w:highlight w:val="none"/>
          <w:lang w:val="en-US" w:eastAsia="zh-CN"/>
        </w:rPr>
        <w:t>北京市大兴区住房和城乡建设委员会 关于采育数字时尚小镇保障性住房使用管理有关问题的请示》[京兴建文（2025）123号]、《北京市大兴区住房和城乡建设委员会 关于采育数字时尚小镇保障性住房相关事宜专题会会议纪要》、《采育数字时尚小镇保障性住房趸组协议》及其附件及</w:t>
      </w:r>
      <w:r>
        <w:rPr>
          <w:rFonts w:hint="eastAsia" w:ascii="Arial" w:hAnsi="Arial" w:cs="Arial"/>
          <w:sz w:val="21"/>
          <w:szCs w:val="21"/>
          <w:highlight w:val="none"/>
        </w:rPr>
        <w:t>《估价委托书》</w:t>
      </w:r>
      <w:r>
        <w:rPr>
          <w:rFonts w:hint="eastAsia" w:ascii="Arial" w:hAnsi="Arial" w:cs="Arial"/>
          <w:sz w:val="21"/>
          <w:szCs w:val="21"/>
          <w:highlight w:val="none"/>
          <w:lang w:eastAsia="zh-CN"/>
        </w:rPr>
        <w:t>，</w:t>
      </w:r>
      <w:r>
        <w:rPr>
          <w:rFonts w:hint="eastAsia" w:ascii="Arial" w:hAnsi="Arial" w:cs="Arial"/>
          <w:sz w:val="21"/>
          <w:szCs w:val="21"/>
          <w:highlight w:val="none"/>
          <w:lang w:val="en-US" w:eastAsia="zh-CN"/>
        </w:rPr>
        <w:t>估价对象为</w:t>
      </w:r>
      <w:r>
        <w:rPr>
          <w:rFonts w:hint="eastAsia" w:ascii="Arial" w:hAnsi="Arial" w:cs="Arial"/>
          <w:kern w:val="2"/>
          <w:sz w:val="21"/>
          <w:szCs w:val="21"/>
          <w:highlight w:val="none"/>
          <w:lang w:eastAsia="zh-CN"/>
        </w:rPr>
        <w:t>北京市大兴区育林街1号院（育新花园北里）4号楼1单元401号等489套、育林街2号院（育新花园中里）1号楼1单元101号等508套 、育林街8号院（育新花园西里）1号楼1单元102号等239套、育仁街1号院（育新花园南里）1号楼2单元1501号等88套共计1324套</w:t>
      </w:r>
      <w:r>
        <w:rPr>
          <w:rFonts w:hint="eastAsia" w:ascii="Arial" w:hAnsi="Arial" w:cs="Arial"/>
          <w:kern w:val="2"/>
          <w:sz w:val="21"/>
          <w:szCs w:val="21"/>
          <w:highlight w:val="none"/>
          <w:lang w:val="en-US" w:eastAsia="zh-CN"/>
        </w:rPr>
        <w:t>保障性租赁住房</w:t>
      </w:r>
      <w:r>
        <w:rPr>
          <w:rFonts w:hint="eastAsia" w:ascii="Arial" w:hAnsi="Arial" w:cs="Arial"/>
          <w:kern w:val="2"/>
          <w:sz w:val="21"/>
          <w:szCs w:val="21"/>
          <w:highlight w:val="none"/>
        </w:rPr>
        <w:t>（住宅型）</w:t>
      </w:r>
      <w:r>
        <w:rPr>
          <w:rFonts w:hint="eastAsia" w:ascii="Arial" w:hAnsi="Arial" w:cs="Arial"/>
          <w:kern w:val="2"/>
          <w:sz w:val="21"/>
          <w:szCs w:val="21"/>
          <w:highlight w:val="none"/>
          <w:lang w:val="en-US" w:eastAsia="zh-CN"/>
        </w:rPr>
        <w:t>，总建筑面积106034.90平方米，产权主体为北京兴创投资有限公司，北京市大兴区保障性住房建设投资有限公司负责房源出租及运营管理。</w:t>
      </w:r>
      <w:r>
        <w:rPr>
          <w:rFonts w:hint="eastAsia" w:ascii="Arial" w:hAnsi="Arial" w:cs="Arial"/>
          <w:sz w:val="21"/>
          <w:szCs w:val="21"/>
          <w:highlight w:val="none"/>
          <w:lang w:val="en-US" w:eastAsia="zh-CN"/>
        </w:rPr>
        <w:t>估价对象</w:t>
      </w:r>
      <w:r>
        <w:rPr>
          <w:rFonts w:hint="eastAsia" w:ascii="Arial" w:hAnsi="Arial" w:cs="Arial"/>
          <w:sz w:val="21"/>
          <w:szCs w:val="21"/>
          <w:highlight w:val="none"/>
        </w:rPr>
        <w:t>具体情况如下：</w:t>
      </w:r>
    </w:p>
    <w:p w14:paraId="3E866481">
      <w:pPr>
        <w:keepNext w:val="0"/>
        <w:keepLines w:val="0"/>
        <w:pageBreakBefore w:val="0"/>
        <w:widowControl w:val="0"/>
        <w:kinsoku/>
        <w:wordWrap/>
        <w:overflowPunct w:val="0"/>
        <w:topLinePunct w:val="0"/>
        <w:autoSpaceDE/>
        <w:autoSpaceDN/>
        <w:bidi w:val="0"/>
        <w:adjustRightInd w:val="0"/>
        <w:snapToGrid/>
        <w:spacing w:line="240" w:lineRule="auto"/>
        <w:jc w:val="center"/>
        <w:textAlignment w:val="auto"/>
        <w:rPr>
          <w:rFonts w:hint="default" w:ascii="Arial" w:hAnsi="Arial" w:eastAsia="宋体" w:cs="Arial"/>
          <w:b/>
          <w:bCs/>
          <w:sz w:val="21"/>
          <w:szCs w:val="21"/>
          <w:highlight w:val="none"/>
          <w:lang w:val="en-US" w:eastAsia="zh-CN"/>
        </w:rPr>
      </w:pPr>
      <w:r>
        <w:rPr>
          <w:rFonts w:hint="eastAsia" w:ascii="Arial" w:hAnsi="Arial" w:cs="Arial"/>
          <w:b/>
          <w:bCs/>
          <w:sz w:val="21"/>
          <w:szCs w:val="21"/>
          <w:highlight w:val="none"/>
          <w:lang w:val="en-US" w:eastAsia="zh-CN"/>
        </w:rPr>
        <w:t>估价对象明细表</w:t>
      </w:r>
    </w:p>
    <w:tbl>
      <w:tblPr>
        <w:tblStyle w:val="33"/>
        <w:tblW w:w="9259" w:type="dxa"/>
        <w:tblInd w:w="113" w:type="dxa"/>
        <w:tblLayout w:type="fixed"/>
        <w:tblCellMar>
          <w:top w:w="0" w:type="dxa"/>
          <w:left w:w="108" w:type="dxa"/>
          <w:bottom w:w="0" w:type="dxa"/>
          <w:right w:w="108" w:type="dxa"/>
        </w:tblCellMar>
      </w:tblPr>
      <w:tblGrid>
        <w:gridCol w:w="779"/>
        <w:gridCol w:w="1332"/>
        <w:gridCol w:w="4482"/>
        <w:gridCol w:w="732"/>
        <w:gridCol w:w="708"/>
        <w:gridCol w:w="1226"/>
      </w:tblGrid>
      <w:tr w14:paraId="46E2EA06">
        <w:tblPrEx>
          <w:tblCellMar>
            <w:top w:w="0" w:type="dxa"/>
            <w:left w:w="108" w:type="dxa"/>
            <w:bottom w:w="0" w:type="dxa"/>
            <w:right w:w="108" w:type="dxa"/>
          </w:tblCellMar>
        </w:tblPrEx>
        <w:trPr>
          <w:trHeight w:val="276" w:hRule="atLeast"/>
        </w:trPr>
        <w:tc>
          <w:tcPr>
            <w:tcW w:w="77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7FFA0F3">
            <w:pPr>
              <w:widowControl/>
              <w:adjustRightInd/>
              <w:spacing w:line="240" w:lineRule="auto"/>
              <w:jc w:val="center"/>
              <w:textAlignment w:val="auto"/>
              <w:rPr>
                <w:rFonts w:ascii="华文细黑" w:hAnsi="华文细黑" w:eastAsia="华文细黑" w:cs="Arial"/>
                <w:b/>
                <w:bCs/>
                <w:sz w:val="18"/>
                <w:szCs w:val="18"/>
                <w:highlight w:val="none"/>
              </w:rPr>
            </w:pPr>
            <w:r>
              <w:rPr>
                <w:rFonts w:ascii="华文细黑" w:hAnsi="华文细黑" w:eastAsia="华文细黑" w:cs="Arial"/>
                <w:b/>
                <w:bCs/>
                <w:sz w:val="18"/>
                <w:szCs w:val="18"/>
                <w:highlight w:val="none"/>
              </w:rPr>
              <w:t>户型</w:t>
            </w:r>
          </w:p>
        </w:tc>
        <w:tc>
          <w:tcPr>
            <w:tcW w:w="1332" w:type="dxa"/>
            <w:tcBorders>
              <w:top w:val="single" w:color="auto" w:sz="4" w:space="0"/>
              <w:left w:val="nil"/>
              <w:bottom w:val="single" w:color="auto" w:sz="4" w:space="0"/>
              <w:right w:val="single" w:color="auto" w:sz="4" w:space="0"/>
            </w:tcBorders>
            <w:shd w:val="clear" w:color="auto" w:fill="auto"/>
            <w:noWrap/>
            <w:vAlign w:val="center"/>
          </w:tcPr>
          <w:p w14:paraId="2CCC100F">
            <w:pPr>
              <w:widowControl/>
              <w:adjustRightInd/>
              <w:spacing w:line="240" w:lineRule="auto"/>
              <w:jc w:val="center"/>
              <w:textAlignment w:val="auto"/>
              <w:rPr>
                <w:rFonts w:ascii="华文细黑" w:hAnsi="华文细黑" w:eastAsia="华文细黑" w:cs="Arial"/>
                <w:b/>
                <w:bCs/>
                <w:sz w:val="18"/>
                <w:szCs w:val="18"/>
                <w:highlight w:val="none"/>
              </w:rPr>
            </w:pPr>
            <w:r>
              <w:rPr>
                <w:rFonts w:ascii="华文细黑" w:hAnsi="华文细黑" w:eastAsia="华文细黑" w:cs="Arial"/>
                <w:b/>
                <w:bCs/>
                <w:sz w:val="18"/>
                <w:szCs w:val="18"/>
                <w:highlight w:val="none"/>
              </w:rPr>
              <w:t>面积（平方米）</w:t>
            </w:r>
          </w:p>
        </w:tc>
        <w:tc>
          <w:tcPr>
            <w:tcW w:w="4482" w:type="dxa"/>
            <w:tcBorders>
              <w:top w:val="single" w:color="auto" w:sz="4" w:space="0"/>
              <w:left w:val="nil"/>
              <w:bottom w:val="single" w:color="auto" w:sz="4" w:space="0"/>
              <w:right w:val="single" w:color="auto" w:sz="4" w:space="0"/>
            </w:tcBorders>
            <w:shd w:val="clear" w:color="auto" w:fill="auto"/>
            <w:noWrap/>
            <w:vAlign w:val="center"/>
          </w:tcPr>
          <w:p w14:paraId="23458E8C">
            <w:pPr>
              <w:widowControl/>
              <w:adjustRightInd/>
              <w:spacing w:line="240" w:lineRule="auto"/>
              <w:jc w:val="center"/>
              <w:textAlignment w:val="auto"/>
              <w:rPr>
                <w:rFonts w:hint="default" w:ascii="华文细黑" w:hAnsi="华文细黑" w:eastAsia="华文细黑" w:cs="Arial"/>
                <w:b/>
                <w:bCs/>
                <w:sz w:val="18"/>
                <w:szCs w:val="18"/>
                <w:highlight w:val="none"/>
                <w:lang w:val="en-US" w:eastAsia="zh-CN"/>
              </w:rPr>
            </w:pPr>
            <w:r>
              <w:rPr>
                <w:rFonts w:hint="eastAsia" w:ascii="华文细黑" w:hAnsi="华文细黑" w:eastAsia="华文细黑" w:cs="Arial"/>
                <w:b/>
                <w:bCs/>
                <w:sz w:val="18"/>
                <w:szCs w:val="18"/>
                <w:highlight w:val="none"/>
                <w:lang w:val="en-US" w:eastAsia="zh-CN"/>
              </w:rPr>
              <w:t>所在楼栋</w:t>
            </w:r>
          </w:p>
        </w:tc>
        <w:tc>
          <w:tcPr>
            <w:tcW w:w="732" w:type="dxa"/>
            <w:tcBorders>
              <w:top w:val="single" w:color="auto" w:sz="4" w:space="0"/>
              <w:left w:val="nil"/>
              <w:bottom w:val="single" w:color="auto" w:sz="4" w:space="0"/>
              <w:right w:val="single" w:color="auto" w:sz="4" w:space="0"/>
            </w:tcBorders>
            <w:shd w:val="clear" w:color="auto" w:fill="auto"/>
            <w:noWrap/>
            <w:vAlign w:val="center"/>
          </w:tcPr>
          <w:p w14:paraId="4403C129">
            <w:pPr>
              <w:widowControl/>
              <w:adjustRightInd/>
              <w:spacing w:line="240" w:lineRule="auto"/>
              <w:jc w:val="center"/>
              <w:textAlignment w:val="auto"/>
              <w:rPr>
                <w:rFonts w:ascii="华文细黑" w:hAnsi="华文细黑" w:eastAsia="华文细黑" w:cs="Arial"/>
                <w:b/>
                <w:bCs/>
                <w:sz w:val="18"/>
                <w:szCs w:val="18"/>
                <w:highlight w:val="none"/>
              </w:rPr>
            </w:pPr>
            <w:r>
              <w:rPr>
                <w:rFonts w:ascii="华文细黑" w:hAnsi="华文细黑" w:eastAsia="华文细黑" w:cs="Arial"/>
                <w:b/>
                <w:bCs/>
                <w:sz w:val="18"/>
                <w:szCs w:val="18"/>
                <w:highlight w:val="none"/>
              </w:rPr>
              <w:t>朝向</w:t>
            </w:r>
          </w:p>
        </w:tc>
        <w:tc>
          <w:tcPr>
            <w:tcW w:w="708" w:type="dxa"/>
            <w:tcBorders>
              <w:top w:val="single" w:color="auto" w:sz="4" w:space="0"/>
              <w:left w:val="nil"/>
              <w:bottom w:val="single" w:color="auto" w:sz="4" w:space="0"/>
              <w:right w:val="single" w:color="auto" w:sz="4" w:space="0"/>
            </w:tcBorders>
            <w:shd w:val="clear" w:color="auto" w:fill="auto"/>
            <w:noWrap/>
            <w:vAlign w:val="center"/>
          </w:tcPr>
          <w:p w14:paraId="10A7A58D">
            <w:pPr>
              <w:widowControl/>
              <w:adjustRightInd/>
              <w:spacing w:line="240" w:lineRule="auto"/>
              <w:jc w:val="center"/>
              <w:textAlignment w:val="auto"/>
              <w:rPr>
                <w:rFonts w:ascii="华文细黑" w:hAnsi="华文细黑" w:eastAsia="华文细黑" w:cs="Arial"/>
                <w:b/>
                <w:bCs/>
                <w:sz w:val="18"/>
                <w:szCs w:val="18"/>
                <w:highlight w:val="none"/>
              </w:rPr>
            </w:pPr>
            <w:r>
              <w:rPr>
                <w:rFonts w:ascii="华文细黑" w:hAnsi="华文细黑" w:eastAsia="华文细黑" w:cs="Arial"/>
                <w:b/>
                <w:bCs/>
                <w:sz w:val="18"/>
                <w:szCs w:val="18"/>
                <w:highlight w:val="none"/>
              </w:rPr>
              <w:t>套数（套）</w:t>
            </w:r>
          </w:p>
        </w:tc>
        <w:tc>
          <w:tcPr>
            <w:tcW w:w="1226" w:type="dxa"/>
            <w:tcBorders>
              <w:top w:val="single" w:color="auto" w:sz="4" w:space="0"/>
              <w:left w:val="nil"/>
              <w:bottom w:val="single" w:color="auto" w:sz="4" w:space="0"/>
              <w:right w:val="single" w:color="auto" w:sz="4" w:space="0"/>
            </w:tcBorders>
            <w:shd w:val="clear" w:color="auto" w:fill="auto"/>
            <w:noWrap/>
            <w:vAlign w:val="center"/>
          </w:tcPr>
          <w:p w14:paraId="37B6F34E">
            <w:pPr>
              <w:widowControl/>
              <w:adjustRightInd/>
              <w:spacing w:line="240" w:lineRule="auto"/>
              <w:jc w:val="center"/>
              <w:textAlignment w:val="auto"/>
              <w:rPr>
                <w:rFonts w:ascii="华文细黑" w:hAnsi="华文细黑" w:eastAsia="华文细黑" w:cs="Arial"/>
                <w:b/>
                <w:bCs/>
                <w:sz w:val="18"/>
                <w:szCs w:val="18"/>
                <w:highlight w:val="none"/>
              </w:rPr>
            </w:pPr>
            <w:r>
              <w:rPr>
                <w:rFonts w:ascii="华文细黑" w:hAnsi="华文细黑" w:eastAsia="华文细黑" w:cs="Arial"/>
                <w:b/>
                <w:bCs/>
                <w:sz w:val="18"/>
                <w:szCs w:val="18"/>
                <w:highlight w:val="none"/>
              </w:rPr>
              <w:t>总</w:t>
            </w:r>
            <w:r>
              <w:rPr>
                <w:rFonts w:hint="eastAsia" w:ascii="华文细黑" w:hAnsi="华文细黑" w:eastAsia="华文细黑" w:cs="Arial"/>
                <w:b/>
                <w:bCs/>
                <w:sz w:val="18"/>
                <w:szCs w:val="18"/>
                <w:highlight w:val="none"/>
                <w:lang w:val="en-US" w:eastAsia="zh-CN"/>
              </w:rPr>
              <w:t>建筑</w:t>
            </w:r>
            <w:r>
              <w:rPr>
                <w:rFonts w:ascii="华文细黑" w:hAnsi="华文细黑" w:eastAsia="华文细黑" w:cs="Arial"/>
                <w:b/>
                <w:bCs/>
                <w:sz w:val="18"/>
                <w:szCs w:val="18"/>
                <w:highlight w:val="none"/>
              </w:rPr>
              <w:t>面积（平方米）</w:t>
            </w:r>
          </w:p>
        </w:tc>
      </w:tr>
      <w:tr w14:paraId="413972BA">
        <w:tblPrEx>
          <w:tblCellMar>
            <w:top w:w="0" w:type="dxa"/>
            <w:left w:w="108" w:type="dxa"/>
            <w:bottom w:w="0" w:type="dxa"/>
            <w:right w:w="108" w:type="dxa"/>
          </w:tblCellMar>
        </w:tblPrEx>
        <w:trPr>
          <w:trHeight w:val="276" w:hRule="atLeast"/>
        </w:trPr>
        <w:tc>
          <w:tcPr>
            <w:tcW w:w="779" w:type="dxa"/>
            <w:vMerge w:val="restart"/>
            <w:tcBorders>
              <w:top w:val="nil"/>
              <w:left w:val="single" w:color="auto" w:sz="4" w:space="0"/>
              <w:right w:val="single" w:color="auto" w:sz="4" w:space="0"/>
            </w:tcBorders>
            <w:shd w:val="clear" w:color="auto" w:fill="auto"/>
            <w:noWrap/>
            <w:vAlign w:val="center"/>
          </w:tcPr>
          <w:p w14:paraId="5BBC0079">
            <w:pPr>
              <w:widowControl/>
              <w:adjustRightInd/>
              <w:spacing w:line="240" w:lineRule="auto"/>
              <w:jc w:val="center"/>
              <w:textAlignment w:val="auto"/>
              <w:rPr>
                <w:rFonts w:ascii="华文细黑" w:hAnsi="华文细黑" w:eastAsia="华文细黑" w:cs="Arial"/>
                <w:b/>
                <w:bCs/>
                <w:sz w:val="18"/>
                <w:szCs w:val="18"/>
                <w:highlight w:val="none"/>
              </w:rPr>
            </w:pPr>
            <w:r>
              <w:rPr>
                <w:rFonts w:ascii="华文细黑" w:hAnsi="华文细黑" w:eastAsia="华文细黑" w:cs="Arial"/>
                <w:b/>
                <w:bCs/>
                <w:sz w:val="18"/>
                <w:szCs w:val="18"/>
                <w:highlight w:val="none"/>
              </w:rPr>
              <w:t>一居室</w:t>
            </w:r>
          </w:p>
        </w:tc>
        <w:tc>
          <w:tcPr>
            <w:tcW w:w="1332" w:type="dxa"/>
            <w:tcBorders>
              <w:top w:val="nil"/>
              <w:left w:val="nil"/>
              <w:bottom w:val="single" w:color="auto" w:sz="4" w:space="0"/>
              <w:right w:val="single" w:color="auto" w:sz="4" w:space="0"/>
            </w:tcBorders>
            <w:shd w:val="clear" w:color="auto" w:fill="auto"/>
            <w:noWrap/>
            <w:vAlign w:val="center"/>
          </w:tcPr>
          <w:p w14:paraId="1EACA3AC">
            <w:pPr>
              <w:widowControl/>
              <w:adjustRightInd/>
              <w:spacing w:line="240" w:lineRule="auto"/>
              <w:jc w:val="center"/>
              <w:textAlignment w:val="auto"/>
              <w:rPr>
                <w:rFonts w:ascii="华文细黑" w:hAnsi="华文细黑" w:eastAsia="华文细黑" w:cs="Arial"/>
                <w:sz w:val="18"/>
                <w:szCs w:val="18"/>
                <w:highlight w:val="none"/>
              </w:rPr>
            </w:pPr>
            <w:r>
              <w:rPr>
                <w:rFonts w:hint="eastAsia" w:ascii="华文细黑" w:hAnsi="华文细黑" w:eastAsia="华文细黑" w:cs="Arial"/>
                <w:sz w:val="18"/>
                <w:szCs w:val="18"/>
                <w:highlight w:val="none"/>
              </w:rPr>
              <w:t>52.63-69.91</w:t>
            </w:r>
          </w:p>
        </w:tc>
        <w:tc>
          <w:tcPr>
            <w:tcW w:w="4482" w:type="dxa"/>
            <w:tcBorders>
              <w:top w:val="nil"/>
              <w:left w:val="nil"/>
              <w:bottom w:val="single" w:color="auto" w:sz="4" w:space="0"/>
              <w:right w:val="single" w:color="auto" w:sz="4" w:space="0"/>
            </w:tcBorders>
            <w:shd w:val="clear" w:color="auto" w:fill="auto"/>
            <w:noWrap/>
            <w:vAlign w:val="center"/>
          </w:tcPr>
          <w:p w14:paraId="09A5A107">
            <w:pPr>
              <w:widowControl/>
              <w:adjustRightInd/>
              <w:spacing w:line="240" w:lineRule="auto"/>
              <w:jc w:val="center"/>
              <w:textAlignment w:val="auto"/>
              <w:rPr>
                <w:rFonts w:ascii="华文细黑" w:hAnsi="华文细黑" w:eastAsia="华文细黑" w:cs="Arial"/>
                <w:sz w:val="18"/>
                <w:szCs w:val="18"/>
                <w:highlight w:val="none"/>
              </w:rPr>
            </w:pPr>
            <w:r>
              <w:rPr>
                <w:rFonts w:hint="eastAsia" w:ascii="华文细黑" w:hAnsi="华文细黑" w:eastAsia="华文细黑" w:cs="Arial"/>
                <w:sz w:val="18"/>
                <w:szCs w:val="18"/>
                <w:highlight w:val="none"/>
              </w:rPr>
              <w:t>育林街1号院4、5、20号楼；育林街2号院4、6、7、12、13、14、15、17、18、23号楼；育林街8号院2-4、7、8号楼；育仁街1号院5、6、7、10号楼</w:t>
            </w:r>
          </w:p>
        </w:tc>
        <w:tc>
          <w:tcPr>
            <w:tcW w:w="732" w:type="dxa"/>
            <w:tcBorders>
              <w:top w:val="nil"/>
              <w:left w:val="nil"/>
              <w:bottom w:val="single" w:color="auto" w:sz="4" w:space="0"/>
              <w:right w:val="single" w:color="auto" w:sz="4" w:space="0"/>
            </w:tcBorders>
            <w:shd w:val="clear" w:color="auto" w:fill="auto"/>
            <w:noWrap/>
            <w:vAlign w:val="center"/>
          </w:tcPr>
          <w:p w14:paraId="3CF188D3">
            <w:pPr>
              <w:widowControl/>
              <w:adjustRightInd/>
              <w:spacing w:line="240" w:lineRule="auto"/>
              <w:jc w:val="center"/>
              <w:textAlignment w:val="auto"/>
              <w:rPr>
                <w:rFonts w:ascii="华文细黑" w:hAnsi="华文细黑" w:eastAsia="华文细黑" w:cs="Arial"/>
                <w:sz w:val="18"/>
                <w:szCs w:val="18"/>
                <w:highlight w:val="none"/>
              </w:rPr>
            </w:pPr>
            <w:r>
              <w:rPr>
                <w:rFonts w:ascii="华文细黑" w:hAnsi="华文细黑" w:eastAsia="华文细黑" w:cs="Arial"/>
                <w:sz w:val="18"/>
                <w:szCs w:val="18"/>
                <w:highlight w:val="none"/>
              </w:rPr>
              <w:t>南北</w:t>
            </w:r>
          </w:p>
        </w:tc>
        <w:tc>
          <w:tcPr>
            <w:tcW w:w="708" w:type="dxa"/>
            <w:tcBorders>
              <w:top w:val="nil"/>
              <w:left w:val="nil"/>
              <w:bottom w:val="single" w:color="auto" w:sz="4" w:space="0"/>
              <w:right w:val="single" w:color="auto" w:sz="4" w:space="0"/>
            </w:tcBorders>
            <w:shd w:val="clear" w:color="auto" w:fill="auto"/>
            <w:noWrap/>
            <w:vAlign w:val="center"/>
          </w:tcPr>
          <w:p w14:paraId="5AF97A4D">
            <w:pPr>
              <w:widowControl/>
              <w:adjustRightInd/>
              <w:spacing w:line="240" w:lineRule="auto"/>
              <w:jc w:val="center"/>
              <w:textAlignment w:val="auto"/>
              <w:rPr>
                <w:rFonts w:hint="default" w:ascii="华文细黑" w:hAnsi="华文细黑" w:eastAsia="华文细黑" w:cs="Arial"/>
                <w:sz w:val="18"/>
                <w:szCs w:val="18"/>
                <w:highlight w:val="none"/>
                <w:lang w:val="en-US" w:eastAsia="zh-CN"/>
              </w:rPr>
            </w:pPr>
            <w:r>
              <w:rPr>
                <w:rFonts w:hint="eastAsia" w:ascii="华文细黑" w:hAnsi="华文细黑" w:eastAsia="华文细黑" w:cs="Arial"/>
                <w:sz w:val="18"/>
                <w:szCs w:val="18"/>
                <w:highlight w:val="none"/>
                <w:lang w:val="en-US" w:eastAsia="zh-CN"/>
              </w:rPr>
              <w:t>378</w:t>
            </w:r>
          </w:p>
        </w:tc>
        <w:tc>
          <w:tcPr>
            <w:tcW w:w="1226" w:type="dxa"/>
            <w:tcBorders>
              <w:top w:val="nil"/>
              <w:left w:val="nil"/>
              <w:bottom w:val="single" w:color="auto" w:sz="4" w:space="0"/>
              <w:right w:val="single" w:color="auto" w:sz="4" w:space="0"/>
            </w:tcBorders>
            <w:shd w:val="clear" w:color="auto" w:fill="auto"/>
            <w:noWrap/>
            <w:vAlign w:val="center"/>
          </w:tcPr>
          <w:p w14:paraId="2A2B454D">
            <w:pPr>
              <w:widowControl/>
              <w:adjustRightInd/>
              <w:spacing w:line="240" w:lineRule="auto"/>
              <w:jc w:val="center"/>
              <w:textAlignment w:val="auto"/>
              <w:rPr>
                <w:rFonts w:hint="default" w:ascii="华文细黑" w:hAnsi="华文细黑" w:eastAsia="华文细黑" w:cs="Arial"/>
                <w:sz w:val="18"/>
                <w:szCs w:val="18"/>
                <w:highlight w:val="none"/>
                <w:lang w:val="en-US" w:eastAsia="zh-CN"/>
              </w:rPr>
            </w:pPr>
            <w:r>
              <w:rPr>
                <w:rFonts w:hint="eastAsia" w:ascii="华文细黑" w:hAnsi="华文细黑" w:eastAsia="华文细黑" w:cs="Arial"/>
                <w:sz w:val="18"/>
                <w:szCs w:val="18"/>
                <w:highlight w:val="none"/>
                <w:lang w:val="en-US" w:eastAsia="zh-CN"/>
              </w:rPr>
              <w:t>25149.84</w:t>
            </w:r>
          </w:p>
        </w:tc>
      </w:tr>
      <w:tr w14:paraId="77E138F9">
        <w:tblPrEx>
          <w:tblCellMar>
            <w:top w:w="0" w:type="dxa"/>
            <w:left w:w="108" w:type="dxa"/>
            <w:bottom w:w="0" w:type="dxa"/>
            <w:right w:w="108" w:type="dxa"/>
          </w:tblCellMar>
        </w:tblPrEx>
        <w:trPr>
          <w:trHeight w:val="276" w:hRule="atLeast"/>
        </w:trPr>
        <w:tc>
          <w:tcPr>
            <w:tcW w:w="779" w:type="dxa"/>
            <w:vMerge w:val="continue"/>
            <w:tcBorders>
              <w:left w:val="single" w:color="auto" w:sz="4" w:space="0"/>
              <w:bottom w:val="single" w:color="auto" w:sz="4" w:space="0"/>
              <w:right w:val="single" w:color="auto" w:sz="4" w:space="0"/>
            </w:tcBorders>
            <w:shd w:val="clear" w:color="auto" w:fill="auto"/>
            <w:noWrap/>
            <w:vAlign w:val="center"/>
          </w:tcPr>
          <w:p w14:paraId="409106A6">
            <w:pPr>
              <w:widowControl/>
              <w:adjustRightInd/>
              <w:spacing w:line="240" w:lineRule="auto"/>
              <w:jc w:val="center"/>
              <w:textAlignment w:val="auto"/>
              <w:rPr>
                <w:rFonts w:ascii="华文细黑" w:hAnsi="华文细黑" w:eastAsia="华文细黑" w:cs="Arial"/>
                <w:b/>
                <w:bCs/>
                <w:sz w:val="18"/>
                <w:szCs w:val="18"/>
                <w:highlight w:val="none"/>
              </w:rPr>
            </w:pPr>
          </w:p>
        </w:tc>
        <w:tc>
          <w:tcPr>
            <w:tcW w:w="1332" w:type="dxa"/>
            <w:tcBorders>
              <w:top w:val="nil"/>
              <w:left w:val="nil"/>
              <w:bottom w:val="single" w:color="auto" w:sz="4" w:space="0"/>
              <w:right w:val="single" w:color="auto" w:sz="4" w:space="0"/>
            </w:tcBorders>
            <w:shd w:val="clear" w:color="auto" w:fill="auto"/>
            <w:noWrap/>
            <w:vAlign w:val="center"/>
          </w:tcPr>
          <w:p w14:paraId="7C02733A">
            <w:pPr>
              <w:widowControl/>
              <w:adjustRightInd/>
              <w:spacing w:line="240" w:lineRule="auto"/>
              <w:jc w:val="center"/>
              <w:textAlignment w:val="auto"/>
              <w:rPr>
                <w:rFonts w:hint="eastAsia" w:ascii="华文细黑" w:hAnsi="华文细黑" w:eastAsia="华文细黑" w:cs="Arial"/>
                <w:b/>
                <w:bCs/>
                <w:sz w:val="18"/>
                <w:szCs w:val="18"/>
                <w:highlight w:val="none"/>
              </w:rPr>
            </w:pPr>
            <w:r>
              <w:rPr>
                <w:rFonts w:hint="eastAsia" w:ascii="华文细黑" w:hAnsi="华文细黑" w:eastAsia="华文细黑" w:cs="Arial"/>
                <w:b/>
                <w:bCs/>
                <w:sz w:val="18"/>
                <w:szCs w:val="18"/>
                <w:highlight w:val="none"/>
                <w:lang w:val="en-US" w:eastAsia="zh-CN"/>
              </w:rPr>
              <w:t>小计</w:t>
            </w:r>
          </w:p>
        </w:tc>
        <w:tc>
          <w:tcPr>
            <w:tcW w:w="4482" w:type="dxa"/>
            <w:tcBorders>
              <w:top w:val="nil"/>
              <w:left w:val="nil"/>
              <w:bottom w:val="single" w:color="auto" w:sz="4" w:space="0"/>
              <w:right w:val="single" w:color="auto" w:sz="4" w:space="0"/>
            </w:tcBorders>
            <w:shd w:val="clear" w:color="auto" w:fill="auto"/>
            <w:noWrap/>
            <w:vAlign w:val="center"/>
          </w:tcPr>
          <w:p w14:paraId="0D00DC7A">
            <w:pPr>
              <w:widowControl/>
              <w:adjustRightInd/>
              <w:spacing w:line="240" w:lineRule="auto"/>
              <w:jc w:val="center"/>
              <w:textAlignment w:val="auto"/>
              <w:rPr>
                <w:rFonts w:hint="eastAsia" w:ascii="华文细黑" w:hAnsi="华文细黑" w:eastAsia="华文细黑" w:cs="Arial"/>
                <w:b/>
                <w:bCs/>
                <w:sz w:val="18"/>
                <w:szCs w:val="18"/>
                <w:highlight w:val="none"/>
                <w:lang w:val="en-US" w:eastAsia="zh-CN"/>
              </w:rPr>
            </w:pPr>
            <w:r>
              <w:rPr>
                <w:rFonts w:hint="eastAsia" w:ascii="华文细黑" w:hAnsi="华文细黑" w:eastAsia="华文细黑" w:cs="Arial"/>
                <w:b/>
                <w:bCs/>
                <w:sz w:val="18"/>
                <w:szCs w:val="18"/>
                <w:highlight w:val="none"/>
                <w:lang w:val="en-US" w:eastAsia="zh-CN"/>
              </w:rPr>
              <w:t>-</w:t>
            </w:r>
          </w:p>
        </w:tc>
        <w:tc>
          <w:tcPr>
            <w:tcW w:w="732" w:type="dxa"/>
            <w:tcBorders>
              <w:top w:val="nil"/>
              <w:left w:val="nil"/>
              <w:bottom w:val="single" w:color="auto" w:sz="4" w:space="0"/>
              <w:right w:val="single" w:color="auto" w:sz="4" w:space="0"/>
            </w:tcBorders>
            <w:shd w:val="clear" w:color="auto" w:fill="auto"/>
            <w:noWrap/>
            <w:vAlign w:val="center"/>
          </w:tcPr>
          <w:p w14:paraId="4E064E6E">
            <w:pPr>
              <w:widowControl/>
              <w:adjustRightInd/>
              <w:spacing w:line="240" w:lineRule="auto"/>
              <w:jc w:val="center"/>
              <w:textAlignment w:val="auto"/>
              <w:rPr>
                <w:rFonts w:hint="eastAsia" w:ascii="华文细黑" w:hAnsi="华文细黑" w:eastAsia="华文细黑" w:cs="Arial"/>
                <w:b/>
                <w:bCs/>
                <w:sz w:val="18"/>
                <w:szCs w:val="18"/>
                <w:highlight w:val="none"/>
                <w:lang w:val="en-US" w:eastAsia="zh-CN"/>
              </w:rPr>
            </w:pPr>
            <w:r>
              <w:rPr>
                <w:rFonts w:hint="eastAsia" w:ascii="华文细黑" w:hAnsi="华文细黑" w:eastAsia="华文细黑" w:cs="Arial"/>
                <w:b/>
                <w:bCs/>
                <w:sz w:val="18"/>
                <w:szCs w:val="18"/>
                <w:highlight w:val="none"/>
                <w:lang w:val="en-US" w:eastAsia="zh-CN"/>
              </w:rPr>
              <w:t>-</w:t>
            </w:r>
          </w:p>
        </w:tc>
        <w:tc>
          <w:tcPr>
            <w:tcW w:w="708" w:type="dxa"/>
            <w:tcBorders>
              <w:top w:val="nil"/>
              <w:left w:val="nil"/>
              <w:bottom w:val="single" w:color="auto" w:sz="4" w:space="0"/>
              <w:right w:val="single" w:color="auto" w:sz="4" w:space="0"/>
            </w:tcBorders>
            <w:shd w:val="clear" w:color="auto" w:fill="auto"/>
            <w:noWrap/>
            <w:vAlign w:val="center"/>
          </w:tcPr>
          <w:p w14:paraId="7C05F093">
            <w:pPr>
              <w:widowControl/>
              <w:adjustRightInd/>
              <w:spacing w:line="240" w:lineRule="auto"/>
              <w:jc w:val="center"/>
              <w:textAlignment w:val="auto"/>
              <w:rPr>
                <w:rFonts w:hint="default" w:ascii="华文细黑" w:hAnsi="华文细黑" w:eastAsia="华文细黑" w:cs="Arial"/>
                <w:b/>
                <w:bCs/>
                <w:sz w:val="18"/>
                <w:szCs w:val="18"/>
                <w:highlight w:val="none"/>
                <w:lang w:val="en-US" w:eastAsia="zh-CN"/>
              </w:rPr>
            </w:pPr>
            <w:r>
              <w:rPr>
                <w:rFonts w:hint="eastAsia" w:ascii="华文细黑" w:hAnsi="华文细黑" w:eastAsia="华文细黑" w:cs="Arial"/>
                <w:b/>
                <w:bCs/>
                <w:sz w:val="18"/>
                <w:szCs w:val="18"/>
                <w:highlight w:val="none"/>
                <w:lang w:val="en-US" w:eastAsia="zh-CN"/>
              </w:rPr>
              <w:t>378</w:t>
            </w:r>
          </w:p>
        </w:tc>
        <w:tc>
          <w:tcPr>
            <w:tcW w:w="1226" w:type="dxa"/>
            <w:tcBorders>
              <w:top w:val="nil"/>
              <w:left w:val="nil"/>
              <w:bottom w:val="single" w:color="auto" w:sz="4" w:space="0"/>
              <w:right w:val="single" w:color="auto" w:sz="4" w:space="0"/>
            </w:tcBorders>
            <w:shd w:val="clear" w:color="auto" w:fill="auto"/>
            <w:noWrap/>
            <w:vAlign w:val="center"/>
          </w:tcPr>
          <w:p w14:paraId="7B567A12">
            <w:pPr>
              <w:widowControl/>
              <w:adjustRightInd/>
              <w:spacing w:line="240" w:lineRule="auto"/>
              <w:jc w:val="center"/>
              <w:textAlignment w:val="auto"/>
              <w:rPr>
                <w:rFonts w:hint="eastAsia" w:ascii="华文细黑" w:hAnsi="华文细黑" w:eastAsia="华文细黑" w:cs="Arial"/>
                <w:b/>
                <w:bCs/>
                <w:sz w:val="18"/>
                <w:szCs w:val="18"/>
                <w:highlight w:val="none"/>
                <w:lang w:val="en-US" w:eastAsia="zh-CN"/>
              </w:rPr>
            </w:pPr>
            <w:r>
              <w:rPr>
                <w:rFonts w:hint="eastAsia" w:ascii="华文细黑" w:hAnsi="华文细黑" w:eastAsia="华文细黑" w:cs="Arial"/>
                <w:sz w:val="18"/>
                <w:szCs w:val="18"/>
                <w:highlight w:val="none"/>
                <w:lang w:val="en-US" w:eastAsia="zh-CN"/>
              </w:rPr>
              <w:t>25149.84</w:t>
            </w:r>
          </w:p>
        </w:tc>
      </w:tr>
      <w:tr w14:paraId="0F698353">
        <w:tblPrEx>
          <w:tblCellMar>
            <w:top w:w="0" w:type="dxa"/>
            <w:left w:w="108" w:type="dxa"/>
            <w:bottom w:w="0" w:type="dxa"/>
            <w:right w:w="108" w:type="dxa"/>
          </w:tblCellMar>
        </w:tblPrEx>
        <w:trPr>
          <w:trHeight w:val="1103" w:hRule="atLeast"/>
        </w:trPr>
        <w:tc>
          <w:tcPr>
            <w:tcW w:w="779" w:type="dxa"/>
            <w:vMerge w:val="restart"/>
            <w:tcBorders>
              <w:top w:val="nil"/>
              <w:left w:val="single" w:color="auto" w:sz="4" w:space="0"/>
              <w:right w:val="single" w:color="auto" w:sz="4" w:space="0"/>
            </w:tcBorders>
            <w:shd w:val="clear" w:color="auto" w:fill="auto"/>
            <w:noWrap/>
            <w:vAlign w:val="center"/>
          </w:tcPr>
          <w:p w14:paraId="384E176B">
            <w:pPr>
              <w:widowControl/>
              <w:adjustRightInd/>
              <w:spacing w:line="240" w:lineRule="auto"/>
              <w:jc w:val="center"/>
              <w:textAlignment w:val="auto"/>
              <w:rPr>
                <w:rFonts w:ascii="华文细黑" w:hAnsi="华文细黑" w:eastAsia="华文细黑" w:cs="Arial"/>
                <w:b/>
                <w:bCs/>
                <w:sz w:val="18"/>
                <w:szCs w:val="18"/>
                <w:highlight w:val="none"/>
              </w:rPr>
            </w:pPr>
            <w:r>
              <w:rPr>
                <w:rFonts w:ascii="华文细黑" w:hAnsi="华文细黑" w:eastAsia="华文细黑" w:cs="Arial"/>
                <w:b/>
                <w:bCs/>
                <w:sz w:val="18"/>
                <w:szCs w:val="18"/>
                <w:highlight w:val="none"/>
              </w:rPr>
              <w:t>两居室</w:t>
            </w:r>
          </w:p>
        </w:tc>
        <w:tc>
          <w:tcPr>
            <w:tcW w:w="1332" w:type="dxa"/>
            <w:tcBorders>
              <w:top w:val="nil"/>
              <w:left w:val="nil"/>
              <w:bottom w:val="single" w:color="auto" w:sz="4" w:space="0"/>
              <w:right w:val="single" w:color="auto" w:sz="4" w:space="0"/>
            </w:tcBorders>
            <w:shd w:val="clear" w:color="auto" w:fill="auto"/>
            <w:noWrap/>
            <w:vAlign w:val="center"/>
          </w:tcPr>
          <w:p w14:paraId="471F4FD6">
            <w:pPr>
              <w:widowControl/>
              <w:adjustRightInd/>
              <w:spacing w:line="240" w:lineRule="auto"/>
              <w:jc w:val="center"/>
              <w:textAlignment w:val="auto"/>
              <w:rPr>
                <w:rFonts w:ascii="华文细黑" w:hAnsi="华文细黑" w:eastAsia="华文细黑" w:cs="Arial"/>
                <w:sz w:val="18"/>
                <w:szCs w:val="18"/>
                <w:highlight w:val="none"/>
              </w:rPr>
            </w:pPr>
            <w:r>
              <w:rPr>
                <w:rFonts w:hint="eastAsia" w:ascii="华文细黑" w:hAnsi="华文细黑" w:eastAsia="华文细黑" w:cs="Arial"/>
                <w:sz w:val="18"/>
                <w:szCs w:val="18"/>
                <w:highlight w:val="none"/>
              </w:rPr>
              <w:t>72.82-88.38</w:t>
            </w:r>
          </w:p>
        </w:tc>
        <w:tc>
          <w:tcPr>
            <w:tcW w:w="4482" w:type="dxa"/>
            <w:tcBorders>
              <w:top w:val="nil"/>
              <w:left w:val="nil"/>
              <w:bottom w:val="single" w:color="auto" w:sz="4" w:space="0"/>
              <w:right w:val="single" w:color="auto" w:sz="4" w:space="0"/>
            </w:tcBorders>
            <w:shd w:val="clear" w:color="auto" w:fill="auto"/>
            <w:noWrap/>
            <w:vAlign w:val="center"/>
          </w:tcPr>
          <w:p w14:paraId="23B0134C">
            <w:pPr>
              <w:widowControl/>
              <w:adjustRightInd/>
              <w:spacing w:line="240" w:lineRule="auto"/>
              <w:jc w:val="center"/>
              <w:textAlignment w:val="auto"/>
              <w:rPr>
                <w:rFonts w:ascii="华文细黑" w:hAnsi="华文细黑" w:eastAsia="华文细黑" w:cs="Arial"/>
                <w:sz w:val="18"/>
                <w:szCs w:val="18"/>
                <w:highlight w:val="none"/>
              </w:rPr>
            </w:pPr>
            <w:r>
              <w:rPr>
                <w:rFonts w:hint="eastAsia" w:ascii="华文细黑" w:hAnsi="华文细黑" w:eastAsia="华文细黑" w:cs="Arial"/>
                <w:sz w:val="18"/>
                <w:szCs w:val="18"/>
                <w:highlight w:val="none"/>
              </w:rPr>
              <w:t>育林街1号院1-3、8-10、15、17、22、23号楼；育林街2号院1-4、6-13、15、17-23号楼；育林街8号院1-4、6-9、11-13号楼；育仁街1号院1-3、6、8-9、13-15号楼</w:t>
            </w:r>
          </w:p>
        </w:tc>
        <w:tc>
          <w:tcPr>
            <w:tcW w:w="732" w:type="dxa"/>
            <w:tcBorders>
              <w:top w:val="nil"/>
              <w:left w:val="nil"/>
              <w:bottom w:val="single" w:color="auto" w:sz="4" w:space="0"/>
              <w:right w:val="single" w:color="auto" w:sz="4" w:space="0"/>
            </w:tcBorders>
            <w:shd w:val="clear" w:color="auto" w:fill="auto"/>
            <w:noWrap/>
            <w:vAlign w:val="center"/>
          </w:tcPr>
          <w:p w14:paraId="31E45C35">
            <w:pPr>
              <w:widowControl/>
              <w:adjustRightInd/>
              <w:spacing w:line="240" w:lineRule="auto"/>
              <w:jc w:val="center"/>
              <w:textAlignment w:val="auto"/>
              <w:rPr>
                <w:rFonts w:ascii="华文细黑" w:hAnsi="华文细黑" w:eastAsia="华文细黑" w:cs="Arial"/>
                <w:sz w:val="18"/>
                <w:szCs w:val="18"/>
                <w:highlight w:val="none"/>
              </w:rPr>
            </w:pPr>
            <w:r>
              <w:rPr>
                <w:rFonts w:ascii="华文细黑" w:hAnsi="华文细黑" w:eastAsia="华文细黑" w:cs="Arial"/>
                <w:sz w:val="18"/>
                <w:szCs w:val="18"/>
                <w:highlight w:val="none"/>
              </w:rPr>
              <w:t>南北</w:t>
            </w:r>
          </w:p>
        </w:tc>
        <w:tc>
          <w:tcPr>
            <w:tcW w:w="708" w:type="dxa"/>
            <w:tcBorders>
              <w:top w:val="nil"/>
              <w:left w:val="nil"/>
              <w:bottom w:val="single" w:color="auto" w:sz="4" w:space="0"/>
              <w:right w:val="single" w:color="auto" w:sz="4" w:space="0"/>
            </w:tcBorders>
            <w:shd w:val="clear" w:color="auto" w:fill="auto"/>
            <w:noWrap/>
            <w:vAlign w:val="center"/>
          </w:tcPr>
          <w:p w14:paraId="19152291">
            <w:pPr>
              <w:widowControl/>
              <w:adjustRightInd/>
              <w:spacing w:line="240" w:lineRule="auto"/>
              <w:jc w:val="center"/>
              <w:textAlignment w:val="auto"/>
              <w:rPr>
                <w:rFonts w:hint="default" w:ascii="华文细黑" w:hAnsi="华文细黑" w:eastAsia="华文细黑" w:cs="Arial"/>
                <w:sz w:val="18"/>
                <w:szCs w:val="18"/>
                <w:highlight w:val="none"/>
                <w:lang w:val="en-US" w:eastAsia="zh-CN"/>
              </w:rPr>
            </w:pPr>
            <w:r>
              <w:rPr>
                <w:rFonts w:hint="eastAsia" w:ascii="华文细黑" w:hAnsi="华文细黑" w:eastAsia="华文细黑" w:cs="Arial"/>
                <w:sz w:val="18"/>
                <w:szCs w:val="18"/>
                <w:highlight w:val="none"/>
                <w:lang w:val="en-US" w:eastAsia="zh-CN"/>
              </w:rPr>
              <w:t>916</w:t>
            </w:r>
          </w:p>
        </w:tc>
        <w:tc>
          <w:tcPr>
            <w:tcW w:w="1226" w:type="dxa"/>
            <w:tcBorders>
              <w:top w:val="nil"/>
              <w:left w:val="nil"/>
              <w:bottom w:val="single" w:color="auto" w:sz="4" w:space="0"/>
              <w:right w:val="single" w:color="auto" w:sz="4" w:space="0"/>
            </w:tcBorders>
            <w:shd w:val="clear" w:color="auto" w:fill="auto"/>
            <w:noWrap/>
            <w:vAlign w:val="center"/>
          </w:tcPr>
          <w:p w14:paraId="3C4BAE75">
            <w:pPr>
              <w:widowControl/>
              <w:adjustRightInd/>
              <w:spacing w:line="240" w:lineRule="auto"/>
              <w:jc w:val="center"/>
              <w:textAlignment w:val="auto"/>
              <w:rPr>
                <w:rFonts w:hint="default" w:ascii="华文细黑" w:hAnsi="华文细黑" w:eastAsia="华文细黑" w:cs="Arial"/>
                <w:sz w:val="18"/>
                <w:szCs w:val="18"/>
                <w:highlight w:val="none"/>
                <w:lang w:val="en-US" w:eastAsia="zh-CN"/>
              </w:rPr>
            </w:pPr>
            <w:r>
              <w:rPr>
                <w:rFonts w:hint="eastAsia" w:ascii="华文细黑" w:hAnsi="华文细黑" w:eastAsia="华文细黑" w:cs="Arial"/>
                <w:sz w:val="18"/>
                <w:szCs w:val="18"/>
                <w:highlight w:val="none"/>
                <w:lang w:val="en-US" w:eastAsia="zh-CN"/>
              </w:rPr>
              <w:t>78073.23</w:t>
            </w:r>
          </w:p>
        </w:tc>
      </w:tr>
      <w:tr w14:paraId="00BEC5A3">
        <w:tblPrEx>
          <w:tblCellMar>
            <w:top w:w="0" w:type="dxa"/>
            <w:left w:w="108" w:type="dxa"/>
            <w:bottom w:w="0" w:type="dxa"/>
            <w:right w:w="108" w:type="dxa"/>
          </w:tblCellMar>
        </w:tblPrEx>
        <w:trPr>
          <w:trHeight w:val="408" w:hRule="atLeast"/>
        </w:trPr>
        <w:tc>
          <w:tcPr>
            <w:tcW w:w="779" w:type="dxa"/>
            <w:vMerge w:val="continue"/>
            <w:tcBorders>
              <w:left w:val="single" w:color="auto" w:sz="4" w:space="0"/>
              <w:right w:val="single" w:color="auto" w:sz="4" w:space="0"/>
            </w:tcBorders>
            <w:vAlign w:val="center"/>
          </w:tcPr>
          <w:p w14:paraId="5A7A4B87">
            <w:pPr>
              <w:widowControl/>
              <w:adjustRightInd/>
              <w:spacing w:line="240" w:lineRule="auto"/>
              <w:jc w:val="both"/>
              <w:textAlignment w:val="auto"/>
              <w:rPr>
                <w:rFonts w:hint="eastAsia" w:ascii="华文细黑" w:hAnsi="华文细黑" w:eastAsia="华文细黑" w:cs="Arial"/>
                <w:b/>
                <w:bCs/>
                <w:sz w:val="18"/>
                <w:szCs w:val="18"/>
                <w:highlight w:val="none"/>
                <w:lang w:val="en-US" w:eastAsia="zh-CN"/>
              </w:rPr>
            </w:pPr>
          </w:p>
        </w:tc>
        <w:tc>
          <w:tcPr>
            <w:tcW w:w="1332" w:type="dxa"/>
            <w:tcBorders>
              <w:top w:val="nil"/>
              <w:left w:val="nil"/>
              <w:bottom w:val="single" w:color="auto" w:sz="4" w:space="0"/>
              <w:right w:val="single" w:color="auto" w:sz="4" w:space="0"/>
            </w:tcBorders>
            <w:shd w:val="clear" w:color="auto" w:fill="auto"/>
            <w:noWrap/>
            <w:vAlign w:val="center"/>
          </w:tcPr>
          <w:p w14:paraId="66D12521">
            <w:pPr>
              <w:widowControl/>
              <w:adjustRightInd/>
              <w:spacing w:line="240" w:lineRule="auto"/>
              <w:jc w:val="center"/>
              <w:textAlignment w:val="auto"/>
              <w:rPr>
                <w:rFonts w:hint="default" w:ascii="华文细黑" w:hAnsi="华文细黑" w:eastAsia="华文细黑" w:cs="Arial"/>
                <w:sz w:val="18"/>
                <w:szCs w:val="18"/>
                <w:highlight w:val="none"/>
                <w:lang w:val="en-US" w:eastAsia="zh-CN"/>
              </w:rPr>
            </w:pPr>
            <w:r>
              <w:rPr>
                <w:rFonts w:hint="eastAsia" w:ascii="华文细黑" w:hAnsi="华文细黑" w:eastAsia="华文细黑" w:cs="Arial"/>
                <w:sz w:val="18"/>
                <w:szCs w:val="18"/>
                <w:highlight w:val="none"/>
                <w:lang w:val="en-US" w:eastAsia="zh-CN"/>
              </w:rPr>
              <w:t>73.53</w:t>
            </w:r>
          </w:p>
        </w:tc>
        <w:tc>
          <w:tcPr>
            <w:tcW w:w="4482" w:type="dxa"/>
            <w:tcBorders>
              <w:top w:val="nil"/>
              <w:left w:val="nil"/>
              <w:bottom w:val="single" w:color="auto" w:sz="4" w:space="0"/>
              <w:right w:val="single" w:color="auto" w:sz="4" w:space="0"/>
            </w:tcBorders>
            <w:shd w:val="clear" w:color="auto" w:fill="auto"/>
            <w:noWrap/>
            <w:vAlign w:val="center"/>
          </w:tcPr>
          <w:p w14:paraId="624E1D24">
            <w:pPr>
              <w:widowControl/>
              <w:adjustRightInd/>
              <w:spacing w:line="240" w:lineRule="auto"/>
              <w:jc w:val="center"/>
              <w:textAlignment w:val="auto"/>
              <w:rPr>
                <w:rFonts w:ascii="华文细黑" w:hAnsi="华文细黑" w:eastAsia="华文细黑" w:cs="Arial"/>
                <w:sz w:val="18"/>
                <w:szCs w:val="18"/>
                <w:highlight w:val="none"/>
              </w:rPr>
            </w:pPr>
            <w:r>
              <w:rPr>
                <w:rFonts w:hint="eastAsia" w:ascii="华文细黑" w:hAnsi="华文细黑" w:eastAsia="华文细黑" w:cs="Arial"/>
                <w:sz w:val="18"/>
                <w:szCs w:val="18"/>
                <w:highlight w:val="none"/>
              </w:rPr>
              <w:t>育林街1号院1、2号楼</w:t>
            </w:r>
          </w:p>
        </w:tc>
        <w:tc>
          <w:tcPr>
            <w:tcW w:w="732" w:type="dxa"/>
            <w:tcBorders>
              <w:top w:val="nil"/>
              <w:left w:val="nil"/>
              <w:bottom w:val="single" w:color="auto" w:sz="4" w:space="0"/>
              <w:right w:val="single" w:color="auto" w:sz="4" w:space="0"/>
            </w:tcBorders>
            <w:shd w:val="clear" w:color="auto" w:fill="auto"/>
            <w:noWrap/>
            <w:vAlign w:val="center"/>
          </w:tcPr>
          <w:p w14:paraId="1024007A">
            <w:pPr>
              <w:widowControl/>
              <w:adjustRightInd/>
              <w:spacing w:line="240" w:lineRule="auto"/>
              <w:jc w:val="center"/>
              <w:textAlignment w:val="auto"/>
              <w:rPr>
                <w:rFonts w:ascii="华文细黑" w:hAnsi="华文细黑" w:eastAsia="华文细黑" w:cs="Arial"/>
                <w:sz w:val="18"/>
                <w:szCs w:val="18"/>
                <w:highlight w:val="none"/>
              </w:rPr>
            </w:pPr>
            <w:r>
              <w:rPr>
                <w:rFonts w:ascii="华文细黑" w:hAnsi="华文细黑" w:eastAsia="华文细黑" w:cs="Arial"/>
                <w:sz w:val="18"/>
                <w:szCs w:val="18"/>
                <w:highlight w:val="none"/>
              </w:rPr>
              <w:t>北</w:t>
            </w:r>
          </w:p>
        </w:tc>
        <w:tc>
          <w:tcPr>
            <w:tcW w:w="708" w:type="dxa"/>
            <w:tcBorders>
              <w:top w:val="nil"/>
              <w:left w:val="nil"/>
              <w:bottom w:val="single" w:color="auto" w:sz="4" w:space="0"/>
              <w:right w:val="single" w:color="auto" w:sz="4" w:space="0"/>
            </w:tcBorders>
            <w:shd w:val="clear" w:color="auto" w:fill="auto"/>
            <w:noWrap/>
            <w:vAlign w:val="center"/>
          </w:tcPr>
          <w:p w14:paraId="375EF946">
            <w:pPr>
              <w:widowControl/>
              <w:adjustRightInd/>
              <w:spacing w:line="240" w:lineRule="auto"/>
              <w:jc w:val="center"/>
              <w:textAlignment w:val="auto"/>
              <w:rPr>
                <w:rFonts w:hint="default" w:ascii="华文细黑" w:hAnsi="华文细黑" w:eastAsia="华文细黑" w:cs="Arial"/>
                <w:sz w:val="18"/>
                <w:szCs w:val="18"/>
                <w:highlight w:val="none"/>
                <w:lang w:val="en-US" w:eastAsia="zh-CN"/>
              </w:rPr>
            </w:pPr>
            <w:r>
              <w:rPr>
                <w:rFonts w:hint="eastAsia" w:ascii="华文细黑" w:hAnsi="华文细黑" w:eastAsia="华文细黑" w:cs="Arial"/>
                <w:sz w:val="18"/>
                <w:szCs w:val="18"/>
                <w:highlight w:val="none"/>
                <w:lang w:val="en-US" w:eastAsia="zh-CN"/>
              </w:rPr>
              <w:t>17</w:t>
            </w:r>
          </w:p>
        </w:tc>
        <w:tc>
          <w:tcPr>
            <w:tcW w:w="1226" w:type="dxa"/>
            <w:tcBorders>
              <w:top w:val="nil"/>
              <w:left w:val="nil"/>
              <w:bottom w:val="single" w:color="auto" w:sz="4" w:space="0"/>
              <w:right w:val="single" w:color="auto" w:sz="4" w:space="0"/>
            </w:tcBorders>
            <w:shd w:val="clear" w:color="auto" w:fill="auto"/>
            <w:noWrap/>
            <w:vAlign w:val="center"/>
          </w:tcPr>
          <w:p w14:paraId="7590AC28">
            <w:pPr>
              <w:widowControl/>
              <w:adjustRightInd/>
              <w:spacing w:line="240" w:lineRule="auto"/>
              <w:jc w:val="center"/>
              <w:textAlignment w:val="auto"/>
              <w:rPr>
                <w:rFonts w:hint="default" w:ascii="华文细黑" w:hAnsi="华文细黑" w:eastAsia="华文细黑" w:cs="Arial"/>
                <w:sz w:val="18"/>
                <w:szCs w:val="18"/>
                <w:highlight w:val="none"/>
                <w:lang w:val="en-US" w:eastAsia="zh-CN"/>
              </w:rPr>
            </w:pPr>
            <w:r>
              <w:rPr>
                <w:rFonts w:hint="eastAsia" w:ascii="华文细黑" w:hAnsi="华文细黑" w:eastAsia="华文细黑" w:cs="Arial"/>
                <w:sz w:val="18"/>
                <w:szCs w:val="18"/>
                <w:highlight w:val="none"/>
                <w:lang w:val="en-US" w:eastAsia="zh-CN"/>
              </w:rPr>
              <w:t>1250.01</w:t>
            </w:r>
          </w:p>
        </w:tc>
      </w:tr>
      <w:tr w14:paraId="7398D863">
        <w:tblPrEx>
          <w:tblCellMar>
            <w:top w:w="0" w:type="dxa"/>
            <w:left w:w="108" w:type="dxa"/>
            <w:bottom w:w="0" w:type="dxa"/>
            <w:right w:w="108" w:type="dxa"/>
          </w:tblCellMar>
        </w:tblPrEx>
        <w:trPr>
          <w:trHeight w:val="408" w:hRule="atLeast"/>
        </w:trPr>
        <w:tc>
          <w:tcPr>
            <w:tcW w:w="779" w:type="dxa"/>
            <w:vMerge w:val="continue"/>
            <w:tcBorders>
              <w:left w:val="single" w:color="auto" w:sz="4" w:space="0"/>
              <w:bottom w:val="single" w:color="auto" w:sz="4" w:space="0"/>
              <w:right w:val="single" w:color="auto" w:sz="4" w:space="0"/>
            </w:tcBorders>
            <w:vAlign w:val="center"/>
          </w:tcPr>
          <w:p w14:paraId="44B92BC7">
            <w:pPr>
              <w:widowControl/>
              <w:adjustRightInd/>
              <w:spacing w:line="240" w:lineRule="auto"/>
              <w:jc w:val="both"/>
              <w:textAlignment w:val="auto"/>
              <w:rPr>
                <w:rFonts w:hint="eastAsia" w:ascii="华文细黑" w:hAnsi="华文细黑" w:eastAsia="华文细黑" w:cs="Arial"/>
                <w:b/>
                <w:bCs/>
                <w:sz w:val="18"/>
                <w:szCs w:val="18"/>
                <w:highlight w:val="none"/>
                <w:lang w:val="en-US" w:eastAsia="zh-CN"/>
              </w:rPr>
            </w:pPr>
          </w:p>
        </w:tc>
        <w:tc>
          <w:tcPr>
            <w:tcW w:w="1332" w:type="dxa"/>
            <w:tcBorders>
              <w:top w:val="nil"/>
              <w:left w:val="nil"/>
              <w:bottom w:val="single" w:color="auto" w:sz="4" w:space="0"/>
              <w:right w:val="single" w:color="auto" w:sz="4" w:space="0"/>
            </w:tcBorders>
            <w:shd w:val="clear" w:color="auto" w:fill="auto"/>
            <w:noWrap/>
            <w:vAlign w:val="center"/>
          </w:tcPr>
          <w:p w14:paraId="456E1849">
            <w:pPr>
              <w:widowControl/>
              <w:adjustRightInd/>
              <w:spacing w:line="240" w:lineRule="auto"/>
              <w:jc w:val="center"/>
              <w:textAlignment w:val="auto"/>
              <w:rPr>
                <w:rFonts w:hint="default" w:ascii="华文细黑" w:hAnsi="华文细黑" w:eastAsia="华文细黑" w:cs="Arial"/>
                <w:b/>
                <w:bCs/>
                <w:sz w:val="18"/>
                <w:szCs w:val="18"/>
                <w:highlight w:val="none"/>
                <w:lang w:val="en-US" w:eastAsia="zh-CN"/>
              </w:rPr>
            </w:pPr>
            <w:r>
              <w:rPr>
                <w:rFonts w:hint="eastAsia" w:ascii="华文细黑" w:hAnsi="华文细黑" w:eastAsia="华文细黑" w:cs="Arial"/>
                <w:b/>
                <w:bCs/>
                <w:sz w:val="18"/>
                <w:szCs w:val="18"/>
                <w:highlight w:val="none"/>
                <w:lang w:val="en-US" w:eastAsia="zh-CN"/>
              </w:rPr>
              <w:t>小计</w:t>
            </w:r>
          </w:p>
        </w:tc>
        <w:tc>
          <w:tcPr>
            <w:tcW w:w="4482" w:type="dxa"/>
            <w:tcBorders>
              <w:top w:val="nil"/>
              <w:left w:val="nil"/>
              <w:bottom w:val="single" w:color="auto" w:sz="4" w:space="0"/>
              <w:right w:val="single" w:color="auto" w:sz="4" w:space="0"/>
            </w:tcBorders>
            <w:shd w:val="clear" w:color="auto" w:fill="auto"/>
            <w:noWrap/>
            <w:vAlign w:val="center"/>
          </w:tcPr>
          <w:p w14:paraId="1F506AE0">
            <w:pPr>
              <w:widowControl/>
              <w:adjustRightInd/>
              <w:spacing w:line="240" w:lineRule="auto"/>
              <w:jc w:val="center"/>
              <w:textAlignment w:val="auto"/>
              <w:rPr>
                <w:rFonts w:hint="eastAsia" w:ascii="华文细黑" w:hAnsi="华文细黑" w:eastAsia="华文细黑" w:cs="Arial"/>
                <w:b/>
                <w:bCs/>
                <w:sz w:val="18"/>
                <w:szCs w:val="18"/>
                <w:highlight w:val="none"/>
                <w:lang w:val="en-US" w:eastAsia="zh-CN"/>
              </w:rPr>
            </w:pPr>
            <w:r>
              <w:rPr>
                <w:rFonts w:hint="eastAsia" w:ascii="华文细黑" w:hAnsi="华文细黑" w:eastAsia="华文细黑" w:cs="Arial"/>
                <w:b/>
                <w:bCs/>
                <w:sz w:val="18"/>
                <w:szCs w:val="18"/>
                <w:highlight w:val="none"/>
                <w:lang w:val="en-US" w:eastAsia="zh-CN"/>
              </w:rPr>
              <w:t>-</w:t>
            </w:r>
          </w:p>
        </w:tc>
        <w:tc>
          <w:tcPr>
            <w:tcW w:w="732" w:type="dxa"/>
            <w:tcBorders>
              <w:top w:val="nil"/>
              <w:left w:val="nil"/>
              <w:bottom w:val="single" w:color="auto" w:sz="4" w:space="0"/>
              <w:right w:val="single" w:color="auto" w:sz="4" w:space="0"/>
            </w:tcBorders>
            <w:shd w:val="clear" w:color="auto" w:fill="auto"/>
            <w:noWrap/>
            <w:vAlign w:val="center"/>
          </w:tcPr>
          <w:p w14:paraId="15BA2196">
            <w:pPr>
              <w:widowControl/>
              <w:adjustRightInd/>
              <w:spacing w:line="240" w:lineRule="auto"/>
              <w:jc w:val="center"/>
              <w:textAlignment w:val="auto"/>
              <w:rPr>
                <w:rFonts w:hint="eastAsia" w:ascii="华文细黑" w:hAnsi="华文细黑" w:eastAsia="华文细黑" w:cs="Arial"/>
                <w:b/>
                <w:bCs/>
                <w:sz w:val="18"/>
                <w:szCs w:val="18"/>
                <w:highlight w:val="none"/>
                <w:lang w:val="en-US" w:eastAsia="zh-CN"/>
              </w:rPr>
            </w:pPr>
            <w:r>
              <w:rPr>
                <w:rFonts w:hint="eastAsia" w:ascii="华文细黑" w:hAnsi="华文细黑" w:eastAsia="华文细黑" w:cs="Arial"/>
                <w:b/>
                <w:bCs/>
                <w:sz w:val="18"/>
                <w:szCs w:val="18"/>
                <w:highlight w:val="none"/>
                <w:lang w:val="en-US" w:eastAsia="zh-CN"/>
              </w:rPr>
              <w:t>-</w:t>
            </w:r>
          </w:p>
        </w:tc>
        <w:tc>
          <w:tcPr>
            <w:tcW w:w="708" w:type="dxa"/>
            <w:tcBorders>
              <w:top w:val="nil"/>
              <w:left w:val="nil"/>
              <w:bottom w:val="single" w:color="auto" w:sz="4" w:space="0"/>
              <w:right w:val="single" w:color="auto" w:sz="4" w:space="0"/>
            </w:tcBorders>
            <w:shd w:val="clear" w:color="auto" w:fill="auto"/>
            <w:noWrap/>
            <w:vAlign w:val="center"/>
          </w:tcPr>
          <w:p w14:paraId="12A21E85">
            <w:pPr>
              <w:widowControl/>
              <w:adjustRightInd/>
              <w:spacing w:line="240" w:lineRule="auto"/>
              <w:jc w:val="center"/>
              <w:textAlignment w:val="auto"/>
              <w:rPr>
                <w:rFonts w:hint="default" w:ascii="华文细黑" w:hAnsi="华文细黑" w:eastAsia="华文细黑" w:cs="Arial"/>
                <w:b/>
                <w:bCs/>
                <w:sz w:val="18"/>
                <w:szCs w:val="18"/>
                <w:highlight w:val="none"/>
                <w:lang w:val="en-US" w:eastAsia="zh-CN"/>
              </w:rPr>
            </w:pPr>
            <w:r>
              <w:rPr>
                <w:rFonts w:hint="eastAsia" w:ascii="华文细黑" w:hAnsi="华文细黑" w:eastAsia="华文细黑" w:cs="Arial"/>
                <w:b/>
                <w:bCs/>
                <w:sz w:val="18"/>
                <w:szCs w:val="18"/>
                <w:highlight w:val="none"/>
                <w:lang w:val="en-US" w:eastAsia="zh-CN"/>
              </w:rPr>
              <w:t>933</w:t>
            </w:r>
          </w:p>
        </w:tc>
        <w:tc>
          <w:tcPr>
            <w:tcW w:w="1226" w:type="dxa"/>
            <w:tcBorders>
              <w:top w:val="nil"/>
              <w:left w:val="nil"/>
              <w:bottom w:val="single" w:color="auto" w:sz="4" w:space="0"/>
              <w:right w:val="single" w:color="auto" w:sz="4" w:space="0"/>
            </w:tcBorders>
            <w:shd w:val="clear" w:color="auto" w:fill="auto"/>
            <w:noWrap/>
            <w:vAlign w:val="center"/>
          </w:tcPr>
          <w:p w14:paraId="000E1384">
            <w:pPr>
              <w:widowControl/>
              <w:adjustRightInd/>
              <w:spacing w:line="240" w:lineRule="auto"/>
              <w:jc w:val="center"/>
              <w:textAlignment w:val="auto"/>
              <w:rPr>
                <w:rFonts w:hint="default" w:ascii="华文细黑" w:hAnsi="华文细黑" w:eastAsia="华文细黑" w:cs="Arial"/>
                <w:b/>
                <w:bCs/>
                <w:sz w:val="18"/>
                <w:szCs w:val="18"/>
                <w:highlight w:val="none"/>
                <w:lang w:val="en-US" w:eastAsia="zh-CN"/>
              </w:rPr>
            </w:pPr>
            <w:r>
              <w:rPr>
                <w:rFonts w:hint="eastAsia" w:ascii="华文细黑" w:hAnsi="华文细黑" w:eastAsia="华文细黑" w:cs="Arial"/>
                <w:b/>
                <w:bCs/>
                <w:sz w:val="18"/>
                <w:szCs w:val="18"/>
                <w:highlight w:val="none"/>
                <w:lang w:val="en-US" w:eastAsia="zh-CN"/>
              </w:rPr>
              <w:t>79323.24</w:t>
            </w:r>
          </w:p>
        </w:tc>
      </w:tr>
      <w:tr w14:paraId="2ADF3074">
        <w:tblPrEx>
          <w:tblCellMar>
            <w:top w:w="0" w:type="dxa"/>
            <w:left w:w="108" w:type="dxa"/>
            <w:bottom w:w="0" w:type="dxa"/>
            <w:right w:w="108" w:type="dxa"/>
          </w:tblCellMar>
        </w:tblPrEx>
        <w:trPr>
          <w:trHeight w:val="276" w:hRule="atLeast"/>
        </w:trPr>
        <w:tc>
          <w:tcPr>
            <w:tcW w:w="779" w:type="dxa"/>
            <w:vMerge w:val="restart"/>
            <w:tcBorders>
              <w:top w:val="nil"/>
              <w:left w:val="single" w:color="auto" w:sz="4" w:space="0"/>
              <w:right w:val="single" w:color="auto" w:sz="4" w:space="0"/>
            </w:tcBorders>
            <w:vAlign w:val="center"/>
          </w:tcPr>
          <w:p w14:paraId="1951547E">
            <w:pPr>
              <w:widowControl/>
              <w:adjustRightInd/>
              <w:spacing w:line="240" w:lineRule="auto"/>
              <w:jc w:val="center"/>
              <w:textAlignment w:val="auto"/>
              <w:rPr>
                <w:rFonts w:ascii="华文细黑" w:hAnsi="华文细黑" w:eastAsia="华文细黑" w:cs="Arial"/>
                <w:b/>
                <w:bCs/>
                <w:sz w:val="18"/>
                <w:szCs w:val="18"/>
                <w:highlight w:val="none"/>
              </w:rPr>
            </w:pPr>
            <w:r>
              <w:rPr>
                <w:rFonts w:hint="eastAsia" w:ascii="华文细黑" w:hAnsi="华文细黑" w:eastAsia="华文细黑" w:cs="Arial"/>
                <w:b/>
                <w:bCs/>
                <w:sz w:val="18"/>
                <w:szCs w:val="18"/>
                <w:highlight w:val="none"/>
                <w:lang w:val="en-US" w:eastAsia="zh-CN"/>
              </w:rPr>
              <w:t>三居室</w:t>
            </w:r>
          </w:p>
        </w:tc>
        <w:tc>
          <w:tcPr>
            <w:tcW w:w="1332" w:type="dxa"/>
            <w:tcBorders>
              <w:top w:val="nil"/>
              <w:left w:val="nil"/>
              <w:bottom w:val="single" w:color="auto" w:sz="4" w:space="0"/>
              <w:right w:val="single" w:color="auto" w:sz="4" w:space="0"/>
            </w:tcBorders>
            <w:shd w:val="clear" w:color="auto" w:fill="auto"/>
            <w:noWrap/>
            <w:vAlign w:val="center"/>
          </w:tcPr>
          <w:p w14:paraId="5E6A47FD">
            <w:pPr>
              <w:widowControl/>
              <w:adjustRightInd/>
              <w:spacing w:line="240" w:lineRule="auto"/>
              <w:jc w:val="center"/>
              <w:textAlignment w:val="auto"/>
              <w:rPr>
                <w:rFonts w:ascii="华文细黑" w:hAnsi="华文细黑" w:eastAsia="华文细黑" w:cs="Arial"/>
                <w:sz w:val="18"/>
                <w:szCs w:val="18"/>
                <w:highlight w:val="none"/>
              </w:rPr>
            </w:pPr>
            <w:r>
              <w:rPr>
                <w:rFonts w:hint="eastAsia" w:ascii="华文细黑" w:hAnsi="华文细黑" w:eastAsia="华文细黑" w:cs="Arial"/>
                <w:sz w:val="18"/>
                <w:szCs w:val="18"/>
                <w:highlight w:val="none"/>
              </w:rPr>
              <w:t>90.99-129.32</w:t>
            </w:r>
          </w:p>
        </w:tc>
        <w:tc>
          <w:tcPr>
            <w:tcW w:w="4482" w:type="dxa"/>
            <w:tcBorders>
              <w:top w:val="nil"/>
              <w:left w:val="nil"/>
              <w:bottom w:val="single" w:color="auto" w:sz="4" w:space="0"/>
              <w:right w:val="single" w:color="auto" w:sz="4" w:space="0"/>
            </w:tcBorders>
            <w:shd w:val="clear" w:color="auto" w:fill="auto"/>
            <w:noWrap/>
            <w:vAlign w:val="center"/>
          </w:tcPr>
          <w:p w14:paraId="3F6A8995">
            <w:pPr>
              <w:widowControl/>
              <w:adjustRightInd/>
              <w:spacing w:line="240" w:lineRule="auto"/>
              <w:jc w:val="center"/>
              <w:textAlignment w:val="auto"/>
              <w:rPr>
                <w:rFonts w:ascii="华文细黑" w:hAnsi="华文细黑" w:eastAsia="华文细黑" w:cs="Arial"/>
                <w:sz w:val="18"/>
                <w:szCs w:val="18"/>
                <w:highlight w:val="none"/>
              </w:rPr>
            </w:pPr>
            <w:r>
              <w:rPr>
                <w:rFonts w:hint="eastAsia" w:ascii="华文细黑" w:hAnsi="华文细黑" w:eastAsia="华文细黑" w:cs="Arial"/>
                <w:sz w:val="18"/>
                <w:szCs w:val="18"/>
                <w:highlight w:val="none"/>
              </w:rPr>
              <w:t>育林街1号院9、16号楼；育林街2号院7、8、10、11、12、18号楼；育林街8号院8号楼</w:t>
            </w:r>
          </w:p>
        </w:tc>
        <w:tc>
          <w:tcPr>
            <w:tcW w:w="732" w:type="dxa"/>
            <w:tcBorders>
              <w:top w:val="nil"/>
              <w:left w:val="nil"/>
              <w:bottom w:val="single" w:color="auto" w:sz="4" w:space="0"/>
              <w:right w:val="single" w:color="auto" w:sz="4" w:space="0"/>
            </w:tcBorders>
            <w:shd w:val="clear" w:color="auto" w:fill="auto"/>
            <w:noWrap/>
            <w:vAlign w:val="center"/>
          </w:tcPr>
          <w:p w14:paraId="69A4AAF3">
            <w:pPr>
              <w:widowControl/>
              <w:adjustRightInd/>
              <w:spacing w:line="240" w:lineRule="auto"/>
              <w:jc w:val="center"/>
              <w:textAlignment w:val="auto"/>
              <w:rPr>
                <w:rFonts w:ascii="华文细黑" w:hAnsi="华文细黑" w:eastAsia="华文细黑" w:cs="Arial"/>
                <w:sz w:val="18"/>
                <w:szCs w:val="18"/>
                <w:highlight w:val="none"/>
              </w:rPr>
            </w:pPr>
            <w:r>
              <w:rPr>
                <w:rFonts w:ascii="华文细黑" w:hAnsi="华文细黑" w:eastAsia="华文细黑" w:cs="Arial"/>
                <w:sz w:val="18"/>
                <w:szCs w:val="18"/>
                <w:highlight w:val="none"/>
              </w:rPr>
              <w:t>南北</w:t>
            </w:r>
          </w:p>
        </w:tc>
        <w:tc>
          <w:tcPr>
            <w:tcW w:w="708" w:type="dxa"/>
            <w:tcBorders>
              <w:top w:val="nil"/>
              <w:left w:val="nil"/>
              <w:bottom w:val="single" w:color="auto" w:sz="4" w:space="0"/>
              <w:right w:val="single" w:color="auto" w:sz="4" w:space="0"/>
            </w:tcBorders>
            <w:shd w:val="clear" w:color="auto" w:fill="auto"/>
            <w:noWrap/>
            <w:vAlign w:val="center"/>
          </w:tcPr>
          <w:p w14:paraId="25880036">
            <w:pPr>
              <w:widowControl/>
              <w:adjustRightInd/>
              <w:spacing w:line="240" w:lineRule="auto"/>
              <w:jc w:val="center"/>
              <w:textAlignment w:val="auto"/>
              <w:rPr>
                <w:rFonts w:hint="default" w:ascii="华文细黑" w:hAnsi="华文细黑" w:eastAsia="华文细黑" w:cs="Arial"/>
                <w:sz w:val="18"/>
                <w:szCs w:val="18"/>
                <w:highlight w:val="none"/>
                <w:lang w:val="en-US" w:eastAsia="zh-CN"/>
              </w:rPr>
            </w:pPr>
            <w:r>
              <w:rPr>
                <w:rFonts w:hint="eastAsia" w:ascii="华文细黑" w:hAnsi="华文细黑" w:eastAsia="华文细黑" w:cs="Arial"/>
                <w:sz w:val="18"/>
                <w:szCs w:val="18"/>
                <w:highlight w:val="none"/>
                <w:lang w:val="en-US" w:eastAsia="zh-CN"/>
              </w:rPr>
              <w:t>13</w:t>
            </w:r>
          </w:p>
        </w:tc>
        <w:tc>
          <w:tcPr>
            <w:tcW w:w="1226" w:type="dxa"/>
            <w:tcBorders>
              <w:top w:val="nil"/>
              <w:left w:val="nil"/>
              <w:bottom w:val="single" w:color="auto" w:sz="4" w:space="0"/>
              <w:right w:val="single" w:color="auto" w:sz="4" w:space="0"/>
            </w:tcBorders>
            <w:shd w:val="clear" w:color="auto" w:fill="auto"/>
            <w:noWrap/>
            <w:vAlign w:val="center"/>
          </w:tcPr>
          <w:p w14:paraId="0E4E64A0">
            <w:pPr>
              <w:widowControl/>
              <w:adjustRightInd/>
              <w:spacing w:line="240" w:lineRule="auto"/>
              <w:jc w:val="center"/>
              <w:textAlignment w:val="auto"/>
              <w:rPr>
                <w:rFonts w:ascii="华文细黑" w:hAnsi="华文细黑" w:eastAsia="华文细黑" w:cs="Arial"/>
                <w:sz w:val="18"/>
                <w:szCs w:val="18"/>
                <w:highlight w:val="none"/>
              </w:rPr>
            </w:pPr>
            <w:r>
              <w:rPr>
                <w:rFonts w:hint="eastAsia" w:ascii="华文细黑" w:hAnsi="华文细黑" w:eastAsia="华文细黑" w:cs="Arial"/>
                <w:sz w:val="18"/>
                <w:szCs w:val="18"/>
                <w:highlight w:val="none"/>
                <w:lang w:val="en-US" w:eastAsia="zh-CN"/>
              </w:rPr>
              <w:t>1561.82</w:t>
            </w:r>
          </w:p>
        </w:tc>
      </w:tr>
      <w:tr w14:paraId="75D9DD76">
        <w:tblPrEx>
          <w:tblCellMar>
            <w:top w:w="0" w:type="dxa"/>
            <w:left w:w="108" w:type="dxa"/>
            <w:bottom w:w="0" w:type="dxa"/>
            <w:right w:w="108" w:type="dxa"/>
          </w:tblCellMar>
        </w:tblPrEx>
        <w:trPr>
          <w:trHeight w:val="276" w:hRule="atLeast"/>
        </w:trPr>
        <w:tc>
          <w:tcPr>
            <w:tcW w:w="779" w:type="dxa"/>
            <w:vMerge w:val="continue"/>
            <w:tcBorders>
              <w:left w:val="single" w:color="auto" w:sz="4" w:space="0"/>
              <w:bottom w:val="single" w:color="auto" w:sz="4" w:space="0"/>
              <w:right w:val="single" w:color="auto" w:sz="4" w:space="0"/>
            </w:tcBorders>
            <w:vAlign w:val="center"/>
          </w:tcPr>
          <w:p w14:paraId="74C19180">
            <w:pPr>
              <w:widowControl/>
              <w:adjustRightInd/>
              <w:spacing w:line="240" w:lineRule="auto"/>
              <w:jc w:val="center"/>
              <w:textAlignment w:val="auto"/>
              <w:rPr>
                <w:rFonts w:hint="eastAsia" w:ascii="华文细黑" w:hAnsi="华文细黑" w:eastAsia="华文细黑" w:cs="Arial"/>
                <w:b/>
                <w:bCs/>
                <w:sz w:val="18"/>
                <w:szCs w:val="18"/>
                <w:highlight w:val="none"/>
                <w:lang w:val="en-US" w:eastAsia="zh-CN"/>
              </w:rPr>
            </w:pPr>
          </w:p>
        </w:tc>
        <w:tc>
          <w:tcPr>
            <w:tcW w:w="1332" w:type="dxa"/>
            <w:tcBorders>
              <w:top w:val="nil"/>
              <w:left w:val="nil"/>
              <w:bottom w:val="single" w:color="auto" w:sz="4" w:space="0"/>
              <w:right w:val="single" w:color="auto" w:sz="4" w:space="0"/>
            </w:tcBorders>
            <w:shd w:val="clear" w:color="auto" w:fill="auto"/>
            <w:noWrap/>
            <w:vAlign w:val="center"/>
          </w:tcPr>
          <w:p w14:paraId="75CCC58F">
            <w:pPr>
              <w:widowControl/>
              <w:adjustRightInd/>
              <w:spacing w:line="240" w:lineRule="auto"/>
              <w:jc w:val="center"/>
              <w:textAlignment w:val="auto"/>
              <w:rPr>
                <w:rFonts w:hint="eastAsia" w:ascii="华文细黑" w:hAnsi="华文细黑" w:eastAsia="华文细黑" w:cs="Arial"/>
                <w:b/>
                <w:bCs/>
                <w:sz w:val="18"/>
                <w:szCs w:val="18"/>
                <w:highlight w:val="none"/>
              </w:rPr>
            </w:pPr>
            <w:r>
              <w:rPr>
                <w:rFonts w:hint="eastAsia" w:ascii="华文细黑" w:hAnsi="华文细黑" w:eastAsia="华文细黑" w:cs="Arial"/>
                <w:b/>
                <w:bCs/>
                <w:sz w:val="18"/>
                <w:szCs w:val="18"/>
                <w:highlight w:val="none"/>
                <w:lang w:val="en-US" w:eastAsia="zh-CN"/>
              </w:rPr>
              <w:t>小计</w:t>
            </w:r>
          </w:p>
        </w:tc>
        <w:tc>
          <w:tcPr>
            <w:tcW w:w="4482" w:type="dxa"/>
            <w:tcBorders>
              <w:top w:val="nil"/>
              <w:left w:val="nil"/>
              <w:bottom w:val="single" w:color="auto" w:sz="4" w:space="0"/>
              <w:right w:val="single" w:color="auto" w:sz="4" w:space="0"/>
            </w:tcBorders>
            <w:shd w:val="clear" w:color="auto" w:fill="auto"/>
            <w:noWrap/>
            <w:vAlign w:val="center"/>
          </w:tcPr>
          <w:p w14:paraId="6D3659BB">
            <w:pPr>
              <w:widowControl/>
              <w:adjustRightInd/>
              <w:spacing w:line="240" w:lineRule="auto"/>
              <w:jc w:val="center"/>
              <w:textAlignment w:val="auto"/>
              <w:rPr>
                <w:rFonts w:hint="eastAsia" w:ascii="华文细黑" w:hAnsi="华文细黑" w:eastAsia="华文细黑" w:cs="Arial"/>
                <w:b/>
                <w:bCs/>
                <w:sz w:val="18"/>
                <w:szCs w:val="18"/>
                <w:highlight w:val="none"/>
                <w:lang w:val="en-US" w:eastAsia="zh-CN"/>
              </w:rPr>
            </w:pPr>
            <w:r>
              <w:rPr>
                <w:rFonts w:hint="eastAsia" w:ascii="华文细黑" w:hAnsi="华文细黑" w:eastAsia="华文细黑" w:cs="Arial"/>
                <w:b/>
                <w:bCs/>
                <w:sz w:val="18"/>
                <w:szCs w:val="18"/>
                <w:highlight w:val="none"/>
                <w:lang w:val="en-US" w:eastAsia="zh-CN"/>
              </w:rPr>
              <w:t>-</w:t>
            </w:r>
          </w:p>
        </w:tc>
        <w:tc>
          <w:tcPr>
            <w:tcW w:w="732" w:type="dxa"/>
            <w:tcBorders>
              <w:top w:val="nil"/>
              <w:left w:val="nil"/>
              <w:bottom w:val="single" w:color="auto" w:sz="4" w:space="0"/>
              <w:right w:val="single" w:color="auto" w:sz="4" w:space="0"/>
            </w:tcBorders>
            <w:shd w:val="clear" w:color="auto" w:fill="auto"/>
            <w:noWrap/>
            <w:vAlign w:val="center"/>
          </w:tcPr>
          <w:p w14:paraId="4AD452EA">
            <w:pPr>
              <w:widowControl/>
              <w:adjustRightInd/>
              <w:spacing w:line="240" w:lineRule="auto"/>
              <w:jc w:val="center"/>
              <w:textAlignment w:val="auto"/>
              <w:rPr>
                <w:rFonts w:hint="eastAsia" w:ascii="华文细黑" w:hAnsi="华文细黑" w:eastAsia="华文细黑" w:cs="Arial"/>
                <w:b/>
                <w:bCs/>
                <w:sz w:val="18"/>
                <w:szCs w:val="18"/>
                <w:highlight w:val="none"/>
                <w:lang w:val="en-US" w:eastAsia="zh-CN"/>
              </w:rPr>
            </w:pPr>
            <w:r>
              <w:rPr>
                <w:rFonts w:hint="eastAsia" w:ascii="华文细黑" w:hAnsi="华文细黑" w:eastAsia="华文细黑" w:cs="Arial"/>
                <w:b/>
                <w:bCs/>
                <w:sz w:val="18"/>
                <w:szCs w:val="18"/>
                <w:highlight w:val="none"/>
                <w:lang w:val="en-US" w:eastAsia="zh-CN"/>
              </w:rPr>
              <w:t>-</w:t>
            </w:r>
          </w:p>
        </w:tc>
        <w:tc>
          <w:tcPr>
            <w:tcW w:w="708" w:type="dxa"/>
            <w:tcBorders>
              <w:top w:val="nil"/>
              <w:left w:val="nil"/>
              <w:bottom w:val="single" w:color="auto" w:sz="4" w:space="0"/>
              <w:right w:val="single" w:color="auto" w:sz="4" w:space="0"/>
            </w:tcBorders>
            <w:shd w:val="clear" w:color="auto" w:fill="auto"/>
            <w:noWrap/>
            <w:vAlign w:val="center"/>
          </w:tcPr>
          <w:p w14:paraId="433D079F">
            <w:pPr>
              <w:widowControl/>
              <w:adjustRightInd/>
              <w:spacing w:line="240" w:lineRule="auto"/>
              <w:jc w:val="center"/>
              <w:textAlignment w:val="auto"/>
              <w:rPr>
                <w:rFonts w:hint="default" w:ascii="华文细黑" w:hAnsi="华文细黑" w:eastAsia="华文细黑" w:cs="Arial"/>
                <w:b/>
                <w:bCs/>
                <w:sz w:val="18"/>
                <w:szCs w:val="18"/>
                <w:highlight w:val="none"/>
                <w:lang w:val="en-US" w:eastAsia="zh-CN"/>
              </w:rPr>
            </w:pPr>
            <w:r>
              <w:rPr>
                <w:rFonts w:hint="eastAsia" w:ascii="华文细黑" w:hAnsi="华文细黑" w:eastAsia="华文细黑" w:cs="Arial"/>
                <w:b/>
                <w:bCs/>
                <w:sz w:val="18"/>
                <w:szCs w:val="18"/>
                <w:highlight w:val="none"/>
                <w:lang w:val="en-US" w:eastAsia="zh-CN"/>
              </w:rPr>
              <w:t>13</w:t>
            </w:r>
          </w:p>
        </w:tc>
        <w:tc>
          <w:tcPr>
            <w:tcW w:w="1226" w:type="dxa"/>
            <w:tcBorders>
              <w:top w:val="nil"/>
              <w:left w:val="nil"/>
              <w:bottom w:val="single" w:color="auto" w:sz="4" w:space="0"/>
              <w:right w:val="single" w:color="auto" w:sz="4" w:space="0"/>
            </w:tcBorders>
            <w:shd w:val="clear" w:color="auto" w:fill="auto"/>
            <w:noWrap/>
            <w:vAlign w:val="center"/>
          </w:tcPr>
          <w:p w14:paraId="4A1C41F1">
            <w:pPr>
              <w:widowControl/>
              <w:adjustRightInd/>
              <w:spacing w:line="240" w:lineRule="auto"/>
              <w:jc w:val="center"/>
              <w:textAlignment w:val="auto"/>
              <w:rPr>
                <w:rFonts w:hint="default" w:ascii="华文细黑" w:hAnsi="华文细黑" w:eastAsia="华文细黑" w:cs="Arial"/>
                <w:b/>
                <w:bCs/>
                <w:sz w:val="18"/>
                <w:szCs w:val="18"/>
                <w:highlight w:val="none"/>
                <w:lang w:val="en-US" w:eastAsia="zh-CN"/>
              </w:rPr>
            </w:pPr>
            <w:r>
              <w:rPr>
                <w:rFonts w:hint="eastAsia" w:ascii="华文细黑" w:hAnsi="华文细黑" w:eastAsia="华文细黑" w:cs="Arial"/>
                <w:b/>
                <w:bCs/>
                <w:sz w:val="18"/>
                <w:szCs w:val="18"/>
                <w:highlight w:val="none"/>
                <w:lang w:val="en-US" w:eastAsia="zh-CN"/>
              </w:rPr>
              <w:t>1564.82</w:t>
            </w:r>
          </w:p>
        </w:tc>
      </w:tr>
      <w:tr w14:paraId="40DE9FE8">
        <w:tblPrEx>
          <w:tblCellMar>
            <w:top w:w="0" w:type="dxa"/>
            <w:left w:w="108" w:type="dxa"/>
            <w:bottom w:w="0" w:type="dxa"/>
            <w:right w:w="108" w:type="dxa"/>
          </w:tblCellMar>
        </w:tblPrEx>
        <w:trPr>
          <w:trHeight w:val="90" w:hRule="atLeast"/>
        </w:trPr>
        <w:tc>
          <w:tcPr>
            <w:tcW w:w="779" w:type="dxa"/>
            <w:tcBorders>
              <w:top w:val="nil"/>
              <w:left w:val="single" w:color="auto" w:sz="4" w:space="0"/>
              <w:bottom w:val="single" w:color="auto" w:sz="4" w:space="0"/>
              <w:right w:val="single" w:color="auto" w:sz="4" w:space="0"/>
            </w:tcBorders>
            <w:shd w:val="clear" w:color="auto" w:fill="auto"/>
            <w:noWrap/>
            <w:vAlign w:val="center"/>
          </w:tcPr>
          <w:p w14:paraId="7758DB1D">
            <w:pPr>
              <w:widowControl/>
              <w:adjustRightInd/>
              <w:spacing w:line="240" w:lineRule="auto"/>
              <w:jc w:val="center"/>
              <w:textAlignment w:val="auto"/>
              <w:rPr>
                <w:rFonts w:ascii="华文细黑" w:hAnsi="华文细黑" w:eastAsia="华文细黑" w:cs="Arial"/>
                <w:b/>
                <w:bCs/>
                <w:sz w:val="18"/>
                <w:szCs w:val="18"/>
                <w:highlight w:val="none"/>
              </w:rPr>
            </w:pPr>
            <w:r>
              <w:rPr>
                <w:rFonts w:ascii="华文细黑" w:hAnsi="华文细黑" w:eastAsia="华文细黑" w:cs="Arial"/>
                <w:b/>
                <w:bCs/>
                <w:sz w:val="18"/>
                <w:szCs w:val="18"/>
                <w:highlight w:val="none"/>
              </w:rPr>
              <w:t>合计</w:t>
            </w:r>
          </w:p>
        </w:tc>
        <w:tc>
          <w:tcPr>
            <w:tcW w:w="1332" w:type="dxa"/>
            <w:tcBorders>
              <w:top w:val="nil"/>
              <w:left w:val="nil"/>
              <w:bottom w:val="single" w:color="auto" w:sz="4" w:space="0"/>
              <w:right w:val="single" w:color="auto" w:sz="4" w:space="0"/>
            </w:tcBorders>
            <w:shd w:val="clear" w:color="auto" w:fill="auto"/>
            <w:noWrap/>
            <w:vAlign w:val="center"/>
          </w:tcPr>
          <w:p w14:paraId="25371A9C">
            <w:pPr>
              <w:widowControl/>
              <w:adjustRightInd/>
              <w:spacing w:line="240" w:lineRule="auto"/>
              <w:jc w:val="center"/>
              <w:textAlignment w:val="auto"/>
              <w:rPr>
                <w:rFonts w:ascii="华文细黑" w:hAnsi="华文细黑" w:eastAsia="华文细黑" w:cs="Arial"/>
                <w:b/>
                <w:bCs/>
                <w:sz w:val="18"/>
                <w:szCs w:val="18"/>
                <w:highlight w:val="none"/>
              </w:rPr>
            </w:pPr>
            <w:r>
              <w:rPr>
                <w:rFonts w:ascii="华文细黑" w:hAnsi="华文细黑" w:eastAsia="华文细黑" w:cs="Arial"/>
                <w:b/>
                <w:bCs/>
                <w:sz w:val="18"/>
                <w:szCs w:val="18"/>
                <w:highlight w:val="none"/>
              </w:rPr>
              <w:t>-</w:t>
            </w:r>
          </w:p>
        </w:tc>
        <w:tc>
          <w:tcPr>
            <w:tcW w:w="4482" w:type="dxa"/>
            <w:tcBorders>
              <w:top w:val="nil"/>
              <w:left w:val="nil"/>
              <w:bottom w:val="single" w:color="auto" w:sz="4" w:space="0"/>
              <w:right w:val="single" w:color="auto" w:sz="4" w:space="0"/>
            </w:tcBorders>
            <w:shd w:val="clear" w:color="auto" w:fill="auto"/>
            <w:noWrap/>
            <w:vAlign w:val="center"/>
          </w:tcPr>
          <w:p w14:paraId="55E181D9">
            <w:pPr>
              <w:widowControl/>
              <w:adjustRightInd/>
              <w:spacing w:line="240" w:lineRule="auto"/>
              <w:jc w:val="center"/>
              <w:textAlignment w:val="auto"/>
              <w:rPr>
                <w:rFonts w:ascii="华文细黑" w:hAnsi="华文细黑" w:eastAsia="华文细黑" w:cs="Arial"/>
                <w:b/>
                <w:bCs/>
                <w:sz w:val="18"/>
                <w:szCs w:val="18"/>
                <w:highlight w:val="none"/>
              </w:rPr>
            </w:pPr>
            <w:r>
              <w:rPr>
                <w:rFonts w:hint="eastAsia" w:ascii="华文细黑" w:hAnsi="华文细黑" w:eastAsia="华文细黑" w:cs="Arial"/>
                <w:b/>
                <w:bCs/>
                <w:sz w:val="18"/>
                <w:szCs w:val="18"/>
                <w:highlight w:val="none"/>
              </w:rPr>
              <w:t>-</w:t>
            </w:r>
          </w:p>
        </w:tc>
        <w:tc>
          <w:tcPr>
            <w:tcW w:w="732" w:type="dxa"/>
            <w:tcBorders>
              <w:top w:val="nil"/>
              <w:left w:val="nil"/>
              <w:bottom w:val="single" w:color="auto" w:sz="4" w:space="0"/>
              <w:right w:val="single" w:color="auto" w:sz="4" w:space="0"/>
            </w:tcBorders>
            <w:shd w:val="clear" w:color="auto" w:fill="auto"/>
            <w:noWrap/>
            <w:vAlign w:val="center"/>
          </w:tcPr>
          <w:p w14:paraId="4F9C4376">
            <w:pPr>
              <w:widowControl/>
              <w:adjustRightInd/>
              <w:spacing w:line="240" w:lineRule="auto"/>
              <w:jc w:val="center"/>
              <w:textAlignment w:val="auto"/>
              <w:rPr>
                <w:rFonts w:ascii="华文细黑" w:hAnsi="华文细黑" w:eastAsia="华文细黑" w:cs="Arial"/>
                <w:b/>
                <w:bCs/>
                <w:sz w:val="18"/>
                <w:szCs w:val="18"/>
                <w:highlight w:val="none"/>
              </w:rPr>
            </w:pPr>
            <w:r>
              <w:rPr>
                <w:rFonts w:hint="eastAsia" w:ascii="华文细黑" w:hAnsi="华文细黑" w:eastAsia="华文细黑" w:cs="Arial"/>
                <w:b/>
                <w:bCs/>
                <w:sz w:val="18"/>
                <w:szCs w:val="18"/>
                <w:highlight w:val="none"/>
              </w:rPr>
              <w:t>-</w:t>
            </w:r>
          </w:p>
        </w:tc>
        <w:tc>
          <w:tcPr>
            <w:tcW w:w="708" w:type="dxa"/>
            <w:tcBorders>
              <w:top w:val="nil"/>
              <w:left w:val="nil"/>
              <w:bottom w:val="single" w:color="auto" w:sz="4" w:space="0"/>
              <w:right w:val="single" w:color="auto" w:sz="4" w:space="0"/>
            </w:tcBorders>
            <w:shd w:val="clear" w:color="auto" w:fill="auto"/>
            <w:noWrap/>
            <w:vAlign w:val="center"/>
          </w:tcPr>
          <w:p w14:paraId="595063B5">
            <w:pPr>
              <w:widowControl/>
              <w:adjustRightInd/>
              <w:spacing w:line="240" w:lineRule="auto"/>
              <w:jc w:val="center"/>
              <w:textAlignment w:val="auto"/>
              <w:rPr>
                <w:rFonts w:hint="default" w:ascii="华文细黑" w:hAnsi="华文细黑" w:eastAsia="华文细黑" w:cs="Arial"/>
                <w:b/>
                <w:bCs/>
                <w:sz w:val="18"/>
                <w:szCs w:val="18"/>
                <w:highlight w:val="none"/>
                <w:lang w:val="en-US" w:eastAsia="zh-CN"/>
              </w:rPr>
            </w:pPr>
            <w:r>
              <w:rPr>
                <w:rFonts w:hint="eastAsia" w:ascii="华文细黑" w:hAnsi="华文细黑" w:eastAsia="华文细黑" w:cs="Arial"/>
                <w:b/>
                <w:bCs/>
                <w:sz w:val="18"/>
                <w:szCs w:val="18"/>
                <w:highlight w:val="none"/>
                <w:lang w:val="en-US" w:eastAsia="zh-CN"/>
              </w:rPr>
              <w:t>1324</w:t>
            </w:r>
          </w:p>
        </w:tc>
        <w:tc>
          <w:tcPr>
            <w:tcW w:w="1226" w:type="dxa"/>
            <w:tcBorders>
              <w:top w:val="nil"/>
              <w:left w:val="nil"/>
              <w:bottom w:val="single" w:color="auto" w:sz="4" w:space="0"/>
              <w:right w:val="single" w:color="auto" w:sz="4" w:space="0"/>
            </w:tcBorders>
            <w:shd w:val="clear" w:color="auto" w:fill="auto"/>
            <w:noWrap/>
            <w:vAlign w:val="center"/>
          </w:tcPr>
          <w:p w14:paraId="79E93C03">
            <w:pPr>
              <w:widowControl/>
              <w:adjustRightInd/>
              <w:spacing w:line="240" w:lineRule="auto"/>
              <w:jc w:val="center"/>
              <w:textAlignment w:val="auto"/>
              <w:rPr>
                <w:rFonts w:hint="default" w:ascii="华文细黑" w:hAnsi="华文细黑" w:eastAsia="华文细黑" w:cs="Arial"/>
                <w:b/>
                <w:bCs/>
                <w:sz w:val="18"/>
                <w:szCs w:val="18"/>
                <w:highlight w:val="none"/>
                <w:lang w:val="en-US" w:eastAsia="zh-CN"/>
              </w:rPr>
            </w:pPr>
            <w:r>
              <w:rPr>
                <w:rFonts w:hint="eastAsia" w:ascii="华文细黑" w:hAnsi="华文细黑" w:eastAsia="华文细黑" w:cs="Arial"/>
                <w:b/>
                <w:bCs/>
                <w:sz w:val="18"/>
                <w:szCs w:val="18"/>
                <w:highlight w:val="none"/>
                <w:lang w:val="en-US" w:eastAsia="zh-CN"/>
              </w:rPr>
              <w:t>106034.90</w:t>
            </w:r>
          </w:p>
        </w:tc>
      </w:tr>
    </w:tbl>
    <w:p w14:paraId="5F66146F">
      <w:pPr>
        <w:keepNext w:val="0"/>
        <w:keepLines w:val="0"/>
        <w:pageBreakBefore w:val="0"/>
        <w:widowControl w:val="0"/>
        <w:kinsoku/>
        <w:wordWrap/>
        <w:overflowPunct w:val="0"/>
        <w:topLinePunct w:val="0"/>
        <w:autoSpaceDE/>
        <w:autoSpaceDN/>
        <w:bidi w:val="0"/>
        <w:adjustRightInd w:val="0"/>
        <w:snapToGrid/>
        <w:spacing w:before="327" w:beforeLines="100" w:line="480" w:lineRule="auto"/>
        <w:ind w:firstLine="420" w:firstLineChars="200"/>
        <w:jc w:val="both"/>
        <w:textAlignment w:val="auto"/>
        <w:rPr>
          <w:rFonts w:ascii="Arial" w:hAnsi="Arial" w:cs="Arial"/>
          <w:sz w:val="21"/>
          <w:szCs w:val="21"/>
          <w:highlight w:val="none"/>
        </w:rPr>
      </w:pPr>
      <w:r>
        <w:rPr>
          <w:rFonts w:hint="eastAsia" w:ascii="Arial" w:hAnsi="Arial" w:cs="Arial"/>
          <w:sz w:val="21"/>
          <w:szCs w:val="21"/>
          <w:highlight w:val="none"/>
        </w:rPr>
        <w:t>2.建筑结构：估价对象所属楼宇建筑结构为</w:t>
      </w:r>
      <w:r>
        <w:rPr>
          <w:rFonts w:hint="eastAsia" w:ascii="Arial" w:hAnsi="Arial" w:cs="Arial"/>
          <w:kern w:val="2"/>
          <w:sz w:val="21"/>
          <w:szCs w:val="21"/>
          <w:highlight w:val="none"/>
        </w:rPr>
        <w:t>钢筋混凝土结构</w:t>
      </w:r>
      <w:r>
        <w:rPr>
          <w:rFonts w:hint="eastAsia" w:ascii="Arial" w:hAnsi="Arial" w:cs="Arial"/>
          <w:sz w:val="21"/>
          <w:szCs w:val="21"/>
          <w:highlight w:val="none"/>
        </w:rPr>
        <w:t>。</w:t>
      </w:r>
      <w:bookmarkStart w:id="25" w:name="OLE_LINK3"/>
      <w:bookmarkStart w:id="26" w:name="OLE_LINK2"/>
    </w:p>
    <w:p w14:paraId="6A2ACD59">
      <w:pPr>
        <w:wordWrap w:val="0"/>
        <w:overflowPunct w:val="0"/>
        <w:spacing w:line="480" w:lineRule="auto"/>
        <w:ind w:firstLine="420" w:firstLineChars="200"/>
        <w:jc w:val="both"/>
        <w:textAlignment w:val="auto"/>
        <w:rPr>
          <w:rFonts w:ascii="Arial" w:hAnsi="Arial" w:cs="Arial"/>
          <w:sz w:val="21"/>
          <w:szCs w:val="21"/>
          <w:highlight w:val="none"/>
        </w:rPr>
      </w:pPr>
      <w:r>
        <w:rPr>
          <w:rFonts w:hint="eastAsia" w:ascii="Arial" w:hAnsi="Arial" w:cs="Arial"/>
          <w:sz w:val="21"/>
          <w:szCs w:val="21"/>
          <w:highlight w:val="none"/>
        </w:rPr>
        <w:t>3.建筑外观：</w:t>
      </w:r>
      <w:r>
        <w:rPr>
          <w:rFonts w:hint="eastAsia" w:ascii="Arial" w:hAnsi="Arial" w:cs="Arial"/>
          <w:kern w:val="2"/>
          <w:sz w:val="21"/>
          <w:szCs w:val="21"/>
          <w:highlight w:val="none"/>
        </w:rPr>
        <w:t>估价对象为</w:t>
      </w:r>
      <w:r>
        <w:rPr>
          <w:rFonts w:hint="eastAsia" w:ascii="Arial" w:hAnsi="Arial" w:cs="Arial"/>
          <w:kern w:val="2"/>
          <w:sz w:val="21"/>
          <w:szCs w:val="21"/>
          <w:highlight w:val="none"/>
          <w:lang w:val="en-US" w:eastAsia="zh-CN"/>
        </w:rPr>
        <w:t>高层板楼</w:t>
      </w:r>
      <w:r>
        <w:rPr>
          <w:rFonts w:hint="eastAsia" w:ascii="Arial" w:hAnsi="Arial" w:cs="Arial"/>
          <w:sz w:val="21"/>
          <w:szCs w:val="21"/>
          <w:highlight w:val="none"/>
        </w:rPr>
        <w:t>。</w:t>
      </w:r>
    </w:p>
    <w:p w14:paraId="0714C62C">
      <w:pPr>
        <w:wordWrap w:val="0"/>
        <w:overflowPunct w:val="0"/>
        <w:spacing w:line="480" w:lineRule="auto"/>
        <w:ind w:firstLine="420" w:firstLineChars="200"/>
        <w:jc w:val="both"/>
        <w:textAlignment w:val="auto"/>
        <w:rPr>
          <w:rFonts w:ascii="Arial" w:hAnsi="Arial" w:cs="Arial"/>
          <w:sz w:val="21"/>
          <w:szCs w:val="21"/>
          <w:highlight w:val="none"/>
        </w:rPr>
      </w:pPr>
      <w:r>
        <w:rPr>
          <w:rFonts w:hint="eastAsia" w:ascii="Arial" w:hAnsi="Arial" w:cs="Arial"/>
          <w:sz w:val="21"/>
          <w:szCs w:val="21"/>
          <w:highlight w:val="none"/>
        </w:rPr>
        <w:t>4.设施设备及家具家电：估价对象所在项目配套设施完备，给排水、电力、电讯、暖通等齐全；防火栓、安防系统等设备齐全；估价对象内部配备客厅、卧室、厨卫等基本家具家电。估价对象作为保障性租赁住房（住宅型）出租使用。</w:t>
      </w:r>
    </w:p>
    <w:p w14:paraId="43033C9B">
      <w:pPr>
        <w:wordWrap w:val="0"/>
        <w:overflowPunct w:val="0"/>
        <w:spacing w:line="480" w:lineRule="auto"/>
        <w:ind w:firstLine="420" w:firstLineChars="200"/>
        <w:jc w:val="both"/>
        <w:textAlignment w:val="auto"/>
        <w:rPr>
          <w:rFonts w:ascii="Arial" w:hAnsi="Arial" w:cs="Arial"/>
          <w:sz w:val="21"/>
          <w:szCs w:val="21"/>
          <w:highlight w:val="none"/>
        </w:rPr>
      </w:pPr>
      <w:r>
        <w:rPr>
          <w:rFonts w:hint="eastAsia" w:ascii="Arial" w:hAnsi="Arial" w:cs="Arial"/>
          <w:sz w:val="21"/>
          <w:szCs w:val="21"/>
          <w:highlight w:val="none"/>
        </w:rPr>
        <w:t>5.装饰装修：根据</w:t>
      </w:r>
      <w:r>
        <w:rPr>
          <w:rFonts w:hint="eastAsia" w:ascii="Arial" w:hAnsi="Arial" w:cs="Arial"/>
          <w:sz w:val="21"/>
          <w:szCs w:val="21"/>
          <w:highlight w:val="none"/>
          <w:lang w:eastAsia="zh-CN"/>
        </w:rPr>
        <w:t>《</w:t>
      </w:r>
      <w:r>
        <w:rPr>
          <w:rFonts w:hint="eastAsia" w:ascii="Arial" w:hAnsi="Arial" w:cs="Arial"/>
          <w:sz w:val="21"/>
          <w:szCs w:val="21"/>
          <w:highlight w:val="none"/>
          <w:lang w:val="en-US" w:eastAsia="zh-CN"/>
        </w:rPr>
        <w:t>估价委托书》</w:t>
      </w:r>
      <w:r>
        <w:rPr>
          <w:rFonts w:hint="eastAsia" w:ascii="Arial" w:hAnsi="Arial" w:cs="Arial"/>
          <w:sz w:val="21"/>
          <w:szCs w:val="21"/>
          <w:highlight w:val="none"/>
        </w:rPr>
        <w:t>及估价人员实地查勘，估价对象均为精装修，外立面为涂料，公共部分首层地面贴砖，顶棚为</w:t>
      </w:r>
      <w:r>
        <w:rPr>
          <w:rFonts w:hint="eastAsia" w:ascii="Arial" w:hAnsi="Arial" w:cs="Arial"/>
          <w:sz w:val="21"/>
          <w:szCs w:val="21"/>
          <w:highlight w:val="none"/>
          <w:lang w:val="en-US" w:eastAsia="zh-CN"/>
        </w:rPr>
        <w:t>涂料</w:t>
      </w:r>
      <w:r>
        <w:rPr>
          <w:rFonts w:hint="eastAsia" w:ascii="Arial" w:hAnsi="Arial" w:cs="Arial"/>
          <w:sz w:val="21"/>
          <w:szCs w:val="21"/>
          <w:highlight w:val="none"/>
        </w:rPr>
        <w:t>，墙面为</w:t>
      </w:r>
      <w:r>
        <w:rPr>
          <w:rFonts w:hint="eastAsia" w:ascii="Arial" w:hAnsi="Arial" w:cs="Arial"/>
          <w:sz w:val="21"/>
          <w:szCs w:val="21"/>
          <w:highlight w:val="none"/>
          <w:lang w:val="en-US" w:eastAsia="zh-CN"/>
        </w:rPr>
        <w:t>涂料</w:t>
      </w:r>
      <w:r>
        <w:rPr>
          <w:rFonts w:hint="eastAsia" w:ascii="Arial" w:hAnsi="Arial" w:cs="Arial"/>
          <w:sz w:val="21"/>
          <w:szCs w:val="21"/>
          <w:highlight w:val="none"/>
        </w:rPr>
        <w:t>。室内地面铺设</w:t>
      </w:r>
      <w:r>
        <w:rPr>
          <w:rFonts w:hint="eastAsia" w:ascii="Arial" w:hAnsi="Arial" w:cs="Arial"/>
          <w:sz w:val="21"/>
          <w:szCs w:val="21"/>
          <w:highlight w:val="none"/>
          <w:lang w:val="en-US" w:eastAsia="zh-CN"/>
        </w:rPr>
        <w:t>地砖</w:t>
      </w:r>
      <w:r>
        <w:rPr>
          <w:rFonts w:hint="eastAsia" w:ascii="Arial" w:hAnsi="Arial" w:cs="Arial"/>
          <w:sz w:val="21"/>
          <w:szCs w:val="21"/>
          <w:highlight w:val="none"/>
        </w:rPr>
        <w:t>，墙面为涂料，顶棚为涂料；卫生间有陶瓷洗手池、坐便器，地面铺设地砖，墙面为墙砖，顶棚为铝扣板；厨房有整体橱柜、不锈钢洗菜池，地面铺设地砖，墙面为墙砖，顶棚为铝扣板</w:t>
      </w:r>
      <w:r>
        <w:rPr>
          <w:rFonts w:hint="eastAsia" w:ascii="Arial" w:hAnsi="Arial" w:cs="Arial"/>
          <w:sz w:val="21"/>
          <w:szCs w:val="21"/>
          <w:highlight w:val="none"/>
          <w:lang w:eastAsia="zh-CN"/>
        </w:rPr>
        <w:t>，</w:t>
      </w:r>
      <w:r>
        <w:rPr>
          <w:rFonts w:hint="eastAsia" w:ascii="Arial" w:hAnsi="Arial" w:cs="Arial"/>
          <w:sz w:val="21"/>
          <w:szCs w:val="21"/>
          <w:highlight w:val="none"/>
          <w:lang w:val="en-US" w:eastAsia="zh-CN"/>
        </w:rPr>
        <w:t>阳台</w:t>
      </w:r>
      <w:r>
        <w:rPr>
          <w:rFonts w:hint="eastAsia" w:ascii="Arial" w:hAnsi="Arial" w:cs="Arial"/>
          <w:sz w:val="21"/>
          <w:szCs w:val="21"/>
          <w:highlight w:val="none"/>
        </w:rPr>
        <w:t>地面铺设地砖，墙面为</w:t>
      </w:r>
      <w:r>
        <w:rPr>
          <w:rFonts w:hint="eastAsia" w:ascii="Arial" w:hAnsi="Arial" w:cs="Arial"/>
          <w:sz w:val="21"/>
          <w:szCs w:val="21"/>
          <w:highlight w:val="none"/>
          <w:lang w:val="en-US" w:eastAsia="zh-CN"/>
        </w:rPr>
        <w:t>涂料</w:t>
      </w:r>
      <w:r>
        <w:rPr>
          <w:rFonts w:hint="eastAsia" w:ascii="Arial" w:hAnsi="Arial" w:cs="Arial"/>
          <w:sz w:val="21"/>
          <w:szCs w:val="21"/>
          <w:highlight w:val="none"/>
        </w:rPr>
        <w:t>，顶棚为</w:t>
      </w:r>
      <w:r>
        <w:rPr>
          <w:rFonts w:hint="eastAsia" w:ascii="Arial" w:hAnsi="Arial" w:cs="Arial"/>
          <w:sz w:val="21"/>
          <w:szCs w:val="21"/>
          <w:highlight w:val="none"/>
          <w:lang w:val="en-US" w:eastAsia="zh-CN"/>
        </w:rPr>
        <w:t>涂料</w:t>
      </w:r>
      <w:r>
        <w:rPr>
          <w:rFonts w:hint="eastAsia" w:ascii="Arial" w:hAnsi="Arial" w:cs="Arial"/>
          <w:sz w:val="21"/>
          <w:szCs w:val="21"/>
          <w:highlight w:val="none"/>
        </w:rPr>
        <w:t>。</w:t>
      </w:r>
    </w:p>
    <w:p w14:paraId="475B2707">
      <w:pPr>
        <w:wordWrap w:val="0"/>
        <w:overflowPunct w:val="0"/>
        <w:spacing w:line="480" w:lineRule="auto"/>
        <w:ind w:firstLine="420" w:firstLineChars="200"/>
        <w:jc w:val="both"/>
        <w:textAlignment w:val="auto"/>
        <w:rPr>
          <w:rFonts w:hint="default" w:ascii="Arial" w:hAnsi="Arial" w:cs="Arial"/>
          <w:sz w:val="21"/>
          <w:szCs w:val="21"/>
          <w:highlight w:val="none"/>
          <w:lang w:val="en-US" w:eastAsia="zh-CN"/>
        </w:rPr>
      </w:pPr>
      <w:r>
        <w:rPr>
          <w:rFonts w:hint="eastAsia" w:ascii="Arial" w:hAnsi="Arial" w:cs="Arial"/>
          <w:sz w:val="21"/>
          <w:szCs w:val="21"/>
          <w:highlight w:val="none"/>
        </w:rPr>
        <w:t>6.新旧程度：</w:t>
      </w:r>
      <w:r>
        <w:rPr>
          <w:rFonts w:hint="eastAsia" w:ascii="Arial" w:hAnsi="Arial" w:cs="Arial"/>
          <w:sz w:val="21"/>
          <w:szCs w:val="21"/>
          <w:highlight w:val="none"/>
          <w:lang w:eastAsia="zh-CN"/>
        </w:rPr>
        <w:t>《</w:t>
      </w:r>
      <w:r>
        <w:rPr>
          <w:rFonts w:hint="eastAsia" w:ascii="Arial" w:hAnsi="Arial" w:cs="Arial"/>
          <w:sz w:val="21"/>
          <w:szCs w:val="21"/>
          <w:highlight w:val="none"/>
          <w:lang w:val="en-US" w:eastAsia="zh-CN"/>
        </w:rPr>
        <w:t>北京市房屋建筑和市政基础设施工程竣工验收备案表》[编号：1004大竣2012（建）0138号、1005大竣2012（建）0139号、1006大竣2012（建）0140号、1007大竣2012（建）0141号]，估价对象所属项目一期竣工验收备案已于2012年11月2日收讫，</w:t>
      </w:r>
      <w:r>
        <w:rPr>
          <w:rFonts w:hint="eastAsia" w:ascii="Arial" w:hAnsi="Arial" w:cs="Arial"/>
          <w:sz w:val="21"/>
          <w:szCs w:val="21"/>
          <w:highlight w:val="none"/>
        </w:rPr>
        <w:t>观察成新度较高，综合成新度为</w:t>
      </w:r>
      <w:r>
        <w:rPr>
          <w:rFonts w:hint="eastAsia" w:ascii="Arial" w:hAnsi="Arial" w:cs="Arial"/>
          <w:sz w:val="21"/>
          <w:szCs w:val="21"/>
          <w:highlight w:val="none"/>
          <w:lang w:val="en-US" w:eastAsia="zh-CN"/>
        </w:rPr>
        <w:t>80%-90</w:t>
      </w:r>
      <w:r>
        <w:rPr>
          <w:rFonts w:ascii="Arial" w:hAnsi="Arial" w:cs="Arial"/>
          <w:sz w:val="21"/>
          <w:szCs w:val="21"/>
          <w:highlight w:val="none"/>
        </w:rPr>
        <w:t>%</w:t>
      </w:r>
      <w:r>
        <w:rPr>
          <w:rFonts w:hint="eastAsia" w:ascii="Arial" w:hAnsi="Arial" w:cs="Arial"/>
          <w:sz w:val="21"/>
          <w:szCs w:val="21"/>
          <w:highlight w:val="none"/>
        </w:rPr>
        <w:t>。</w:t>
      </w:r>
    </w:p>
    <w:p w14:paraId="6E38F01B">
      <w:pPr>
        <w:wordWrap w:val="0"/>
        <w:overflowPunct w:val="0"/>
        <w:spacing w:line="480" w:lineRule="auto"/>
        <w:ind w:firstLine="420" w:firstLineChars="200"/>
        <w:jc w:val="both"/>
        <w:textAlignment w:val="auto"/>
        <w:rPr>
          <w:rFonts w:ascii="Arial" w:hAnsi="Arial" w:cs="Arial"/>
          <w:sz w:val="21"/>
          <w:szCs w:val="21"/>
          <w:highlight w:val="none"/>
        </w:rPr>
      </w:pPr>
      <w:r>
        <w:rPr>
          <w:rFonts w:hint="eastAsia" w:ascii="Arial" w:hAnsi="Arial" w:cs="Arial"/>
          <w:sz w:val="21"/>
          <w:szCs w:val="21"/>
          <w:highlight w:val="none"/>
          <w:lang w:eastAsia="zh-CN"/>
        </w:rPr>
        <w:t>《</w:t>
      </w:r>
      <w:r>
        <w:rPr>
          <w:rFonts w:hint="eastAsia" w:ascii="Arial" w:hAnsi="Arial" w:cs="Arial"/>
          <w:sz w:val="21"/>
          <w:szCs w:val="21"/>
          <w:highlight w:val="none"/>
          <w:lang w:val="en-US" w:eastAsia="zh-CN"/>
        </w:rPr>
        <w:t>北京市房屋建筑和市政基础设施工程竣工验收备案表》[编号：0327大竣2014（建）0049号、0149大竣2014（建）0029号、0150大竣2014（建）0030号、0151大竣2014（建）0031号]，估价对象所属项目二期竣工验收备案已于2014年1月28日收讫，</w:t>
      </w:r>
      <w:r>
        <w:rPr>
          <w:rFonts w:hint="eastAsia" w:ascii="Arial" w:hAnsi="Arial" w:cs="Arial"/>
          <w:sz w:val="21"/>
          <w:szCs w:val="21"/>
          <w:highlight w:val="none"/>
        </w:rPr>
        <w:t>观察成新度较高，综合成新度为</w:t>
      </w:r>
      <w:r>
        <w:rPr>
          <w:rFonts w:hint="eastAsia" w:ascii="Arial" w:hAnsi="Arial" w:cs="Arial"/>
          <w:sz w:val="21"/>
          <w:szCs w:val="21"/>
          <w:highlight w:val="none"/>
          <w:lang w:val="en-US" w:eastAsia="zh-CN"/>
        </w:rPr>
        <w:t>80%-90</w:t>
      </w:r>
      <w:r>
        <w:rPr>
          <w:rFonts w:ascii="Arial" w:hAnsi="Arial" w:cs="Arial"/>
          <w:sz w:val="21"/>
          <w:szCs w:val="21"/>
          <w:highlight w:val="none"/>
        </w:rPr>
        <w:t>%</w:t>
      </w:r>
      <w:r>
        <w:rPr>
          <w:rFonts w:hint="eastAsia" w:ascii="Arial" w:hAnsi="Arial" w:cs="Arial"/>
          <w:sz w:val="21"/>
          <w:szCs w:val="21"/>
          <w:highlight w:val="none"/>
        </w:rPr>
        <w:t>。</w:t>
      </w:r>
    </w:p>
    <w:p w14:paraId="196027EF">
      <w:pPr>
        <w:overflowPunct w:val="0"/>
        <w:spacing w:line="480" w:lineRule="auto"/>
        <w:ind w:firstLine="420" w:firstLineChars="200"/>
        <w:jc w:val="both"/>
        <w:textAlignment w:val="auto"/>
        <w:rPr>
          <w:rFonts w:ascii="Arial" w:hAnsi="Arial" w:cs="Arial"/>
          <w:sz w:val="21"/>
          <w:szCs w:val="21"/>
          <w:highlight w:val="none"/>
        </w:rPr>
      </w:pPr>
      <w:r>
        <w:rPr>
          <w:rFonts w:hint="eastAsia" w:ascii="Arial" w:hAnsi="Arial" w:cs="Arial"/>
          <w:sz w:val="21"/>
          <w:szCs w:val="21"/>
          <w:highlight w:val="none"/>
        </w:rPr>
        <w:t>7.户型设计：估价对象均为平层结构，分为</w:t>
      </w:r>
      <w:r>
        <w:rPr>
          <w:rFonts w:hint="eastAsia" w:ascii="Arial" w:hAnsi="Arial" w:cs="Arial"/>
          <w:sz w:val="21"/>
          <w:szCs w:val="21"/>
          <w:highlight w:val="none"/>
          <w:lang w:val="en-US" w:eastAsia="zh-CN"/>
        </w:rPr>
        <w:t>三</w:t>
      </w:r>
      <w:r>
        <w:rPr>
          <w:rFonts w:hint="eastAsia" w:ascii="Arial" w:hAnsi="Arial" w:cs="Arial"/>
          <w:sz w:val="21"/>
          <w:szCs w:val="21"/>
          <w:highlight w:val="none"/>
        </w:rPr>
        <w:t>种户型，分别为一居室、两居室</w:t>
      </w:r>
      <w:r>
        <w:rPr>
          <w:rFonts w:hint="eastAsia" w:ascii="Arial" w:hAnsi="Arial" w:cs="Arial"/>
          <w:sz w:val="21"/>
          <w:szCs w:val="21"/>
          <w:highlight w:val="none"/>
          <w:lang w:eastAsia="zh-CN"/>
        </w:rPr>
        <w:t>、</w:t>
      </w:r>
      <w:r>
        <w:rPr>
          <w:rFonts w:hint="eastAsia" w:ascii="Arial" w:hAnsi="Arial" w:cs="Arial"/>
          <w:sz w:val="21"/>
          <w:szCs w:val="21"/>
          <w:highlight w:val="none"/>
          <w:lang w:val="en-US" w:eastAsia="zh-CN"/>
        </w:rPr>
        <w:t>三居室</w:t>
      </w:r>
      <w:r>
        <w:rPr>
          <w:rFonts w:hint="eastAsia" w:ascii="Arial" w:hAnsi="Arial" w:cs="Arial"/>
          <w:sz w:val="21"/>
          <w:szCs w:val="21"/>
          <w:highlight w:val="none"/>
        </w:rPr>
        <w:t>。其中一居室</w:t>
      </w:r>
      <w:r>
        <w:rPr>
          <w:rFonts w:hint="eastAsia" w:ascii="Arial" w:hAnsi="Arial" w:cs="Arial"/>
          <w:sz w:val="21"/>
          <w:szCs w:val="21"/>
          <w:highlight w:val="none"/>
          <w:lang w:val="en-US" w:eastAsia="zh-CN"/>
        </w:rPr>
        <w:t>378</w:t>
      </w:r>
      <w:r>
        <w:rPr>
          <w:rFonts w:hint="eastAsia" w:ascii="Arial" w:hAnsi="Arial" w:cs="Arial"/>
          <w:sz w:val="21"/>
          <w:szCs w:val="21"/>
          <w:highlight w:val="none"/>
        </w:rPr>
        <w:t>套、两居室</w:t>
      </w:r>
      <w:r>
        <w:rPr>
          <w:rFonts w:hint="eastAsia" w:ascii="Arial" w:hAnsi="Arial" w:cs="Arial"/>
          <w:sz w:val="21"/>
          <w:szCs w:val="21"/>
          <w:highlight w:val="none"/>
          <w:lang w:val="en-US" w:eastAsia="zh-CN"/>
        </w:rPr>
        <w:t>933</w:t>
      </w:r>
      <w:r>
        <w:rPr>
          <w:rFonts w:hint="eastAsia" w:ascii="Arial" w:hAnsi="Arial" w:cs="Arial"/>
          <w:sz w:val="21"/>
          <w:szCs w:val="21"/>
          <w:highlight w:val="none"/>
        </w:rPr>
        <w:t>套</w:t>
      </w:r>
      <w:r>
        <w:rPr>
          <w:rFonts w:hint="eastAsia" w:ascii="Arial" w:hAnsi="Arial" w:cs="Arial"/>
          <w:sz w:val="21"/>
          <w:szCs w:val="21"/>
          <w:highlight w:val="none"/>
          <w:lang w:eastAsia="zh-CN"/>
        </w:rPr>
        <w:t>、</w:t>
      </w:r>
      <w:r>
        <w:rPr>
          <w:rFonts w:hint="eastAsia" w:ascii="Arial" w:hAnsi="Arial" w:cs="Arial"/>
          <w:sz w:val="21"/>
          <w:szCs w:val="21"/>
          <w:highlight w:val="none"/>
          <w:lang w:val="en-US" w:eastAsia="zh-CN"/>
        </w:rPr>
        <w:t>三</w:t>
      </w:r>
      <w:r>
        <w:rPr>
          <w:rFonts w:hint="eastAsia" w:ascii="Arial" w:hAnsi="Arial" w:cs="Arial"/>
          <w:sz w:val="21"/>
          <w:szCs w:val="21"/>
          <w:highlight w:val="none"/>
        </w:rPr>
        <w:t>居室</w:t>
      </w:r>
      <w:r>
        <w:rPr>
          <w:rFonts w:hint="eastAsia" w:ascii="Arial" w:hAnsi="Arial" w:cs="Arial"/>
          <w:sz w:val="21"/>
          <w:szCs w:val="21"/>
          <w:highlight w:val="none"/>
          <w:lang w:val="en-US" w:eastAsia="zh-CN"/>
        </w:rPr>
        <w:t>13</w:t>
      </w:r>
      <w:r>
        <w:rPr>
          <w:rFonts w:hint="eastAsia" w:ascii="Arial" w:hAnsi="Arial" w:cs="Arial"/>
          <w:sz w:val="21"/>
          <w:szCs w:val="21"/>
          <w:highlight w:val="none"/>
        </w:rPr>
        <w:t>套。</w:t>
      </w:r>
    </w:p>
    <w:p w14:paraId="18E8B380">
      <w:pPr>
        <w:overflowPunct w:val="0"/>
        <w:spacing w:line="480" w:lineRule="auto"/>
        <w:ind w:firstLine="420" w:firstLineChars="200"/>
        <w:jc w:val="both"/>
        <w:textAlignment w:val="auto"/>
        <w:rPr>
          <w:rFonts w:ascii="Arial" w:hAnsi="Arial" w:cs="Arial"/>
          <w:sz w:val="21"/>
          <w:szCs w:val="21"/>
          <w:highlight w:val="none"/>
        </w:rPr>
      </w:pPr>
      <w:r>
        <w:rPr>
          <w:rFonts w:hint="eastAsia" w:ascii="Arial" w:hAnsi="Arial" w:cs="Arial"/>
          <w:sz w:val="21"/>
          <w:szCs w:val="21"/>
          <w:highlight w:val="none"/>
        </w:rPr>
        <w:t>8</w:t>
      </w:r>
      <w:r>
        <w:rPr>
          <w:rFonts w:ascii="Arial" w:hAnsi="Arial" w:cs="Arial"/>
          <w:sz w:val="21"/>
          <w:szCs w:val="21"/>
          <w:highlight w:val="none"/>
        </w:rPr>
        <w:t>.</w:t>
      </w:r>
      <w:r>
        <w:rPr>
          <w:rFonts w:hint="eastAsia" w:ascii="Arial" w:hAnsi="Arial" w:cs="Arial"/>
          <w:sz w:val="21"/>
          <w:szCs w:val="21"/>
          <w:highlight w:val="none"/>
        </w:rPr>
        <w:t>朝向：估价对象一居室</w:t>
      </w:r>
      <w:r>
        <w:rPr>
          <w:rFonts w:hint="eastAsia" w:ascii="Arial" w:hAnsi="Arial" w:cs="Arial"/>
          <w:sz w:val="21"/>
          <w:szCs w:val="21"/>
          <w:highlight w:val="none"/>
          <w:lang w:eastAsia="zh-CN"/>
        </w:rPr>
        <w:t>、</w:t>
      </w:r>
      <w:r>
        <w:rPr>
          <w:rFonts w:hint="eastAsia" w:ascii="Arial" w:hAnsi="Arial" w:cs="Arial"/>
          <w:sz w:val="21"/>
          <w:szCs w:val="21"/>
          <w:highlight w:val="none"/>
          <w:lang w:val="en-US" w:eastAsia="zh-CN"/>
        </w:rPr>
        <w:t>三居室均南北</w:t>
      </w:r>
      <w:r>
        <w:rPr>
          <w:rFonts w:hint="eastAsia" w:ascii="Arial" w:hAnsi="Arial" w:cs="Arial"/>
          <w:sz w:val="21"/>
          <w:szCs w:val="21"/>
          <w:highlight w:val="none"/>
        </w:rPr>
        <w:t>朝向</w:t>
      </w:r>
      <w:r>
        <w:rPr>
          <w:rFonts w:hint="eastAsia" w:ascii="Arial" w:hAnsi="Arial" w:cs="Arial"/>
          <w:sz w:val="21"/>
          <w:szCs w:val="21"/>
          <w:highlight w:val="none"/>
          <w:lang w:eastAsia="zh-CN"/>
        </w:rPr>
        <w:t>；</w:t>
      </w:r>
      <w:r>
        <w:rPr>
          <w:rFonts w:hint="eastAsia" w:ascii="Arial" w:hAnsi="Arial" w:cs="Arial"/>
          <w:sz w:val="21"/>
          <w:szCs w:val="21"/>
          <w:highlight w:val="none"/>
          <w:lang w:val="en-US" w:eastAsia="zh-CN"/>
        </w:rPr>
        <w:t>两</w:t>
      </w:r>
      <w:r>
        <w:rPr>
          <w:rFonts w:hint="eastAsia" w:ascii="Arial" w:hAnsi="Arial" w:cs="Arial"/>
          <w:sz w:val="21"/>
          <w:szCs w:val="21"/>
          <w:highlight w:val="none"/>
        </w:rPr>
        <w:t>居室有南北、</w:t>
      </w:r>
      <w:r>
        <w:rPr>
          <w:rFonts w:hint="eastAsia" w:ascii="Arial" w:hAnsi="Arial" w:cs="Arial"/>
          <w:sz w:val="21"/>
          <w:szCs w:val="21"/>
          <w:highlight w:val="none"/>
          <w:lang w:val="en-US" w:eastAsia="zh-CN"/>
        </w:rPr>
        <w:t>南</w:t>
      </w:r>
      <w:r>
        <w:rPr>
          <w:rFonts w:hint="eastAsia" w:ascii="Arial" w:hAnsi="Arial" w:cs="Arial"/>
          <w:sz w:val="21"/>
          <w:szCs w:val="21"/>
          <w:highlight w:val="none"/>
        </w:rPr>
        <w:t>朝向，其中南北朝向</w:t>
      </w:r>
      <w:r>
        <w:rPr>
          <w:rFonts w:hint="eastAsia" w:ascii="Arial" w:hAnsi="Arial" w:cs="Arial"/>
          <w:sz w:val="21"/>
          <w:szCs w:val="21"/>
          <w:highlight w:val="none"/>
          <w:lang w:val="en-US" w:eastAsia="zh-CN"/>
        </w:rPr>
        <w:t>916</w:t>
      </w:r>
      <w:r>
        <w:rPr>
          <w:rFonts w:hint="eastAsia" w:ascii="Arial" w:hAnsi="Arial" w:cs="Arial"/>
          <w:sz w:val="21"/>
          <w:szCs w:val="21"/>
          <w:highlight w:val="none"/>
        </w:rPr>
        <w:t>套、东西朝向</w:t>
      </w:r>
      <w:r>
        <w:rPr>
          <w:rFonts w:hint="eastAsia" w:ascii="Arial" w:hAnsi="Arial" w:cs="Arial"/>
          <w:sz w:val="21"/>
          <w:szCs w:val="21"/>
          <w:highlight w:val="none"/>
          <w:lang w:val="en-US" w:eastAsia="zh-CN"/>
        </w:rPr>
        <w:t>17</w:t>
      </w:r>
      <w:r>
        <w:rPr>
          <w:rFonts w:hint="eastAsia" w:ascii="Arial" w:hAnsi="Arial" w:cs="Arial"/>
          <w:sz w:val="21"/>
          <w:szCs w:val="21"/>
          <w:highlight w:val="none"/>
        </w:rPr>
        <w:t>套。</w:t>
      </w:r>
    </w:p>
    <w:p w14:paraId="323AE767">
      <w:pPr>
        <w:overflowPunct w:val="0"/>
        <w:spacing w:line="480" w:lineRule="auto"/>
        <w:ind w:firstLine="420" w:firstLineChars="200"/>
        <w:jc w:val="both"/>
        <w:textAlignment w:val="auto"/>
        <w:rPr>
          <w:rFonts w:ascii="Arial" w:hAnsi="Arial" w:cs="Arial"/>
          <w:sz w:val="21"/>
          <w:szCs w:val="21"/>
          <w:highlight w:val="none"/>
        </w:rPr>
      </w:pPr>
      <w:r>
        <w:rPr>
          <w:rFonts w:hint="eastAsia" w:ascii="Arial" w:hAnsi="Arial" w:cs="Arial"/>
          <w:sz w:val="21"/>
          <w:szCs w:val="21"/>
          <w:highlight w:val="none"/>
        </w:rPr>
        <w:t>9.综合服务管理设施：估价对象所属小区为封闭式管理，门口设有快递柜、小区内设有垃圾分类收集点。估价对象商品房享有同样的配套设施，估价对象所在楼栋一层配备管理用房等。</w:t>
      </w:r>
    </w:p>
    <w:p w14:paraId="18CC3336">
      <w:pPr>
        <w:overflowPunct w:val="0"/>
        <w:spacing w:line="480" w:lineRule="auto"/>
        <w:ind w:firstLine="420" w:firstLineChars="200"/>
        <w:jc w:val="both"/>
        <w:textAlignment w:val="auto"/>
        <w:rPr>
          <w:rFonts w:ascii="Arial" w:hAnsi="Arial" w:cs="Arial"/>
          <w:sz w:val="21"/>
          <w:szCs w:val="21"/>
          <w:highlight w:val="none"/>
        </w:rPr>
      </w:pPr>
      <w:r>
        <w:rPr>
          <w:rFonts w:hint="eastAsia" w:ascii="Arial" w:hAnsi="Arial" w:cs="Arial"/>
          <w:sz w:val="21"/>
          <w:szCs w:val="21"/>
          <w:highlight w:val="none"/>
        </w:rPr>
        <w:t>1</w:t>
      </w:r>
      <w:r>
        <w:rPr>
          <w:rFonts w:hint="eastAsia" w:ascii="Arial" w:hAnsi="Arial" w:cs="Arial"/>
          <w:sz w:val="21"/>
          <w:szCs w:val="21"/>
          <w:highlight w:val="none"/>
          <w:lang w:val="en-US" w:eastAsia="zh-CN"/>
        </w:rPr>
        <w:t>0.</w:t>
      </w:r>
      <w:r>
        <w:rPr>
          <w:rFonts w:hint="eastAsia" w:ascii="Arial" w:hAnsi="Arial" w:cs="Arial"/>
          <w:sz w:val="21"/>
          <w:szCs w:val="21"/>
          <w:highlight w:val="none"/>
        </w:rPr>
        <w:t>水电气费执行标准：估价对象执行民水民电标准。</w:t>
      </w:r>
    </w:p>
    <w:bookmarkEnd w:id="25"/>
    <w:bookmarkEnd w:id="26"/>
    <w:p w14:paraId="6CD55B75">
      <w:pPr>
        <w:spacing w:line="480" w:lineRule="auto"/>
        <w:rPr>
          <w:rFonts w:ascii="Arial" w:hAnsi="Arial" w:cs="Arial"/>
          <w:b/>
          <w:kern w:val="2"/>
          <w:sz w:val="21"/>
          <w:szCs w:val="21"/>
          <w:highlight w:val="none"/>
        </w:rPr>
      </w:pPr>
      <w:r>
        <w:rPr>
          <w:rFonts w:hint="eastAsia" w:ascii="Arial" w:hAnsi="Arial" w:cs="Arial"/>
          <w:b/>
          <w:kern w:val="2"/>
          <w:sz w:val="21"/>
          <w:szCs w:val="21"/>
          <w:highlight w:val="none"/>
        </w:rPr>
        <w:t>（四）对价格影响的分析</w:t>
      </w:r>
    </w:p>
    <w:p w14:paraId="50228439">
      <w:pPr>
        <w:spacing w:line="480" w:lineRule="auto"/>
        <w:ind w:firstLine="420" w:firstLineChars="200"/>
        <w:rPr>
          <w:rFonts w:ascii="Arial" w:hAnsi="Arial" w:cs="Arial"/>
          <w:sz w:val="21"/>
          <w:szCs w:val="21"/>
          <w:highlight w:val="none"/>
        </w:rPr>
      </w:pPr>
      <w:r>
        <w:rPr>
          <w:rFonts w:ascii="Arial" w:hAnsi="Arial" w:cs="Arial"/>
          <w:sz w:val="21"/>
          <w:szCs w:val="21"/>
          <w:highlight w:val="none"/>
        </w:rPr>
        <w:t>估价对象作为</w:t>
      </w:r>
      <w:r>
        <w:rPr>
          <w:rFonts w:hint="eastAsia" w:ascii="Arial" w:hAnsi="Arial" w:cs="Arial"/>
          <w:sz w:val="21"/>
          <w:szCs w:val="21"/>
          <w:highlight w:val="none"/>
          <w:lang w:val="en-US" w:eastAsia="zh-CN"/>
        </w:rPr>
        <w:t>住宅用房</w:t>
      </w:r>
      <w:r>
        <w:rPr>
          <w:rFonts w:ascii="Arial" w:hAnsi="Arial" w:cs="Arial"/>
          <w:sz w:val="21"/>
          <w:szCs w:val="21"/>
          <w:highlight w:val="none"/>
        </w:rPr>
        <w:t>使用，通用性相对较好，能完全满足大部分</w:t>
      </w:r>
      <w:r>
        <w:rPr>
          <w:rFonts w:hint="eastAsia" w:ascii="Arial" w:hAnsi="Arial" w:cs="Arial"/>
          <w:sz w:val="21"/>
          <w:szCs w:val="21"/>
          <w:highlight w:val="none"/>
        </w:rPr>
        <w:t>承</w:t>
      </w:r>
      <w:r>
        <w:rPr>
          <w:rFonts w:ascii="Arial" w:hAnsi="Arial" w:cs="Arial"/>
          <w:sz w:val="21"/>
          <w:szCs w:val="21"/>
          <w:highlight w:val="none"/>
        </w:rPr>
        <w:t>租者的需求，因此</w:t>
      </w:r>
      <w:r>
        <w:rPr>
          <w:rFonts w:hint="eastAsia" w:ascii="Arial" w:hAnsi="Arial" w:cs="Arial"/>
          <w:sz w:val="21"/>
          <w:szCs w:val="21"/>
          <w:highlight w:val="none"/>
        </w:rPr>
        <w:t>不会</w:t>
      </w:r>
      <w:r>
        <w:rPr>
          <w:rFonts w:ascii="Arial" w:hAnsi="Arial" w:cs="Arial"/>
          <w:sz w:val="21"/>
          <w:szCs w:val="21"/>
          <w:highlight w:val="none"/>
        </w:rPr>
        <w:t>影响其租金价格水平。</w:t>
      </w:r>
    </w:p>
    <w:p w14:paraId="57376E20">
      <w:pPr>
        <w:spacing w:line="480" w:lineRule="auto"/>
        <w:rPr>
          <w:rFonts w:ascii="Arial" w:hAnsi="Arial" w:cs="Arial"/>
          <w:b/>
          <w:kern w:val="2"/>
          <w:sz w:val="21"/>
          <w:szCs w:val="21"/>
          <w:highlight w:val="none"/>
        </w:rPr>
      </w:pPr>
      <w:r>
        <w:rPr>
          <w:rFonts w:hint="eastAsia" w:ascii="Arial" w:hAnsi="Arial" w:cs="Arial"/>
          <w:b/>
          <w:kern w:val="2"/>
          <w:sz w:val="21"/>
          <w:szCs w:val="21"/>
          <w:highlight w:val="none"/>
        </w:rPr>
        <w:t>（五）他项权利状况</w:t>
      </w:r>
    </w:p>
    <w:p w14:paraId="04889F4A">
      <w:pPr>
        <w:spacing w:line="480" w:lineRule="auto"/>
        <w:ind w:firstLine="420" w:firstLineChars="200"/>
        <w:rPr>
          <w:rFonts w:ascii="Arial" w:hAnsi="Arial" w:cs="Arial"/>
          <w:kern w:val="2"/>
          <w:sz w:val="21"/>
          <w:szCs w:val="21"/>
          <w:highlight w:val="none"/>
        </w:rPr>
      </w:pPr>
      <w:r>
        <w:rPr>
          <w:rFonts w:hint="eastAsia" w:ascii="Arial" w:hAnsi="Arial" w:cs="Arial"/>
          <w:sz w:val="21"/>
          <w:szCs w:val="21"/>
          <w:highlight w:val="none"/>
        </w:rPr>
        <w:t>根据估价委托人提供的资料及评估专业人员实地查勘，于价值时点，未发现估价对象存在抵押、</w:t>
      </w:r>
      <w:r>
        <w:rPr>
          <w:rFonts w:hint="eastAsia" w:ascii="Arial" w:hAnsi="Arial" w:cs="Arial"/>
          <w:kern w:val="2"/>
          <w:sz w:val="21"/>
          <w:szCs w:val="21"/>
          <w:highlight w:val="none"/>
        </w:rPr>
        <w:t>租赁、地役、查封等他项权利</w:t>
      </w:r>
      <w:r>
        <w:rPr>
          <w:rFonts w:hint="eastAsia" w:ascii="Arial" w:hAnsi="Arial" w:cs="Arial"/>
          <w:sz w:val="21"/>
          <w:szCs w:val="21"/>
          <w:highlight w:val="none"/>
        </w:rPr>
        <w:t>。</w:t>
      </w:r>
      <w:r>
        <w:rPr>
          <w:rFonts w:hint="eastAsia" w:ascii="Arial" w:hAnsi="Arial" w:cs="Arial"/>
          <w:kern w:val="2"/>
          <w:sz w:val="21"/>
          <w:szCs w:val="21"/>
          <w:highlight w:val="none"/>
        </w:rPr>
        <w:t>根据估价目的，本次估价未考虑租赁、地役、查封等他项权利影响，故设定估价对象于价值时点不存在抵押、租赁、地役、查封等他项权利限制。</w:t>
      </w:r>
    </w:p>
    <w:p w14:paraId="08538F4F">
      <w:pPr>
        <w:overflowPunct w:val="0"/>
        <w:spacing w:line="480" w:lineRule="auto"/>
        <w:ind w:firstLine="420" w:firstLineChars="200"/>
        <w:jc w:val="both"/>
        <w:textAlignment w:val="auto"/>
        <w:rPr>
          <w:rFonts w:ascii="Arial" w:hAnsi="Arial" w:cs="Arial"/>
          <w:sz w:val="21"/>
          <w:szCs w:val="21"/>
          <w:highlight w:val="none"/>
        </w:rPr>
      </w:pPr>
    </w:p>
    <w:p w14:paraId="08AD90BC">
      <w:pPr>
        <w:pStyle w:val="3"/>
        <w:numPr>
          <w:ilvl w:val="0"/>
          <w:numId w:val="0"/>
        </w:numPr>
        <w:wordWrap w:val="0"/>
        <w:overflowPunct w:val="0"/>
        <w:spacing w:line="480" w:lineRule="auto"/>
        <w:ind w:left="358" w:hanging="358" w:hangingChars="170"/>
        <w:jc w:val="both"/>
        <w:textAlignment w:val="auto"/>
        <w:rPr>
          <w:rFonts w:eastAsia="宋体"/>
          <w:kern w:val="2"/>
          <w:sz w:val="21"/>
          <w:szCs w:val="21"/>
          <w:highlight w:val="none"/>
        </w:rPr>
      </w:pPr>
      <w:bookmarkStart w:id="27" w:name="_Toc168225817"/>
      <w:bookmarkStart w:id="28" w:name="_Toc155267090"/>
      <w:r>
        <w:rPr>
          <w:rFonts w:eastAsia="宋体"/>
          <w:kern w:val="2"/>
          <w:sz w:val="21"/>
          <w:szCs w:val="21"/>
          <w:highlight w:val="none"/>
        </w:rPr>
        <w:t>五</w:t>
      </w:r>
      <w:bookmarkEnd w:id="27"/>
      <w:r>
        <w:rPr>
          <w:rFonts w:eastAsia="宋体"/>
          <w:kern w:val="2"/>
          <w:sz w:val="21"/>
          <w:szCs w:val="21"/>
          <w:highlight w:val="none"/>
        </w:rPr>
        <w:t>、价值时点</w:t>
      </w:r>
      <w:bookmarkEnd w:id="28"/>
    </w:p>
    <w:p w14:paraId="05963745">
      <w:pPr>
        <w:wordWrap w:val="0"/>
        <w:overflowPunct w:val="0"/>
        <w:spacing w:line="480" w:lineRule="auto"/>
        <w:ind w:firstLine="420" w:firstLineChars="200"/>
        <w:jc w:val="both"/>
        <w:textAlignment w:val="auto"/>
        <w:rPr>
          <w:rFonts w:ascii="Arial" w:hAnsi="Arial" w:cs="Arial"/>
          <w:sz w:val="21"/>
          <w:szCs w:val="21"/>
          <w:highlight w:val="none"/>
        </w:rPr>
      </w:pPr>
      <w:r>
        <w:rPr>
          <w:rFonts w:hint="eastAsia" w:ascii="Arial" w:hAnsi="Arial" w:cs="Arial"/>
          <w:sz w:val="21"/>
          <w:szCs w:val="21"/>
          <w:highlight w:val="none"/>
          <w:lang w:eastAsia="zh-CN"/>
        </w:rPr>
        <w:t>2025年12月26日</w:t>
      </w:r>
      <w:r>
        <w:rPr>
          <w:rFonts w:ascii="Arial" w:hAnsi="Arial" w:cs="Arial"/>
          <w:sz w:val="21"/>
          <w:szCs w:val="21"/>
          <w:highlight w:val="none"/>
        </w:rPr>
        <w:t>（</w:t>
      </w:r>
      <w:r>
        <w:rPr>
          <w:rFonts w:hint="eastAsia" w:ascii="Arial" w:hAnsi="Arial" w:cs="Arial"/>
          <w:sz w:val="21"/>
          <w:szCs w:val="21"/>
          <w:highlight w:val="none"/>
        </w:rPr>
        <w:t>根据《估价委托书》确定</w:t>
      </w:r>
      <w:r>
        <w:rPr>
          <w:rFonts w:ascii="Arial" w:hAnsi="Arial" w:cs="Arial"/>
          <w:sz w:val="21"/>
          <w:szCs w:val="21"/>
          <w:highlight w:val="none"/>
        </w:rPr>
        <w:t>）</w:t>
      </w:r>
    </w:p>
    <w:p w14:paraId="6ED303AB">
      <w:pPr>
        <w:wordWrap w:val="0"/>
        <w:overflowPunct w:val="0"/>
        <w:spacing w:line="480" w:lineRule="auto"/>
        <w:ind w:firstLine="420" w:firstLineChars="200"/>
        <w:jc w:val="both"/>
        <w:textAlignment w:val="auto"/>
        <w:rPr>
          <w:rFonts w:ascii="Arial" w:hAnsi="Arial" w:cs="Arial"/>
          <w:sz w:val="21"/>
          <w:szCs w:val="21"/>
          <w:highlight w:val="none"/>
        </w:rPr>
      </w:pPr>
    </w:p>
    <w:p w14:paraId="30409A67">
      <w:pPr>
        <w:pStyle w:val="3"/>
        <w:numPr>
          <w:ilvl w:val="0"/>
          <w:numId w:val="0"/>
        </w:numPr>
        <w:overflowPunct w:val="0"/>
        <w:spacing w:line="480" w:lineRule="auto"/>
        <w:ind w:left="358" w:hanging="358" w:hangingChars="170"/>
        <w:jc w:val="both"/>
        <w:textAlignment w:val="auto"/>
        <w:rPr>
          <w:rFonts w:eastAsia="宋体"/>
          <w:kern w:val="2"/>
          <w:sz w:val="21"/>
          <w:szCs w:val="21"/>
          <w:highlight w:val="none"/>
        </w:rPr>
      </w:pPr>
      <w:bookmarkStart w:id="29" w:name="_Toc168225818"/>
      <w:bookmarkStart w:id="30" w:name="_Toc155267091"/>
      <w:r>
        <w:rPr>
          <w:rFonts w:eastAsia="宋体"/>
          <w:kern w:val="2"/>
          <w:sz w:val="21"/>
          <w:szCs w:val="21"/>
          <w:highlight w:val="none"/>
        </w:rPr>
        <w:t>六</w:t>
      </w:r>
      <w:bookmarkEnd w:id="29"/>
      <w:r>
        <w:rPr>
          <w:rFonts w:eastAsia="宋体"/>
          <w:kern w:val="2"/>
          <w:sz w:val="21"/>
          <w:szCs w:val="21"/>
          <w:highlight w:val="none"/>
        </w:rPr>
        <w:t>、价值类型</w:t>
      </w:r>
      <w:bookmarkEnd w:id="30"/>
    </w:p>
    <w:p w14:paraId="39702ED2">
      <w:pPr>
        <w:spacing w:line="480" w:lineRule="auto"/>
        <w:rPr>
          <w:rFonts w:ascii="Arial" w:hAnsi="Arial" w:cs="Arial"/>
          <w:b/>
          <w:kern w:val="2"/>
          <w:sz w:val="21"/>
          <w:szCs w:val="21"/>
          <w:highlight w:val="none"/>
        </w:rPr>
      </w:pPr>
      <w:r>
        <w:rPr>
          <w:rFonts w:hint="eastAsia" w:ascii="Arial" w:hAnsi="Arial" w:cs="Arial"/>
          <w:b/>
          <w:kern w:val="2"/>
          <w:sz w:val="21"/>
          <w:szCs w:val="21"/>
          <w:highlight w:val="none"/>
        </w:rPr>
        <w:t>（一）价值类型</w:t>
      </w:r>
    </w:p>
    <w:p w14:paraId="1FC0FA1E">
      <w:pPr>
        <w:overflowPunct w:val="0"/>
        <w:spacing w:line="480" w:lineRule="auto"/>
        <w:ind w:firstLine="420" w:firstLineChars="200"/>
        <w:jc w:val="both"/>
        <w:rPr>
          <w:rFonts w:ascii="Arial" w:hAnsi="Arial" w:cs="Arial"/>
          <w:sz w:val="21"/>
          <w:szCs w:val="21"/>
          <w:highlight w:val="none"/>
        </w:rPr>
      </w:pPr>
      <w:r>
        <w:rPr>
          <w:rFonts w:hint="eastAsia" w:ascii="Arial" w:hAnsi="Arial" w:cs="Arial"/>
          <w:sz w:val="21"/>
          <w:szCs w:val="21"/>
          <w:highlight w:val="none"/>
        </w:rPr>
        <w:t>根据房地产评估的技术规程和本次估价目的，本次估价采用的是市场价值标准。市场租赁住房租金是指市场租赁住房于价值时点在公开市场上的平均租金，包</w:t>
      </w:r>
      <w:r>
        <w:rPr>
          <w:rFonts w:hint="eastAsia" w:ascii="Arial" w:hAnsi="Arial" w:cs="Arial"/>
          <w:sz w:val="21"/>
          <w:szCs w:val="21"/>
          <w:highlight w:val="none"/>
          <w:lang w:eastAsia="zh-CN"/>
        </w:rPr>
        <w:t>含房屋、家具家电使用费、物业费及租赁税费，包含持有运营单位在住房租赁合同中明确约定由出租人承担的基础服务费（例如基础物业管理服务、公区保洁、公区维保等费用），不包含增值服务费（例如室内保洁、室内人为损坏维修、洗衣、送餐等费用）、能源费（包括公区能源费及室内能源费，例如水、电、气、暖、网络等费用）、车位使用费</w:t>
      </w:r>
      <w:r>
        <w:rPr>
          <w:rFonts w:hint="eastAsia" w:ascii="Arial" w:hAnsi="Arial" w:cs="Arial"/>
          <w:sz w:val="21"/>
          <w:szCs w:val="21"/>
          <w:highlight w:val="none"/>
        </w:rPr>
        <w:t>等费用。</w:t>
      </w:r>
      <w:r>
        <w:rPr>
          <w:rFonts w:ascii="Arial" w:hAnsi="Arial" w:cs="Arial"/>
          <w:sz w:val="21"/>
          <w:szCs w:val="21"/>
          <w:highlight w:val="none"/>
        </w:rPr>
        <w:t xml:space="preserve"> </w:t>
      </w:r>
    </w:p>
    <w:p w14:paraId="494823D8">
      <w:pPr>
        <w:spacing w:line="480" w:lineRule="auto"/>
        <w:rPr>
          <w:rFonts w:ascii="Arial" w:hAnsi="Arial" w:cs="Arial"/>
          <w:b/>
          <w:kern w:val="2"/>
          <w:sz w:val="21"/>
          <w:szCs w:val="21"/>
          <w:highlight w:val="none"/>
        </w:rPr>
      </w:pPr>
      <w:r>
        <w:rPr>
          <w:rFonts w:hint="eastAsia" w:ascii="Arial" w:hAnsi="Arial" w:cs="Arial"/>
          <w:b/>
          <w:kern w:val="2"/>
          <w:sz w:val="21"/>
          <w:szCs w:val="21"/>
          <w:highlight w:val="none"/>
        </w:rPr>
        <w:t>（二）设定条件</w:t>
      </w:r>
    </w:p>
    <w:p w14:paraId="6F93F23A">
      <w:pPr>
        <w:spacing w:line="480" w:lineRule="auto"/>
        <w:ind w:firstLine="420" w:firstLineChars="200"/>
        <w:rPr>
          <w:rFonts w:ascii="Arial" w:hAnsi="Arial" w:cs="Arial"/>
          <w:sz w:val="21"/>
          <w:szCs w:val="21"/>
          <w:highlight w:val="none"/>
        </w:rPr>
      </w:pPr>
      <w:r>
        <w:rPr>
          <w:rFonts w:ascii="Arial" w:hAnsi="Arial" w:cs="Arial"/>
          <w:sz w:val="21"/>
          <w:szCs w:val="21"/>
          <w:highlight w:val="none"/>
        </w:rPr>
        <w:t>估价结果中的房地产租金价格是指估价对象</w:t>
      </w:r>
      <w:r>
        <w:rPr>
          <w:rFonts w:hint="eastAsia" w:ascii="Arial" w:hAnsi="Arial" w:cs="Arial"/>
          <w:sz w:val="21"/>
          <w:szCs w:val="21"/>
          <w:highlight w:val="none"/>
        </w:rPr>
        <w:t>房地产于价值时点</w:t>
      </w:r>
      <w:r>
        <w:rPr>
          <w:rFonts w:hint="eastAsia" w:ascii="Arial" w:hAnsi="Arial" w:cs="Arial"/>
          <w:sz w:val="21"/>
          <w:szCs w:val="21"/>
          <w:highlight w:val="none"/>
          <w:lang w:eastAsia="zh-CN"/>
        </w:rPr>
        <w:t>2025年12月26日</w:t>
      </w:r>
      <w:r>
        <w:rPr>
          <w:rFonts w:hint="eastAsia" w:ascii="Arial" w:hAnsi="Arial" w:cs="Arial"/>
          <w:sz w:val="21"/>
          <w:szCs w:val="21"/>
          <w:highlight w:val="none"/>
        </w:rPr>
        <w:t>，</w:t>
      </w:r>
      <w:r>
        <w:rPr>
          <w:rFonts w:ascii="Arial" w:hAnsi="Arial" w:cs="Arial"/>
          <w:sz w:val="21"/>
          <w:szCs w:val="21"/>
          <w:highlight w:val="none"/>
        </w:rPr>
        <w:t>估价对象在规划利用条件及下述设定条件下</w:t>
      </w:r>
      <w:r>
        <w:rPr>
          <w:rFonts w:hint="eastAsia" w:ascii="Arial" w:hAnsi="Arial" w:cs="Arial"/>
          <w:sz w:val="21"/>
          <w:szCs w:val="21"/>
          <w:highlight w:val="none"/>
        </w:rPr>
        <w:t>项目同地段、同品质住宅</w:t>
      </w:r>
      <w:r>
        <w:rPr>
          <w:rFonts w:hint="eastAsia" w:ascii="Arial" w:hAnsi="Arial" w:cs="Arial"/>
          <w:sz w:val="21"/>
          <w:szCs w:val="21"/>
          <w:highlight w:val="none"/>
          <w:lang w:val="en-US" w:eastAsia="zh-CN"/>
        </w:rPr>
        <w:t>用房</w:t>
      </w:r>
      <w:r>
        <w:rPr>
          <w:rFonts w:hint="eastAsia" w:ascii="Arial" w:hAnsi="Arial" w:cs="Arial"/>
          <w:sz w:val="21"/>
          <w:szCs w:val="21"/>
          <w:highlight w:val="none"/>
        </w:rPr>
        <w:t>房地产</w:t>
      </w:r>
      <w:r>
        <w:rPr>
          <w:rFonts w:ascii="Arial" w:hAnsi="Arial" w:cs="Arial"/>
          <w:sz w:val="21"/>
          <w:szCs w:val="21"/>
          <w:highlight w:val="none"/>
        </w:rPr>
        <w:t>的市场租金价格：</w:t>
      </w:r>
    </w:p>
    <w:p w14:paraId="0C53E6B7">
      <w:pPr>
        <w:spacing w:line="480" w:lineRule="auto"/>
        <w:ind w:firstLine="420" w:firstLineChars="200"/>
        <w:rPr>
          <w:rFonts w:ascii="Arial" w:hAnsi="Arial" w:cs="Arial"/>
          <w:sz w:val="21"/>
          <w:szCs w:val="21"/>
          <w:highlight w:val="none"/>
        </w:rPr>
      </w:pPr>
      <w:r>
        <w:rPr>
          <w:rFonts w:ascii="Arial" w:hAnsi="Arial" w:cs="Arial"/>
          <w:sz w:val="21"/>
          <w:szCs w:val="21"/>
          <w:highlight w:val="none"/>
        </w:rPr>
        <w:t>租金估价结果</w:t>
      </w:r>
      <w:r>
        <w:rPr>
          <w:rFonts w:hint="eastAsia" w:ascii="Arial" w:hAnsi="Arial" w:cs="Arial"/>
          <w:sz w:val="21"/>
          <w:szCs w:val="21"/>
          <w:highlight w:val="none"/>
          <w:lang w:eastAsia="zh-CN"/>
        </w:rPr>
        <w:t>包含房屋、家具家电使用费、物业费及租赁税费，包含持有运营单位在住房租赁合同中明确约定由出租人承担的基础服务费（例如基础物业管理服务、公区保洁、公区维保等费用），不包含增值服务费（例如室内保洁、室内人为损坏维修、洗衣、送餐等费用）、能源费（包括公区能源费及室内能源费，例如水、电、气、暖、网络等费用）、车位使用费等费用</w:t>
      </w:r>
      <w:r>
        <w:rPr>
          <w:rFonts w:hint="eastAsia" w:ascii="Arial" w:hAnsi="Arial" w:cs="Arial"/>
          <w:sz w:val="21"/>
          <w:szCs w:val="21"/>
          <w:highlight w:val="none"/>
        </w:rPr>
        <w:t>。</w:t>
      </w:r>
    </w:p>
    <w:p w14:paraId="09C6B7ED">
      <w:pPr>
        <w:pStyle w:val="3"/>
        <w:numPr>
          <w:ilvl w:val="0"/>
          <w:numId w:val="0"/>
        </w:numPr>
        <w:wordWrap w:val="0"/>
        <w:overflowPunct w:val="0"/>
        <w:spacing w:line="480" w:lineRule="auto"/>
        <w:ind w:left="358" w:hanging="358" w:hangingChars="170"/>
        <w:jc w:val="both"/>
        <w:textAlignment w:val="auto"/>
        <w:rPr>
          <w:rFonts w:eastAsia="宋体"/>
          <w:kern w:val="2"/>
          <w:sz w:val="21"/>
          <w:szCs w:val="21"/>
          <w:highlight w:val="none"/>
        </w:rPr>
      </w:pPr>
      <w:bookmarkStart w:id="31" w:name="_Toc155267092"/>
      <w:bookmarkStart w:id="32" w:name="_Toc168225819"/>
      <w:r>
        <w:rPr>
          <w:rFonts w:eastAsia="宋体"/>
          <w:kern w:val="2"/>
          <w:sz w:val="21"/>
          <w:szCs w:val="21"/>
          <w:highlight w:val="none"/>
        </w:rPr>
        <w:t>七、估价原则</w:t>
      </w:r>
      <w:bookmarkEnd w:id="31"/>
      <w:bookmarkEnd w:id="32"/>
    </w:p>
    <w:p w14:paraId="278AB07A">
      <w:pPr>
        <w:wordWrap w:val="0"/>
        <w:overflowPunct w:val="0"/>
        <w:spacing w:line="480" w:lineRule="auto"/>
        <w:ind w:firstLine="424" w:firstLineChars="202"/>
        <w:jc w:val="both"/>
        <w:textAlignment w:val="auto"/>
        <w:rPr>
          <w:rFonts w:ascii="Arial" w:hAnsi="Arial" w:cs="Arial"/>
          <w:sz w:val="21"/>
          <w:szCs w:val="21"/>
          <w:highlight w:val="none"/>
        </w:rPr>
      </w:pPr>
      <w:r>
        <w:rPr>
          <w:rFonts w:ascii="Arial" w:hAnsi="Arial" w:cs="Arial"/>
          <w:sz w:val="21"/>
          <w:szCs w:val="21"/>
          <w:highlight w:val="none"/>
        </w:rPr>
        <w:t xml:space="preserve">我们在本次估价时遵循了以下原则： </w:t>
      </w:r>
    </w:p>
    <w:p w14:paraId="0EA106B3">
      <w:pPr>
        <w:wordWrap w:val="0"/>
        <w:overflowPunct w:val="0"/>
        <w:spacing w:line="480" w:lineRule="auto"/>
        <w:jc w:val="both"/>
        <w:textAlignment w:val="auto"/>
        <w:rPr>
          <w:rFonts w:ascii="Arial" w:hAnsi="Arial" w:cs="Arial"/>
          <w:b/>
          <w:sz w:val="21"/>
          <w:szCs w:val="21"/>
          <w:highlight w:val="none"/>
        </w:rPr>
      </w:pPr>
      <w:r>
        <w:rPr>
          <w:rFonts w:ascii="Arial" w:hAnsi="Arial" w:cs="Arial"/>
          <w:b/>
          <w:sz w:val="21"/>
          <w:szCs w:val="21"/>
          <w:highlight w:val="none"/>
        </w:rPr>
        <w:t>（一）独立、客观、公正原则</w:t>
      </w:r>
    </w:p>
    <w:p w14:paraId="528AB45A">
      <w:pPr>
        <w:wordWrap w:val="0"/>
        <w:overflowPunct w:val="0"/>
        <w:spacing w:line="480" w:lineRule="auto"/>
        <w:ind w:firstLine="420" w:firstLineChars="200"/>
        <w:jc w:val="both"/>
        <w:textAlignment w:val="auto"/>
        <w:rPr>
          <w:rFonts w:ascii="Arial" w:hAnsi="Arial" w:cs="Arial"/>
          <w:sz w:val="21"/>
          <w:szCs w:val="21"/>
          <w:highlight w:val="none"/>
        </w:rPr>
      </w:pPr>
      <w:r>
        <w:rPr>
          <w:rFonts w:ascii="Arial" w:hAnsi="Arial" w:cs="Arial"/>
          <w:sz w:val="21"/>
          <w:szCs w:val="21"/>
          <w:highlight w:val="none"/>
        </w:rPr>
        <w:t>独立、客观、公正原则要求</w:t>
      </w:r>
      <w:r>
        <w:rPr>
          <w:rFonts w:hint="eastAsia" w:ascii="Arial" w:hAnsi="Arial" w:cs="Arial"/>
          <w:sz w:val="21"/>
          <w:szCs w:val="21"/>
          <w:highlight w:val="none"/>
        </w:rPr>
        <w:t>评估专业人员</w:t>
      </w:r>
      <w:r>
        <w:rPr>
          <w:rFonts w:ascii="Arial" w:hAnsi="Arial" w:cs="Arial"/>
          <w:sz w:val="21"/>
          <w:szCs w:val="21"/>
          <w:highlight w:val="none"/>
        </w:rPr>
        <w:t>站在中立的立场上，评估出对各方当事人来说均是公平合理的价格。独立、客观、公正原则是房地产估价的基本原则，也是房地产估价中的最高行为准则。</w:t>
      </w:r>
    </w:p>
    <w:p w14:paraId="2E35CACC">
      <w:pPr>
        <w:wordWrap w:val="0"/>
        <w:overflowPunct w:val="0"/>
        <w:spacing w:line="480" w:lineRule="auto"/>
        <w:jc w:val="both"/>
        <w:textAlignment w:val="auto"/>
        <w:rPr>
          <w:rFonts w:ascii="Arial" w:hAnsi="Arial" w:cs="Arial"/>
          <w:b/>
          <w:sz w:val="21"/>
          <w:szCs w:val="21"/>
          <w:highlight w:val="none"/>
        </w:rPr>
      </w:pPr>
      <w:r>
        <w:rPr>
          <w:rFonts w:ascii="Arial" w:hAnsi="Arial" w:cs="Arial"/>
          <w:b/>
          <w:sz w:val="21"/>
          <w:szCs w:val="21"/>
          <w:highlight w:val="none"/>
        </w:rPr>
        <w:t>（二）</w:t>
      </w:r>
      <w:r>
        <w:rPr>
          <w:rFonts w:hint="eastAsia" w:ascii="Arial" w:hAnsi="Arial" w:cs="Arial"/>
          <w:b/>
          <w:sz w:val="21"/>
          <w:szCs w:val="21"/>
          <w:highlight w:val="none"/>
        </w:rPr>
        <w:t>合法原则</w:t>
      </w:r>
    </w:p>
    <w:p w14:paraId="6BDC8F6F">
      <w:pPr>
        <w:wordWrap w:val="0"/>
        <w:overflowPunct w:val="0"/>
        <w:spacing w:line="480" w:lineRule="auto"/>
        <w:ind w:firstLine="420" w:firstLineChars="200"/>
        <w:jc w:val="both"/>
        <w:textAlignment w:val="auto"/>
        <w:rPr>
          <w:rFonts w:hint="eastAsia" w:ascii="Arial" w:hAnsi="Arial" w:cs="Arial"/>
          <w:sz w:val="21"/>
          <w:szCs w:val="21"/>
          <w:highlight w:val="none"/>
        </w:rPr>
      </w:pPr>
      <w:r>
        <w:rPr>
          <w:rFonts w:hint="eastAsia" w:ascii="Arial" w:hAnsi="Arial" w:cs="Arial"/>
          <w:sz w:val="21"/>
          <w:szCs w:val="21"/>
          <w:highlight w:val="none"/>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相关批复、房地产权属证书和有关证件为依据；在合法使用方面，应以城市规划、土地用途管制等为依据；在合法处分方面，应以法律、法规或合同等允许的处分方式为依据；在其他方面，如评估出的价格必须符合国家的价格政策。</w:t>
      </w:r>
    </w:p>
    <w:p w14:paraId="1BA1E9B7">
      <w:pPr>
        <w:wordWrap w:val="0"/>
        <w:overflowPunct w:val="0"/>
        <w:spacing w:line="480" w:lineRule="auto"/>
        <w:ind w:firstLine="420" w:firstLineChars="200"/>
        <w:jc w:val="both"/>
        <w:textAlignment w:val="auto"/>
        <w:rPr>
          <w:rFonts w:ascii="Arial" w:hAnsi="Arial" w:cs="Arial"/>
          <w:b/>
          <w:sz w:val="21"/>
          <w:szCs w:val="21"/>
          <w:highlight w:val="none"/>
        </w:rPr>
      </w:pPr>
      <w:r>
        <w:rPr>
          <w:rFonts w:hint="eastAsia" w:ascii="Arial" w:hAnsi="Arial" w:cs="Arial"/>
          <w:sz w:val="21"/>
          <w:szCs w:val="21"/>
          <w:highlight w:val="none"/>
        </w:rPr>
        <w:t>估价对象已取得</w:t>
      </w:r>
      <w:r>
        <w:rPr>
          <w:rFonts w:hint="eastAsia" w:ascii="Arial" w:hAnsi="Arial" w:cs="Arial"/>
          <w:sz w:val="21"/>
          <w:szCs w:val="21"/>
          <w:highlight w:val="none"/>
          <w:lang w:val="en-US" w:eastAsia="zh-CN"/>
        </w:rPr>
        <w:t>《国有土地使用证》[京兴国用（2010）出第00133、00134、00135号]、</w:t>
      </w:r>
      <w:r>
        <w:rPr>
          <w:rFonts w:hint="eastAsia" w:ascii="Arial" w:hAnsi="Arial" w:cs="Arial"/>
          <w:sz w:val="21"/>
          <w:szCs w:val="21"/>
          <w:highlight w:val="none"/>
          <w:lang w:eastAsia="zh-CN"/>
        </w:rPr>
        <w:t>《</w:t>
      </w:r>
      <w:r>
        <w:rPr>
          <w:rFonts w:hint="eastAsia" w:ascii="Arial" w:hAnsi="Arial" w:cs="Arial"/>
          <w:sz w:val="21"/>
          <w:szCs w:val="21"/>
          <w:highlight w:val="none"/>
          <w:lang w:val="en-US" w:eastAsia="zh-CN"/>
        </w:rPr>
        <w:t>北京市大兴区住房和城乡建设委员会 关于采育数字时尚小镇保障性住房使用管理有关问题的请示》[京兴建文（2025）123号]、《北京市大兴区住房和城乡建设委员会 关于采育数字时尚小镇保障性住房相关事宜专题会会议纪要》、</w:t>
      </w:r>
      <w:r>
        <w:rPr>
          <w:rFonts w:hint="eastAsia" w:ascii="Arial" w:hAnsi="Arial" w:cs="Arial"/>
          <w:sz w:val="21"/>
          <w:szCs w:val="21"/>
          <w:highlight w:val="none"/>
          <w:lang w:eastAsia="zh-CN"/>
        </w:rPr>
        <w:t>《</w:t>
      </w:r>
      <w:r>
        <w:rPr>
          <w:rFonts w:hint="eastAsia" w:ascii="Arial" w:hAnsi="Arial" w:cs="Arial"/>
          <w:sz w:val="21"/>
          <w:szCs w:val="21"/>
          <w:highlight w:val="none"/>
          <w:lang w:val="en-US" w:eastAsia="zh-CN"/>
        </w:rPr>
        <w:t>房屋所有权证书》[X京房权证兴字第144437、144436、144435、144444、1444440、144439、144442、144443、144449、144445、144447、194022号]</w:t>
      </w:r>
      <w:r>
        <w:rPr>
          <w:rFonts w:hint="eastAsia" w:ascii="Arial" w:hAnsi="Arial" w:cs="Arial"/>
          <w:kern w:val="2"/>
          <w:sz w:val="21"/>
          <w:szCs w:val="21"/>
          <w:highlight w:val="none"/>
        </w:rPr>
        <w:t>、</w:t>
      </w:r>
      <w:r>
        <w:rPr>
          <w:rFonts w:hint="eastAsia" w:ascii="Arial" w:hAnsi="Arial" w:cs="Arial"/>
          <w:sz w:val="21"/>
          <w:szCs w:val="21"/>
          <w:highlight w:val="none"/>
          <w:lang w:eastAsia="zh-CN"/>
        </w:rPr>
        <w:t>《</w:t>
      </w:r>
      <w:r>
        <w:rPr>
          <w:rFonts w:hint="eastAsia" w:ascii="Arial" w:hAnsi="Arial" w:cs="Arial"/>
          <w:sz w:val="21"/>
          <w:szCs w:val="21"/>
          <w:highlight w:val="none"/>
          <w:lang w:val="en-US" w:eastAsia="zh-CN"/>
        </w:rPr>
        <w:t>房屋所有权证书》[X京房权证兴字第100091、102139、102135、102136、102140、102137、102138、103831、102031、110683、110394、110393、110397、110396、110395、110392、110389号]、</w:t>
      </w:r>
      <w:r>
        <w:rPr>
          <w:rFonts w:hint="eastAsia" w:ascii="Arial" w:hAnsi="Arial" w:cs="Arial"/>
          <w:sz w:val="21"/>
          <w:szCs w:val="21"/>
          <w:highlight w:val="none"/>
          <w:lang w:eastAsia="zh-CN"/>
        </w:rPr>
        <w:t>《</w:t>
      </w:r>
      <w:r>
        <w:rPr>
          <w:rFonts w:hint="eastAsia" w:ascii="Arial" w:hAnsi="Arial" w:cs="Arial"/>
          <w:sz w:val="21"/>
          <w:szCs w:val="21"/>
          <w:highlight w:val="none"/>
          <w:lang w:val="en-US" w:eastAsia="zh-CN"/>
        </w:rPr>
        <w:t>房屋所有权证书》[X京房权证兴字第103107、103825号]、</w:t>
      </w:r>
      <w:r>
        <w:rPr>
          <w:rFonts w:hint="eastAsia" w:ascii="Arial" w:hAnsi="Arial" w:cs="Arial"/>
          <w:sz w:val="21"/>
          <w:szCs w:val="21"/>
          <w:highlight w:val="none"/>
          <w:lang w:eastAsia="zh-CN"/>
        </w:rPr>
        <w:t>《</w:t>
      </w:r>
      <w:r>
        <w:rPr>
          <w:rFonts w:hint="eastAsia" w:ascii="Arial" w:hAnsi="Arial" w:cs="Arial"/>
          <w:sz w:val="21"/>
          <w:szCs w:val="21"/>
          <w:highlight w:val="none"/>
          <w:lang w:val="en-US" w:eastAsia="zh-CN"/>
        </w:rPr>
        <w:t>房屋所有权证书》[X京房权证兴字第146943、146944、102030、100093、102028号]、《采育数字时尚小镇保障性住房趸组协议》及其附件</w:t>
      </w:r>
      <w:r>
        <w:rPr>
          <w:rFonts w:hint="eastAsia" w:ascii="Arial" w:hAnsi="Arial" w:cs="Arial"/>
          <w:kern w:val="2"/>
          <w:sz w:val="21"/>
          <w:szCs w:val="21"/>
          <w:highlight w:val="none"/>
        </w:rPr>
        <w:t>，产权合法，使用合法。</w:t>
      </w:r>
    </w:p>
    <w:p w14:paraId="2D8FE447">
      <w:pPr>
        <w:wordWrap w:val="0"/>
        <w:overflowPunct w:val="0"/>
        <w:spacing w:line="480" w:lineRule="auto"/>
        <w:jc w:val="both"/>
        <w:textAlignment w:val="auto"/>
        <w:rPr>
          <w:rFonts w:ascii="Arial" w:hAnsi="Arial" w:cs="Arial"/>
          <w:b/>
          <w:sz w:val="21"/>
          <w:szCs w:val="21"/>
          <w:highlight w:val="none"/>
        </w:rPr>
      </w:pPr>
      <w:r>
        <w:rPr>
          <w:rFonts w:hint="eastAsia" w:ascii="Arial" w:hAnsi="Arial" w:cs="Arial"/>
          <w:b/>
          <w:sz w:val="21"/>
          <w:szCs w:val="21"/>
          <w:highlight w:val="none"/>
        </w:rPr>
        <w:t>（三）</w:t>
      </w:r>
      <w:r>
        <w:rPr>
          <w:rFonts w:ascii="Arial" w:hAnsi="Arial" w:cs="Arial"/>
          <w:b/>
          <w:sz w:val="21"/>
          <w:szCs w:val="21"/>
          <w:highlight w:val="none"/>
        </w:rPr>
        <w:t>最高最佳利用原则</w:t>
      </w:r>
    </w:p>
    <w:p w14:paraId="0435469F">
      <w:pPr>
        <w:wordWrap w:val="0"/>
        <w:overflowPunct w:val="0"/>
        <w:spacing w:line="480" w:lineRule="auto"/>
        <w:ind w:firstLine="420" w:firstLineChars="200"/>
        <w:jc w:val="both"/>
        <w:textAlignment w:val="auto"/>
        <w:rPr>
          <w:rFonts w:ascii="Arial" w:hAnsi="Arial" w:cs="Arial"/>
          <w:sz w:val="21"/>
          <w:szCs w:val="21"/>
          <w:highlight w:val="none"/>
        </w:rPr>
      </w:pPr>
      <w:r>
        <w:rPr>
          <w:rFonts w:ascii="Arial" w:hAnsi="Arial" w:cs="Arial"/>
          <w:sz w:val="21"/>
          <w:szCs w:val="21"/>
          <w:highlight w:val="none"/>
        </w:rPr>
        <w:t>由于房地产具有用途的多样性，不同的利用方式能为权利人带来不同的收益，且房地产权利人都期望从其占有的房地产上获得更多的收益，并以能满足这一目的为确定房地产利用方式的依据。所以，最高最佳利用是在法律上可行、技术上可能、经济上可行，经过充分合理的论证，能使估价对象价值达到最大、最可能的使用。</w:t>
      </w:r>
    </w:p>
    <w:p w14:paraId="0AE2F88A">
      <w:pPr>
        <w:wordWrap w:val="0"/>
        <w:overflowPunct w:val="0"/>
        <w:spacing w:line="480" w:lineRule="auto"/>
        <w:jc w:val="both"/>
        <w:textAlignment w:val="auto"/>
        <w:rPr>
          <w:rFonts w:ascii="Arial" w:hAnsi="Arial" w:cs="Arial"/>
          <w:b/>
          <w:sz w:val="21"/>
          <w:szCs w:val="21"/>
          <w:highlight w:val="none"/>
        </w:rPr>
      </w:pPr>
      <w:r>
        <w:rPr>
          <w:rFonts w:ascii="Arial" w:hAnsi="Arial" w:cs="Arial"/>
          <w:b/>
          <w:sz w:val="21"/>
          <w:szCs w:val="21"/>
          <w:highlight w:val="none"/>
        </w:rPr>
        <w:t>（</w:t>
      </w:r>
      <w:r>
        <w:rPr>
          <w:rFonts w:hint="eastAsia" w:ascii="Arial" w:hAnsi="Arial" w:cs="Arial"/>
          <w:b/>
          <w:sz w:val="21"/>
          <w:szCs w:val="21"/>
          <w:highlight w:val="none"/>
        </w:rPr>
        <w:t>四</w:t>
      </w:r>
      <w:r>
        <w:rPr>
          <w:rFonts w:ascii="Arial" w:hAnsi="Arial" w:cs="Arial"/>
          <w:b/>
          <w:sz w:val="21"/>
          <w:szCs w:val="21"/>
          <w:highlight w:val="none"/>
        </w:rPr>
        <w:t>）替代原则</w:t>
      </w:r>
    </w:p>
    <w:p w14:paraId="40657124">
      <w:pPr>
        <w:wordWrap w:val="0"/>
        <w:overflowPunct w:val="0"/>
        <w:spacing w:line="480" w:lineRule="auto"/>
        <w:ind w:firstLine="420" w:firstLineChars="200"/>
        <w:jc w:val="both"/>
        <w:textAlignment w:val="auto"/>
        <w:rPr>
          <w:rFonts w:ascii="Arial" w:hAnsi="Arial" w:cs="Arial"/>
          <w:sz w:val="21"/>
          <w:szCs w:val="21"/>
          <w:highlight w:val="none"/>
        </w:rPr>
      </w:pPr>
      <w:r>
        <w:rPr>
          <w:rFonts w:ascii="Arial" w:hAnsi="Arial" w:cs="Arial"/>
          <w:sz w:val="21"/>
          <w:szCs w:val="21"/>
          <w:highlight w:val="none"/>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0EB255F6">
      <w:pPr>
        <w:wordWrap w:val="0"/>
        <w:overflowPunct w:val="0"/>
        <w:spacing w:line="480" w:lineRule="auto"/>
        <w:ind w:firstLine="420" w:firstLineChars="200"/>
        <w:jc w:val="both"/>
        <w:textAlignment w:val="auto"/>
        <w:rPr>
          <w:rFonts w:ascii="Arial" w:hAnsi="Arial" w:cs="Arial"/>
          <w:sz w:val="21"/>
          <w:szCs w:val="21"/>
          <w:highlight w:val="none"/>
        </w:rPr>
      </w:pPr>
      <w:r>
        <w:rPr>
          <w:rFonts w:ascii="Arial" w:hAnsi="Arial" w:cs="Arial"/>
          <w:sz w:val="21"/>
          <w:szCs w:val="21"/>
          <w:highlight w:val="none"/>
        </w:rPr>
        <w:t>替代原则也反映了房地产估价的基本原理和最一般的估价过程：房地产估价所要确定的估价结论是估价对象的客观合理价值。对于房地产交易目的而言，该客观合理价值应当是在公开市场上最可能形成或者成立的价格，房地产估价就是参照公开市场上足够数量的类似房地产的近期成交价格来确定估价对象的客观合理价值的。</w:t>
      </w:r>
    </w:p>
    <w:p w14:paraId="6A9876B6">
      <w:pPr>
        <w:wordWrap w:val="0"/>
        <w:overflowPunct w:val="0"/>
        <w:spacing w:line="480" w:lineRule="auto"/>
        <w:jc w:val="both"/>
        <w:textAlignment w:val="auto"/>
        <w:rPr>
          <w:rFonts w:ascii="Arial" w:hAnsi="Arial" w:cs="Arial"/>
          <w:b/>
          <w:sz w:val="21"/>
          <w:szCs w:val="21"/>
          <w:highlight w:val="none"/>
        </w:rPr>
      </w:pPr>
      <w:r>
        <w:rPr>
          <w:rFonts w:ascii="Arial" w:hAnsi="Arial" w:cs="Arial"/>
          <w:b/>
          <w:sz w:val="21"/>
          <w:szCs w:val="21"/>
          <w:highlight w:val="none"/>
        </w:rPr>
        <w:t>（</w:t>
      </w:r>
      <w:r>
        <w:rPr>
          <w:rFonts w:hint="eastAsia" w:ascii="Arial" w:hAnsi="Arial" w:cs="Arial"/>
          <w:b/>
          <w:sz w:val="21"/>
          <w:szCs w:val="21"/>
          <w:highlight w:val="none"/>
        </w:rPr>
        <w:t>五</w:t>
      </w:r>
      <w:r>
        <w:rPr>
          <w:rFonts w:ascii="Arial" w:hAnsi="Arial" w:cs="Arial"/>
          <w:b/>
          <w:sz w:val="21"/>
          <w:szCs w:val="21"/>
          <w:highlight w:val="none"/>
        </w:rPr>
        <w:t>）价值时点原则</w:t>
      </w:r>
    </w:p>
    <w:p w14:paraId="760F14BB">
      <w:pPr>
        <w:wordWrap w:val="0"/>
        <w:overflowPunct w:val="0"/>
        <w:spacing w:line="480" w:lineRule="auto"/>
        <w:ind w:firstLine="420" w:firstLineChars="200"/>
        <w:jc w:val="both"/>
        <w:textAlignment w:val="auto"/>
        <w:rPr>
          <w:rFonts w:ascii="Arial" w:hAnsi="Arial" w:cs="Arial"/>
          <w:sz w:val="21"/>
          <w:szCs w:val="21"/>
          <w:highlight w:val="none"/>
        </w:rPr>
      </w:pPr>
      <w:r>
        <w:rPr>
          <w:rFonts w:ascii="Arial" w:hAnsi="Arial" w:cs="Arial"/>
          <w:sz w:val="21"/>
          <w:szCs w:val="21"/>
          <w:highlight w:val="none"/>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3B9B4A5C">
      <w:pPr>
        <w:wordWrap w:val="0"/>
        <w:overflowPunct w:val="0"/>
        <w:spacing w:line="480" w:lineRule="auto"/>
        <w:ind w:firstLine="420" w:firstLineChars="200"/>
        <w:jc w:val="both"/>
        <w:textAlignment w:val="auto"/>
        <w:rPr>
          <w:rFonts w:ascii="Arial" w:hAnsi="Arial" w:cs="Arial"/>
          <w:sz w:val="21"/>
          <w:szCs w:val="21"/>
          <w:highlight w:val="none"/>
        </w:rPr>
      </w:pPr>
      <w:r>
        <w:rPr>
          <w:rFonts w:ascii="Arial" w:hAnsi="Arial" w:cs="Arial"/>
          <w:sz w:val="21"/>
          <w:szCs w:val="21"/>
          <w:highlight w:val="none"/>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4F809226">
      <w:pPr>
        <w:wordWrap w:val="0"/>
        <w:overflowPunct w:val="0"/>
        <w:spacing w:line="480" w:lineRule="auto"/>
        <w:jc w:val="both"/>
        <w:textAlignment w:val="auto"/>
        <w:rPr>
          <w:rFonts w:ascii="Arial" w:hAnsi="Arial" w:cs="Arial"/>
          <w:b/>
          <w:sz w:val="21"/>
          <w:szCs w:val="21"/>
          <w:highlight w:val="none"/>
        </w:rPr>
      </w:pPr>
      <w:r>
        <w:rPr>
          <w:rFonts w:hint="eastAsia" w:ascii="Arial" w:hAnsi="Arial" w:cs="Arial"/>
          <w:b/>
          <w:sz w:val="21"/>
          <w:szCs w:val="21"/>
          <w:highlight w:val="none"/>
        </w:rPr>
        <w:t>（六）一贯性原则</w:t>
      </w:r>
    </w:p>
    <w:p w14:paraId="127396C5">
      <w:pPr>
        <w:wordWrap w:val="0"/>
        <w:overflowPunct w:val="0"/>
        <w:spacing w:line="480" w:lineRule="auto"/>
        <w:ind w:firstLine="420" w:firstLineChars="200"/>
        <w:jc w:val="both"/>
        <w:textAlignment w:val="auto"/>
        <w:rPr>
          <w:rFonts w:ascii="Arial" w:hAnsi="Arial" w:cs="Arial"/>
          <w:sz w:val="21"/>
          <w:szCs w:val="21"/>
          <w:highlight w:val="none"/>
        </w:rPr>
      </w:pPr>
      <w:r>
        <w:rPr>
          <w:rFonts w:hint="eastAsia" w:ascii="Arial" w:hAnsi="Arial" w:cs="Arial"/>
          <w:sz w:val="21"/>
          <w:szCs w:val="21"/>
          <w:highlight w:val="none"/>
        </w:rPr>
        <w:t>在不同时间为了同一估价目的对同一或同类房地产再次或多次进行估价时，应采用相同的估价方法或对待方式。</w:t>
      </w:r>
    </w:p>
    <w:p w14:paraId="776BCAAC">
      <w:pPr>
        <w:wordWrap w:val="0"/>
        <w:overflowPunct w:val="0"/>
        <w:spacing w:line="480" w:lineRule="auto"/>
        <w:ind w:firstLine="420" w:firstLineChars="200"/>
        <w:jc w:val="both"/>
        <w:textAlignment w:val="auto"/>
        <w:rPr>
          <w:rFonts w:ascii="Arial" w:hAnsi="Arial" w:cs="Arial"/>
          <w:sz w:val="21"/>
          <w:szCs w:val="21"/>
          <w:highlight w:val="none"/>
        </w:rPr>
      </w:pPr>
    </w:p>
    <w:p w14:paraId="7D4B10C8">
      <w:pPr>
        <w:pStyle w:val="3"/>
        <w:numPr>
          <w:ilvl w:val="0"/>
          <w:numId w:val="0"/>
        </w:numPr>
        <w:wordWrap w:val="0"/>
        <w:overflowPunct w:val="0"/>
        <w:spacing w:line="480" w:lineRule="auto"/>
        <w:ind w:left="358" w:hanging="358" w:hangingChars="170"/>
        <w:jc w:val="both"/>
        <w:textAlignment w:val="auto"/>
        <w:rPr>
          <w:rFonts w:eastAsia="宋体"/>
          <w:kern w:val="2"/>
          <w:sz w:val="21"/>
          <w:szCs w:val="21"/>
          <w:highlight w:val="none"/>
        </w:rPr>
      </w:pPr>
      <w:bookmarkStart w:id="33" w:name="_Toc168225820"/>
      <w:bookmarkStart w:id="34" w:name="_Toc155267093"/>
      <w:r>
        <w:rPr>
          <w:rFonts w:eastAsia="宋体"/>
          <w:kern w:val="2"/>
          <w:sz w:val="21"/>
          <w:szCs w:val="21"/>
          <w:highlight w:val="none"/>
        </w:rPr>
        <w:t>八、估价</w:t>
      </w:r>
      <w:bookmarkEnd w:id="33"/>
      <w:r>
        <w:rPr>
          <w:rFonts w:eastAsia="宋体"/>
          <w:kern w:val="2"/>
          <w:sz w:val="21"/>
          <w:szCs w:val="21"/>
          <w:highlight w:val="none"/>
        </w:rPr>
        <w:t>依据</w:t>
      </w:r>
      <w:bookmarkEnd w:id="34"/>
    </w:p>
    <w:p w14:paraId="43CFC2DD">
      <w:pPr>
        <w:wordWrap w:val="0"/>
        <w:overflowPunct w:val="0"/>
        <w:spacing w:line="480" w:lineRule="auto"/>
        <w:jc w:val="both"/>
        <w:textAlignment w:val="auto"/>
        <w:rPr>
          <w:rFonts w:ascii="Arial" w:hAnsi="Arial" w:cs="Arial"/>
          <w:b/>
          <w:sz w:val="21"/>
          <w:szCs w:val="21"/>
          <w:highlight w:val="none"/>
        </w:rPr>
      </w:pPr>
      <w:r>
        <w:rPr>
          <w:rFonts w:ascii="Arial" w:hAnsi="Arial" w:cs="Arial"/>
          <w:b/>
          <w:sz w:val="21"/>
          <w:szCs w:val="21"/>
          <w:highlight w:val="none"/>
        </w:rPr>
        <w:t>（一）有关的法律、法规</w:t>
      </w:r>
    </w:p>
    <w:p w14:paraId="14737C05">
      <w:pPr>
        <w:wordWrap w:val="0"/>
        <w:overflowPunct w:val="0"/>
        <w:spacing w:line="480" w:lineRule="auto"/>
        <w:jc w:val="both"/>
        <w:textAlignment w:val="auto"/>
        <w:rPr>
          <w:rFonts w:ascii="Arial" w:hAnsi="Arial" w:cs="Arial"/>
          <w:sz w:val="21"/>
          <w:szCs w:val="21"/>
          <w:highlight w:val="none"/>
        </w:rPr>
      </w:pPr>
      <w:r>
        <w:rPr>
          <w:rFonts w:hint="eastAsia" w:ascii="Arial" w:hAnsi="Arial" w:cs="Arial"/>
          <w:sz w:val="21"/>
          <w:szCs w:val="21"/>
          <w:highlight w:val="none"/>
        </w:rPr>
        <w:t>1. 《中华人民共和国土地管理法》（1986年6月25日第六届全国人民代表大会常务委员会第十六次会议通过，中华人民共和国主席令第41号公布，1987年1月1日起施行；1988年12月29日第七届全国人民代表大会常务委员会第五次会议第一次修正通过，自1988年12月29日起施行；1998年8月29日第九届全国人民代表大会常务委员会第四次会议修订通过，中华人民共和国主席令第8号公布，自1999年1月1日起施行；2004年8月28日第十届全国人民代表大会常务委员会第十一次会议第二次修正通过，中华人民共和国主席令第28号公布，自公布起日起施行；2019年8月26日第十三届全国人民代表大会常务委员会第十二次会议第三次修正通过，自2020年1月1日起施行）</w:t>
      </w:r>
    </w:p>
    <w:p w14:paraId="2D69763A">
      <w:pPr>
        <w:wordWrap w:val="0"/>
        <w:overflowPunct w:val="0"/>
        <w:spacing w:line="480" w:lineRule="auto"/>
        <w:jc w:val="both"/>
        <w:textAlignment w:val="auto"/>
        <w:rPr>
          <w:rFonts w:ascii="Arial" w:hAnsi="Arial" w:cs="Arial"/>
          <w:sz w:val="21"/>
          <w:szCs w:val="21"/>
          <w:highlight w:val="none"/>
        </w:rPr>
      </w:pPr>
      <w:r>
        <w:rPr>
          <w:rFonts w:hint="eastAsia" w:ascii="Arial" w:hAnsi="Arial" w:cs="Arial"/>
          <w:sz w:val="21"/>
          <w:szCs w:val="21"/>
          <w:highlight w:val="none"/>
        </w:rPr>
        <w:t>2.《中华人民共和国资产评估法》（2016年7月2日第十二届全国人民代表大会常务委员会第二十一次会议通过 2016年3月16日中华人民共和国主席令第46号公布 自2016年12月1日起施行）</w:t>
      </w:r>
    </w:p>
    <w:p w14:paraId="41E96191">
      <w:pPr>
        <w:wordWrap w:val="0"/>
        <w:overflowPunct w:val="0"/>
        <w:spacing w:line="480" w:lineRule="auto"/>
        <w:jc w:val="both"/>
        <w:textAlignment w:val="auto"/>
        <w:rPr>
          <w:rFonts w:ascii="Arial" w:hAnsi="Arial" w:cs="Arial"/>
          <w:sz w:val="21"/>
          <w:szCs w:val="21"/>
          <w:highlight w:val="none"/>
        </w:rPr>
      </w:pPr>
      <w:r>
        <w:rPr>
          <w:rFonts w:hint="eastAsia" w:ascii="Arial" w:hAnsi="Arial" w:cs="Arial"/>
          <w:sz w:val="21"/>
          <w:szCs w:val="21"/>
          <w:highlight w:val="none"/>
        </w:rPr>
        <w:t>3.《中华人民共和国城镇国有土地使用权出让和转让暂行条例》（1</w:t>
      </w:r>
      <w:r>
        <w:rPr>
          <w:rFonts w:ascii="Arial" w:hAnsi="Arial" w:cs="Arial"/>
          <w:sz w:val="21"/>
          <w:szCs w:val="21"/>
          <w:highlight w:val="none"/>
        </w:rPr>
        <w:t>990</w:t>
      </w:r>
      <w:r>
        <w:rPr>
          <w:rFonts w:hint="eastAsia" w:ascii="Arial" w:hAnsi="Arial" w:cs="Arial"/>
          <w:sz w:val="21"/>
          <w:szCs w:val="21"/>
          <w:highlight w:val="none"/>
        </w:rPr>
        <w:t>年5月1</w:t>
      </w:r>
      <w:r>
        <w:rPr>
          <w:rFonts w:ascii="Arial" w:hAnsi="Arial" w:cs="Arial"/>
          <w:sz w:val="21"/>
          <w:szCs w:val="21"/>
          <w:highlight w:val="none"/>
        </w:rPr>
        <w:t>9</w:t>
      </w:r>
      <w:r>
        <w:rPr>
          <w:rFonts w:hint="eastAsia" w:ascii="Arial" w:hAnsi="Arial" w:cs="Arial"/>
          <w:sz w:val="21"/>
          <w:szCs w:val="21"/>
          <w:highlight w:val="none"/>
        </w:rPr>
        <w:t>日中华人民共和国国务院令第5</w:t>
      </w:r>
      <w:r>
        <w:rPr>
          <w:rFonts w:ascii="Arial" w:hAnsi="Arial" w:cs="Arial"/>
          <w:sz w:val="21"/>
          <w:szCs w:val="21"/>
          <w:highlight w:val="none"/>
        </w:rPr>
        <w:t>5</w:t>
      </w:r>
      <w:r>
        <w:rPr>
          <w:rFonts w:hint="eastAsia" w:ascii="Arial" w:hAnsi="Arial" w:cs="Arial"/>
          <w:sz w:val="21"/>
          <w:szCs w:val="21"/>
          <w:highlight w:val="none"/>
        </w:rPr>
        <w:t>号发布　根据2</w:t>
      </w:r>
      <w:r>
        <w:rPr>
          <w:rFonts w:ascii="Arial" w:hAnsi="Arial" w:cs="Arial"/>
          <w:sz w:val="21"/>
          <w:szCs w:val="21"/>
          <w:highlight w:val="none"/>
        </w:rPr>
        <w:t>020</w:t>
      </w:r>
      <w:r>
        <w:rPr>
          <w:rFonts w:hint="eastAsia" w:ascii="Arial" w:hAnsi="Arial" w:cs="Arial"/>
          <w:sz w:val="21"/>
          <w:szCs w:val="21"/>
          <w:highlight w:val="none"/>
        </w:rPr>
        <w:t>年1</w:t>
      </w:r>
      <w:r>
        <w:rPr>
          <w:rFonts w:ascii="Arial" w:hAnsi="Arial" w:cs="Arial"/>
          <w:sz w:val="21"/>
          <w:szCs w:val="21"/>
          <w:highlight w:val="none"/>
        </w:rPr>
        <w:t>1</w:t>
      </w:r>
      <w:r>
        <w:rPr>
          <w:rFonts w:hint="eastAsia" w:ascii="Arial" w:hAnsi="Arial" w:cs="Arial"/>
          <w:sz w:val="21"/>
          <w:szCs w:val="21"/>
          <w:highlight w:val="none"/>
        </w:rPr>
        <w:t>月2</w:t>
      </w:r>
      <w:r>
        <w:rPr>
          <w:rFonts w:ascii="Arial" w:hAnsi="Arial" w:cs="Arial"/>
          <w:sz w:val="21"/>
          <w:szCs w:val="21"/>
          <w:highlight w:val="none"/>
        </w:rPr>
        <w:t>9</w:t>
      </w:r>
      <w:r>
        <w:rPr>
          <w:rFonts w:hint="eastAsia" w:ascii="Arial" w:hAnsi="Arial" w:cs="Arial"/>
          <w:sz w:val="21"/>
          <w:szCs w:val="21"/>
          <w:highlight w:val="none"/>
        </w:rPr>
        <w:t>日《国务院关于修改和废止部分行政法规的决定》修订）</w:t>
      </w:r>
    </w:p>
    <w:p w14:paraId="3150D0FE">
      <w:pPr>
        <w:wordWrap w:val="0"/>
        <w:overflowPunct w:val="0"/>
        <w:spacing w:line="480" w:lineRule="auto"/>
        <w:jc w:val="both"/>
        <w:textAlignment w:val="auto"/>
        <w:rPr>
          <w:rFonts w:ascii="Arial" w:hAnsi="Arial" w:cs="Arial"/>
          <w:sz w:val="21"/>
          <w:szCs w:val="21"/>
          <w:highlight w:val="none"/>
        </w:rPr>
      </w:pPr>
      <w:r>
        <w:rPr>
          <w:rFonts w:hint="eastAsia" w:ascii="Arial" w:hAnsi="Arial" w:cs="Arial"/>
          <w:sz w:val="21"/>
          <w:szCs w:val="21"/>
          <w:highlight w:val="none"/>
        </w:rPr>
        <w:t>4.《中华人民共和国民法典》（2020年5月28日第十三届全国人大三次会议表决通过，自2021年1月1日起施行）</w:t>
      </w:r>
    </w:p>
    <w:p w14:paraId="046E6789">
      <w:pPr>
        <w:wordWrap w:val="0"/>
        <w:overflowPunct w:val="0"/>
        <w:spacing w:line="480" w:lineRule="auto"/>
        <w:jc w:val="both"/>
        <w:textAlignment w:val="auto"/>
        <w:rPr>
          <w:rFonts w:ascii="Arial" w:hAnsi="Arial" w:cs="Arial"/>
          <w:sz w:val="21"/>
          <w:szCs w:val="21"/>
          <w:highlight w:val="none"/>
        </w:rPr>
      </w:pPr>
      <w:r>
        <w:rPr>
          <w:rFonts w:hint="eastAsia" w:ascii="Arial" w:hAnsi="Arial" w:cs="Arial"/>
          <w:sz w:val="21"/>
          <w:szCs w:val="21"/>
          <w:highlight w:val="none"/>
        </w:rPr>
        <w:t>5.《中华人民共和国城市房地产管理法》（1994年7月5日第八届全国人民代表大会常务委员会第八次会议通过，中华人民共和国主席令第29号公布，自1995年1月1日起施行；2007年8月30日第十届全国人民代表大会常务委员会第二十九次会议通过第一次修正通过，中华人民共和国主席令第72号公布，自公布之日起施行；2009年8月27日第十一届全国人民代表大会常务委员会第十次会议第二次修正通过，中华人民共和国主席令第18号公布，自公布之日起施行；2019年8月26日第十三届全国人大常委会第十二次会议通过第三次修正，自2020年1月1日起施行）</w:t>
      </w:r>
    </w:p>
    <w:p w14:paraId="1A869C48">
      <w:pPr>
        <w:wordWrap w:val="0"/>
        <w:overflowPunct w:val="0"/>
        <w:spacing w:line="480" w:lineRule="auto"/>
        <w:jc w:val="both"/>
        <w:textAlignment w:val="auto"/>
        <w:rPr>
          <w:rFonts w:ascii="Arial" w:hAnsi="Arial" w:cs="Arial"/>
          <w:sz w:val="21"/>
          <w:szCs w:val="21"/>
          <w:highlight w:val="none"/>
        </w:rPr>
      </w:pPr>
      <w:r>
        <w:rPr>
          <w:rFonts w:hint="eastAsia" w:ascii="Arial" w:hAnsi="Arial" w:cs="Arial"/>
          <w:sz w:val="21"/>
          <w:szCs w:val="21"/>
          <w:highlight w:val="none"/>
        </w:rPr>
        <w:t>6</w:t>
      </w:r>
      <w:r>
        <w:rPr>
          <w:rFonts w:ascii="Arial" w:hAnsi="Arial" w:cs="Arial"/>
          <w:sz w:val="21"/>
          <w:szCs w:val="21"/>
          <w:highlight w:val="none"/>
        </w:rPr>
        <w:t>.</w:t>
      </w:r>
      <w:r>
        <w:rPr>
          <w:rFonts w:hint="eastAsia" w:ascii="Arial" w:hAnsi="Arial" w:cs="Arial"/>
          <w:sz w:val="21"/>
          <w:szCs w:val="21"/>
          <w:highlight w:val="none"/>
        </w:rPr>
        <w:t>《关于完善住房租赁有关税收政策的公告》（财务部 税务总局 住房城乡建设部公告2</w:t>
      </w:r>
      <w:r>
        <w:rPr>
          <w:rFonts w:ascii="Arial" w:hAnsi="Arial" w:cs="Arial"/>
          <w:sz w:val="21"/>
          <w:szCs w:val="21"/>
          <w:highlight w:val="none"/>
        </w:rPr>
        <w:t>021</w:t>
      </w:r>
      <w:r>
        <w:rPr>
          <w:rFonts w:hint="eastAsia" w:ascii="Arial" w:hAnsi="Arial" w:cs="Arial"/>
          <w:sz w:val="21"/>
          <w:szCs w:val="21"/>
          <w:highlight w:val="none"/>
        </w:rPr>
        <w:t>年第2</w:t>
      </w:r>
      <w:r>
        <w:rPr>
          <w:rFonts w:ascii="Arial" w:hAnsi="Arial" w:cs="Arial"/>
          <w:sz w:val="21"/>
          <w:szCs w:val="21"/>
          <w:highlight w:val="none"/>
        </w:rPr>
        <w:t>4</w:t>
      </w:r>
      <w:r>
        <w:rPr>
          <w:rFonts w:hint="eastAsia" w:ascii="Arial" w:hAnsi="Arial" w:cs="Arial"/>
          <w:sz w:val="21"/>
          <w:szCs w:val="21"/>
          <w:highlight w:val="none"/>
        </w:rPr>
        <w:t>号）</w:t>
      </w:r>
    </w:p>
    <w:p w14:paraId="4AFF9FDB">
      <w:pPr>
        <w:wordWrap w:val="0"/>
        <w:overflowPunct w:val="0"/>
        <w:spacing w:line="480" w:lineRule="auto"/>
        <w:jc w:val="both"/>
        <w:textAlignment w:val="auto"/>
        <w:rPr>
          <w:rFonts w:ascii="Arial" w:hAnsi="Arial" w:cs="Arial"/>
          <w:sz w:val="21"/>
          <w:szCs w:val="21"/>
          <w:highlight w:val="none"/>
        </w:rPr>
      </w:pPr>
      <w:r>
        <w:rPr>
          <w:rFonts w:ascii="Arial" w:hAnsi="Arial" w:cs="Arial"/>
          <w:b/>
          <w:sz w:val="21"/>
          <w:szCs w:val="21"/>
          <w:highlight w:val="none"/>
        </w:rPr>
        <w:t>（</w:t>
      </w:r>
      <w:r>
        <w:rPr>
          <w:rFonts w:hint="eastAsia" w:ascii="Arial" w:hAnsi="Arial" w:cs="Arial"/>
          <w:b/>
          <w:sz w:val="21"/>
          <w:szCs w:val="21"/>
          <w:highlight w:val="none"/>
        </w:rPr>
        <w:t>二</w:t>
      </w:r>
      <w:r>
        <w:rPr>
          <w:rFonts w:ascii="Arial" w:hAnsi="Arial" w:cs="Arial"/>
          <w:b/>
          <w:sz w:val="21"/>
          <w:szCs w:val="21"/>
          <w:highlight w:val="none"/>
        </w:rPr>
        <w:t>）</w:t>
      </w:r>
      <w:r>
        <w:rPr>
          <w:rFonts w:hint="eastAsia" w:ascii="Arial" w:hAnsi="Arial" w:cs="Arial"/>
          <w:b/>
          <w:sz w:val="21"/>
          <w:szCs w:val="21"/>
          <w:highlight w:val="none"/>
        </w:rPr>
        <w:t>技术标准</w:t>
      </w:r>
    </w:p>
    <w:p w14:paraId="4BA46ACD">
      <w:pPr>
        <w:numPr>
          <w:ilvl w:val="0"/>
          <w:numId w:val="6"/>
        </w:numPr>
        <w:wordWrap w:val="0"/>
        <w:overflowPunct w:val="0"/>
        <w:spacing w:line="480" w:lineRule="auto"/>
        <w:ind w:left="0" w:firstLine="0"/>
        <w:jc w:val="both"/>
        <w:textAlignment w:val="auto"/>
        <w:rPr>
          <w:rFonts w:ascii="Arial" w:hAnsi="Arial" w:cs="Arial"/>
          <w:sz w:val="21"/>
          <w:szCs w:val="21"/>
          <w:highlight w:val="none"/>
        </w:rPr>
      </w:pPr>
      <w:r>
        <w:rPr>
          <w:rFonts w:ascii="Arial" w:hAnsi="Arial" w:cs="Arial"/>
          <w:sz w:val="21"/>
          <w:szCs w:val="21"/>
          <w:highlight w:val="none"/>
        </w:rPr>
        <w:t>《房地产估价规范》[GB/T</w:t>
      </w:r>
      <w:r>
        <w:rPr>
          <w:rFonts w:hint="eastAsia" w:ascii="Arial" w:hAnsi="Arial" w:cs="Arial"/>
          <w:sz w:val="21"/>
          <w:szCs w:val="21"/>
          <w:highlight w:val="none"/>
        </w:rPr>
        <w:t xml:space="preserve"> </w:t>
      </w:r>
      <w:r>
        <w:rPr>
          <w:rFonts w:ascii="Arial" w:hAnsi="Arial" w:cs="Arial"/>
          <w:sz w:val="21"/>
          <w:szCs w:val="21"/>
          <w:highlight w:val="none"/>
        </w:rPr>
        <w:t>50291-2015]</w:t>
      </w:r>
    </w:p>
    <w:p w14:paraId="7DA216EE">
      <w:pPr>
        <w:numPr>
          <w:ilvl w:val="0"/>
          <w:numId w:val="6"/>
        </w:numPr>
        <w:wordWrap w:val="0"/>
        <w:overflowPunct w:val="0"/>
        <w:spacing w:line="480" w:lineRule="auto"/>
        <w:ind w:left="0" w:firstLine="0"/>
        <w:jc w:val="both"/>
        <w:textAlignment w:val="auto"/>
        <w:rPr>
          <w:rFonts w:ascii="Arial" w:hAnsi="Arial" w:cs="Arial"/>
          <w:b/>
          <w:sz w:val="21"/>
          <w:szCs w:val="21"/>
          <w:highlight w:val="none"/>
        </w:rPr>
      </w:pPr>
      <w:r>
        <w:rPr>
          <w:rFonts w:hint="eastAsia" w:ascii="Arial" w:hAnsi="Arial" w:cs="Arial"/>
          <w:sz w:val="21"/>
          <w:szCs w:val="21"/>
          <w:highlight w:val="none"/>
        </w:rPr>
        <w:t>《</w:t>
      </w:r>
      <w:r>
        <w:rPr>
          <w:rFonts w:ascii="Arial" w:hAnsi="Arial" w:cs="Arial"/>
          <w:sz w:val="21"/>
          <w:szCs w:val="21"/>
          <w:highlight w:val="none"/>
        </w:rPr>
        <w:t>房地产估价基本术语标</w:t>
      </w:r>
      <w:r>
        <w:rPr>
          <w:rFonts w:hint="eastAsia" w:ascii="Arial" w:hAnsi="Arial" w:cs="Arial"/>
          <w:sz w:val="21"/>
          <w:szCs w:val="21"/>
          <w:highlight w:val="none"/>
        </w:rPr>
        <w:t>准》</w:t>
      </w:r>
      <w:r>
        <w:rPr>
          <w:rFonts w:ascii="Arial" w:hAnsi="Arial" w:cs="Arial"/>
          <w:sz w:val="21"/>
          <w:szCs w:val="21"/>
          <w:highlight w:val="none"/>
        </w:rPr>
        <w:t>[GB/T</w:t>
      </w:r>
      <w:r>
        <w:rPr>
          <w:rFonts w:hint="eastAsia" w:ascii="Arial" w:hAnsi="Arial" w:cs="Arial"/>
          <w:sz w:val="21"/>
          <w:szCs w:val="21"/>
          <w:highlight w:val="none"/>
        </w:rPr>
        <w:t xml:space="preserve"> </w:t>
      </w:r>
      <w:r>
        <w:rPr>
          <w:rFonts w:ascii="Arial" w:hAnsi="Arial" w:cs="Arial"/>
          <w:sz w:val="21"/>
          <w:szCs w:val="21"/>
          <w:highlight w:val="none"/>
        </w:rPr>
        <w:t>50899-2013]</w:t>
      </w:r>
    </w:p>
    <w:p w14:paraId="4E56AE35">
      <w:pPr>
        <w:wordWrap w:val="0"/>
        <w:overflowPunct w:val="0"/>
        <w:spacing w:line="480" w:lineRule="auto"/>
        <w:jc w:val="both"/>
        <w:textAlignment w:val="auto"/>
        <w:rPr>
          <w:rFonts w:ascii="Arial" w:hAnsi="Arial" w:cs="Arial"/>
          <w:b/>
          <w:sz w:val="21"/>
          <w:szCs w:val="21"/>
          <w:highlight w:val="none"/>
        </w:rPr>
      </w:pPr>
      <w:r>
        <w:rPr>
          <w:rFonts w:ascii="Arial" w:hAnsi="Arial" w:cs="Arial"/>
          <w:b/>
          <w:sz w:val="21"/>
          <w:szCs w:val="21"/>
          <w:highlight w:val="none"/>
        </w:rPr>
        <w:t>（</w:t>
      </w:r>
      <w:r>
        <w:rPr>
          <w:rFonts w:hint="eastAsia" w:ascii="Arial" w:hAnsi="Arial" w:cs="Arial"/>
          <w:b/>
          <w:sz w:val="21"/>
          <w:szCs w:val="21"/>
          <w:highlight w:val="none"/>
        </w:rPr>
        <w:t>三</w:t>
      </w:r>
      <w:r>
        <w:rPr>
          <w:rFonts w:ascii="Arial" w:hAnsi="Arial" w:cs="Arial"/>
          <w:b/>
          <w:sz w:val="21"/>
          <w:szCs w:val="21"/>
          <w:highlight w:val="none"/>
        </w:rPr>
        <w:t>）估价委托人提供的资料</w:t>
      </w:r>
    </w:p>
    <w:p w14:paraId="6E6609EF">
      <w:pPr>
        <w:numPr>
          <w:ilvl w:val="0"/>
          <w:numId w:val="7"/>
        </w:numPr>
        <w:overflowPunct w:val="0"/>
        <w:spacing w:line="480" w:lineRule="auto"/>
        <w:ind w:left="0" w:firstLine="0"/>
        <w:jc w:val="both"/>
        <w:textAlignment w:val="auto"/>
        <w:rPr>
          <w:rFonts w:ascii="Arial" w:hAnsi="Arial" w:cs="Arial"/>
          <w:sz w:val="21"/>
          <w:szCs w:val="21"/>
          <w:highlight w:val="none"/>
        </w:rPr>
      </w:pPr>
      <w:r>
        <w:rPr>
          <w:rFonts w:hint="eastAsia" w:ascii="Arial" w:hAnsi="Arial" w:cs="Arial"/>
          <w:sz w:val="21"/>
          <w:szCs w:val="21"/>
          <w:highlight w:val="none"/>
        </w:rPr>
        <w:t>《估价委托书》</w:t>
      </w:r>
    </w:p>
    <w:p w14:paraId="091F9E8E">
      <w:pPr>
        <w:numPr>
          <w:ilvl w:val="0"/>
          <w:numId w:val="7"/>
        </w:numPr>
        <w:overflowPunct w:val="0"/>
        <w:spacing w:line="480" w:lineRule="auto"/>
        <w:jc w:val="both"/>
        <w:textAlignment w:val="auto"/>
        <w:rPr>
          <w:rFonts w:ascii="Arial" w:hAnsi="Arial" w:cs="Arial"/>
          <w:sz w:val="21"/>
          <w:szCs w:val="21"/>
          <w:highlight w:val="none"/>
        </w:rPr>
      </w:pPr>
      <w:r>
        <w:rPr>
          <w:rFonts w:hint="eastAsia" w:ascii="Arial" w:hAnsi="Arial" w:cs="Arial"/>
          <w:sz w:val="21"/>
          <w:szCs w:val="21"/>
          <w:highlight w:val="none"/>
          <w:lang w:eastAsia="zh-CN"/>
        </w:rPr>
        <w:t>《</w:t>
      </w:r>
      <w:r>
        <w:rPr>
          <w:rFonts w:hint="eastAsia" w:ascii="Arial" w:hAnsi="Arial" w:cs="Arial"/>
          <w:sz w:val="21"/>
          <w:szCs w:val="21"/>
          <w:highlight w:val="none"/>
          <w:lang w:val="en-US" w:eastAsia="zh-CN"/>
        </w:rPr>
        <w:t>北京市大兴区发展和改革委员会 关于转发大兴区采育镇城镇中心区定向安置房项目核准批复的通知》[京兴发改转（2010）3号]及附件复印件</w:t>
      </w:r>
    </w:p>
    <w:p w14:paraId="3C7A6ADE">
      <w:pPr>
        <w:numPr>
          <w:ilvl w:val="0"/>
          <w:numId w:val="7"/>
        </w:numPr>
        <w:overflowPunct w:val="0"/>
        <w:spacing w:line="480" w:lineRule="auto"/>
        <w:jc w:val="both"/>
        <w:textAlignment w:val="auto"/>
        <w:rPr>
          <w:rFonts w:hint="eastAsia" w:ascii="Arial" w:hAnsi="Arial" w:cs="Arial"/>
          <w:sz w:val="21"/>
          <w:szCs w:val="21"/>
          <w:highlight w:val="none"/>
          <w:lang w:eastAsia="zh-CN"/>
        </w:rPr>
      </w:pPr>
      <w:r>
        <w:rPr>
          <w:rFonts w:hint="eastAsia" w:ascii="Arial" w:hAnsi="Arial" w:cs="Arial"/>
          <w:sz w:val="21"/>
          <w:szCs w:val="21"/>
          <w:highlight w:val="none"/>
          <w:lang w:eastAsia="zh-CN"/>
        </w:rPr>
        <w:t>《国有土地使用证》[京兴国用（2010）出第00133、00134、00135号]部分复印件</w:t>
      </w:r>
    </w:p>
    <w:p w14:paraId="07844C00">
      <w:pPr>
        <w:numPr>
          <w:ilvl w:val="0"/>
          <w:numId w:val="7"/>
        </w:numPr>
        <w:overflowPunct w:val="0"/>
        <w:spacing w:line="480" w:lineRule="auto"/>
        <w:jc w:val="both"/>
        <w:textAlignment w:val="auto"/>
        <w:rPr>
          <w:rFonts w:hint="eastAsia" w:ascii="Arial" w:hAnsi="Arial" w:cs="Arial"/>
          <w:sz w:val="21"/>
          <w:szCs w:val="21"/>
          <w:highlight w:val="none"/>
          <w:lang w:eastAsia="zh-CN"/>
        </w:rPr>
      </w:pPr>
      <w:r>
        <w:rPr>
          <w:rFonts w:hint="eastAsia" w:ascii="Arial" w:hAnsi="Arial" w:cs="Arial"/>
          <w:sz w:val="21"/>
          <w:szCs w:val="21"/>
          <w:highlight w:val="none"/>
          <w:lang w:eastAsia="zh-CN"/>
        </w:rPr>
        <w:t>《北京市大兴区发展和改革委员会 关于转发大兴区采育镇区四号地01-0001A、B地块住宅混合公建用地、二类居住用地回迁安置房项目核准批复的通知》[京兴发改转（2012）27号]及附件复印件</w:t>
      </w:r>
    </w:p>
    <w:p w14:paraId="03E5F653">
      <w:pPr>
        <w:numPr>
          <w:ilvl w:val="0"/>
          <w:numId w:val="7"/>
        </w:numPr>
        <w:overflowPunct w:val="0"/>
        <w:spacing w:line="480" w:lineRule="auto"/>
        <w:jc w:val="both"/>
        <w:textAlignment w:val="auto"/>
        <w:rPr>
          <w:rFonts w:hint="eastAsia" w:ascii="Arial" w:hAnsi="Arial" w:cs="Arial"/>
          <w:sz w:val="21"/>
          <w:szCs w:val="21"/>
          <w:highlight w:val="none"/>
          <w:lang w:eastAsia="zh-CN"/>
        </w:rPr>
      </w:pPr>
      <w:r>
        <w:rPr>
          <w:rFonts w:hint="eastAsia" w:ascii="Arial" w:hAnsi="Arial" w:cs="Arial"/>
          <w:sz w:val="21"/>
          <w:szCs w:val="21"/>
          <w:highlight w:val="none"/>
          <w:lang w:eastAsia="zh-CN"/>
        </w:rPr>
        <w:t>《北京市大兴区采育镇四号地01-0001A、01-0001B地块项目开发回购协议书补充协议》[兴采01-0001协字（2012）001号附件1]复印件</w:t>
      </w:r>
    </w:p>
    <w:p w14:paraId="733C4EE5">
      <w:pPr>
        <w:numPr>
          <w:ilvl w:val="0"/>
          <w:numId w:val="7"/>
        </w:numPr>
        <w:overflowPunct w:val="0"/>
        <w:spacing w:line="480" w:lineRule="auto"/>
        <w:jc w:val="both"/>
        <w:textAlignment w:val="auto"/>
        <w:rPr>
          <w:rFonts w:hint="eastAsia" w:ascii="Arial" w:hAnsi="Arial" w:cs="Arial"/>
          <w:sz w:val="21"/>
          <w:szCs w:val="21"/>
          <w:highlight w:val="none"/>
          <w:lang w:eastAsia="zh-CN"/>
        </w:rPr>
      </w:pPr>
      <w:r>
        <w:rPr>
          <w:rFonts w:hint="eastAsia" w:ascii="Arial" w:hAnsi="Arial" w:cs="Arial"/>
          <w:sz w:val="21"/>
          <w:szCs w:val="21"/>
          <w:highlight w:val="none"/>
          <w:lang w:eastAsia="zh-CN"/>
        </w:rPr>
        <w:t>《北京市大兴区住房和城乡建设委员会 关于采育数字时尚小镇保障性住房使用管理有关问题的请示》[京兴建文（2025）123号]复印件</w:t>
      </w:r>
    </w:p>
    <w:p w14:paraId="22313308">
      <w:pPr>
        <w:numPr>
          <w:ilvl w:val="0"/>
          <w:numId w:val="7"/>
        </w:numPr>
        <w:overflowPunct w:val="0"/>
        <w:spacing w:line="480" w:lineRule="auto"/>
        <w:jc w:val="both"/>
        <w:textAlignment w:val="auto"/>
        <w:rPr>
          <w:rFonts w:hint="eastAsia" w:ascii="Arial" w:hAnsi="Arial" w:cs="Arial"/>
          <w:sz w:val="21"/>
          <w:szCs w:val="21"/>
          <w:highlight w:val="none"/>
          <w:lang w:eastAsia="zh-CN"/>
        </w:rPr>
      </w:pPr>
      <w:r>
        <w:rPr>
          <w:rFonts w:hint="eastAsia" w:ascii="Arial" w:hAnsi="Arial" w:cs="Arial"/>
          <w:sz w:val="21"/>
          <w:szCs w:val="21"/>
          <w:highlight w:val="none"/>
          <w:lang w:eastAsia="zh-CN"/>
        </w:rPr>
        <w:t>《北京市大兴区住房和城乡建设委员会 关于采育数字时尚小镇保障性住房相关事宜专题会会议纪要》复印件</w:t>
      </w:r>
    </w:p>
    <w:p w14:paraId="71E7668B">
      <w:pPr>
        <w:numPr>
          <w:ilvl w:val="0"/>
          <w:numId w:val="7"/>
        </w:numPr>
        <w:overflowPunct w:val="0"/>
        <w:spacing w:line="480" w:lineRule="auto"/>
        <w:jc w:val="both"/>
        <w:textAlignment w:val="auto"/>
        <w:rPr>
          <w:rFonts w:hint="eastAsia" w:ascii="Arial" w:hAnsi="Arial" w:cs="Arial"/>
          <w:sz w:val="21"/>
          <w:szCs w:val="21"/>
          <w:highlight w:val="none"/>
          <w:lang w:eastAsia="zh-CN"/>
        </w:rPr>
      </w:pPr>
      <w:r>
        <w:rPr>
          <w:rFonts w:hint="eastAsia" w:ascii="Arial" w:hAnsi="Arial" w:cs="Arial"/>
          <w:sz w:val="21"/>
          <w:szCs w:val="21"/>
          <w:highlight w:val="none"/>
          <w:lang w:eastAsia="zh-CN"/>
        </w:rPr>
        <w:t>《房屋所有权证书》[X京房权证兴字第144437、144436、144435、144444、1444440、144439、144442、144443、144449、144445、144447、194022号]复印件</w:t>
      </w:r>
    </w:p>
    <w:p w14:paraId="0A7975B9">
      <w:pPr>
        <w:numPr>
          <w:ilvl w:val="0"/>
          <w:numId w:val="7"/>
        </w:numPr>
        <w:overflowPunct w:val="0"/>
        <w:spacing w:line="480" w:lineRule="auto"/>
        <w:jc w:val="both"/>
        <w:textAlignment w:val="auto"/>
        <w:rPr>
          <w:rFonts w:hint="eastAsia" w:ascii="Arial" w:hAnsi="Arial" w:cs="Arial"/>
          <w:sz w:val="21"/>
          <w:szCs w:val="21"/>
          <w:highlight w:val="none"/>
          <w:lang w:eastAsia="zh-CN"/>
        </w:rPr>
      </w:pPr>
      <w:r>
        <w:rPr>
          <w:rFonts w:hint="eastAsia" w:ascii="Arial" w:hAnsi="Arial" w:cs="Arial"/>
          <w:sz w:val="21"/>
          <w:szCs w:val="21"/>
          <w:highlight w:val="none"/>
          <w:lang w:eastAsia="zh-CN"/>
        </w:rPr>
        <w:t>《房屋所有权证书》[X京房权证兴字第100091、102139、102135、102136、102140、102137、102138、103831、102031、110683、110394、110393、110397、110396、110395、110392、110389号]复印件</w:t>
      </w:r>
    </w:p>
    <w:p w14:paraId="2E71CF29">
      <w:pPr>
        <w:numPr>
          <w:ilvl w:val="0"/>
          <w:numId w:val="7"/>
        </w:numPr>
        <w:overflowPunct w:val="0"/>
        <w:spacing w:line="480" w:lineRule="auto"/>
        <w:jc w:val="both"/>
        <w:textAlignment w:val="auto"/>
        <w:rPr>
          <w:rFonts w:hint="eastAsia" w:ascii="Arial" w:hAnsi="Arial" w:cs="Arial"/>
          <w:sz w:val="21"/>
          <w:szCs w:val="21"/>
          <w:highlight w:val="none"/>
          <w:lang w:eastAsia="zh-CN"/>
        </w:rPr>
      </w:pPr>
      <w:r>
        <w:rPr>
          <w:rFonts w:hint="eastAsia" w:ascii="Arial" w:hAnsi="Arial" w:cs="Arial"/>
          <w:sz w:val="21"/>
          <w:szCs w:val="21"/>
          <w:highlight w:val="none"/>
          <w:lang w:eastAsia="zh-CN"/>
        </w:rPr>
        <w:t>《房屋所有权证书》[X京房权证兴字第103107、103825号]复印件</w:t>
      </w:r>
    </w:p>
    <w:p w14:paraId="6E04D636">
      <w:pPr>
        <w:numPr>
          <w:ilvl w:val="0"/>
          <w:numId w:val="7"/>
        </w:numPr>
        <w:overflowPunct w:val="0"/>
        <w:spacing w:line="480" w:lineRule="auto"/>
        <w:jc w:val="both"/>
        <w:textAlignment w:val="auto"/>
        <w:rPr>
          <w:rFonts w:hint="eastAsia" w:ascii="Arial" w:hAnsi="Arial" w:cs="Arial"/>
          <w:sz w:val="21"/>
          <w:szCs w:val="21"/>
          <w:highlight w:val="none"/>
          <w:lang w:eastAsia="zh-CN"/>
        </w:rPr>
      </w:pPr>
      <w:r>
        <w:rPr>
          <w:rFonts w:hint="eastAsia" w:ascii="Arial" w:hAnsi="Arial" w:cs="Arial"/>
          <w:sz w:val="21"/>
          <w:szCs w:val="21"/>
          <w:highlight w:val="none"/>
          <w:lang w:eastAsia="zh-CN"/>
        </w:rPr>
        <w:t>《房屋所有权证书》[X京房权证兴字第146943、146944、102030、100093、102028号]复印件</w:t>
      </w:r>
    </w:p>
    <w:p w14:paraId="29758C9C">
      <w:pPr>
        <w:numPr>
          <w:ilvl w:val="0"/>
          <w:numId w:val="7"/>
        </w:numPr>
        <w:overflowPunct w:val="0"/>
        <w:spacing w:line="480" w:lineRule="auto"/>
        <w:jc w:val="both"/>
        <w:textAlignment w:val="auto"/>
        <w:rPr>
          <w:rFonts w:hint="eastAsia" w:ascii="Arial" w:hAnsi="Arial" w:cs="Arial"/>
          <w:sz w:val="21"/>
          <w:szCs w:val="21"/>
          <w:highlight w:val="none"/>
          <w:lang w:eastAsia="zh-CN"/>
        </w:rPr>
      </w:pPr>
      <w:r>
        <w:rPr>
          <w:rFonts w:hint="eastAsia" w:ascii="Arial" w:hAnsi="Arial" w:cs="Arial"/>
          <w:sz w:val="21"/>
          <w:szCs w:val="21"/>
          <w:highlight w:val="none"/>
          <w:lang w:eastAsia="zh-CN"/>
        </w:rPr>
        <w:t>《北京市房屋建筑和市政基础设施工程竣工验收备案表》[编号：1004大竣2012（建）0138号、1005大竣2012（建）0139号、1006大竣2012（建）0140号、1007大竣2012（建）0141号]复印件</w:t>
      </w:r>
    </w:p>
    <w:p w14:paraId="2E39DBB1">
      <w:pPr>
        <w:numPr>
          <w:ilvl w:val="0"/>
          <w:numId w:val="7"/>
        </w:numPr>
        <w:overflowPunct w:val="0"/>
        <w:spacing w:line="480" w:lineRule="auto"/>
        <w:jc w:val="both"/>
        <w:textAlignment w:val="auto"/>
        <w:rPr>
          <w:rFonts w:hint="eastAsia" w:ascii="Arial" w:hAnsi="Arial" w:cs="Arial"/>
          <w:sz w:val="21"/>
          <w:szCs w:val="21"/>
          <w:highlight w:val="none"/>
          <w:lang w:eastAsia="zh-CN"/>
        </w:rPr>
      </w:pPr>
      <w:r>
        <w:rPr>
          <w:rFonts w:hint="eastAsia" w:ascii="Arial" w:hAnsi="Arial" w:cs="Arial"/>
          <w:sz w:val="21"/>
          <w:szCs w:val="21"/>
          <w:highlight w:val="none"/>
          <w:lang w:eastAsia="zh-CN"/>
        </w:rPr>
        <w:t>《北京市房屋建筑和市政基础设施工程竣工验收备案表》[编号：0327大竣2014（建）0049号、0149大竣2014（建）0029号、0150大竣2014（建）0030号、0151大竣2014（建）0031号]复印件</w:t>
      </w:r>
    </w:p>
    <w:p w14:paraId="5BC4E5C3">
      <w:pPr>
        <w:numPr>
          <w:ilvl w:val="0"/>
          <w:numId w:val="7"/>
        </w:numPr>
        <w:overflowPunct w:val="0"/>
        <w:spacing w:line="480" w:lineRule="auto"/>
        <w:jc w:val="both"/>
        <w:textAlignment w:val="auto"/>
        <w:rPr>
          <w:rFonts w:hint="eastAsia" w:ascii="Arial" w:hAnsi="Arial" w:cs="Arial"/>
          <w:sz w:val="21"/>
          <w:szCs w:val="21"/>
          <w:highlight w:val="none"/>
          <w:lang w:eastAsia="zh-CN"/>
        </w:rPr>
      </w:pPr>
      <w:r>
        <w:rPr>
          <w:rFonts w:hint="eastAsia" w:ascii="Arial" w:hAnsi="Arial" w:cs="Arial"/>
          <w:sz w:val="21"/>
          <w:szCs w:val="21"/>
          <w:highlight w:val="none"/>
          <w:lang w:eastAsia="zh-CN"/>
        </w:rPr>
        <w:t>《采育数字时尚小镇保障性住房趸组协议》及其附件复印件</w:t>
      </w:r>
    </w:p>
    <w:p w14:paraId="667701B4">
      <w:pPr>
        <w:numPr>
          <w:ilvl w:val="0"/>
          <w:numId w:val="7"/>
        </w:numPr>
        <w:overflowPunct w:val="0"/>
        <w:spacing w:line="480" w:lineRule="auto"/>
        <w:jc w:val="both"/>
        <w:textAlignment w:val="auto"/>
        <w:rPr>
          <w:rFonts w:ascii="Arial" w:hAnsi="Arial" w:cs="Arial"/>
          <w:sz w:val="21"/>
          <w:szCs w:val="21"/>
          <w:highlight w:val="none"/>
        </w:rPr>
      </w:pPr>
      <w:r>
        <w:rPr>
          <w:rFonts w:hint="eastAsia" w:ascii="Arial" w:hAnsi="Arial" w:cs="Arial"/>
          <w:sz w:val="21"/>
          <w:szCs w:val="21"/>
          <w:highlight w:val="none"/>
          <w:lang w:eastAsia="zh-CN"/>
        </w:rPr>
        <w:t>估价委托人《营业执照（副本）》复印件</w:t>
      </w:r>
    </w:p>
    <w:p w14:paraId="7E894F65">
      <w:pPr>
        <w:wordWrap w:val="0"/>
        <w:overflowPunct w:val="0"/>
        <w:spacing w:line="480" w:lineRule="auto"/>
        <w:jc w:val="both"/>
        <w:textAlignment w:val="auto"/>
        <w:rPr>
          <w:rFonts w:ascii="Arial" w:hAnsi="Arial" w:cs="Arial"/>
          <w:b/>
          <w:sz w:val="21"/>
          <w:szCs w:val="21"/>
          <w:highlight w:val="none"/>
        </w:rPr>
      </w:pPr>
      <w:r>
        <w:rPr>
          <w:rFonts w:ascii="Arial" w:hAnsi="Arial" w:cs="Arial"/>
          <w:b/>
          <w:sz w:val="21"/>
          <w:szCs w:val="21"/>
          <w:highlight w:val="none"/>
        </w:rPr>
        <w:t>（四）评估专业人员实地查勘的有关资料</w:t>
      </w:r>
    </w:p>
    <w:p w14:paraId="74B7E34E">
      <w:pPr>
        <w:wordWrap w:val="0"/>
        <w:overflowPunct w:val="0"/>
        <w:spacing w:line="480" w:lineRule="auto"/>
        <w:jc w:val="both"/>
        <w:textAlignment w:val="auto"/>
        <w:rPr>
          <w:rFonts w:ascii="Arial" w:hAnsi="Arial" w:cs="Arial"/>
          <w:b/>
          <w:sz w:val="21"/>
          <w:szCs w:val="21"/>
          <w:highlight w:val="none"/>
        </w:rPr>
      </w:pPr>
      <w:r>
        <w:rPr>
          <w:rFonts w:ascii="Arial" w:hAnsi="Arial" w:cs="Arial"/>
          <w:b/>
          <w:sz w:val="21"/>
          <w:szCs w:val="21"/>
          <w:highlight w:val="none"/>
        </w:rPr>
        <w:t>（五）</w:t>
      </w:r>
      <w:r>
        <w:rPr>
          <w:rFonts w:hint="eastAsia" w:ascii="Arial" w:hAnsi="Arial" w:cs="Arial"/>
          <w:b/>
          <w:sz w:val="21"/>
          <w:szCs w:val="21"/>
          <w:highlight w:val="none"/>
        </w:rPr>
        <w:t>房地产</w:t>
      </w:r>
      <w:r>
        <w:rPr>
          <w:rFonts w:ascii="Arial" w:hAnsi="Arial" w:cs="Arial"/>
          <w:b/>
          <w:sz w:val="21"/>
          <w:szCs w:val="21"/>
          <w:highlight w:val="none"/>
        </w:rPr>
        <w:t>估价机构资质证书</w:t>
      </w:r>
    </w:p>
    <w:p w14:paraId="4D980CDD">
      <w:pPr>
        <w:wordWrap w:val="0"/>
        <w:overflowPunct w:val="0"/>
        <w:spacing w:line="360" w:lineRule="auto"/>
        <w:ind w:firstLine="420" w:firstLineChars="200"/>
        <w:jc w:val="both"/>
        <w:textAlignment w:val="auto"/>
        <w:rPr>
          <w:rFonts w:ascii="Arial" w:hAnsi="Arial" w:cs="Arial"/>
          <w:sz w:val="21"/>
          <w:szCs w:val="21"/>
          <w:highlight w:val="none"/>
        </w:rPr>
      </w:pPr>
      <w:bookmarkStart w:id="35" w:name="_Toc168225821"/>
    </w:p>
    <w:p w14:paraId="5D3258EB">
      <w:pPr>
        <w:pStyle w:val="3"/>
        <w:numPr>
          <w:ilvl w:val="0"/>
          <w:numId w:val="8"/>
        </w:numPr>
        <w:wordWrap w:val="0"/>
        <w:overflowPunct w:val="0"/>
        <w:spacing w:line="480" w:lineRule="auto"/>
        <w:ind w:left="358" w:hanging="358"/>
        <w:jc w:val="both"/>
        <w:textAlignment w:val="auto"/>
        <w:rPr>
          <w:rFonts w:eastAsia="宋体"/>
          <w:kern w:val="2"/>
          <w:sz w:val="21"/>
          <w:szCs w:val="21"/>
          <w:highlight w:val="none"/>
        </w:rPr>
      </w:pPr>
      <w:bookmarkStart w:id="36" w:name="_Toc155267094"/>
      <w:r>
        <w:rPr>
          <w:rFonts w:eastAsia="宋体"/>
          <w:kern w:val="2"/>
          <w:sz w:val="21"/>
          <w:szCs w:val="21"/>
          <w:highlight w:val="none"/>
        </w:rPr>
        <w:t>估价方法</w:t>
      </w:r>
      <w:bookmarkEnd w:id="35"/>
      <w:bookmarkEnd w:id="36"/>
    </w:p>
    <w:p w14:paraId="6F8A1904">
      <w:pPr>
        <w:wordWrap w:val="0"/>
        <w:overflowPunct w:val="0"/>
        <w:autoSpaceDE w:val="0"/>
        <w:autoSpaceDN w:val="0"/>
        <w:spacing w:line="480" w:lineRule="auto"/>
        <w:ind w:right="140" w:firstLine="420" w:firstLineChars="200"/>
        <w:jc w:val="both"/>
        <w:textAlignment w:val="auto"/>
        <w:rPr>
          <w:rFonts w:ascii="Arial" w:hAnsi="Arial" w:cs="Arial"/>
          <w:sz w:val="21"/>
          <w:szCs w:val="21"/>
          <w:highlight w:val="none"/>
        </w:rPr>
      </w:pPr>
      <w:r>
        <w:rPr>
          <w:rFonts w:ascii="Arial" w:hAnsi="Arial" w:cs="Arial"/>
          <w:sz w:val="21"/>
          <w:szCs w:val="21"/>
          <w:highlight w:val="none"/>
        </w:rPr>
        <w:t>由于本次评估是</w:t>
      </w:r>
      <w:r>
        <w:rPr>
          <w:rFonts w:hint="eastAsia" w:ascii="Arial" w:hAnsi="Arial" w:cs="Arial"/>
          <w:sz w:val="21"/>
          <w:szCs w:val="21"/>
          <w:highlight w:val="none"/>
        </w:rPr>
        <w:t>为估价委托人</w:t>
      </w:r>
      <w:r>
        <w:rPr>
          <w:rFonts w:hint="eastAsia" w:ascii="Arial" w:hAnsi="Arial" w:cs="Arial"/>
          <w:sz w:val="21"/>
          <w:szCs w:val="21"/>
          <w:highlight w:val="none"/>
          <w:lang w:eastAsia="zh-CN"/>
        </w:rPr>
        <w:t>合理确定保障性租赁住房项目租金</w:t>
      </w:r>
      <w:r>
        <w:rPr>
          <w:rFonts w:hint="eastAsia" w:ascii="Arial" w:hAnsi="Arial" w:cs="Arial"/>
          <w:sz w:val="21"/>
          <w:szCs w:val="21"/>
          <w:highlight w:val="none"/>
        </w:rPr>
        <w:t>提供参考依据</w:t>
      </w:r>
      <w:r>
        <w:rPr>
          <w:rFonts w:ascii="Arial" w:hAnsi="Arial" w:cs="Arial"/>
          <w:sz w:val="21"/>
          <w:szCs w:val="21"/>
          <w:highlight w:val="none"/>
        </w:rPr>
        <w:t>，因此我们在认真分析研究估价对象的相关资料，并通过对邻近地区同类物业调查的基础上，根据《房地产估价规范》</w:t>
      </w:r>
      <w:r>
        <w:rPr>
          <w:rFonts w:hint="eastAsia" w:ascii="Arial" w:hAnsi="Arial" w:cs="Arial"/>
          <w:sz w:val="21"/>
          <w:szCs w:val="21"/>
          <w:highlight w:val="none"/>
        </w:rPr>
        <w:t>（</w:t>
      </w:r>
      <w:r>
        <w:rPr>
          <w:rFonts w:ascii="Arial" w:hAnsi="Arial" w:cs="Arial"/>
          <w:sz w:val="21"/>
          <w:szCs w:val="21"/>
          <w:highlight w:val="none"/>
        </w:rPr>
        <w:t>GB/T</w:t>
      </w:r>
      <w:r>
        <w:rPr>
          <w:rFonts w:hint="eastAsia" w:ascii="Arial" w:hAnsi="Arial" w:cs="Arial"/>
          <w:sz w:val="21"/>
          <w:szCs w:val="21"/>
          <w:highlight w:val="none"/>
        </w:rPr>
        <w:t xml:space="preserve"> </w:t>
      </w:r>
      <w:r>
        <w:rPr>
          <w:rFonts w:ascii="Arial" w:hAnsi="Arial" w:cs="Arial"/>
          <w:sz w:val="21"/>
          <w:szCs w:val="21"/>
          <w:highlight w:val="none"/>
        </w:rPr>
        <w:t>50291-2015</w:t>
      </w:r>
      <w:r>
        <w:rPr>
          <w:rFonts w:hint="eastAsia" w:ascii="Arial" w:hAnsi="Arial" w:cs="Arial"/>
          <w:sz w:val="21"/>
          <w:szCs w:val="21"/>
          <w:highlight w:val="none"/>
        </w:rPr>
        <w:t>）</w:t>
      </w:r>
      <w:r>
        <w:rPr>
          <w:rFonts w:ascii="Arial" w:hAnsi="Arial" w:cs="Arial"/>
          <w:sz w:val="21"/>
          <w:szCs w:val="21"/>
          <w:highlight w:val="none"/>
        </w:rPr>
        <w:t>的估价程序，选用</w:t>
      </w:r>
      <w:r>
        <w:rPr>
          <w:rFonts w:hint="eastAsia" w:ascii="Arial" w:hAnsi="Arial" w:cs="Arial"/>
          <w:sz w:val="21"/>
          <w:szCs w:val="21"/>
          <w:highlight w:val="none"/>
        </w:rPr>
        <w:t>比较法</w:t>
      </w:r>
      <w:r>
        <w:rPr>
          <w:rFonts w:ascii="Arial" w:hAnsi="Arial" w:cs="Arial"/>
          <w:sz w:val="21"/>
          <w:szCs w:val="21"/>
          <w:highlight w:val="none"/>
        </w:rPr>
        <w:t>为主方法进行估价</w:t>
      </w:r>
      <w:r>
        <w:rPr>
          <w:rFonts w:hint="eastAsia" w:ascii="Arial" w:hAnsi="Arial" w:cs="Arial"/>
          <w:sz w:val="21"/>
          <w:szCs w:val="21"/>
          <w:highlight w:val="none"/>
        </w:rPr>
        <w:t>，进而确定</w:t>
      </w:r>
      <w:r>
        <w:rPr>
          <w:rFonts w:hint="eastAsia" w:ascii="Arial" w:hAnsi="Arial"/>
          <w:sz w:val="21"/>
          <w:szCs w:val="21"/>
          <w:highlight w:val="none"/>
        </w:rPr>
        <w:t>估价对象</w:t>
      </w:r>
      <w:r>
        <w:rPr>
          <w:rFonts w:hint="eastAsia" w:ascii="Arial" w:hAnsi="Arial" w:cs="Arial"/>
          <w:sz w:val="21"/>
          <w:szCs w:val="21"/>
          <w:highlight w:val="none"/>
        </w:rPr>
        <w:t>市场租金价格水平。</w:t>
      </w:r>
    </w:p>
    <w:p w14:paraId="1FEEB301">
      <w:pPr>
        <w:pStyle w:val="60"/>
        <w:wordWrap w:val="0"/>
        <w:overflowPunct w:val="0"/>
        <w:autoSpaceDE w:val="0"/>
        <w:autoSpaceDN w:val="0"/>
        <w:spacing w:line="480" w:lineRule="auto"/>
        <w:ind w:right="140"/>
        <w:jc w:val="both"/>
        <w:textAlignment w:val="auto"/>
        <w:rPr>
          <w:rFonts w:ascii="Arial" w:hAnsi="Arial" w:cs="Arial"/>
          <w:b/>
          <w:sz w:val="21"/>
          <w:szCs w:val="21"/>
          <w:highlight w:val="none"/>
        </w:rPr>
      </w:pPr>
      <w:r>
        <w:rPr>
          <w:rFonts w:hint="eastAsia" w:ascii="Arial" w:hAnsi="Arial" w:cs="Arial"/>
          <w:b/>
          <w:sz w:val="21"/>
          <w:szCs w:val="21"/>
          <w:highlight w:val="none"/>
        </w:rPr>
        <w:t>（一）估价思路</w:t>
      </w:r>
      <w:r>
        <w:rPr>
          <w:rFonts w:ascii="Arial" w:hAnsi="Arial" w:cs="Arial"/>
          <w:b/>
          <w:sz w:val="21"/>
          <w:szCs w:val="21"/>
          <w:highlight w:val="none"/>
        </w:rPr>
        <w:t xml:space="preserve"> </w:t>
      </w:r>
    </w:p>
    <w:p w14:paraId="2355ED47">
      <w:pPr>
        <w:pStyle w:val="60"/>
        <w:wordWrap w:val="0"/>
        <w:overflowPunct w:val="0"/>
        <w:autoSpaceDE w:val="0"/>
        <w:autoSpaceDN w:val="0"/>
        <w:spacing w:line="480" w:lineRule="auto"/>
        <w:ind w:right="140" w:firstLine="420" w:firstLineChars="200"/>
        <w:jc w:val="both"/>
        <w:textAlignment w:val="auto"/>
        <w:rPr>
          <w:rFonts w:ascii="Arial" w:hAnsi="Arial" w:cs="Arial"/>
          <w:sz w:val="21"/>
          <w:szCs w:val="21"/>
          <w:highlight w:val="none"/>
        </w:rPr>
      </w:pPr>
      <w:r>
        <w:rPr>
          <w:rFonts w:ascii="Arial" w:hAnsi="Arial" w:cs="Arial"/>
          <w:sz w:val="21"/>
          <w:szCs w:val="21"/>
          <w:highlight w:val="none"/>
        </w:rPr>
        <w:t>本次选用比较法对估价对象的市场租金水平进行测算，具体测算思路如下：</w:t>
      </w:r>
    </w:p>
    <w:p w14:paraId="327C944F">
      <w:pPr>
        <w:pStyle w:val="60"/>
        <w:wordWrap w:val="0"/>
        <w:overflowPunct w:val="0"/>
        <w:autoSpaceDE w:val="0"/>
        <w:autoSpaceDN w:val="0"/>
        <w:snapToGrid w:val="0"/>
        <w:spacing w:line="480" w:lineRule="auto"/>
        <w:ind w:firstLine="420" w:firstLineChars="200"/>
        <w:jc w:val="both"/>
        <w:textAlignment w:val="auto"/>
        <w:rPr>
          <w:rFonts w:ascii="Arial" w:hAnsi="Arial" w:cs="Arial"/>
          <w:sz w:val="21"/>
          <w:szCs w:val="21"/>
          <w:highlight w:val="none"/>
        </w:rPr>
      </w:pPr>
      <w:r>
        <w:rPr>
          <w:rFonts w:ascii="Arial" w:hAnsi="Arial" w:cs="Arial"/>
          <w:sz w:val="21"/>
          <w:szCs w:val="21"/>
          <w:highlight w:val="none"/>
        </w:rPr>
        <w:t>1.</w:t>
      </w:r>
      <w:r>
        <w:rPr>
          <w:rFonts w:hint="eastAsia" w:ascii="Arial" w:hAnsi="Arial" w:cs="Arial"/>
          <w:sz w:val="21"/>
          <w:szCs w:val="21"/>
          <w:highlight w:val="none"/>
        </w:rPr>
        <w:t>首先，根据估价委托人提供的</w:t>
      </w:r>
      <w:r>
        <w:rPr>
          <w:rFonts w:hint="eastAsia" w:ascii="Arial" w:hAnsi="Arial" w:cs="Arial"/>
          <w:kern w:val="2"/>
          <w:sz w:val="21"/>
          <w:highlight w:val="none"/>
        </w:rPr>
        <w:t>《</w:t>
      </w:r>
      <w:r>
        <w:rPr>
          <w:rFonts w:hint="eastAsia" w:ascii="Arial" w:hAnsi="Arial" w:cs="Arial"/>
          <w:kern w:val="2"/>
          <w:sz w:val="21"/>
          <w:szCs w:val="21"/>
          <w:highlight w:val="none"/>
        </w:rPr>
        <w:t>估价委托书</w:t>
      </w:r>
      <w:r>
        <w:rPr>
          <w:rFonts w:hint="eastAsia" w:ascii="Arial" w:hAnsi="Arial" w:cs="Arial"/>
          <w:kern w:val="2"/>
          <w:sz w:val="21"/>
          <w:highlight w:val="none"/>
        </w:rPr>
        <w:t>》</w:t>
      </w:r>
      <w:r>
        <w:rPr>
          <w:rFonts w:hint="eastAsia" w:ascii="Arial" w:hAnsi="Arial" w:cs="Arial"/>
          <w:kern w:val="2"/>
          <w:sz w:val="21"/>
          <w:highlight w:val="none"/>
          <w:lang w:eastAsia="zh-CN"/>
        </w:rPr>
        <w:t>、</w:t>
      </w:r>
      <w:r>
        <w:rPr>
          <w:rFonts w:hint="eastAsia" w:ascii="Arial" w:hAnsi="Arial" w:cs="Arial"/>
          <w:sz w:val="21"/>
          <w:szCs w:val="21"/>
          <w:highlight w:val="none"/>
          <w:lang w:val="en-US" w:eastAsia="zh-CN"/>
        </w:rPr>
        <w:t>《采育数字时尚小镇保障性住房趸组协议》及其附件</w:t>
      </w:r>
      <w:r>
        <w:rPr>
          <w:rFonts w:hint="eastAsia" w:ascii="Arial" w:hAnsi="Arial" w:cs="Arial"/>
          <w:sz w:val="21"/>
          <w:szCs w:val="21"/>
          <w:highlight w:val="none"/>
        </w:rPr>
        <w:t>，本次评估的标准房设定如下，标准房是指参照特定保障性租赁住房项目的建筑类型、结构、户型（含面积）、装饰装修、设施设备、家具家电、楼层、朝向等指标进行分类，分别设定的具有代表性的房屋。标准房设定时，其结构、装饰装修、设施设备、家具家电按照众数设定，楼层、朝向按保障性租赁住房项目中最优条件确定：</w:t>
      </w:r>
    </w:p>
    <w:tbl>
      <w:tblPr>
        <w:tblStyle w:val="33"/>
        <w:tblW w:w="94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1556"/>
        <w:gridCol w:w="1625"/>
        <w:gridCol w:w="1693"/>
        <w:gridCol w:w="1557"/>
        <w:gridCol w:w="1491"/>
        <w:gridCol w:w="1491"/>
      </w:tblGrid>
      <w:tr w14:paraId="2BB96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70527A88">
            <w:pPr>
              <w:snapToGrid w:val="0"/>
              <w:spacing w:line="240" w:lineRule="exact"/>
              <w:jc w:val="center"/>
              <w:rPr>
                <w:rFonts w:ascii="Arial" w:hAnsi="Arial" w:eastAsia="华文细黑" w:cs="Arial"/>
                <w:sz w:val="18"/>
                <w:szCs w:val="18"/>
                <w:highlight w:val="none"/>
              </w:rPr>
            </w:pPr>
            <w:r>
              <w:rPr>
                <w:rFonts w:ascii="Arial" w:hAnsi="Arial" w:eastAsia="华文细黑" w:cs="Arial"/>
                <w:sz w:val="18"/>
                <w:szCs w:val="18"/>
                <w:highlight w:val="none"/>
              </w:rPr>
              <w:t>标准房</w:t>
            </w:r>
          </w:p>
        </w:tc>
        <w:tc>
          <w:tcPr>
            <w:tcW w:w="1625" w:type="dxa"/>
          </w:tcPr>
          <w:p w14:paraId="27339976">
            <w:pPr>
              <w:snapToGrid w:val="0"/>
              <w:spacing w:line="240" w:lineRule="exact"/>
              <w:jc w:val="center"/>
              <w:rPr>
                <w:rFonts w:ascii="Arial" w:hAnsi="Arial" w:eastAsia="华文细黑" w:cs="Arial"/>
                <w:sz w:val="18"/>
                <w:szCs w:val="18"/>
                <w:highlight w:val="none"/>
              </w:rPr>
            </w:pPr>
            <w:r>
              <w:rPr>
                <w:rFonts w:ascii="Arial" w:hAnsi="Arial" w:eastAsia="华文细黑" w:cs="Arial"/>
                <w:sz w:val="18"/>
                <w:szCs w:val="18"/>
                <w:highlight w:val="none"/>
              </w:rPr>
              <w:t>户型</w:t>
            </w:r>
          </w:p>
        </w:tc>
        <w:tc>
          <w:tcPr>
            <w:tcW w:w="1693" w:type="dxa"/>
          </w:tcPr>
          <w:p w14:paraId="019306A2">
            <w:pPr>
              <w:snapToGrid w:val="0"/>
              <w:spacing w:line="240" w:lineRule="exact"/>
              <w:jc w:val="center"/>
              <w:rPr>
                <w:rFonts w:ascii="Arial" w:hAnsi="Arial" w:eastAsia="华文细黑" w:cs="Arial"/>
                <w:sz w:val="18"/>
                <w:szCs w:val="18"/>
                <w:highlight w:val="none"/>
              </w:rPr>
            </w:pPr>
            <w:r>
              <w:rPr>
                <w:rFonts w:ascii="Arial" w:hAnsi="Arial" w:eastAsia="华文细黑" w:cs="Arial"/>
                <w:sz w:val="18"/>
                <w:szCs w:val="18"/>
                <w:highlight w:val="none"/>
              </w:rPr>
              <w:t>建筑面积（㎡）</w:t>
            </w:r>
          </w:p>
        </w:tc>
        <w:tc>
          <w:tcPr>
            <w:tcW w:w="1557" w:type="dxa"/>
          </w:tcPr>
          <w:p w14:paraId="00722243">
            <w:pPr>
              <w:snapToGrid w:val="0"/>
              <w:spacing w:line="240" w:lineRule="exact"/>
              <w:jc w:val="center"/>
              <w:rPr>
                <w:rFonts w:ascii="Arial" w:hAnsi="Arial" w:eastAsia="华文细黑" w:cs="Arial"/>
                <w:sz w:val="18"/>
                <w:szCs w:val="18"/>
                <w:highlight w:val="none"/>
              </w:rPr>
            </w:pPr>
            <w:r>
              <w:rPr>
                <w:rFonts w:ascii="Arial" w:hAnsi="Arial" w:eastAsia="华文细黑" w:cs="Arial"/>
                <w:sz w:val="18"/>
                <w:szCs w:val="18"/>
                <w:highlight w:val="none"/>
              </w:rPr>
              <w:t>朝向</w:t>
            </w:r>
          </w:p>
        </w:tc>
        <w:tc>
          <w:tcPr>
            <w:tcW w:w="1491" w:type="dxa"/>
          </w:tcPr>
          <w:p w14:paraId="35991AAA">
            <w:pPr>
              <w:snapToGrid w:val="0"/>
              <w:spacing w:line="240" w:lineRule="exact"/>
              <w:jc w:val="center"/>
              <w:rPr>
                <w:rFonts w:ascii="Arial" w:hAnsi="Arial" w:eastAsia="华文细黑" w:cs="Arial"/>
                <w:sz w:val="18"/>
                <w:szCs w:val="18"/>
                <w:highlight w:val="none"/>
              </w:rPr>
            </w:pPr>
            <w:r>
              <w:rPr>
                <w:rFonts w:ascii="Arial" w:hAnsi="Arial" w:eastAsia="华文细黑" w:cs="Arial"/>
                <w:sz w:val="18"/>
                <w:szCs w:val="18"/>
                <w:highlight w:val="none"/>
              </w:rPr>
              <w:t>楼层</w:t>
            </w:r>
          </w:p>
        </w:tc>
        <w:tc>
          <w:tcPr>
            <w:tcW w:w="1491" w:type="dxa"/>
          </w:tcPr>
          <w:p w14:paraId="4DA0C52F">
            <w:pPr>
              <w:snapToGrid w:val="0"/>
              <w:spacing w:line="240" w:lineRule="exact"/>
              <w:jc w:val="center"/>
              <w:rPr>
                <w:rFonts w:ascii="Arial" w:hAnsi="Arial" w:eastAsia="华文细黑" w:cs="Arial"/>
                <w:sz w:val="18"/>
                <w:szCs w:val="18"/>
                <w:highlight w:val="none"/>
              </w:rPr>
            </w:pPr>
            <w:r>
              <w:rPr>
                <w:rFonts w:ascii="Arial" w:hAnsi="Arial" w:eastAsia="华文细黑" w:cs="Arial"/>
                <w:sz w:val="18"/>
                <w:szCs w:val="18"/>
                <w:highlight w:val="none"/>
              </w:rPr>
              <w:t>装修</w:t>
            </w:r>
          </w:p>
        </w:tc>
      </w:tr>
      <w:tr w14:paraId="70579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0324583F">
            <w:pPr>
              <w:snapToGrid w:val="0"/>
              <w:spacing w:line="240" w:lineRule="exact"/>
              <w:jc w:val="center"/>
              <w:rPr>
                <w:rFonts w:ascii="Arial" w:hAnsi="Arial" w:eastAsia="华文细黑" w:cs="Arial"/>
                <w:sz w:val="18"/>
                <w:szCs w:val="18"/>
                <w:highlight w:val="none"/>
              </w:rPr>
            </w:pPr>
            <w:r>
              <w:rPr>
                <w:rFonts w:ascii="Arial" w:hAnsi="Arial" w:eastAsia="华文细黑" w:cs="Arial"/>
                <w:sz w:val="18"/>
                <w:szCs w:val="18"/>
                <w:highlight w:val="none"/>
              </w:rPr>
              <w:t>标准房1</w:t>
            </w:r>
          </w:p>
        </w:tc>
        <w:tc>
          <w:tcPr>
            <w:tcW w:w="1625" w:type="dxa"/>
          </w:tcPr>
          <w:p w14:paraId="245A1EFD">
            <w:pPr>
              <w:snapToGrid w:val="0"/>
              <w:spacing w:line="240" w:lineRule="exact"/>
              <w:jc w:val="center"/>
              <w:rPr>
                <w:rFonts w:ascii="Arial" w:hAnsi="Arial" w:eastAsia="华文细黑" w:cs="Arial"/>
                <w:sz w:val="18"/>
                <w:szCs w:val="18"/>
                <w:highlight w:val="none"/>
              </w:rPr>
            </w:pPr>
            <w:r>
              <w:rPr>
                <w:rFonts w:ascii="Arial" w:hAnsi="Arial" w:eastAsia="华文细黑" w:cs="Arial"/>
                <w:sz w:val="18"/>
                <w:szCs w:val="18"/>
                <w:highlight w:val="none"/>
              </w:rPr>
              <w:t>一居室</w:t>
            </w:r>
          </w:p>
        </w:tc>
        <w:tc>
          <w:tcPr>
            <w:tcW w:w="1693" w:type="dxa"/>
          </w:tcPr>
          <w:p w14:paraId="306388EF">
            <w:pPr>
              <w:snapToGrid w:val="0"/>
              <w:spacing w:line="240" w:lineRule="exact"/>
              <w:jc w:val="center"/>
              <w:rPr>
                <w:rFonts w:hint="default" w:ascii="Arial" w:hAnsi="Arial" w:eastAsia="华文细黑" w:cs="Arial"/>
                <w:sz w:val="18"/>
                <w:szCs w:val="18"/>
                <w:highlight w:val="none"/>
                <w:lang w:val="en-US" w:eastAsia="zh-CN"/>
              </w:rPr>
            </w:pPr>
            <w:r>
              <w:rPr>
                <w:rFonts w:hint="eastAsia" w:ascii="Arial" w:hAnsi="Arial" w:eastAsia="华文细黑" w:cs="Arial"/>
                <w:sz w:val="18"/>
                <w:szCs w:val="18"/>
                <w:highlight w:val="none"/>
                <w:lang w:val="en-US" w:eastAsia="zh-CN"/>
              </w:rPr>
              <w:t>69.39</w:t>
            </w:r>
          </w:p>
        </w:tc>
        <w:tc>
          <w:tcPr>
            <w:tcW w:w="1557" w:type="dxa"/>
          </w:tcPr>
          <w:p w14:paraId="75890C11">
            <w:pPr>
              <w:snapToGrid w:val="0"/>
              <w:spacing w:line="240" w:lineRule="exact"/>
              <w:jc w:val="center"/>
              <w:rPr>
                <w:rFonts w:hint="eastAsia" w:ascii="Arial" w:hAnsi="Arial" w:eastAsia="华文细黑" w:cs="Arial"/>
                <w:sz w:val="18"/>
                <w:szCs w:val="18"/>
                <w:highlight w:val="none"/>
                <w:lang w:eastAsia="zh-CN"/>
              </w:rPr>
            </w:pPr>
            <w:r>
              <w:rPr>
                <w:rFonts w:hint="eastAsia" w:ascii="Arial" w:hAnsi="Arial" w:eastAsia="华文细黑" w:cs="Arial"/>
                <w:sz w:val="18"/>
                <w:szCs w:val="18"/>
                <w:highlight w:val="none"/>
                <w:lang w:val="en-US" w:eastAsia="zh-CN"/>
              </w:rPr>
              <w:t>南北</w:t>
            </w:r>
          </w:p>
        </w:tc>
        <w:tc>
          <w:tcPr>
            <w:tcW w:w="1491" w:type="dxa"/>
          </w:tcPr>
          <w:p w14:paraId="25A0E0D0">
            <w:pPr>
              <w:snapToGrid w:val="0"/>
              <w:spacing w:line="240" w:lineRule="exact"/>
              <w:jc w:val="center"/>
              <w:rPr>
                <w:rFonts w:ascii="Arial" w:hAnsi="Arial" w:eastAsia="华文细黑" w:cs="Arial"/>
                <w:sz w:val="18"/>
                <w:szCs w:val="18"/>
                <w:highlight w:val="none"/>
              </w:rPr>
            </w:pPr>
            <w:r>
              <w:rPr>
                <w:rFonts w:hint="eastAsia" w:ascii="华文细黑" w:hAnsi="华文细黑" w:eastAsia="华文细黑" w:cs="Arial"/>
                <w:sz w:val="18"/>
                <w:szCs w:val="18"/>
                <w:highlight w:val="none"/>
                <w:lang w:val="en-US" w:eastAsia="zh-CN"/>
              </w:rPr>
              <w:t>中</w:t>
            </w:r>
            <w:r>
              <w:rPr>
                <w:rFonts w:hint="eastAsia" w:ascii="华文细黑" w:hAnsi="华文细黑" w:eastAsia="华文细黑" w:cs="Arial"/>
                <w:sz w:val="18"/>
                <w:szCs w:val="18"/>
                <w:highlight w:val="none"/>
              </w:rPr>
              <w:t>楼层</w:t>
            </w:r>
          </w:p>
        </w:tc>
        <w:tc>
          <w:tcPr>
            <w:tcW w:w="1491" w:type="dxa"/>
          </w:tcPr>
          <w:p w14:paraId="27DD5020">
            <w:pPr>
              <w:snapToGrid w:val="0"/>
              <w:spacing w:line="240" w:lineRule="exact"/>
              <w:jc w:val="center"/>
              <w:rPr>
                <w:rFonts w:ascii="Arial" w:hAnsi="Arial" w:eastAsia="华文细黑" w:cs="Arial"/>
                <w:sz w:val="18"/>
                <w:szCs w:val="18"/>
                <w:highlight w:val="none"/>
              </w:rPr>
            </w:pPr>
            <w:r>
              <w:rPr>
                <w:rFonts w:hint="eastAsia" w:ascii="华文细黑" w:hAnsi="华文细黑" w:eastAsia="华文细黑" w:cs="Arial"/>
                <w:sz w:val="18"/>
                <w:szCs w:val="18"/>
                <w:highlight w:val="none"/>
              </w:rPr>
              <w:t>精装修</w:t>
            </w:r>
          </w:p>
        </w:tc>
      </w:tr>
      <w:tr w14:paraId="4F9D9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6B41BCCB">
            <w:pPr>
              <w:snapToGrid w:val="0"/>
              <w:spacing w:line="240" w:lineRule="exact"/>
              <w:jc w:val="center"/>
              <w:rPr>
                <w:rFonts w:ascii="Arial" w:hAnsi="Arial" w:eastAsia="华文细黑" w:cs="Arial"/>
                <w:sz w:val="18"/>
                <w:szCs w:val="18"/>
                <w:highlight w:val="none"/>
              </w:rPr>
            </w:pPr>
            <w:r>
              <w:rPr>
                <w:rFonts w:ascii="Arial" w:hAnsi="Arial" w:eastAsia="华文细黑" w:cs="Arial"/>
                <w:sz w:val="18"/>
                <w:szCs w:val="18"/>
                <w:highlight w:val="none"/>
              </w:rPr>
              <w:t>标准房2</w:t>
            </w:r>
          </w:p>
        </w:tc>
        <w:tc>
          <w:tcPr>
            <w:tcW w:w="1625" w:type="dxa"/>
          </w:tcPr>
          <w:p w14:paraId="53F4B51A">
            <w:pPr>
              <w:snapToGrid w:val="0"/>
              <w:spacing w:line="240" w:lineRule="exact"/>
              <w:jc w:val="center"/>
              <w:rPr>
                <w:rFonts w:ascii="Arial" w:hAnsi="Arial" w:eastAsia="华文细黑" w:cs="Arial"/>
                <w:sz w:val="18"/>
                <w:szCs w:val="18"/>
                <w:highlight w:val="none"/>
              </w:rPr>
            </w:pPr>
            <w:r>
              <w:rPr>
                <w:rFonts w:ascii="Arial" w:hAnsi="Arial" w:eastAsia="华文细黑" w:cs="Arial"/>
                <w:sz w:val="18"/>
                <w:szCs w:val="18"/>
                <w:highlight w:val="none"/>
              </w:rPr>
              <w:t>两两居</w:t>
            </w:r>
          </w:p>
        </w:tc>
        <w:tc>
          <w:tcPr>
            <w:tcW w:w="1693" w:type="dxa"/>
          </w:tcPr>
          <w:p w14:paraId="6DD47BF0">
            <w:pPr>
              <w:snapToGrid w:val="0"/>
              <w:spacing w:line="240" w:lineRule="exact"/>
              <w:jc w:val="center"/>
              <w:rPr>
                <w:rFonts w:hint="default" w:ascii="Arial" w:hAnsi="Arial" w:eastAsia="华文细黑" w:cs="Arial"/>
                <w:sz w:val="18"/>
                <w:szCs w:val="18"/>
                <w:highlight w:val="none"/>
                <w:lang w:val="en-US" w:eastAsia="zh-CN"/>
              </w:rPr>
            </w:pPr>
            <w:r>
              <w:rPr>
                <w:rFonts w:hint="eastAsia" w:ascii="Arial" w:hAnsi="Arial" w:eastAsia="华文细黑" w:cs="Arial"/>
                <w:sz w:val="18"/>
                <w:szCs w:val="18"/>
                <w:highlight w:val="none"/>
                <w:lang w:val="en-US" w:eastAsia="zh-CN"/>
              </w:rPr>
              <w:t>87.36</w:t>
            </w:r>
          </w:p>
        </w:tc>
        <w:tc>
          <w:tcPr>
            <w:tcW w:w="1557" w:type="dxa"/>
          </w:tcPr>
          <w:p w14:paraId="0BA389B2">
            <w:pPr>
              <w:snapToGrid w:val="0"/>
              <w:spacing w:line="240" w:lineRule="exact"/>
              <w:jc w:val="center"/>
              <w:rPr>
                <w:rFonts w:ascii="Arial" w:hAnsi="Arial" w:eastAsia="华文细黑" w:cs="Arial"/>
                <w:sz w:val="18"/>
                <w:szCs w:val="18"/>
                <w:highlight w:val="none"/>
              </w:rPr>
            </w:pPr>
            <w:r>
              <w:rPr>
                <w:rFonts w:hint="eastAsia" w:ascii="Arial" w:hAnsi="Arial" w:eastAsia="华文细黑" w:cs="Arial"/>
                <w:sz w:val="18"/>
                <w:szCs w:val="18"/>
                <w:highlight w:val="none"/>
                <w:lang w:val="en-US" w:eastAsia="zh-CN"/>
              </w:rPr>
              <w:t>南北</w:t>
            </w:r>
          </w:p>
        </w:tc>
        <w:tc>
          <w:tcPr>
            <w:tcW w:w="1491" w:type="dxa"/>
          </w:tcPr>
          <w:p w14:paraId="1BE62D89">
            <w:pPr>
              <w:snapToGrid w:val="0"/>
              <w:spacing w:line="240" w:lineRule="exact"/>
              <w:jc w:val="center"/>
              <w:rPr>
                <w:rFonts w:ascii="Arial" w:hAnsi="Arial" w:eastAsia="华文细黑" w:cs="Arial"/>
                <w:sz w:val="18"/>
                <w:szCs w:val="18"/>
                <w:highlight w:val="none"/>
              </w:rPr>
            </w:pPr>
            <w:r>
              <w:rPr>
                <w:rFonts w:hint="eastAsia" w:ascii="华文细黑" w:hAnsi="华文细黑" w:eastAsia="华文细黑" w:cs="Arial"/>
                <w:sz w:val="18"/>
                <w:szCs w:val="18"/>
                <w:highlight w:val="none"/>
                <w:lang w:val="en-US" w:eastAsia="zh-CN"/>
              </w:rPr>
              <w:t>中</w:t>
            </w:r>
            <w:r>
              <w:rPr>
                <w:rFonts w:hint="eastAsia" w:ascii="华文细黑" w:hAnsi="华文细黑" w:eastAsia="华文细黑" w:cs="Arial"/>
                <w:sz w:val="18"/>
                <w:szCs w:val="18"/>
                <w:highlight w:val="none"/>
              </w:rPr>
              <w:t>楼层</w:t>
            </w:r>
          </w:p>
        </w:tc>
        <w:tc>
          <w:tcPr>
            <w:tcW w:w="1491" w:type="dxa"/>
          </w:tcPr>
          <w:p w14:paraId="686D9943">
            <w:pPr>
              <w:snapToGrid w:val="0"/>
              <w:spacing w:line="240" w:lineRule="exact"/>
              <w:jc w:val="center"/>
              <w:rPr>
                <w:rFonts w:ascii="Arial" w:hAnsi="Arial" w:eastAsia="华文细黑" w:cs="Arial"/>
                <w:sz w:val="18"/>
                <w:szCs w:val="18"/>
                <w:highlight w:val="none"/>
              </w:rPr>
            </w:pPr>
            <w:r>
              <w:rPr>
                <w:rFonts w:hint="eastAsia" w:ascii="华文细黑" w:hAnsi="华文细黑" w:eastAsia="华文细黑" w:cs="Arial"/>
                <w:sz w:val="18"/>
                <w:szCs w:val="18"/>
                <w:highlight w:val="none"/>
              </w:rPr>
              <w:t>精装修</w:t>
            </w:r>
          </w:p>
        </w:tc>
      </w:tr>
      <w:tr w14:paraId="252E7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6CBF2C03">
            <w:pPr>
              <w:snapToGrid w:val="0"/>
              <w:spacing w:line="240" w:lineRule="exact"/>
              <w:jc w:val="center"/>
              <w:rPr>
                <w:rFonts w:ascii="Arial" w:hAnsi="Arial" w:eastAsia="华文细黑" w:cs="Arial"/>
                <w:sz w:val="18"/>
                <w:szCs w:val="18"/>
                <w:highlight w:val="none"/>
              </w:rPr>
            </w:pPr>
            <w:r>
              <w:rPr>
                <w:rFonts w:ascii="Arial" w:hAnsi="Arial" w:eastAsia="华文细黑" w:cs="Arial"/>
                <w:sz w:val="18"/>
                <w:szCs w:val="18"/>
                <w:highlight w:val="none"/>
              </w:rPr>
              <w:t>标准房3</w:t>
            </w:r>
          </w:p>
        </w:tc>
        <w:tc>
          <w:tcPr>
            <w:tcW w:w="1625" w:type="dxa"/>
          </w:tcPr>
          <w:p w14:paraId="7D08566A">
            <w:pPr>
              <w:snapToGrid w:val="0"/>
              <w:spacing w:line="240" w:lineRule="exact"/>
              <w:jc w:val="center"/>
              <w:rPr>
                <w:rFonts w:ascii="Arial" w:hAnsi="Arial" w:eastAsia="华文细黑" w:cs="Arial"/>
                <w:sz w:val="18"/>
                <w:szCs w:val="18"/>
                <w:highlight w:val="none"/>
              </w:rPr>
            </w:pPr>
            <w:r>
              <w:rPr>
                <w:rFonts w:hint="eastAsia" w:ascii="Arial" w:hAnsi="Arial" w:eastAsia="华文细黑" w:cs="Arial"/>
                <w:sz w:val="18"/>
                <w:szCs w:val="18"/>
                <w:highlight w:val="none"/>
                <w:lang w:val="en-US" w:eastAsia="zh-CN"/>
              </w:rPr>
              <w:t>三</w:t>
            </w:r>
            <w:r>
              <w:rPr>
                <w:rFonts w:ascii="Arial" w:hAnsi="Arial" w:eastAsia="华文细黑" w:cs="Arial"/>
                <w:sz w:val="18"/>
                <w:szCs w:val="18"/>
                <w:highlight w:val="none"/>
              </w:rPr>
              <w:t>居室</w:t>
            </w:r>
          </w:p>
        </w:tc>
        <w:tc>
          <w:tcPr>
            <w:tcW w:w="1693" w:type="dxa"/>
          </w:tcPr>
          <w:p w14:paraId="43E80CEE">
            <w:pPr>
              <w:snapToGrid w:val="0"/>
              <w:spacing w:line="240" w:lineRule="exact"/>
              <w:jc w:val="center"/>
              <w:rPr>
                <w:rFonts w:hint="default" w:ascii="Arial" w:hAnsi="Arial" w:eastAsia="华文细黑" w:cs="Arial"/>
                <w:sz w:val="18"/>
                <w:szCs w:val="18"/>
                <w:highlight w:val="none"/>
                <w:lang w:val="en-US" w:eastAsia="zh-CN"/>
              </w:rPr>
            </w:pPr>
            <w:r>
              <w:rPr>
                <w:rFonts w:hint="eastAsia" w:ascii="Arial" w:hAnsi="Arial" w:eastAsia="华文细黑" w:cs="Arial"/>
                <w:sz w:val="18"/>
                <w:szCs w:val="18"/>
                <w:highlight w:val="none"/>
                <w:lang w:val="en-US" w:eastAsia="zh-CN"/>
              </w:rPr>
              <w:t>128.85</w:t>
            </w:r>
          </w:p>
        </w:tc>
        <w:tc>
          <w:tcPr>
            <w:tcW w:w="1557" w:type="dxa"/>
          </w:tcPr>
          <w:p w14:paraId="3844DA02">
            <w:pPr>
              <w:snapToGrid w:val="0"/>
              <w:spacing w:line="240" w:lineRule="exact"/>
              <w:jc w:val="center"/>
              <w:rPr>
                <w:rFonts w:ascii="Arial" w:hAnsi="Arial" w:eastAsia="华文细黑" w:cs="Arial"/>
                <w:sz w:val="18"/>
                <w:szCs w:val="18"/>
                <w:highlight w:val="none"/>
              </w:rPr>
            </w:pPr>
            <w:r>
              <w:rPr>
                <w:rFonts w:hint="eastAsia" w:ascii="Arial" w:hAnsi="Arial" w:eastAsia="华文细黑" w:cs="Arial"/>
                <w:sz w:val="18"/>
                <w:szCs w:val="18"/>
                <w:highlight w:val="none"/>
                <w:lang w:val="en-US" w:eastAsia="zh-CN"/>
              </w:rPr>
              <w:t>南北</w:t>
            </w:r>
          </w:p>
        </w:tc>
        <w:tc>
          <w:tcPr>
            <w:tcW w:w="1491" w:type="dxa"/>
          </w:tcPr>
          <w:p w14:paraId="446C4682">
            <w:pPr>
              <w:snapToGrid w:val="0"/>
              <w:spacing w:line="240" w:lineRule="exact"/>
              <w:jc w:val="center"/>
              <w:rPr>
                <w:rFonts w:ascii="Arial" w:hAnsi="Arial" w:eastAsia="华文细黑" w:cs="Arial"/>
                <w:sz w:val="18"/>
                <w:szCs w:val="18"/>
                <w:highlight w:val="none"/>
              </w:rPr>
            </w:pPr>
            <w:r>
              <w:rPr>
                <w:rFonts w:hint="eastAsia" w:ascii="华文细黑" w:hAnsi="华文细黑" w:eastAsia="华文细黑" w:cs="Arial"/>
                <w:sz w:val="18"/>
                <w:szCs w:val="18"/>
                <w:highlight w:val="none"/>
                <w:lang w:val="en-US" w:eastAsia="zh-CN"/>
              </w:rPr>
              <w:t>中</w:t>
            </w:r>
            <w:r>
              <w:rPr>
                <w:rFonts w:hint="eastAsia" w:ascii="华文细黑" w:hAnsi="华文细黑" w:eastAsia="华文细黑" w:cs="Arial"/>
                <w:sz w:val="18"/>
                <w:szCs w:val="18"/>
                <w:highlight w:val="none"/>
              </w:rPr>
              <w:t>楼层</w:t>
            </w:r>
          </w:p>
        </w:tc>
        <w:tc>
          <w:tcPr>
            <w:tcW w:w="1491" w:type="dxa"/>
          </w:tcPr>
          <w:p w14:paraId="08D9C385">
            <w:pPr>
              <w:snapToGrid w:val="0"/>
              <w:spacing w:line="240" w:lineRule="exact"/>
              <w:jc w:val="center"/>
              <w:rPr>
                <w:rFonts w:ascii="Arial" w:hAnsi="Arial" w:eastAsia="华文细黑" w:cs="Arial"/>
                <w:sz w:val="18"/>
                <w:szCs w:val="18"/>
                <w:highlight w:val="none"/>
              </w:rPr>
            </w:pPr>
            <w:r>
              <w:rPr>
                <w:rFonts w:hint="eastAsia" w:ascii="华文细黑" w:hAnsi="华文细黑" w:eastAsia="华文细黑" w:cs="Arial"/>
                <w:sz w:val="18"/>
                <w:szCs w:val="18"/>
                <w:highlight w:val="none"/>
              </w:rPr>
              <w:t>精装修</w:t>
            </w:r>
          </w:p>
        </w:tc>
      </w:tr>
    </w:tbl>
    <w:p w14:paraId="0227BD92">
      <w:pPr>
        <w:pStyle w:val="60"/>
        <w:wordWrap w:val="0"/>
        <w:overflowPunct w:val="0"/>
        <w:autoSpaceDE w:val="0"/>
        <w:autoSpaceDN w:val="0"/>
        <w:spacing w:before="120" w:beforeLines="50" w:line="480" w:lineRule="auto"/>
        <w:ind w:firstLine="420" w:firstLineChars="200"/>
        <w:jc w:val="both"/>
        <w:textAlignment w:val="auto"/>
        <w:rPr>
          <w:rFonts w:ascii="Arial" w:hAnsi="Arial" w:cs="Arial"/>
          <w:sz w:val="21"/>
          <w:szCs w:val="21"/>
          <w:highlight w:val="none"/>
        </w:rPr>
      </w:pPr>
      <w:r>
        <w:rPr>
          <w:rFonts w:ascii="Arial" w:hAnsi="Arial" w:cs="Arial"/>
          <w:sz w:val="21"/>
          <w:szCs w:val="21"/>
          <w:highlight w:val="none"/>
        </w:rPr>
        <w:t>2.在估价对象周边区域选取适当数量</w:t>
      </w:r>
      <w:r>
        <w:rPr>
          <w:rFonts w:hint="eastAsia" w:ascii="Arial" w:hAnsi="Arial" w:cs="Arial"/>
          <w:sz w:val="21"/>
          <w:szCs w:val="21"/>
          <w:highlight w:val="none"/>
        </w:rPr>
        <w:t>住宅项目</w:t>
      </w:r>
      <w:r>
        <w:rPr>
          <w:rFonts w:ascii="Arial" w:hAnsi="Arial" w:cs="Arial"/>
          <w:sz w:val="21"/>
          <w:szCs w:val="21"/>
          <w:highlight w:val="none"/>
        </w:rPr>
        <w:t>，结合估价机构市场调查，选取可比小区。</w:t>
      </w:r>
    </w:p>
    <w:p w14:paraId="49A03426">
      <w:pPr>
        <w:pStyle w:val="60"/>
        <w:wordWrap w:val="0"/>
        <w:overflowPunct w:val="0"/>
        <w:autoSpaceDE w:val="0"/>
        <w:autoSpaceDN w:val="0"/>
        <w:spacing w:line="480" w:lineRule="auto"/>
        <w:ind w:firstLine="420" w:firstLineChars="200"/>
        <w:jc w:val="both"/>
        <w:textAlignment w:val="auto"/>
        <w:rPr>
          <w:rFonts w:ascii="Arial" w:hAnsi="Arial" w:cs="Arial"/>
          <w:sz w:val="21"/>
          <w:szCs w:val="21"/>
          <w:highlight w:val="none"/>
        </w:rPr>
      </w:pPr>
      <w:r>
        <w:rPr>
          <w:rFonts w:ascii="Arial" w:hAnsi="Arial" w:cs="Arial"/>
          <w:sz w:val="21"/>
          <w:szCs w:val="21"/>
          <w:highlight w:val="none"/>
        </w:rPr>
        <w:t>3.将所选可比小区与评估对象标准房进行比较，进行区位状况调整和实物状况调整，计算各可比实例比准租金，得到</w:t>
      </w:r>
      <w:r>
        <w:rPr>
          <w:rFonts w:hint="eastAsia" w:ascii="Arial" w:hAnsi="Arial" w:cs="Arial"/>
          <w:sz w:val="21"/>
          <w:szCs w:val="21"/>
          <w:highlight w:val="none"/>
        </w:rPr>
        <w:t>估价对象标准房</w:t>
      </w:r>
      <w:r>
        <w:rPr>
          <w:rFonts w:ascii="Arial" w:hAnsi="Arial" w:cs="Arial"/>
          <w:sz w:val="21"/>
          <w:szCs w:val="21"/>
          <w:highlight w:val="none"/>
        </w:rPr>
        <w:t>租金水平。</w:t>
      </w:r>
    </w:p>
    <w:p w14:paraId="21FD72CC">
      <w:pPr>
        <w:pStyle w:val="60"/>
        <w:wordWrap w:val="0"/>
        <w:overflowPunct w:val="0"/>
        <w:autoSpaceDE w:val="0"/>
        <w:autoSpaceDN w:val="0"/>
        <w:spacing w:line="480" w:lineRule="auto"/>
        <w:jc w:val="both"/>
        <w:textAlignment w:val="auto"/>
        <w:rPr>
          <w:rFonts w:ascii="Arial" w:hAnsi="Arial" w:cs="Arial"/>
          <w:b/>
          <w:sz w:val="21"/>
          <w:szCs w:val="21"/>
          <w:highlight w:val="none"/>
        </w:rPr>
      </w:pPr>
      <w:r>
        <w:rPr>
          <w:rFonts w:hint="eastAsia" w:ascii="Arial" w:hAnsi="Arial" w:cs="Arial"/>
          <w:b/>
          <w:sz w:val="21"/>
          <w:szCs w:val="21"/>
          <w:highlight w:val="none"/>
        </w:rPr>
        <w:t>（二）估价方法</w:t>
      </w:r>
      <w:r>
        <w:rPr>
          <w:rFonts w:ascii="Arial" w:hAnsi="Arial" w:cs="Arial"/>
          <w:b/>
          <w:sz w:val="21"/>
          <w:szCs w:val="21"/>
          <w:highlight w:val="none"/>
        </w:rPr>
        <w:t xml:space="preserve"> </w:t>
      </w:r>
    </w:p>
    <w:p w14:paraId="1329B030">
      <w:pPr>
        <w:pStyle w:val="60"/>
        <w:wordWrap w:val="0"/>
        <w:overflowPunct w:val="0"/>
        <w:autoSpaceDE w:val="0"/>
        <w:autoSpaceDN w:val="0"/>
        <w:spacing w:line="480" w:lineRule="auto"/>
        <w:ind w:firstLine="420" w:firstLineChars="200"/>
        <w:jc w:val="both"/>
        <w:textAlignment w:val="auto"/>
        <w:rPr>
          <w:rFonts w:ascii="Arial" w:hAnsi="Arial" w:cs="Arial"/>
          <w:sz w:val="21"/>
          <w:szCs w:val="21"/>
          <w:highlight w:val="none"/>
        </w:rPr>
      </w:pPr>
      <w:r>
        <w:rPr>
          <w:rFonts w:ascii="Arial" w:hAnsi="Arial" w:cs="Arial"/>
          <w:sz w:val="21"/>
          <w:szCs w:val="21"/>
          <w:highlight w:val="none"/>
        </w:rPr>
        <w:t>比较法，是在求取估价对象房地产</w:t>
      </w:r>
      <w:r>
        <w:rPr>
          <w:rFonts w:hint="eastAsia" w:ascii="Arial" w:hAnsi="Arial" w:cs="Arial"/>
          <w:sz w:val="21"/>
          <w:szCs w:val="21"/>
          <w:highlight w:val="none"/>
        </w:rPr>
        <w:t>市场租金水平</w:t>
      </w:r>
      <w:r>
        <w:rPr>
          <w:rFonts w:ascii="Arial" w:hAnsi="Arial" w:cs="Arial"/>
          <w:sz w:val="21"/>
          <w:szCs w:val="21"/>
          <w:highlight w:val="none"/>
        </w:rPr>
        <w:t>时，根据替代原则，将估价对象与在较近时期内已发生交易的类似房地产</w:t>
      </w:r>
      <w:r>
        <w:rPr>
          <w:rFonts w:hint="eastAsia" w:ascii="Arial" w:hAnsi="Arial" w:cs="Arial"/>
          <w:sz w:val="21"/>
          <w:szCs w:val="21"/>
          <w:highlight w:val="none"/>
        </w:rPr>
        <w:t>租赁</w:t>
      </w:r>
      <w:r>
        <w:rPr>
          <w:rFonts w:ascii="Arial" w:hAnsi="Arial" w:cs="Arial"/>
          <w:sz w:val="21"/>
          <w:szCs w:val="21"/>
          <w:highlight w:val="none"/>
        </w:rPr>
        <w:t>交易实例进行对照比较，并依据后者已知的价格，参照该房地产的交易情况、期日、区域及实物状况的差别，修正得出估价对象房地产</w:t>
      </w:r>
      <w:r>
        <w:rPr>
          <w:rFonts w:hint="eastAsia" w:ascii="Arial" w:hAnsi="Arial" w:cs="Arial"/>
          <w:sz w:val="21"/>
          <w:szCs w:val="21"/>
          <w:highlight w:val="none"/>
        </w:rPr>
        <w:t>市场租金水平</w:t>
      </w:r>
      <w:r>
        <w:rPr>
          <w:rFonts w:ascii="Arial" w:hAnsi="Arial" w:cs="Arial"/>
          <w:sz w:val="21"/>
          <w:szCs w:val="21"/>
          <w:highlight w:val="none"/>
        </w:rPr>
        <w:t>的方法。本次估价采用比较法思路评估租金价格水平。</w:t>
      </w:r>
    </w:p>
    <w:p w14:paraId="4158DE21">
      <w:pPr>
        <w:pStyle w:val="60"/>
        <w:wordWrap w:val="0"/>
        <w:overflowPunct w:val="0"/>
        <w:autoSpaceDE w:val="0"/>
        <w:autoSpaceDN w:val="0"/>
        <w:spacing w:line="480" w:lineRule="auto"/>
        <w:ind w:firstLine="420" w:firstLineChars="200"/>
        <w:jc w:val="both"/>
        <w:textAlignment w:val="auto"/>
        <w:rPr>
          <w:rFonts w:ascii="Arial" w:hAnsi="Arial" w:cs="Arial"/>
          <w:sz w:val="21"/>
          <w:szCs w:val="21"/>
          <w:highlight w:val="none"/>
        </w:rPr>
      </w:pPr>
      <w:r>
        <w:rPr>
          <w:rFonts w:hint="eastAsia" w:ascii="Arial" w:hAnsi="Arial" w:cs="Arial"/>
          <w:sz w:val="21"/>
          <w:szCs w:val="21"/>
          <w:highlight w:val="none"/>
        </w:rPr>
        <w:t>1.</w:t>
      </w:r>
      <w:r>
        <w:rPr>
          <w:rFonts w:ascii="Arial" w:hAnsi="Arial" w:cs="Arial"/>
          <w:sz w:val="21"/>
          <w:szCs w:val="21"/>
          <w:highlight w:val="none"/>
        </w:rPr>
        <w:t>采用</w:t>
      </w:r>
      <w:r>
        <w:rPr>
          <w:rFonts w:hint="eastAsia" w:ascii="Arial" w:hAnsi="Arial" w:cs="Arial"/>
          <w:sz w:val="21"/>
          <w:szCs w:val="21"/>
          <w:highlight w:val="none"/>
        </w:rPr>
        <w:t>比较法</w:t>
      </w:r>
      <w:r>
        <w:rPr>
          <w:rFonts w:ascii="Arial" w:hAnsi="Arial" w:cs="Arial"/>
          <w:sz w:val="21"/>
          <w:szCs w:val="21"/>
          <w:highlight w:val="none"/>
        </w:rPr>
        <w:t>的理由</w:t>
      </w:r>
      <w:r>
        <w:rPr>
          <w:rFonts w:hint="eastAsia" w:ascii="Arial" w:hAnsi="Arial" w:cs="Arial"/>
          <w:sz w:val="21"/>
          <w:szCs w:val="21"/>
          <w:highlight w:val="none"/>
        </w:rPr>
        <w:t>：</w:t>
      </w:r>
    </w:p>
    <w:p w14:paraId="094E76C7">
      <w:pPr>
        <w:pStyle w:val="60"/>
        <w:wordWrap w:val="0"/>
        <w:overflowPunct w:val="0"/>
        <w:autoSpaceDE w:val="0"/>
        <w:autoSpaceDN w:val="0"/>
        <w:spacing w:line="480" w:lineRule="auto"/>
        <w:ind w:firstLine="420" w:firstLineChars="200"/>
        <w:jc w:val="both"/>
        <w:textAlignment w:val="auto"/>
        <w:rPr>
          <w:rFonts w:ascii="Arial" w:hAnsi="Arial" w:cs="Arial"/>
          <w:sz w:val="21"/>
          <w:szCs w:val="21"/>
          <w:highlight w:val="none"/>
        </w:rPr>
      </w:pPr>
      <w:r>
        <w:rPr>
          <w:rFonts w:ascii="Arial" w:hAnsi="Arial" w:cs="Arial"/>
          <w:sz w:val="21"/>
          <w:szCs w:val="21"/>
          <w:highlight w:val="none"/>
        </w:rPr>
        <w:t>估价对象所处区域近期有较多的相同用途物业的出租案例，且交易时间与价值时点接近，故适宜采用比较法进行租赁价格评估；同时有所在区域</w:t>
      </w:r>
      <w:r>
        <w:rPr>
          <w:rFonts w:hint="eastAsia" w:ascii="Arial" w:hAnsi="Arial" w:cs="Arial"/>
          <w:sz w:val="21"/>
          <w:szCs w:val="21"/>
          <w:highlight w:val="none"/>
        </w:rPr>
        <w:t>住宅</w:t>
      </w:r>
      <w:r>
        <w:rPr>
          <w:rFonts w:ascii="Arial" w:hAnsi="Arial" w:cs="Arial"/>
          <w:sz w:val="21"/>
          <w:szCs w:val="21"/>
          <w:highlight w:val="none"/>
        </w:rPr>
        <w:t>出租的公开信息，可通过因素修正得出估价对象所在区域</w:t>
      </w:r>
      <w:r>
        <w:rPr>
          <w:rFonts w:hint="eastAsia" w:ascii="Arial" w:hAnsi="Arial" w:cs="Arial"/>
          <w:sz w:val="21"/>
          <w:szCs w:val="21"/>
          <w:highlight w:val="none"/>
        </w:rPr>
        <w:t>住宅</w:t>
      </w:r>
      <w:r>
        <w:rPr>
          <w:rFonts w:ascii="Arial" w:hAnsi="Arial" w:cs="Arial"/>
          <w:sz w:val="21"/>
          <w:szCs w:val="21"/>
          <w:highlight w:val="none"/>
        </w:rPr>
        <w:t>租赁价格水平</w:t>
      </w:r>
      <w:r>
        <w:rPr>
          <w:rFonts w:hint="eastAsia" w:ascii="Arial" w:hAnsi="Arial" w:cs="Arial"/>
          <w:sz w:val="21"/>
          <w:szCs w:val="21"/>
          <w:highlight w:val="none"/>
        </w:rPr>
        <w:t>。</w:t>
      </w:r>
      <w:r>
        <w:rPr>
          <w:rFonts w:ascii="Arial" w:hAnsi="Arial" w:cs="Arial"/>
          <w:sz w:val="21"/>
          <w:szCs w:val="21"/>
          <w:highlight w:val="none"/>
        </w:rPr>
        <w:t>同时</w:t>
      </w:r>
      <w:r>
        <w:rPr>
          <w:rFonts w:hint="eastAsia" w:ascii="Arial" w:hAnsi="Arial" w:cs="Arial"/>
          <w:sz w:val="21"/>
          <w:szCs w:val="21"/>
          <w:highlight w:val="none"/>
        </w:rPr>
        <w:t>，</w:t>
      </w:r>
      <w:r>
        <w:rPr>
          <w:rFonts w:ascii="Arial" w:hAnsi="Arial" w:cs="Arial"/>
          <w:sz w:val="21"/>
          <w:szCs w:val="21"/>
          <w:highlight w:val="none"/>
        </w:rPr>
        <w:t>通过区域因素修正得出估价对象相邻或相似区域</w:t>
      </w:r>
      <w:r>
        <w:rPr>
          <w:rFonts w:hint="eastAsia" w:ascii="Arial" w:hAnsi="Arial" w:cs="Arial"/>
          <w:sz w:val="21"/>
          <w:szCs w:val="21"/>
          <w:highlight w:val="none"/>
        </w:rPr>
        <w:t>住宅</w:t>
      </w:r>
      <w:r>
        <w:rPr>
          <w:rFonts w:ascii="Arial" w:hAnsi="Arial" w:cs="Arial"/>
          <w:sz w:val="21"/>
          <w:szCs w:val="21"/>
          <w:highlight w:val="none"/>
        </w:rPr>
        <w:t>租赁价格水平</w:t>
      </w:r>
      <w:r>
        <w:rPr>
          <w:rFonts w:hint="eastAsia" w:ascii="Arial" w:hAnsi="Arial" w:cs="Arial"/>
          <w:sz w:val="21"/>
          <w:szCs w:val="21"/>
          <w:highlight w:val="none"/>
        </w:rPr>
        <w:t>。</w:t>
      </w:r>
    </w:p>
    <w:p w14:paraId="222F5B27">
      <w:pPr>
        <w:pStyle w:val="60"/>
        <w:wordWrap w:val="0"/>
        <w:overflowPunct w:val="0"/>
        <w:autoSpaceDE w:val="0"/>
        <w:autoSpaceDN w:val="0"/>
        <w:spacing w:line="480" w:lineRule="auto"/>
        <w:ind w:firstLine="420" w:firstLineChars="200"/>
        <w:jc w:val="both"/>
        <w:textAlignment w:val="auto"/>
        <w:rPr>
          <w:rFonts w:ascii="Arial" w:hAnsi="Arial" w:cs="Arial"/>
          <w:sz w:val="21"/>
          <w:szCs w:val="21"/>
          <w:highlight w:val="none"/>
        </w:rPr>
      </w:pPr>
      <w:r>
        <w:rPr>
          <w:rFonts w:hint="eastAsia" w:ascii="Arial" w:hAnsi="Arial" w:cs="Arial"/>
          <w:sz w:val="21"/>
          <w:szCs w:val="21"/>
          <w:highlight w:val="none"/>
        </w:rPr>
        <w:t>2.</w:t>
      </w:r>
      <w:r>
        <w:rPr>
          <w:rFonts w:ascii="Arial" w:hAnsi="Arial" w:cs="Arial"/>
          <w:sz w:val="21"/>
          <w:szCs w:val="21"/>
          <w:highlight w:val="none"/>
        </w:rPr>
        <w:t>不采用成本法、假设开发法、收益法的理由</w:t>
      </w:r>
      <w:r>
        <w:rPr>
          <w:rFonts w:hint="eastAsia" w:ascii="Arial" w:hAnsi="Arial" w:cs="Arial"/>
          <w:sz w:val="21"/>
          <w:szCs w:val="21"/>
          <w:highlight w:val="none"/>
        </w:rPr>
        <w:t>：</w:t>
      </w:r>
    </w:p>
    <w:p w14:paraId="0DC8BD1D">
      <w:pPr>
        <w:pStyle w:val="60"/>
        <w:wordWrap w:val="0"/>
        <w:overflowPunct w:val="0"/>
        <w:autoSpaceDE w:val="0"/>
        <w:autoSpaceDN w:val="0"/>
        <w:spacing w:line="480" w:lineRule="auto"/>
        <w:ind w:firstLine="420"/>
        <w:jc w:val="both"/>
        <w:textAlignment w:val="auto"/>
        <w:rPr>
          <w:rFonts w:ascii="Arial" w:hAnsi="Arial" w:cs="Arial"/>
          <w:sz w:val="21"/>
          <w:szCs w:val="21"/>
          <w:highlight w:val="none"/>
        </w:rPr>
      </w:pPr>
      <w:r>
        <w:rPr>
          <w:rFonts w:hint="eastAsia" w:hAnsi="宋体" w:cs="Arial"/>
          <w:sz w:val="21"/>
          <w:szCs w:val="21"/>
          <w:highlight w:val="none"/>
        </w:rPr>
        <w:t>（1）估价对象适用比较法，且已优先采用比较法进行评估，故不再采用成本法进行测算。</w:t>
      </w:r>
    </w:p>
    <w:p w14:paraId="690BC21F">
      <w:pPr>
        <w:pStyle w:val="60"/>
        <w:wordWrap w:val="0"/>
        <w:overflowPunct w:val="0"/>
        <w:autoSpaceDE w:val="0"/>
        <w:autoSpaceDN w:val="0"/>
        <w:spacing w:line="480" w:lineRule="auto"/>
        <w:ind w:firstLine="420"/>
        <w:jc w:val="both"/>
        <w:textAlignment w:val="auto"/>
        <w:rPr>
          <w:rFonts w:hAnsi="宋体" w:cs="Arial"/>
          <w:sz w:val="21"/>
          <w:szCs w:val="21"/>
          <w:highlight w:val="none"/>
        </w:rPr>
      </w:pPr>
      <w:r>
        <w:rPr>
          <w:rFonts w:hint="eastAsia" w:hAnsi="宋体" w:cs="Arial"/>
          <w:sz w:val="21"/>
          <w:szCs w:val="21"/>
          <w:highlight w:val="none"/>
        </w:rPr>
        <w:t>（2）假设开发法可评估房地产市场价值，但不适于租赁价格的评估。</w:t>
      </w:r>
    </w:p>
    <w:p w14:paraId="03230F22">
      <w:pPr>
        <w:pStyle w:val="60"/>
        <w:wordWrap w:val="0"/>
        <w:overflowPunct w:val="0"/>
        <w:autoSpaceDE w:val="0"/>
        <w:autoSpaceDN w:val="0"/>
        <w:spacing w:line="480" w:lineRule="auto"/>
        <w:ind w:firstLine="420" w:firstLineChars="200"/>
        <w:jc w:val="both"/>
        <w:textAlignment w:val="auto"/>
        <w:rPr>
          <w:rFonts w:ascii="Arial" w:hAnsi="Arial" w:cs="Arial"/>
          <w:sz w:val="21"/>
          <w:szCs w:val="21"/>
          <w:highlight w:val="none"/>
        </w:rPr>
      </w:pPr>
      <w:r>
        <w:rPr>
          <w:rFonts w:hint="eastAsia" w:hAnsi="宋体" w:cs="Arial"/>
          <w:sz w:val="21"/>
          <w:szCs w:val="21"/>
          <w:highlight w:val="none"/>
        </w:rPr>
        <w:t>（3）</w:t>
      </w:r>
      <w:r>
        <w:rPr>
          <w:rFonts w:ascii="Arial" w:hAnsi="Arial" w:cs="Arial"/>
          <w:sz w:val="21"/>
          <w:szCs w:val="21"/>
          <w:highlight w:val="none"/>
        </w:rPr>
        <w:t>收益法适用于有现实收益或潜在收益的土地或房地产估价。估价对象用途</w:t>
      </w:r>
      <w:r>
        <w:rPr>
          <w:rFonts w:hint="eastAsia" w:ascii="Arial" w:hAnsi="Arial" w:cs="Arial"/>
          <w:kern w:val="2"/>
          <w:sz w:val="21"/>
          <w:szCs w:val="21"/>
          <w:highlight w:val="none"/>
        </w:rPr>
        <w:t>设定为保障性租赁住房</w:t>
      </w:r>
      <w:r>
        <w:rPr>
          <w:rFonts w:ascii="Arial" w:hAnsi="Arial" w:cs="Arial"/>
          <w:sz w:val="21"/>
          <w:szCs w:val="21"/>
          <w:highlight w:val="none"/>
        </w:rPr>
        <w:t>，能对外出租，为收益性物业，估价对象虽具有潜在租金收益，租金水平也相对稳定，而由于受到国人传统的购房理念以及固定资产投资、保值需求等的影响，目前估价对象所在区域同类商品房</w:t>
      </w:r>
      <w:r>
        <w:rPr>
          <w:rFonts w:hint="eastAsia" w:ascii="Arial" w:hAnsi="Arial" w:cs="Arial"/>
          <w:sz w:val="21"/>
          <w:szCs w:val="21"/>
          <w:highlight w:val="none"/>
        </w:rPr>
        <w:t>公寓</w:t>
      </w:r>
      <w:r>
        <w:rPr>
          <w:rFonts w:ascii="Arial" w:hAnsi="Arial" w:cs="Arial"/>
          <w:sz w:val="21"/>
          <w:szCs w:val="21"/>
          <w:highlight w:val="none"/>
        </w:rPr>
        <w:t>业态租售比差距较大，采用房屋交易价格测算出的房屋租金不能反映正常的市场租金水平，故未采用收益法</w:t>
      </w:r>
      <w:r>
        <w:rPr>
          <w:rFonts w:hint="eastAsia" w:ascii="Arial" w:hAnsi="Arial" w:cs="Arial"/>
          <w:sz w:val="21"/>
          <w:szCs w:val="21"/>
          <w:highlight w:val="none"/>
        </w:rPr>
        <w:t>。</w:t>
      </w:r>
      <w:r>
        <w:rPr>
          <w:rFonts w:ascii="Arial" w:hAnsi="Arial" w:cs="Arial"/>
          <w:sz w:val="21"/>
          <w:szCs w:val="21"/>
          <w:highlight w:val="none"/>
        </w:rPr>
        <w:t xml:space="preserve"> </w:t>
      </w:r>
    </w:p>
    <w:p w14:paraId="73084618">
      <w:pPr>
        <w:pStyle w:val="60"/>
        <w:wordWrap w:val="0"/>
        <w:overflowPunct w:val="0"/>
        <w:autoSpaceDE w:val="0"/>
        <w:autoSpaceDN w:val="0"/>
        <w:spacing w:line="480" w:lineRule="auto"/>
        <w:ind w:right="142" w:firstLine="420" w:firstLineChars="200"/>
        <w:jc w:val="both"/>
        <w:textAlignment w:val="auto"/>
        <w:rPr>
          <w:rFonts w:ascii="Arial" w:hAnsi="Arial" w:cs="Arial"/>
          <w:sz w:val="21"/>
          <w:szCs w:val="21"/>
          <w:highlight w:val="none"/>
        </w:rPr>
      </w:pPr>
    </w:p>
    <w:p w14:paraId="1F75F026">
      <w:pPr>
        <w:pStyle w:val="3"/>
        <w:numPr>
          <w:ilvl w:val="0"/>
          <w:numId w:val="0"/>
        </w:numPr>
        <w:wordWrap w:val="0"/>
        <w:overflowPunct w:val="0"/>
        <w:spacing w:line="480" w:lineRule="auto"/>
        <w:ind w:left="358" w:hanging="358" w:hangingChars="170"/>
        <w:jc w:val="both"/>
        <w:textAlignment w:val="auto"/>
        <w:rPr>
          <w:rFonts w:eastAsia="宋体"/>
          <w:kern w:val="2"/>
          <w:sz w:val="21"/>
          <w:szCs w:val="21"/>
          <w:highlight w:val="none"/>
        </w:rPr>
      </w:pPr>
      <w:bookmarkStart w:id="37" w:name="_Toc155267095"/>
      <w:bookmarkStart w:id="38" w:name="_Toc168225822"/>
      <w:r>
        <w:rPr>
          <w:rFonts w:eastAsia="宋体"/>
          <w:kern w:val="2"/>
          <w:sz w:val="21"/>
          <w:szCs w:val="21"/>
          <w:highlight w:val="none"/>
        </w:rPr>
        <w:t>十、估价结果</w:t>
      </w:r>
      <w:bookmarkEnd w:id="37"/>
      <w:bookmarkEnd w:id="38"/>
    </w:p>
    <w:p w14:paraId="0A8A9BBA">
      <w:pPr>
        <w:overflowPunct w:val="0"/>
        <w:spacing w:line="480" w:lineRule="auto"/>
        <w:ind w:firstLine="420" w:firstLineChars="200"/>
        <w:jc w:val="both"/>
        <w:textAlignment w:val="auto"/>
        <w:rPr>
          <w:rFonts w:ascii="Arial" w:hAnsi="Arial" w:cs="Arial"/>
          <w:sz w:val="21"/>
          <w:szCs w:val="21"/>
          <w:highlight w:val="none"/>
        </w:rPr>
      </w:pPr>
      <w:r>
        <w:rPr>
          <w:rFonts w:ascii="Arial" w:hAnsi="Arial" w:cs="Arial"/>
          <w:sz w:val="21"/>
          <w:szCs w:val="21"/>
          <w:highlight w:val="none"/>
        </w:rPr>
        <w:t>评估专业人员根据估价的目的，</w:t>
      </w:r>
      <w:r>
        <w:rPr>
          <w:rFonts w:hint="eastAsia" w:ascii="Arial" w:hAnsi="Arial" w:cs="Arial"/>
          <w:sz w:val="21"/>
          <w:szCs w:val="21"/>
          <w:highlight w:val="none"/>
        </w:rPr>
        <w:t>遵循估价原则，</w:t>
      </w:r>
      <w:r>
        <w:rPr>
          <w:rFonts w:ascii="Arial" w:hAnsi="Arial" w:cs="Arial"/>
          <w:sz w:val="21"/>
          <w:szCs w:val="21"/>
          <w:highlight w:val="none"/>
        </w:rPr>
        <w:t>按照估价的程序，采用科学的估价方法，在认真分析现有资料的基础上，通过仔细测算和认真分析各种影响房地产</w:t>
      </w:r>
      <w:r>
        <w:rPr>
          <w:rFonts w:hint="eastAsia" w:ascii="Arial" w:hAnsi="Arial" w:cs="Arial"/>
          <w:sz w:val="21"/>
          <w:szCs w:val="21"/>
          <w:highlight w:val="none"/>
        </w:rPr>
        <w:t>租赁</w:t>
      </w:r>
      <w:r>
        <w:rPr>
          <w:rFonts w:ascii="Arial" w:hAnsi="Arial" w:cs="Arial"/>
          <w:sz w:val="21"/>
          <w:szCs w:val="21"/>
          <w:highlight w:val="none"/>
        </w:rPr>
        <w:t>价格的因素，</w:t>
      </w:r>
      <w:r>
        <w:rPr>
          <w:rFonts w:hint="eastAsia" w:ascii="Arial" w:hAnsi="Arial" w:cs="Arial"/>
          <w:sz w:val="21"/>
          <w:szCs w:val="21"/>
          <w:highlight w:val="none"/>
        </w:rPr>
        <w:t>最终</w:t>
      </w:r>
      <w:r>
        <w:rPr>
          <w:rFonts w:ascii="Arial" w:hAnsi="Arial" w:cs="Arial"/>
          <w:sz w:val="21"/>
          <w:szCs w:val="21"/>
          <w:highlight w:val="none"/>
        </w:rPr>
        <w:t>确定</w:t>
      </w:r>
      <w:r>
        <w:rPr>
          <w:rFonts w:hint="eastAsia" w:ascii="Arial" w:hAnsi="Arial" w:cs="Arial"/>
          <w:sz w:val="21"/>
          <w:szCs w:val="21"/>
          <w:highlight w:val="none"/>
        </w:rPr>
        <w:t>项目于价值时点</w:t>
      </w:r>
      <w:r>
        <w:rPr>
          <w:rFonts w:hint="eastAsia" w:ascii="Arial" w:hAnsi="Arial" w:cs="Arial"/>
          <w:sz w:val="21"/>
          <w:szCs w:val="21"/>
          <w:highlight w:val="none"/>
          <w:lang w:eastAsia="zh-CN"/>
        </w:rPr>
        <w:t>2025年12月26日</w:t>
      </w:r>
      <w:r>
        <w:rPr>
          <w:rFonts w:hint="eastAsia" w:ascii="Arial" w:hAnsi="Arial" w:cs="Arial"/>
          <w:sz w:val="21"/>
          <w:szCs w:val="21"/>
          <w:highlight w:val="none"/>
        </w:rPr>
        <w:t xml:space="preserve">同地段、同品质市场租赁住房租金为： </w:t>
      </w:r>
    </w:p>
    <w:p w14:paraId="6CF802F5">
      <w:pPr>
        <w:overflowPunct w:val="0"/>
        <w:spacing w:line="480" w:lineRule="auto"/>
        <w:ind w:firstLine="422" w:firstLineChars="200"/>
        <w:jc w:val="both"/>
        <w:textAlignment w:val="auto"/>
        <w:rPr>
          <w:rFonts w:ascii="Arial" w:hAnsi="Arial" w:cs="Arial"/>
          <w:b/>
          <w:bCs/>
          <w:sz w:val="21"/>
          <w:szCs w:val="21"/>
          <w:highlight w:val="none"/>
        </w:rPr>
      </w:pPr>
      <w:r>
        <w:rPr>
          <w:rFonts w:hint="eastAsia" w:ascii="Arial" w:hAnsi="Arial" w:cs="Arial"/>
          <w:b/>
          <w:bCs/>
          <w:sz w:val="21"/>
          <w:szCs w:val="21"/>
          <w:highlight w:val="none"/>
        </w:rPr>
        <w:t>一居室（</w:t>
      </w:r>
      <w:r>
        <w:rPr>
          <w:rFonts w:hint="eastAsia" w:ascii="Arial" w:hAnsi="Arial" w:cs="Arial"/>
          <w:b/>
          <w:bCs/>
          <w:sz w:val="21"/>
          <w:szCs w:val="21"/>
          <w:highlight w:val="none"/>
          <w:lang w:val="en-US" w:eastAsia="zh-CN"/>
        </w:rPr>
        <w:t>52.63-69.91</w:t>
      </w:r>
      <w:r>
        <w:rPr>
          <w:rFonts w:ascii="Arial" w:hAnsi="Arial" w:cs="Arial"/>
          <w:b/>
          <w:bCs/>
          <w:sz w:val="21"/>
          <w:szCs w:val="21"/>
          <w:highlight w:val="none"/>
        </w:rPr>
        <w:t>平方米）</w:t>
      </w:r>
      <w:r>
        <w:rPr>
          <w:rFonts w:hint="eastAsia" w:ascii="Arial" w:hAnsi="Arial" w:cs="Arial"/>
          <w:b/>
          <w:bCs/>
          <w:sz w:val="21"/>
          <w:szCs w:val="21"/>
          <w:highlight w:val="none"/>
        </w:rPr>
        <w:t>：</w:t>
      </w:r>
      <w:r>
        <w:rPr>
          <w:rFonts w:hint="eastAsia" w:ascii="Arial" w:hAnsi="Arial" w:cs="Arial"/>
          <w:b/>
          <w:bCs/>
          <w:sz w:val="21"/>
          <w:szCs w:val="21"/>
          <w:highlight w:val="none"/>
          <w:lang w:val="en-US" w:eastAsia="zh-CN"/>
        </w:rPr>
        <w:t>21.46</w:t>
      </w:r>
      <w:r>
        <w:rPr>
          <w:rFonts w:hint="eastAsia" w:ascii="Arial" w:hAnsi="Arial" w:cs="Arial"/>
          <w:b/>
          <w:bCs/>
          <w:sz w:val="21"/>
          <w:szCs w:val="21"/>
          <w:highlight w:val="none"/>
        </w:rPr>
        <w:t>元/平方米·月</w:t>
      </w:r>
    </w:p>
    <w:p w14:paraId="242245B6">
      <w:pPr>
        <w:overflowPunct w:val="0"/>
        <w:spacing w:line="480" w:lineRule="auto"/>
        <w:ind w:firstLine="422" w:firstLineChars="200"/>
        <w:jc w:val="both"/>
        <w:textAlignment w:val="auto"/>
        <w:rPr>
          <w:rFonts w:ascii="Arial" w:hAnsi="Arial" w:cs="Arial"/>
          <w:b/>
          <w:bCs/>
          <w:sz w:val="21"/>
          <w:szCs w:val="21"/>
          <w:highlight w:val="none"/>
        </w:rPr>
      </w:pPr>
      <w:r>
        <w:rPr>
          <w:rFonts w:hint="eastAsia" w:ascii="Arial" w:hAnsi="Arial" w:cs="Arial"/>
          <w:b/>
          <w:bCs/>
          <w:sz w:val="21"/>
          <w:szCs w:val="21"/>
          <w:highlight w:val="none"/>
        </w:rPr>
        <w:t>两居室（</w:t>
      </w:r>
      <w:r>
        <w:rPr>
          <w:rFonts w:hint="eastAsia" w:ascii="Arial" w:hAnsi="Arial" w:cs="Arial"/>
          <w:b/>
          <w:bCs/>
          <w:sz w:val="21"/>
          <w:szCs w:val="21"/>
          <w:highlight w:val="none"/>
          <w:lang w:val="en-US" w:eastAsia="zh-CN"/>
        </w:rPr>
        <w:t>72.82-88.38</w:t>
      </w:r>
      <w:r>
        <w:rPr>
          <w:rFonts w:ascii="Arial" w:hAnsi="Arial" w:cs="Arial"/>
          <w:b/>
          <w:bCs/>
          <w:sz w:val="21"/>
          <w:szCs w:val="21"/>
          <w:highlight w:val="none"/>
        </w:rPr>
        <w:t>平方米）</w:t>
      </w:r>
      <w:r>
        <w:rPr>
          <w:rFonts w:hint="eastAsia" w:ascii="Arial" w:hAnsi="Arial" w:cs="Arial"/>
          <w:b/>
          <w:bCs/>
          <w:sz w:val="21"/>
          <w:szCs w:val="21"/>
          <w:highlight w:val="none"/>
        </w:rPr>
        <w:t>：</w:t>
      </w:r>
      <w:r>
        <w:rPr>
          <w:rFonts w:hint="eastAsia" w:ascii="Arial" w:hAnsi="Arial" w:cs="Arial"/>
          <w:b/>
          <w:bCs/>
          <w:sz w:val="21"/>
          <w:szCs w:val="21"/>
          <w:highlight w:val="none"/>
          <w:lang w:val="en-US" w:eastAsia="zh-CN"/>
        </w:rPr>
        <w:t>17.28</w:t>
      </w:r>
      <w:r>
        <w:rPr>
          <w:rFonts w:hint="eastAsia" w:ascii="Arial" w:hAnsi="Arial" w:cs="Arial"/>
          <w:b/>
          <w:bCs/>
          <w:sz w:val="21"/>
          <w:szCs w:val="21"/>
          <w:highlight w:val="none"/>
        </w:rPr>
        <w:t>元/平方米·月</w:t>
      </w:r>
    </w:p>
    <w:p w14:paraId="6697A761">
      <w:pPr>
        <w:overflowPunct w:val="0"/>
        <w:spacing w:line="480" w:lineRule="auto"/>
        <w:ind w:firstLine="422" w:firstLineChars="200"/>
        <w:jc w:val="both"/>
        <w:textAlignment w:val="auto"/>
        <w:rPr>
          <w:rFonts w:ascii="Arial" w:hAnsi="Arial" w:cs="Arial"/>
          <w:b/>
          <w:bCs/>
          <w:sz w:val="21"/>
          <w:szCs w:val="21"/>
          <w:highlight w:val="none"/>
        </w:rPr>
      </w:pPr>
      <w:r>
        <w:rPr>
          <w:rFonts w:hint="eastAsia" w:ascii="Arial" w:hAnsi="Arial" w:cs="Arial"/>
          <w:b/>
          <w:bCs/>
          <w:sz w:val="21"/>
          <w:szCs w:val="21"/>
          <w:highlight w:val="none"/>
          <w:lang w:val="en-US" w:eastAsia="zh-CN"/>
        </w:rPr>
        <w:t>三</w:t>
      </w:r>
      <w:r>
        <w:rPr>
          <w:rFonts w:hint="eastAsia" w:ascii="Arial" w:hAnsi="Arial" w:cs="Arial"/>
          <w:b/>
          <w:bCs/>
          <w:sz w:val="21"/>
          <w:szCs w:val="21"/>
          <w:highlight w:val="none"/>
        </w:rPr>
        <w:t>居室（</w:t>
      </w:r>
      <w:r>
        <w:rPr>
          <w:rFonts w:hint="eastAsia" w:ascii="Arial" w:hAnsi="Arial" w:cs="Arial"/>
          <w:b/>
          <w:bCs/>
          <w:sz w:val="21"/>
          <w:szCs w:val="21"/>
          <w:highlight w:val="none"/>
          <w:lang w:val="en-US" w:eastAsia="zh-CN"/>
        </w:rPr>
        <w:t>90.99-129.32</w:t>
      </w:r>
      <w:r>
        <w:rPr>
          <w:rFonts w:ascii="Arial" w:hAnsi="Arial" w:cs="Arial"/>
          <w:b/>
          <w:bCs/>
          <w:sz w:val="21"/>
          <w:szCs w:val="21"/>
          <w:highlight w:val="none"/>
        </w:rPr>
        <w:t>平方米</w:t>
      </w:r>
      <w:r>
        <w:rPr>
          <w:rFonts w:hint="eastAsia" w:ascii="Arial" w:hAnsi="Arial" w:cs="Arial"/>
          <w:b/>
          <w:bCs/>
          <w:sz w:val="21"/>
          <w:szCs w:val="21"/>
          <w:highlight w:val="none"/>
        </w:rPr>
        <w:t>）：</w:t>
      </w:r>
      <w:r>
        <w:rPr>
          <w:rFonts w:hint="eastAsia" w:ascii="Arial" w:hAnsi="Arial" w:cs="Arial"/>
          <w:b/>
          <w:bCs/>
          <w:sz w:val="21"/>
          <w:szCs w:val="21"/>
          <w:highlight w:val="none"/>
          <w:lang w:val="en-US" w:eastAsia="zh-CN"/>
        </w:rPr>
        <w:t>16.14</w:t>
      </w:r>
      <w:r>
        <w:rPr>
          <w:rFonts w:hint="eastAsia" w:ascii="Arial" w:hAnsi="Arial" w:cs="Arial"/>
          <w:b/>
          <w:bCs/>
          <w:sz w:val="21"/>
          <w:szCs w:val="21"/>
          <w:highlight w:val="none"/>
        </w:rPr>
        <w:t>元/平方米·月</w:t>
      </w:r>
    </w:p>
    <w:p w14:paraId="11AE3B1D">
      <w:pPr>
        <w:overflowPunct w:val="0"/>
        <w:spacing w:line="480" w:lineRule="auto"/>
        <w:ind w:firstLine="360" w:firstLineChars="200"/>
        <w:jc w:val="both"/>
        <w:textAlignment w:val="auto"/>
        <w:rPr>
          <w:rFonts w:ascii="Arial" w:hAnsi="Arial" w:cs="Arial"/>
          <w:sz w:val="18"/>
          <w:szCs w:val="18"/>
          <w:highlight w:val="none"/>
        </w:rPr>
      </w:pPr>
      <w:r>
        <w:rPr>
          <w:rFonts w:ascii="Arial" w:hAnsi="Arial" w:cs="Arial"/>
          <w:sz w:val="18"/>
          <w:szCs w:val="18"/>
          <w:highlight w:val="none"/>
        </w:rPr>
        <w:t>注：1、</w:t>
      </w:r>
      <w:r>
        <w:rPr>
          <w:rFonts w:hint="eastAsia" w:ascii="Arial" w:hAnsi="Arial" w:cs="Arial"/>
          <w:sz w:val="18"/>
          <w:szCs w:val="18"/>
          <w:highlight w:val="none"/>
        </w:rPr>
        <w:t>评估的详细结果、过程及有关说明，详见《估价结果报告》、《估价技术报告》。</w:t>
      </w:r>
    </w:p>
    <w:p w14:paraId="5277A5FE">
      <w:pPr>
        <w:overflowPunct w:val="0"/>
        <w:spacing w:line="480" w:lineRule="auto"/>
        <w:ind w:left="720" w:leftChars="150" w:hanging="360" w:hangingChars="200"/>
        <w:jc w:val="both"/>
        <w:textAlignment w:val="auto"/>
        <w:rPr>
          <w:rFonts w:ascii="Arial" w:hAnsi="Arial" w:cs="Arial"/>
          <w:sz w:val="18"/>
          <w:szCs w:val="18"/>
          <w:highlight w:val="none"/>
        </w:rPr>
      </w:pPr>
      <w:r>
        <w:rPr>
          <w:rFonts w:ascii="Arial" w:hAnsi="Arial" w:cs="Arial"/>
          <w:sz w:val="18"/>
          <w:szCs w:val="18"/>
          <w:highlight w:val="none"/>
        </w:rPr>
        <w:t xml:space="preserve">   </w:t>
      </w:r>
      <w:r>
        <w:rPr>
          <w:rFonts w:hint="eastAsia" w:ascii="Arial" w:hAnsi="Arial" w:cs="Arial"/>
          <w:sz w:val="18"/>
          <w:szCs w:val="18"/>
          <w:highlight w:val="none"/>
        </w:rPr>
        <w:t>2</w:t>
      </w:r>
      <w:r>
        <w:rPr>
          <w:rFonts w:ascii="Arial" w:hAnsi="Arial" w:cs="Arial"/>
          <w:sz w:val="18"/>
          <w:szCs w:val="18"/>
          <w:highlight w:val="none"/>
        </w:rPr>
        <w:t>、</w:t>
      </w:r>
      <w:r>
        <w:rPr>
          <w:rFonts w:hint="eastAsia" w:ascii="Arial" w:hAnsi="Arial" w:cs="Arial"/>
          <w:sz w:val="18"/>
          <w:szCs w:val="18"/>
          <w:highlight w:val="none"/>
        </w:rPr>
        <w:t>市场租赁住房租金是指市场租赁住房于价值时点在公开市场上的平均租金，</w:t>
      </w:r>
      <w:r>
        <w:rPr>
          <w:rFonts w:hint="eastAsia" w:ascii="Arial" w:hAnsi="Arial" w:cs="Arial"/>
          <w:sz w:val="18"/>
          <w:szCs w:val="18"/>
          <w:highlight w:val="none"/>
          <w:lang w:eastAsia="zh-CN"/>
        </w:rPr>
        <w:t>包含房屋、家具家电使用费、物业费及租赁税费，包含持有运营单位在住房租赁合同中明确约定由出租人承担的基础服务费（例如基础物业管理服务、公区保洁、公区维保等费用），不包含增值服务费（例如室内保洁、室内人为损坏维修、洗衣、送餐等费用）、能源费（包括公区能源费及室内能源费，例如水、电、气、暖、网络等费用</w:t>
      </w:r>
      <w:r>
        <w:rPr>
          <w:rFonts w:hint="eastAsia" w:ascii="Arial" w:hAnsi="Arial" w:cs="Arial"/>
          <w:sz w:val="18"/>
          <w:szCs w:val="18"/>
          <w:highlight w:val="none"/>
          <w:lang w:val="en-US" w:eastAsia="zh-CN"/>
        </w:rPr>
        <w:t>)</w:t>
      </w:r>
      <w:r>
        <w:rPr>
          <w:rFonts w:hint="eastAsia" w:ascii="Arial" w:hAnsi="Arial" w:cs="Arial"/>
          <w:sz w:val="18"/>
          <w:szCs w:val="18"/>
          <w:highlight w:val="none"/>
          <w:lang w:eastAsia="zh-CN"/>
        </w:rPr>
        <w:t>、车位使用费等费用</w:t>
      </w:r>
      <w:r>
        <w:rPr>
          <w:rFonts w:hint="eastAsia" w:ascii="Arial" w:hAnsi="Arial" w:cs="Arial"/>
          <w:sz w:val="18"/>
          <w:szCs w:val="18"/>
          <w:highlight w:val="none"/>
        </w:rPr>
        <w:t>。</w:t>
      </w:r>
    </w:p>
    <w:p w14:paraId="5327EA19">
      <w:pPr>
        <w:pStyle w:val="3"/>
        <w:numPr>
          <w:ilvl w:val="0"/>
          <w:numId w:val="0"/>
        </w:numPr>
        <w:overflowPunct w:val="0"/>
        <w:spacing w:line="480" w:lineRule="auto"/>
        <w:jc w:val="both"/>
        <w:textAlignment w:val="auto"/>
        <w:rPr>
          <w:rFonts w:eastAsia="宋体"/>
          <w:kern w:val="2"/>
          <w:sz w:val="21"/>
          <w:szCs w:val="21"/>
          <w:highlight w:val="none"/>
        </w:rPr>
      </w:pPr>
      <w:bookmarkStart w:id="39" w:name="_Toc168225824"/>
      <w:bookmarkStart w:id="40" w:name="_Toc155267096"/>
      <w:r>
        <w:rPr>
          <w:rFonts w:eastAsia="宋体"/>
          <w:kern w:val="2"/>
          <w:sz w:val="21"/>
          <w:szCs w:val="21"/>
          <w:highlight w:val="none"/>
        </w:rPr>
        <w:t>十</w:t>
      </w:r>
      <w:bookmarkEnd w:id="39"/>
      <w:r>
        <w:rPr>
          <w:rFonts w:eastAsia="宋体"/>
          <w:kern w:val="2"/>
          <w:sz w:val="21"/>
          <w:szCs w:val="21"/>
          <w:highlight w:val="none"/>
        </w:rPr>
        <w:t>一、参与本次估价工作的</w:t>
      </w:r>
      <w:r>
        <w:rPr>
          <w:rFonts w:hint="eastAsia" w:eastAsia="宋体"/>
          <w:kern w:val="2"/>
          <w:sz w:val="21"/>
          <w:szCs w:val="21"/>
          <w:highlight w:val="none"/>
        </w:rPr>
        <w:t>评估专业</w:t>
      </w:r>
      <w:r>
        <w:rPr>
          <w:rFonts w:eastAsia="宋体"/>
          <w:kern w:val="2"/>
          <w:sz w:val="21"/>
          <w:szCs w:val="21"/>
          <w:highlight w:val="none"/>
        </w:rPr>
        <w:t>人员</w:t>
      </w:r>
      <w:bookmarkEnd w:id="40"/>
    </w:p>
    <w:tbl>
      <w:tblPr>
        <w:tblStyle w:val="33"/>
        <w:tblW w:w="9299"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85" w:type="dxa"/>
          <w:left w:w="28" w:type="dxa"/>
          <w:bottom w:w="85" w:type="dxa"/>
          <w:right w:w="28" w:type="dxa"/>
        </w:tblCellMar>
      </w:tblPr>
      <w:tblGrid>
        <w:gridCol w:w="1746"/>
        <w:gridCol w:w="2197"/>
        <w:gridCol w:w="2774"/>
        <w:gridCol w:w="2582"/>
      </w:tblGrid>
      <w:tr w14:paraId="3F89B9C7">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454" w:hRule="exact"/>
          <w:jc w:val="center"/>
        </w:trPr>
        <w:tc>
          <w:tcPr>
            <w:tcW w:w="9299" w:type="dxa"/>
            <w:gridSpan w:val="4"/>
            <w:tcBorders>
              <w:bottom w:val="single" w:color="404040" w:sz="2" w:space="0"/>
            </w:tcBorders>
            <w:vAlign w:val="center"/>
          </w:tcPr>
          <w:p w14:paraId="3D4C9F58">
            <w:pPr>
              <w:tabs>
                <w:tab w:val="left" w:pos="5160"/>
              </w:tabs>
              <w:overflowPunct w:val="0"/>
              <w:spacing w:line="240" w:lineRule="auto"/>
              <w:rPr>
                <w:rFonts w:ascii="Arial" w:hAnsi="Arial" w:cs="Arial"/>
                <w:b/>
                <w:sz w:val="21"/>
                <w:szCs w:val="21"/>
                <w:highlight w:val="none"/>
              </w:rPr>
            </w:pPr>
            <w:r>
              <w:rPr>
                <w:rFonts w:ascii="Arial" w:hAnsi="Arial" w:cs="Arial"/>
                <w:b/>
                <w:kern w:val="2"/>
                <w:sz w:val="21"/>
                <w:szCs w:val="21"/>
                <w:highlight w:val="none"/>
              </w:rPr>
              <w:t>注册房地产估价师</w:t>
            </w:r>
          </w:p>
        </w:tc>
      </w:tr>
      <w:tr w14:paraId="5092327B">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454" w:hRule="exact"/>
          <w:jc w:val="center"/>
        </w:trPr>
        <w:tc>
          <w:tcPr>
            <w:tcW w:w="1746" w:type="dxa"/>
            <w:vAlign w:val="center"/>
          </w:tcPr>
          <w:p w14:paraId="21A8D3B9">
            <w:pPr>
              <w:tabs>
                <w:tab w:val="left" w:pos="5160"/>
              </w:tabs>
              <w:overflowPunct w:val="0"/>
              <w:spacing w:line="240" w:lineRule="auto"/>
              <w:rPr>
                <w:rFonts w:ascii="Arial" w:hAnsi="Arial" w:cs="Arial"/>
                <w:sz w:val="21"/>
                <w:szCs w:val="21"/>
                <w:highlight w:val="none"/>
              </w:rPr>
            </w:pPr>
            <w:r>
              <w:rPr>
                <w:rFonts w:ascii="Arial" w:hAnsi="Arial" w:cs="Arial"/>
                <w:sz w:val="21"/>
                <w:szCs w:val="21"/>
                <w:highlight w:val="none"/>
              </w:rPr>
              <w:t>姓</w:t>
            </w:r>
            <w:r>
              <w:rPr>
                <w:rFonts w:hint="eastAsia" w:ascii="Arial" w:hAnsi="Arial" w:cs="Arial"/>
                <w:sz w:val="21"/>
                <w:szCs w:val="21"/>
                <w:highlight w:val="none"/>
              </w:rPr>
              <w:t xml:space="preserve">  </w:t>
            </w:r>
            <w:r>
              <w:rPr>
                <w:rFonts w:ascii="Arial" w:hAnsi="Arial" w:cs="Arial"/>
                <w:sz w:val="21"/>
                <w:szCs w:val="21"/>
                <w:highlight w:val="none"/>
              </w:rPr>
              <w:t>名</w:t>
            </w:r>
          </w:p>
        </w:tc>
        <w:tc>
          <w:tcPr>
            <w:tcW w:w="2197" w:type="dxa"/>
            <w:vAlign w:val="center"/>
          </w:tcPr>
          <w:p w14:paraId="64CF1E2C">
            <w:pPr>
              <w:tabs>
                <w:tab w:val="left" w:pos="5160"/>
              </w:tabs>
              <w:overflowPunct w:val="0"/>
              <w:spacing w:line="240" w:lineRule="auto"/>
              <w:rPr>
                <w:rFonts w:ascii="Arial" w:hAnsi="Arial" w:cs="Arial"/>
                <w:sz w:val="21"/>
                <w:szCs w:val="21"/>
                <w:highlight w:val="none"/>
              </w:rPr>
            </w:pPr>
            <w:r>
              <w:rPr>
                <w:rFonts w:ascii="Arial" w:hAnsi="Arial" w:cs="Arial"/>
                <w:sz w:val="21"/>
                <w:szCs w:val="21"/>
                <w:highlight w:val="none"/>
              </w:rPr>
              <w:t>注册号</w:t>
            </w:r>
          </w:p>
        </w:tc>
        <w:tc>
          <w:tcPr>
            <w:tcW w:w="2774" w:type="dxa"/>
            <w:vAlign w:val="center"/>
          </w:tcPr>
          <w:p w14:paraId="78C56023">
            <w:pPr>
              <w:tabs>
                <w:tab w:val="left" w:pos="5160"/>
              </w:tabs>
              <w:overflowPunct w:val="0"/>
              <w:spacing w:line="240" w:lineRule="auto"/>
              <w:rPr>
                <w:rFonts w:ascii="Arial" w:hAnsi="Arial" w:cs="Arial"/>
                <w:sz w:val="21"/>
                <w:szCs w:val="21"/>
                <w:highlight w:val="none"/>
              </w:rPr>
            </w:pPr>
            <w:r>
              <w:rPr>
                <w:rFonts w:ascii="Arial" w:hAnsi="Arial" w:cs="Arial"/>
                <w:sz w:val="21"/>
                <w:szCs w:val="21"/>
                <w:highlight w:val="none"/>
              </w:rPr>
              <w:t>签名</w:t>
            </w:r>
          </w:p>
        </w:tc>
        <w:tc>
          <w:tcPr>
            <w:tcW w:w="2582" w:type="dxa"/>
            <w:vAlign w:val="center"/>
          </w:tcPr>
          <w:p w14:paraId="47061CF8">
            <w:pPr>
              <w:tabs>
                <w:tab w:val="left" w:pos="5160"/>
              </w:tabs>
              <w:overflowPunct w:val="0"/>
              <w:spacing w:line="240" w:lineRule="auto"/>
              <w:rPr>
                <w:rFonts w:ascii="Arial" w:hAnsi="Arial" w:cs="Arial"/>
                <w:sz w:val="21"/>
                <w:szCs w:val="21"/>
                <w:highlight w:val="none"/>
              </w:rPr>
            </w:pPr>
            <w:r>
              <w:rPr>
                <w:rFonts w:ascii="Arial" w:hAnsi="Arial" w:cs="Arial"/>
                <w:sz w:val="21"/>
                <w:szCs w:val="21"/>
                <w:highlight w:val="none"/>
              </w:rPr>
              <w:t>签名日期</w:t>
            </w:r>
          </w:p>
        </w:tc>
      </w:tr>
      <w:tr w14:paraId="30ECBC16">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1134" w:hRule="exact"/>
          <w:jc w:val="center"/>
        </w:trPr>
        <w:tc>
          <w:tcPr>
            <w:tcW w:w="1746" w:type="dxa"/>
            <w:vAlign w:val="center"/>
          </w:tcPr>
          <w:p w14:paraId="13A7711A">
            <w:pPr>
              <w:tabs>
                <w:tab w:val="left" w:pos="5160"/>
              </w:tabs>
              <w:overflowPunct w:val="0"/>
              <w:spacing w:line="240" w:lineRule="auto"/>
              <w:rPr>
                <w:rFonts w:ascii="Arial" w:hAnsi="Arial" w:cs="Arial"/>
                <w:sz w:val="21"/>
                <w:szCs w:val="21"/>
                <w:highlight w:val="none"/>
              </w:rPr>
            </w:pPr>
            <w:r>
              <w:rPr>
                <w:rFonts w:hint="eastAsia" w:ascii="Arial" w:hAnsi="Arial" w:cs="Arial"/>
                <w:sz w:val="21"/>
                <w:szCs w:val="21"/>
                <w:highlight w:val="none"/>
              </w:rPr>
              <w:t>常  畅</w:t>
            </w:r>
          </w:p>
        </w:tc>
        <w:tc>
          <w:tcPr>
            <w:tcW w:w="2197" w:type="dxa"/>
            <w:vAlign w:val="center"/>
          </w:tcPr>
          <w:p w14:paraId="19AAB2D0">
            <w:pPr>
              <w:tabs>
                <w:tab w:val="left" w:pos="5160"/>
              </w:tabs>
              <w:overflowPunct w:val="0"/>
              <w:spacing w:line="240" w:lineRule="auto"/>
              <w:rPr>
                <w:rFonts w:ascii="Arial" w:hAnsi="Arial" w:cs="Arial"/>
                <w:sz w:val="21"/>
                <w:szCs w:val="21"/>
                <w:highlight w:val="none"/>
              </w:rPr>
            </w:pPr>
            <w:r>
              <w:rPr>
                <w:rFonts w:hint="eastAsia" w:ascii="Arial" w:hAnsi="Arial" w:eastAsia="方正黑体简体"/>
                <w:sz w:val="21"/>
                <w:szCs w:val="21"/>
                <w:highlight w:val="none"/>
              </w:rPr>
              <w:t>1120250061</w:t>
            </w:r>
          </w:p>
        </w:tc>
        <w:tc>
          <w:tcPr>
            <w:tcW w:w="2774" w:type="dxa"/>
            <w:vAlign w:val="center"/>
          </w:tcPr>
          <w:p w14:paraId="449A8A2A">
            <w:pPr>
              <w:tabs>
                <w:tab w:val="left" w:pos="5160"/>
              </w:tabs>
              <w:overflowPunct w:val="0"/>
              <w:spacing w:line="240" w:lineRule="auto"/>
              <w:rPr>
                <w:rFonts w:ascii="Arial" w:hAnsi="Arial" w:cs="Arial"/>
                <w:sz w:val="21"/>
                <w:szCs w:val="21"/>
                <w:highlight w:val="none"/>
              </w:rPr>
            </w:pPr>
          </w:p>
        </w:tc>
        <w:tc>
          <w:tcPr>
            <w:tcW w:w="2582" w:type="dxa"/>
            <w:vAlign w:val="center"/>
          </w:tcPr>
          <w:p w14:paraId="77B3345D">
            <w:pPr>
              <w:tabs>
                <w:tab w:val="left" w:pos="5160"/>
              </w:tabs>
              <w:wordWrap w:val="0"/>
              <w:overflowPunct w:val="0"/>
              <w:spacing w:line="240" w:lineRule="auto"/>
              <w:ind w:firstLine="420" w:firstLineChars="200"/>
              <w:jc w:val="right"/>
              <w:rPr>
                <w:rFonts w:ascii="Arial" w:hAnsi="Arial" w:cs="Arial"/>
                <w:sz w:val="21"/>
                <w:szCs w:val="21"/>
                <w:highlight w:val="none"/>
              </w:rPr>
            </w:pPr>
            <w:r>
              <w:rPr>
                <w:rFonts w:ascii="Arial" w:hAnsi="Arial" w:cs="Arial"/>
                <w:sz w:val="21"/>
                <w:szCs w:val="21"/>
                <w:highlight w:val="none"/>
              </w:rPr>
              <w:t>年</w:t>
            </w:r>
            <w:r>
              <w:rPr>
                <w:rFonts w:hint="eastAsia" w:ascii="Arial" w:hAnsi="Arial" w:cs="Arial"/>
                <w:sz w:val="21"/>
                <w:szCs w:val="21"/>
                <w:highlight w:val="none"/>
              </w:rPr>
              <w:t xml:space="preserve">    </w:t>
            </w:r>
            <w:r>
              <w:rPr>
                <w:rFonts w:ascii="Arial" w:hAnsi="Arial" w:cs="Arial"/>
                <w:sz w:val="21"/>
                <w:szCs w:val="21"/>
                <w:highlight w:val="none"/>
              </w:rPr>
              <w:t>月</w:t>
            </w:r>
            <w:r>
              <w:rPr>
                <w:rFonts w:hint="eastAsia" w:ascii="Arial" w:hAnsi="Arial" w:cs="Arial"/>
                <w:sz w:val="21"/>
                <w:szCs w:val="21"/>
                <w:highlight w:val="none"/>
              </w:rPr>
              <w:t xml:space="preserve">    </w:t>
            </w:r>
            <w:r>
              <w:rPr>
                <w:rFonts w:ascii="Arial" w:hAnsi="Arial" w:cs="Arial"/>
                <w:sz w:val="21"/>
                <w:szCs w:val="21"/>
                <w:highlight w:val="none"/>
              </w:rPr>
              <w:t>日</w:t>
            </w:r>
          </w:p>
        </w:tc>
      </w:tr>
      <w:tr w14:paraId="2FD2A313">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1134" w:hRule="exact"/>
          <w:jc w:val="center"/>
        </w:trPr>
        <w:tc>
          <w:tcPr>
            <w:tcW w:w="1746" w:type="dxa"/>
            <w:vAlign w:val="center"/>
          </w:tcPr>
          <w:p w14:paraId="04F86BD7">
            <w:pPr>
              <w:tabs>
                <w:tab w:val="left" w:pos="5160"/>
              </w:tabs>
              <w:overflowPunct w:val="0"/>
              <w:spacing w:line="240" w:lineRule="auto"/>
              <w:rPr>
                <w:rFonts w:ascii="Arial" w:hAnsi="Arial" w:cs="Arial"/>
                <w:sz w:val="21"/>
                <w:szCs w:val="21"/>
                <w:highlight w:val="none"/>
              </w:rPr>
            </w:pPr>
            <w:r>
              <w:rPr>
                <w:rFonts w:hint="eastAsia" w:ascii="Arial" w:hAnsi="Arial" w:cs="Arial"/>
                <w:sz w:val="21"/>
                <w:szCs w:val="21"/>
                <w:highlight w:val="none"/>
              </w:rPr>
              <w:t>许皓源</w:t>
            </w:r>
          </w:p>
        </w:tc>
        <w:tc>
          <w:tcPr>
            <w:tcW w:w="2197" w:type="dxa"/>
            <w:vAlign w:val="center"/>
          </w:tcPr>
          <w:p w14:paraId="494DD466">
            <w:pPr>
              <w:tabs>
                <w:tab w:val="left" w:pos="5160"/>
              </w:tabs>
              <w:overflowPunct w:val="0"/>
              <w:spacing w:line="240" w:lineRule="auto"/>
              <w:rPr>
                <w:rFonts w:ascii="Arial" w:hAnsi="Arial" w:cs="Arial"/>
                <w:sz w:val="21"/>
                <w:szCs w:val="21"/>
                <w:highlight w:val="none"/>
              </w:rPr>
            </w:pPr>
            <w:r>
              <w:rPr>
                <w:rFonts w:ascii="Arial" w:hAnsi="Arial" w:eastAsia="方正黑体简体"/>
                <w:sz w:val="21"/>
                <w:szCs w:val="21"/>
                <w:highlight w:val="none"/>
              </w:rPr>
              <w:t>1119980019</w:t>
            </w:r>
          </w:p>
        </w:tc>
        <w:tc>
          <w:tcPr>
            <w:tcW w:w="2774" w:type="dxa"/>
            <w:vAlign w:val="center"/>
          </w:tcPr>
          <w:p w14:paraId="49DA16DC">
            <w:pPr>
              <w:tabs>
                <w:tab w:val="left" w:pos="5160"/>
              </w:tabs>
              <w:overflowPunct w:val="0"/>
              <w:spacing w:line="240" w:lineRule="auto"/>
              <w:rPr>
                <w:rFonts w:ascii="Arial" w:hAnsi="Arial" w:cs="Arial"/>
                <w:sz w:val="21"/>
                <w:szCs w:val="21"/>
                <w:highlight w:val="none"/>
              </w:rPr>
            </w:pPr>
          </w:p>
        </w:tc>
        <w:tc>
          <w:tcPr>
            <w:tcW w:w="2582" w:type="dxa"/>
            <w:vAlign w:val="center"/>
          </w:tcPr>
          <w:p w14:paraId="4EABCC8A">
            <w:pPr>
              <w:tabs>
                <w:tab w:val="left" w:pos="5160"/>
              </w:tabs>
              <w:wordWrap w:val="0"/>
              <w:overflowPunct w:val="0"/>
              <w:spacing w:line="240" w:lineRule="auto"/>
              <w:ind w:firstLine="420" w:firstLineChars="200"/>
              <w:jc w:val="right"/>
              <w:rPr>
                <w:rFonts w:ascii="Arial" w:hAnsi="Arial" w:cs="Arial"/>
                <w:sz w:val="21"/>
                <w:szCs w:val="21"/>
                <w:highlight w:val="none"/>
              </w:rPr>
            </w:pPr>
            <w:r>
              <w:rPr>
                <w:rFonts w:ascii="Arial" w:hAnsi="Arial" w:cs="Arial"/>
                <w:sz w:val="21"/>
                <w:szCs w:val="21"/>
                <w:highlight w:val="none"/>
              </w:rPr>
              <w:t>年</w:t>
            </w:r>
            <w:r>
              <w:rPr>
                <w:rFonts w:hint="eastAsia" w:ascii="Arial" w:hAnsi="Arial" w:cs="Arial"/>
                <w:sz w:val="21"/>
                <w:szCs w:val="21"/>
                <w:highlight w:val="none"/>
              </w:rPr>
              <w:t xml:space="preserve">    </w:t>
            </w:r>
            <w:r>
              <w:rPr>
                <w:rFonts w:ascii="Arial" w:hAnsi="Arial" w:cs="Arial"/>
                <w:sz w:val="21"/>
                <w:szCs w:val="21"/>
                <w:highlight w:val="none"/>
              </w:rPr>
              <w:t>月</w:t>
            </w:r>
            <w:r>
              <w:rPr>
                <w:rFonts w:hint="eastAsia" w:ascii="Arial" w:hAnsi="Arial" w:cs="Arial"/>
                <w:sz w:val="21"/>
                <w:szCs w:val="21"/>
                <w:highlight w:val="none"/>
              </w:rPr>
              <w:t xml:space="preserve">    </w:t>
            </w:r>
            <w:r>
              <w:rPr>
                <w:rFonts w:ascii="Arial" w:hAnsi="Arial" w:cs="Arial"/>
                <w:sz w:val="21"/>
                <w:szCs w:val="21"/>
                <w:highlight w:val="none"/>
              </w:rPr>
              <w:t>日</w:t>
            </w:r>
          </w:p>
        </w:tc>
      </w:tr>
      <w:tr w14:paraId="6DC029B0">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454" w:hRule="exact"/>
          <w:jc w:val="center"/>
        </w:trPr>
        <w:tc>
          <w:tcPr>
            <w:tcW w:w="9299" w:type="dxa"/>
            <w:gridSpan w:val="4"/>
            <w:vAlign w:val="center"/>
          </w:tcPr>
          <w:p w14:paraId="3EC6DAAE">
            <w:pPr>
              <w:tabs>
                <w:tab w:val="left" w:pos="5160"/>
              </w:tabs>
              <w:overflowPunct w:val="0"/>
              <w:spacing w:line="240" w:lineRule="auto"/>
              <w:rPr>
                <w:rFonts w:ascii="Arial" w:hAnsi="Arial" w:cs="Arial"/>
                <w:b/>
                <w:kern w:val="2"/>
                <w:sz w:val="21"/>
                <w:szCs w:val="21"/>
                <w:highlight w:val="none"/>
              </w:rPr>
            </w:pPr>
            <w:r>
              <w:rPr>
                <w:rFonts w:hint="eastAsia" w:ascii="Arial" w:hAnsi="Arial" w:cs="Arial"/>
                <w:b/>
                <w:kern w:val="2"/>
                <w:sz w:val="21"/>
                <w:szCs w:val="21"/>
                <w:highlight w:val="none"/>
              </w:rPr>
              <w:t>其他评估专业</w:t>
            </w:r>
            <w:r>
              <w:rPr>
                <w:rFonts w:ascii="Arial" w:hAnsi="Arial" w:cs="Arial"/>
                <w:b/>
                <w:kern w:val="2"/>
                <w:sz w:val="21"/>
                <w:szCs w:val="21"/>
                <w:highlight w:val="none"/>
              </w:rPr>
              <w:t>人员</w:t>
            </w:r>
            <w:r>
              <w:rPr>
                <w:rFonts w:hint="eastAsia" w:ascii="Arial" w:hAnsi="Arial" w:cs="Arial"/>
                <w:b/>
                <w:kern w:val="2"/>
                <w:sz w:val="21"/>
                <w:szCs w:val="21"/>
                <w:highlight w:val="none"/>
              </w:rPr>
              <w:t xml:space="preserve"> </w:t>
            </w:r>
          </w:p>
        </w:tc>
      </w:tr>
      <w:tr w14:paraId="21A644F6">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454" w:hRule="exact"/>
          <w:jc w:val="center"/>
        </w:trPr>
        <w:tc>
          <w:tcPr>
            <w:tcW w:w="1746" w:type="dxa"/>
            <w:vAlign w:val="center"/>
          </w:tcPr>
          <w:p w14:paraId="000C3509">
            <w:pPr>
              <w:tabs>
                <w:tab w:val="left" w:pos="5160"/>
              </w:tabs>
              <w:overflowPunct w:val="0"/>
              <w:spacing w:line="240" w:lineRule="auto"/>
              <w:rPr>
                <w:rFonts w:ascii="Arial" w:hAnsi="Arial" w:cs="Arial"/>
                <w:sz w:val="21"/>
                <w:szCs w:val="21"/>
                <w:highlight w:val="none"/>
              </w:rPr>
            </w:pPr>
            <w:r>
              <w:rPr>
                <w:rFonts w:ascii="Arial" w:hAnsi="Arial" w:cs="Arial"/>
                <w:sz w:val="21"/>
                <w:szCs w:val="21"/>
                <w:highlight w:val="none"/>
              </w:rPr>
              <w:t>姓</w:t>
            </w:r>
            <w:r>
              <w:rPr>
                <w:rFonts w:hint="eastAsia" w:ascii="Arial" w:hAnsi="Arial" w:cs="Arial"/>
                <w:sz w:val="21"/>
                <w:szCs w:val="21"/>
                <w:highlight w:val="none"/>
              </w:rPr>
              <w:t xml:space="preserve">  </w:t>
            </w:r>
            <w:r>
              <w:rPr>
                <w:rFonts w:ascii="Arial" w:hAnsi="Arial" w:cs="Arial"/>
                <w:sz w:val="21"/>
                <w:szCs w:val="21"/>
                <w:highlight w:val="none"/>
              </w:rPr>
              <w:t>名</w:t>
            </w:r>
          </w:p>
        </w:tc>
        <w:tc>
          <w:tcPr>
            <w:tcW w:w="2197" w:type="dxa"/>
            <w:vAlign w:val="center"/>
          </w:tcPr>
          <w:p w14:paraId="6F5B438D">
            <w:pPr>
              <w:tabs>
                <w:tab w:val="left" w:pos="5160"/>
              </w:tabs>
              <w:overflowPunct w:val="0"/>
              <w:spacing w:line="240" w:lineRule="auto"/>
              <w:rPr>
                <w:rFonts w:ascii="Arial" w:hAnsi="Arial" w:cs="Arial"/>
                <w:sz w:val="21"/>
                <w:szCs w:val="21"/>
                <w:highlight w:val="none"/>
              </w:rPr>
            </w:pPr>
            <w:r>
              <w:rPr>
                <w:rFonts w:ascii="Arial" w:hAnsi="Arial" w:cs="Arial"/>
                <w:kern w:val="2"/>
                <w:sz w:val="21"/>
                <w:szCs w:val="21"/>
                <w:highlight w:val="none"/>
              </w:rPr>
              <w:t>相关资格或职称</w:t>
            </w:r>
          </w:p>
        </w:tc>
        <w:tc>
          <w:tcPr>
            <w:tcW w:w="2774" w:type="dxa"/>
            <w:vAlign w:val="center"/>
          </w:tcPr>
          <w:p w14:paraId="1B3B7BA7">
            <w:pPr>
              <w:tabs>
                <w:tab w:val="left" w:pos="5160"/>
              </w:tabs>
              <w:overflowPunct w:val="0"/>
              <w:spacing w:line="240" w:lineRule="auto"/>
              <w:rPr>
                <w:rFonts w:ascii="Arial" w:hAnsi="Arial" w:cs="Arial"/>
                <w:sz w:val="21"/>
                <w:szCs w:val="21"/>
                <w:highlight w:val="none"/>
              </w:rPr>
            </w:pPr>
            <w:r>
              <w:rPr>
                <w:rFonts w:ascii="Arial" w:hAnsi="Arial" w:cs="Arial"/>
                <w:sz w:val="21"/>
                <w:szCs w:val="21"/>
                <w:highlight w:val="none"/>
              </w:rPr>
              <w:t>签名</w:t>
            </w:r>
          </w:p>
        </w:tc>
        <w:tc>
          <w:tcPr>
            <w:tcW w:w="2582" w:type="dxa"/>
            <w:vAlign w:val="center"/>
          </w:tcPr>
          <w:p w14:paraId="5403677F">
            <w:pPr>
              <w:tabs>
                <w:tab w:val="left" w:pos="5160"/>
              </w:tabs>
              <w:overflowPunct w:val="0"/>
              <w:spacing w:line="240" w:lineRule="auto"/>
              <w:rPr>
                <w:rFonts w:ascii="Arial" w:hAnsi="Arial" w:cs="Arial"/>
                <w:sz w:val="21"/>
                <w:szCs w:val="21"/>
                <w:highlight w:val="none"/>
              </w:rPr>
            </w:pPr>
            <w:r>
              <w:rPr>
                <w:rFonts w:ascii="Arial" w:hAnsi="Arial" w:cs="Arial"/>
                <w:sz w:val="21"/>
                <w:szCs w:val="21"/>
                <w:highlight w:val="none"/>
              </w:rPr>
              <w:t>签名日期</w:t>
            </w:r>
          </w:p>
        </w:tc>
      </w:tr>
      <w:tr w14:paraId="317951C2">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1134" w:hRule="exact"/>
          <w:jc w:val="center"/>
        </w:trPr>
        <w:tc>
          <w:tcPr>
            <w:tcW w:w="1746" w:type="dxa"/>
            <w:vAlign w:val="center"/>
          </w:tcPr>
          <w:p w14:paraId="02B05256">
            <w:pPr>
              <w:tabs>
                <w:tab w:val="left" w:pos="5160"/>
              </w:tabs>
              <w:overflowPunct w:val="0"/>
              <w:spacing w:line="240" w:lineRule="auto"/>
              <w:rPr>
                <w:rFonts w:ascii="Arial" w:hAnsi="Arial" w:cs="Arial"/>
                <w:sz w:val="21"/>
                <w:szCs w:val="21"/>
                <w:highlight w:val="none"/>
              </w:rPr>
            </w:pPr>
            <w:r>
              <w:rPr>
                <w:rFonts w:hint="eastAsia" w:ascii="Arial" w:hAnsi="Arial" w:cs="Arial"/>
                <w:sz w:val="21"/>
                <w:szCs w:val="21"/>
                <w:highlight w:val="none"/>
              </w:rPr>
              <w:t>——</w:t>
            </w:r>
          </w:p>
        </w:tc>
        <w:tc>
          <w:tcPr>
            <w:tcW w:w="2197" w:type="dxa"/>
            <w:vAlign w:val="center"/>
          </w:tcPr>
          <w:p w14:paraId="41534CDD">
            <w:pPr>
              <w:tabs>
                <w:tab w:val="left" w:pos="5160"/>
              </w:tabs>
              <w:overflowPunct w:val="0"/>
              <w:spacing w:line="240" w:lineRule="auto"/>
              <w:rPr>
                <w:rFonts w:ascii="Arial" w:hAnsi="Arial" w:cs="Arial"/>
                <w:sz w:val="21"/>
                <w:szCs w:val="21"/>
                <w:highlight w:val="none"/>
              </w:rPr>
            </w:pPr>
            <w:r>
              <w:rPr>
                <w:rFonts w:hint="eastAsia" w:ascii="Arial" w:hAnsi="Arial" w:cs="Arial"/>
                <w:sz w:val="21"/>
                <w:szCs w:val="21"/>
                <w:highlight w:val="none"/>
              </w:rPr>
              <w:t>——</w:t>
            </w:r>
          </w:p>
        </w:tc>
        <w:tc>
          <w:tcPr>
            <w:tcW w:w="2774" w:type="dxa"/>
            <w:vAlign w:val="center"/>
          </w:tcPr>
          <w:p w14:paraId="33B886CA">
            <w:pPr>
              <w:tabs>
                <w:tab w:val="left" w:pos="5160"/>
              </w:tabs>
              <w:overflowPunct w:val="0"/>
              <w:spacing w:line="240" w:lineRule="auto"/>
              <w:rPr>
                <w:rFonts w:ascii="Arial" w:hAnsi="Arial" w:cs="Arial"/>
                <w:sz w:val="21"/>
                <w:szCs w:val="21"/>
                <w:highlight w:val="none"/>
              </w:rPr>
            </w:pPr>
          </w:p>
        </w:tc>
        <w:tc>
          <w:tcPr>
            <w:tcW w:w="2582" w:type="dxa"/>
            <w:vAlign w:val="center"/>
          </w:tcPr>
          <w:p w14:paraId="4917CF52">
            <w:pPr>
              <w:tabs>
                <w:tab w:val="left" w:pos="5160"/>
              </w:tabs>
              <w:wordWrap w:val="0"/>
              <w:overflowPunct w:val="0"/>
              <w:spacing w:line="240" w:lineRule="auto"/>
              <w:ind w:firstLine="420" w:firstLineChars="200"/>
              <w:jc w:val="right"/>
              <w:rPr>
                <w:rFonts w:ascii="Arial" w:hAnsi="Arial" w:cs="Arial"/>
                <w:sz w:val="21"/>
                <w:szCs w:val="21"/>
                <w:highlight w:val="none"/>
              </w:rPr>
            </w:pPr>
            <w:r>
              <w:rPr>
                <w:rFonts w:ascii="Arial" w:hAnsi="Arial" w:cs="Arial"/>
                <w:sz w:val="21"/>
                <w:szCs w:val="21"/>
                <w:highlight w:val="none"/>
              </w:rPr>
              <w:t>年</w:t>
            </w:r>
            <w:r>
              <w:rPr>
                <w:rFonts w:hint="eastAsia" w:ascii="Arial" w:hAnsi="Arial" w:cs="Arial"/>
                <w:sz w:val="21"/>
                <w:szCs w:val="21"/>
                <w:highlight w:val="none"/>
              </w:rPr>
              <w:t xml:space="preserve">    </w:t>
            </w:r>
            <w:r>
              <w:rPr>
                <w:rFonts w:ascii="Arial" w:hAnsi="Arial" w:cs="Arial"/>
                <w:sz w:val="21"/>
                <w:szCs w:val="21"/>
                <w:highlight w:val="none"/>
              </w:rPr>
              <w:t>月</w:t>
            </w:r>
            <w:r>
              <w:rPr>
                <w:rFonts w:hint="eastAsia" w:ascii="Arial" w:hAnsi="Arial" w:cs="Arial"/>
                <w:sz w:val="21"/>
                <w:szCs w:val="21"/>
                <w:highlight w:val="none"/>
              </w:rPr>
              <w:t xml:space="preserve">    </w:t>
            </w:r>
            <w:r>
              <w:rPr>
                <w:rFonts w:ascii="Arial" w:hAnsi="Arial" w:cs="Arial"/>
                <w:sz w:val="21"/>
                <w:szCs w:val="21"/>
                <w:highlight w:val="none"/>
              </w:rPr>
              <w:t>日</w:t>
            </w:r>
          </w:p>
        </w:tc>
      </w:tr>
    </w:tbl>
    <w:p w14:paraId="16425892">
      <w:pPr>
        <w:overflowPunct w:val="0"/>
        <w:spacing w:line="480" w:lineRule="auto"/>
        <w:jc w:val="both"/>
        <w:textAlignment w:val="auto"/>
        <w:rPr>
          <w:rFonts w:ascii="Arial" w:hAnsi="Arial" w:cs="Arial"/>
          <w:kern w:val="2"/>
          <w:sz w:val="21"/>
          <w:szCs w:val="21"/>
          <w:highlight w:val="none"/>
        </w:rPr>
      </w:pPr>
    </w:p>
    <w:p w14:paraId="0A4C8B65">
      <w:pPr>
        <w:pStyle w:val="3"/>
        <w:numPr>
          <w:ilvl w:val="0"/>
          <w:numId w:val="0"/>
        </w:numPr>
        <w:overflowPunct w:val="0"/>
        <w:spacing w:line="480" w:lineRule="auto"/>
        <w:jc w:val="both"/>
        <w:textAlignment w:val="auto"/>
        <w:rPr>
          <w:rFonts w:eastAsia="宋体"/>
          <w:kern w:val="2"/>
          <w:sz w:val="21"/>
          <w:szCs w:val="21"/>
          <w:highlight w:val="none"/>
        </w:rPr>
      </w:pPr>
      <w:bookmarkStart w:id="41" w:name="_Toc155267097"/>
      <w:r>
        <w:rPr>
          <w:rFonts w:eastAsia="宋体"/>
          <w:kern w:val="2"/>
          <w:sz w:val="21"/>
          <w:szCs w:val="21"/>
          <w:highlight w:val="none"/>
        </w:rPr>
        <w:t>十二、实地查勘期</w:t>
      </w:r>
      <w:bookmarkEnd w:id="41"/>
    </w:p>
    <w:p w14:paraId="358C5791">
      <w:pPr>
        <w:overflowPunct w:val="0"/>
        <w:spacing w:line="480" w:lineRule="auto"/>
        <w:ind w:firstLine="420" w:firstLineChars="200"/>
        <w:jc w:val="both"/>
        <w:textAlignment w:val="auto"/>
        <w:rPr>
          <w:rFonts w:ascii="Arial" w:hAnsi="Arial" w:cs="Arial"/>
          <w:sz w:val="21"/>
          <w:szCs w:val="21"/>
          <w:highlight w:val="none"/>
        </w:rPr>
      </w:pPr>
      <w:r>
        <w:rPr>
          <w:rFonts w:ascii="Arial" w:hAnsi="Arial" w:cs="Arial"/>
          <w:sz w:val="21"/>
          <w:szCs w:val="21"/>
          <w:highlight w:val="none"/>
        </w:rPr>
        <w:t>202</w:t>
      </w:r>
      <w:r>
        <w:rPr>
          <w:rFonts w:hint="eastAsia" w:ascii="Arial" w:hAnsi="Arial" w:cs="Arial"/>
          <w:sz w:val="21"/>
          <w:szCs w:val="21"/>
          <w:highlight w:val="none"/>
          <w:lang w:val="en-US" w:eastAsia="zh-CN"/>
        </w:rPr>
        <w:t>5</w:t>
      </w:r>
      <w:r>
        <w:rPr>
          <w:rFonts w:ascii="Arial" w:hAnsi="Arial" w:cs="Arial"/>
          <w:sz w:val="21"/>
          <w:szCs w:val="21"/>
          <w:highlight w:val="none"/>
        </w:rPr>
        <w:t>年</w:t>
      </w:r>
      <w:r>
        <w:rPr>
          <w:rFonts w:hint="eastAsia" w:ascii="Arial" w:hAnsi="Arial" w:cs="Arial"/>
          <w:sz w:val="21"/>
          <w:szCs w:val="21"/>
          <w:highlight w:val="none"/>
          <w:lang w:val="en-US" w:eastAsia="zh-CN"/>
        </w:rPr>
        <w:t>11</w:t>
      </w:r>
      <w:r>
        <w:rPr>
          <w:rFonts w:ascii="Arial" w:hAnsi="Arial" w:cs="Arial"/>
          <w:sz w:val="21"/>
          <w:szCs w:val="21"/>
          <w:highlight w:val="none"/>
        </w:rPr>
        <w:t>月</w:t>
      </w:r>
      <w:r>
        <w:rPr>
          <w:rFonts w:hint="eastAsia" w:ascii="Arial" w:hAnsi="Arial" w:cs="Arial"/>
          <w:sz w:val="21"/>
          <w:szCs w:val="21"/>
          <w:highlight w:val="none"/>
          <w:lang w:val="en-US" w:eastAsia="zh-CN"/>
        </w:rPr>
        <w:t>28</w:t>
      </w:r>
      <w:r>
        <w:rPr>
          <w:rFonts w:ascii="Arial" w:hAnsi="Arial" w:cs="Arial"/>
          <w:sz w:val="21"/>
          <w:szCs w:val="21"/>
          <w:highlight w:val="none"/>
        </w:rPr>
        <w:t>日</w:t>
      </w:r>
    </w:p>
    <w:p w14:paraId="64082027">
      <w:pPr>
        <w:overflowPunct w:val="0"/>
        <w:spacing w:line="480" w:lineRule="auto"/>
        <w:jc w:val="both"/>
        <w:textAlignment w:val="auto"/>
        <w:rPr>
          <w:rFonts w:ascii="Arial" w:hAnsi="Arial" w:cs="Arial"/>
          <w:kern w:val="2"/>
          <w:sz w:val="21"/>
          <w:szCs w:val="21"/>
          <w:highlight w:val="none"/>
        </w:rPr>
      </w:pPr>
    </w:p>
    <w:p w14:paraId="26C66723">
      <w:pPr>
        <w:pStyle w:val="3"/>
        <w:numPr>
          <w:ilvl w:val="0"/>
          <w:numId w:val="0"/>
        </w:numPr>
        <w:overflowPunct w:val="0"/>
        <w:spacing w:line="480" w:lineRule="auto"/>
        <w:jc w:val="both"/>
        <w:textAlignment w:val="auto"/>
        <w:rPr>
          <w:rFonts w:eastAsia="宋体"/>
          <w:kern w:val="2"/>
          <w:sz w:val="21"/>
          <w:szCs w:val="21"/>
          <w:highlight w:val="none"/>
        </w:rPr>
      </w:pPr>
      <w:bookmarkStart w:id="42" w:name="_Toc155267098"/>
      <w:bookmarkStart w:id="43" w:name="_Toc168225825"/>
      <w:r>
        <w:rPr>
          <w:rFonts w:eastAsia="宋体"/>
          <w:kern w:val="2"/>
          <w:sz w:val="21"/>
          <w:szCs w:val="21"/>
          <w:highlight w:val="none"/>
        </w:rPr>
        <w:t>十三、估价作业期</w:t>
      </w:r>
      <w:bookmarkEnd w:id="42"/>
      <w:bookmarkEnd w:id="43"/>
      <w:r>
        <w:rPr>
          <w:rFonts w:hint="eastAsia" w:eastAsia="宋体"/>
          <w:kern w:val="2"/>
          <w:sz w:val="21"/>
          <w:szCs w:val="21"/>
          <w:highlight w:val="none"/>
        </w:rPr>
        <w:t xml:space="preserve">  </w:t>
      </w:r>
    </w:p>
    <w:p w14:paraId="246F83EE">
      <w:pPr>
        <w:overflowPunct w:val="0"/>
        <w:spacing w:line="480" w:lineRule="auto"/>
        <w:ind w:firstLine="420" w:firstLineChars="200"/>
        <w:jc w:val="both"/>
        <w:textAlignment w:val="auto"/>
        <w:rPr>
          <w:rFonts w:ascii="Arial" w:hAnsi="Arial" w:cs="Arial"/>
          <w:sz w:val="21"/>
          <w:szCs w:val="21"/>
          <w:highlight w:val="none"/>
        </w:rPr>
      </w:pPr>
      <w:r>
        <w:rPr>
          <w:rFonts w:ascii="Arial" w:hAnsi="Arial" w:cs="Arial"/>
          <w:sz w:val="21"/>
          <w:szCs w:val="21"/>
          <w:highlight w:val="none"/>
        </w:rPr>
        <w:t>202</w:t>
      </w:r>
      <w:r>
        <w:rPr>
          <w:rFonts w:hint="eastAsia" w:ascii="Arial" w:hAnsi="Arial" w:cs="Arial"/>
          <w:sz w:val="21"/>
          <w:szCs w:val="21"/>
          <w:highlight w:val="none"/>
          <w:lang w:val="en-US" w:eastAsia="zh-CN"/>
        </w:rPr>
        <w:t>5</w:t>
      </w:r>
      <w:r>
        <w:rPr>
          <w:rFonts w:ascii="Arial" w:hAnsi="Arial" w:cs="Arial"/>
          <w:sz w:val="21"/>
          <w:szCs w:val="21"/>
          <w:highlight w:val="none"/>
        </w:rPr>
        <w:t>年</w:t>
      </w:r>
      <w:r>
        <w:rPr>
          <w:rFonts w:hint="eastAsia" w:ascii="Arial" w:hAnsi="Arial" w:cs="Arial"/>
          <w:sz w:val="21"/>
          <w:szCs w:val="21"/>
          <w:highlight w:val="none"/>
          <w:lang w:val="en-US" w:eastAsia="zh-CN"/>
        </w:rPr>
        <w:t>11</w:t>
      </w:r>
      <w:r>
        <w:rPr>
          <w:rFonts w:ascii="Arial" w:hAnsi="Arial" w:cs="Arial"/>
          <w:sz w:val="21"/>
          <w:szCs w:val="21"/>
          <w:highlight w:val="none"/>
        </w:rPr>
        <w:t>月</w:t>
      </w:r>
      <w:r>
        <w:rPr>
          <w:rFonts w:hint="eastAsia" w:ascii="Arial" w:hAnsi="Arial" w:cs="Arial"/>
          <w:sz w:val="21"/>
          <w:szCs w:val="21"/>
          <w:highlight w:val="none"/>
          <w:lang w:val="en-US" w:eastAsia="zh-CN"/>
        </w:rPr>
        <w:t>28</w:t>
      </w:r>
      <w:r>
        <w:rPr>
          <w:rFonts w:ascii="Arial" w:hAnsi="Arial" w:cs="Arial"/>
          <w:sz w:val="21"/>
          <w:szCs w:val="21"/>
          <w:highlight w:val="none"/>
        </w:rPr>
        <w:t>日至202</w:t>
      </w:r>
      <w:r>
        <w:rPr>
          <w:rFonts w:hint="eastAsia" w:ascii="Arial" w:hAnsi="Arial" w:cs="Arial"/>
          <w:sz w:val="21"/>
          <w:szCs w:val="21"/>
          <w:highlight w:val="none"/>
          <w:lang w:val="en-US" w:eastAsia="zh-CN"/>
        </w:rPr>
        <w:t>6</w:t>
      </w:r>
      <w:r>
        <w:rPr>
          <w:rFonts w:ascii="Arial" w:hAnsi="Arial" w:cs="Arial"/>
          <w:sz w:val="21"/>
          <w:szCs w:val="21"/>
          <w:highlight w:val="none"/>
        </w:rPr>
        <w:t>年</w:t>
      </w:r>
      <w:r>
        <w:rPr>
          <w:rFonts w:hint="eastAsia" w:ascii="Arial" w:hAnsi="Arial" w:cs="Arial"/>
          <w:sz w:val="21"/>
          <w:szCs w:val="21"/>
          <w:highlight w:val="none"/>
          <w:lang w:val="en-US" w:eastAsia="zh-CN"/>
        </w:rPr>
        <w:t>3</w:t>
      </w:r>
      <w:r>
        <w:rPr>
          <w:rFonts w:ascii="Arial" w:hAnsi="Arial" w:cs="Arial"/>
          <w:sz w:val="21"/>
          <w:szCs w:val="21"/>
          <w:highlight w:val="none"/>
        </w:rPr>
        <w:t>月</w:t>
      </w:r>
      <w:r>
        <w:rPr>
          <w:rFonts w:hint="eastAsia" w:ascii="Arial" w:hAnsi="Arial" w:cs="Arial"/>
          <w:sz w:val="21"/>
          <w:szCs w:val="21"/>
          <w:highlight w:val="none"/>
          <w:lang w:val="en-US" w:eastAsia="zh-CN"/>
        </w:rPr>
        <w:t>6</w:t>
      </w:r>
      <w:r>
        <w:rPr>
          <w:rFonts w:ascii="Arial" w:hAnsi="Arial" w:cs="Arial"/>
          <w:sz w:val="21"/>
          <w:szCs w:val="21"/>
          <w:highlight w:val="none"/>
        </w:rPr>
        <w:t>日</w:t>
      </w:r>
    </w:p>
    <w:p w14:paraId="65250F9C">
      <w:pPr>
        <w:overflowPunct w:val="0"/>
        <w:spacing w:line="480" w:lineRule="auto"/>
        <w:jc w:val="both"/>
        <w:textAlignment w:val="auto"/>
        <w:outlineLvl w:val="0"/>
        <w:rPr>
          <w:rFonts w:ascii="Arial" w:hAnsi="Arial" w:cs="Arial"/>
          <w:b/>
          <w:kern w:val="2"/>
          <w:sz w:val="21"/>
          <w:szCs w:val="21"/>
          <w:highlight w:val="none"/>
        </w:rPr>
        <w:sectPr>
          <w:headerReference r:id="rId19" w:type="first"/>
          <w:headerReference r:id="rId17" w:type="default"/>
          <w:footerReference r:id="rId20" w:type="default"/>
          <w:headerReference r:id="rId18" w:type="even"/>
          <w:footerReference r:id="rId21" w:type="even"/>
          <w:pgSz w:w="11907" w:h="16840"/>
          <w:pgMar w:top="1843" w:right="1134" w:bottom="1134" w:left="1134" w:header="1134" w:footer="907" w:gutter="340"/>
          <w:cols w:space="720" w:num="1"/>
          <w:docGrid w:linePitch="326" w:charSpace="0"/>
        </w:sectPr>
      </w:pPr>
    </w:p>
    <w:p w14:paraId="59D4BED1">
      <w:pPr>
        <w:pStyle w:val="2"/>
        <w:spacing w:line="480" w:lineRule="auto"/>
        <w:jc w:val="center"/>
        <w:rPr>
          <w:rFonts w:eastAsia="方正黑体简体"/>
          <w:b w:val="0"/>
          <w:kern w:val="2"/>
          <w:sz w:val="32"/>
          <w:szCs w:val="32"/>
          <w:highlight w:val="none"/>
        </w:rPr>
      </w:pPr>
      <w:bookmarkStart w:id="44" w:name="_Toc525655431"/>
      <w:bookmarkStart w:id="45" w:name="_Toc155267099"/>
      <w:r>
        <w:rPr>
          <w:rFonts w:hint="eastAsia" w:eastAsia="方正黑体简体"/>
          <w:b w:val="0"/>
          <w:kern w:val="2"/>
          <w:sz w:val="32"/>
          <w:szCs w:val="32"/>
          <w:highlight w:val="none"/>
        </w:rPr>
        <w:t>估价技术报告</w:t>
      </w:r>
      <w:bookmarkEnd w:id="44"/>
      <w:bookmarkEnd w:id="45"/>
    </w:p>
    <w:p w14:paraId="51A94E63">
      <w:pPr>
        <w:pStyle w:val="3"/>
        <w:numPr>
          <w:ilvl w:val="0"/>
          <w:numId w:val="0"/>
        </w:numPr>
        <w:spacing w:line="480" w:lineRule="auto"/>
        <w:ind w:left="358" w:hanging="358" w:hangingChars="170"/>
        <w:jc w:val="both"/>
        <w:rPr>
          <w:rFonts w:eastAsia="宋体"/>
          <w:kern w:val="2"/>
          <w:sz w:val="21"/>
          <w:szCs w:val="21"/>
          <w:highlight w:val="none"/>
        </w:rPr>
      </w:pPr>
      <w:bookmarkStart w:id="46" w:name="_Toc525655432"/>
      <w:bookmarkStart w:id="47" w:name="_Toc155267100"/>
      <w:r>
        <w:rPr>
          <w:rFonts w:eastAsia="宋体"/>
          <w:kern w:val="2"/>
          <w:sz w:val="21"/>
          <w:szCs w:val="21"/>
          <w:highlight w:val="none"/>
        </w:rPr>
        <w:t>一、估价对象描述与分析</w:t>
      </w:r>
      <w:bookmarkEnd w:id="46"/>
      <w:bookmarkEnd w:id="47"/>
    </w:p>
    <w:p w14:paraId="67310C78">
      <w:pPr>
        <w:pStyle w:val="3"/>
        <w:numPr>
          <w:ilvl w:val="0"/>
          <w:numId w:val="0"/>
        </w:numPr>
        <w:spacing w:line="480" w:lineRule="auto"/>
        <w:ind w:left="360" w:hanging="361" w:hangingChars="171"/>
        <w:jc w:val="both"/>
        <w:rPr>
          <w:rFonts w:eastAsia="宋体"/>
          <w:kern w:val="2"/>
          <w:sz w:val="21"/>
          <w:szCs w:val="21"/>
          <w:highlight w:val="none"/>
        </w:rPr>
      </w:pPr>
      <w:bookmarkStart w:id="48" w:name="_Toc155267101"/>
      <w:bookmarkStart w:id="49" w:name="_Toc525655433"/>
      <w:r>
        <w:rPr>
          <w:rFonts w:eastAsia="宋体"/>
          <w:kern w:val="2"/>
          <w:sz w:val="21"/>
          <w:szCs w:val="21"/>
          <w:highlight w:val="none"/>
        </w:rPr>
        <w:t>（</w:t>
      </w:r>
      <w:r>
        <w:rPr>
          <w:rFonts w:hint="eastAsia" w:eastAsia="宋体"/>
          <w:kern w:val="2"/>
          <w:sz w:val="21"/>
          <w:szCs w:val="21"/>
          <w:highlight w:val="none"/>
        </w:rPr>
        <w:t>一</w:t>
      </w:r>
      <w:r>
        <w:rPr>
          <w:rFonts w:eastAsia="宋体"/>
          <w:kern w:val="2"/>
          <w:sz w:val="21"/>
          <w:szCs w:val="21"/>
          <w:highlight w:val="none"/>
        </w:rPr>
        <w:t>）区位状况分析</w:t>
      </w:r>
      <w:bookmarkEnd w:id="48"/>
      <w:bookmarkEnd w:id="49"/>
    </w:p>
    <w:p w14:paraId="5FB855FF">
      <w:pPr>
        <w:spacing w:line="480" w:lineRule="auto"/>
        <w:ind w:firstLine="420" w:firstLineChars="200"/>
        <w:jc w:val="both"/>
        <w:rPr>
          <w:rFonts w:ascii="Arial" w:hAnsi="Arial" w:cs="Arial"/>
          <w:kern w:val="2"/>
          <w:sz w:val="21"/>
          <w:szCs w:val="21"/>
          <w:highlight w:val="none"/>
        </w:rPr>
      </w:pPr>
      <w:r>
        <w:rPr>
          <w:rFonts w:ascii="Arial" w:hAnsi="Arial" w:cs="Arial"/>
          <w:sz w:val="21"/>
          <w:szCs w:val="21"/>
          <w:highlight w:val="none"/>
        </w:rPr>
        <w:t>1.位置状况</w:t>
      </w:r>
      <w:r>
        <w:rPr>
          <w:rFonts w:hint="eastAsia" w:ascii="Arial" w:hAnsi="Arial" w:cs="Arial"/>
          <w:sz w:val="21"/>
          <w:szCs w:val="21"/>
          <w:highlight w:val="none"/>
        </w:rPr>
        <w:t xml:space="preserve">  </w:t>
      </w:r>
      <w:r>
        <w:rPr>
          <w:rFonts w:hint="eastAsia" w:ascii="Arial" w:hAnsi="Arial" w:cs="Arial"/>
          <w:kern w:val="2"/>
          <w:sz w:val="21"/>
          <w:szCs w:val="21"/>
          <w:highlight w:val="none"/>
        </w:rPr>
        <w:t xml:space="preserve">  </w:t>
      </w:r>
    </w:p>
    <w:p w14:paraId="3DC801E3">
      <w:pPr>
        <w:spacing w:line="480" w:lineRule="auto"/>
        <w:ind w:firstLine="420" w:firstLineChars="200"/>
        <w:jc w:val="both"/>
        <w:rPr>
          <w:rFonts w:ascii="Arial" w:hAnsi="Arial" w:cs="Arial"/>
          <w:kern w:val="2"/>
          <w:sz w:val="21"/>
          <w:szCs w:val="21"/>
          <w:highlight w:val="none"/>
        </w:rPr>
      </w:pPr>
      <w:r>
        <w:rPr>
          <w:rFonts w:ascii="Arial" w:hAnsi="Arial" w:cs="Arial"/>
          <w:kern w:val="2"/>
          <w:sz w:val="21"/>
          <w:szCs w:val="21"/>
          <w:highlight w:val="none"/>
        </w:rPr>
        <w:t>估价对象位于北京市</w:t>
      </w:r>
      <w:r>
        <w:rPr>
          <w:rFonts w:hint="eastAsia" w:ascii="Arial" w:hAnsi="Arial" w:cs="Arial"/>
          <w:kern w:val="2"/>
          <w:sz w:val="21"/>
          <w:szCs w:val="21"/>
          <w:highlight w:val="none"/>
        </w:rPr>
        <w:t>大兴区</w:t>
      </w:r>
      <w:r>
        <w:rPr>
          <w:rFonts w:hint="eastAsia" w:ascii="Arial" w:hAnsi="Arial" w:cs="Arial"/>
          <w:kern w:val="2"/>
          <w:sz w:val="21"/>
          <w:szCs w:val="21"/>
          <w:highlight w:val="none"/>
          <w:lang w:val="en-US" w:eastAsia="zh-CN"/>
        </w:rPr>
        <w:t>采育镇</w:t>
      </w:r>
      <w:r>
        <w:rPr>
          <w:rFonts w:ascii="Arial" w:hAnsi="Arial" w:cs="Arial"/>
          <w:kern w:val="2"/>
          <w:sz w:val="21"/>
          <w:szCs w:val="21"/>
          <w:highlight w:val="none"/>
        </w:rPr>
        <w:t>，临近</w:t>
      </w:r>
      <w:r>
        <w:rPr>
          <w:rFonts w:hint="eastAsia" w:ascii="Arial" w:hAnsi="Arial" w:cs="Arial"/>
          <w:kern w:val="2"/>
          <w:sz w:val="21"/>
          <w:szCs w:val="21"/>
          <w:highlight w:val="none"/>
          <w:lang w:val="en-US" w:eastAsia="zh-CN"/>
        </w:rPr>
        <w:t>首都环线高速</w:t>
      </w:r>
      <w:r>
        <w:rPr>
          <w:rFonts w:ascii="Arial" w:hAnsi="Arial" w:cs="Arial"/>
          <w:kern w:val="2"/>
          <w:sz w:val="21"/>
          <w:szCs w:val="21"/>
          <w:highlight w:val="none"/>
        </w:rPr>
        <w:t>京开高速，土地级别属于北京市基准地价</w:t>
      </w:r>
      <w:r>
        <w:rPr>
          <w:rFonts w:hint="eastAsia" w:ascii="Arial" w:hAnsi="Arial" w:cs="Arial"/>
          <w:kern w:val="2"/>
          <w:sz w:val="21"/>
          <w:szCs w:val="21"/>
          <w:highlight w:val="none"/>
        </w:rPr>
        <w:t>住宅</w:t>
      </w:r>
      <w:r>
        <w:rPr>
          <w:rFonts w:ascii="Arial" w:hAnsi="Arial" w:cs="Arial"/>
          <w:kern w:val="2"/>
          <w:sz w:val="21"/>
          <w:szCs w:val="21"/>
          <w:highlight w:val="none"/>
        </w:rPr>
        <w:t>类</w:t>
      </w:r>
      <w:r>
        <w:rPr>
          <w:rFonts w:hint="eastAsia" w:ascii="Arial" w:hAnsi="Arial" w:cs="Arial"/>
          <w:kern w:val="2"/>
          <w:sz w:val="21"/>
          <w:szCs w:val="21"/>
          <w:highlight w:val="none"/>
          <w:lang w:val="en-US" w:eastAsia="zh-CN"/>
        </w:rPr>
        <w:t>九</w:t>
      </w:r>
      <w:r>
        <w:rPr>
          <w:rFonts w:ascii="Arial" w:hAnsi="Arial" w:cs="Arial"/>
          <w:kern w:val="2"/>
          <w:sz w:val="21"/>
          <w:szCs w:val="21"/>
          <w:highlight w:val="none"/>
        </w:rPr>
        <w:t>级，</w:t>
      </w:r>
      <w:r>
        <w:rPr>
          <w:rFonts w:hint="eastAsia" w:ascii="Arial" w:hAnsi="Arial" w:cs="Arial"/>
          <w:kern w:val="2"/>
          <w:sz w:val="21"/>
          <w:szCs w:val="21"/>
          <w:highlight w:val="none"/>
          <w:lang w:val="en-US" w:eastAsia="zh-CN"/>
        </w:rPr>
        <w:t>IX</w:t>
      </w:r>
      <w:r>
        <w:rPr>
          <w:rFonts w:ascii="Arial" w:hAnsi="Arial" w:cs="Arial"/>
          <w:kern w:val="2"/>
          <w:sz w:val="21"/>
          <w:szCs w:val="21"/>
          <w:highlight w:val="none"/>
        </w:rPr>
        <w:t>-</w:t>
      </w:r>
      <w:r>
        <w:rPr>
          <w:rFonts w:hint="eastAsia" w:ascii="Arial" w:hAnsi="Arial" w:cs="Arial"/>
          <w:kern w:val="2"/>
          <w:sz w:val="21"/>
          <w:szCs w:val="21"/>
          <w:highlight w:val="none"/>
          <w:lang w:val="en-US" w:eastAsia="zh-CN"/>
        </w:rPr>
        <w:t>亦</w:t>
      </w:r>
      <w:r>
        <w:rPr>
          <w:rFonts w:ascii="Arial" w:hAnsi="Arial" w:cs="Arial"/>
          <w:kern w:val="2"/>
          <w:sz w:val="21"/>
          <w:szCs w:val="21"/>
          <w:highlight w:val="none"/>
        </w:rPr>
        <w:t>2区片，地理位置状况</w:t>
      </w:r>
      <w:r>
        <w:rPr>
          <w:rFonts w:hint="eastAsia" w:ascii="Arial" w:hAnsi="Arial" w:cs="Arial"/>
          <w:kern w:val="2"/>
          <w:sz w:val="21"/>
          <w:szCs w:val="21"/>
          <w:highlight w:val="none"/>
        </w:rPr>
        <w:t>一般</w:t>
      </w:r>
      <w:r>
        <w:rPr>
          <w:rFonts w:ascii="Arial" w:hAnsi="Arial" w:cs="Arial"/>
          <w:kern w:val="2"/>
          <w:sz w:val="21"/>
          <w:szCs w:val="21"/>
          <w:highlight w:val="none"/>
        </w:rPr>
        <w:t>。</w:t>
      </w:r>
    </w:p>
    <w:p w14:paraId="3CFD2AAC">
      <w:pPr>
        <w:spacing w:line="480" w:lineRule="auto"/>
        <w:ind w:firstLine="420" w:firstLineChars="200"/>
        <w:jc w:val="both"/>
        <w:rPr>
          <w:rFonts w:ascii="Arial" w:hAnsi="Arial" w:cs="Arial"/>
          <w:sz w:val="21"/>
          <w:szCs w:val="21"/>
          <w:highlight w:val="none"/>
        </w:rPr>
      </w:pPr>
      <w:r>
        <w:rPr>
          <w:rFonts w:ascii="Arial" w:hAnsi="Arial" w:cs="Arial"/>
          <w:sz w:val="21"/>
          <w:szCs w:val="21"/>
          <w:highlight w:val="none"/>
        </w:rPr>
        <w:t>2.居住社区成熟度</w:t>
      </w:r>
    </w:p>
    <w:p w14:paraId="575ACDB8">
      <w:pPr>
        <w:spacing w:line="480" w:lineRule="auto"/>
        <w:ind w:firstLine="420" w:firstLineChars="200"/>
        <w:jc w:val="both"/>
        <w:rPr>
          <w:rFonts w:ascii="Arial" w:hAnsi="Arial" w:cs="Arial"/>
          <w:kern w:val="2"/>
          <w:sz w:val="21"/>
          <w:szCs w:val="21"/>
          <w:highlight w:val="none"/>
        </w:rPr>
      </w:pPr>
      <w:r>
        <w:rPr>
          <w:rFonts w:hint="eastAsia" w:ascii="Arial" w:hAnsi="Arial" w:cs="Arial"/>
          <w:kern w:val="2"/>
          <w:sz w:val="21"/>
          <w:szCs w:val="21"/>
          <w:highlight w:val="none"/>
        </w:rPr>
        <w:t>估价对象周边2公里内有兴创荣墅、住总兴创如遇、恒盛波尔多小镇、路劲御合院、阳光波尔多、北京城建宽院国誉府等，居住小区规模一般，入住率一般，综合评价居住区成熟度一般。</w:t>
      </w:r>
    </w:p>
    <w:p w14:paraId="5192DF63">
      <w:pPr>
        <w:spacing w:line="480" w:lineRule="auto"/>
        <w:ind w:firstLine="420" w:firstLineChars="200"/>
        <w:jc w:val="both"/>
        <w:rPr>
          <w:rFonts w:ascii="Arial" w:hAnsi="Arial" w:cs="Arial"/>
          <w:sz w:val="21"/>
          <w:szCs w:val="21"/>
          <w:highlight w:val="none"/>
        </w:rPr>
      </w:pPr>
      <w:r>
        <w:rPr>
          <w:rFonts w:ascii="Arial" w:hAnsi="Arial" w:cs="Arial"/>
          <w:sz w:val="21"/>
          <w:szCs w:val="21"/>
          <w:highlight w:val="none"/>
        </w:rPr>
        <w:t>3.</w:t>
      </w:r>
      <w:r>
        <w:rPr>
          <w:rFonts w:hint="eastAsia" w:ascii="Arial" w:hAnsi="Arial" w:cs="Arial"/>
          <w:sz w:val="21"/>
          <w:szCs w:val="21"/>
          <w:highlight w:val="none"/>
        </w:rPr>
        <w:t>交</w:t>
      </w:r>
      <w:r>
        <w:rPr>
          <w:rFonts w:ascii="Arial" w:hAnsi="Arial" w:cs="Arial"/>
          <w:sz w:val="21"/>
          <w:szCs w:val="21"/>
          <w:highlight w:val="none"/>
        </w:rPr>
        <w:t>通状况</w:t>
      </w:r>
    </w:p>
    <w:p w14:paraId="0A90C71D">
      <w:pPr>
        <w:spacing w:line="480" w:lineRule="auto"/>
        <w:ind w:firstLine="420" w:firstLineChars="200"/>
        <w:jc w:val="both"/>
        <w:rPr>
          <w:rFonts w:ascii="Arial" w:hAnsi="Arial" w:cs="Arial"/>
          <w:kern w:val="2"/>
          <w:sz w:val="21"/>
          <w:szCs w:val="21"/>
          <w:highlight w:val="none"/>
        </w:rPr>
      </w:pPr>
      <w:r>
        <w:rPr>
          <w:rFonts w:hint="eastAsia" w:ascii="Arial" w:hAnsi="Arial" w:cs="Arial"/>
          <w:kern w:val="2"/>
          <w:sz w:val="21"/>
          <w:szCs w:val="21"/>
          <w:highlight w:val="none"/>
        </w:rPr>
        <w:t>估价对象</w:t>
      </w:r>
      <w:r>
        <w:rPr>
          <w:rFonts w:hint="eastAsia" w:ascii="Arial" w:hAnsi="Arial" w:cs="Arial"/>
          <w:kern w:val="2"/>
          <w:sz w:val="21"/>
          <w:szCs w:val="21"/>
          <w:highlight w:val="none"/>
          <w:lang w:val="en-US" w:eastAsia="zh-CN"/>
        </w:rPr>
        <w:t>紧邻</w:t>
      </w:r>
      <w:r>
        <w:rPr>
          <w:rFonts w:hint="eastAsia" w:ascii="Arial" w:hAnsi="Arial" w:cs="Arial"/>
          <w:kern w:val="2"/>
          <w:sz w:val="21"/>
          <w:szCs w:val="21"/>
          <w:highlight w:val="none"/>
        </w:rPr>
        <w:t>城市</w:t>
      </w:r>
      <w:r>
        <w:rPr>
          <w:rFonts w:hint="eastAsia" w:ascii="Arial" w:hAnsi="Arial" w:cs="Arial"/>
          <w:kern w:val="2"/>
          <w:sz w:val="21"/>
          <w:szCs w:val="21"/>
          <w:highlight w:val="none"/>
          <w:lang w:val="en-US" w:eastAsia="zh-CN"/>
        </w:rPr>
        <w:t>次</w:t>
      </w:r>
      <w:r>
        <w:rPr>
          <w:rFonts w:hint="eastAsia" w:ascii="Arial" w:hAnsi="Arial" w:cs="Arial"/>
          <w:kern w:val="2"/>
          <w:sz w:val="21"/>
          <w:szCs w:val="21"/>
          <w:highlight w:val="none"/>
        </w:rPr>
        <w:t>干道</w:t>
      </w:r>
      <w:r>
        <w:rPr>
          <w:rFonts w:hint="eastAsia" w:ascii="Arial" w:hAnsi="Arial" w:cs="Arial"/>
          <w:kern w:val="2"/>
          <w:sz w:val="21"/>
          <w:szCs w:val="21"/>
          <w:highlight w:val="none"/>
          <w:lang w:eastAsia="zh-CN"/>
        </w:rPr>
        <w:t>——</w:t>
      </w:r>
      <w:r>
        <w:rPr>
          <w:rFonts w:hint="eastAsia" w:ascii="Arial" w:hAnsi="Arial" w:cs="Arial"/>
          <w:kern w:val="2"/>
          <w:sz w:val="21"/>
          <w:szCs w:val="21"/>
          <w:highlight w:val="none"/>
          <w:lang w:val="en-US" w:eastAsia="zh-CN"/>
        </w:rPr>
        <w:t>福源路、采星路、采源路、采福路，紧邻城市支路——育仁街</w:t>
      </w:r>
      <w:r>
        <w:rPr>
          <w:rFonts w:hint="eastAsia" w:ascii="Arial" w:hAnsi="Arial" w:cs="Arial"/>
          <w:kern w:val="2"/>
          <w:sz w:val="21"/>
          <w:szCs w:val="21"/>
          <w:highlight w:val="none"/>
          <w:lang w:eastAsia="zh-CN"/>
        </w:rPr>
        <w:t>、</w:t>
      </w:r>
      <w:r>
        <w:rPr>
          <w:rFonts w:hint="eastAsia" w:ascii="Arial" w:hAnsi="Arial" w:cs="Arial"/>
          <w:kern w:val="2"/>
          <w:sz w:val="21"/>
          <w:szCs w:val="21"/>
          <w:highlight w:val="none"/>
          <w:lang w:val="en-US" w:eastAsia="zh-CN"/>
        </w:rPr>
        <w:t>育林街、育胜街、育富街</w:t>
      </w:r>
      <w:r>
        <w:rPr>
          <w:rFonts w:hint="eastAsia" w:ascii="Arial" w:hAnsi="Arial" w:cs="Arial"/>
          <w:kern w:val="2"/>
          <w:sz w:val="21"/>
          <w:szCs w:val="21"/>
          <w:highlight w:val="none"/>
        </w:rPr>
        <w:t>，周边路网较密集；</w:t>
      </w:r>
      <w:r>
        <w:rPr>
          <w:rFonts w:hint="eastAsia" w:ascii="Arial" w:hAnsi="Arial" w:cs="Arial"/>
          <w:kern w:val="2"/>
          <w:sz w:val="21"/>
          <w:szCs w:val="21"/>
          <w:highlight w:val="none"/>
          <w:lang w:val="en-US" w:eastAsia="zh-CN"/>
        </w:rPr>
        <w:t>周边</w:t>
      </w:r>
      <w:r>
        <w:rPr>
          <w:rFonts w:hint="eastAsia" w:ascii="Arial" w:hAnsi="Arial" w:cs="Arial"/>
          <w:kern w:val="2"/>
          <w:sz w:val="21"/>
          <w:szCs w:val="21"/>
          <w:highlight w:val="none"/>
        </w:rPr>
        <w:t>2公里范围内无轨道交通站点，周边1公里内有926路、955路、兴20路、兴32路、兴43路、兴940路等公交线路途径并设立站点，综合评价交通便捷度</w:t>
      </w:r>
      <w:r>
        <w:rPr>
          <w:rFonts w:hint="eastAsia" w:ascii="Arial" w:hAnsi="Arial" w:cs="Arial"/>
          <w:kern w:val="2"/>
          <w:sz w:val="21"/>
          <w:szCs w:val="21"/>
          <w:highlight w:val="none"/>
          <w:lang w:val="en-US" w:eastAsia="zh-CN"/>
        </w:rPr>
        <w:t>一般</w:t>
      </w:r>
      <w:r>
        <w:rPr>
          <w:rFonts w:hint="eastAsia" w:ascii="Arial" w:hAnsi="Arial" w:cs="Arial"/>
          <w:kern w:val="2"/>
          <w:sz w:val="21"/>
          <w:szCs w:val="21"/>
          <w:highlight w:val="none"/>
        </w:rPr>
        <w:t>。</w:t>
      </w:r>
    </w:p>
    <w:p w14:paraId="6F335775">
      <w:pPr>
        <w:spacing w:line="480" w:lineRule="auto"/>
        <w:ind w:firstLine="420" w:firstLineChars="200"/>
        <w:jc w:val="both"/>
        <w:rPr>
          <w:rFonts w:ascii="Arial" w:hAnsi="Arial" w:cs="Arial"/>
          <w:sz w:val="21"/>
          <w:szCs w:val="21"/>
          <w:highlight w:val="none"/>
        </w:rPr>
      </w:pPr>
      <w:r>
        <w:rPr>
          <w:rFonts w:ascii="Arial" w:hAnsi="Arial" w:cs="Arial"/>
          <w:sz w:val="21"/>
          <w:szCs w:val="21"/>
          <w:highlight w:val="none"/>
        </w:rPr>
        <w:t>4.</w:t>
      </w:r>
      <w:r>
        <w:rPr>
          <w:rFonts w:hint="eastAsia" w:ascii="Arial" w:hAnsi="Arial" w:cs="Arial"/>
          <w:sz w:val="21"/>
          <w:szCs w:val="21"/>
          <w:highlight w:val="none"/>
        </w:rPr>
        <w:t>商业繁华度</w:t>
      </w:r>
    </w:p>
    <w:p w14:paraId="1FAF1EFD">
      <w:pPr>
        <w:spacing w:line="480" w:lineRule="auto"/>
        <w:ind w:firstLine="420" w:firstLineChars="200"/>
        <w:jc w:val="both"/>
        <w:rPr>
          <w:rFonts w:ascii="Arial" w:hAnsi="Arial" w:cs="Arial"/>
          <w:kern w:val="2"/>
          <w:sz w:val="21"/>
          <w:szCs w:val="21"/>
          <w:highlight w:val="none"/>
        </w:rPr>
      </w:pPr>
      <w:r>
        <w:rPr>
          <w:rFonts w:hint="eastAsia" w:ascii="Arial" w:hAnsi="Arial" w:cs="Arial"/>
          <w:kern w:val="2"/>
          <w:sz w:val="21"/>
          <w:szCs w:val="21"/>
          <w:highlight w:val="none"/>
        </w:rPr>
        <w:t>估价对象周边有绿地缤纷荟（采育店）、王府井首航生活广场等商业场所，综合商业繁华度</w:t>
      </w:r>
      <w:r>
        <w:rPr>
          <w:rFonts w:hint="eastAsia" w:ascii="Arial" w:hAnsi="Arial" w:cs="Arial"/>
          <w:kern w:val="2"/>
          <w:sz w:val="21"/>
          <w:szCs w:val="21"/>
          <w:highlight w:val="none"/>
          <w:lang w:val="en-US" w:eastAsia="zh-CN"/>
        </w:rPr>
        <w:t>一般</w:t>
      </w:r>
      <w:r>
        <w:rPr>
          <w:rFonts w:hint="eastAsia" w:ascii="Arial" w:hAnsi="Arial" w:cs="Arial"/>
          <w:kern w:val="2"/>
          <w:sz w:val="21"/>
          <w:szCs w:val="21"/>
          <w:highlight w:val="none"/>
        </w:rPr>
        <w:t>。</w:t>
      </w:r>
    </w:p>
    <w:p w14:paraId="1C449093">
      <w:pPr>
        <w:spacing w:line="480" w:lineRule="auto"/>
        <w:ind w:firstLine="420" w:firstLineChars="200"/>
        <w:jc w:val="both"/>
        <w:rPr>
          <w:rFonts w:ascii="Arial" w:hAnsi="Arial" w:cs="Arial"/>
          <w:sz w:val="21"/>
          <w:szCs w:val="21"/>
          <w:highlight w:val="none"/>
        </w:rPr>
      </w:pPr>
      <w:r>
        <w:rPr>
          <w:rFonts w:hint="eastAsia" w:ascii="Arial" w:hAnsi="Arial" w:cs="Arial"/>
          <w:sz w:val="21"/>
          <w:szCs w:val="21"/>
          <w:highlight w:val="none"/>
        </w:rPr>
        <w:t>5.</w:t>
      </w:r>
      <w:r>
        <w:rPr>
          <w:rFonts w:ascii="Arial" w:hAnsi="Arial" w:cs="Arial"/>
          <w:sz w:val="21"/>
          <w:szCs w:val="21"/>
          <w:highlight w:val="none"/>
        </w:rPr>
        <w:t>环境状况</w:t>
      </w:r>
    </w:p>
    <w:p w14:paraId="0D6B27E1">
      <w:pPr>
        <w:spacing w:line="480" w:lineRule="auto"/>
        <w:ind w:firstLine="420" w:firstLineChars="200"/>
        <w:jc w:val="both"/>
        <w:rPr>
          <w:rFonts w:ascii="Arial" w:hAnsi="Arial" w:cs="Arial"/>
          <w:kern w:val="2"/>
          <w:sz w:val="21"/>
          <w:szCs w:val="21"/>
          <w:highlight w:val="none"/>
        </w:rPr>
      </w:pPr>
      <w:r>
        <w:rPr>
          <w:rFonts w:hint="eastAsia" w:ascii="Arial" w:hAnsi="Arial" w:cs="Arial"/>
          <w:kern w:val="2"/>
          <w:sz w:val="21"/>
          <w:szCs w:val="21"/>
          <w:highlight w:val="none"/>
        </w:rPr>
        <w:t>估价对象2公里周边有采育公园、凤河等自然景观，</w:t>
      </w:r>
      <w:r>
        <w:rPr>
          <w:rFonts w:hint="eastAsia" w:ascii="Arial" w:hAnsi="Arial" w:cs="Arial"/>
          <w:sz w:val="21"/>
          <w:szCs w:val="21"/>
          <w:highlight w:val="none"/>
        </w:rPr>
        <w:t>5公里范围内无污染源，</w:t>
      </w:r>
      <w:r>
        <w:rPr>
          <w:rFonts w:hint="eastAsia" w:ascii="Arial" w:hAnsi="Arial" w:cs="Arial"/>
          <w:kern w:val="2"/>
          <w:sz w:val="21"/>
          <w:szCs w:val="21"/>
          <w:highlight w:val="none"/>
        </w:rPr>
        <w:t>自然与人文环境</w:t>
      </w:r>
      <w:r>
        <w:rPr>
          <w:rFonts w:hint="eastAsia" w:ascii="Arial" w:hAnsi="Arial" w:cs="Arial"/>
          <w:kern w:val="2"/>
          <w:sz w:val="21"/>
          <w:szCs w:val="21"/>
          <w:highlight w:val="none"/>
          <w:lang w:val="en-US" w:eastAsia="zh-CN"/>
        </w:rPr>
        <w:t>一般</w:t>
      </w:r>
      <w:r>
        <w:rPr>
          <w:rFonts w:hint="eastAsia" w:ascii="Arial" w:hAnsi="Arial" w:cs="Arial"/>
          <w:sz w:val="21"/>
          <w:szCs w:val="21"/>
          <w:highlight w:val="none"/>
        </w:rPr>
        <w:t>。</w:t>
      </w:r>
    </w:p>
    <w:p w14:paraId="62E5995C">
      <w:pPr>
        <w:spacing w:line="480" w:lineRule="auto"/>
        <w:ind w:firstLine="420" w:firstLineChars="200"/>
        <w:jc w:val="both"/>
        <w:rPr>
          <w:rFonts w:ascii="Arial" w:hAnsi="Arial" w:cs="Arial"/>
          <w:i/>
          <w:sz w:val="21"/>
          <w:szCs w:val="21"/>
          <w:highlight w:val="none"/>
        </w:rPr>
      </w:pPr>
      <w:r>
        <w:rPr>
          <w:rFonts w:hint="eastAsia" w:ascii="Arial" w:hAnsi="Arial" w:cs="Arial"/>
          <w:sz w:val="21"/>
          <w:szCs w:val="21"/>
          <w:highlight w:val="none"/>
        </w:rPr>
        <w:t>6.</w:t>
      </w:r>
      <w:r>
        <w:rPr>
          <w:rFonts w:ascii="Arial" w:hAnsi="Arial" w:cs="Arial"/>
          <w:sz w:val="21"/>
          <w:szCs w:val="21"/>
          <w:highlight w:val="none"/>
        </w:rPr>
        <w:t>外部配套设施状况</w:t>
      </w:r>
    </w:p>
    <w:p w14:paraId="1D394839">
      <w:pPr>
        <w:spacing w:line="480" w:lineRule="auto"/>
        <w:ind w:firstLine="420" w:firstLineChars="200"/>
        <w:jc w:val="both"/>
        <w:rPr>
          <w:rFonts w:ascii="Arial" w:hAnsi="Arial" w:cs="Arial"/>
          <w:sz w:val="21"/>
          <w:szCs w:val="21"/>
          <w:highlight w:val="none"/>
        </w:rPr>
      </w:pPr>
      <w:r>
        <w:rPr>
          <w:rFonts w:hint="eastAsia" w:ascii="Arial" w:hAnsi="Arial" w:cs="Arial"/>
          <w:kern w:val="2"/>
          <w:sz w:val="21"/>
          <w:szCs w:val="21"/>
          <w:highlight w:val="none"/>
        </w:rPr>
        <w:t>估价对象</w:t>
      </w:r>
      <w:r>
        <w:rPr>
          <w:rFonts w:ascii="Arial" w:hAnsi="Arial" w:cs="Arial"/>
          <w:sz w:val="21"/>
          <w:szCs w:val="21"/>
          <w:highlight w:val="none"/>
        </w:rPr>
        <w:t>所处区域目前已拥有完善的基础设施配套保障，区内大部分区域基础设施配套目前可达到</w:t>
      </w:r>
      <w:r>
        <w:rPr>
          <w:rFonts w:hint="eastAsia" w:ascii="Arial" w:hAnsi="Arial" w:cs="Arial"/>
          <w:sz w:val="21"/>
          <w:szCs w:val="21"/>
          <w:highlight w:val="none"/>
        </w:rPr>
        <w:t>“七</w:t>
      </w:r>
      <w:r>
        <w:rPr>
          <w:rFonts w:ascii="Arial" w:hAnsi="Arial" w:cs="Arial"/>
          <w:sz w:val="21"/>
          <w:szCs w:val="21"/>
          <w:highlight w:val="none"/>
        </w:rPr>
        <w:t>通</w:t>
      </w:r>
      <w:r>
        <w:rPr>
          <w:rFonts w:hint="eastAsia" w:ascii="Arial" w:hAnsi="Arial" w:cs="Arial"/>
          <w:sz w:val="21"/>
          <w:szCs w:val="21"/>
          <w:highlight w:val="none"/>
        </w:rPr>
        <w:t>”</w:t>
      </w:r>
      <w:r>
        <w:rPr>
          <w:rFonts w:ascii="Arial" w:hAnsi="Arial" w:cs="Arial"/>
          <w:sz w:val="21"/>
          <w:szCs w:val="21"/>
          <w:highlight w:val="none"/>
        </w:rPr>
        <w:t>（通路、通电、通讯、供水、排水</w:t>
      </w:r>
      <w:r>
        <w:rPr>
          <w:rFonts w:hint="eastAsia" w:ascii="Arial" w:hAnsi="Arial" w:cs="Arial"/>
          <w:sz w:val="21"/>
          <w:szCs w:val="21"/>
          <w:highlight w:val="none"/>
        </w:rPr>
        <w:t>、通暖、通燃气</w:t>
      </w:r>
      <w:r>
        <w:rPr>
          <w:rFonts w:ascii="Arial" w:hAnsi="Arial" w:cs="Arial"/>
          <w:sz w:val="21"/>
          <w:szCs w:val="21"/>
          <w:highlight w:val="none"/>
        </w:rPr>
        <w:t>）条件，且保证程度高。</w:t>
      </w:r>
    </w:p>
    <w:p w14:paraId="39947877">
      <w:pPr>
        <w:spacing w:line="480" w:lineRule="auto"/>
        <w:ind w:firstLine="420" w:firstLineChars="200"/>
        <w:jc w:val="both"/>
        <w:rPr>
          <w:rFonts w:ascii="Arial" w:hAnsi="Arial" w:cs="Arial"/>
          <w:kern w:val="2"/>
          <w:sz w:val="21"/>
          <w:szCs w:val="21"/>
          <w:highlight w:val="none"/>
        </w:rPr>
      </w:pPr>
      <w:bookmarkStart w:id="50" w:name="_Toc525655434"/>
      <w:r>
        <w:rPr>
          <w:rFonts w:hint="eastAsia" w:ascii="Arial" w:hAnsi="Arial" w:cs="Arial"/>
          <w:kern w:val="2"/>
          <w:sz w:val="21"/>
          <w:szCs w:val="21"/>
          <w:highlight w:val="none"/>
        </w:rPr>
        <w:t>估价对象所在区域周边2公里范围内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p>
    <w:p w14:paraId="0FDE4B32">
      <w:pPr>
        <w:spacing w:line="480" w:lineRule="auto"/>
        <w:ind w:firstLine="420" w:firstLineChars="200"/>
        <w:jc w:val="both"/>
        <w:rPr>
          <w:rFonts w:ascii="Arial" w:hAnsi="Arial" w:cs="Arial"/>
          <w:sz w:val="21"/>
          <w:szCs w:val="21"/>
          <w:highlight w:val="none"/>
        </w:rPr>
      </w:pPr>
      <w:r>
        <w:rPr>
          <w:rFonts w:hint="eastAsia" w:ascii="Arial" w:hAnsi="Arial" w:cs="Arial"/>
          <w:sz w:val="21"/>
          <w:szCs w:val="21"/>
          <w:highlight w:val="none"/>
        </w:rPr>
        <w:t>6.总体评价</w:t>
      </w:r>
    </w:p>
    <w:p w14:paraId="5DF76819">
      <w:pPr>
        <w:spacing w:line="480" w:lineRule="auto"/>
        <w:ind w:firstLine="420" w:firstLineChars="200"/>
        <w:jc w:val="both"/>
        <w:rPr>
          <w:rFonts w:ascii="Arial" w:hAnsi="Arial" w:cs="Arial"/>
          <w:kern w:val="2"/>
          <w:sz w:val="21"/>
          <w:szCs w:val="21"/>
          <w:highlight w:val="none"/>
        </w:rPr>
      </w:pPr>
      <w:r>
        <w:rPr>
          <w:rFonts w:hint="eastAsia" w:ascii="Arial" w:hAnsi="Arial" w:cs="Arial"/>
          <w:sz w:val="21"/>
          <w:szCs w:val="21"/>
          <w:highlight w:val="none"/>
        </w:rPr>
        <w:t>估价对象地理位置状况一般，居住社区成熟度一般，交通便捷度一般，商业繁华度一般，环境状况一般</w:t>
      </w:r>
      <w:r>
        <w:rPr>
          <w:rFonts w:ascii="Arial" w:hAnsi="Arial" w:cs="Arial"/>
          <w:sz w:val="21"/>
          <w:szCs w:val="21"/>
          <w:highlight w:val="none"/>
        </w:rPr>
        <w:t>，区内大部分区域基础设施配套目前可达到</w:t>
      </w:r>
      <w:r>
        <w:rPr>
          <w:rFonts w:hint="eastAsia" w:ascii="Arial" w:hAnsi="Arial" w:cs="Arial"/>
          <w:sz w:val="21"/>
          <w:szCs w:val="21"/>
          <w:highlight w:val="none"/>
        </w:rPr>
        <w:t>“七</w:t>
      </w:r>
      <w:r>
        <w:rPr>
          <w:rFonts w:ascii="Arial" w:hAnsi="Arial" w:cs="Arial"/>
          <w:sz w:val="21"/>
          <w:szCs w:val="21"/>
          <w:highlight w:val="none"/>
        </w:rPr>
        <w:t>通</w:t>
      </w:r>
      <w:r>
        <w:rPr>
          <w:rFonts w:hint="eastAsia" w:ascii="Arial" w:hAnsi="Arial" w:cs="Arial"/>
          <w:sz w:val="21"/>
          <w:szCs w:val="21"/>
          <w:highlight w:val="none"/>
        </w:rPr>
        <w:t>”，公共配套设施状况一般。</w:t>
      </w:r>
      <w:r>
        <w:rPr>
          <w:rFonts w:ascii="Arial" w:hAnsi="Arial" w:cs="Arial"/>
          <w:sz w:val="21"/>
          <w:szCs w:val="21"/>
          <w:highlight w:val="none"/>
        </w:rPr>
        <w:t>区域规划</w:t>
      </w:r>
      <w:r>
        <w:rPr>
          <w:rFonts w:hint="eastAsia" w:ascii="Arial" w:hAnsi="Arial" w:cs="Arial"/>
          <w:sz w:val="21"/>
          <w:szCs w:val="21"/>
          <w:highlight w:val="none"/>
        </w:rPr>
        <w:t>无特殊限制</w:t>
      </w:r>
      <w:r>
        <w:rPr>
          <w:rFonts w:ascii="Arial" w:hAnsi="Arial" w:cs="Arial"/>
          <w:sz w:val="21"/>
          <w:szCs w:val="21"/>
          <w:highlight w:val="none"/>
        </w:rPr>
        <w:t>。</w:t>
      </w:r>
      <w:bookmarkEnd w:id="50"/>
      <w:r>
        <w:rPr>
          <w:rFonts w:ascii="Arial" w:hAnsi="Arial" w:cs="Arial"/>
          <w:sz w:val="21"/>
          <w:szCs w:val="21"/>
          <w:highlight w:val="none"/>
        </w:rPr>
        <w:t>总体评价影响估价对象的</w:t>
      </w:r>
      <w:r>
        <w:rPr>
          <w:rFonts w:hint="eastAsia" w:ascii="Arial" w:hAnsi="Arial" w:cs="Arial"/>
          <w:sz w:val="21"/>
          <w:szCs w:val="21"/>
          <w:highlight w:val="none"/>
        </w:rPr>
        <w:t>区位条件一般</w:t>
      </w:r>
      <w:r>
        <w:rPr>
          <w:rFonts w:ascii="Arial" w:hAnsi="Arial" w:cs="Arial"/>
          <w:sz w:val="21"/>
          <w:szCs w:val="21"/>
          <w:highlight w:val="none"/>
        </w:rPr>
        <w:t>。</w:t>
      </w:r>
    </w:p>
    <w:p w14:paraId="776163FD">
      <w:pPr>
        <w:pStyle w:val="3"/>
        <w:numPr>
          <w:ilvl w:val="0"/>
          <w:numId w:val="0"/>
        </w:numPr>
        <w:spacing w:line="480" w:lineRule="auto"/>
        <w:ind w:left="360" w:hanging="361" w:hangingChars="171"/>
        <w:jc w:val="both"/>
        <w:rPr>
          <w:rFonts w:eastAsia="宋体"/>
          <w:kern w:val="2"/>
          <w:sz w:val="21"/>
          <w:szCs w:val="21"/>
          <w:highlight w:val="none"/>
        </w:rPr>
      </w:pPr>
      <w:bookmarkStart w:id="51" w:name="_Toc525655435"/>
      <w:bookmarkStart w:id="52" w:name="_Toc155267102"/>
      <w:r>
        <w:rPr>
          <w:rFonts w:eastAsia="宋体"/>
          <w:kern w:val="2"/>
          <w:sz w:val="21"/>
          <w:szCs w:val="21"/>
          <w:highlight w:val="none"/>
        </w:rPr>
        <w:t>（</w:t>
      </w:r>
      <w:r>
        <w:rPr>
          <w:rFonts w:hint="eastAsia" w:eastAsia="宋体"/>
          <w:kern w:val="2"/>
          <w:sz w:val="21"/>
          <w:szCs w:val="21"/>
          <w:highlight w:val="none"/>
        </w:rPr>
        <w:t>二</w:t>
      </w:r>
      <w:r>
        <w:rPr>
          <w:rFonts w:eastAsia="宋体"/>
          <w:kern w:val="2"/>
          <w:sz w:val="21"/>
          <w:szCs w:val="21"/>
          <w:highlight w:val="none"/>
        </w:rPr>
        <w:t>）实物状况分析</w:t>
      </w:r>
      <w:bookmarkEnd w:id="51"/>
      <w:bookmarkEnd w:id="52"/>
    </w:p>
    <w:p w14:paraId="6E45EA1A">
      <w:pPr>
        <w:spacing w:line="480" w:lineRule="auto"/>
        <w:ind w:firstLine="420" w:firstLineChars="200"/>
        <w:jc w:val="both"/>
        <w:rPr>
          <w:rFonts w:ascii="Arial" w:hAnsi="Arial" w:cs="Arial"/>
          <w:sz w:val="21"/>
          <w:szCs w:val="21"/>
          <w:highlight w:val="none"/>
        </w:rPr>
      </w:pPr>
      <w:r>
        <w:rPr>
          <w:rFonts w:ascii="Arial" w:hAnsi="Arial" w:cs="Arial"/>
          <w:sz w:val="21"/>
          <w:szCs w:val="21"/>
          <w:highlight w:val="none"/>
        </w:rPr>
        <w:t>1.土地实物状况</w:t>
      </w:r>
    </w:p>
    <w:p w14:paraId="346E00FE">
      <w:pPr>
        <w:wordWrap w:val="0"/>
        <w:overflowPunct w:val="0"/>
        <w:spacing w:line="480" w:lineRule="auto"/>
        <w:ind w:firstLine="420" w:firstLineChars="200"/>
        <w:jc w:val="both"/>
        <w:textAlignment w:val="auto"/>
        <w:rPr>
          <w:rFonts w:hint="default" w:ascii="Arial" w:hAnsi="Arial" w:cs="Arial"/>
          <w:sz w:val="21"/>
          <w:szCs w:val="21"/>
          <w:highlight w:val="none"/>
          <w:lang w:val="en-US"/>
        </w:rPr>
      </w:pPr>
      <w:r>
        <w:rPr>
          <w:rFonts w:hint="eastAsia" w:ascii="Arial" w:hAnsi="Arial" w:cs="Arial"/>
          <w:kern w:val="2"/>
          <w:sz w:val="21"/>
          <w:szCs w:val="21"/>
          <w:highlight w:val="none"/>
        </w:rPr>
        <w:t>（1）</w:t>
      </w:r>
      <w:r>
        <w:rPr>
          <w:rFonts w:hint="eastAsia" w:ascii="Arial" w:hAnsi="Arial" w:eastAsia="宋体" w:cs="Arial"/>
          <w:sz w:val="21"/>
          <w:szCs w:val="21"/>
          <w:highlight w:val="none"/>
          <w:lang w:val="en-US" w:eastAsia="zh-CN"/>
        </w:rPr>
        <w:t>根据</w:t>
      </w:r>
      <w:r>
        <w:rPr>
          <w:rFonts w:hint="eastAsia" w:ascii="Arial" w:hAnsi="Arial" w:cs="Arial"/>
          <w:sz w:val="21"/>
          <w:szCs w:val="21"/>
          <w:highlight w:val="none"/>
          <w:lang w:val="en-US" w:eastAsia="zh-CN"/>
        </w:rPr>
        <w:t>《采育数字时尚小镇保障性住房趸组协议》及其附件及</w:t>
      </w:r>
      <w:r>
        <w:rPr>
          <w:rFonts w:hint="eastAsia" w:ascii="Arial" w:hAnsi="Arial" w:cs="Arial"/>
          <w:sz w:val="21"/>
          <w:szCs w:val="21"/>
          <w:highlight w:val="none"/>
          <w:lang w:eastAsia="zh-CN"/>
        </w:rPr>
        <w:t>《</w:t>
      </w:r>
      <w:r>
        <w:rPr>
          <w:rFonts w:hint="eastAsia" w:ascii="Arial" w:hAnsi="Arial" w:cs="Arial"/>
          <w:sz w:val="21"/>
          <w:szCs w:val="21"/>
          <w:highlight w:val="none"/>
          <w:lang w:val="en-US" w:eastAsia="zh-CN"/>
        </w:rPr>
        <w:t>房屋所有权证书》[X京房权证兴字第144437、144436、144435、144444、1444440、144439、144442、144443、144449、144445、144447、194022号]，估价对象中</w:t>
      </w:r>
      <w:r>
        <w:rPr>
          <w:rFonts w:hint="eastAsia" w:ascii="Arial" w:hAnsi="Arial" w:cs="Arial"/>
          <w:kern w:val="2"/>
          <w:sz w:val="21"/>
          <w:szCs w:val="21"/>
          <w:highlight w:val="none"/>
          <w:lang w:eastAsia="zh-CN"/>
        </w:rPr>
        <w:t>北京市大兴区育林街1号院（育新花园北里）4号楼1单元401号等489套</w:t>
      </w:r>
      <w:r>
        <w:rPr>
          <w:rFonts w:hint="eastAsia" w:ascii="Arial" w:hAnsi="Arial" w:cs="Arial"/>
          <w:kern w:val="2"/>
          <w:sz w:val="21"/>
          <w:szCs w:val="21"/>
          <w:highlight w:val="none"/>
          <w:lang w:val="en-US" w:eastAsia="zh-CN"/>
        </w:rPr>
        <w:t>住宅用房，由北京丽富房地产开发有限公司于2011年通过挂牌方式合法取得并开发，土地使用权取得方式为有偿（出让），证载产权单位为北京丽富房地产开发有限公司。兴创投资有限公司</w:t>
      </w:r>
      <w:r>
        <w:rPr>
          <w:rFonts w:hint="default" w:ascii="Arial" w:hAnsi="Arial" w:cs="Arial"/>
          <w:kern w:val="2"/>
          <w:sz w:val="21"/>
          <w:szCs w:val="21"/>
          <w:highlight w:val="none"/>
          <w:lang w:val="en-US" w:eastAsia="zh-CN"/>
        </w:rPr>
        <w:t>于房屋建成后回购</w:t>
      </w:r>
      <w:r>
        <w:rPr>
          <w:rFonts w:hint="eastAsia" w:ascii="Arial" w:hAnsi="Arial" w:cs="Arial"/>
          <w:kern w:val="2"/>
          <w:sz w:val="21"/>
          <w:szCs w:val="21"/>
          <w:highlight w:val="none"/>
          <w:lang w:val="en-US" w:eastAsia="zh-CN"/>
        </w:rPr>
        <w:t>。</w:t>
      </w:r>
      <w:r>
        <w:rPr>
          <w:rFonts w:hint="default" w:ascii="Arial" w:hAnsi="Arial" w:cs="Arial"/>
          <w:kern w:val="2"/>
          <w:sz w:val="21"/>
          <w:szCs w:val="21"/>
          <w:highlight w:val="none"/>
          <w:lang w:val="en-US" w:eastAsia="zh-CN"/>
        </w:rPr>
        <w:t>截至</w:t>
      </w:r>
      <w:r>
        <w:rPr>
          <w:rFonts w:hint="eastAsia" w:ascii="Arial" w:hAnsi="Arial" w:cs="Arial"/>
          <w:kern w:val="2"/>
          <w:sz w:val="21"/>
          <w:szCs w:val="21"/>
          <w:highlight w:val="none"/>
          <w:lang w:val="en-US" w:eastAsia="zh-CN"/>
        </w:rPr>
        <w:t>报告出具日，上述房屋尚未办理不动产权变更登记。所属宗地现状四至为</w:t>
      </w:r>
      <w:r>
        <w:rPr>
          <w:rFonts w:hint="eastAsia" w:ascii="Arial" w:hAnsi="Arial" w:cs="Arial"/>
          <w:kern w:val="2"/>
          <w:sz w:val="21"/>
          <w:szCs w:val="21"/>
          <w:highlight w:val="none"/>
        </w:rPr>
        <w:t>东至</w:t>
      </w:r>
      <w:r>
        <w:rPr>
          <w:rFonts w:hint="eastAsia" w:ascii="Arial" w:hAnsi="Arial" w:cs="Arial"/>
          <w:kern w:val="2"/>
          <w:sz w:val="21"/>
          <w:szCs w:val="21"/>
          <w:highlight w:val="none"/>
          <w:lang w:val="en-US" w:eastAsia="zh-CN"/>
        </w:rPr>
        <w:t>育仁街</w:t>
      </w:r>
      <w:r>
        <w:rPr>
          <w:rFonts w:hint="eastAsia" w:ascii="Arial" w:hAnsi="Arial" w:cs="Arial"/>
          <w:kern w:val="2"/>
          <w:sz w:val="21"/>
          <w:szCs w:val="21"/>
          <w:highlight w:val="none"/>
        </w:rPr>
        <w:t>，南至</w:t>
      </w:r>
      <w:r>
        <w:rPr>
          <w:rFonts w:hint="eastAsia" w:ascii="Arial" w:hAnsi="Arial" w:cs="Arial"/>
          <w:kern w:val="2"/>
          <w:sz w:val="21"/>
          <w:szCs w:val="21"/>
          <w:highlight w:val="none"/>
          <w:lang w:val="en-US" w:eastAsia="zh-CN"/>
        </w:rPr>
        <w:t>育林街</w:t>
      </w:r>
      <w:r>
        <w:rPr>
          <w:rFonts w:hint="eastAsia" w:ascii="Arial" w:hAnsi="Arial" w:cs="Arial"/>
          <w:kern w:val="2"/>
          <w:sz w:val="21"/>
          <w:szCs w:val="21"/>
          <w:highlight w:val="none"/>
        </w:rPr>
        <w:t>，西至</w:t>
      </w:r>
      <w:r>
        <w:rPr>
          <w:rFonts w:hint="eastAsia" w:ascii="Arial" w:hAnsi="Arial" w:cs="Arial"/>
          <w:kern w:val="2"/>
          <w:sz w:val="21"/>
          <w:szCs w:val="21"/>
          <w:highlight w:val="none"/>
          <w:lang w:val="en-US" w:eastAsia="zh-CN"/>
        </w:rPr>
        <w:t>福源路</w:t>
      </w:r>
      <w:r>
        <w:rPr>
          <w:rFonts w:hint="eastAsia" w:ascii="Arial" w:hAnsi="Arial" w:cs="Arial"/>
          <w:kern w:val="2"/>
          <w:sz w:val="21"/>
          <w:szCs w:val="21"/>
          <w:highlight w:val="none"/>
        </w:rPr>
        <w:t>，北至</w:t>
      </w:r>
      <w:r>
        <w:rPr>
          <w:rFonts w:hint="eastAsia" w:ascii="Arial" w:hAnsi="Arial" w:cs="Arial"/>
          <w:kern w:val="2"/>
          <w:sz w:val="21"/>
          <w:szCs w:val="21"/>
          <w:highlight w:val="none"/>
          <w:lang w:val="en-US" w:eastAsia="zh-CN"/>
        </w:rPr>
        <w:t>育胜街</w:t>
      </w:r>
      <w:r>
        <w:rPr>
          <w:rFonts w:hint="eastAsia" w:ascii="Arial" w:hAnsi="Arial" w:cs="Arial"/>
          <w:kern w:val="2"/>
          <w:sz w:val="21"/>
          <w:szCs w:val="21"/>
          <w:highlight w:val="none"/>
        </w:rPr>
        <w:t>。</w:t>
      </w:r>
    </w:p>
    <w:p w14:paraId="7A2DA50B">
      <w:pPr>
        <w:wordWrap w:val="0"/>
        <w:overflowPunct w:val="0"/>
        <w:spacing w:line="480" w:lineRule="auto"/>
        <w:ind w:firstLine="420" w:firstLineChars="200"/>
        <w:jc w:val="both"/>
        <w:textAlignment w:val="auto"/>
        <w:rPr>
          <w:rFonts w:hint="default" w:ascii="Arial" w:hAnsi="Arial" w:cs="Arial"/>
          <w:kern w:val="2"/>
          <w:sz w:val="21"/>
          <w:szCs w:val="21"/>
          <w:highlight w:val="none"/>
          <w:lang w:val="en-US" w:eastAsia="zh-CN"/>
        </w:rPr>
      </w:pPr>
      <w:r>
        <w:rPr>
          <w:rFonts w:hint="eastAsia" w:ascii="Arial" w:hAnsi="Arial" w:cs="Arial"/>
          <w:kern w:val="2"/>
          <w:sz w:val="21"/>
          <w:szCs w:val="21"/>
          <w:highlight w:val="none"/>
          <w:lang w:val="en-US" w:eastAsia="zh-CN"/>
        </w:rPr>
        <w:t>根据《国有土地使用证》[京兴国用（2010）出第00133号]部分复印件，估价对象北京市大兴区育林街2号院（育新花园中里）1号楼1单元101号等508套住宅用房</w:t>
      </w:r>
      <w:r>
        <w:rPr>
          <w:rFonts w:hint="eastAsia" w:ascii="Arial" w:hAnsi="Arial" w:cs="Arial"/>
          <w:kern w:val="2"/>
          <w:sz w:val="21"/>
          <w:szCs w:val="21"/>
          <w:highlight w:val="none"/>
          <w:lang w:eastAsia="zh-CN"/>
        </w:rPr>
        <w:t>，</w:t>
      </w:r>
      <w:r>
        <w:rPr>
          <w:rFonts w:hint="eastAsia" w:ascii="Arial" w:hAnsi="Arial" w:cs="Arial"/>
          <w:kern w:val="2"/>
          <w:sz w:val="21"/>
          <w:szCs w:val="21"/>
          <w:highlight w:val="none"/>
          <w:lang w:val="en-US" w:eastAsia="zh-CN"/>
        </w:rPr>
        <w:t>所属宗地</w:t>
      </w:r>
      <w:r>
        <w:rPr>
          <w:rFonts w:hint="eastAsia" w:ascii="Arial" w:hAnsi="Arial" w:cs="Arial"/>
          <w:sz w:val="21"/>
          <w:szCs w:val="21"/>
          <w:highlight w:val="none"/>
          <w:lang w:val="en-US" w:eastAsia="zh-CN"/>
        </w:rPr>
        <w:t>土地使用权人为北京兴创投资有限公司，使用权类型</w:t>
      </w:r>
      <w:r>
        <w:rPr>
          <w:rFonts w:hint="eastAsia" w:ascii="Arial" w:hAnsi="Arial" w:cs="Arial"/>
          <w:kern w:val="2"/>
          <w:sz w:val="21"/>
          <w:szCs w:val="21"/>
          <w:highlight w:val="none"/>
        </w:rPr>
        <w:t>为出让，</w:t>
      </w:r>
      <w:r>
        <w:rPr>
          <w:rFonts w:hint="eastAsia" w:ascii="Arial" w:hAnsi="Arial" w:cs="Arial"/>
          <w:kern w:val="2"/>
          <w:sz w:val="21"/>
          <w:szCs w:val="21"/>
          <w:highlight w:val="none"/>
          <w:lang w:val="en-US" w:eastAsia="zh-CN"/>
        </w:rPr>
        <w:t>地类用途为住宅、商业（配套）、综合、地下车库，使用权面积116959.55平方米，证载</w:t>
      </w:r>
      <w:r>
        <w:rPr>
          <w:rFonts w:hint="eastAsia" w:ascii="Arial" w:hAnsi="Arial" w:cs="Arial"/>
          <w:kern w:val="2"/>
          <w:sz w:val="21"/>
          <w:szCs w:val="21"/>
          <w:highlight w:val="none"/>
        </w:rPr>
        <w:t>四至为东至</w:t>
      </w:r>
      <w:r>
        <w:rPr>
          <w:rFonts w:hint="eastAsia" w:ascii="Arial" w:hAnsi="Arial" w:cs="Arial"/>
          <w:kern w:val="2"/>
          <w:sz w:val="21"/>
          <w:szCs w:val="21"/>
          <w:highlight w:val="none"/>
          <w:lang w:val="en-US" w:eastAsia="zh-CN"/>
        </w:rPr>
        <w:t>采源路</w:t>
      </w:r>
      <w:r>
        <w:rPr>
          <w:rFonts w:hint="eastAsia" w:ascii="Arial" w:hAnsi="Arial" w:cs="Arial"/>
          <w:kern w:val="2"/>
          <w:sz w:val="21"/>
          <w:szCs w:val="21"/>
          <w:highlight w:val="none"/>
        </w:rPr>
        <w:t>，南至</w:t>
      </w:r>
      <w:r>
        <w:rPr>
          <w:rFonts w:hint="eastAsia" w:ascii="Arial" w:hAnsi="Arial" w:cs="Arial"/>
          <w:kern w:val="2"/>
          <w:sz w:val="21"/>
          <w:szCs w:val="21"/>
          <w:highlight w:val="none"/>
          <w:lang w:val="en-US" w:eastAsia="zh-CN"/>
        </w:rPr>
        <w:t>采育镇大街（现采星路）</w:t>
      </w:r>
      <w:r>
        <w:rPr>
          <w:rFonts w:hint="eastAsia" w:ascii="Arial" w:hAnsi="Arial" w:cs="Arial"/>
          <w:kern w:val="2"/>
          <w:sz w:val="21"/>
          <w:szCs w:val="21"/>
          <w:highlight w:val="none"/>
        </w:rPr>
        <w:t>，西至</w:t>
      </w:r>
      <w:r>
        <w:rPr>
          <w:rFonts w:hint="eastAsia" w:ascii="Arial" w:hAnsi="Arial" w:cs="Arial"/>
          <w:kern w:val="2"/>
          <w:sz w:val="21"/>
          <w:szCs w:val="21"/>
          <w:highlight w:val="none"/>
          <w:lang w:val="en-US" w:eastAsia="zh-CN"/>
        </w:rPr>
        <w:t>采福路</w:t>
      </w:r>
      <w:r>
        <w:rPr>
          <w:rFonts w:hint="eastAsia" w:ascii="Arial" w:hAnsi="Arial" w:cs="Arial"/>
          <w:kern w:val="2"/>
          <w:sz w:val="21"/>
          <w:szCs w:val="21"/>
          <w:highlight w:val="none"/>
        </w:rPr>
        <w:t>，北至</w:t>
      </w:r>
      <w:r>
        <w:rPr>
          <w:rFonts w:hint="eastAsia" w:ascii="Arial" w:hAnsi="Arial" w:cs="Arial"/>
          <w:kern w:val="2"/>
          <w:sz w:val="21"/>
          <w:szCs w:val="21"/>
          <w:highlight w:val="none"/>
          <w:lang w:val="en-US" w:eastAsia="zh-CN"/>
        </w:rPr>
        <w:t>育林街</w:t>
      </w:r>
      <w:r>
        <w:rPr>
          <w:rFonts w:hint="eastAsia" w:ascii="Arial" w:hAnsi="Arial" w:cs="Arial"/>
          <w:kern w:val="2"/>
          <w:sz w:val="21"/>
          <w:szCs w:val="21"/>
          <w:highlight w:val="none"/>
          <w:lang w:eastAsia="zh-CN"/>
        </w:rPr>
        <w:t>。</w:t>
      </w:r>
      <w:r>
        <w:rPr>
          <w:rFonts w:hint="eastAsia" w:ascii="Arial" w:hAnsi="Arial" w:cs="Arial"/>
          <w:kern w:val="2"/>
          <w:sz w:val="21"/>
          <w:szCs w:val="21"/>
          <w:highlight w:val="none"/>
          <w:lang w:val="en-US" w:eastAsia="zh-CN"/>
        </w:rPr>
        <w:t>土地终止日期为住宅2080年7月19日、商业（配套）2050年7月19日、综合2060年7月19日、地下车库2060年7月19日。</w:t>
      </w:r>
    </w:p>
    <w:p w14:paraId="651C71D1">
      <w:pPr>
        <w:wordWrap w:val="0"/>
        <w:overflowPunct w:val="0"/>
        <w:spacing w:line="480" w:lineRule="auto"/>
        <w:ind w:firstLine="420" w:firstLineChars="200"/>
        <w:jc w:val="both"/>
        <w:textAlignment w:val="auto"/>
        <w:rPr>
          <w:rFonts w:hint="eastAsia" w:ascii="Arial" w:hAnsi="Arial" w:cs="Arial"/>
          <w:kern w:val="2"/>
          <w:sz w:val="21"/>
          <w:szCs w:val="21"/>
          <w:highlight w:val="none"/>
          <w:lang w:val="en-US" w:eastAsia="zh-CN"/>
        </w:rPr>
      </w:pPr>
      <w:r>
        <w:rPr>
          <w:rFonts w:hint="eastAsia" w:ascii="Arial" w:hAnsi="Arial" w:cs="Arial"/>
          <w:kern w:val="2"/>
          <w:sz w:val="21"/>
          <w:szCs w:val="21"/>
          <w:highlight w:val="none"/>
          <w:lang w:val="en-US" w:eastAsia="zh-CN"/>
        </w:rPr>
        <w:t>根据《国有土地使用证》[京兴国用（2010）出第00134号]部分复印件，估价对象北京市大兴区育林街8号院（育新花园</w:t>
      </w:r>
      <w:r>
        <w:rPr>
          <w:rFonts w:hint="eastAsia" w:ascii="Arial" w:hAnsi="Arial" w:cs="Arial"/>
          <w:kern w:val="2"/>
          <w:sz w:val="21"/>
          <w:szCs w:val="21"/>
          <w:highlight w:val="none"/>
          <w:lang w:eastAsia="zh-CN"/>
        </w:rPr>
        <w:t>西里）1号楼1单元102号等239套</w:t>
      </w:r>
      <w:r>
        <w:rPr>
          <w:rFonts w:hint="eastAsia" w:ascii="Arial" w:hAnsi="Arial" w:cs="Arial"/>
          <w:kern w:val="2"/>
          <w:sz w:val="21"/>
          <w:szCs w:val="21"/>
          <w:highlight w:val="none"/>
          <w:lang w:val="en-US" w:eastAsia="zh-CN"/>
        </w:rPr>
        <w:t>住宅用房</w:t>
      </w:r>
      <w:r>
        <w:rPr>
          <w:rFonts w:hint="eastAsia" w:ascii="Arial" w:hAnsi="Arial" w:cs="Arial"/>
          <w:kern w:val="2"/>
          <w:sz w:val="21"/>
          <w:szCs w:val="21"/>
          <w:highlight w:val="none"/>
          <w:lang w:eastAsia="zh-CN"/>
        </w:rPr>
        <w:t>，</w:t>
      </w:r>
      <w:r>
        <w:rPr>
          <w:rFonts w:hint="eastAsia" w:ascii="Arial" w:hAnsi="Arial" w:cs="Arial"/>
          <w:kern w:val="2"/>
          <w:sz w:val="21"/>
          <w:szCs w:val="21"/>
          <w:highlight w:val="none"/>
          <w:lang w:val="en-US" w:eastAsia="zh-CN"/>
        </w:rPr>
        <w:t>所属宗地</w:t>
      </w:r>
      <w:r>
        <w:rPr>
          <w:rFonts w:hint="eastAsia" w:ascii="Arial" w:hAnsi="Arial" w:cs="Arial"/>
          <w:sz w:val="21"/>
          <w:szCs w:val="21"/>
          <w:highlight w:val="none"/>
          <w:lang w:val="en-US" w:eastAsia="zh-CN"/>
        </w:rPr>
        <w:t>土地使用权人为北京兴创投资有限公司，使用权类型</w:t>
      </w:r>
      <w:r>
        <w:rPr>
          <w:rFonts w:hint="eastAsia" w:ascii="Arial" w:hAnsi="Arial" w:cs="Arial"/>
          <w:kern w:val="2"/>
          <w:sz w:val="21"/>
          <w:szCs w:val="21"/>
          <w:highlight w:val="none"/>
        </w:rPr>
        <w:t>为出让，</w:t>
      </w:r>
      <w:r>
        <w:rPr>
          <w:rFonts w:hint="eastAsia" w:ascii="Arial" w:hAnsi="Arial" w:cs="Arial"/>
          <w:kern w:val="2"/>
          <w:sz w:val="21"/>
          <w:szCs w:val="21"/>
          <w:highlight w:val="none"/>
          <w:lang w:val="en-US" w:eastAsia="zh-CN"/>
        </w:rPr>
        <w:t>地类用途为住宅、商业（配套）、综合，使用权面积50902.69平方米，证载</w:t>
      </w:r>
      <w:r>
        <w:rPr>
          <w:rFonts w:hint="eastAsia" w:ascii="Arial" w:hAnsi="Arial" w:cs="Arial"/>
          <w:kern w:val="2"/>
          <w:sz w:val="21"/>
          <w:szCs w:val="21"/>
          <w:highlight w:val="none"/>
        </w:rPr>
        <w:t>四至为东至</w:t>
      </w:r>
      <w:r>
        <w:rPr>
          <w:rFonts w:hint="eastAsia" w:ascii="Arial" w:hAnsi="Arial" w:cs="Arial"/>
          <w:kern w:val="2"/>
          <w:sz w:val="21"/>
          <w:szCs w:val="21"/>
          <w:highlight w:val="none"/>
          <w:lang w:val="en-US" w:eastAsia="zh-CN"/>
        </w:rPr>
        <w:t>北京市大兴区采育镇第一中心小学</w:t>
      </w:r>
      <w:r>
        <w:rPr>
          <w:rFonts w:hint="eastAsia" w:ascii="Arial" w:hAnsi="Arial" w:cs="Arial"/>
          <w:kern w:val="2"/>
          <w:sz w:val="21"/>
          <w:szCs w:val="21"/>
          <w:highlight w:val="none"/>
        </w:rPr>
        <w:t>，南至</w:t>
      </w:r>
      <w:r>
        <w:rPr>
          <w:rFonts w:hint="eastAsia" w:ascii="Arial" w:hAnsi="Arial" w:cs="Arial"/>
          <w:kern w:val="2"/>
          <w:sz w:val="21"/>
          <w:szCs w:val="21"/>
          <w:highlight w:val="none"/>
          <w:lang w:val="en-US" w:eastAsia="zh-CN"/>
        </w:rPr>
        <w:t>采育镇区一号路（现育富街）</w:t>
      </w:r>
      <w:r>
        <w:rPr>
          <w:rFonts w:hint="eastAsia" w:ascii="Arial" w:hAnsi="Arial" w:cs="Arial"/>
          <w:kern w:val="2"/>
          <w:sz w:val="21"/>
          <w:szCs w:val="21"/>
          <w:highlight w:val="none"/>
        </w:rPr>
        <w:t>，西至</w:t>
      </w:r>
      <w:r>
        <w:rPr>
          <w:rFonts w:hint="eastAsia" w:ascii="Arial" w:hAnsi="Arial" w:cs="Arial"/>
          <w:kern w:val="2"/>
          <w:sz w:val="21"/>
          <w:szCs w:val="21"/>
          <w:highlight w:val="none"/>
          <w:lang w:val="en-US" w:eastAsia="zh-CN"/>
        </w:rPr>
        <w:t>采星路</w:t>
      </w:r>
      <w:r>
        <w:rPr>
          <w:rFonts w:hint="eastAsia" w:ascii="Arial" w:hAnsi="Arial" w:cs="Arial"/>
          <w:kern w:val="2"/>
          <w:sz w:val="21"/>
          <w:szCs w:val="21"/>
          <w:highlight w:val="none"/>
        </w:rPr>
        <w:t>，北至</w:t>
      </w:r>
      <w:r>
        <w:rPr>
          <w:rFonts w:hint="eastAsia" w:ascii="Arial" w:hAnsi="Arial" w:cs="Arial"/>
          <w:kern w:val="2"/>
          <w:sz w:val="21"/>
          <w:szCs w:val="21"/>
          <w:highlight w:val="none"/>
          <w:lang w:val="en-US" w:eastAsia="zh-CN"/>
        </w:rPr>
        <w:t>育林街</w:t>
      </w:r>
      <w:r>
        <w:rPr>
          <w:rFonts w:hint="eastAsia" w:ascii="Arial" w:hAnsi="Arial" w:cs="Arial"/>
          <w:kern w:val="2"/>
          <w:sz w:val="21"/>
          <w:szCs w:val="21"/>
          <w:highlight w:val="none"/>
          <w:lang w:eastAsia="zh-CN"/>
        </w:rPr>
        <w:t>。</w:t>
      </w:r>
      <w:r>
        <w:rPr>
          <w:rFonts w:hint="eastAsia" w:ascii="Arial" w:hAnsi="Arial" w:cs="Arial"/>
          <w:kern w:val="2"/>
          <w:sz w:val="21"/>
          <w:szCs w:val="21"/>
          <w:highlight w:val="none"/>
          <w:lang w:val="en-US" w:eastAsia="zh-CN"/>
        </w:rPr>
        <w:t>土地终止日期为住宅2080年7月19日、商业（配套）2050年7月19日、综合2060年7月19日。</w:t>
      </w:r>
    </w:p>
    <w:p w14:paraId="55745A1A">
      <w:pPr>
        <w:wordWrap w:val="0"/>
        <w:overflowPunct w:val="0"/>
        <w:spacing w:line="480" w:lineRule="auto"/>
        <w:ind w:firstLine="420" w:firstLineChars="200"/>
        <w:jc w:val="both"/>
        <w:textAlignment w:val="auto"/>
        <w:rPr>
          <w:rFonts w:ascii="Arial" w:hAnsi="Arial" w:cs="Arial"/>
          <w:kern w:val="2"/>
          <w:sz w:val="21"/>
          <w:szCs w:val="21"/>
          <w:highlight w:val="none"/>
        </w:rPr>
      </w:pPr>
      <w:r>
        <w:rPr>
          <w:rFonts w:hint="eastAsia" w:ascii="Arial" w:hAnsi="Arial" w:cs="Arial"/>
          <w:kern w:val="2"/>
          <w:sz w:val="21"/>
          <w:szCs w:val="21"/>
          <w:highlight w:val="none"/>
          <w:lang w:val="en-US" w:eastAsia="zh-CN"/>
        </w:rPr>
        <w:t>根据《国有土地使用证》[京兴国用（2010）出第00135号]部分复印件，估价对象北京市大兴区</w:t>
      </w:r>
      <w:r>
        <w:rPr>
          <w:rFonts w:hint="eastAsia" w:ascii="Arial" w:hAnsi="Arial" w:cs="Arial"/>
          <w:kern w:val="2"/>
          <w:sz w:val="21"/>
          <w:szCs w:val="21"/>
          <w:highlight w:val="none"/>
          <w:lang w:eastAsia="zh-CN"/>
        </w:rPr>
        <w:t>育仁街1号院（育新花园南里）1号楼2单元1501号等88套</w:t>
      </w:r>
      <w:r>
        <w:rPr>
          <w:rFonts w:hint="eastAsia" w:ascii="Arial" w:hAnsi="Arial" w:cs="Arial"/>
          <w:kern w:val="2"/>
          <w:sz w:val="21"/>
          <w:szCs w:val="21"/>
          <w:highlight w:val="none"/>
          <w:lang w:val="en-US" w:eastAsia="zh-CN"/>
        </w:rPr>
        <w:t>住宅用房</w:t>
      </w:r>
      <w:r>
        <w:rPr>
          <w:rFonts w:hint="eastAsia" w:ascii="Arial" w:hAnsi="Arial" w:cs="Arial"/>
          <w:kern w:val="2"/>
          <w:sz w:val="21"/>
          <w:szCs w:val="21"/>
          <w:highlight w:val="none"/>
          <w:lang w:eastAsia="zh-CN"/>
        </w:rPr>
        <w:t>，</w:t>
      </w:r>
      <w:r>
        <w:rPr>
          <w:rFonts w:hint="eastAsia" w:ascii="Arial" w:hAnsi="Arial" w:cs="Arial"/>
          <w:kern w:val="2"/>
          <w:sz w:val="21"/>
          <w:szCs w:val="21"/>
          <w:highlight w:val="none"/>
          <w:lang w:val="en-US" w:eastAsia="zh-CN"/>
        </w:rPr>
        <w:t>所属宗地</w:t>
      </w:r>
      <w:r>
        <w:rPr>
          <w:rFonts w:hint="eastAsia" w:ascii="Arial" w:hAnsi="Arial" w:cs="Arial"/>
          <w:sz w:val="21"/>
          <w:szCs w:val="21"/>
          <w:highlight w:val="none"/>
          <w:lang w:val="en-US" w:eastAsia="zh-CN"/>
        </w:rPr>
        <w:t>土地使用权人为北京兴创投资有限公司，使用权类型</w:t>
      </w:r>
      <w:r>
        <w:rPr>
          <w:rFonts w:hint="eastAsia" w:ascii="Arial" w:hAnsi="Arial" w:cs="Arial"/>
          <w:kern w:val="2"/>
          <w:sz w:val="21"/>
          <w:szCs w:val="21"/>
          <w:highlight w:val="none"/>
        </w:rPr>
        <w:t>为出让，</w:t>
      </w:r>
      <w:r>
        <w:rPr>
          <w:rFonts w:hint="eastAsia" w:ascii="Arial" w:hAnsi="Arial" w:cs="Arial"/>
          <w:kern w:val="2"/>
          <w:sz w:val="21"/>
          <w:szCs w:val="21"/>
          <w:highlight w:val="none"/>
          <w:lang w:val="en-US" w:eastAsia="zh-CN"/>
        </w:rPr>
        <w:t>地类用途为住宅、商业（配套）、综合，使用权面积63631.91平方米，证载</w:t>
      </w:r>
      <w:r>
        <w:rPr>
          <w:rFonts w:hint="eastAsia" w:ascii="Arial" w:hAnsi="Arial" w:cs="Arial"/>
          <w:kern w:val="2"/>
          <w:sz w:val="21"/>
          <w:szCs w:val="21"/>
          <w:highlight w:val="none"/>
        </w:rPr>
        <w:t>四至为东至</w:t>
      </w:r>
      <w:r>
        <w:rPr>
          <w:rFonts w:hint="eastAsia" w:ascii="Arial" w:hAnsi="Arial" w:cs="Arial"/>
          <w:kern w:val="2"/>
          <w:sz w:val="21"/>
          <w:szCs w:val="21"/>
          <w:highlight w:val="none"/>
          <w:lang w:val="en-US" w:eastAsia="zh-CN"/>
        </w:rPr>
        <w:t>采源路</w:t>
      </w:r>
      <w:r>
        <w:rPr>
          <w:rFonts w:hint="eastAsia" w:ascii="Arial" w:hAnsi="Arial" w:cs="Arial"/>
          <w:kern w:val="2"/>
          <w:sz w:val="21"/>
          <w:szCs w:val="21"/>
          <w:highlight w:val="none"/>
        </w:rPr>
        <w:t>，南至</w:t>
      </w:r>
      <w:r>
        <w:rPr>
          <w:rFonts w:hint="eastAsia" w:ascii="Arial" w:hAnsi="Arial" w:cs="Arial"/>
          <w:kern w:val="2"/>
          <w:sz w:val="21"/>
          <w:szCs w:val="21"/>
          <w:highlight w:val="none"/>
          <w:lang w:val="en-US" w:eastAsia="zh-CN"/>
        </w:rPr>
        <w:t>育仁街</w:t>
      </w:r>
      <w:r>
        <w:rPr>
          <w:rFonts w:hint="eastAsia" w:ascii="Arial" w:hAnsi="Arial" w:cs="Arial"/>
          <w:kern w:val="2"/>
          <w:sz w:val="21"/>
          <w:szCs w:val="21"/>
          <w:highlight w:val="none"/>
        </w:rPr>
        <w:t>，西至</w:t>
      </w:r>
      <w:r>
        <w:rPr>
          <w:rFonts w:hint="eastAsia" w:ascii="Arial" w:hAnsi="Arial" w:cs="Arial"/>
          <w:kern w:val="2"/>
          <w:sz w:val="21"/>
          <w:szCs w:val="21"/>
          <w:highlight w:val="none"/>
          <w:lang w:val="en-US" w:eastAsia="zh-CN"/>
        </w:rPr>
        <w:t>采福路（现福源路）</w:t>
      </w:r>
      <w:r>
        <w:rPr>
          <w:rFonts w:hint="eastAsia" w:ascii="Arial" w:hAnsi="Arial" w:cs="Arial"/>
          <w:kern w:val="2"/>
          <w:sz w:val="21"/>
          <w:szCs w:val="21"/>
          <w:highlight w:val="none"/>
        </w:rPr>
        <w:t>，北至</w:t>
      </w:r>
      <w:r>
        <w:rPr>
          <w:rFonts w:hint="eastAsia" w:ascii="Arial" w:hAnsi="Arial" w:cs="Arial"/>
          <w:kern w:val="2"/>
          <w:sz w:val="21"/>
          <w:szCs w:val="21"/>
          <w:highlight w:val="none"/>
          <w:lang w:val="en-US" w:eastAsia="zh-CN"/>
        </w:rPr>
        <w:t>育才街</w:t>
      </w:r>
      <w:r>
        <w:rPr>
          <w:rFonts w:hint="eastAsia" w:ascii="Arial" w:hAnsi="Arial" w:cs="Arial"/>
          <w:kern w:val="2"/>
          <w:sz w:val="21"/>
          <w:szCs w:val="21"/>
          <w:highlight w:val="none"/>
          <w:lang w:eastAsia="zh-CN"/>
        </w:rPr>
        <w:t>。</w:t>
      </w:r>
      <w:r>
        <w:rPr>
          <w:rFonts w:hint="eastAsia" w:ascii="Arial" w:hAnsi="Arial" w:cs="Arial"/>
          <w:kern w:val="2"/>
          <w:sz w:val="21"/>
          <w:szCs w:val="21"/>
          <w:highlight w:val="none"/>
          <w:lang w:val="en-US" w:eastAsia="zh-CN"/>
        </w:rPr>
        <w:t>土地终止日期为住宅2080年7月19日、商业（配套）2050年7月19日、综合2060年7月19日。</w:t>
      </w:r>
    </w:p>
    <w:p w14:paraId="3C0B70BF">
      <w:pPr>
        <w:wordWrap w:val="0"/>
        <w:overflowPunct w:val="0"/>
        <w:spacing w:line="480" w:lineRule="auto"/>
        <w:ind w:firstLine="420" w:firstLineChars="200"/>
        <w:jc w:val="both"/>
        <w:textAlignment w:val="auto"/>
        <w:rPr>
          <w:rFonts w:ascii="Arial" w:hAnsi="Arial" w:cs="Arial"/>
          <w:sz w:val="21"/>
          <w:szCs w:val="21"/>
          <w:highlight w:val="none"/>
        </w:rPr>
      </w:pPr>
      <w:r>
        <w:rPr>
          <w:rFonts w:hint="eastAsia" w:ascii="Arial" w:hAnsi="Arial" w:cs="Arial"/>
          <w:sz w:val="21"/>
          <w:szCs w:val="21"/>
          <w:highlight w:val="none"/>
        </w:rPr>
        <w:t>（</w:t>
      </w:r>
      <w:r>
        <w:rPr>
          <w:rFonts w:hint="eastAsia" w:ascii="Arial" w:hAnsi="Arial" w:cs="Arial"/>
          <w:sz w:val="21"/>
          <w:szCs w:val="21"/>
          <w:highlight w:val="none"/>
          <w:lang w:val="en-US" w:eastAsia="zh-CN"/>
        </w:rPr>
        <w:t>2</w:t>
      </w:r>
      <w:r>
        <w:rPr>
          <w:rFonts w:hint="eastAsia" w:ascii="Arial" w:hAnsi="Arial" w:cs="Arial"/>
          <w:sz w:val="21"/>
          <w:szCs w:val="21"/>
          <w:highlight w:val="none"/>
        </w:rPr>
        <w:t>）</w:t>
      </w:r>
      <w:r>
        <w:rPr>
          <w:rFonts w:ascii="Arial" w:hAnsi="Arial" w:cs="Arial"/>
          <w:sz w:val="21"/>
          <w:szCs w:val="21"/>
          <w:highlight w:val="none"/>
        </w:rPr>
        <w:t>估价对象所属项目用地呈</w:t>
      </w:r>
      <w:r>
        <w:rPr>
          <w:rFonts w:hint="eastAsia" w:ascii="Arial" w:hAnsi="Arial" w:cs="Arial"/>
          <w:sz w:val="21"/>
          <w:szCs w:val="21"/>
          <w:highlight w:val="none"/>
        </w:rPr>
        <w:t>较</w:t>
      </w:r>
      <w:r>
        <w:rPr>
          <w:rFonts w:ascii="Arial" w:hAnsi="Arial" w:cs="Arial"/>
          <w:sz w:val="21"/>
          <w:szCs w:val="21"/>
          <w:highlight w:val="none"/>
        </w:rPr>
        <w:t>规则形状，</w:t>
      </w:r>
      <w:r>
        <w:rPr>
          <w:rFonts w:hint="eastAsia" w:ascii="Arial" w:hAnsi="Arial" w:cs="Arial"/>
          <w:sz w:val="21"/>
          <w:szCs w:val="21"/>
          <w:highlight w:val="none"/>
        </w:rPr>
        <w:t>对利用无不良影响，</w:t>
      </w:r>
      <w:r>
        <w:rPr>
          <w:rFonts w:ascii="Arial" w:hAnsi="Arial" w:cs="Arial"/>
          <w:sz w:val="21"/>
          <w:szCs w:val="21"/>
          <w:highlight w:val="none"/>
        </w:rPr>
        <w:t>场地</w:t>
      </w:r>
      <w:r>
        <w:rPr>
          <w:rFonts w:hint="eastAsia" w:ascii="Arial" w:hAnsi="Arial" w:cs="Arial"/>
          <w:sz w:val="21"/>
          <w:szCs w:val="21"/>
          <w:highlight w:val="none"/>
        </w:rPr>
        <w:t>呈</w:t>
      </w:r>
      <w:r>
        <w:rPr>
          <w:rFonts w:ascii="Arial" w:hAnsi="Arial" w:cs="Arial"/>
          <w:sz w:val="21"/>
          <w:szCs w:val="21"/>
          <w:highlight w:val="none"/>
        </w:rPr>
        <w:t>较平坦地势</w:t>
      </w:r>
      <w:r>
        <w:rPr>
          <w:rFonts w:hint="eastAsia" w:ascii="Arial" w:hAnsi="Arial" w:cs="Arial"/>
          <w:sz w:val="21"/>
          <w:szCs w:val="21"/>
          <w:highlight w:val="none"/>
        </w:rPr>
        <w:t>，工程地质条件良好，无不良地质现象</w:t>
      </w:r>
      <w:r>
        <w:rPr>
          <w:rFonts w:ascii="Arial" w:hAnsi="Arial" w:cs="Arial"/>
          <w:sz w:val="21"/>
          <w:szCs w:val="21"/>
          <w:highlight w:val="none"/>
        </w:rPr>
        <w:t>。</w:t>
      </w:r>
      <w:r>
        <w:rPr>
          <w:rFonts w:hint="eastAsia" w:ascii="Arial" w:hAnsi="Arial" w:cs="Arial"/>
          <w:sz w:val="21"/>
          <w:szCs w:val="21"/>
          <w:highlight w:val="none"/>
        </w:rPr>
        <w:t>估价对象现状已完成开发建设，土地利用程度高。</w:t>
      </w:r>
    </w:p>
    <w:p w14:paraId="1DF12D46">
      <w:pPr>
        <w:overflowPunct w:val="0"/>
        <w:spacing w:line="480" w:lineRule="auto"/>
        <w:ind w:firstLine="420" w:firstLineChars="200"/>
        <w:jc w:val="both"/>
        <w:textAlignment w:val="auto"/>
        <w:rPr>
          <w:rFonts w:ascii="Arial" w:hAnsi="Arial" w:cs="Arial"/>
          <w:sz w:val="21"/>
          <w:szCs w:val="21"/>
          <w:highlight w:val="none"/>
        </w:rPr>
      </w:pPr>
      <w:r>
        <w:rPr>
          <w:rFonts w:hint="eastAsia" w:ascii="Arial" w:hAnsi="Arial" w:cs="Arial"/>
          <w:sz w:val="21"/>
          <w:szCs w:val="21"/>
          <w:highlight w:val="none"/>
        </w:rPr>
        <w:t>（</w:t>
      </w:r>
      <w:r>
        <w:rPr>
          <w:rFonts w:hint="eastAsia" w:ascii="Arial" w:hAnsi="Arial" w:cs="Arial"/>
          <w:sz w:val="21"/>
          <w:szCs w:val="21"/>
          <w:highlight w:val="none"/>
          <w:lang w:val="en-US" w:eastAsia="zh-CN"/>
        </w:rPr>
        <w:t>3</w:t>
      </w:r>
      <w:r>
        <w:rPr>
          <w:rFonts w:hint="eastAsia" w:ascii="Arial" w:hAnsi="Arial" w:cs="Arial"/>
          <w:sz w:val="21"/>
          <w:szCs w:val="21"/>
          <w:highlight w:val="none"/>
        </w:rPr>
        <w:t>）开发程度</w:t>
      </w:r>
      <w:r>
        <w:rPr>
          <w:rFonts w:ascii="Arial" w:hAnsi="Arial" w:cs="Arial"/>
          <w:sz w:val="21"/>
          <w:szCs w:val="21"/>
          <w:highlight w:val="none"/>
        </w:rPr>
        <w:t>：</w:t>
      </w:r>
    </w:p>
    <w:p w14:paraId="4862A0C2">
      <w:pPr>
        <w:overflowPunct w:val="0"/>
        <w:spacing w:line="480" w:lineRule="auto"/>
        <w:ind w:firstLine="420" w:firstLineChars="200"/>
        <w:jc w:val="both"/>
        <w:textAlignment w:val="auto"/>
        <w:rPr>
          <w:rFonts w:ascii="Arial" w:hAnsi="Arial" w:cs="Arial"/>
          <w:kern w:val="2"/>
          <w:sz w:val="21"/>
          <w:szCs w:val="21"/>
          <w:highlight w:val="none"/>
        </w:rPr>
      </w:pPr>
      <w:r>
        <w:rPr>
          <w:rFonts w:ascii="Arial" w:hAnsi="Arial" w:cs="Arial"/>
          <w:kern w:val="2"/>
          <w:sz w:val="21"/>
          <w:szCs w:val="21"/>
          <w:highlight w:val="none"/>
        </w:rPr>
        <w:t>估价对象所在区域市政基础设施完备，为“</w:t>
      </w:r>
      <w:r>
        <w:rPr>
          <w:rFonts w:hint="eastAsia" w:ascii="Arial" w:hAnsi="Arial" w:cs="Arial"/>
          <w:kern w:val="2"/>
          <w:sz w:val="21"/>
          <w:szCs w:val="21"/>
          <w:highlight w:val="none"/>
        </w:rPr>
        <w:t>七</w:t>
      </w:r>
      <w:r>
        <w:rPr>
          <w:rFonts w:ascii="Arial" w:hAnsi="Arial" w:cs="Arial"/>
          <w:kern w:val="2"/>
          <w:sz w:val="21"/>
          <w:szCs w:val="21"/>
          <w:highlight w:val="none"/>
        </w:rPr>
        <w:t>通”（即通路、通电、通讯</w:t>
      </w:r>
      <w:r>
        <w:rPr>
          <w:rFonts w:hint="eastAsia" w:ascii="Arial" w:hAnsi="Arial" w:cs="Arial"/>
          <w:kern w:val="2"/>
          <w:sz w:val="21"/>
          <w:szCs w:val="21"/>
          <w:highlight w:val="none"/>
        </w:rPr>
        <w:t>、</w:t>
      </w:r>
      <w:r>
        <w:rPr>
          <w:rFonts w:ascii="Arial" w:hAnsi="Arial" w:cs="Arial"/>
          <w:kern w:val="2"/>
          <w:sz w:val="21"/>
          <w:szCs w:val="21"/>
          <w:highlight w:val="none"/>
        </w:rPr>
        <w:t>通上水、通下水、通燃气、通热力），且保证程度高。</w:t>
      </w:r>
    </w:p>
    <w:p w14:paraId="0ABE1383">
      <w:pPr>
        <w:overflowPunct w:val="0"/>
        <w:spacing w:line="480" w:lineRule="auto"/>
        <w:ind w:firstLine="420" w:firstLineChars="200"/>
        <w:jc w:val="both"/>
        <w:textAlignment w:val="auto"/>
        <w:rPr>
          <w:rFonts w:ascii="Arial" w:hAnsi="Arial" w:cs="Arial"/>
          <w:sz w:val="21"/>
          <w:szCs w:val="21"/>
          <w:highlight w:val="none"/>
        </w:rPr>
      </w:pPr>
      <w:r>
        <w:rPr>
          <w:rFonts w:hint="eastAsia" w:ascii="Arial" w:hAnsi="Arial" w:cs="Arial"/>
          <w:kern w:val="2"/>
          <w:sz w:val="21"/>
          <w:szCs w:val="21"/>
          <w:highlight w:val="none"/>
        </w:rPr>
        <w:t>综上所述，</w:t>
      </w:r>
      <w:r>
        <w:rPr>
          <w:rFonts w:ascii="Arial" w:hAnsi="Arial" w:cs="Arial"/>
          <w:kern w:val="2"/>
          <w:sz w:val="21"/>
          <w:szCs w:val="21"/>
          <w:highlight w:val="none"/>
        </w:rPr>
        <w:t>估价对象</w:t>
      </w:r>
      <w:r>
        <w:rPr>
          <w:rFonts w:hint="eastAsia" w:ascii="Arial" w:hAnsi="Arial" w:cs="Arial"/>
          <w:kern w:val="2"/>
          <w:sz w:val="21"/>
          <w:szCs w:val="21"/>
          <w:highlight w:val="none"/>
        </w:rPr>
        <w:t>所在区域</w:t>
      </w:r>
      <w:r>
        <w:rPr>
          <w:rFonts w:ascii="Arial" w:hAnsi="Arial" w:cs="Arial"/>
          <w:kern w:val="2"/>
          <w:sz w:val="21"/>
          <w:szCs w:val="21"/>
          <w:highlight w:val="none"/>
        </w:rPr>
        <w:t>土地实物状况较好，场地地势平坦，地质条件良好，基础设施完备，宗地条件有利于估价对象利用，对估价对象租赁价格无不良影响</w:t>
      </w:r>
      <w:r>
        <w:rPr>
          <w:rFonts w:hint="eastAsia" w:ascii="Arial" w:hAnsi="Arial" w:cs="Arial"/>
          <w:sz w:val="21"/>
          <w:szCs w:val="21"/>
          <w:highlight w:val="none"/>
        </w:rPr>
        <w:t>。</w:t>
      </w:r>
    </w:p>
    <w:p w14:paraId="38FF44AF">
      <w:pPr>
        <w:spacing w:line="480" w:lineRule="auto"/>
        <w:ind w:firstLine="420" w:firstLineChars="200"/>
        <w:jc w:val="both"/>
        <w:rPr>
          <w:rFonts w:ascii="Arial" w:hAnsi="Arial" w:cs="Arial"/>
          <w:sz w:val="21"/>
          <w:szCs w:val="21"/>
          <w:highlight w:val="none"/>
        </w:rPr>
      </w:pPr>
      <w:r>
        <w:rPr>
          <w:rFonts w:ascii="Arial" w:hAnsi="Arial" w:cs="Arial"/>
          <w:sz w:val="21"/>
          <w:szCs w:val="21"/>
          <w:highlight w:val="none"/>
        </w:rPr>
        <w:t>2.建筑物实物状况</w:t>
      </w:r>
    </w:p>
    <w:p w14:paraId="581DC35C">
      <w:pPr>
        <w:overflowPunct w:val="0"/>
        <w:spacing w:line="480" w:lineRule="auto"/>
        <w:ind w:firstLine="420" w:firstLineChars="200"/>
        <w:jc w:val="both"/>
        <w:textAlignment w:val="auto"/>
        <w:rPr>
          <w:rFonts w:hint="default" w:ascii="Arial" w:hAnsi="Arial" w:cs="Arial"/>
          <w:sz w:val="21"/>
          <w:szCs w:val="21"/>
          <w:highlight w:val="none"/>
          <w:lang w:val="en-US" w:eastAsia="zh-CN"/>
        </w:rPr>
      </w:pPr>
      <w:r>
        <w:rPr>
          <w:rFonts w:hint="eastAsia" w:ascii="Arial" w:hAnsi="Arial" w:cs="Arial"/>
          <w:sz w:val="21"/>
          <w:szCs w:val="21"/>
          <w:highlight w:val="none"/>
        </w:rPr>
        <w:t>（1）建设规模：</w:t>
      </w:r>
      <w:r>
        <w:rPr>
          <w:rFonts w:hint="eastAsia" w:ascii="Arial" w:hAnsi="Arial" w:cs="Arial"/>
          <w:sz w:val="21"/>
          <w:szCs w:val="21"/>
          <w:highlight w:val="none"/>
          <w:lang w:val="en-US" w:eastAsia="zh-CN"/>
        </w:rPr>
        <w:t>估价对象所属</w:t>
      </w:r>
      <w:r>
        <w:rPr>
          <w:rFonts w:hint="default" w:ascii="Arial" w:hAnsi="Arial" w:eastAsia="宋体" w:cs="Arial"/>
          <w:sz w:val="21"/>
          <w:szCs w:val="21"/>
          <w:highlight w:val="none"/>
          <w:lang w:val="en-US" w:eastAsia="zh-CN"/>
        </w:rPr>
        <w:t>采育安置房项目位于采育城镇中心东侧，是采育镇土地一级开发项目使用的安置房。规划总用地面积约44万平方米，总建筑面积约85万平方米。项目分为两期建设，共计提供房源7989套，其中拆迁安置使用6172套，邵各庄组团拆迁安置预留使用55套，转化人才公租房使用500套，调剂石景山区使用320套，调剂首都环线高速公路（大兴段）使用118套。截至目前，剩余房源824套。</w:t>
      </w:r>
      <w:r>
        <w:rPr>
          <w:rFonts w:hint="eastAsia" w:ascii="Arial" w:hAnsi="Arial" w:cs="Arial"/>
          <w:sz w:val="21"/>
          <w:szCs w:val="21"/>
          <w:highlight w:val="none"/>
          <w:lang w:val="en-US" w:eastAsia="zh-CN"/>
        </w:rPr>
        <w:t>一期项目规划总用地面积约31万平方米，规划总建筑面积约46万平方米，建设房源5051套。项目产权单位为北京兴创投资有限公司，小区名称分别为育新花园中里、育新花园南里和育新花园西里。截至目前，项目剩余房源335套，建筑面积28023.7平方米。其中，一居室55套（户型面积区间62.56至64.70平方米），两居室272套（户型面积区间84.96至88.20平方米），三居室8套（户型面积区间127.31至129.32平方米）。剩余房源均未进行室内装修。二期项目规划总用地面积约13万平方米，规划总建筑面积约39万平方米，建设房源2938套。项目产权单位为北京丽富房地产开发有限公司，经区政府批准由兴创公司作为回购主体，回购房源作为采育镇土地一级开发项目安置房使用，小区名称为育新花园北里。截至目前，项目剩余房源489套，建筑面积37041.8平方米。其中，剩余一居室226套（户型面积区间52.63至69.91平方米），两居室258套（户型面积区间72.82至88.10平方米），三居室5套（户型面积区间90.99、129.10平方米）。剩余房源暂未办理产权过户手续，且均未进行室内装修。</w:t>
      </w:r>
    </w:p>
    <w:p w14:paraId="2A5918B5">
      <w:pPr>
        <w:overflowPunct w:val="0"/>
        <w:spacing w:line="480" w:lineRule="auto"/>
        <w:ind w:firstLine="420" w:firstLineChars="200"/>
        <w:jc w:val="both"/>
        <w:textAlignment w:val="auto"/>
        <w:rPr>
          <w:rFonts w:hint="eastAsia" w:ascii="Arial" w:hAnsi="Arial" w:cs="Arial"/>
          <w:sz w:val="21"/>
          <w:szCs w:val="21"/>
          <w:highlight w:val="none"/>
        </w:rPr>
      </w:pPr>
      <w:r>
        <w:rPr>
          <w:rFonts w:hint="eastAsia" w:ascii="Arial" w:hAnsi="Arial" w:cs="Arial"/>
          <w:sz w:val="21"/>
          <w:szCs w:val="21"/>
          <w:highlight w:val="none"/>
          <w:lang w:val="en-US" w:eastAsia="zh-CN"/>
        </w:rPr>
        <w:t>根据</w:t>
      </w:r>
      <w:r>
        <w:rPr>
          <w:rFonts w:hint="eastAsia" w:ascii="Arial" w:hAnsi="Arial" w:cs="Arial"/>
          <w:sz w:val="21"/>
          <w:szCs w:val="21"/>
          <w:highlight w:val="none"/>
          <w:lang w:eastAsia="zh-CN"/>
        </w:rPr>
        <w:t>《</w:t>
      </w:r>
      <w:r>
        <w:rPr>
          <w:rFonts w:hint="eastAsia" w:ascii="Arial" w:hAnsi="Arial" w:cs="Arial"/>
          <w:sz w:val="21"/>
          <w:szCs w:val="21"/>
          <w:highlight w:val="none"/>
          <w:lang w:val="en-US" w:eastAsia="zh-CN"/>
        </w:rPr>
        <w:t>北京市大兴区住房和城乡建设委员会 关于采育数字时尚小镇保障性住房使用管理有关问题的请示》[京兴建文（2025）123号]、《北京市大兴区住房和城乡建设委员会 关于采育数字时尚小镇保障性住房相关事宜专题会会议纪要》、《采育数字时尚小镇保障性住房趸组协议》及其附件及</w:t>
      </w:r>
      <w:r>
        <w:rPr>
          <w:rFonts w:hint="eastAsia" w:ascii="Arial" w:hAnsi="Arial" w:cs="Arial"/>
          <w:sz w:val="21"/>
          <w:szCs w:val="21"/>
          <w:highlight w:val="none"/>
        </w:rPr>
        <w:t>《估价委托书》</w:t>
      </w:r>
      <w:r>
        <w:rPr>
          <w:rFonts w:hint="eastAsia" w:ascii="Arial" w:hAnsi="Arial" w:cs="Arial"/>
          <w:sz w:val="21"/>
          <w:szCs w:val="21"/>
          <w:highlight w:val="none"/>
          <w:lang w:eastAsia="zh-CN"/>
        </w:rPr>
        <w:t>，</w:t>
      </w:r>
      <w:r>
        <w:rPr>
          <w:rFonts w:hint="eastAsia" w:ascii="Arial" w:hAnsi="Arial" w:cs="Arial"/>
          <w:sz w:val="21"/>
          <w:szCs w:val="21"/>
          <w:highlight w:val="none"/>
          <w:lang w:val="en-US" w:eastAsia="zh-CN"/>
        </w:rPr>
        <w:t>估价对象为</w:t>
      </w:r>
      <w:r>
        <w:rPr>
          <w:rFonts w:hint="eastAsia" w:ascii="Arial" w:hAnsi="Arial" w:cs="Arial"/>
          <w:kern w:val="2"/>
          <w:sz w:val="21"/>
          <w:szCs w:val="21"/>
          <w:highlight w:val="none"/>
          <w:lang w:eastAsia="zh-CN"/>
        </w:rPr>
        <w:t>北京市大兴区育林街1号院（育新花园北里）4号楼1单元401号等489套、育林街2号院（育新花园中里）1号楼1单元101号等508套 、育林街8号院（育新花园西里）1号楼1单元102号等239套、育仁街1号院（育新花园南里）1号楼2单元1501号等88套共计1324套</w:t>
      </w:r>
      <w:r>
        <w:rPr>
          <w:rFonts w:hint="eastAsia" w:ascii="Arial" w:hAnsi="Arial" w:cs="Arial"/>
          <w:kern w:val="2"/>
          <w:sz w:val="21"/>
          <w:szCs w:val="21"/>
          <w:highlight w:val="none"/>
          <w:lang w:val="en-US" w:eastAsia="zh-CN"/>
        </w:rPr>
        <w:t>保障性租赁住房</w:t>
      </w:r>
      <w:r>
        <w:rPr>
          <w:rFonts w:hint="eastAsia" w:ascii="Arial" w:hAnsi="Arial" w:cs="Arial"/>
          <w:kern w:val="2"/>
          <w:sz w:val="21"/>
          <w:szCs w:val="21"/>
          <w:highlight w:val="none"/>
        </w:rPr>
        <w:t>（住宅型）</w:t>
      </w:r>
      <w:r>
        <w:rPr>
          <w:rFonts w:hint="eastAsia" w:ascii="Arial" w:hAnsi="Arial" w:cs="Arial"/>
          <w:kern w:val="2"/>
          <w:sz w:val="21"/>
          <w:szCs w:val="21"/>
          <w:highlight w:val="none"/>
          <w:lang w:val="en-US" w:eastAsia="zh-CN"/>
        </w:rPr>
        <w:t>，总建筑面积106034.90平方米，产权主体为北京兴创投资有限公司，北京市大兴区保障性住房建设投资有限公司负责房源出租及运营管理。</w:t>
      </w:r>
      <w:r>
        <w:rPr>
          <w:rFonts w:hint="eastAsia" w:ascii="Arial" w:hAnsi="Arial" w:cs="Arial"/>
          <w:sz w:val="21"/>
          <w:szCs w:val="21"/>
          <w:highlight w:val="none"/>
          <w:lang w:val="en-US" w:eastAsia="zh-CN"/>
        </w:rPr>
        <w:t>估价对象</w:t>
      </w:r>
      <w:r>
        <w:rPr>
          <w:rFonts w:hint="eastAsia" w:ascii="Arial" w:hAnsi="Arial" w:cs="Arial"/>
          <w:sz w:val="21"/>
          <w:szCs w:val="21"/>
          <w:highlight w:val="none"/>
        </w:rPr>
        <w:t>具体情况如下：</w:t>
      </w:r>
    </w:p>
    <w:p w14:paraId="0F712B1B">
      <w:pPr>
        <w:keepNext w:val="0"/>
        <w:keepLines w:val="0"/>
        <w:pageBreakBefore w:val="0"/>
        <w:widowControl w:val="0"/>
        <w:kinsoku/>
        <w:wordWrap/>
        <w:overflowPunct w:val="0"/>
        <w:topLinePunct w:val="0"/>
        <w:autoSpaceDE/>
        <w:autoSpaceDN/>
        <w:bidi w:val="0"/>
        <w:adjustRightInd w:val="0"/>
        <w:snapToGrid/>
        <w:spacing w:line="240" w:lineRule="auto"/>
        <w:jc w:val="center"/>
        <w:textAlignment w:val="auto"/>
        <w:rPr>
          <w:rFonts w:hint="default" w:ascii="Arial" w:hAnsi="Arial" w:eastAsia="宋体" w:cs="Arial"/>
          <w:b/>
          <w:bCs/>
          <w:sz w:val="21"/>
          <w:szCs w:val="21"/>
          <w:highlight w:val="none"/>
          <w:lang w:val="en-US" w:eastAsia="zh-CN"/>
        </w:rPr>
      </w:pPr>
      <w:r>
        <w:rPr>
          <w:rFonts w:hint="eastAsia" w:ascii="Arial" w:hAnsi="Arial" w:cs="Arial"/>
          <w:b/>
          <w:bCs/>
          <w:sz w:val="21"/>
          <w:szCs w:val="21"/>
          <w:highlight w:val="none"/>
          <w:lang w:val="en-US" w:eastAsia="zh-CN"/>
        </w:rPr>
        <w:t>估价对象明细表</w:t>
      </w:r>
    </w:p>
    <w:tbl>
      <w:tblPr>
        <w:tblStyle w:val="33"/>
        <w:tblW w:w="9259" w:type="dxa"/>
        <w:tblInd w:w="113" w:type="dxa"/>
        <w:tblLayout w:type="fixed"/>
        <w:tblCellMar>
          <w:top w:w="0" w:type="dxa"/>
          <w:left w:w="108" w:type="dxa"/>
          <w:bottom w:w="0" w:type="dxa"/>
          <w:right w:w="108" w:type="dxa"/>
        </w:tblCellMar>
      </w:tblPr>
      <w:tblGrid>
        <w:gridCol w:w="779"/>
        <w:gridCol w:w="1332"/>
        <w:gridCol w:w="4482"/>
        <w:gridCol w:w="732"/>
        <w:gridCol w:w="708"/>
        <w:gridCol w:w="1226"/>
      </w:tblGrid>
      <w:tr w14:paraId="292530FD">
        <w:tblPrEx>
          <w:tblCellMar>
            <w:top w:w="0" w:type="dxa"/>
            <w:left w:w="108" w:type="dxa"/>
            <w:bottom w:w="0" w:type="dxa"/>
            <w:right w:w="108" w:type="dxa"/>
          </w:tblCellMar>
        </w:tblPrEx>
        <w:trPr>
          <w:trHeight w:val="276" w:hRule="atLeast"/>
        </w:trPr>
        <w:tc>
          <w:tcPr>
            <w:tcW w:w="77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4B4609F">
            <w:pPr>
              <w:widowControl/>
              <w:adjustRightInd/>
              <w:spacing w:line="240" w:lineRule="auto"/>
              <w:jc w:val="center"/>
              <w:textAlignment w:val="auto"/>
              <w:rPr>
                <w:rFonts w:ascii="华文细黑" w:hAnsi="华文细黑" w:eastAsia="华文细黑" w:cs="Arial"/>
                <w:b/>
                <w:bCs/>
                <w:sz w:val="18"/>
                <w:szCs w:val="18"/>
                <w:highlight w:val="none"/>
              </w:rPr>
            </w:pPr>
            <w:r>
              <w:rPr>
                <w:rFonts w:ascii="华文细黑" w:hAnsi="华文细黑" w:eastAsia="华文细黑" w:cs="Arial"/>
                <w:b/>
                <w:bCs/>
                <w:sz w:val="18"/>
                <w:szCs w:val="18"/>
                <w:highlight w:val="none"/>
              </w:rPr>
              <w:t>户型</w:t>
            </w:r>
          </w:p>
        </w:tc>
        <w:tc>
          <w:tcPr>
            <w:tcW w:w="1332" w:type="dxa"/>
            <w:tcBorders>
              <w:top w:val="single" w:color="auto" w:sz="4" w:space="0"/>
              <w:left w:val="nil"/>
              <w:bottom w:val="single" w:color="auto" w:sz="4" w:space="0"/>
              <w:right w:val="single" w:color="auto" w:sz="4" w:space="0"/>
            </w:tcBorders>
            <w:shd w:val="clear" w:color="auto" w:fill="auto"/>
            <w:noWrap/>
            <w:vAlign w:val="center"/>
          </w:tcPr>
          <w:p w14:paraId="21F8E81B">
            <w:pPr>
              <w:widowControl/>
              <w:adjustRightInd/>
              <w:spacing w:line="240" w:lineRule="auto"/>
              <w:jc w:val="center"/>
              <w:textAlignment w:val="auto"/>
              <w:rPr>
                <w:rFonts w:ascii="华文细黑" w:hAnsi="华文细黑" w:eastAsia="华文细黑" w:cs="Arial"/>
                <w:b/>
                <w:bCs/>
                <w:sz w:val="18"/>
                <w:szCs w:val="18"/>
                <w:highlight w:val="none"/>
              </w:rPr>
            </w:pPr>
            <w:r>
              <w:rPr>
                <w:rFonts w:ascii="华文细黑" w:hAnsi="华文细黑" w:eastAsia="华文细黑" w:cs="Arial"/>
                <w:b/>
                <w:bCs/>
                <w:sz w:val="18"/>
                <w:szCs w:val="18"/>
                <w:highlight w:val="none"/>
              </w:rPr>
              <w:t>面积（平方米）</w:t>
            </w:r>
          </w:p>
        </w:tc>
        <w:tc>
          <w:tcPr>
            <w:tcW w:w="4482" w:type="dxa"/>
            <w:tcBorders>
              <w:top w:val="single" w:color="auto" w:sz="4" w:space="0"/>
              <w:left w:val="nil"/>
              <w:bottom w:val="single" w:color="auto" w:sz="4" w:space="0"/>
              <w:right w:val="single" w:color="auto" w:sz="4" w:space="0"/>
            </w:tcBorders>
            <w:shd w:val="clear" w:color="auto" w:fill="auto"/>
            <w:noWrap/>
            <w:vAlign w:val="center"/>
          </w:tcPr>
          <w:p w14:paraId="0D83D145">
            <w:pPr>
              <w:widowControl/>
              <w:adjustRightInd/>
              <w:spacing w:line="240" w:lineRule="auto"/>
              <w:jc w:val="center"/>
              <w:textAlignment w:val="auto"/>
              <w:rPr>
                <w:rFonts w:hint="default" w:ascii="华文细黑" w:hAnsi="华文细黑" w:eastAsia="华文细黑" w:cs="Arial"/>
                <w:b/>
                <w:bCs/>
                <w:sz w:val="18"/>
                <w:szCs w:val="18"/>
                <w:highlight w:val="none"/>
                <w:lang w:val="en-US" w:eastAsia="zh-CN"/>
              </w:rPr>
            </w:pPr>
            <w:r>
              <w:rPr>
                <w:rFonts w:hint="eastAsia" w:ascii="华文细黑" w:hAnsi="华文细黑" w:eastAsia="华文细黑" w:cs="Arial"/>
                <w:b/>
                <w:bCs/>
                <w:sz w:val="18"/>
                <w:szCs w:val="18"/>
                <w:highlight w:val="none"/>
                <w:lang w:val="en-US" w:eastAsia="zh-CN"/>
              </w:rPr>
              <w:t>所在楼栋</w:t>
            </w:r>
          </w:p>
        </w:tc>
        <w:tc>
          <w:tcPr>
            <w:tcW w:w="732" w:type="dxa"/>
            <w:tcBorders>
              <w:top w:val="single" w:color="auto" w:sz="4" w:space="0"/>
              <w:left w:val="nil"/>
              <w:bottom w:val="single" w:color="auto" w:sz="4" w:space="0"/>
              <w:right w:val="single" w:color="auto" w:sz="4" w:space="0"/>
            </w:tcBorders>
            <w:shd w:val="clear" w:color="auto" w:fill="auto"/>
            <w:noWrap/>
            <w:vAlign w:val="center"/>
          </w:tcPr>
          <w:p w14:paraId="66362B0B">
            <w:pPr>
              <w:widowControl/>
              <w:adjustRightInd/>
              <w:spacing w:line="240" w:lineRule="auto"/>
              <w:jc w:val="center"/>
              <w:textAlignment w:val="auto"/>
              <w:rPr>
                <w:rFonts w:ascii="华文细黑" w:hAnsi="华文细黑" w:eastAsia="华文细黑" w:cs="Arial"/>
                <w:b/>
                <w:bCs/>
                <w:sz w:val="18"/>
                <w:szCs w:val="18"/>
                <w:highlight w:val="none"/>
              </w:rPr>
            </w:pPr>
            <w:r>
              <w:rPr>
                <w:rFonts w:ascii="华文细黑" w:hAnsi="华文细黑" w:eastAsia="华文细黑" w:cs="Arial"/>
                <w:b/>
                <w:bCs/>
                <w:sz w:val="18"/>
                <w:szCs w:val="18"/>
                <w:highlight w:val="none"/>
              </w:rPr>
              <w:t>朝向</w:t>
            </w:r>
          </w:p>
        </w:tc>
        <w:tc>
          <w:tcPr>
            <w:tcW w:w="708" w:type="dxa"/>
            <w:tcBorders>
              <w:top w:val="single" w:color="auto" w:sz="4" w:space="0"/>
              <w:left w:val="nil"/>
              <w:bottom w:val="single" w:color="auto" w:sz="4" w:space="0"/>
              <w:right w:val="single" w:color="auto" w:sz="4" w:space="0"/>
            </w:tcBorders>
            <w:shd w:val="clear" w:color="auto" w:fill="auto"/>
            <w:noWrap/>
            <w:vAlign w:val="center"/>
          </w:tcPr>
          <w:p w14:paraId="156889F4">
            <w:pPr>
              <w:widowControl/>
              <w:adjustRightInd/>
              <w:spacing w:line="240" w:lineRule="auto"/>
              <w:jc w:val="center"/>
              <w:textAlignment w:val="auto"/>
              <w:rPr>
                <w:rFonts w:ascii="华文细黑" w:hAnsi="华文细黑" w:eastAsia="华文细黑" w:cs="Arial"/>
                <w:b/>
                <w:bCs/>
                <w:sz w:val="18"/>
                <w:szCs w:val="18"/>
                <w:highlight w:val="none"/>
              </w:rPr>
            </w:pPr>
            <w:r>
              <w:rPr>
                <w:rFonts w:ascii="华文细黑" w:hAnsi="华文细黑" w:eastAsia="华文细黑" w:cs="Arial"/>
                <w:b/>
                <w:bCs/>
                <w:sz w:val="18"/>
                <w:szCs w:val="18"/>
                <w:highlight w:val="none"/>
              </w:rPr>
              <w:t>套数（套）</w:t>
            </w:r>
          </w:p>
        </w:tc>
        <w:tc>
          <w:tcPr>
            <w:tcW w:w="1226" w:type="dxa"/>
            <w:tcBorders>
              <w:top w:val="single" w:color="auto" w:sz="4" w:space="0"/>
              <w:left w:val="nil"/>
              <w:bottom w:val="single" w:color="auto" w:sz="4" w:space="0"/>
              <w:right w:val="single" w:color="auto" w:sz="4" w:space="0"/>
            </w:tcBorders>
            <w:shd w:val="clear" w:color="auto" w:fill="auto"/>
            <w:noWrap/>
            <w:vAlign w:val="center"/>
          </w:tcPr>
          <w:p w14:paraId="75836393">
            <w:pPr>
              <w:widowControl/>
              <w:adjustRightInd/>
              <w:spacing w:line="240" w:lineRule="auto"/>
              <w:jc w:val="center"/>
              <w:textAlignment w:val="auto"/>
              <w:rPr>
                <w:rFonts w:ascii="华文细黑" w:hAnsi="华文细黑" w:eastAsia="华文细黑" w:cs="Arial"/>
                <w:b/>
                <w:bCs/>
                <w:sz w:val="18"/>
                <w:szCs w:val="18"/>
                <w:highlight w:val="none"/>
              </w:rPr>
            </w:pPr>
            <w:r>
              <w:rPr>
                <w:rFonts w:ascii="华文细黑" w:hAnsi="华文细黑" w:eastAsia="华文细黑" w:cs="Arial"/>
                <w:b/>
                <w:bCs/>
                <w:sz w:val="18"/>
                <w:szCs w:val="18"/>
                <w:highlight w:val="none"/>
              </w:rPr>
              <w:t>总</w:t>
            </w:r>
            <w:r>
              <w:rPr>
                <w:rFonts w:hint="eastAsia" w:ascii="华文细黑" w:hAnsi="华文细黑" w:eastAsia="华文细黑" w:cs="Arial"/>
                <w:b/>
                <w:bCs/>
                <w:sz w:val="18"/>
                <w:szCs w:val="18"/>
                <w:highlight w:val="none"/>
                <w:lang w:val="en-US" w:eastAsia="zh-CN"/>
              </w:rPr>
              <w:t>建筑</w:t>
            </w:r>
            <w:r>
              <w:rPr>
                <w:rFonts w:ascii="华文细黑" w:hAnsi="华文细黑" w:eastAsia="华文细黑" w:cs="Arial"/>
                <w:b/>
                <w:bCs/>
                <w:sz w:val="18"/>
                <w:szCs w:val="18"/>
                <w:highlight w:val="none"/>
              </w:rPr>
              <w:t>面积（平方米）</w:t>
            </w:r>
          </w:p>
        </w:tc>
      </w:tr>
      <w:tr w14:paraId="292ECD05">
        <w:tblPrEx>
          <w:tblCellMar>
            <w:top w:w="0" w:type="dxa"/>
            <w:left w:w="108" w:type="dxa"/>
            <w:bottom w:w="0" w:type="dxa"/>
            <w:right w:w="108" w:type="dxa"/>
          </w:tblCellMar>
        </w:tblPrEx>
        <w:trPr>
          <w:trHeight w:val="276" w:hRule="atLeast"/>
        </w:trPr>
        <w:tc>
          <w:tcPr>
            <w:tcW w:w="779" w:type="dxa"/>
            <w:vMerge w:val="restart"/>
            <w:tcBorders>
              <w:top w:val="nil"/>
              <w:left w:val="single" w:color="auto" w:sz="4" w:space="0"/>
              <w:right w:val="single" w:color="auto" w:sz="4" w:space="0"/>
            </w:tcBorders>
            <w:shd w:val="clear" w:color="auto" w:fill="auto"/>
            <w:noWrap/>
            <w:vAlign w:val="center"/>
          </w:tcPr>
          <w:p w14:paraId="51769407">
            <w:pPr>
              <w:widowControl/>
              <w:adjustRightInd/>
              <w:spacing w:line="240" w:lineRule="auto"/>
              <w:jc w:val="center"/>
              <w:textAlignment w:val="auto"/>
              <w:rPr>
                <w:rFonts w:ascii="华文细黑" w:hAnsi="华文细黑" w:eastAsia="华文细黑" w:cs="Arial"/>
                <w:b/>
                <w:bCs/>
                <w:sz w:val="18"/>
                <w:szCs w:val="18"/>
                <w:highlight w:val="none"/>
              </w:rPr>
            </w:pPr>
            <w:r>
              <w:rPr>
                <w:rFonts w:ascii="华文细黑" w:hAnsi="华文细黑" w:eastAsia="华文细黑" w:cs="Arial"/>
                <w:b/>
                <w:bCs/>
                <w:sz w:val="18"/>
                <w:szCs w:val="18"/>
                <w:highlight w:val="none"/>
              </w:rPr>
              <w:t>一居室</w:t>
            </w:r>
          </w:p>
        </w:tc>
        <w:tc>
          <w:tcPr>
            <w:tcW w:w="1332" w:type="dxa"/>
            <w:tcBorders>
              <w:top w:val="nil"/>
              <w:left w:val="nil"/>
              <w:bottom w:val="single" w:color="auto" w:sz="4" w:space="0"/>
              <w:right w:val="single" w:color="auto" w:sz="4" w:space="0"/>
            </w:tcBorders>
            <w:shd w:val="clear" w:color="auto" w:fill="auto"/>
            <w:noWrap/>
            <w:vAlign w:val="center"/>
          </w:tcPr>
          <w:p w14:paraId="3BA8B7BE">
            <w:pPr>
              <w:widowControl/>
              <w:adjustRightInd/>
              <w:spacing w:line="240" w:lineRule="auto"/>
              <w:jc w:val="center"/>
              <w:textAlignment w:val="auto"/>
              <w:rPr>
                <w:rFonts w:ascii="华文细黑" w:hAnsi="华文细黑" w:eastAsia="华文细黑" w:cs="Arial"/>
                <w:sz w:val="18"/>
                <w:szCs w:val="18"/>
                <w:highlight w:val="none"/>
              </w:rPr>
            </w:pPr>
            <w:r>
              <w:rPr>
                <w:rFonts w:hint="eastAsia" w:ascii="华文细黑" w:hAnsi="华文细黑" w:eastAsia="华文细黑" w:cs="Arial"/>
                <w:sz w:val="18"/>
                <w:szCs w:val="18"/>
                <w:highlight w:val="none"/>
              </w:rPr>
              <w:t>52.63-69.91</w:t>
            </w:r>
          </w:p>
        </w:tc>
        <w:tc>
          <w:tcPr>
            <w:tcW w:w="4482" w:type="dxa"/>
            <w:tcBorders>
              <w:top w:val="nil"/>
              <w:left w:val="nil"/>
              <w:bottom w:val="single" w:color="auto" w:sz="4" w:space="0"/>
              <w:right w:val="single" w:color="auto" w:sz="4" w:space="0"/>
            </w:tcBorders>
            <w:shd w:val="clear" w:color="auto" w:fill="auto"/>
            <w:noWrap/>
            <w:vAlign w:val="center"/>
          </w:tcPr>
          <w:p w14:paraId="683274F2">
            <w:pPr>
              <w:widowControl/>
              <w:adjustRightInd/>
              <w:spacing w:line="240" w:lineRule="auto"/>
              <w:jc w:val="center"/>
              <w:textAlignment w:val="auto"/>
              <w:rPr>
                <w:rFonts w:ascii="华文细黑" w:hAnsi="华文细黑" w:eastAsia="华文细黑" w:cs="Arial"/>
                <w:sz w:val="18"/>
                <w:szCs w:val="18"/>
                <w:highlight w:val="none"/>
              </w:rPr>
            </w:pPr>
            <w:r>
              <w:rPr>
                <w:rFonts w:hint="eastAsia" w:ascii="华文细黑" w:hAnsi="华文细黑" w:eastAsia="华文细黑" w:cs="Arial"/>
                <w:sz w:val="18"/>
                <w:szCs w:val="18"/>
                <w:highlight w:val="none"/>
              </w:rPr>
              <w:t>育林街1号院4、5、20号楼；育林街2号院4、6、7、12、13、14、15、17、18、23号楼；育林街8号院2-4、7、8号楼；育仁街1号院5、6、7、10号楼</w:t>
            </w:r>
          </w:p>
        </w:tc>
        <w:tc>
          <w:tcPr>
            <w:tcW w:w="732" w:type="dxa"/>
            <w:tcBorders>
              <w:top w:val="nil"/>
              <w:left w:val="nil"/>
              <w:bottom w:val="single" w:color="auto" w:sz="4" w:space="0"/>
              <w:right w:val="single" w:color="auto" w:sz="4" w:space="0"/>
            </w:tcBorders>
            <w:shd w:val="clear" w:color="auto" w:fill="auto"/>
            <w:noWrap/>
            <w:vAlign w:val="center"/>
          </w:tcPr>
          <w:p w14:paraId="6B9A7108">
            <w:pPr>
              <w:widowControl/>
              <w:adjustRightInd/>
              <w:spacing w:line="240" w:lineRule="auto"/>
              <w:jc w:val="center"/>
              <w:textAlignment w:val="auto"/>
              <w:rPr>
                <w:rFonts w:ascii="华文细黑" w:hAnsi="华文细黑" w:eastAsia="华文细黑" w:cs="Arial"/>
                <w:sz w:val="18"/>
                <w:szCs w:val="18"/>
                <w:highlight w:val="none"/>
              </w:rPr>
            </w:pPr>
            <w:r>
              <w:rPr>
                <w:rFonts w:ascii="华文细黑" w:hAnsi="华文细黑" w:eastAsia="华文细黑" w:cs="Arial"/>
                <w:sz w:val="18"/>
                <w:szCs w:val="18"/>
                <w:highlight w:val="none"/>
              </w:rPr>
              <w:t>南北</w:t>
            </w:r>
          </w:p>
        </w:tc>
        <w:tc>
          <w:tcPr>
            <w:tcW w:w="708" w:type="dxa"/>
            <w:tcBorders>
              <w:top w:val="nil"/>
              <w:left w:val="nil"/>
              <w:bottom w:val="single" w:color="auto" w:sz="4" w:space="0"/>
              <w:right w:val="single" w:color="auto" w:sz="4" w:space="0"/>
            </w:tcBorders>
            <w:shd w:val="clear" w:color="auto" w:fill="auto"/>
            <w:noWrap/>
            <w:vAlign w:val="center"/>
          </w:tcPr>
          <w:p w14:paraId="4AEB7065">
            <w:pPr>
              <w:widowControl/>
              <w:adjustRightInd/>
              <w:spacing w:line="240" w:lineRule="auto"/>
              <w:jc w:val="center"/>
              <w:textAlignment w:val="auto"/>
              <w:rPr>
                <w:rFonts w:hint="default" w:ascii="华文细黑" w:hAnsi="华文细黑" w:eastAsia="华文细黑" w:cs="Arial"/>
                <w:sz w:val="18"/>
                <w:szCs w:val="18"/>
                <w:highlight w:val="none"/>
                <w:lang w:val="en-US" w:eastAsia="zh-CN"/>
              </w:rPr>
            </w:pPr>
            <w:r>
              <w:rPr>
                <w:rFonts w:hint="eastAsia" w:ascii="华文细黑" w:hAnsi="华文细黑" w:eastAsia="华文细黑" w:cs="Arial"/>
                <w:sz w:val="18"/>
                <w:szCs w:val="18"/>
                <w:highlight w:val="none"/>
                <w:lang w:val="en-US" w:eastAsia="zh-CN"/>
              </w:rPr>
              <w:t>378</w:t>
            </w:r>
          </w:p>
        </w:tc>
        <w:tc>
          <w:tcPr>
            <w:tcW w:w="1226" w:type="dxa"/>
            <w:tcBorders>
              <w:top w:val="nil"/>
              <w:left w:val="nil"/>
              <w:bottom w:val="single" w:color="auto" w:sz="4" w:space="0"/>
              <w:right w:val="single" w:color="auto" w:sz="4" w:space="0"/>
            </w:tcBorders>
            <w:shd w:val="clear" w:color="auto" w:fill="auto"/>
            <w:noWrap/>
            <w:vAlign w:val="center"/>
          </w:tcPr>
          <w:p w14:paraId="46D1E2BF">
            <w:pPr>
              <w:widowControl/>
              <w:adjustRightInd/>
              <w:spacing w:line="240" w:lineRule="auto"/>
              <w:jc w:val="center"/>
              <w:textAlignment w:val="auto"/>
              <w:rPr>
                <w:rFonts w:hint="default" w:ascii="华文细黑" w:hAnsi="华文细黑" w:eastAsia="华文细黑" w:cs="Arial"/>
                <w:sz w:val="18"/>
                <w:szCs w:val="18"/>
                <w:highlight w:val="none"/>
                <w:lang w:val="en-US" w:eastAsia="zh-CN"/>
              </w:rPr>
            </w:pPr>
            <w:r>
              <w:rPr>
                <w:rFonts w:hint="eastAsia" w:ascii="华文细黑" w:hAnsi="华文细黑" w:eastAsia="华文细黑" w:cs="Arial"/>
                <w:sz w:val="18"/>
                <w:szCs w:val="18"/>
                <w:highlight w:val="none"/>
                <w:lang w:val="en-US" w:eastAsia="zh-CN"/>
              </w:rPr>
              <w:t>25149.84</w:t>
            </w:r>
          </w:p>
        </w:tc>
      </w:tr>
      <w:tr w14:paraId="6A1E9C16">
        <w:tblPrEx>
          <w:tblCellMar>
            <w:top w:w="0" w:type="dxa"/>
            <w:left w:w="108" w:type="dxa"/>
            <w:bottom w:w="0" w:type="dxa"/>
            <w:right w:w="108" w:type="dxa"/>
          </w:tblCellMar>
        </w:tblPrEx>
        <w:trPr>
          <w:trHeight w:val="276" w:hRule="atLeast"/>
        </w:trPr>
        <w:tc>
          <w:tcPr>
            <w:tcW w:w="779" w:type="dxa"/>
            <w:vMerge w:val="continue"/>
            <w:tcBorders>
              <w:left w:val="single" w:color="auto" w:sz="4" w:space="0"/>
              <w:bottom w:val="single" w:color="auto" w:sz="4" w:space="0"/>
              <w:right w:val="single" w:color="auto" w:sz="4" w:space="0"/>
            </w:tcBorders>
            <w:shd w:val="clear" w:color="auto" w:fill="auto"/>
            <w:noWrap/>
            <w:vAlign w:val="center"/>
          </w:tcPr>
          <w:p w14:paraId="3D931646">
            <w:pPr>
              <w:widowControl/>
              <w:adjustRightInd/>
              <w:spacing w:line="240" w:lineRule="auto"/>
              <w:jc w:val="center"/>
              <w:textAlignment w:val="auto"/>
              <w:rPr>
                <w:rFonts w:ascii="华文细黑" w:hAnsi="华文细黑" w:eastAsia="华文细黑" w:cs="Arial"/>
                <w:b/>
                <w:bCs/>
                <w:sz w:val="18"/>
                <w:szCs w:val="18"/>
                <w:highlight w:val="none"/>
              </w:rPr>
            </w:pPr>
          </w:p>
        </w:tc>
        <w:tc>
          <w:tcPr>
            <w:tcW w:w="1332" w:type="dxa"/>
            <w:tcBorders>
              <w:top w:val="nil"/>
              <w:left w:val="nil"/>
              <w:bottom w:val="single" w:color="auto" w:sz="4" w:space="0"/>
              <w:right w:val="single" w:color="auto" w:sz="4" w:space="0"/>
            </w:tcBorders>
            <w:shd w:val="clear" w:color="auto" w:fill="auto"/>
            <w:noWrap/>
            <w:vAlign w:val="center"/>
          </w:tcPr>
          <w:p w14:paraId="1926B506">
            <w:pPr>
              <w:widowControl/>
              <w:adjustRightInd/>
              <w:spacing w:line="240" w:lineRule="auto"/>
              <w:jc w:val="center"/>
              <w:textAlignment w:val="auto"/>
              <w:rPr>
                <w:rFonts w:hint="eastAsia" w:ascii="华文细黑" w:hAnsi="华文细黑" w:eastAsia="华文细黑" w:cs="Arial"/>
                <w:b/>
                <w:bCs/>
                <w:sz w:val="18"/>
                <w:szCs w:val="18"/>
                <w:highlight w:val="none"/>
              </w:rPr>
            </w:pPr>
            <w:r>
              <w:rPr>
                <w:rFonts w:hint="eastAsia" w:ascii="华文细黑" w:hAnsi="华文细黑" w:eastAsia="华文细黑" w:cs="Arial"/>
                <w:b/>
                <w:bCs/>
                <w:sz w:val="18"/>
                <w:szCs w:val="18"/>
                <w:highlight w:val="none"/>
                <w:lang w:val="en-US" w:eastAsia="zh-CN"/>
              </w:rPr>
              <w:t>小计</w:t>
            </w:r>
          </w:p>
        </w:tc>
        <w:tc>
          <w:tcPr>
            <w:tcW w:w="4482" w:type="dxa"/>
            <w:tcBorders>
              <w:top w:val="nil"/>
              <w:left w:val="nil"/>
              <w:bottom w:val="single" w:color="auto" w:sz="4" w:space="0"/>
              <w:right w:val="single" w:color="auto" w:sz="4" w:space="0"/>
            </w:tcBorders>
            <w:shd w:val="clear" w:color="auto" w:fill="auto"/>
            <w:noWrap/>
            <w:vAlign w:val="center"/>
          </w:tcPr>
          <w:p w14:paraId="5F356A33">
            <w:pPr>
              <w:widowControl/>
              <w:adjustRightInd/>
              <w:spacing w:line="240" w:lineRule="auto"/>
              <w:jc w:val="center"/>
              <w:textAlignment w:val="auto"/>
              <w:rPr>
                <w:rFonts w:hint="eastAsia" w:ascii="华文细黑" w:hAnsi="华文细黑" w:eastAsia="华文细黑" w:cs="Arial"/>
                <w:b/>
                <w:bCs/>
                <w:sz w:val="18"/>
                <w:szCs w:val="18"/>
                <w:highlight w:val="none"/>
                <w:lang w:val="en-US" w:eastAsia="zh-CN"/>
              </w:rPr>
            </w:pPr>
            <w:r>
              <w:rPr>
                <w:rFonts w:hint="eastAsia" w:ascii="华文细黑" w:hAnsi="华文细黑" w:eastAsia="华文细黑" w:cs="Arial"/>
                <w:b/>
                <w:bCs/>
                <w:sz w:val="18"/>
                <w:szCs w:val="18"/>
                <w:highlight w:val="none"/>
                <w:lang w:val="en-US" w:eastAsia="zh-CN"/>
              </w:rPr>
              <w:t>-</w:t>
            </w:r>
          </w:p>
        </w:tc>
        <w:tc>
          <w:tcPr>
            <w:tcW w:w="732" w:type="dxa"/>
            <w:tcBorders>
              <w:top w:val="nil"/>
              <w:left w:val="nil"/>
              <w:bottom w:val="single" w:color="auto" w:sz="4" w:space="0"/>
              <w:right w:val="single" w:color="auto" w:sz="4" w:space="0"/>
            </w:tcBorders>
            <w:shd w:val="clear" w:color="auto" w:fill="auto"/>
            <w:noWrap/>
            <w:vAlign w:val="center"/>
          </w:tcPr>
          <w:p w14:paraId="35DD8C43">
            <w:pPr>
              <w:widowControl/>
              <w:adjustRightInd/>
              <w:spacing w:line="240" w:lineRule="auto"/>
              <w:jc w:val="center"/>
              <w:textAlignment w:val="auto"/>
              <w:rPr>
                <w:rFonts w:hint="eastAsia" w:ascii="华文细黑" w:hAnsi="华文细黑" w:eastAsia="华文细黑" w:cs="Arial"/>
                <w:b/>
                <w:bCs/>
                <w:sz w:val="18"/>
                <w:szCs w:val="18"/>
                <w:highlight w:val="none"/>
                <w:lang w:val="en-US" w:eastAsia="zh-CN"/>
              </w:rPr>
            </w:pPr>
            <w:r>
              <w:rPr>
                <w:rFonts w:hint="eastAsia" w:ascii="华文细黑" w:hAnsi="华文细黑" w:eastAsia="华文细黑" w:cs="Arial"/>
                <w:b/>
                <w:bCs/>
                <w:sz w:val="18"/>
                <w:szCs w:val="18"/>
                <w:highlight w:val="none"/>
                <w:lang w:val="en-US" w:eastAsia="zh-CN"/>
              </w:rPr>
              <w:t>-</w:t>
            </w:r>
          </w:p>
        </w:tc>
        <w:tc>
          <w:tcPr>
            <w:tcW w:w="708" w:type="dxa"/>
            <w:tcBorders>
              <w:top w:val="nil"/>
              <w:left w:val="nil"/>
              <w:bottom w:val="single" w:color="auto" w:sz="4" w:space="0"/>
              <w:right w:val="single" w:color="auto" w:sz="4" w:space="0"/>
            </w:tcBorders>
            <w:shd w:val="clear" w:color="auto" w:fill="auto"/>
            <w:noWrap/>
            <w:vAlign w:val="center"/>
          </w:tcPr>
          <w:p w14:paraId="02D548D4">
            <w:pPr>
              <w:widowControl/>
              <w:adjustRightInd/>
              <w:spacing w:line="240" w:lineRule="auto"/>
              <w:jc w:val="center"/>
              <w:textAlignment w:val="auto"/>
              <w:rPr>
                <w:rFonts w:hint="default" w:ascii="华文细黑" w:hAnsi="华文细黑" w:eastAsia="华文细黑" w:cs="Arial"/>
                <w:b/>
                <w:bCs/>
                <w:sz w:val="18"/>
                <w:szCs w:val="18"/>
                <w:highlight w:val="none"/>
                <w:lang w:val="en-US" w:eastAsia="zh-CN"/>
              </w:rPr>
            </w:pPr>
            <w:r>
              <w:rPr>
                <w:rFonts w:hint="eastAsia" w:ascii="华文细黑" w:hAnsi="华文细黑" w:eastAsia="华文细黑" w:cs="Arial"/>
                <w:b/>
                <w:bCs/>
                <w:sz w:val="18"/>
                <w:szCs w:val="18"/>
                <w:highlight w:val="none"/>
                <w:lang w:val="en-US" w:eastAsia="zh-CN"/>
              </w:rPr>
              <w:t>378</w:t>
            </w:r>
          </w:p>
        </w:tc>
        <w:tc>
          <w:tcPr>
            <w:tcW w:w="1226" w:type="dxa"/>
            <w:tcBorders>
              <w:top w:val="nil"/>
              <w:left w:val="nil"/>
              <w:bottom w:val="single" w:color="auto" w:sz="4" w:space="0"/>
              <w:right w:val="single" w:color="auto" w:sz="4" w:space="0"/>
            </w:tcBorders>
            <w:shd w:val="clear" w:color="auto" w:fill="auto"/>
            <w:noWrap/>
            <w:vAlign w:val="center"/>
          </w:tcPr>
          <w:p w14:paraId="048DAB7D">
            <w:pPr>
              <w:widowControl/>
              <w:adjustRightInd/>
              <w:spacing w:line="240" w:lineRule="auto"/>
              <w:jc w:val="center"/>
              <w:textAlignment w:val="auto"/>
              <w:rPr>
                <w:rFonts w:hint="eastAsia" w:ascii="华文细黑" w:hAnsi="华文细黑" w:eastAsia="华文细黑" w:cs="Arial"/>
                <w:b/>
                <w:bCs/>
                <w:sz w:val="18"/>
                <w:szCs w:val="18"/>
                <w:highlight w:val="none"/>
                <w:lang w:val="en-US" w:eastAsia="zh-CN"/>
              </w:rPr>
            </w:pPr>
            <w:r>
              <w:rPr>
                <w:rFonts w:hint="eastAsia" w:ascii="华文细黑" w:hAnsi="华文细黑" w:eastAsia="华文细黑" w:cs="Arial"/>
                <w:sz w:val="18"/>
                <w:szCs w:val="18"/>
                <w:highlight w:val="none"/>
                <w:lang w:val="en-US" w:eastAsia="zh-CN"/>
              </w:rPr>
              <w:t>25149.84</w:t>
            </w:r>
          </w:p>
        </w:tc>
      </w:tr>
      <w:tr w14:paraId="11269C9E">
        <w:tblPrEx>
          <w:tblCellMar>
            <w:top w:w="0" w:type="dxa"/>
            <w:left w:w="108" w:type="dxa"/>
            <w:bottom w:w="0" w:type="dxa"/>
            <w:right w:w="108" w:type="dxa"/>
          </w:tblCellMar>
        </w:tblPrEx>
        <w:trPr>
          <w:trHeight w:val="1103" w:hRule="atLeast"/>
        </w:trPr>
        <w:tc>
          <w:tcPr>
            <w:tcW w:w="779" w:type="dxa"/>
            <w:vMerge w:val="restart"/>
            <w:tcBorders>
              <w:top w:val="nil"/>
              <w:left w:val="single" w:color="auto" w:sz="4" w:space="0"/>
              <w:right w:val="single" w:color="auto" w:sz="4" w:space="0"/>
            </w:tcBorders>
            <w:shd w:val="clear" w:color="auto" w:fill="auto"/>
            <w:noWrap/>
            <w:vAlign w:val="center"/>
          </w:tcPr>
          <w:p w14:paraId="362FCCB3">
            <w:pPr>
              <w:widowControl/>
              <w:adjustRightInd/>
              <w:spacing w:line="240" w:lineRule="auto"/>
              <w:jc w:val="center"/>
              <w:textAlignment w:val="auto"/>
              <w:rPr>
                <w:rFonts w:ascii="华文细黑" w:hAnsi="华文细黑" w:eastAsia="华文细黑" w:cs="Arial"/>
                <w:b/>
                <w:bCs/>
                <w:sz w:val="18"/>
                <w:szCs w:val="18"/>
                <w:highlight w:val="none"/>
              </w:rPr>
            </w:pPr>
            <w:r>
              <w:rPr>
                <w:rFonts w:ascii="华文细黑" w:hAnsi="华文细黑" w:eastAsia="华文细黑" w:cs="Arial"/>
                <w:b/>
                <w:bCs/>
                <w:sz w:val="18"/>
                <w:szCs w:val="18"/>
                <w:highlight w:val="none"/>
              </w:rPr>
              <w:t>两居室</w:t>
            </w:r>
          </w:p>
        </w:tc>
        <w:tc>
          <w:tcPr>
            <w:tcW w:w="1332" w:type="dxa"/>
            <w:tcBorders>
              <w:top w:val="nil"/>
              <w:left w:val="nil"/>
              <w:bottom w:val="single" w:color="auto" w:sz="4" w:space="0"/>
              <w:right w:val="single" w:color="auto" w:sz="4" w:space="0"/>
            </w:tcBorders>
            <w:shd w:val="clear" w:color="auto" w:fill="auto"/>
            <w:noWrap/>
            <w:vAlign w:val="center"/>
          </w:tcPr>
          <w:p w14:paraId="1FAB85AC">
            <w:pPr>
              <w:widowControl/>
              <w:adjustRightInd/>
              <w:spacing w:line="240" w:lineRule="auto"/>
              <w:jc w:val="center"/>
              <w:textAlignment w:val="auto"/>
              <w:rPr>
                <w:rFonts w:ascii="华文细黑" w:hAnsi="华文细黑" w:eastAsia="华文细黑" w:cs="Arial"/>
                <w:sz w:val="18"/>
                <w:szCs w:val="18"/>
                <w:highlight w:val="none"/>
              </w:rPr>
            </w:pPr>
            <w:r>
              <w:rPr>
                <w:rFonts w:hint="eastAsia" w:ascii="华文细黑" w:hAnsi="华文细黑" w:eastAsia="华文细黑" w:cs="Arial"/>
                <w:sz w:val="18"/>
                <w:szCs w:val="18"/>
                <w:highlight w:val="none"/>
              </w:rPr>
              <w:t>72.82-88.38</w:t>
            </w:r>
          </w:p>
        </w:tc>
        <w:tc>
          <w:tcPr>
            <w:tcW w:w="4482" w:type="dxa"/>
            <w:tcBorders>
              <w:top w:val="nil"/>
              <w:left w:val="nil"/>
              <w:bottom w:val="single" w:color="auto" w:sz="4" w:space="0"/>
              <w:right w:val="single" w:color="auto" w:sz="4" w:space="0"/>
            </w:tcBorders>
            <w:shd w:val="clear" w:color="auto" w:fill="auto"/>
            <w:noWrap/>
            <w:vAlign w:val="center"/>
          </w:tcPr>
          <w:p w14:paraId="73A82197">
            <w:pPr>
              <w:widowControl/>
              <w:adjustRightInd/>
              <w:spacing w:line="240" w:lineRule="auto"/>
              <w:jc w:val="center"/>
              <w:textAlignment w:val="auto"/>
              <w:rPr>
                <w:rFonts w:ascii="华文细黑" w:hAnsi="华文细黑" w:eastAsia="华文细黑" w:cs="Arial"/>
                <w:sz w:val="18"/>
                <w:szCs w:val="18"/>
                <w:highlight w:val="none"/>
              </w:rPr>
            </w:pPr>
            <w:r>
              <w:rPr>
                <w:rFonts w:hint="eastAsia" w:ascii="华文细黑" w:hAnsi="华文细黑" w:eastAsia="华文细黑" w:cs="Arial"/>
                <w:sz w:val="18"/>
                <w:szCs w:val="18"/>
                <w:highlight w:val="none"/>
              </w:rPr>
              <w:t>育林街1号院1-3、8-10、15、17、22、23号楼；育林街2号院1-4、6-13、15、17-23号楼；育林街8号院1-4、6-9、11-13号楼；育仁街1号院1-3、6、8-9、13-15号楼</w:t>
            </w:r>
          </w:p>
        </w:tc>
        <w:tc>
          <w:tcPr>
            <w:tcW w:w="732" w:type="dxa"/>
            <w:tcBorders>
              <w:top w:val="nil"/>
              <w:left w:val="nil"/>
              <w:bottom w:val="single" w:color="auto" w:sz="4" w:space="0"/>
              <w:right w:val="single" w:color="auto" w:sz="4" w:space="0"/>
            </w:tcBorders>
            <w:shd w:val="clear" w:color="auto" w:fill="auto"/>
            <w:noWrap/>
            <w:vAlign w:val="center"/>
          </w:tcPr>
          <w:p w14:paraId="3BB52903">
            <w:pPr>
              <w:widowControl/>
              <w:adjustRightInd/>
              <w:spacing w:line="240" w:lineRule="auto"/>
              <w:jc w:val="center"/>
              <w:textAlignment w:val="auto"/>
              <w:rPr>
                <w:rFonts w:ascii="华文细黑" w:hAnsi="华文细黑" w:eastAsia="华文细黑" w:cs="Arial"/>
                <w:sz w:val="18"/>
                <w:szCs w:val="18"/>
                <w:highlight w:val="none"/>
              </w:rPr>
            </w:pPr>
            <w:r>
              <w:rPr>
                <w:rFonts w:ascii="华文细黑" w:hAnsi="华文细黑" w:eastAsia="华文细黑" w:cs="Arial"/>
                <w:sz w:val="18"/>
                <w:szCs w:val="18"/>
                <w:highlight w:val="none"/>
              </w:rPr>
              <w:t>南北</w:t>
            </w:r>
          </w:p>
        </w:tc>
        <w:tc>
          <w:tcPr>
            <w:tcW w:w="708" w:type="dxa"/>
            <w:tcBorders>
              <w:top w:val="nil"/>
              <w:left w:val="nil"/>
              <w:bottom w:val="single" w:color="auto" w:sz="4" w:space="0"/>
              <w:right w:val="single" w:color="auto" w:sz="4" w:space="0"/>
            </w:tcBorders>
            <w:shd w:val="clear" w:color="auto" w:fill="auto"/>
            <w:noWrap/>
            <w:vAlign w:val="center"/>
          </w:tcPr>
          <w:p w14:paraId="32EB13CE">
            <w:pPr>
              <w:widowControl/>
              <w:adjustRightInd/>
              <w:spacing w:line="240" w:lineRule="auto"/>
              <w:jc w:val="center"/>
              <w:textAlignment w:val="auto"/>
              <w:rPr>
                <w:rFonts w:hint="default" w:ascii="华文细黑" w:hAnsi="华文细黑" w:eastAsia="华文细黑" w:cs="Arial"/>
                <w:sz w:val="18"/>
                <w:szCs w:val="18"/>
                <w:highlight w:val="none"/>
                <w:lang w:val="en-US" w:eastAsia="zh-CN"/>
              </w:rPr>
            </w:pPr>
            <w:r>
              <w:rPr>
                <w:rFonts w:hint="eastAsia" w:ascii="华文细黑" w:hAnsi="华文细黑" w:eastAsia="华文细黑" w:cs="Arial"/>
                <w:sz w:val="18"/>
                <w:szCs w:val="18"/>
                <w:highlight w:val="none"/>
                <w:lang w:val="en-US" w:eastAsia="zh-CN"/>
              </w:rPr>
              <w:t>916</w:t>
            </w:r>
          </w:p>
        </w:tc>
        <w:tc>
          <w:tcPr>
            <w:tcW w:w="1226" w:type="dxa"/>
            <w:tcBorders>
              <w:top w:val="nil"/>
              <w:left w:val="nil"/>
              <w:bottom w:val="single" w:color="auto" w:sz="4" w:space="0"/>
              <w:right w:val="single" w:color="auto" w:sz="4" w:space="0"/>
            </w:tcBorders>
            <w:shd w:val="clear" w:color="auto" w:fill="auto"/>
            <w:noWrap/>
            <w:vAlign w:val="center"/>
          </w:tcPr>
          <w:p w14:paraId="20B0EA8D">
            <w:pPr>
              <w:widowControl/>
              <w:adjustRightInd/>
              <w:spacing w:line="240" w:lineRule="auto"/>
              <w:jc w:val="center"/>
              <w:textAlignment w:val="auto"/>
              <w:rPr>
                <w:rFonts w:hint="default" w:ascii="华文细黑" w:hAnsi="华文细黑" w:eastAsia="华文细黑" w:cs="Arial"/>
                <w:sz w:val="18"/>
                <w:szCs w:val="18"/>
                <w:highlight w:val="none"/>
                <w:lang w:val="en-US" w:eastAsia="zh-CN"/>
              </w:rPr>
            </w:pPr>
            <w:r>
              <w:rPr>
                <w:rFonts w:hint="eastAsia" w:ascii="华文细黑" w:hAnsi="华文细黑" w:eastAsia="华文细黑" w:cs="Arial"/>
                <w:sz w:val="18"/>
                <w:szCs w:val="18"/>
                <w:highlight w:val="none"/>
                <w:lang w:val="en-US" w:eastAsia="zh-CN"/>
              </w:rPr>
              <w:t>78073.23</w:t>
            </w:r>
          </w:p>
        </w:tc>
      </w:tr>
      <w:tr w14:paraId="39E3A7B7">
        <w:tblPrEx>
          <w:tblCellMar>
            <w:top w:w="0" w:type="dxa"/>
            <w:left w:w="108" w:type="dxa"/>
            <w:bottom w:w="0" w:type="dxa"/>
            <w:right w:w="108" w:type="dxa"/>
          </w:tblCellMar>
        </w:tblPrEx>
        <w:trPr>
          <w:trHeight w:val="408" w:hRule="atLeast"/>
        </w:trPr>
        <w:tc>
          <w:tcPr>
            <w:tcW w:w="779" w:type="dxa"/>
            <w:vMerge w:val="continue"/>
            <w:tcBorders>
              <w:left w:val="single" w:color="auto" w:sz="4" w:space="0"/>
              <w:right w:val="single" w:color="auto" w:sz="4" w:space="0"/>
            </w:tcBorders>
            <w:vAlign w:val="center"/>
          </w:tcPr>
          <w:p w14:paraId="2452DDB7">
            <w:pPr>
              <w:widowControl/>
              <w:adjustRightInd/>
              <w:spacing w:line="240" w:lineRule="auto"/>
              <w:jc w:val="both"/>
              <w:textAlignment w:val="auto"/>
              <w:rPr>
                <w:rFonts w:hint="eastAsia" w:ascii="华文细黑" w:hAnsi="华文细黑" w:eastAsia="华文细黑" w:cs="Arial"/>
                <w:b/>
                <w:bCs/>
                <w:sz w:val="18"/>
                <w:szCs w:val="18"/>
                <w:highlight w:val="none"/>
                <w:lang w:val="en-US" w:eastAsia="zh-CN"/>
              </w:rPr>
            </w:pPr>
          </w:p>
        </w:tc>
        <w:tc>
          <w:tcPr>
            <w:tcW w:w="1332" w:type="dxa"/>
            <w:tcBorders>
              <w:top w:val="nil"/>
              <w:left w:val="nil"/>
              <w:bottom w:val="single" w:color="auto" w:sz="4" w:space="0"/>
              <w:right w:val="single" w:color="auto" w:sz="4" w:space="0"/>
            </w:tcBorders>
            <w:shd w:val="clear" w:color="auto" w:fill="auto"/>
            <w:noWrap/>
            <w:vAlign w:val="center"/>
          </w:tcPr>
          <w:p w14:paraId="1F25A121">
            <w:pPr>
              <w:widowControl/>
              <w:adjustRightInd/>
              <w:spacing w:line="240" w:lineRule="auto"/>
              <w:jc w:val="center"/>
              <w:textAlignment w:val="auto"/>
              <w:rPr>
                <w:rFonts w:hint="default" w:ascii="华文细黑" w:hAnsi="华文细黑" w:eastAsia="华文细黑" w:cs="Arial"/>
                <w:sz w:val="18"/>
                <w:szCs w:val="18"/>
                <w:highlight w:val="none"/>
                <w:lang w:val="en-US" w:eastAsia="zh-CN"/>
              </w:rPr>
            </w:pPr>
            <w:r>
              <w:rPr>
                <w:rFonts w:hint="eastAsia" w:ascii="华文细黑" w:hAnsi="华文细黑" w:eastAsia="华文细黑" w:cs="Arial"/>
                <w:sz w:val="18"/>
                <w:szCs w:val="18"/>
                <w:highlight w:val="none"/>
                <w:lang w:val="en-US" w:eastAsia="zh-CN"/>
              </w:rPr>
              <w:t>73.53</w:t>
            </w:r>
          </w:p>
        </w:tc>
        <w:tc>
          <w:tcPr>
            <w:tcW w:w="4482" w:type="dxa"/>
            <w:tcBorders>
              <w:top w:val="nil"/>
              <w:left w:val="nil"/>
              <w:bottom w:val="single" w:color="auto" w:sz="4" w:space="0"/>
              <w:right w:val="single" w:color="auto" w:sz="4" w:space="0"/>
            </w:tcBorders>
            <w:shd w:val="clear" w:color="auto" w:fill="auto"/>
            <w:noWrap/>
            <w:vAlign w:val="center"/>
          </w:tcPr>
          <w:p w14:paraId="5D202D5D">
            <w:pPr>
              <w:widowControl/>
              <w:adjustRightInd/>
              <w:spacing w:line="240" w:lineRule="auto"/>
              <w:jc w:val="center"/>
              <w:textAlignment w:val="auto"/>
              <w:rPr>
                <w:rFonts w:ascii="华文细黑" w:hAnsi="华文细黑" w:eastAsia="华文细黑" w:cs="Arial"/>
                <w:sz w:val="18"/>
                <w:szCs w:val="18"/>
                <w:highlight w:val="none"/>
              </w:rPr>
            </w:pPr>
            <w:r>
              <w:rPr>
                <w:rFonts w:hint="eastAsia" w:ascii="华文细黑" w:hAnsi="华文细黑" w:eastAsia="华文细黑" w:cs="Arial"/>
                <w:sz w:val="18"/>
                <w:szCs w:val="18"/>
                <w:highlight w:val="none"/>
              </w:rPr>
              <w:t>育林街1号院1、2号楼</w:t>
            </w:r>
          </w:p>
        </w:tc>
        <w:tc>
          <w:tcPr>
            <w:tcW w:w="732" w:type="dxa"/>
            <w:tcBorders>
              <w:top w:val="nil"/>
              <w:left w:val="nil"/>
              <w:bottom w:val="single" w:color="auto" w:sz="4" w:space="0"/>
              <w:right w:val="single" w:color="auto" w:sz="4" w:space="0"/>
            </w:tcBorders>
            <w:shd w:val="clear" w:color="auto" w:fill="auto"/>
            <w:noWrap/>
            <w:vAlign w:val="center"/>
          </w:tcPr>
          <w:p w14:paraId="16A89667">
            <w:pPr>
              <w:widowControl/>
              <w:adjustRightInd/>
              <w:spacing w:line="240" w:lineRule="auto"/>
              <w:jc w:val="center"/>
              <w:textAlignment w:val="auto"/>
              <w:rPr>
                <w:rFonts w:ascii="华文细黑" w:hAnsi="华文细黑" w:eastAsia="华文细黑" w:cs="Arial"/>
                <w:sz w:val="18"/>
                <w:szCs w:val="18"/>
                <w:highlight w:val="none"/>
              </w:rPr>
            </w:pPr>
            <w:r>
              <w:rPr>
                <w:rFonts w:ascii="华文细黑" w:hAnsi="华文细黑" w:eastAsia="华文细黑" w:cs="Arial"/>
                <w:sz w:val="18"/>
                <w:szCs w:val="18"/>
                <w:highlight w:val="none"/>
              </w:rPr>
              <w:t>北</w:t>
            </w:r>
          </w:p>
        </w:tc>
        <w:tc>
          <w:tcPr>
            <w:tcW w:w="708" w:type="dxa"/>
            <w:tcBorders>
              <w:top w:val="nil"/>
              <w:left w:val="nil"/>
              <w:bottom w:val="single" w:color="auto" w:sz="4" w:space="0"/>
              <w:right w:val="single" w:color="auto" w:sz="4" w:space="0"/>
            </w:tcBorders>
            <w:shd w:val="clear" w:color="auto" w:fill="auto"/>
            <w:noWrap/>
            <w:vAlign w:val="center"/>
          </w:tcPr>
          <w:p w14:paraId="7B25ACAF">
            <w:pPr>
              <w:widowControl/>
              <w:adjustRightInd/>
              <w:spacing w:line="240" w:lineRule="auto"/>
              <w:jc w:val="center"/>
              <w:textAlignment w:val="auto"/>
              <w:rPr>
                <w:rFonts w:hint="default" w:ascii="华文细黑" w:hAnsi="华文细黑" w:eastAsia="华文细黑" w:cs="Arial"/>
                <w:sz w:val="18"/>
                <w:szCs w:val="18"/>
                <w:highlight w:val="none"/>
                <w:lang w:val="en-US" w:eastAsia="zh-CN"/>
              </w:rPr>
            </w:pPr>
            <w:r>
              <w:rPr>
                <w:rFonts w:hint="eastAsia" w:ascii="华文细黑" w:hAnsi="华文细黑" w:eastAsia="华文细黑" w:cs="Arial"/>
                <w:sz w:val="18"/>
                <w:szCs w:val="18"/>
                <w:highlight w:val="none"/>
                <w:lang w:val="en-US" w:eastAsia="zh-CN"/>
              </w:rPr>
              <w:t>17</w:t>
            </w:r>
          </w:p>
        </w:tc>
        <w:tc>
          <w:tcPr>
            <w:tcW w:w="1226" w:type="dxa"/>
            <w:tcBorders>
              <w:top w:val="nil"/>
              <w:left w:val="nil"/>
              <w:bottom w:val="single" w:color="auto" w:sz="4" w:space="0"/>
              <w:right w:val="single" w:color="auto" w:sz="4" w:space="0"/>
            </w:tcBorders>
            <w:shd w:val="clear" w:color="auto" w:fill="auto"/>
            <w:noWrap/>
            <w:vAlign w:val="center"/>
          </w:tcPr>
          <w:p w14:paraId="1384DBD5">
            <w:pPr>
              <w:widowControl/>
              <w:adjustRightInd/>
              <w:spacing w:line="240" w:lineRule="auto"/>
              <w:jc w:val="center"/>
              <w:textAlignment w:val="auto"/>
              <w:rPr>
                <w:rFonts w:hint="default" w:ascii="华文细黑" w:hAnsi="华文细黑" w:eastAsia="华文细黑" w:cs="Arial"/>
                <w:sz w:val="18"/>
                <w:szCs w:val="18"/>
                <w:highlight w:val="none"/>
                <w:lang w:val="en-US" w:eastAsia="zh-CN"/>
              </w:rPr>
            </w:pPr>
            <w:r>
              <w:rPr>
                <w:rFonts w:hint="eastAsia" w:ascii="华文细黑" w:hAnsi="华文细黑" w:eastAsia="华文细黑" w:cs="Arial"/>
                <w:sz w:val="18"/>
                <w:szCs w:val="18"/>
                <w:highlight w:val="none"/>
                <w:lang w:val="en-US" w:eastAsia="zh-CN"/>
              </w:rPr>
              <w:t>1250.01</w:t>
            </w:r>
          </w:p>
        </w:tc>
      </w:tr>
      <w:tr w14:paraId="0CD0C4DC">
        <w:tblPrEx>
          <w:tblCellMar>
            <w:top w:w="0" w:type="dxa"/>
            <w:left w:w="108" w:type="dxa"/>
            <w:bottom w:w="0" w:type="dxa"/>
            <w:right w:w="108" w:type="dxa"/>
          </w:tblCellMar>
        </w:tblPrEx>
        <w:trPr>
          <w:trHeight w:val="408" w:hRule="atLeast"/>
        </w:trPr>
        <w:tc>
          <w:tcPr>
            <w:tcW w:w="779" w:type="dxa"/>
            <w:vMerge w:val="continue"/>
            <w:tcBorders>
              <w:left w:val="single" w:color="auto" w:sz="4" w:space="0"/>
              <w:bottom w:val="single" w:color="auto" w:sz="4" w:space="0"/>
              <w:right w:val="single" w:color="auto" w:sz="4" w:space="0"/>
            </w:tcBorders>
            <w:vAlign w:val="center"/>
          </w:tcPr>
          <w:p w14:paraId="28910F79">
            <w:pPr>
              <w:widowControl/>
              <w:adjustRightInd/>
              <w:spacing w:line="240" w:lineRule="auto"/>
              <w:jc w:val="both"/>
              <w:textAlignment w:val="auto"/>
              <w:rPr>
                <w:rFonts w:hint="eastAsia" w:ascii="华文细黑" w:hAnsi="华文细黑" w:eastAsia="华文细黑" w:cs="Arial"/>
                <w:b/>
                <w:bCs/>
                <w:sz w:val="18"/>
                <w:szCs w:val="18"/>
                <w:highlight w:val="none"/>
                <w:lang w:val="en-US" w:eastAsia="zh-CN"/>
              </w:rPr>
            </w:pPr>
          </w:p>
        </w:tc>
        <w:tc>
          <w:tcPr>
            <w:tcW w:w="1332" w:type="dxa"/>
            <w:tcBorders>
              <w:top w:val="nil"/>
              <w:left w:val="nil"/>
              <w:bottom w:val="single" w:color="auto" w:sz="4" w:space="0"/>
              <w:right w:val="single" w:color="auto" w:sz="4" w:space="0"/>
            </w:tcBorders>
            <w:shd w:val="clear" w:color="auto" w:fill="auto"/>
            <w:noWrap/>
            <w:vAlign w:val="center"/>
          </w:tcPr>
          <w:p w14:paraId="0296D901">
            <w:pPr>
              <w:widowControl/>
              <w:adjustRightInd/>
              <w:spacing w:line="240" w:lineRule="auto"/>
              <w:jc w:val="center"/>
              <w:textAlignment w:val="auto"/>
              <w:rPr>
                <w:rFonts w:hint="default" w:ascii="华文细黑" w:hAnsi="华文细黑" w:eastAsia="华文细黑" w:cs="Arial"/>
                <w:b/>
                <w:bCs/>
                <w:sz w:val="18"/>
                <w:szCs w:val="18"/>
                <w:highlight w:val="none"/>
                <w:lang w:val="en-US" w:eastAsia="zh-CN"/>
              </w:rPr>
            </w:pPr>
            <w:r>
              <w:rPr>
                <w:rFonts w:hint="eastAsia" w:ascii="华文细黑" w:hAnsi="华文细黑" w:eastAsia="华文细黑" w:cs="Arial"/>
                <w:b/>
                <w:bCs/>
                <w:sz w:val="18"/>
                <w:szCs w:val="18"/>
                <w:highlight w:val="none"/>
                <w:lang w:val="en-US" w:eastAsia="zh-CN"/>
              </w:rPr>
              <w:t>小计</w:t>
            </w:r>
          </w:p>
        </w:tc>
        <w:tc>
          <w:tcPr>
            <w:tcW w:w="4482" w:type="dxa"/>
            <w:tcBorders>
              <w:top w:val="nil"/>
              <w:left w:val="nil"/>
              <w:bottom w:val="single" w:color="auto" w:sz="4" w:space="0"/>
              <w:right w:val="single" w:color="auto" w:sz="4" w:space="0"/>
            </w:tcBorders>
            <w:shd w:val="clear" w:color="auto" w:fill="auto"/>
            <w:noWrap/>
            <w:vAlign w:val="center"/>
          </w:tcPr>
          <w:p w14:paraId="2A0546F5">
            <w:pPr>
              <w:widowControl/>
              <w:adjustRightInd/>
              <w:spacing w:line="240" w:lineRule="auto"/>
              <w:jc w:val="center"/>
              <w:textAlignment w:val="auto"/>
              <w:rPr>
                <w:rFonts w:hint="eastAsia" w:ascii="华文细黑" w:hAnsi="华文细黑" w:eastAsia="华文细黑" w:cs="Arial"/>
                <w:b/>
                <w:bCs/>
                <w:sz w:val="18"/>
                <w:szCs w:val="18"/>
                <w:highlight w:val="none"/>
                <w:lang w:val="en-US" w:eastAsia="zh-CN"/>
              </w:rPr>
            </w:pPr>
            <w:r>
              <w:rPr>
                <w:rFonts w:hint="eastAsia" w:ascii="华文细黑" w:hAnsi="华文细黑" w:eastAsia="华文细黑" w:cs="Arial"/>
                <w:b/>
                <w:bCs/>
                <w:sz w:val="18"/>
                <w:szCs w:val="18"/>
                <w:highlight w:val="none"/>
                <w:lang w:val="en-US" w:eastAsia="zh-CN"/>
              </w:rPr>
              <w:t>-</w:t>
            </w:r>
          </w:p>
        </w:tc>
        <w:tc>
          <w:tcPr>
            <w:tcW w:w="732" w:type="dxa"/>
            <w:tcBorders>
              <w:top w:val="nil"/>
              <w:left w:val="nil"/>
              <w:bottom w:val="single" w:color="auto" w:sz="4" w:space="0"/>
              <w:right w:val="single" w:color="auto" w:sz="4" w:space="0"/>
            </w:tcBorders>
            <w:shd w:val="clear" w:color="auto" w:fill="auto"/>
            <w:noWrap/>
            <w:vAlign w:val="center"/>
          </w:tcPr>
          <w:p w14:paraId="6DA1DD61">
            <w:pPr>
              <w:widowControl/>
              <w:adjustRightInd/>
              <w:spacing w:line="240" w:lineRule="auto"/>
              <w:jc w:val="center"/>
              <w:textAlignment w:val="auto"/>
              <w:rPr>
                <w:rFonts w:hint="eastAsia" w:ascii="华文细黑" w:hAnsi="华文细黑" w:eastAsia="华文细黑" w:cs="Arial"/>
                <w:b/>
                <w:bCs/>
                <w:sz w:val="18"/>
                <w:szCs w:val="18"/>
                <w:highlight w:val="none"/>
                <w:lang w:val="en-US" w:eastAsia="zh-CN"/>
              </w:rPr>
            </w:pPr>
            <w:r>
              <w:rPr>
                <w:rFonts w:hint="eastAsia" w:ascii="华文细黑" w:hAnsi="华文细黑" w:eastAsia="华文细黑" w:cs="Arial"/>
                <w:b/>
                <w:bCs/>
                <w:sz w:val="18"/>
                <w:szCs w:val="18"/>
                <w:highlight w:val="none"/>
                <w:lang w:val="en-US" w:eastAsia="zh-CN"/>
              </w:rPr>
              <w:t>-</w:t>
            </w:r>
          </w:p>
        </w:tc>
        <w:tc>
          <w:tcPr>
            <w:tcW w:w="708" w:type="dxa"/>
            <w:tcBorders>
              <w:top w:val="nil"/>
              <w:left w:val="nil"/>
              <w:bottom w:val="single" w:color="auto" w:sz="4" w:space="0"/>
              <w:right w:val="single" w:color="auto" w:sz="4" w:space="0"/>
            </w:tcBorders>
            <w:shd w:val="clear" w:color="auto" w:fill="auto"/>
            <w:noWrap/>
            <w:vAlign w:val="center"/>
          </w:tcPr>
          <w:p w14:paraId="05E4780C">
            <w:pPr>
              <w:widowControl/>
              <w:adjustRightInd/>
              <w:spacing w:line="240" w:lineRule="auto"/>
              <w:jc w:val="center"/>
              <w:textAlignment w:val="auto"/>
              <w:rPr>
                <w:rFonts w:hint="default" w:ascii="华文细黑" w:hAnsi="华文细黑" w:eastAsia="华文细黑" w:cs="Arial"/>
                <w:b/>
                <w:bCs/>
                <w:sz w:val="18"/>
                <w:szCs w:val="18"/>
                <w:highlight w:val="none"/>
                <w:lang w:val="en-US" w:eastAsia="zh-CN"/>
              </w:rPr>
            </w:pPr>
            <w:r>
              <w:rPr>
                <w:rFonts w:hint="eastAsia" w:ascii="华文细黑" w:hAnsi="华文细黑" w:eastAsia="华文细黑" w:cs="Arial"/>
                <w:b/>
                <w:bCs/>
                <w:sz w:val="18"/>
                <w:szCs w:val="18"/>
                <w:highlight w:val="none"/>
                <w:lang w:val="en-US" w:eastAsia="zh-CN"/>
              </w:rPr>
              <w:t>933</w:t>
            </w:r>
          </w:p>
        </w:tc>
        <w:tc>
          <w:tcPr>
            <w:tcW w:w="1226" w:type="dxa"/>
            <w:tcBorders>
              <w:top w:val="nil"/>
              <w:left w:val="nil"/>
              <w:bottom w:val="single" w:color="auto" w:sz="4" w:space="0"/>
              <w:right w:val="single" w:color="auto" w:sz="4" w:space="0"/>
            </w:tcBorders>
            <w:shd w:val="clear" w:color="auto" w:fill="auto"/>
            <w:noWrap/>
            <w:vAlign w:val="center"/>
          </w:tcPr>
          <w:p w14:paraId="5E396671">
            <w:pPr>
              <w:widowControl/>
              <w:adjustRightInd/>
              <w:spacing w:line="240" w:lineRule="auto"/>
              <w:jc w:val="center"/>
              <w:textAlignment w:val="auto"/>
              <w:rPr>
                <w:rFonts w:hint="default" w:ascii="华文细黑" w:hAnsi="华文细黑" w:eastAsia="华文细黑" w:cs="Arial"/>
                <w:b/>
                <w:bCs/>
                <w:sz w:val="18"/>
                <w:szCs w:val="18"/>
                <w:highlight w:val="none"/>
                <w:lang w:val="en-US" w:eastAsia="zh-CN"/>
              </w:rPr>
            </w:pPr>
            <w:r>
              <w:rPr>
                <w:rFonts w:hint="eastAsia" w:ascii="华文细黑" w:hAnsi="华文细黑" w:eastAsia="华文细黑" w:cs="Arial"/>
                <w:b/>
                <w:bCs/>
                <w:sz w:val="18"/>
                <w:szCs w:val="18"/>
                <w:highlight w:val="none"/>
                <w:lang w:val="en-US" w:eastAsia="zh-CN"/>
              </w:rPr>
              <w:t>79323.24</w:t>
            </w:r>
          </w:p>
        </w:tc>
      </w:tr>
      <w:tr w14:paraId="56CF5B53">
        <w:tblPrEx>
          <w:tblCellMar>
            <w:top w:w="0" w:type="dxa"/>
            <w:left w:w="108" w:type="dxa"/>
            <w:bottom w:w="0" w:type="dxa"/>
            <w:right w:w="108" w:type="dxa"/>
          </w:tblCellMar>
        </w:tblPrEx>
        <w:trPr>
          <w:trHeight w:val="276" w:hRule="atLeast"/>
        </w:trPr>
        <w:tc>
          <w:tcPr>
            <w:tcW w:w="779" w:type="dxa"/>
            <w:vMerge w:val="restart"/>
            <w:tcBorders>
              <w:top w:val="nil"/>
              <w:left w:val="single" w:color="auto" w:sz="4" w:space="0"/>
              <w:right w:val="single" w:color="auto" w:sz="4" w:space="0"/>
            </w:tcBorders>
            <w:vAlign w:val="center"/>
          </w:tcPr>
          <w:p w14:paraId="1A9D5E4B">
            <w:pPr>
              <w:widowControl/>
              <w:adjustRightInd/>
              <w:spacing w:line="240" w:lineRule="auto"/>
              <w:jc w:val="center"/>
              <w:textAlignment w:val="auto"/>
              <w:rPr>
                <w:rFonts w:ascii="华文细黑" w:hAnsi="华文细黑" w:eastAsia="华文细黑" w:cs="Arial"/>
                <w:b/>
                <w:bCs/>
                <w:sz w:val="18"/>
                <w:szCs w:val="18"/>
                <w:highlight w:val="none"/>
              </w:rPr>
            </w:pPr>
            <w:r>
              <w:rPr>
                <w:rFonts w:hint="eastAsia" w:ascii="华文细黑" w:hAnsi="华文细黑" w:eastAsia="华文细黑" w:cs="Arial"/>
                <w:b/>
                <w:bCs/>
                <w:sz w:val="18"/>
                <w:szCs w:val="18"/>
                <w:highlight w:val="none"/>
                <w:lang w:val="en-US" w:eastAsia="zh-CN"/>
              </w:rPr>
              <w:t>三居室</w:t>
            </w:r>
          </w:p>
        </w:tc>
        <w:tc>
          <w:tcPr>
            <w:tcW w:w="1332" w:type="dxa"/>
            <w:tcBorders>
              <w:top w:val="nil"/>
              <w:left w:val="nil"/>
              <w:bottom w:val="single" w:color="auto" w:sz="4" w:space="0"/>
              <w:right w:val="single" w:color="auto" w:sz="4" w:space="0"/>
            </w:tcBorders>
            <w:shd w:val="clear" w:color="auto" w:fill="auto"/>
            <w:noWrap/>
            <w:vAlign w:val="center"/>
          </w:tcPr>
          <w:p w14:paraId="50C7A5E4">
            <w:pPr>
              <w:widowControl/>
              <w:adjustRightInd/>
              <w:spacing w:line="240" w:lineRule="auto"/>
              <w:jc w:val="center"/>
              <w:textAlignment w:val="auto"/>
              <w:rPr>
                <w:rFonts w:ascii="华文细黑" w:hAnsi="华文细黑" w:eastAsia="华文细黑" w:cs="Arial"/>
                <w:sz w:val="18"/>
                <w:szCs w:val="18"/>
                <w:highlight w:val="none"/>
              </w:rPr>
            </w:pPr>
            <w:r>
              <w:rPr>
                <w:rFonts w:hint="eastAsia" w:ascii="华文细黑" w:hAnsi="华文细黑" w:eastAsia="华文细黑" w:cs="Arial"/>
                <w:sz w:val="18"/>
                <w:szCs w:val="18"/>
                <w:highlight w:val="none"/>
              </w:rPr>
              <w:t>90.99-129.32</w:t>
            </w:r>
          </w:p>
        </w:tc>
        <w:tc>
          <w:tcPr>
            <w:tcW w:w="4482" w:type="dxa"/>
            <w:tcBorders>
              <w:top w:val="nil"/>
              <w:left w:val="nil"/>
              <w:bottom w:val="single" w:color="auto" w:sz="4" w:space="0"/>
              <w:right w:val="single" w:color="auto" w:sz="4" w:space="0"/>
            </w:tcBorders>
            <w:shd w:val="clear" w:color="auto" w:fill="auto"/>
            <w:noWrap/>
            <w:vAlign w:val="center"/>
          </w:tcPr>
          <w:p w14:paraId="3E4EDF2E">
            <w:pPr>
              <w:widowControl/>
              <w:adjustRightInd/>
              <w:spacing w:line="240" w:lineRule="auto"/>
              <w:jc w:val="center"/>
              <w:textAlignment w:val="auto"/>
              <w:rPr>
                <w:rFonts w:ascii="华文细黑" w:hAnsi="华文细黑" w:eastAsia="华文细黑" w:cs="Arial"/>
                <w:sz w:val="18"/>
                <w:szCs w:val="18"/>
                <w:highlight w:val="none"/>
              </w:rPr>
            </w:pPr>
            <w:r>
              <w:rPr>
                <w:rFonts w:hint="eastAsia" w:ascii="华文细黑" w:hAnsi="华文细黑" w:eastAsia="华文细黑" w:cs="Arial"/>
                <w:sz w:val="18"/>
                <w:szCs w:val="18"/>
                <w:highlight w:val="none"/>
              </w:rPr>
              <w:t>育林街1号院9、16号楼；育林街2号院7、8、10、11、12、18号楼；育林街8号院8号楼</w:t>
            </w:r>
          </w:p>
        </w:tc>
        <w:tc>
          <w:tcPr>
            <w:tcW w:w="732" w:type="dxa"/>
            <w:tcBorders>
              <w:top w:val="nil"/>
              <w:left w:val="nil"/>
              <w:bottom w:val="single" w:color="auto" w:sz="4" w:space="0"/>
              <w:right w:val="single" w:color="auto" w:sz="4" w:space="0"/>
            </w:tcBorders>
            <w:shd w:val="clear" w:color="auto" w:fill="auto"/>
            <w:noWrap/>
            <w:vAlign w:val="center"/>
          </w:tcPr>
          <w:p w14:paraId="5C7FA834">
            <w:pPr>
              <w:widowControl/>
              <w:adjustRightInd/>
              <w:spacing w:line="240" w:lineRule="auto"/>
              <w:jc w:val="center"/>
              <w:textAlignment w:val="auto"/>
              <w:rPr>
                <w:rFonts w:ascii="华文细黑" w:hAnsi="华文细黑" w:eastAsia="华文细黑" w:cs="Arial"/>
                <w:sz w:val="18"/>
                <w:szCs w:val="18"/>
                <w:highlight w:val="none"/>
              </w:rPr>
            </w:pPr>
            <w:r>
              <w:rPr>
                <w:rFonts w:ascii="华文细黑" w:hAnsi="华文细黑" w:eastAsia="华文细黑" w:cs="Arial"/>
                <w:sz w:val="18"/>
                <w:szCs w:val="18"/>
                <w:highlight w:val="none"/>
              </w:rPr>
              <w:t>南北</w:t>
            </w:r>
          </w:p>
        </w:tc>
        <w:tc>
          <w:tcPr>
            <w:tcW w:w="708" w:type="dxa"/>
            <w:tcBorders>
              <w:top w:val="nil"/>
              <w:left w:val="nil"/>
              <w:bottom w:val="single" w:color="auto" w:sz="4" w:space="0"/>
              <w:right w:val="single" w:color="auto" w:sz="4" w:space="0"/>
            </w:tcBorders>
            <w:shd w:val="clear" w:color="auto" w:fill="auto"/>
            <w:noWrap/>
            <w:vAlign w:val="center"/>
          </w:tcPr>
          <w:p w14:paraId="484E3021">
            <w:pPr>
              <w:widowControl/>
              <w:adjustRightInd/>
              <w:spacing w:line="240" w:lineRule="auto"/>
              <w:jc w:val="center"/>
              <w:textAlignment w:val="auto"/>
              <w:rPr>
                <w:rFonts w:hint="default" w:ascii="华文细黑" w:hAnsi="华文细黑" w:eastAsia="华文细黑" w:cs="Arial"/>
                <w:sz w:val="18"/>
                <w:szCs w:val="18"/>
                <w:highlight w:val="none"/>
                <w:lang w:val="en-US" w:eastAsia="zh-CN"/>
              </w:rPr>
            </w:pPr>
            <w:r>
              <w:rPr>
                <w:rFonts w:hint="eastAsia" w:ascii="华文细黑" w:hAnsi="华文细黑" w:eastAsia="华文细黑" w:cs="Arial"/>
                <w:sz w:val="18"/>
                <w:szCs w:val="18"/>
                <w:highlight w:val="none"/>
                <w:lang w:val="en-US" w:eastAsia="zh-CN"/>
              </w:rPr>
              <w:t>13</w:t>
            </w:r>
          </w:p>
        </w:tc>
        <w:tc>
          <w:tcPr>
            <w:tcW w:w="1226" w:type="dxa"/>
            <w:tcBorders>
              <w:top w:val="nil"/>
              <w:left w:val="nil"/>
              <w:bottom w:val="single" w:color="auto" w:sz="4" w:space="0"/>
              <w:right w:val="single" w:color="auto" w:sz="4" w:space="0"/>
            </w:tcBorders>
            <w:shd w:val="clear" w:color="auto" w:fill="auto"/>
            <w:noWrap/>
            <w:vAlign w:val="center"/>
          </w:tcPr>
          <w:p w14:paraId="645627C4">
            <w:pPr>
              <w:widowControl/>
              <w:adjustRightInd/>
              <w:spacing w:line="240" w:lineRule="auto"/>
              <w:jc w:val="center"/>
              <w:textAlignment w:val="auto"/>
              <w:rPr>
                <w:rFonts w:ascii="华文细黑" w:hAnsi="华文细黑" w:eastAsia="华文细黑" w:cs="Arial"/>
                <w:sz w:val="18"/>
                <w:szCs w:val="18"/>
                <w:highlight w:val="none"/>
              </w:rPr>
            </w:pPr>
            <w:r>
              <w:rPr>
                <w:rFonts w:hint="eastAsia" w:ascii="华文细黑" w:hAnsi="华文细黑" w:eastAsia="华文细黑" w:cs="Arial"/>
                <w:sz w:val="18"/>
                <w:szCs w:val="18"/>
                <w:highlight w:val="none"/>
                <w:lang w:val="en-US" w:eastAsia="zh-CN"/>
              </w:rPr>
              <w:t>1561.82</w:t>
            </w:r>
          </w:p>
        </w:tc>
      </w:tr>
      <w:tr w14:paraId="55F3B742">
        <w:tblPrEx>
          <w:tblCellMar>
            <w:top w:w="0" w:type="dxa"/>
            <w:left w:w="108" w:type="dxa"/>
            <w:bottom w:w="0" w:type="dxa"/>
            <w:right w:w="108" w:type="dxa"/>
          </w:tblCellMar>
        </w:tblPrEx>
        <w:trPr>
          <w:trHeight w:val="276" w:hRule="atLeast"/>
        </w:trPr>
        <w:tc>
          <w:tcPr>
            <w:tcW w:w="779" w:type="dxa"/>
            <w:vMerge w:val="continue"/>
            <w:tcBorders>
              <w:left w:val="single" w:color="auto" w:sz="4" w:space="0"/>
              <w:bottom w:val="single" w:color="auto" w:sz="4" w:space="0"/>
              <w:right w:val="single" w:color="auto" w:sz="4" w:space="0"/>
            </w:tcBorders>
            <w:vAlign w:val="center"/>
          </w:tcPr>
          <w:p w14:paraId="513B6998">
            <w:pPr>
              <w:widowControl/>
              <w:adjustRightInd/>
              <w:spacing w:line="240" w:lineRule="auto"/>
              <w:jc w:val="center"/>
              <w:textAlignment w:val="auto"/>
              <w:rPr>
                <w:rFonts w:hint="eastAsia" w:ascii="华文细黑" w:hAnsi="华文细黑" w:eastAsia="华文细黑" w:cs="Arial"/>
                <w:b/>
                <w:bCs/>
                <w:sz w:val="18"/>
                <w:szCs w:val="18"/>
                <w:highlight w:val="none"/>
                <w:lang w:val="en-US" w:eastAsia="zh-CN"/>
              </w:rPr>
            </w:pPr>
          </w:p>
        </w:tc>
        <w:tc>
          <w:tcPr>
            <w:tcW w:w="1332" w:type="dxa"/>
            <w:tcBorders>
              <w:top w:val="nil"/>
              <w:left w:val="nil"/>
              <w:bottom w:val="single" w:color="auto" w:sz="4" w:space="0"/>
              <w:right w:val="single" w:color="auto" w:sz="4" w:space="0"/>
            </w:tcBorders>
            <w:shd w:val="clear" w:color="auto" w:fill="auto"/>
            <w:noWrap/>
            <w:vAlign w:val="center"/>
          </w:tcPr>
          <w:p w14:paraId="36A89998">
            <w:pPr>
              <w:widowControl/>
              <w:adjustRightInd/>
              <w:spacing w:line="240" w:lineRule="auto"/>
              <w:jc w:val="center"/>
              <w:textAlignment w:val="auto"/>
              <w:rPr>
                <w:rFonts w:hint="eastAsia" w:ascii="华文细黑" w:hAnsi="华文细黑" w:eastAsia="华文细黑" w:cs="Arial"/>
                <w:b/>
                <w:bCs/>
                <w:sz w:val="18"/>
                <w:szCs w:val="18"/>
                <w:highlight w:val="none"/>
              </w:rPr>
            </w:pPr>
            <w:r>
              <w:rPr>
                <w:rFonts w:hint="eastAsia" w:ascii="华文细黑" w:hAnsi="华文细黑" w:eastAsia="华文细黑" w:cs="Arial"/>
                <w:b/>
                <w:bCs/>
                <w:sz w:val="18"/>
                <w:szCs w:val="18"/>
                <w:highlight w:val="none"/>
                <w:lang w:val="en-US" w:eastAsia="zh-CN"/>
              </w:rPr>
              <w:t>小计</w:t>
            </w:r>
          </w:p>
        </w:tc>
        <w:tc>
          <w:tcPr>
            <w:tcW w:w="4482" w:type="dxa"/>
            <w:tcBorders>
              <w:top w:val="nil"/>
              <w:left w:val="nil"/>
              <w:bottom w:val="single" w:color="auto" w:sz="4" w:space="0"/>
              <w:right w:val="single" w:color="auto" w:sz="4" w:space="0"/>
            </w:tcBorders>
            <w:shd w:val="clear" w:color="auto" w:fill="auto"/>
            <w:noWrap/>
            <w:vAlign w:val="center"/>
          </w:tcPr>
          <w:p w14:paraId="4269E418">
            <w:pPr>
              <w:widowControl/>
              <w:adjustRightInd/>
              <w:spacing w:line="240" w:lineRule="auto"/>
              <w:jc w:val="center"/>
              <w:textAlignment w:val="auto"/>
              <w:rPr>
                <w:rFonts w:hint="eastAsia" w:ascii="华文细黑" w:hAnsi="华文细黑" w:eastAsia="华文细黑" w:cs="Arial"/>
                <w:b/>
                <w:bCs/>
                <w:sz w:val="18"/>
                <w:szCs w:val="18"/>
                <w:highlight w:val="none"/>
                <w:lang w:val="en-US" w:eastAsia="zh-CN"/>
              </w:rPr>
            </w:pPr>
            <w:r>
              <w:rPr>
                <w:rFonts w:hint="eastAsia" w:ascii="华文细黑" w:hAnsi="华文细黑" w:eastAsia="华文细黑" w:cs="Arial"/>
                <w:b/>
                <w:bCs/>
                <w:sz w:val="18"/>
                <w:szCs w:val="18"/>
                <w:highlight w:val="none"/>
                <w:lang w:val="en-US" w:eastAsia="zh-CN"/>
              </w:rPr>
              <w:t>-</w:t>
            </w:r>
          </w:p>
        </w:tc>
        <w:tc>
          <w:tcPr>
            <w:tcW w:w="732" w:type="dxa"/>
            <w:tcBorders>
              <w:top w:val="nil"/>
              <w:left w:val="nil"/>
              <w:bottom w:val="single" w:color="auto" w:sz="4" w:space="0"/>
              <w:right w:val="single" w:color="auto" w:sz="4" w:space="0"/>
            </w:tcBorders>
            <w:shd w:val="clear" w:color="auto" w:fill="auto"/>
            <w:noWrap/>
            <w:vAlign w:val="center"/>
          </w:tcPr>
          <w:p w14:paraId="6C8D7C6D">
            <w:pPr>
              <w:widowControl/>
              <w:adjustRightInd/>
              <w:spacing w:line="240" w:lineRule="auto"/>
              <w:jc w:val="center"/>
              <w:textAlignment w:val="auto"/>
              <w:rPr>
                <w:rFonts w:hint="eastAsia" w:ascii="华文细黑" w:hAnsi="华文细黑" w:eastAsia="华文细黑" w:cs="Arial"/>
                <w:b/>
                <w:bCs/>
                <w:sz w:val="18"/>
                <w:szCs w:val="18"/>
                <w:highlight w:val="none"/>
                <w:lang w:val="en-US" w:eastAsia="zh-CN"/>
              </w:rPr>
            </w:pPr>
            <w:r>
              <w:rPr>
                <w:rFonts w:hint="eastAsia" w:ascii="华文细黑" w:hAnsi="华文细黑" w:eastAsia="华文细黑" w:cs="Arial"/>
                <w:b/>
                <w:bCs/>
                <w:sz w:val="18"/>
                <w:szCs w:val="18"/>
                <w:highlight w:val="none"/>
                <w:lang w:val="en-US" w:eastAsia="zh-CN"/>
              </w:rPr>
              <w:t>-</w:t>
            </w:r>
          </w:p>
        </w:tc>
        <w:tc>
          <w:tcPr>
            <w:tcW w:w="708" w:type="dxa"/>
            <w:tcBorders>
              <w:top w:val="nil"/>
              <w:left w:val="nil"/>
              <w:bottom w:val="single" w:color="auto" w:sz="4" w:space="0"/>
              <w:right w:val="single" w:color="auto" w:sz="4" w:space="0"/>
            </w:tcBorders>
            <w:shd w:val="clear" w:color="auto" w:fill="auto"/>
            <w:noWrap/>
            <w:vAlign w:val="center"/>
          </w:tcPr>
          <w:p w14:paraId="04D4B0F0">
            <w:pPr>
              <w:widowControl/>
              <w:adjustRightInd/>
              <w:spacing w:line="240" w:lineRule="auto"/>
              <w:jc w:val="center"/>
              <w:textAlignment w:val="auto"/>
              <w:rPr>
                <w:rFonts w:hint="default" w:ascii="华文细黑" w:hAnsi="华文细黑" w:eastAsia="华文细黑" w:cs="Arial"/>
                <w:b/>
                <w:bCs/>
                <w:sz w:val="18"/>
                <w:szCs w:val="18"/>
                <w:highlight w:val="none"/>
                <w:lang w:val="en-US" w:eastAsia="zh-CN"/>
              </w:rPr>
            </w:pPr>
            <w:r>
              <w:rPr>
                <w:rFonts w:hint="eastAsia" w:ascii="华文细黑" w:hAnsi="华文细黑" w:eastAsia="华文细黑" w:cs="Arial"/>
                <w:b/>
                <w:bCs/>
                <w:sz w:val="18"/>
                <w:szCs w:val="18"/>
                <w:highlight w:val="none"/>
                <w:lang w:val="en-US" w:eastAsia="zh-CN"/>
              </w:rPr>
              <w:t>13</w:t>
            </w:r>
          </w:p>
        </w:tc>
        <w:tc>
          <w:tcPr>
            <w:tcW w:w="1226" w:type="dxa"/>
            <w:tcBorders>
              <w:top w:val="nil"/>
              <w:left w:val="nil"/>
              <w:bottom w:val="single" w:color="auto" w:sz="4" w:space="0"/>
              <w:right w:val="single" w:color="auto" w:sz="4" w:space="0"/>
            </w:tcBorders>
            <w:shd w:val="clear" w:color="auto" w:fill="auto"/>
            <w:noWrap/>
            <w:vAlign w:val="center"/>
          </w:tcPr>
          <w:p w14:paraId="6A24FB06">
            <w:pPr>
              <w:widowControl/>
              <w:adjustRightInd/>
              <w:spacing w:line="240" w:lineRule="auto"/>
              <w:jc w:val="center"/>
              <w:textAlignment w:val="auto"/>
              <w:rPr>
                <w:rFonts w:hint="default" w:ascii="华文细黑" w:hAnsi="华文细黑" w:eastAsia="华文细黑" w:cs="Arial"/>
                <w:b/>
                <w:bCs/>
                <w:sz w:val="18"/>
                <w:szCs w:val="18"/>
                <w:highlight w:val="none"/>
                <w:lang w:val="en-US" w:eastAsia="zh-CN"/>
              </w:rPr>
            </w:pPr>
            <w:r>
              <w:rPr>
                <w:rFonts w:hint="eastAsia" w:ascii="华文细黑" w:hAnsi="华文细黑" w:eastAsia="华文细黑" w:cs="Arial"/>
                <w:b/>
                <w:bCs/>
                <w:sz w:val="18"/>
                <w:szCs w:val="18"/>
                <w:highlight w:val="none"/>
                <w:lang w:val="en-US" w:eastAsia="zh-CN"/>
              </w:rPr>
              <w:t>1564.82</w:t>
            </w:r>
          </w:p>
        </w:tc>
      </w:tr>
      <w:tr w14:paraId="436E788A">
        <w:tblPrEx>
          <w:tblCellMar>
            <w:top w:w="0" w:type="dxa"/>
            <w:left w:w="108" w:type="dxa"/>
            <w:bottom w:w="0" w:type="dxa"/>
            <w:right w:w="108" w:type="dxa"/>
          </w:tblCellMar>
        </w:tblPrEx>
        <w:trPr>
          <w:trHeight w:val="90" w:hRule="atLeast"/>
        </w:trPr>
        <w:tc>
          <w:tcPr>
            <w:tcW w:w="779" w:type="dxa"/>
            <w:tcBorders>
              <w:top w:val="nil"/>
              <w:left w:val="single" w:color="auto" w:sz="4" w:space="0"/>
              <w:bottom w:val="single" w:color="auto" w:sz="4" w:space="0"/>
              <w:right w:val="single" w:color="auto" w:sz="4" w:space="0"/>
            </w:tcBorders>
            <w:shd w:val="clear" w:color="auto" w:fill="auto"/>
            <w:noWrap/>
            <w:vAlign w:val="center"/>
          </w:tcPr>
          <w:p w14:paraId="07AEBA15">
            <w:pPr>
              <w:widowControl/>
              <w:adjustRightInd/>
              <w:spacing w:line="240" w:lineRule="auto"/>
              <w:jc w:val="center"/>
              <w:textAlignment w:val="auto"/>
              <w:rPr>
                <w:rFonts w:ascii="华文细黑" w:hAnsi="华文细黑" w:eastAsia="华文细黑" w:cs="Arial"/>
                <w:b/>
                <w:bCs/>
                <w:sz w:val="18"/>
                <w:szCs w:val="18"/>
                <w:highlight w:val="none"/>
              </w:rPr>
            </w:pPr>
            <w:r>
              <w:rPr>
                <w:rFonts w:ascii="华文细黑" w:hAnsi="华文细黑" w:eastAsia="华文细黑" w:cs="Arial"/>
                <w:b/>
                <w:bCs/>
                <w:sz w:val="18"/>
                <w:szCs w:val="18"/>
                <w:highlight w:val="none"/>
              </w:rPr>
              <w:t>合计</w:t>
            </w:r>
          </w:p>
        </w:tc>
        <w:tc>
          <w:tcPr>
            <w:tcW w:w="1332" w:type="dxa"/>
            <w:tcBorders>
              <w:top w:val="nil"/>
              <w:left w:val="nil"/>
              <w:bottom w:val="single" w:color="auto" w:sz="4" w:space="0"/>
              <w:right w:val="single" w:color="auto" w:sz="4" w:space="0"/>
            </w:tcBorders>
            <w:shd w:val="clear" w:color="auto" w:fill="auto"/>
            <w:noWrap/>
            <w:vAlign w:val="center"/>
          </w:tcPr>
          <w:p w14:paraId="415B1F02">
            <w:pPr>
              <w:widowControl/>
              <w:adjustRightInd/>
              <w:spacing w:line="240" w:lineRule="auto"/>
              <w:jc w:val="center"/>
              <w:textAlignment w:val="auto"/>
              <w:rPr>
                <w:rFonts w:ascii="华文细黑" w:hAnsi="华文细黑" w:eastAsia="华文细黑" w:cs="Arial"/>
                <w:b/>
                <w:bCs/>
                <w:sz w:val="18"/>
                <w:szCs w:val="18"/>
                <w:highlight w:val="none"/>
              </w:rPr>
            </w:pPr>
            <w:r>
              <w:rPr>
                <w:rFonts w:ascii="华文细黑" w:hAnsi="华文细黑" w:eastAsia="华文细黑" w:cs="Arial"/>
                <w:b/>
                <w:bCs/>
                <w:sz w:val="18"/>
                <w:szCs w:val="18"/>
                <w:highlight w:val="none"/>
              </w:rPr>
              <w:t>-</w:t>
            </w:r>
          </w:p>
        </w:tc>
        <w:tc>
          <w:tcPr>
            <w:tcW w:w="4482" w:type="dxa"/>
            <w:tcBorders>
              <w:top w:val="nil"/>
              <w:left w:val="nil"/>
              <w:bottom w:val="single" w:color="auto" w:sz="4" w:space="0"/>
              <w:right w:val="single" w:color="auto" w:sz="4" w:space="0"/>
            </w:tcBorders>
            <w:shd w:val="clear" w:color="auto" w:fill="auto"/>
            <w:noWrap/>
            <w:vAlign w:val="center"/>
          </w:tcPr>
          <w:p w14:paraId="52FA3A1F">
            <w:pPr>
              <w:widowControl/>
              <w:adjustRightInd/>
              <w:spacing w:line="240" w:lineRule="auto"/>
              <w:jc w:val="center"/>
              <w:textAlignment w:val="auto"/>
              <w:rPr>
                <w:rFonts w:ascii="华文细黑" w:hAnsi="华文细黑" w:eastAsia="华文细黑" w:cs="Arial"/>
                <w:b/>
                <w:bCs/>
                <w:sz w:val="18"/>
                <w:szCs w:val="18"/>
                <w:highlight w:val="none"/>
              </w:rPr>
            </w:pPr>
            <w:r>
              <w:rPr>
                <w:rFonts w:hint="eastAsia" w:ascii="华文细黑" w:hAnsi="华文细黑" w:eastAsia="华文细黑" w:cs="Arial"/>
                <w:b/>
                <w:bCs/>
                <w:sz w:val="18"/>
                <w:szCs w:val="18"/>
                <w:highlight w:val="none"/>
              </w:rPr>
              <w:t>-</w:t>
            </w:r>
          </w:p>
        </w:tc>
        <w:tc>
          <w:tcPr>
            <w:tcW w:w="732" w:type="dxa"/>
            <w:tcBorders>
              <w:top w:val="nil"/>
              <w:left w:val="nil"/>
              <w:bottom w:val="single" w:color="auto" w:sz="4" w:space="0"/>
              <w:right w:val="single" w:color="auto" w:sz="4" w:space="0"/>
            </w:tcBorders>
            <w:shd w:val="clear" w:color="auto" w:fill="auto"/>
            <w:noWrap/>
            <w:vAlign w:val="center"/>
          </w:tcPr>
          <w:p w14:paraId="7AF84B9D">
            <w:pPr>
              <w:widowControl/>
              <w:adjustRightInd/>
              <w:spacing w:line="240" w:lineRule="auto"/>
              <w:jc w:val="center"/>
              <w:textAlignment w:val="auto"/>
              <w:rPr>
                <w:rFonts w:ascii="华文细黑" w:hAnsi="华文细黑" w:eastAsia="华文细黑" w:cs="Arial"/>
                <w:b/>
                <w:bCs/>
                <w:sz w:val="18"/>
                <w:szCs w:val="18"/>
                <w:highlight w:val="none"/>
              </w:rPr>
            </w:pPr>
            <w:r>
              <w:rPr>
                <w:rFonts w:hint="eastAsia" w:ascii="华文细黑" w:hAnsi="华文细黑" w:eastAsia="华文细黑" w:cs="Arial"/>
                <w:b/>
                <w:bCs/>
                <w:sz w:val="18"/>
                <w:szCs w:val="18"/>
                <w:highlight w:val="none"/>
              </w:rPr>
              <w:t>-</w:t>
            </w:r>
          </w:p>
        </w:tc>
        <w:tc>
          <w:tcPr>
            <w:tcW w:w="708" w:type="dxa"/>
            <w:tcBorders>
              <w:top w:val="nil"/>
              <w:left w:val="nil"/>
              <w:bottom w:val="single" w:color="auto" w:sz="4" w:space="0"/>
              <w:right w:val="single" w:color="auto" w:sz="4" w:space="0"/>
            </w:tcBorders>
            <w:shd w:val="clear" w:color="auto" w:fill="auto"/>
            <w:noWrap/>
            <w:vAlign w:val="center"/>
          </w:tcPr>
          <w:p w14:paraId="377AED58">
            <w:pPr>
              <w:widowControl/>
              <w:adjustRightInd/>
              <w:spacing w:line="240" w:lineRule="auto"/>
              <w:jc w:val="center"/>
              <w:textAlignment w:val="auto"/>
              <w:rPr>
                <w:rFonts w:hint="default" w:ascii="华文细黑" w:hAnsi="华文细黑" w:eastAsia="华文细黑" w:cs="Arial"/>
                <w:b/>
                <w:bCs/>
                <w:sz w:val="18"/>
                <w:szCs w:val="18"/>
                <w:highlight w:val="none"/>
                <w:lang w:val="en-US" w:eastAsia="zh-CN"/>
              </w:rPr>
            </w:pPr>
            <w:r>
              <w:rPr>
                <w:rFonts w:hint="eastAsia" w:ascii="华文细黑" w:hAnsi="华文细黑" w:eastAsia="华文细黑" w:cs="Arial"/>
                <w:b/>
                <w:bCs/>
                <w:sz w:val="18"/>
                <w:szCs w:val="18"/>
                <w:highlight w:val="none"/>
                <w:lang w:val="en-US" w:eastAsia="zh-CN"/>
              </w:rPr>
              <w:t>1324</w:t>
            </w:r>
          </w:p>
        </w:tc>
        <w:tc>
          <w:tcPr>
            <w:tcW w:w="1226" w:type="dxa"/>
            <w:tcBorders>
              <w:top w:val="nil"/>
              <w:left w:val="nil"/>
              <w:bottom w:val="single" w:color="auto" w:sz="4" w:space="0"/>
              <w:right w:val="single" w:color="auto" w:sz="4" w:space="0"/>
            </w:tcBorders>
            <w:shd w:val="clear" w:color="auto" w:fill="auto"/>
            <w:noWrap/>
            <w:vAlign w:val="center"/>
          </w:tcPr>
          <w:p w14:paraId="1675E7EB">
            <w:pPr>
              <w:widowControl/>
              <w:adjustRightInd/>
              <w:spacing w:line="240" w:lineRule="auto"/>
              <w:jc w:val="center"/>
              <w:textAlignment w:val="auto"/>
              <w:rPr>
                <w:rFonts w:hint="default" w:ascii="华文细黑" w:hAnsi="华文细黑" w:eastAsia="华文细黑" w:cs="Arial"/>
                <w:b/>
                <w:bCs/>
                <w:sz w:val="18"/>
                <w:szCs w:val="18"/>
                <w:highlight w:val="none"/>
                <w:lang w:val="en-US" w:eastAsia="zh-CN"/>
              </w:rPr>
            </w:pPr>
            <w:r>
              <w:rPr>
                <w:rFonts w:hint="eastAsia" w:ascii="华文细黑" w:hAnsi="华文细黑" w:eastAsia="华文细黑" w:cs="Arial"/>
                <w:b/>
                <w:bCs/>
                <w:sz w:val="18"/>
                <w:szCs w:val="18"/>
                <w:highlight w:val="none"/>
                <w:lang w:val="en-US" w:eastAsia="zh-CN"/>
              </w:rPr>
              <w:t>106034.90</w:t>
            </w:r>
          </w:p>
        </w:tc>
      </w:tr>
    </w:tbl>
    <w:p w14:paraId="57AB3728">
      <w:pPr>
        <w:keepNext w:val="0"/>
        <w:keepLines w:val="0"/>
        <w:pageBreakBefore w:val="0"/>
        <w:widowControl w:val="0"/>
        <w:kinsoku/>
        <w:wordWrap/>
        <w:overflowPunct w:val="0"/>
        <w:topLinePunct w:val="0"/>
        <w:autoSpaceDE/>
        <w:autoSpaceDN/>
        <w:bidi w:val="0"/>
        <w:adjustRightInd w:val="0"/>
        <w:snapToGrid/>
        <w:spacing w:before="327" w:beforeLines="100" w:line="480" w:lineRule="auto"/>
        <w:ind w:firstLine="420" w:firstLineChars="200"/>
        <w:jc w:val="both"/>
        <w:textAlignment w:val="auto"/>
        <w:rPr>
          <w:rFonts w:ascii="Arial" w:hAnsi="Arial" w:cs="Arial"/>
          <w:sz w:val="21"/>
          <w:szCs w:val="21"/>
          <w:highlight w:val="none"/>
        </w:rPr>
      </w:pPr>
      <w:r>
        <w:rPr>
          <w:rFonts w:hint="eastAsia" w:ascii="Arial" w:hAnsi="Arial" w:cs="Arial"/>
          <w:sz w:val="21"/>
          <w:szCs w:val="21"/>
          <w:highlight w:val="none"/>
        </w:rPr>
        <w:t>（2）建筑结构</w:t>
      </w:r>
      <w:r>
        <w:rPr>
          <w:rFonts w:hint="eastAsia" w:ascii="Arial" w:hAnsi="Arial" w:cs="Arial"/>
          <w:sz w:val="21"/>
          <w:szCs w:val="21"/>
          <w:highlight w:val="none"/>
          <w:lang w:eastAsia="zh-CN"/>
        </w:rPr>
        <w:t>：</w:t>
      </w:r>
      <w:r>
        <w:rPr>
          <w:rFonts w:hint="eastAsia" w:ascii="Arial" w:hAnsi="Arial" w:cs="Arial"/>
          <w:sz w:val="21"/>
          <w:szCs w:val="21"/>
          <w:highlight w:val="none"/>
        </w:rPr>
        <w:t>估价对象所属楼宇建筑结构为</w:t>
      </w:r>
      <w:r>
        <w:rPr>
          <w:rFonts w:hint="eastAsia" w:ascii="Arial" w:hAnsi="Arial" w:cs="Arial"/>
          <w:kern w:val="2"/>
          <w:sz w:val="21"/>
          <w:szCs w:val="21"/>
          <w:highlight w:val="none"/>
        </w:rPr>
        <w:t>钢筋混凝土结构</w:t>
      </w:r>
      <w:r>
        <w:rPr>
          <w:rFonts w:hint="eastAsia" w:ascii="Arial" w:hAnsi="Arial" w:cs="Arial"/>
          <w:sz w:val="21"/>
          <w:szCs w:val="21"/>
          <w:highlight w:val="none"/>
        </w:rPr>
        <w:t>。</w:t>
      </w:r>
    </w:p>
    <w:p w14:paraId="5E6FD9E3">
      <w:pPr>
        <w:wordWrap w:val="0"/>
        <w:overflowPunct w:val="0"/>
        <w:spacing w:line="480" w:lineRule="auto"/>
        <w:ind w:firstLine="420" w:firstLineChars="200"/>
        <w:jc w:val="both"/>
        <w:textAlignment w:val="auto"/>
        <w:rPr>
          <w:rFonts w:ascii="Arial" w:hAnsi="Arial" w:cs="Arial"/>
          <w:sz w:val="21"/>
          <w:szCs w:val="21"/>
          <w:highlight w:val="none"/>
        </w:rPr>
      </w:pPr>
      <w:r>
        <w:rPr>
          <w:rFonts w:hint="eastAsia" w:ascii="Arial" w:hAnsi="Arial" w:cs="Arial"/>
          <w:sz w:val="21"/>
          <w:szCs w:val="21"/>
          <w:highlight w:val="none"/>
        </w:rPr>
        <w:t>（3）建筑外观：</w:t>
      </w:r>
      <w:r>
        <w:rPr>
          <w:rFonts w:hint="eastAsia" w:ascii="Arial" w:hAnsi="Arial" w:cs="Arial"/>
          <w:kern w:val="2"/>
          <w:sz w:val="21"/>
          <w:szCs w:val="21"/>
          <w:highlight w:val="none"/>
        </w:rPr>
        <w:t>估价对象为</w:t>
      </w:r>
      <w:r>
        <w:rPr>
          <w:rFonts w:hint="eastAsia" w:ascii="Arial" w:hAnsi="Arial" w:cs="Arial"/>
          <w:kern w:val="2"/>
          <w:sz w:val="21"/>
          <w:szCs w:val="21"/>
          <w:highlight w:val="none"/>
          <w:lang w:val="en-US" w:eastAsia="zh-CN"/>
        </w:rPr>
        <w:t>高层板楼</w:t>
      </w:r>
      <w:r>
        <w:rPr>
          <w:rFonts w:hint="eastAsia" w:ascii="Arial" w:hAnsi="Arial" w:cs="Arial"/>
          <w:sz w:val="21"/>
          <w:szCs w:val="21"/>
          <w:highlight w:val="none"/>
        </w:rPr>
        <w:t>。</w:t>
      </w:r>
    </w:p>
    <w:p w14:paraId="0406C9F0">
      <w:pPr>
        <w:wordWrap w:val="0"/>
        <w:overflowPunct w:val="0"/>
        <w:spacing w:line="480" w:lineRule="auto"/>
        <w:ind w:firstLine="420" w:firstLineChars="200"/>
        <w:jc w:val="both"/>
        <w:textAlignment w:val="auto"/>
        <w:rPr>
          <w:rFonts w:ascii="Arial" w:hAnsi="Arial" w:cs="Arial"/>
          <w:sz w:val="21"/>
          <w:szCs w:val="21"/>
          <w:highlight w:val="none"/>
        </w:rPr>
      </w:pPr>
      <w:r>
        <w:rPr>
          <w:rFonts w:hint="eastAsia" w:ascii="Arial" w:hAnsi="Arial" w:cs="Arial"/>
          <w:sz w:val="21"/>
          <w:szCs w:val="21"/>
          <w:highlight w:val="none"/>
        </w:rPr>
        <w:t>（4）设施设备及家具家电：估价对象所在项目配套设施完备，给排水、电力、电讯、暖通等齐全；防火栓、安防系统等设备齐全；估价对象内部配备客厅、卧室、厨卫等基本家具家电。估价对象作为保障性租赁住房（住宅型）出租使用。</w:t>
      </w:r>
    </w:p>
    <w:p w14:paraId="137DA1F4">
      <w:pPr>
        <w:wordWrap w:val="0"/>
        <w:overflowPunct w:val="0"/>
        <w:spacing w:line="480" w:lineRule="auto"/>
        <w:ind w:firstLine="420" w:firstLineChars="200"/>
        <w:jc w:val="both"/>
        <w:textAlignment w:val="auto"/>
        <w:rPr>
          <w:rFonts w:ascii="Arial" w:hAnsi="Arial" w:cs="Arial"/>
          <w:sz w:val="21"/>
          <w:szCs w:val="21"/>
          <w:highlight w:val="none"/>
        </w:rPr>
      </w:pPr>
      <w:r>
        <w:rPr>
          <w:rFonts w:hint="eastAsia" w:ascii="Arial" w:hAnsi="Arial" w:cs="Arial"/>
          <w:sz w:val="21"/>
          <w:szCs w:val="21"/>
          <w:highlight w:val="none"/>
        </w:rPr>
        <w:t>（5）装饰装修：根据</w:t>
      </w:r>
      <w:r>
        <w:rPr>
          <w:rFonts w:hint="eastAsia" w:ascii="Arial" w:hAnsi="Arial" w:cs="Arial"/>
          <w:sz w:val="21"/>
          <w:szCs w:val="21"/>
          <w:highlight w:val="none"/>
          <w:lang w:eastAsia="zh-CN"/>
        </w:rPr>
        <w:t>《</w:t>
      </w:r>
      <w:r>
        <w:rPr>
          <w:rFonts w:hint="eastAsia" w:ascii="Arial" w:hAnsi="Arial" w:cs="Arial"/>
          <w:sz w:val="21"/>
          <w:szCs w:val="21"/>
          <w:highlight w:val="none"/>
          <w:lang w:val="en-US" w:eastAsia="zh-CN"/>
        </w:rPr>
        <w:t>估价委托书》</w:t>
      </w:r>
      <w:r>
        <w:rPr>
          <w:rFonts w:hint="eastAsia" w:ascii="Arial" w:hAnsi="Arial" w:cs="Arial"/>
          <w:sz w:val="21"/>
          <w:szCs w:val="21"/>
          <w:highlight w:val="none"/>
        </w:rPr>
        <w:t>及估价人员实地查勘，估价对象均为精装修，外立面为涂料，公共部分首层地面贴砖，顶棚为</w:t>
      </w:r>
      <w:r>
        <w:rPr>
          <w:rFonts w:hint="eastAsia" w:ascii="Arial" w:hAnsi="Arial" w:cs="Arial"/>
          <w:sz w:val="21"/>
          <w:szCs w:val="21"/>
          <w:highlight w:val="none"/>
          <w:lang w:val="en-US" w:eastAsia="zh-CN"/>
        </w:rPr>
        <w:t>涂料</w:t>
      </w:r>
      <w:r>
        <w:rPr>
          <w:rFonts w:hint="eastAsia" w:ascii="Arial" w:hAnsi="Arial" w:cs="Arial"/>
          <w:sz w:val="21"/>
          <w:szCs w:val="21"/>
          <w:highlight w:val="none"/>
        </w:rPr>
        <w:t>，墙面为</w:t>
      </w:r>
      <w:r>
        <w:rPr>
          <w:rFonts w:hint="eastAsia" w:ascii="Arial" w:hAnsi="Arial" w:cs="Arial"/>
          <w:sz w:val="21"/>
          <w:szCs w:val="21"/>
          <w:highlight w:val="none"/>
          <w:lang w:val="en-US" w:eastAsia="zh-CN"/>
        </w:rPr>
        <w:t>涂料</w:t>
      </w:r>
      <w:r>
        <w:rPr>
          <w:rFonts w:hint="eastAsia" w:ascii="Arial" w:hAnsi="Arial" w:cs="Arial"/>
          <w:sz w:val="21"/>
          <w:szCs w:val="21"/>
          <w:highlight w:val="none"/>
        </w:rPr>
        <w:t>。室内地面铺设</w:t>
      </w:r>
      <w:r>
        <w:rPr>
          <w:rFonts w:hint="eastAsia" w:ascii="Arial" w:hAnsi="Arial" w:cs="Arial"/>
          <w:sz w:val="21"/>
          <w:szCs w:val="21"/>
          <w:highlight w:val="none"/>
          <w:lang w:val="en-US" w:eastAsia="zh-CN"/>
        </w:rPr>
        <w:t>地砖</w:t>
      </w:r>
      <w:r>
        <w:rPr>
          <w:rFonts w:hint="eastAsia" w:ascii="Arial" w:hAnsi="Arial" w:cs="Arial"/>
          <w:sz w:val="21"/>
          <w:szCs w:val="21"/>
          <w:highlight w:val="none"/>
        </w:rPr>
        <w:t>，墙面为涂料，顶棚为涂料；卫生间有陶瓷洗手池、坐便器，地面铺设地砖，墙面为墙砖，顶棚为铝扣板；厨房有整体橱柜、不锈钢洗菜池，地面铺设地砖，墙面为墙砖，顶棚为铝扣板</w:t>
      </w:r>
      <w:r>
        <w:rPr>
          <w:rFonts w:hint="eastAsia" w:ascii="Arial" w:hAnsi="Arial" w:cs="Arial"/>
          <w:sz w:val="21"/>
          <w:szCs w:val="21"/>
          <w:highlight w:val="none"/>
          <w:lang w:eastAsia="zh-CN"/>
        </w:rPr>
        <w:t>，</w:t>
      </w:r>
      <w:r>
        <w:rPr>
          <w:rFonts w:hint="eastAsia" w:ascii="Arial" w:hAnsi="Arial" w:cs="Arial"/>
          <w:sz w:val="21"/>
          <w:szCs w:val="21"/>
          <w:highlight w:val="none"/>
          <w:lang w:val="en-US" w:eastAsia="zh-CN"/>
        </w:rPr>
        <w:t>阳台</w:t>
      </w:r>
      <w:r>
        <w:rPr>
          <w:rFonts w:hint="eastAsia" w:ascii="Arial" w:hAnsi="Arial" w:cs="Arial"/>
          <w:sz w:val="21"/>
          <w:szCs w:val="21"/>
          <w:highlight w:val="none"/>
        </w:rPr>
        <w:t>地面铺设地砖，墙面为</w:t>
      </w:r>
      <w:r>
        <w:rPr>
          <w:rFonts w:hint="eastAsia" w:ascii="Arial" w:hAnsi="Arial" w:cs="Arial"/>
          <w:sz w:val="21"/>
          <w:szCs w:val="21"/>
          <w:highlight w:val="none"/>
          <w:lang w:val="en-US" w:eastAsia="zh-CN"/>
        </w:rPr>
        <w:t>涂料</w:t>
      </w:r>
      <w:r>
        <w:rPr>
          <w:rFonts w:hint="eastAsia" w:ascii="Arial" w:hAnsi="Arial" w:cs="Arial"/>
          <w:sz w:val="21"/>
          <w:szCs w:val="21"/>
          <w:highlight w:val="none"/>
        </w:rPr>
        <w:t>，顶棚为</w:t>
      </w:r>
      <w:r>
        <w:rPr>
          <w:rFonts w:hint="eastAsia" w:ascii="Arial" w:hAnsi="Arial" w:cs="Arial"/>
          <w:sz w:val="21"/>
          <w:szCs w:val="21"/>
          <w:highlight w:val="none"/>
          <w:lang w:val="en-US" w:eastAsia="zh-CN"/>
        </w:rPr>
        <w:t>涂料</w:t>
      </w:r>
      <w:r>
        <w:rPr>
          <w:rFonts w:hint="eastAsia" w:ascii="Arial" w:hAnsi="Arial" w:cs="Arial"/>
          <w:sz w:val="21"/>
          <w:szCs w:val="21"/>
          <w:highlight w:val="none"/>
        </w:rPr>
        <w:t>。</w:t>
      </w:r>
    </w:p>
    <w:p w14:paraId="479F66CA">
      <w:pPr>
        <w:wordWrap w:val="0"/>
        <w:overflowPunct w:val="0"/>
        <w:spacing w:line="480" w:lineRule="auto"/>
        <w:ind w:firstLine="420" w:firstLineChars="200"/>
        <w:jc w:val="both"/>
        <w:textAlignment w:val="auto"/>
        <w:rPr>
          <w:rFonts w:hint="default" w:ascii="Arial" w:hAnsi="Arial" w:cs="Arial"/>
          <w:sz w:val="21"/>
          <w:szCs w:val="21"/>
          <w:highlight w:val="none"/>
          <w:lang w:val="en-US" w:eastAsia="zh-CN"/>
        </w:rPr>
      </w:pPr>
      <w:r>
        <w:rPr>
          <w:rFonts w:hint="eastAsia" w:ascii="Arial" w:hAnsi="Arial" w:cs="Arial"/>
          <w:sz w:val="21"/>
          <w:szCs w:val="21"/>
          <w:highlight w:val="none"/>
        </w:rPr>
        <w:t>（6）新旧程度：</w:t>
      </w:r>
      <w:r>
        <w:rPr>
          <w:rFonts w:hint="eastAsia" w:ascii="Arial" w:hAnsi="Arial" w:cs="Arial"/>
          <w:sz w:val="21"/>
          <w:szCs w:val="21"/>
          <w:highlight w:val="none"/>
          <w:lang w:eastAsia="zh-CN"/>
        </w:rPr>
        <w:t>《</w:t>
      </w:r>
      <w:r>
        <w:rPr>
          <w:rFonts w:hint="eastAsia" w:ascii="Arial" w:hAnsi="Arial" w:cs="Arial"/>
          <w:sz w:val="21"/>
          <w:szCs w:val="21"/>
          <w:highlight w:val="none"/>
          <w:lang w:val="en-US" w:eastAsia="zh-CN"/>
        </w:rPr>
        <w:t>北京市房屋建筑和市政基础设施工程竣工验收备案表》[编号：1004大竣2012（建）0138号、1005大竣2012（建）0139号、1006大竣2012（建）0140号、1007大竣2012（建）0141号]，估价对象所属项目一期竣工验收备案已于2012年11月2日收讫，</w:t>
      </w:r>
      <w:r>
        <w:rPr>
          <w:rFonts w:hint="eastAsia" w:ascii="Arial" w:hAnsi="Arial" w:cs="Arial"/>
          <w:sz w:val="21"/>
          <w:szCs w:val="21"/>
          <w:highlight w:val="none"/>
        </w:rPr>
        <w:t>观察成新度较高，综合成新度为</w:t>
      </w:r>
      <w:r>
        <w:rPr>
          <w:rFonts w:hint="eastAsia" w:ascii="Arial" w:hAnsi="Arial" w:cs="Arial"/>
          <w:sz w:val="21"/>
          <w:szCs w:val="21"/>
          <w:highlight w:val="none"/>
          <w:lang w:val="en-US" w:eastAsia="zh-CN"/>
        </w:rPr>
        <w:t>80%-90</w:t>
      </w:r>
      <w:r>
        <w:rPr>
          <w:rFonts w:ascii="Arial" w:hAnsi="Arial" w:cs="Arial"/>
          <w:sz w:val="21"/>
          <w:szCs w:val="21"/>
          <w:highlight w:val="none"/>
        </w:rPr>
        <w:t>%</w:t>
      </w:r>
      <w:r>
        <w:rPr>
          <w:rFonts w:hint="eastAsia" w:ascii="Arial" w:hAnsi="Arial" w:cs="Arial"/>
          <w:sz w:val="21"/>
          <w:szCs w:val="21"/>
          <w:highlight w:val="none"/>
        </w:rPr>
        <w:t>。</w:t>
      </w:r>
    </w:p>
    <w:p w14:paraId="4A46AD65">
      <w:pPr>
        <w:wordWrap w:val="0"/>
        <w:overflowPunct w:val="0"/>
        <w:spacing w:line="480" w:lineRule="auto"/>
        <w:ind w:firstLine="420" w:firstLineChars="200"/>
        <w:jc w:val="both"/>
        <w:textAlignment w:val="auto"/>
        <w:rPr>
          <w:rFonts w:ascii="Arial" w:hAnsi="Arial" w:cs="Arial"/>
          <w:sz w:val="21"/>
          <w:szCs w:val="21"/>
          <w:highlight w:val="none"/>
        </w:rPr>
      </w:pPr>
      <w:r>
        <w:rPr>
          <w:rFonts w:hint="eastAsia" w:ascii="Arial" w:hAnsi="Arial" w:cs="Arial"/>
          <w:sz w:val="21"/>
          <w:szCs w:val="21"/>
          <w:highlight w:val="none"/>
          <w:lang w:eastAsia="zh-CN"/>
        </w:rPr>
        <w:t>《</w:t>
      </w:r>
      <w:r>
        <w:rPr>
          <w:rFonts w:hint="eastAsia" w:ascii="Arial" w:hAnsi="Arial" w:cs="Arial"/>
          <w:sz w:val="21"/>
          <w:szCs w:val="21"/>
          <w:highlight w:val="none"/>
          <w:lang w:val="en-US" w:eastAsia="zh-CN"/>
        </w:rPr>
        <w:t>北京市房屋建筑和市政基础设施工程竣工验收备案表》[编号：0327大竣2014（建）0049号、0149大竣2014（建）0029号、0150大竣2014（建）0030号、0151大竣2014（建）0031号]，估价对象所属项目二期竣工验收备案已于2014年1月28日收讫，</w:t>
      </w:r>
      <w:r>
        <w:rPr>
          <w:rFonts w:hint="eastAsia" w:ascii="Arial" w:hAnsi="Arial" w:cs="Arial"/>
          <w:sz w:val="21"/>
          <w:szCs w:val="21"/>
          <w:highlight w:val="none"/>
        </w:rPr>
        <w:t>观察成新度较高，综合成新度为</w:t>
      </w:r>
      <w:r>
        <w:rPr>
          <w:rFonts w:hint="eastAsia" w:ascii="Arial" w:hAnsi="Arial" w:cs="Arial"/>
          <w:sz w:val="21"/>
          <w:szCs w:val="21"/>
          <w:highlight w:val="none"/>
          <w:lang w:val="en-US" w:eastAsia="zh-CN"/>
        </w:rPr>
        <w:t>80%-90</w:t>
      </w:r>
      <w:r>
        <w:rPr>
          <w:rFonts w:ascii="Arial" w:hAnsi="Arial" w:cs="Arial"/>
          <w:sz w:val="21"/>
          <w:szCs w:val="21"/>
          <w:highlight w:val="none"/>
        </w:rPr>
        <w:t>%</w:t>
      </w:r>
      <w:r>
        <w:rPr>
          <w:rFonts w:hint="eastAsia" w:ascii="Arial" w:hAnsi="Arial" w:cs="Arial"/>
          <w:sz w:val="21"/>
          <w:szCs w:val="21"/>
          <w:highlight w:val="none"/>
        </w:rPr>
        <w:t>。</w:t>
      </w:r>
    </w:p>
    <w:p w14:paraId="7BB4495B">
      <w:pPr>
        <w:overflowPunct w:val="0"/>
        <w:spacing w:line="480" w:lineRule="auto"/>
        <w:ind w:firstLine="420" w:firstLineChars="200"/>
        <w:jc w:val="both"/>
        <w:textAlignment w:val="auto"/>
        <w:rPr>
          <w:rFonts w:ascii="Arial" w:hAnsi="Arial" w:cs="Arial"/>
          <w:sz w:val="21"/>
          <w:szCs w:val="21"/>
          <w:highlight w:val="none"/>
        </w:rPr>
      </w:pPr>
      <w:r>
        <w:rPr>
          <w:rFonts w:hint="eastAsia" w:ascii="Arial" w:hAnsi="Arial" w:cs="Arial"/>
          <w:sz w:val="21"/>
          <w:szCs w:val="21"/>
          <w:highlight w:val="none"/>
        </w:rPr>
        <w:t>（7）户型设计：估价对象均为平层结构，分为</w:t>
      </w:r>
      <w:r>
        <w:rPr>
          <w:rFonts w:hint="eastAsia" w:ascii="Arial" w:hAnsi="Arial" w:cs="Arial"/>
          <w:sz w:val="21"/>
          <w:szCs w:val="21"/>
          <w:highlight w:val="none"/>
          <w:lang w:val="en-US" w:eastAsia="zh-CN"/>
        </w:rPr>
        <w:t>三</w:t>
      </w:r>
      <w:r>
        <w:rPr>
          <w:rFonts w:hint="eastAsia" w:ascii="Arial" w:hAnsi="Arial" w:cs="Arial"/>
          <w:sz w:val="21"/>
          <w:szCs w:val="21"/>
          <w:highlight w:val="none"/>
        </w:rPr>
        <w:t>种户型，分别为一居室、两居室</w:t>
      </w:r>
      <w:r>
        <w:rPr>
          <w:rFonts w:hint="eastAsia" w:ascii="Arial" w:hAnsi="Arial" w:cs="Arial"/>
          <w:sz w:val="21"/>
          <w:szCs w:val="21"/>
          <w:highlight w:val="none"/>
          <w:lang w:eastAsia="zh-CN"/>
        </w:rPr>
        <w:t>、</w:t>
      </w:r>
      <w:r>
        <w:rPr>
          <w:rFonts w:hint="eastAsia" w:ascii="Arial" w:hAnsi="Arial" w:cs="Arial"/>
          <w:sz w:val="21"/>
          <w:szCs w:val="21"/>
          <w:highlight w:val="none"/>
          <w:lang w:val="en-US" w:eastAsia="zh-CN"/>
        </w:rPr>
        <w:t>三居室</w:t>
      </w:r>
      <w:r>
        <w:rPr>
          <w:rFonts w:hint="eastAsia" w:ascii="Arial" w:hAnsi="Arial" w:cs="Arial"/>
          <w:sz w:val="21"/>
          <w:szCs w:val="21"/>
          <w:highlight w:val="none"/>
        </w:rPr>
        <w:t>。其中一居室</w:t>
      </w:r>
      <w:r>
        <w:rPr>
          <w:rFonts w:hint="eastAsia" w:ascii="Arial" w:hAnsi="Arial" w:cs="Arial"/>
          <w:sz w:val="21"/>
          <w:szCs w:val="21"/>
          <w:highlight w:val="none"/>
          <w:lang w:val="en-US" w:eastAsia="zh-CN"/>
        </w:rPr>
        <w:t>378</w:t>
      </w:r>
      <w:r>
        <w:rPr>
          <w:rFonts w:hint="eastAsia" w:ascii="Arial" w:hAnsi="Arial" w:cs="Arial"/>
          <w:sz w:val="21"/>
          <w:szCs w:val="21"/>
          <w:highlight w:val="none"/>
        </w:rPr>
        <w:t>套、两居室</w:t>
      </w:r>
      <w:r>
        <w:rPr>
          <w:rFonts w:hint="eastAsia" w:ascii="Arial" w:hAnsi="Arial" w:cs="Arial"/>
          <w:sz w:val="21"/>
          <w:szCs w:val="21"/>
          <w:highlight w:val="none"/>
          <w:lang w:val="en-US" w:eastAsia="zh-CN"/>
        </w:rPr>
        <w:t>933</w:t>
      </w:r>
      <w:r>
        <w:rPr>
          <w:rFonts w:hint="eastAsia" w:ascii="Arial" w:hAnsi="Arial" w:cs="Arial"/>
          <w:sz w:val="21"/>
          <w:szCs w:val="21"/>
          <w:highlight w:val="none"/>
        </w:rPr>
        <w:t>套</w:t>
      </w:r>
      <w:r>
        <w:rPr>
          <w:rFonts w:hint="eastAsia" w:ascii="Arial" w:hAnsi="Arial" w:cs="Arial"/>
          <w:sz w:val="21"/>
          <w:szCs w:val="21"/>
          <w:highlight w:val="none"/>
          <w:lang w:eastAsia="zh-CN"/>
        </w:rPr>
        <w:t>、</w:t>
      </w:r>
      <w:r>
        <w:rPr>
          <w:rFonts w:hint="eastAsia" w:ascii="Arial" w:hAnsi="Arial" w:cs="Arial"/>
          <w:sz w:val="21"/>
          <w:szCs w:val="21"/>
          <w:highlight w:val="none"/>
          <w:lang w:val="en-US" w:eastAsia="zh-CN"/>
        </w:rPr>
        <w:t>三</w:t>
      </w:r>
      <w:r>
        <w:rPr>
          <w:rFonts w:hint="eastAsia" w:ascii="Arial" w:hAnsi="Arial" w:cs="Arial"/>
          <w:sz w:val="21"/>
          <w:szCs w:val="21"/>
          <w:highlight w:val="none"/>
        </w:rPr>
        <w:t>居室</w:t>
      </w:r>
      <w:r>
        <w:rPr>
          <w:rFonts w:hint="eastAsia" w:ascii="Arial" w:hAnsi="Arial" w:cs="Arial"/>
          <w:sz w:val="21"/>
          <w:szCs w:val="21"/>
          <w:highlight w:val="none"/>
          <w:lang w:val="en-US" w:eastAsia="zh-CN"/>
        </w:rPr>
        <w:t>13</w:t>
      </w:r>
      <w:r>
        <w:rPr>
          <w:rFonts w:hint="eastAsia" w:ascii="Arial" w:hAnsi="Arial" w:cs="Arial"/>
          <w:sz w:val="21"/>
          <w:szCs w:val="21"/>
          <w:highlight w:val="none"/>
        </w:rPr>
        <w:t>套。</w:t>
      </w:r>
    </w:p>
    <w:p w14:paraId="4E6F24D0">
      <w:pPr>
        <w:overflowPunct w:val="0"/>
        <w:spacing w:line="480" w:lineRule="auto"/>
        <w:ind w:firstLine="420" w:firstLineChars="200"/>
        <w:jc w:val="both"/>
        <w:textAlignment w:val="auto"/>
        <w:rPr>
          <w:rFonts w:ascii="Arial" w:hAnsi="Arial" w:cs="Arial"/>
          <w:sz w:val="21"/>
          <w:szCs w:val="21"/>
          <w:highlight w:val="none"/>
        </w:rPr>
      </w:pPr>
      <w:r>
        <w:rPr>
          <w:rFonts w:hint="eastAsia" w:ascii="Arial" w:hAnsi="Arial" w:cs="Arial"/>
          <w:sz w:val="21"/>
          <w:szCs w:val="21"/>
          <w:highlight w:val="none"/>
        </w:rPr>
        <w:t>（8）朝向：估价对象一居室</w:t>
      </w:r>
      <w:r>
        <w:rPr>
          <w:rFonts w:hint="eastAsia" w:ascii="Arial" w:hAnsi="Arial" w:cs="Arial"/>
          <w:sz w:val="21"/>
          <w:szCs w:val="21"/>
          <w:highlight w:val="none"/>
          <w:lang w:eastAsia="zh-CN"/>
        </w:rPr>
        <w:t>、</w:t>
      </w:r>
      <w:r>
        <w:rPr>
          <w:rFonts w:hint="eastAsia" w:ascii="Arial" w:hAnsi="Arial" w:cs="Arial"/>
          <w:sz w:val="21"/>
          <w:szCs w:val="21"/>
          <w:highlight w:val="none"/>
          <w:lang w:val="en-US" w:eastAsia="zh-CN"/>
        </w:rPr>
        <w:t>三居室均南北</w:t>
      </w:r>
      <w:r>
        <w:rPr>
          <w:rFonts w:hint="eastAsia" w:ascii="Arial" w:hAnsi="Arial" w:cs="Arial"/>
          <w:sz w:val="21"/>
          <w:szCs w:val="21"/>
          <w:highlight w:val="none"/>
        </w:rPr>
        <w:t>朝向</w:t>
      </w:r>
      <w:r>
        <w:rPr>
          <w:rFonts w:hint="eastAsia" w:ascii="Arial" w:hAnsi="Arial" w:cs="Arial"/>
          <w:sz w:val="21"/>
          <w:szCs w:val="21"/>
          <w:highlight w:val="none"/>
          <w:lang w:eastAsia="zh-CN"/>
        </w:rPr>
        <w:t>；</w:t>
      </w:r>
      <w:r>
        <w:rPr>
          <w:rFonts w:hint="eastAsia" w:ascii="Arial" w:hAnsi="Arial" w:cs="Arial"/>
          <w:sz w:val="21"/>
          <w:szCs w:val="21"/>
          <w:highlight w:val="none"/>
          <w:lang w:val="en-US" w:eastAsia="zh-CN"/>
        </w:rPr>
        <w:t>两</w:t>
      </w:r>
      <w:r>
        <w:rPr>
          <w:rFonts w:hint="eastAsia" w:ascii="Arial" w:hAnsi="Arial" w:cs="Arial"/>
          <w:sz w:val="21"/>
          <w:szCs w:val="21"/>
          <w:highlight w:val="none"/>
        </w:rPr>
        <w:t>居室有南北、</w:t>
      </w:r>
      <w:r>
        <w:rPr>
          <w:rFonts w:hint="eastAsia" w:ascii="Arial" w:hAnsi="Arial" w:cs="Arial"/>
          <w:sz w:val="21"/>
          <w:szCs w:val="21"/>
          <w:highlight w:val="none"/>
          <w:lang w:val="en-US" w:eastAsia="zh-CN"/>
        </w:rPr>
        <w:t>南</w:t>
      </w:r>
      <w:r>
        <w:rPr>
          <w:rFonts w:hint="eastAsia" w:ascii="Arial" w:hAnsi="Arial" w:cs="Arial"/>
          <w:sz w:val="21"/>
          <w:szCs w:val="21"/>
          <w:highlight w:val="none"/>
        </w:rPr>
        <w:t>朝向，其中南北朝向</w:t>
      </w:r>
      <w:r>
        <w:rPr>
          <w:rFonts w:hint="eastAsia" w:ascii="Arial" w:hAnsi="Arial" w:cs="Arial"/>
          <w:sz w:val="21"/>
          <w:szCs w:val="21"/>
          <w:highlight w:val="none"/>
          <w:lang w:val="en-US" w:eastAsia="zh-CN"/>
        </w:rPr>
        <w:t>916</w:t>
      </w:r>
      <w:r>
        <w:rPr>
          <w:rFonts w:hint="eastAsia" w:ascii="Arial" w:hAnsi="Arial" w:cs="Arial"/>
          <w:sz w:val="21"/>
          <w:szCs w:val="21"/>
          <w:highlight w:val="none"/>
        </w:rPr>
        <w:t>套、东西朝向</w:t>
      </w:r>
      <w:r>
        <w:rPr>
          <w:rFonts w:hint="eastAsia" w:ascii="Arial" w:hAnsi="Arial" w:cs="Arial"/>
          <w:sz w:val="21"/>
          <w:szCs w:val="21"/>
          <w:highlight w:val="none"/>
          <w:lang w:val="en-US" w:eastAsia="zh-CN"/>
        </w:rPr>
        <w:t>17</w:t>
      </w:r>
      <w:r>
        <w:rPr>
          <w:rFonts w:hint="eastAsia" w:ascii="Arial" w:hAnsi="Arial" w:cs="Arial"/>
          <w:sz w:val="21"/>
          <w:szCs w:val="21"/>
          <w:highlight w:val="none"/>
        </w:rPr>
        <w:t>套。</w:t>
      </w:r>
    </w:p>
    <w:p w14:paraId="18E42A0A">
      <w:pPr>
        <w:overflowPunct w:val="0"/>
        <w:spacing w:line="480" w:lineRule="auto"/>
        <w:ind w:firstLine="420" w:firstLineChars="200"/>
        <w:jc w:val="both"/>
        <w:textAlignment w:val="auto"/>
        <w:rPr>
          <w:rFonts w:ascii="Arial" w:hAnsi="Arial" w:cs="Arial"/>
          <w:sz w:val="21"/>
          <w:szCs w:val="21"/>
          <w:highlight w:val="none"/>
        </w:rPr>
      </w:pPr>
      <w:r>
        <w:rPr>
          <w:rFonts w:hint="eastAsia" w:ascii="Arial" w:hAnsi="Arial" w:cs="Arial"/>
          <w:sz w:val="21"/>
          <w:szCs w:val="21"/>
          <w:highlight w:val="none"/>
        </w:rPr>
        <w:t>（9）综合服务管理设施：估价对象所属小区为封闭式管理，门口设有快递柜、小区内设有垃圾分类收集点。估价对象享有同样的配套设施，估价对象所在楼栋一层配备管理用房等。</w:t>
      </w:r>
    </w:p>
    <w:p w14:paraId="042D7962">
      <w:pPr>
        <w:overflowPunct w:val="0"/>
        <w:spacing w:line="480" w:lineRule="auto"/>
        <w:ind w:firstLine="420" w:firstLineChars="200"/>
        <w:jc w:val="both"/>
        <w:textAlignment w:val="auto"/>
        <w:rPr>
          <w:rFonts w:ascii="Arial" w:hAnsi="Arial" w:cs="Arial"/>
          <w:sz w:val="21"/>
          <w:szCs w:val="21"/>
          <w:highlight w:val="none"/>
        </w:rPr>
      </w:pPr>
      <w:r>
        <w:rPr>
          <w:rFonts w:hint="eastAsia" w:ascii="Arial" w:hAnsi="Arial" w:cs="Arial"/>
          <w:sz w:val="21"/>
          <w:szCs w:val="21"/>
          <w:highlight w:val="none"/>
        </w:rPr>
        <w:t>（10）水电气费执行标准：估价对象执行民水民电标准。</w:t>
      </w:r>
    </w:p>
    <w:p w14:paraId="5F965D78">
      <w:pPr>
        <w:spacing w:line="480" w:lineRule="auto"/>
        <w:ind w:firstLine="420" w:firstLineChars="200"/>
        <w:rPr>
          <w:rFonts w:ascii="Arial" w:hAnsi="Arial" w:cs="Arial"/>
          <w:sz w:val="21"/>
          <w:szCs w:val="21"/>
          <w:highlight w:val="none"/>
        </w:rPr>
      </w:pPr>
      <w:r>
        <w:rPr>
          <w:rFonts w:hint="eastAsia" w:ascii="Arial" w:hAnsi="Arial" w:cs="Arial"/>
          <w:sz w:val="21"/>
          <w:szCs w:val="21"/>
          <w:highlight w:val="none"/>
        </w:rPr>
        <w:t>3</w:t>
      </w:r>
      <w:r>
        <w:rPr>
          <w:rFonts w:ascii="Arial" w:hAnsi="Arial" w:cs="Arial"/>
          <w:sz w:val="21"/>
          <w:szCs w:val="21"/>
          <w:highlight w:val="none"/>
        </w:rPr>
        <w:t>.</w:t>
      </w:r>
      <w:r>
        <w:rPr>
          <w:rFonts w:hint="eastAsia" w:ascii="Arial" w:hAnsi="Arial" w:cs="Arial"/>
          <w:sz w:val="21"/>
          <w:szCs w:val="21"/>
          <w:highlight w:val="none"/>
        </w:rPr>
        <w:t>对价格影响的分析</w:t>
      </w:r>
    </w:p>
    <w:p w14:paraId="268CBFA1">
      <w:pPr>
        <w:spacing w:line="480" w:lineRule="auto"/>
        <w:ind w:firstLine="420" w:firstLineChars="200"/>
        <w:rPr>
          <w:rFonts w:ascii="Arial" w:hAnsi="Arial" w:cs="Arial"/>
          <w:sz w:val="21"/>
          <w:szCs w:val="21"/>
          <w:highlight w:val="none"/>
        </w:rPr>
      </w:pPr>
      <w:r>
        <w:rPr>
          <w:rFonts w:ascii="Arial" w:hAnsi="Arial" w:cs="Arial"/>
          <w:sz w:val="21"/>
          <w:szCs w:val="21"/>
          <w:highlight w:val="none"/>
        </w:rPr>
        <w:t>估价对象作为</w:t>
      </w:r>
      <w:r>
        <w:rPr>
          <w:rFonts w:hint="eastAsia" w:ascii="Arial" w:hAnsi="Arial" w:cs="Arial"/>
          <w:kern w:val="2"/>
          <w:sz w:val="21"/>
          <w:szCs w:val="21"/>
          <w:highlight w:val="none"/>
          <w:lang w:val="en-US" w:eastAsia="zh-CN"/>
        </w:rPr>
        <w:t>住宅用房</w:t>
      </w:r>
      <w:r>
        <w:rPr>
          <w:rFonts w:ascii="Arial" w:hAnsi="Arial" w:cs="Arial"/>
          <w:sz w:val="21"/>
          <w:szCs w:val="21"/>
          <w:highlight w:val="none"/>
        </w:rPr>
        <w:t>使用，通用性相对较好，能完全满足大部分</w:t>
      </w:r>
      <w:r>
        <w:rPr>
          <w:rFonts w:hint="eastAsia" w:ascii="Arial" w:hAnsi="Arial" w:cs="Arial"/>
          <w:sz w:val="21"/>
          <w:szCs w:val="21"/>
          <w:highlight w:val="none"/>
        </w:rPr>
        <w:t>承</w:t>
      </w:r>
      <w:r>
        <w:rPr>
          <w:rFonts w:ascii="Arial" w:hAnsi="Arial" w:cs="Arial"/>
          <w:sz w:val="21"/>
          <w:szCs w:val="21"/>
          <w:highlight w:val="none"/>
        </w:rPr>
        <w:t>租者的需求，因此将会在一定程度上影响其租金价格水平。</w:t>
      </w:r>
    </w:p>
    <w:p w14:paraId="00A040B5">
      <w:pPr>
        <w:pStyle w:val="3"/>
        <w:numPr>
          <w:ilvl w:val="0"/>
          <w:numId w:val="0"/>
        </w:numPr>
        <w:spacing w:line="480" w:lineRule="auto"/>
        <w:ind w:left="360" w:hanging="361" w:hangingChars="171"/>
        <w:jc w:val="both"/>
        <w:rPr>
          <w:rFonts w:eastAsia="宋体"/>
          <w:kern w:val="2"/>
          <w:sz w:val="21"/>
          <w:szCs w:val="21"/>
          <w:highlight w:val="none"/>
        </w:rPr>
      </w:pPr>
      <w:bookmarkStart w:id="53" w:name="_Toc155267103"/>
      <w:bookmarkStart w:id="54" w:name="_Toc525655436"/>
      <w:r>
        <w:rPr>
          <w:rFonts w:eastAsia="宋体"/>
          <w:kern w:val="2"/>
          <w:sz w:val="21"/>
          <w:szCs w:val="21"/>
          <w:highlight w:val="none"/>
        </w:rPr>
        <w:t>（</w:t>
      </w:r>
      <w:r>
        <w:rPr>
          <w:rFonts w:hint="eastAsia" w:eastAsia="宋体"/>
          <w:kern w:val="2"/>
          <w:sz w:val="21"/>
          <w:szCs w:val="21"/>
          <w:highlight w:val="none"/>
        </w:rPr>
        <w:t>三</w:t>
      </w:r>
      <w:r>
        <w:rPr>
          <w:rFonts w:eastAsia="宋体"/>
          <w:kern w:val="2"/>
          <w:sz w:val="21"/>
          <w:szCs w:val="21"/>
          <w:highlight w:val="none"/>
        </w:rPr>
        <w:t>）权益状况分析</w:t>
      </w:r>
      <w:bookmarkEnd w:id="53"/>
      <w:bookmarkEnd w:id="54"/>
    </w:p>
    <w:p w14:paraId="08854A61">
      <w:pPr>
        <w:spacing w:line="480" w:lineRule="auto"/>
        <w:ind w:firstLine="420" w:firstLineChars="200"/>
        <w:rPr>
          <w:rFonts w:hint="eastAsia" w:ascii="Arial" w:hAnsi="Arial" w:cs="Arial"/>
          <w:kern w:val="2"/>
          <w:sz w:val="21"/>
          <w:szCs w:val="21"/>
          <w:highlight w:val="none"/>
        </w:rPr>
      </w:pPr>
      <w:bookmarkStart w:id="55" w:name="_Toc525655437"/>
      <w:r>
        <w:rPr>
          <w:rFonts w:hint="eastAsia" w:ascii="Arial" w:hAnsi="Arial" w:cs="Arial"/>
          <w:sz w:val="21"/>
          <w:szCs w:val="21"/>
          <w:highlight w:val="none"/>
        </w:rPr>
        <w:t>根据估价委托人提供的资料及评估专业人员实地查勘，于价值时点，未发现估价对象存在抵押、</w:t>
      </w:r>
      <w:r>
        <w:rPr>
          <w:rFonts w:hint="eastAsia" w:ascii="Arial" w:hAnsi="Arial" w:cs="Arial"/>
          <w:kern w:val="2"/>
          <w:sz w:val="21"/>
          <w:szCs w:val="21"/>
          <w:highlight w:val="none"/>
        </w:rPr>
        <w:t>租赁、地役、查封等他项权利</w:t>
      </w:r>
      <w:r>
        <w:rPr>
          <w:rFonts w:hint="eastAsia" w:ascii="Arial" w:hAnsi="Arial" w:cs="Arial"/>
          <w:sz w:val="21"/>
          <w:szCs w:val="21"/>
          <w:highlight w:val="none"/>
        </w:rPr>
        <w:t>。</w:t>
      </w:r>
      <w:r>
        <w:rPr>
          <w:rFonts w:hint="eastAsia" w:ascii="Arial" w:hAnsi="Arial" w:cs="Arial"/>
          <w:kern w:val="2"/>
          <w:sz w:val="21"/>
          <w:szCs w:val="21"/>
          <w:highlight w:val="none"/>
        </w:rPr>
        <w:t>根据估价目的，本次估价未考虑抵押、租赁、地役、查封等他项权利影响，故设定估价对象于价值时点不存在租赁、地役、查封等他项权利限制。</w:t>
      </w:r>
      <w:bookmarkStart w:id="56" w:name="_Toc155267104"/>
    </w:p>
    <w:p w14:paraId="1F08D878">
      <w:pPr>
        <w:spacing w:line="480" w:lineRule="auto"/>
        <w:ind w:firstLine="420" w:firstLineChars="200"/>
        <w:rPr>
          <w:rFonts w:hint="eastAsia" w:ascii="Arial" w:hAnsi="Arial" w:cs="Arial"/>
          <w:kern w:val="2"/>
          <w:sz w:val="21"/>
          <w:szCs w:val="21"/>
          <w:highlight w:val="none"/>
        </w:rPr>
      </w:pPr>
    </w:p>
    <w:p w14:paraId="12950C4A">
      <w:pPr>
        <w:pStyle w:val="3"/>
        <w:numPr>
          <w:ilvl w:val="0"/>
          <w:numId w:val="0"/>
        </w:numPr>
        <w:spacing w:line="480" w:lineRule="auto"/>
        <w:ind w:left="358" w:hanging="358" w:hangingChars="170"/>
        <w:jc w:val="both"/>
        <w:rPr>
          <w:rFonts w:eastAsia="宋体"/>
          <w:kern w:val="2"/>
          <w:sz w:val="21"/>
          <w:szCs w:val="21"/>
          <w:highlight w:val="none"/>
        </w:rPr>
      </w:pPr>
      <w:r>
        <w:rPr>
          <w:rFonts w:eastAsia="宋体"/>
          <w:kern w:val="2"/>
          <w:sz w:val="21"/>
          <w:szCs w:val="21"/>
          <w:highlight w:val="none"/>
        </w:rPr>
        <w:t>二、市场背景描述与分析</w:t>
      </w:r>
      <w:bookmarkEnd w:id="55"/>
      <w:bookmarkEnd w:id="56"/>
    </w:p>
    <w:p w14:paraId="0060A0DA">
      <w:pPr>
        <w:overflowPunct w:val="0"/>
        <w:spacing w:line="480" w:lineRule="auto"/>
        <w:ind w:right="205"/>
        <w:jc w:val="both"/>
        <w:textAlignment w:val="auto"/>
        <w:rPr>
          <w:rFonts w:ascii="Arial" w:hAnsi="Arial"/>
          <w:b/>
          <w:bCs/>
          <w:sz w:val="21"/>
          <w:szCs w:val="21"/>
          <w:highlight w:val="none"/>
        </w:rPr>
      </w:pPr>
      <w:bookmarkStart w:id="57" w:name="_Toc525655438"/>
      <w:r>
        <w:rPr>
          <w:rFonts w:hint="eastAsia" w:ascii="Arial" w:hAnsi="Arial"/>
          <w:b/>
          <w:bCs/>
          <w:sz w:val="21"/>
          <w:szCs w:val="21"/>
          <w:highlight w:val="none"/>
        </w:rPr>
        <w:t>（一）类似房地产市场状况</w:t>
      </w:r>
    </w:p>
    <w:p w14:paraId="34E70BDC">
      <w:pPr>
        <w:overflowPunct w:val="0"/>
        <w:spacing w:line="480" w:lineRule="auto"/>
        <w:ind w:firstLine="420" w:firstLineChars="200"/>
        <w:jc w:val="both"/>
        <w:textAlignment w:val="auto"/>
        <w:rPr>
          <w:rFonts w:ascii="Arial" w:hAnsi="Arial" w:cs="Arial"/>
          <w:sz w:val="21"/>
          <w:szCs w:val="21"/>
          <w:highlight w:val="none"/>
        </w:rPr>
      </w:pPr>
      <w:r>
        <w:rPr>
          <w:rFonts w:hint="eastAsia" w:ascii="Arial" w:hAnsi="Arial" w:cs="Arial"/>
          <w:sz w:val="21"/>
          <w:szCs w:val="21"/>
          <w:highlight w:val="none"/>
        </w:rPr>
        <w:t>1.宏观环境</w:t>
      </w:r>
    </w:p>
    <w:p w14:paraId="281A62CF">
      <w:pPr>
        <w:widowControl/>
        <w:adjustRightInd/>
        <w:spacing w:line="480" w:lineRule="auto"/>
        <w:ind w:firstLine="525" w:firstLineChars="250"/>
        <w:jc w:val="both"/>
        <w:textAlignment w:val="auto"/>
        <w:rPr>
          <w:rFonts w:hint="eastAsia" w:ascii="Arial" w:hAnsi="Arial"/>
          <w:color w:val="000000"/>
          <w:sz w:val="21"/>
          <w:szCs w:val="21"/>
          <w:highlight w:val="none"/>
        </w:rPr>
      </w:pPr>
      <w:bookmarkStart w:id="58" w:name="OLE_LINK34"/>
      <w:bookmarkStart w:id="59" w:name="OLE_LINK33"/>
      <w:r>
        <w:rPr>
          <w:rFonts w:hint="eastAsia" w:ascii="Arial" w:hAnsi="Arial"/>
          <w:color w:val="000000"/>
          <w:sz w:val="21"/>
          <w:szCs w:val="21"/>
          <w:highlight w:val="none"/>
        </w:rPr>
        <w:t>北京市位于北纬39度56分，东经116度20分，地处华北大平原的北部，北京市土地面积16410.54平方公里。北京地势西北高耸，东南低缓。西部、北部和东北部是连绵不断的群山，东南是一片缓缓向渤海倾斜的平原。北京市东部与天津市毗邻，其余均与河北省交界。北京市目前为16区格局，即东城、西城、海淀、朝阳、丰台、顺义、昌平、通州、门头沟、石景山、房山、大兴、怀柔、平谷、密云、延庆。</w:t>
      </w:r>
    </w:p>
    <w:p w14:paraId="5ED63DD6">
      <w:pPr>
        <w:widowControl/>
        <w:adjustRightInd/>
        <w:spacing w:line="480" w:lineRule="auto"/>
        <w:ind w:firstLine="525" w:firstLineChars="250"/>
        <w:jc w:val="both"/>
        <w:textAlignment w:val="auto"/>
        <w:rPr>
          <w:rFonts w:hint="eastAsia" w:ascii="Arial" w:hAnsi="Arial"/>
          <w:color w:val="000000"/>
          <w:sz w:val="21"/>
          <w:szCs w:val="21"/>
          <w:highlight w:val="none"/>
        </w:rPr>
      </w:pPr>
      <w:r>
        <w:rPr>
          <w:rFonts w:ascii="Arial" w:hAnsi="Arial"/>
          <w:sz w:val="21"/>
          <w:szCs w:val="21"/>
          <w:highlight w:val="none"/>
        </w:rPr>
        <w:t>截至2024年年末，北京市常住人口为2183.2万人，从年龄构成看，0-14岁常住人口261.2万人，占全市常住人口的比重为12.0%；15-59岁常住人口1408.0万人，占64.5%；60岁及以上常住人口514.0万人，占23.5%</w:t>
      </w:r>
      <w:r>
        <w:rPr>
          <w:rFonts w:hint="eastAsia" w:ascii="Arial" w:hAnsi="Arial"/>
          <w:color w:val="000000"/>
          <w:sz w:val="21"/>
          <w:szCs w:val="21"/>
          <w:highlight w:val="none"/>
        </w:rPr>
        <w:t>。</w:t>
      </w:r>
    </w:p>
    <w:p w14:paraId="03FE90FA">
      <w:pPr>
        <w:overflowPunct w:val="0"/>
        <w:spacing w:line="240" w:lineRule="auto"/>
        <w:jc w:val="center"/>
        <w:rPr>
          <w:rFonts w:ascii="Arial" w:hAnsi="Arial" w:eastAsia="方正黑体简体"/>
          <w:bCs/>
          <w:color w:val="000000"/>
          <w:szCs w:val="24"/>
          <w:highlight w:val="none"/>
        </w:rPr>
      </w:pPr>
      <w:r>
        <w:rPr>
          <w:rFonts w:ascii="Arial" w:hAnsi="Arial" w:eastAsia="方正黑体简体"/>
          <w:bCs/>
          <w:color w:val="000000"/>
          <w:szCs w:val="24"/>
          <w:highlight w:val="none"/>
        </w:rPr>
        <w:t>20</w:t>
      </w:r>
      <w:r>
        <w:rPr>
          <w:rFonts w:hint="eastAsia" w:ascii="Arial" w:hAnsi="Arial" w:eastAsia="方正黑体简体"/>
          <w:bCs/>
          <w:color w:val="000000"/>
          <w:szCs w:val="24"/>
          <w:highlight w:val="none"/>
        </w:rPr>
        <w:t>20</w:t>
      </w:r>
      <w:r>
        <w:rPr>
          <w:rFonts w:ascii="Arial" w:hAnsi="Arial" w:eastAsia="方正黑体简体"/>
          <w:bCs/>
          <w:color w:val="000000"/>
          <w:szCs w:val="24"/>
          <w:highlight w:val="none"/>
        </w:rPr>
        <w:t>-202</w:t>
      </w:r>
      <w:r>
        <w:rPr>
          <w:rFonts w:hint="eastAsia" w:ascii="Arial" w:hAnsi="Arial" w:eastAsia="方正黑体简体"/>
          <w:bCs/>
          <w:color w:val="000000"/>
          <w:szCs w:val="24"/>
          <w:highlight w:val="none"/>
        </w:rPr>
        <w:t>4年常住人口增量及增长速度</w:t>
      </w:r>
    </w:p>
    <w:p w14:paraId="5D324498">
      <w:pPr>
        <w:widowControl/>
        <w:adjustRightInd/>
        <w:spacing w:line="480" w:lineRule="auto"/>
        <w:jc w:val="center"/>
        <w:textAlignment w:val="auto"/>
        <w:rPr>
          <w:rFonts w:hint="eastAsia" w:ascii="Arial" w:hAnsi="Arial"/>
          <w:color w:val="000000"/>
          <w:sz w:val="21"/>
          <w:szCs w:val="21"/>
          <w:highlight w:val="none"/>
        </w:rPr>
      </w:pPr>
      <w:r>
        <w:rPr>
          <w:rFonts w:ascii="Arial" w:hAnsi="Arial" w:eastAsia="仿宋" w:cs="Arial"/>
          <w:sz w:val="28"/>
          <w:szCs w:val="28"/>
          <w:highlight w:val="none"/>
        </w:rPr>
        <w:drawing>
          <wp:inline distT="0" distB="0" distL="114300" distR="114300">
            <wp:extent cx="5906135" cy="2407285"/>
            <wp:effectExtent l="4445" t="4445" r="17780" b="11430"/>
            <wp:docPr id="17"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bookmarkEnd w:id="58"/>
    <w:bookmarkEnd w:id="59"/>
    <w:p w14:paraId="2F47C394">
      <w:pPr>
        <w:widowControl/>
        <w:adjustRightInd/>
        <w:spacing w:line="480" w:lineRule="auto"/>
        <w:ind w:firstLine="525" w:firstLineChars="250"/>
        <w:jc w:val="both"/>
        <w:textAlignment w:val="auto"/>
        <w:rPr>
          <w:rFonts w:hint="eastAsia" w:ascii="Arial" w:hAnsi="Arial"/>
          <w:color w:val="000000"/>
          <w:sz w:val="21"/>
          <w:szCs w:val="21"/>
          <w:highlight w:val="none"/>
        </w:rPr>
      </w:pPr>
      <w:r>
        <w:rPr>
          <w:rFonts w:hint="eastAsia" w:ascii="Arial" w:hAnsi="Arial"/>
          <w:color w:val="000000"/>
          <w:sz w:val="21"/>
          <w:szCs w:val="21"/>
          <w:highlight w:val="none"/>
        </w:rPr>
        <w:t>根据北京市统计局地区生产总值统一核算结果，2025年前三季度，北京市实现地区生产总值38415.9亿元，按不变价格计算，同比增长5.6%。分产业看，第一产业实现增加值77.9亿元，下降1.1%；第二产业实现增加值5055.9亿元，增长4.0%；第三产业实现增加值33282.0亿元，增长5.8%。</w:t>
      </w:r>
    </w:p>
    <w:p w14:paraId="0B6F8F29">
      <w:pPr>
        <w:widowControl/>
        <w:adjustRightInd/>
        <w:spacing w:line="480" w:lineRule="auto"/>
        <w:ind w:firstLine="525" w:firstLineChars="250"/>
        <w:jc w:val="both"/>
        <w:textAlignment w:val="auto"/>
        <w:rPr>
          <w:rFonts w:hint="eastAsia" w:ascii="Arial" w:hAnsi="Arial"/>
          <w:color w:val="000000"/>
          <w:sz w:val="21"/>
          <w:szCs w:val="21"/>
          <w:highlight w:val="none"/>
        </w:rPr>
      </w:pPr>
      <w:r>
        <w:rPr>
          <w:rFonts w:hint="eastAsia" w:ascii="Arial" w:hAnsi="Arial"/>
          <w:color w:val="000000"/>
          <w:sz w:val="21"/>
          <w:szCs w:val="21"/>
          <w:highlight w:val="none"/>
        </w:rPr>
        <w:t>2025年前三季度，北京市固定资产投资（不含农户）同比增长9.0%。其中，反映企业扩大生产能力的设备购置投资增长83.1%，占全市固定资产投资的比重进一步提升至29.3%。分领域看，基础设施投资增长2.3%，制造业投资增长5.4%，房地产开发投资下降13.7%。分产业看，第一产业投资增长23.8%，第二产业投资增长10.4%，第三产业投资增长8.8%。在信息传输、软件和信息技术服务业带动下，高技术产业投资保持活跃，增长51.7%。</w:t>
      </w:r>
    </w:p>
    <w:p w14:paraId="79B8CF95">
      <w:pPr>
        <w:widowControl/>
        <w:adjustRightInd/>
        <w:spacing w:line="480" w:lineRule="auto"/>
        <w:ind w:firstLine="525" w:firstLineChars="250"/>
        <w:jc w:val="both"/>
        <w:textAlignment w:val="auto"/>
        <w:rPr>
          <w:rFonts w:hint="eastAsia" w:ascii="Arial" w:hAnsi="Arial"/>
          <w:color w:val="000000"/>
          <w:sz w:val="21"/>
          <w:szCs w:val="21"/>
          <w:highlight w:val="none"/>
        </w:rPr>
      </w:pPr>
      <w:r>
        <w:rPr>
          <w:rFonts w:hint="eastAsia" w:ascii="Arial" w:hAnsi="Arial"/>
          <w:color w:val="000000"/>
          <w:sz w:val="21"/>
          <w:szCs w:val="21"/>
          <w:highlight w:val="none"/>
        </w:rPr>
        <w:t>2025年前三季度，北京市房屋施工面积10150.0万平方米，同比下降7.8%，其中住宅施工面积5050.5万平方米，下降8.5%。全市新建商品房销售面积739.6万平方米，同比下降3.5%，其中住宅销售面积491.7万平方米，下降8.2%，住宅中的纯商品住宅销售面积增长20.1%。</w:t>
      </w:r>
    </w:p>
    <w:p w14:paraId="7AF26B53">
      <w:pPr>
        <w:widowControl/>
        <w:adjustRightInd/>
        <w:spacing w:line="480" w:lineRule="auto"/>
        <w:ind w:firstLine="525" w:firstLineChars="250"/>
        <w:jc w:val="both"/>
        <w:textAlignment w:val="auto"/>
        <w:rPr>
          <w:rFonts w:ascii="Arial" w:hAnsi="Arial"/>
          <w:color w:val="000000"/>
          <w:sz w:val="21"/>
          <w:szCs w:val="21"/>
          <w:highlight w:val="none"/>
        </w:rPr>
      </w:pPr>
      <w:r>
        <w:rPr>
          <w:rFonts w:hint="eastAsia" w:ascii="Arial" w:hAnsi="Arial"/>
          <w:color w:val="000000"/>
          <w:sz w:val="21"/>
          <w:szCs w:val="21"/>
          <w:highlight w:val="none"/>
        </w:rPr>
        <w:t>2025年前三季度，北京市房地产开发投资同比下降13.7%，房屋新开工面积912万平方米，同比下降7.4%。其中，住宅新开工面积576.6万平方米，下降6%；办公楼26.7万平方米，增长39%；商业营业用房45.7万平方米，增长0.3%。</w:t>
      </w:r>
    </w:p>
    <w:p w14:paraId="197E3CE5">
      <w:pPr>
        <w:widowControl/>
        <w:adjustRightInd/>
        <w:spacing w:line="480" w:lineRule="auto"/>
        <w:ind w:firstLine="525" w:firstLineChars="250"/>
        <w:jc w:val="both"/>
        <w:textAlignment w:val="auto"/>
        <w:rPr>
          <w:rFonts w:ascii="Arial" w:hAnsi="Arial"/>
          <w:color w:val="000000"/>
          <w:sz w:val="21"/>
          <w:szCs w:val="21"/>
          <w:highlight w:val="none"/>
        </w:rPr>
      </w:pPr>
      <w:r>
        <w:rPr>
          <w:rFonts w:hint="eastAsia" w:ascii="Arial" w:hAnsi="Arial"/>
          <w:color w:val="000000"/>
          <w:sz w:val="21"/>
          <w:szCs w:val="21"/>
          <w:highlight w:val="none"/>
        </w:rPr>
        <w:t>北京市房屋竣工面积787.8万平方米，同比增长6.1%。其中，住宅竣工面积403.3万平方米，下降1.5%；办公楼23.2万平方米，下降33%；商业营业用房78.7万平方米，增长1.2倍。</w:t>
      </w:r>
    </w:p>
    <w:p w14:paraId="0883EE38">
      <w:pPr>
        <w:widowControl/>
        <w:adjustRightInd/>
        <w:spacing w:line="480" w:lineRule="auto"/>
        <w:ind w:firstLine="525" w:firstLineChars="250"/>
        <w:jc w:val="both"/>
        <w:textAlignment w:val="auto"/>
        <w:rPr>
          <w:rFonts w:hint="eastAsia" w:ascii="Arial" w:hAnsi="Arial"/>
          <w:color w:val="000000"/>
          <w:sz w:val="21"/>
          <w:szCs w:val="21"/>
          <w:highlight w:val="none"/>
        </w:rPr>
      </w:pPr>
      <w:r>
        <w:rPr>
          <w:rFonts w:hint="eastAsia" w:ascii="Arial" w:hAnsi="Arial"/>
          <w:color w:val="000000"/>
          <w:sz w:val="21"/>
          <w:szCs w:val="21"/>
          <w:highlight w:val="none"/>
        </w:rPr>
        <w:t>总的来看，2025年前三季度北京市经济运行稳中向好，新兴动能培育壮大，高质量发展扎实推进。北京市总体经济呈现“一季度开局良好，二、三季度增势稳定”特征。主要领域中，工业、投资较快增长，服务业重点行业增速提高，就业物价保持稳定，居民收入稳步增加，新质生产力不断培育壮大，高质量发展迈出坚实步伐。</w:t>
      </w:r>
    </w:p>
    <w:p w14:paraId="5D4769E5">
      <w:pPr>
        <w:widowControl/>
        <w:overflowPunct w:val="0"/>
        <w:adjustRightInd/>
        <w:spacing w:line="480" w:lineRule="auto"/>
        <w:ind w:firstLine="420" w:firstLineChars="200"/>
        <w:jc w:val="both"/>
        <w:textAlignment w:val="auto"/>
        <w:rPr>
          <w:rFonts w:ascii="Arial" w:hAnsi="Arial"/>
          <w:color w:val="000000"/>
          <w:sz w:val="21"/>
          <w:szCs w:val="21"/>
          <w:highlight w:val="none"/>
        </w:rPr>
      </w:pPr>
      <w:r>
        <w:rPr>
          <w:rFonts w:ascii="Arial" w:hAnsi="Arial"/>
          <w:color w:val="000000"/>
          <w:sz w:val="21"/>
          <w:szCs w:val="21"/>
          <w:highlight w:val="none"/>
        </w:rPr>
        <w:t>2.</w:t>
      </w:r>
      <w:r>
        <w:rPr>
          <w:rFonts w:hint="eastAsia" w:ascii="Arial" w:hAnsi="Arial"/>
          <w:color w:val="000000"/>
          <w:sz w:val="21"/>
          <w:szCs w:val="21"/>
          <w:highlight w:val="none"/>
        </w:rPr>
        <w:t>土地市场</w:t>
      </w:r>
    </w:p>
    <w:p w14:paraId="1AE6DFD4">
      <w:pPr>
        <w:widowControl/>
        <w:overflowPunct w:val="0"/>
        <w:adjustRightInd/>
        <w:spacing w:line="480" w:lineRule="auto"/>
        <w:ind w:firstLine="420" w:firstLineChars="200"/>
        <w:jc w:val="both"/>
        <w:textAlignment w:val="auto"/>
        <w:rPr>
          <w:rFonts w:ascii="Arial" w:hAnsi="Arial"/>
          <w:color w:val="000000"/>
          <w:sz w:val="21"/>
          <w:szCs w:val="21"/>
          <w:highlight w:val="none"/>
        </w:rPr>
      </w:pPr>
      <w:r>
        <w:rPr>
          <w:rFonts w:hint="eastAsia" w:ascii="Arial" w:hAnsi="Arial"/>
          <w:color w:val="000000"/>
          <w:sz w:val="21"/>
          <w:szCs w:val="21"/>
          <w:highlight w:val="none"/>
        </w:rPr>
        <w:t>（1）土地供求情况</w:t>
      </w:r>
    </w:p>
    <w:p w14:paraId="6A09C8B6">
      <w:pPr>
        <w:widowControl/>
        <w:adjustRightInd/>
        <w:spacing w:line="480" w:lineRule="auto"/>
        <w:ind w:firstLine="525" w:firstLineChars="250"/>
        <w:jc w:val="both"/>
        <w:textAlignment w:val="auto"/>
        <w:rPr>
          <w:rFonts w:hint="eastAsia" w:ascii="Arial" w:hAnsi="Arial"/>
          <w:color w:val="000000"/>
          <w:sz w:val="21"/>
          <w:szCs w:val="21"/>
          <w:highlight w:val="none"/>
        </w:rPr>
      </w:pPr>
      <w:r>
        <w:rPr>
          <w:rFonts w:ascii="Arial" w:hAnsi="Arial"/>
          <w:color w:val="000000"/>
          <w:sz w:val="21"/>
          <w:szCs w:val="21"/>
          <w:highlight w:val="none"/>
        </w:rPr>
        <w:t>202</w:t>
      </w:r>
      <w:r>
        <w:rPr>
          <w:rFonts w:hint="eastAsia" w:ascii="Arial" w:hAnsi="Arial"/>
          <w:color w:val="000000"/>
          <w:sz w:val="21"/>
          <w:szCs w:val="21"/>
          <w:highlight w:val="none"/>
        </w:rPr>
        <w:t>5</w:t>
      </w:r>
      <w:r>
        <w:rPr>
          <w:rFonts w:ascii="Arial" w:hAnsi="Arial"/>
          <w:color w:val="000000"/>
          <w:sz w:val="21"/>
          <w:szCs w:val="21"/>
          <w:highlight w:val="none"/>
        </w:rPr>
        <w:t>年</w:t>
      </w:r>
      <w:r>
        <w:rPr>
          <w:rFonts w:hint="eastAsia" w:ascii="Arial" w:hAnsi="Arial"/>
          <w:color w:val="000000"/>
          <w:sz w:val="21"/>
          <w:szCs w:val="21"/>
          <w:highlight w:val="none"/>
        </w:rPr>
        <w:t>三季度</w:t>
      </w:r>
      <w:r>
        <w:rPr>
          <w:rFonts w:ascii="Arial" w:hAnsi="Arial"/>
          <w:color w:val="000000"/>
          <w:sz w:val="21"/>
          <w:szCs w:val="21"/>
          <w:highlight w:val="none"/>
        </w:rPr>
        <w:t>北京商品住宅用地共推出</w:t>
      </w:r>
      <w:r>
        <w:rPr>
          <w:rFonts w:hint="eastAsia" w:ascii="Arial" w:hAnsi="Arial"/>
          <w:color w:val="000000"/>
          <w:sz w:val="21"/>
          <w:szCs w:val="21"/>
          <w:highlight w:val="none"/>
        </w:rPr>
        <w:t>8</w:t>
      </w:r>
      <w:r>
        <w:rPr>
          <w:rFonts w:ascii="Arial" w:hAnsi="Arial"/>
          <w:color w:val="000000"/>
          <w:sz w:val="21"/>
          <w:szCs w:val="21"/>
          <w:highlight w:val="none"/>
        </w:rPr>
        <w:t>宗，累计供应规划建面</w:t>
      </w:r>
      <w:r>
        <w:rPr>
          <w:rFonts w:hint="eastAsia" w:ascii="Arial" w:hAnsi="Arial"/>
          <w:color w:val="000000"/>
          <w:sz w:val="21"/>
          <w:szCs w:val="21"/>
          <w:highlight w:val="none"/>
        </w:rPr>
        <w:t>44.96</w:t>
      </w:r>
      <w:r>
        <w:rPr>
          <w:rFonts w:ascii="Arial" w:hAnsi="Arial"/>
          <w:color w:val="000000"/>
          <w:sz w:val="21"/>
          <w:szCs w:val="21"/>
          <w:highlight w:val="none"/>
        </w:rPr>
        <w:t>万</w:t>
      </w:r>
      <w:r>
        <w:rPr>
          <w:rFonts w:hint="eastAsia" w:ascii="Arial" w:hAnsi="Arial"/>
          <w:color w:val="000000"/>
          <w:sz w:val="21"/>
          <w:szCs w:val="21"/>
          <w:highlight w:val="none"/>
        </w:rPr>
        <w:t>平方米</w:t>
      </w:r>
      <w:r>
        <w:rPr>
          <w:rFonts w:ascii="Arial" w:hAnsi="Arial"/>
          <w:color w:val="000000"/>
          <w:sz w:val="21"/>
          <w:szCs w:val="21"/>
          <w:highlight w:val="none"/>
        </w:rPr>
        <w:t>，同比</w:t>
      </w:r>
      <w:r>
        <w:rPr>
          <w:rFonts w:hint="eastAsia" w:ascii="Arial" w:hAnsi="Arial"/>
          <w:color w:val="000000"/>
          <w:sz w:val="21"/>
          <w:szCs w:val="21"/>
          <w:highlight w:val="none"/>
        </w:rPr>
        <w:t>下降57.1</w:t>
      </w:r>
      <w:r>
        <w:rPr>
          <w:rFonts w:ascii="Arial" w:hAnsi="Arial"/>
          <w:color w:val="000000"/>
          <w:sz w:val="21"/>
          <w:szCs w:val="21"/>
          <w:highlight w:val="none"/>
        </w:rPr>
        <w:t>%；202</w:t>
      </w:r>
      <w:r>
        <w:rPr>
          <w:rFonts w:hint="eastAsia" w:ascii="Arial" w:hAnsi="Arial"/>
          <w:color w:val="000000"/>
          <w:sz w:val="21"/>
          <w:szCs w:val="21"/>
          <w:highlight w:val="none"/>
        </w:rPr>
        <w:t>5</w:t>
      </w:r>
      <w:r>
        <w:rPr>
          <w:rFonts w:ascii="Arial" w:hAnsi="Arial"/>
          <w:color w:val="000000"/>
          <w:sz w:val="21"/>
          <w:szCs w:val="21"/>
          <w:highlight w:val="none"/>
        </w:rPr>
        <w:t>年</w:t>
      </w:r>
      <w:r>
        <w:rPr>
          <w:rFonts w:hint="eastAsia" w:ascii="Arial" w:hAnsi="Arial"/>
          <w:color w:val="000000"/>
          <w:sz w:val="21"/>
          <w:szCs w:val="21"/>
          <w:highlight w:val="none"/>
        </w:rPr>
        <w:t>三季度</w:t>
      </w:r>
      <w:r>
        <w:rPr>
          <w:rFonts w:ascii="Arial" w:hAnsi="Arial"/>
          <w:color w:val="000000"/>
          <w:sz w:val="21"/>
          <w:szCs w:val="21"/>
          <w:highlight w:val="none"/>
        </w:rPr>
        <w:t>北京商品住宅用地</w:t>
      </w:r>
      <w:r>
        <w:rPr>
          <w:rFonts w:hint="eastAsia" w:ascii="Arial" w:hAnsi="Arial"/>
          <w:color w:val="000000"/>
          <w:sz w:val="21"/>
          <w:szCs w:val="21"/>
          <w:highlight w:val="none"/>
        </w:rPr>
        <w:t>共</w:t>
      </w:r>
      <w:r>
        <w:rPr>
          <w:rFonts w:ascii="Arial" w:hAnsi="Arial"/>
          <w:color w:val="000000"/>
          <w:sz w:val="21"/>
          <w:szCs w:val="21"/>
          <w:highlight w:val="none"/>
        </w:rPr>
        <w:t>成交</w:t>
      </w:r>
      <w:r>
        <w:rPr>
          <w:rFonts w:hint="eastAsia" w:ascii="Arial" w:hAnsi="Arial"/>
          <w:color w:val="000000"/>
          <w:sz w:val="21"/>
          <w:szCs w:val="21"/>
          <w:highlight w:val="none"/>
        </w:rPr>
        <w:t>7</w:t>
      </w:r>
      <w:r>
        <w:rPr>
          <w:rFonts w:ascii="Arial" w:hAnsi="Arial"/>
          <w:color w:val="000000"/>
          <w:sz w:val="21"/>
          <w:szCs w:val="21"/>
          <w:highlight w:val="none"/>
        </w:rPr>
        <w:t>宗，成交规划建面</w:t>
      </w:r>
      <w:r>
        <w:rPr>
          <w:rFonts w:hint="eastAsia" w:ascii="Arial" w:hAnsi="Arial"/>
          <w:color w:val="000000"/>
          <w:sz w:val="21"/>
          <w:szCs w:val="21"/>
          <w:highlight w:val="none"/>
        </w:rPr>
        <w:t>32.01</w:t>
      </w:r>
      <w:r>
        <w:rPr>
          <w:rFonts w:ascii="Arial" w:hAnsi="Arial"/>
          <w:color w:val="000000"/>
          <w:sz w:val="21"/>
          <w:szCs w:val="21"/>
          <w:highlight w:val="none"/>
        </w:rPr>
        <w:t>万</w:t>
      </w:r>
      <w:r>
        <w:rPr>
          <w:rFonts w:hint="eastAsia" w:ascii="Arial" w:hAnsi="Arial"/>
          <w:color w:val="000000"/>
          <w:sz w:val="21"/>
          <w:szCs w:val="21"/>
          <w:highlight w:val="none"/>
        </w:rPr>
        <w:t>平方米</w:t>
      </w:r>
      <w:r>
        <w:rPr>
          <w:rFonts w:ascii="Arial" w:hAnsi="Arial"/>
          <w:color w:val="000000"/>
          <w:sz w:val="21"/>
          <w:szCs w:val="21"/>
          <w:highlight w:val="none"/>
        </w:rPr>
        <w:t>，同比下降</w:t>
      </w:r>
      <w:r>
        <w:rPr>
          <w:rFonts w:hint="eastAsia" w:ascii="Arial" w:hAnsi="Arial"/>
          <w:color w:val="000000"/>
          <w:sz w:val="21"/>
          <w:szCs w:val="21"/>
          <w:highlight w:val="none"/>
        </w:rPr>
        <w:t>70.8</w:t>
      </w:r>
      <w:r>
        <w:rPr>
          <w:rFonts w:ascii="Arial" w:hAnsi="Arial"/>
          <w:color w:val="000000"/>
          <w:sz w:val="21"/>
          <w:szCs w:val="21"/>
          <w:highlight w:val="none"/>
        </w:rPr>
        <w:t>%；</w:t>
      </w:r>
      <w:r>
        <w:rPr>
          <w:rFonts w:hint="eastAsia" w:ascii="Arial" w:hAnsi="Arial"/>
          <w:color w:val="000000"/>
          <w:sz w:val="21"/>
          <w:szCs w:val="21"/>
          <w:highlight w:val="none"/>
        </w:rPr>
        <w:t>土地成交价款合计115.77亿元，同比下降58.7%。与上半年相比，三季度土地市场明显转冷，住宅用地供求规模显著下降，除太阳宫地块外，均底价成交。</w:t>
      </w:r>
    </w:p>
    <w:p w14:paraId="373F3887">
      <w:pPr>
        <w:overflowPunct w:val="0"/>
        <w:spacing w:line="360" w:lineRule="auto"/>
        <w:jc w:val="center"/>
        <w:rPr>
          <w:rFonts w:ascii="Arial" w:hAnsi="Arial" w:eastAsia="仿宋_GB2312"/>
          <w:b/>
          <w:bCs/>
          <w:color w:val="000000"/>
          <w:szCs w:val="24"/>
          <w:highlight w:val="none"/>
        </w:rPr>
      </w:pPr>
      <w:r>
        <w:rPr>
          <w:highlight w:val="none"/>
        </w:rPr>
        <w:drawing>
          <wp:inline distT="0" distB="0" distL="114300" distR="114300">
            <wp:extent cx="4442460" cy="2246630"/>
            <wp:effectExtent l="0" t="0" r="7620" b="889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28"/>
                    <a:stretch>
                      <a:fillRect/>
                    </a:stretch>
                  </pic:blipFill>
                  <pic:spPr>
                    <a:xfrm>
                      <a:off x="0" y="0"/>
                      <a:ext cx="4442460" cy="2246630"/>
                    </a:xfrm>
                    <a:prstGeom prst="rect">
                      <a:avLst/>
                    </a:prstGeom>
                    <a:noFill/>
                    <a:ln>
                      <a:noFill/>
                    </a:ln>
                  </pic:spPr>
                </pic:pic>
              </a:graphicData>
            </a:graphic>
          </wp:inline>
        </w:drawing>
      </w:r>
    </w:p>
    <w:p w14:paraId="3387B50F">
      <w:pPr>
        <w:widowControl/>
        <w:overflowPunct w:val="0"/>
        <w:adjustRightInd/>
        <w:spacing w:line="480" w:lineRule="auto"/>
        <w:ind w:firstLine="420" w:firstLineChars="200"/>
        <w:jc w:val="both"/>
        <w:textAlignment w:val="auto"/>
        <w:rPr>
          <w:rFonts w:hint="eastAsia" w:ascii="Arial" w:hAnsi="Arial"/>
          <w:sz w:val="21"/>
          <w:szCs w:val="21"/>
          <w:highlight w:val="none"/>
        </w:rPr>
      </w:pPr>
      <w:r>
        <w:rPr>
          <w:rFonts w:hint="eastAsia" w:ascii="Arial" w:hAnsi="Arial"/>
          <w:sz w:val="21"/>
          <w:szCs w:val="21"/>
          <w:highlight w:val="none"/>
        </w:rPr>
        <w:t>（2）土地成交情况</w:t>
      </w:r>
    </w:p>
    <w:p w14:paraId="42F4D0CA">
      <w:pPr>
        <w:widowControl/>
        <w:adjustRightInd/>
        <w:spacing w:line="480" w:lineRule="auto"/>
        <w:ind w:firstLine="525" w:firstLineChars="250"/>
        <w:jc w:val="both"/>
        <w:textAlignment w:val="auto"/>
        <w:rPr>
          <w:rFonts w:hint="eastAsia" w:ascii="Arial" w:hAnsi="Arial"/>
          <w:color w:val="000000"/>
          <w:sz w:val="21"/>
          <w:szCs w:val="21"/>
          <w:highlight w:val="none"/>
        </w:rPr>
      </w:pPr>
      <w:r>
        <w:rPr>
          <w:rFonts w:ascii="Arial" w:hAnsi="Arial"/>
          <w:color w:val="000000"/>
          <w:sz w:val="21"/>
          <w:szCs w:val="21"/>
          <w:highlight w:val="none"/>
        </w:rPr>
        <w:t>2025年</w:t>
      </w:r>
      <w:r>
        <w:rPr>
          <w:rFonts w:hint="eastAsia" w:ascii="Arial" w:hAnsi="Arial"/>
          <w:color w:val="000000"/>
          <w:sz w:val="21"/>
          <w:szCs w:val="21"/>
          <w:highlight w:val="none"/>
        </w:rPr>
        <w:t>三季度</w:t>
      </w:r>
      <w:r>
        <w:rPr>
          <w:rFonts w:ascii="Arial" w:hAnsi="Arial"/>
          <w:color w:val="000000"/>
          <w:sz w:val="21"/>
          <w:szCs w:val="21"/>
          <w:highlight w:val="none"/>
        </w:rPr>
        <w:t>，北京市商品住宅用地中心城区朝阳、丰台累计成交</w:t>
      </w:r>
      <w:r>
        <w:rPr>
          <w:rFonts w:hint="eastAsia" w:ascii="Arial" w:hAnsi="Arial"/>
          <w:color w:val="000000"/>
          <w:sz w:val="21"/>
          <w:szCs w:val="21"/>
          <w:highlight w:val="none"/>
        </w:rPr>
        <w:t>3</w:t>
      </w:r>
      <w:r>
        <w:rPr>
          <w:rFonts w:ascii="Arial" w:hAnsi="Arial"/>
          <w:color w:val="000000"/>
          <w:sz w:val="21"/>
          <w:szCs w:val="21"/>
          <w:highlight w:val="none"/>
        </w:rPr>
        <w:t>宗宅地，累计成交规划建面</w:t>
      </w:r>
      <w:r>
        <w:rPr>
          <w:rFonts w:hint="eastAsia" w:ascii="Arial" w:hAnsi="Arial"/>
          <w:color w:val="000000"/>
          <w:sz w:val="21"/>
          <w:szCs w:val="21"/>
          <w:highlight w:val="none"/>
        </w:rPr>
        <w:t>11.61</w:t>
      </w:r>
      <w:r>
        <w:rPr>
          <w:rFonts w:ascii="Arial" w:hAnsi="Arial"/>
          <w:color w:val="000000"/>
          <w:sz w:val="21"/>
          <w:szCs w:val="21"/>
          <w:highlight w:val="none"/>
        </w:rPr>
        <w:t>万</w:t>
      </w:r>
      <w:r>
        <w:rPr>
          <w:rFonts w:hint="eastAsia" w:ascii="Arial" w:hAnsi="Arial"/>
          <w:color w:val="000000"/>
          <w:sz w:val="21"/>
          <w:szCs w:val="21"/>
          <w:highlight w:val="none"/>
        </w:rPr>
        <w:t>平方米</w:t>
      </w:r>
      <w:r>
        <w:rPr>
          <w:rFonts w:ascii="Arial" w:hAnsi="Arial"/>
          <w:color w:val="000000"/>
          <w:sz w:val="21"/>
          <w:szCs w:val="21"/>
          <w:highlight w:val="none"/>
        </w:rPr>
        <w:t>，占比</w:t>
      </w:r>
      <w:r>
        <w:rPr>
          <w:rFonts w:hint="eastAsia" w:ascii="Arial" w:hAnsi="Arial"/>
          <w:color w:val="000000"/>
          <w:sz w:val="21"/>
          <w:szCs w:val="21"/>
          <w:highlight w:val="none"/>
        </w:rPr>
        <w:t>36</w:t>
      </w:r>
      <w:r>
        <w:rPr>
          <w:rFonts w:ascii="Arial" w:hAnsi="Arial"/>
          <w:color w:val="000000"/>
          <w:sz w:val="21"/>
          <w:szCs w:val="21"/>
          <w:highlight w:val="none"/>
        </w:rPr>
        <w:t>%，较上年同期增长</w:t>
      </w:r>
      <w:r>
        <w:rPr>
          <w:rFonts w:hint="eastAsia" w:ascii="Arial" w:hAnsi="Arial"/>
          <w:color w:val="000000"/>
          <w:sz w:val="21"/>
          <w:szCs w:val="21"/>
          <w:highlight w:val="none"/>
        </w:rPr>
        <w:t>21</w:t>
      </w:r>
      <w:r>
        <w:rPr>
          <w:rFonts w:ascii="Arial" w:hAnsi="Arial"/>
          <w:color w:val="000000"/>
          <w:sz w:val="21"/>
          <w:szCs w:val="21"/>
          <w:highlight w:val="none"/>
        </w:rPr>
        <w:t>个百分点。近郊区主要集中在</w:t>
      </w:r>
      <w:r>
        <w:rPr>
          <w:rFonts w:hint="eastAsia" w:ascii="Arial" w:hAnsi="Arial"/>
          <w:color w:val="000000"/>
          <w:sz w:val="21"/>
          <w:szCs w:val="21"/>
          <w:highlight w:val="none"/>
        </w:rPr>
        <w:t>昌平、门头沟和</w:t>
      </w:r>
      <w:r>
        <w:rPr>
          <w:rFonts w:ascii="Arial" w:hAnsi="Arial"/>
          <w:color w:val="000000"/>
          <w:sz w:val="21"/>
          <w:szCs w:val="21"/>
          <w:highlight w:val="none"/>
        </w:rPr>
        <w:t>顺义，累计成交</w:t>
      </w:r>
      <w:r>
        <w:rPr>
          <w:rFonts w:hint="eastAsia" w:ascii="Arial" w:hAnsi="Arial"/>
          <w:color w:val="000000"/>
          <w:sz w:val="21"/>
          <w:szCs w:val="21"/>
          <w:highlight w:val="none"/>
        </w:rPr>
        <w:t>16.78</w:t>
      </w:r>
      <w:r>
        <w:rPr>
          <w:rFonts w:ascii="Arial" w:hAnsi="Arial"/>
          <w:color w:val="000000"/>
          <w:sz w:val="21"/>
          <w:szCs w:val="21"/>
          <w:highlight w:val="none"/>
        </w:rPr>
        <w:t>万</w:t>
      </w:r>
      <w:r>
        <w:rPr>
          <w:rFonts w:hint="eastAsia" w:ascii="Arial" w:hAnsi="Arial"/>
          <w:color w:val="000000"/>
          <w:sz w:val="21"/>
          <w:szCs w:val="21"/>
          <w:highlight w:val="none"/>
        </w:rPr>
        <w:t>平方米</w:t>
      </w:r>
      <w:r>
        <w:rPr>
          <w:rFonts w:ascii="Arial" w:hAnsi="Arial"/>
          <w:color w:val="000000"/>
          <w:sz w:val="21"/>
          <w:szCs w:val="21"/>
          <w:highlight w:val="none"/>
        </w:rPr>
        <w:t>，占比为</w:t>
      </w:r>
      <w:r>
        <w:rPr>
          <w:rFonts w:hint="eastAsia" w:ascii="Arial" w:hAnsi="Arial"/>
          <w:color w:val="000000"/>
          <w:sz w:val="21"/>
          <w:szCs w:val="21"/>
          <w:highlight w:val="none"/>
        </w:rPr>
        <w:t>52</w:t>
      </w:r>
      <w:r>
        <w:rPr>
          <w:rFonts w:ascii="Arial" w:hAnsi="Arial"/>
          <w:color w:val="000000"/>
          <w:sz w:val="21"/>
          <w:szCs w:val="21"/>
          <w:highlight w:val="none"/>
        </w:rPr>
        <w:t>%，较去年同期下降</w:t>
      </w:r>
      <w:r>
        <w:rPr>
          <w:rFonts w:hint="eastAsia" w:ascii="Arial" w:hAnsi="Arial"/>
          <w:color w:val="000000"/>
          <w:sz w:val="21"/>
          <w:szCs w:val="21"/>
          <w:highlight w:val="none"/>
        </w:rPr>
        <w:t>33</w:t>
      </w:r>
      <w:r>
        <w:rPr>
          <w:rFonts w:ascii="Arial" w:hAnsi="Arial"/>
          <w:color w:val="000000"/>
          <w:sz w:val="21"/>
          <w:szCs w:val="21"/>
          <w:highlight w:val="none"/>
        </w:rPr>
        <w:t>个百分点；</w:t>
      </w:r>
      <w:r>
        <w:rPr>
          <w:rFonts w:hint="eastAsia" w:ascii="Arial" w:hAnsi="Arial"/>
          <w:color w:val="000000"/>
          <w:sz w:val="21"/>
          <w:szCs w:val="21"/>
          <w:highlight w:val="none"/>
        </w:rPr>
        <w:t>延庆</w:t>
      </w:r>
      <w:r>
        <w:rPr>
          <w:rFonts w:ascii="Arial" w:hAnsi="Arial"/>
          <w:color w:val="000000"/>
          <w:sz w:val="21"/>
          <w:szCs w:val="21"/>
          <w:highlight w:val="none"/>
        </w:rPr>
        <w:t>区成交</w:t>
      </w:r>
      <w:r>
        <w:rPr>
          <w:rFonts w:hint="eastAsia" w:ascii="Arial" w:hAnsi="Arial"/>
          <w:color w:val="000000"/>
          <w:sz w:val="21"/>
          <w:szCs w:val="21"/>
          <w:highlight w:val="none"/>
        </w:rPr>
        <w:t>1宗宅地，占比11%。</w:t>
      </w:r>
    </w:p>
    <w:p w14:paraId="7167D77A">
      <w:pPr>
        <w:overflowPunct w:val="0"/>
        <w:spacing w:line="360" w:lineRule="auto"/>
        <w:jc w:val="center"/>
        <w:textAlignment w:val="auto"/>
        <w:rPr>
          <w:rFonts w:hint="eastAsia" w:ascii="Arial" w:hAnsi="Arial" w:eastAsia="仿宋_GB2312"/>
          <w:bCs/>
          <w:color w:val="000000"/>
          <w:sz w:val="28"/>
          <w:szCs w:val="28"/>
          <w:highlight w:val="none"/>
        </w:rPr>
      </w:pPr>
      <w:r>
        <w:rPr>
          <w:highlight w:val="none"/>
        </w:rPr>
        <w:drawing>
          <wp:inline distT="0" distB="0" distL="114300" distR="114300">
            <wp:extent cx="5906135" cy="2948940"/>
            <wp:effectExtent l="0" t="0" r="6985" b="762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29"/>
                    <a:stretch>
                      <a:fillRect/>
                    </a:stretch>
                  </pic:blipFill>
                  <pic:spPr>
                    <a:xfrm>
                      <a:off x="0" y="0"/>
                      <a:ext cx="5906135" cy="2948940"/>
                    </a:xfrm>
                    <a:prstGeom prst="rect">
                      <a:avLst/>
                    </a:prstGeom>
                    <a:noFill/>
                    <a:ln>
                      <a:noFill/>
                    </a:ln>
                  </pic:spPr>
                </pic:pic>
              </a:graphicData>
            </a:graphic>
          </wp:inline>
        </w:drawing>
      </w:r>
    </w:p>
    <w:p w14:paraId="7D78E3FE">
      <w:pPr>
        <w:widowControl/>
        <w:overflowPunct w:val="0"/>
        <w:adjustRightInd/>
        <w:spacing w:line="480" w:lineRule="auto"/>
        <w:ind w:firstLine="420" w:firstLineChars="200"/>
        <w:jc w:val="both"/>
        <w:textAlignment w:val="auto"/>
        <w:rPr>
          <w:rFonts w:hint="eastAsia" w:ascii="Arial" w:hAnsi="Arial"/>
          <w:sz w:val="21"/>
          <w:szCs w:val="28"/>
          <w:highlight w:val="none"/>
        </w:rPr>
      </w:pPr>
      <w:r>
        <w:rPr>
          <w:rFonts w:hint="eastAsia" w:ascii="Arial" w:hAnsi="Arial"/>
          <w:color w:val="000000"/>
          <w:sz w:val="21"/>
          <w:szCs w:val="21"/>
          <w:highlight w:val="none"/>
        </w:rPr>
        <w:t>从不同区域来看，中心城区成交规模同比下降31%，其中东城、海淀无成交；近郊区成交规模同比下降82%，其中大兴、房山、通州均无住宅用地成交，顺义同比下降80%，门头沟和昌平同比分别下降52%和42%</w:t>
      </w:r>
      <w:r>
        <w:rPr>
          <w:rFonts w:hint="eastAsia" w:ascii="Arial" w:hAnsi="Arial"/>
          <w:sz w:val="21"/>
          <w:szCs w:val="28"/>
          <w:highlight w:val="none"/>
        </w:rPr>
        <w:t>。</w:t>
      </w:r>
    </w:p>
    <w:p w14:paraId="73634F0B">
      <w:pPr>
        <w:widowControl/>
        <w:overflowPunct w:val="0"/>
        <w:adjustRightInd/>
        <w:spacing w:line="480" w:lineRule="auto"/>
        <w:jc w:val="center"/>
        <w:textAlignment w:val="auto"/>
        <w:rPr>
          <w:rFonts w:hint="eastAsia"/>
          <w:highlight w:val="none"/>
        </w:rPr>
      </w:pPr>
      <w:r>
        <w:rPr>
          <w:highlight w:val="none"/>
        </w:rPr>
        <w:drawing>
          <wp:inline distT="0" distB="0" distL="114300" distR="114300">
            <wp:extent cx="3623310" cy="3129915"/>
            <wp:effectExtent l="0" t="0" r="3810" b="952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30"/>
                    <a:stretch>
                      <a:fillRect/>
                    </a:stretch>
                  </pic:blipFill>
                  <pic:spPr>
                    <a:xfrm>
                      <a:off x="0" y="0"/>
                      <a:ext cx="3623310" cy="3129915"/>
                    </a:xfrm>
                    <a:prstGeom prst="rect">
                      <a:avLst/>
                    </a:prstGeom>
                    <a:noFill/>
                    <a:ln>
                      <a:noFill/>
                    </a:ln>
                  </pic:spPr>
                </pic:pic>
              </a:graphicData>
            </a:graphic>
          </wp:inline>
        </w:drawing>
      </w:r>
    </w:p>
    <w:p w14:paraId="7C44E13B">
      <w:pPr>
        <w:overflowPunct w:val="0"/>
        <w:spacing w:line="480" w:lineRule="auto"/>
        <w:ind w:firstLine="420" w:firstLineChars="200"/>
        <w:jc w:val="both"/>
        <w:textAlignment w:val="auto"/>
        <w:rPr>
          <w:rFonts w:hint="eastAsia" w:ascii="Arial" w:hAnsi="Arial" w:cs="宋体"/>
          <w:sz w:val="21"/>
          <w:szCs w:val="21"/>
          <w:highlight w:val="none"/>
        </w:rPr>
      </w:pPr>
      <w:r>
        <w:rPr>
          <w:rFonts w:hint="eastAsia" w:ascii="Arial" w:hAnsi="Arial" w:cs="宋体"/>
          <w:sz w:val="21"/>
          <w:szCs w:val="21"/>
          <w:highlight w:val="none"/>
        </w:rPr>
        <w:t>（</w:t>
      </w:r>
      <w:r>
        <w:rPr>
          <w:rFonts w:hint="eastAsia" w:ascii="Arial" w:hAnsi="Arial"/>
          <w:sz w:val="21"/>
          <w:highlight w:val="none"/>
        </w:rPr>
        <w:t>3</w:t>
      </w:r>
      <w:r>
        <w:rPr>
          <w:rFonts w:hint="eastAsia" w:ascii="Arial" w:hAnsi="Arial" w:cs="宋体"/>
          <w:sz w:val="21"/>
          <w:szCs w:val="21"/>
          <w:highlight w:val="none"/>
        </w:rPr>
        <w:t>）土地成交价格</w:t>
      </w:r>
    </w:p>
    <w:p w14:paraId="7603F972">
      <w:pPr>
        <w:widowControl/>
        <w:overflowPunct w:val="0"/>
        <w:adjustRightInd/>
        <w:spacing w:line="480" w:lineRule="auto"/>
        <w:ind w:firstLine="420" w:firstLineChars="200"/>
        <w:jc w:val="both"/>
        <w:textAlignment w:val="auto"/>
        <w:rPr>
          <w:rFonts w:ascii="Arial" w:hAnsi="Arial"/>
          <w:color w:val="000000"/>
          <w:sz w:val="21"/>
          <w:szCs w:val="21"/>
          <w:highlight w:val="none"/>
        </w:rPr>
      </w:pPr>
      <w:r>
        <w:rPr>
          <w:rFonts w:ascii="Arial" w:hAnsi="Arial"/>
          <w:color w:val="000000"/>
          <w:sz w:val="21"/>
          <w:szCs w:val="21"/>
          <w:highlight w:val="none"/>
        </w:rPr>
        <w:t>2025年</w:t>
      </w:r>
      <w:r>
        <w:rPr>
          <w:rFonts w:hint="eastAsia" w:ascii="Arial" w:hAnsi="Arial"/>
          <w:color w:val="000000"/>
          <w:sz w:val="21"/>
          <w:szCs w:val="21"/>
          <w:highlight w:val="none"/>
        </w:rPr>
        <w:t>三季度</w:t>
      </w:r>
      <w:r>
        <w:rPr>
          <w:rFonts w:ascii="Arial" w:hAnsi="Arial"/>
          <w:color w:val="000000"/>
          <w:sz w:val="21"/>
          <w:szCs w:val="21"/>
          <w:highlight w:val="none"/>
        </w:rPr>
        <w:t>，在</w:t>
      </w:r>
      <w:r>
        <w:rPr>
          <w:rFonts w:hint="eastAsia" w:ascii="Arial" w:hAnsi="Arial"/>
          <w:color w:val="000000"/>
          <w:sz w:val="21"/>
          <w:szCs w:val="21"/>
          <w:highlight w:val="none"/>
        </w:rPr>
        <w:t>朝阳太阳宫、呼家楼以及丰台岳各庄</w:t>
      </w:r>
      <w:r>
        <w:rPr>
          <w:rFonts w:ascii="Arial" w:hAnsi="Arial"/>
          <w:color w:val="000000"/>
          <w:sz w:val="21"/>
          <w:szCs w:val="21"/>
          <w:highlight w:val="none"/>
        </w:rPr>
        <w:t>地块带动下，北京宅地整体成交楼面均价</w:t>
      </w:r>
      <w:r>
        <w:rPr>
          <w:rFonts w:hint="eastAsia" w:ascii="Arial" w:hAnsi="Arial"/>
          <w:color w:val="000000"/>
          <w:sz w:val="21"/>
          <w:szCs w:val="21"/>
          <w:highlight w:val="none"/>
        </w:rPr>
        <w:t>36161</w:t>
      </w:r>
      <w:r>
        <w:rPr>
          <w:rFonts w:ascii="Arial" w:hAnsi="Arial"/>
          <w:color w:val="000000"/>
          <w:sz w:val="21"/>
          <w:szCs w:val="21"/>
          <w:highlight w:val="none"/>
        </w:rPr>
        <w:t>元/</w:t>
      </w:r>
      <w:r>
        <w:rPr>
          <w:rFonts w:hint="eastAsia" w:ascii="Arial" w:hAnsi="Arial"/>
          <w:color w:val="000000"/>
          <w:sz w:val="21"/>
          <w:szCs w:val="21"/>
          <w:highlight w:val="none"/>
        </w:rPr>
        <w:t>平方米</w:t>
      </w:r>
      <w:r>
        <w:rPr>
          <w:rFonts w:ascii="Arial" w:hAnsi="Arial"/>
          <w:color w:val="000000"/>
          <w:sz w:val="21"/>
          <w:szCs w:val="21"/>
          <w:highlight w:val="none"/>
        </w:rPr>
        <w:t>，同比增长</w:t>
      </w:r>
      <w:r>
        <w:rPr>
          <w:rFonts w:hint="eastAsia" w:ascii="Arial" w:hAnsi="Arial"/>
          <w:color w:val="000000"/>
          <w:sz w:val="21"/>
          <w:szCs w:val="21"/>
          <w:highlight w:val="none"/>
        </w:rPr>
        <w:t>41.4</w:t>
      </w:r>
      <w:r>
        <w:rPr>
          <w:rFonts w:ascii="Arial" w:hAnsi="Arial"/>
          <w:color w:val="000000"/>
          <w:sz w:val="21"/>
          <w:szCs w:val="21"/>
          <w:highlight w:val="none"/>
        </w:rPr>
        <w:t>%。溢价率方面，受</w:t>
      </w:r>
      <w:r>
        <w:rPr>
          <w:rFonts w:hint="eastAsia" w:ascii="Arial" w:hAnsi="Arial"/>
          <w:color w:val="000000"/>
          <w:sz w:val="21"/>
          <w:szCs w:val="21"/>
          <w:highlight w:val="none"/>
        </w:rPr>
        <w:t>朝阳太阳宫</w:t>
      </w:r>
      <w:r>
        <w:rPr>
          <w:rFonts w:ascii="Arial" w:hAnsi="Arial"/>
          <w:color w:val="000000"/>
          <w:sz w:val="21"/>
          <w:szCs w:val="21"/>
          <w:highlight w:val="none"/>
        </w:rPr>
        <w:t>高溢价地块的带动下，</w:t>
      </w:r>
      <w:r>
        <w:rPr>
          <w:rFonts w:hint="eastAsia" w:ascii="Arial" w:hAnsi="Arial"/>
          <w:color w:val="000000"/>
          <w:sz w:val="21"/>
          <w:szCs w:val="21"/>
          <w:highlight w:val="none"/>
        </w:rPr>
        <w:t>三季度</w:t>
      </w:r>
      <w:r>
        <w:rPr>
          <w:rFonts w:ascii="Arial" w:hAnsi="Arial"/>
          <w:color w:val="000000"/>
          <w:sz w:val="21"/>
          <w:szCs w:val="21"/>
          <w:highlight w:val="none"/>
        </w:rPr>
        <w:t>北京宅地成交溢价率</w:t>
      </w:r>
      <w:r>
        <w:rPr>
          <w:rFonts w:hint="eastAsia" w:ascii="Arial" w:hAnsi="Arial"/>
          <w:color w:val="000000"/>
          <w:sz w:val="21"/>
          <w:szCs w:val="21"/>
          <w:highlight w:val="none"/>
        </w:rPr>
        <w:t>11.7</w:t>
      </w:r>
      <w:r>
        <w:rPr>
          <w:rFonts w:ascii="Arial" w:hAnsi="Arial"/>
          <w:color w:val="000000"/>
          <w:sz w:val="21"/>
          <w:szCs w:val="21"/>
          <w:highlight w:val="none"/>
        </w:rPr>
        <w:t>%，同比提升</w:t>
      </w:r>
      <w:r>
        <w:rPr>
          <w:rFonts w:hint="eastAsia" w:ascii="Arial" w:hAnsi="Arial"/>
          <w:color w:val="000000"/>
          <w:sz w:val="21"/>
          <w:szCs w:val="21"/>
          <w:highlight w:val="none"/>
        </w:rPr>
        <w:t>10.4</w:t>
      </w:r>
      <w:r>
        <w:rPr>
          <w:rFonts w:ascii="Arial" w:hAnsi="Arial"/>
          <w:color w:val="000000"/>
          <w:sz w:val="21"/>
          <w:szCs w:val="21"/>
          <w:highlight w:val="none"/>
        </w:rPr>
        <w:t>个百分点。整体来看</w:t>
      </w:r>
      <w:r>
        <w:rPr>
          <w:rFonts w:hint="eastAsia" w:ascii="Arial" w:hAnsi="Arial"/>
          <w:color w:val="000000"/>
          <w:sz w:val="21"/>
          <w:szCs w:val="21"/>
          <w:highlight w:val="none"/>
        </w:rPr>
        <w:t>，三季度北京宅地市场热度较低，仅太阳宫地块热度较高，经过超330轮现场举牌竞价成交，溢价率39.18%</w:t>
      </w:r>
      <w:r>
        <w:rPr>
          <w:rFonts w:ascii="Arial" w:hAnsi="Arial"/>
          <w:color w:val="000000"/>
          <w:sz w:val="21"/>
          <w:szCs w:val="21"/>
          <w:highlight w:val="none"/>
        </w:rPr>
        <w:t>，</w:t>
      </w:r>
      <w:r>
        <w:rPr>
          <w:rFonts w:hint="eastAsia" w:ascii="Arial" w:hAnsi="Arial"/>
          <w:color w:val="000000"/>
          <w:sz w:val="21"/>
          <w:szCs w:val="21"/>
          <w:highlight w:val="none"/>
        </w:rPr>
        <w:t>而其余6</w:t>
      </w:r>
      <w:r>
        <w:rPr>
          <w:rFonts w:ascii="Arial" w:hAnsi="Arial"/>
          <w:color w:val="000000"/>
          <w:sz w:val="21"/>
          <w:szCs w:val="21"/>
          <w:highlight w:val="none"/>
        </w:rPr>
        <w:t>宗地块</w:t>
      </w:r>
      <w:r>
        <w:rPr>
          <w:rFonts w:hint="eastAsia" w:ascii="Arial" w:hAnsi="Arial"/>
          <w:color w:val="000000"/>
          <w:sz w:val="21"/>
          <w:szCs w:val="21"/>
          <w:highlight w:val="none"/>
        </w:rPr>
        <w:t>均</w:t>
      </w:r>
      <w:r>
        <w:rPr>
          <w:rFonts w:ascii="Arial" w:hAnsi="Arial"/>
          <w:color w:val="000000"/>
          <w:sz w:val="21"/>
          <w:szCs w:val="21"/>
          <w:highlight w:val="none"/>
        </w:rPr>
        <w:t>以底价成交。</w:t>
      </w:r>
    </w:p>
    <w:p w14:paraId="322F51EE">
      <w:pPr>
        <w:spacing w:line="480" w:lineRule="auto"/>
        <w:jc w:val="center"/>
        <w:rPr>
          <w:rFonts w:ascii="Arial" w:hAnsi="Arial" w:cs="Arial"/>
          <w:sz w:val="21"/>
          <w:szCs w:val="21"/>
          <w:highlight w:val="none"/>
        </w:rPr>
      </w:pPr>
      <w:r>
        <w:rPr>
          <w:highlight w:val="none"/>
        </w:rPr>
        <w:drawing>
          <wp:inline distT="0" distB="0" distL="114300" distR="114300">
            <wp:extent cx="5323205" cy="2985770"/>
            <wp:effectExtent l="0" t="0" r="10795" b="127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31"/>
                    <a:stretch>
                      <a:fillRect/>
                    </a:stretch>
                  </pic:blipFill>
                  <pic:spPr>
                    <a:xfrm>
                      <a:off x="0" y="0"/>
                      <a:ext cx="5323205" cy="2985770"/>
                    </a:xfrm>
                    <a:prstGeom prst="rect">
                      <a:avLst/>
                    </a:prstGeom>
                    <a:noFill/>
                    <a:ln>
                      <a:noFill/>
                    </a:ln>
                  </pic:spPr>
                </pic:pic>
              </a:graphicData>
            </a:graphic>
          </wp:inline>
        </w:drawing>
      </w:r>
    </w:p>
    <w:p w14:paraId="1AEBC701">
      <w:pPr>
        <w:overflowPunct w:val="0"/>
        <w:spacing w:line="480" w:lineRule="auto"/>
        <w:ind w:firstLine="420" w:firstLineChars="200"/>
        <w:jc w:val="both"/>
        <w:textAlignment w:val="auto"/>
        <w:rPr>
          <w:rFonts w:ascii="Arial" w:hAnsi="Arial"/>
          <w:sz w:val="21"/>
          <w:szCs w:val="28"/>
          <w:highlight w:val="none"/>
        </w:rPr>
      </w:pPr>
      <w:r>
        <w:rPr>
          <w:rFonts w:hint="eastAsia" w:ascii="Arial" w:hAnsi="Arial"/>
          <w:sz w:val="21"/>
          <w:szCs w:val="28"/>
          <w:highlight w:val="none"/>
        </w:rPr>
        <w:t>3.商品房住宅市场</w:t>
      </w:r>
    </w:p>
    <w:p w14:paraId="3717F451">
      <w:pPr>
        <w:overflowPunct w:val="0"/>
        <w:spacing w:line="480" w:lineRule="auto"/>
        <w:ind w:firstLine="420" w:firstLineChars="200"/>
        <w:jc w:val="both"/>
        <w:textAlignment w:val="auto"/>
        <w:rPr>
          <w:rFonts w:hint="eastAsia" w:ascii="Arial" w:hAnsi="Arial"/>
          <w:sz w:val="21"/>
          <w:szCs w:val="28"/>
          <w:highlight w:val="none"/>
        </w:rPr>
      </w:pPr>
      <w:r>
        <w:rPr>
          <w:rFonts w:hint="eastAsia" w:ascii="Arial" w:hAnsi="Arial"/>
          <w:sz w:val="21"/>
          <w:szCs w:val="28"/>
          <w:highlight w:val="none"/>
        </w:rPr>
        <w:t>（1）商品住宅供给状况</w:t>
      </w:r>
    </w:p>
    <w:p w14:paraId="58AA85F0">
      <w:pPr>
        <w:spacing w:line="360" w:lineRule="auto"/>
        <w:ind w:firstLine="420" w:firstLineChars="200"/>
        <w:jc w:val="both"/>
        <w:outlineLvl w:val="0"/>
        <w:rPr>
          <w:rFonts w:ascii="Arial" w:hAnsi="Arial"/>
          <w:sz w:val="21"/>
          <w:szCs w:val="28"/>
          <w:highlight w:val="none"/>
        </w:rPr>
      </w:pPr>
      <w:r>
        <w:rPr>
          <w:rFonts w:ascii="Arial" w:hAnsi="Arial"/>
          <w:color w:val="000000"/>
          <w:sz w:val="21"/>
          <w:szCs w:val="21"/>
          <w:highlight w:val="none"/>
        </w:rPr>
        <w:t>2025年</w:t>
      </w:r>
      <w:r>
        <w:rPr>
          <w:rFonts w:hint="eastAsia" w:ascii="Arial" w:hAnsi="Arial"/>
          <w:color w:val="000000"/>
          <w:sz w:val="21"/>
          <w:szCs w:val="21"/>
          <w:highlight w:val="none"/>
        </w:rPr>
        <w:t>三季度，</w:t>
      </w:r>
      <w:r>
        <w:rPr>
          <w:rFonts w:ascii="Arial" w:hAnsi="Arial"/>
          <w:color w:val="000000"/>
          <w:sz w:val="21"/>
          <w:szCs w:val="21"/>
          <w:highlight w:val="none"/>
        </w:rPr>
        <w:t>北京商品住宅（不含保障</w:t>
      </w:r>
      <w:r>
        <w:rPr>
          <w:rFonts w:hint="eastAsia" w:ascii="Arial" w:hAnsi="Arial"/>
          <w:color w:val="000000"/>
          <w:sz w:val="21"/>
          <w:szCs w:val="21"/>
          <w:highlight w:val="none"/>
        </w:rPr>
        <w:t>性住</w:t>
      </w:r>
      <w:r>
        <w:rPr>
          <w:rFonts w:ascii="Arial" w:hAnsi="Arial"/>
          <w:color w:val="000000"/>
          <w:sz w:val="21"/>
          <w:szCs w:val="21"/>
          <w:highlight w:val="none"/>
        </w:rPr>
        <w:t>房）累计供应</w:t>
      </w:r>
      <w:r>
        <w:rPr>
          <w:rFonts w:hint="eastAsia" w:ascii="Arial" w:hAnsi="Arial"/>
          <w:color w:val="000000"/>
          <w:sz w:val="21"/>
          <w:szCs w:val="21"/>
          <w:highlight w:val="none"/>
        </w:rPr>
        <w:t>100</w:t>
      </w:r>
      <w:r>
        <w:rPr>
          <w:rFonts w:ascii="Arial" w:hAnsi="Arial"/>
          <w:color w:val="000000"/>
          <w:sz w:val="21"/>
          <w:szCs w:val="21"/>
          <w:highlight w:val="none"/>
        </w:rPr>
        <w:t>万</w:t>
      </w:r>
      <w:r>
        <w:rPr>
          <w:rFonts w:hint="eastAsia" w:ascii="Arial" w:hAnsi="Arial"/>
          <w:color w:val="000000"/>
          <w:sz w:val="21"/>
          <w:szCs w:val="21"/>
          <w:highlight w:val="none"/>
        </w:rPr>
        <w:t>平方米</w:t>
      </w:r>
      <w:r>
        <w:rPr>
          <w:rFonts w:ascii="Arial" w:hAnsi="Arial"/>
          <w:color w:val="000000"/>
          <w:sz w:val="21"/>
          <w:szCs w:val="21"/>
          <w:highlight w:val="none"/>
        </w:rPr>
        <w:t>，</w:t>
      </w:r>
      <w:r>
        <w:rPr>
          <w:rFonts w:hint="eastAsia" w:ascii="Arial" w:hAnsi="Arial"/>
          <w:color w:val="000000"/>
          <w:sz w:val="21"/>
          <w:szCs w:val="21"/>
          <w:highlight w:val="none"/>
        </w:rPr>
        <w:t>月均供应量居近几年同期低位</w:t>
      </w:r>
      <w:r>
        <w:rPr>
          <w:rFonts w:ascii="Arial" w:hAnsi="Arial"/>
          <w:color w:val="000000"/>
          <w:sz w:val="21"/>
          <w:szCs w:val="21"/>
          <w:highlight w:val="none"/>
        </w:rPr>
        <w:t>。</w:t>
      </w:r>
      <w:r>
        <w:rPr>
          <w:rFonts w:hint="eastAsia" w:ascii="Arial" w:hAnsi="Arial"/>
          <w:color w:val="000000"/>
          <w:sz w:val="21"/>
          <w:szCs w:val="21"/>
          <w:highlight w:val="none"/>
        </w:rPr>
        <w:t>整体来看，伴随着存量库存的去化，房企入市积极性有所增强，但整体供应量较去年同期仍略有不足。具体来看，7月，受季节性因素的影响，房企入市积极性明显下滑，新增供应规模月18.93万平方米，环比减少51%；8月新增供应规模约18.52万平方米，环比减少2%；9月，随着“金九银十”行业传统旺季的来临，房企供应节奏有所加快，在中建·运河玖院、首钢璟悦长安、中海瑞文里、建发金茂观宸等项目积极入市带动下，新房供应量环比涨幅达239%，累计来看，三季度北京商品住宅市场累计供应规模约为100.28万平方米，同比减少约38%，环比减少9%</w:t>
      </w:r>
      <w:r>
        <w:rPr>
          <w:rFonts w:ascii="Arial" w:hAnsi="Arial"/>
          <w:sz w:val="21"/>
          <w:szCs w:val="28"/>
          <w:highlight w:val="none"/>
        </w:rPr>
        <w:t>。</w:t>
      </w:r>
    </w:p>
    <w:p w14:paraId="18880CBB">
      <w:pPr>
        <w:overflowPunct w:val="0"/>
        <w:spacing w:line="480" w:lineRule="auto"/>
        <w:jc w:val="center"/>
        <w:textAlignment w:val="auto"/>
        <w:rPr>
          <w:rFonts w:hint="eastAsia" w:ascii="Arial" w:hAnsi="Arial"/>
          <w:sz w:val="21"/>
          <w:szCs w:val="28"/>
          <w:highlight w:val="none"/>
        </w:rPr>
      </w:pPr>
      <w:r>
        <w:rPr>
          <w:highlight w:val="none"/>
        </w:rPr>
        <w:drawing>
          <wp:inline distT="0" distB="0" distL="114300" distR="114300">
            <wp:extent cx="5618480" cy="3284220"/>
            <wp:effectExtent l="0" t="0" r="5080" b="762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32"/>
                    <a:stretch>
                      <a:fillRect/>
                    </a:stretch>
                  </pic:blipFill>
                  <pic:spPr>
                    <a:xfrm>
                      <a:off x="0" y="0"/>
                      <a:ext cx="5618480" cy="3284220"/>
                    </a:xfrm>
                    <a:prstGeom prst="rect">
                      <a:avLst/>
                    </a:prstGeom>
                    <a:noFill/>
                    <a:ln>
                      <a:noFill/>
                    </a:ln>
                  </pic:spPr>
                </pic:pic>
              </a:graphicData>
            </a:graphic>
          </wp:inline>
        </w:drawing>
      </w:r>
    </w:p>
    <w:p w14:paraId="00B6FB70">
      <w:pPr>
        <w:spacing w:line="360" w:lineRule="auto"/>
        <w:ind w:firstLine="420" w:firstLineChars="200"/>
        <w:jc w:val="both"/>
        <w:outlineLvl w:val="0"/>
        <w:rPr>
          <w:rFonts w:ascii="Arial" w:hAnsi="Arial"/>
          <w:color w:val="000000"/>
          <w:sz w:val="21"/>
          <w:szCs w:val="21"/>
          <w:highlight w:val="none"/>
        </w:rPr>
      </w:pPr>
      <w:r>
        <w:rPr>
          <w:rFonts w:ascii="Arial" w:hAnsi="Arial"/>
          <w:color w:val="000000"/>
          <w:sz w:val="21"/>
          <w:szCs w:val="21"/>
          <w:highlight w:val="none"/>
        </w:rPr>
        <w:t>2025年三季度北京商品住宅（不含保障房）库存规模同比增加，但仍居近年同期低位。截至</w:t>
      </w:r>
      <w:r>
        <w:rPr>
          <w:rFonts w:hint="eastAsia" w:ascii="Arial" w:hAnsi="Arial"/>
          <w:color w:val="000000"/>
          <w:sz w:val="21"/>
          <w:szCs w:val="21"/>
          <w:highlight w:val="none"/>
        </w:rPr>
        <w:t>9</w:t>
      </w:r>
      <w:r>
        <w:rPr>
          <w:rFonts w:ascii="Arial" w:hAnsi="Arial"/>
          <w:color w:val="000000"/>
          <w:sz w:val="21"/>
          <w:szCs w:val="21"/>
          <w:highlight w:val="none"/>
        </w:rPr>
        <w:t>月底，北京商品住宅（不含保障房）库存量约为988.72万平方米，较去年同期增加2%；月度来看，近期北京商品住宅市场库存规模整体呈现出小幅回升的趋势，本月市场供求规模基本均衡，库存规模维持平稳。去年930新政后，市场平均</w:t>
      </w:r>
      <w:r>
        <w:rPr>
          <w:rFonts w:hint="eastAsia" w:ascii="Arial" w:hAnsi="Arial"/>
          <w:color w:val="000000"/>
          <w:sz w:val="21"/>
          <w:szCs w:val="21"/>
          <w:highlight w:val="none"/>
        </w:rPr>
        <w:t>去化速度明显加快，叠加库存规模的逐步回落，出清周期呈现出明显的下滑趋势；进入2025年，伴随着需求的逐步释放，市场去化速度放缓，出清周期再次波动回升，截</w:t>
      </w:r>
      <w:r>
        <w:rPr>
          <w:rFonts w:ascii="Arial" w:hAnsi="Arial"/>
          <w:color w:val="000000"/>
          <w:sz w:val="21"/>
          <w:szCs w:val="21"/>
          <w:highlight w:val="none"/>
        </w:rPr>
        <w:t>止到9月去化周期回升至23.0个月。</w:t>
      </w:r>
    </w:p>
    <w:p w14:paraId="307EC4E5">
      <w:pPr>
        <w:overflowPunct w:val="0"/>
        <w:spacing w:line="480" w:lineRule="auto"/>
        <w:jc w:val="center"/>
        <w:textAlignment w:val="auto"/>
        <w:rPr>
          <w:rFonts w:ascii="Arial" w:hAnsi="Arial"/>
          <w:sz w:val="21"/>
          <w:highlight w:val="none"/>
        </w:rPr>
      </w:pPr>
      <w:r>
        <w:rPr>
          <w:highlight w:val="none"/>
        </w:rPr>
        <w:drawing>
          <wp:inline distT="0" distB="0" distL="114300" distR="114300">
            <wp:extent cx="5904865" cy="1840865"/>
            <wp:effectExtent l="0" t="0" r="8255" b="3175"/>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33"/>
                    <a:stretch>
                      <a:fillRect/>
                    </a:stretch>
                  </pic:blipFill>
                  <pic:spPr>
                    <a:xfrm>
                      <a:off x="0" y="0"/>
                      <a:ext cx="5904865" cy="1840865"/>
                    </a:xfrm>
                    <a:prstGeom prst="rect">
                      <a:avLst/>
                    </a:prstGeom>
                    <a:noFill/>
                    <a:ln>
                      <a:noFill/>
                    </a:ln>
                  </pic:spPr>
                </pic:pic>
              </a:graphicData>
            </a:graphic>
          </wp:inline>
        </w:drawing>
      </w:r>
    </w:p>
    <w:p w14:paraId="4C0FBEBE">
      <w:pPr>
        <w:overflowPunct w:val="0"/>
        <w:spacing w:line="480" w:lineRule="auto"/>
        <w:ind w:firstLine="420" w:firstLineChars="200"/>
        <w:jc w:val="both"/>
        <w:textAlignment w:val="auto"/>
        <w:rPr>
          <w:rFonts w:ascii="Arial" w:hAnsi="Arial"/>
          <w:bCs/>
          <w:sz w:val="21"/>
          <w:szCs w:val="28"/>
          <w:highlight w:val="none"/>
        </w:rPr>
      </w:pPr>
      <w:r>
        <w:rPr>
          <w:rFonts w:hint="eastAsia" w:ascii="Arial" w:hAnsi="Arial"/>
          <w:sz w:val="21"/>
          <w:szCs w:val="28"/>
          <w:highlight w:val="none"/>
        </w:rPr>
        <w:t>（2）商品</w:t>
      </w:r>
      <w:r>
        <w:rPr>
          <w:rFonts w:hint="eastAsia" w:ascii="Arial" w:hAnsi="Arial"/>
          <w:bCs/>
          <w:sz w:val="21"/>
          <w:szCs w:val="28"/>
          <w:highlight w:val="none"/>
        </w:rPr>
        <w:t>住宅成交情况</w:t>
      </w:r>
    </w:p>
    <w:p w14:paraId="65F662DC">
      <w:pPr>
        <w:tabs>
          <w:tab w:val="left" w:pos="426"/>
        </w:tabs>
        <w:overflowPunct w:val="0"/>
        <w:spacing w:line="480" w:lineRule="auto"/>
        <w:ind w:firstLine="420" w:firstLineChars="200"/>
        <w:jc w:val="both"/>
        <w:textAlignment w:val="auto"/>
        <w:rPr>
          <w:rFonts w:ascii="Arial" w:hAnsi="Arial"/>
          <w:sz w:val="21"/>
          <w:highlight w:val="none"/>
        </w:rPr>
      </w:pPr>
      <w:r>
        <w:rPr>
          <w:rFonts w:hint="eastAsia" w:ascii="Arial" w:hAnsi="Arial"/>
          <w:sz w:val="21"/>
          <w:highlight w:val="none"/>
        </w:rPr>
        <w:t>1）成交量</w:t>
      </w:r>
    </w:p>
    <w:p w14:paraId="785D2FCB">
      <w:pPr>
        <w:spacing w:line="360" w:lineRule="auto"/>
        <w:ind w:firstLine="420" w:firstLineChars="200"/>
        <w:jc w:val="both"/>
        <w:outlineLvl w:val="0"/>
        <w:rPr>
          <w:rFonts w:ascii="Arial" w:hAnsi="Arial"/>
          <w:sz w:val="21"/>
          <w:szCs w:val="28"/>
          <w:highlight w:val="none"/>
        </w:rPr>
      </w:pPr>
      <w:r>
        <w:rPr>
          <w:rFonts w:ascii="Arial" w:hAnsi="Arial"/>
          <w:color w:val="000000"/>
          <w:sz w:val="21"/>
          <w:szCs w:val="21"/>
          <w:highlight w:val="none"/>
        </w:rPr>
        <w:t>2025年三季度北京市场活跃度下滑，成交规模同环比均有所减少。2025年1-9月北京新房市场累计成交规模为338.49万</w:t>
      </w:r>
      <w:r>
        <w:rPr>
          <w:rFonts w:hint="eastAsia" w:ascii="Arial" w:hAnsi="Arial"/>
          <w:color w:val="000000"/>
          <w:sz w:val="21"/>
          <w:szCs w:val="21"/>
          <w:highlight w:val="none"/>
        </w:rPr>
        <w:t>平方米</w:t>
      </w:r>
      <w:r>
        <w:rPr>
          <w:rFonts w:ascii="Arial" w:hAnsi="Arial"/>
          <w:color w:val="000000"/>
          <w:sz w:val="21"/>
          <w:szCs w:val="21"/>
          <w:highlight w:val="none"/>
        </w:rPr>
        <w:t>，同比增加12%。其中，三季度来看，北京新房市场活跃度同环比均有所回落，市场活跃度有所下滑，商品住宅累计成交规模约为105.73万</w:t>
      </w:r>
      <w:r>
        <w:rPr>
          <w:rFonts w:hint="eastAsia" w:ascii="Arial" w:hAnsi="Arial"/>
          <w:color w:val="000000"/>
          <w:sz w:val="21"/>
          <w:szCs w:val="21"/>
          <w:highlight w:val="none"/>
        </w:rPr>
        <w:t>平方米</w:t>
      </w:r>
      <w:r>
        <w:rPr>
          <w:rFonts w:ascii="Arial" w:hAnsi="Arial"/>
          <w:color w:val="000000"/>
          <w:sz w:val="21"/>
          <w:szCs w:val="21"/>
          <w:highlight w:val="none"/>
        </w:rPr>
        <w:t>，同比减少0.1%，环比减少17%。分月度来看，7月，受季节性因素的影响，成交规模环比明显下滑。8月8日，北京五环外解除限购同时优化公积金贷款政策，为楼市铺上了防滑垫，当月新房成交量环比略有增长，但鉴于政策力 度较为温和，且2024年多轮政策优化后需求已有释放，本次新政的边际效果较为有限。9月，随着“金九银十”行业旺季的到来，房企入市意愿增强，供应量环比大增，带动成交规模环比上行</w:t>
      </w:r>
      <w:r>
        <w:rPr>
          <w:rFonts w:hint="eastAsia" w:ascii="Arial" w:hAnsi="Arial"/>
          <w:sz w:val="21"/>
          <w:szCs w:val="28"/>
          <w:highlight w:val="none"/>
        </w:rPr>
        <w:t>。</w:t>
      </w:r>
    </w:p>
    <w:p w14:paraId="6FBDDD88">
      <w:pPr>
        <w:overflowPunct w:val="0"/>
        <w:spacing w:line="480" w:lineRule="auto"/>
        <w:jc w:val="both"/>
        <w:textAlignment w:val="auto"/>
        <w:rPr>
          <w:rFonts w:hint="eastAsia" w:ascii="Arial" w:hAnsi="Arial"/>
          <w:sz w:val="21"/>
          <w:highlight w:val="none"/>
        </w:rPr>
      </w:pPr>
      <w:r>
        <w:rPr>
          <w:highlight w:val="none"/>
        </w:rPr>
        <w:drawing>
          <wp:inline distT="0" distB="0" distL="114300" distR="114300">
            <wp:extent cx="5904865" cy="1668145"/>
            <wp:effectExtent l="0" t="0" r="8255" b="8255"/>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34"/>
                    <a:stretch>
                      <a:fillRect/>
                    </a:stretch>
                  </pic:blipFill>
                  <pic:spPr>
                    <a:xfrm>
                      <a:off x="0" y="0"/>
                      <a:ext cx="5904865" cy="1668145"/>
                    </a:xfrm>
                    <a:prstGeom prst="rect">
                      <a:avLst/>
                    </a:prstGeom>
                    <a:noFill/>
                    <a:ln>
                      <a:noFill/>
                    </a:ln>
                  </pic:spPr>
                </pic:pic>
              </a:graphicData>
            </a:graphic>
          </wp:inline>
        </w:drawing>
      </w:r>
    </w:p>
    <w:p w14:paraId="51378672">
      <w:pPr>
        <w:overflowPunct w:val="0"/>
        <w:spacing w:line="480" w:lineRule="auto"/>
        <w:ind w:firstLine="420" w:firstLineChars="200"/>
        <w:textAlignment w:val="auto"/>
        <w:rPr>
          <w:rFonts w:ascii="Arial" w:hAnsi="Arial"/>
          <w:sz w:val="21"/>
          <w:highlight w:val="none"/>
        </w:rPr>
      </w:pPr>
      <w:r>
        <w:rPr>
          <w:rFonts w:hint="eastAsia" w:ascii="Arial" w:hAnsi="Arial"/>
          <w:sz w:val="21"/>
          <w:highlight w:val="none"/>
        </w:rPr>
        <w:t>2）成交价格</w:t>
      </w:r>
    </w:p>
    <w:p w14:paraId="5B8DA270">
      <w:pPr>
        <w:overflowPunct w:val="0"/>
        <w:spacing w:line="480" w:lineRule="auto"/>
        <w:ind w:firstLine="420" w:firstLineChars="200"/>
        <w:textAlignment w:val="auto"/>
        <w:rPr>
          <w:rFonts w:ascii="Arial" w:hAnsi="Arial"/>
          <w:sz w:val="21"/>
          <w:szCs w:val="28"/>
          <w:highlight w:val="none"/>
        </w:rPr>
      </w:pPr>
      <w:r>
        <w:rPr>
          <w:rFonts w:hint="eastAsia" w:ascii="Arial" w:hAnsi="Arial"/>
          <w:sz w:val="21"/>
          <w:szCs w:val="28"/>
          <w:highlight w:val="none"/>
        </w:rPr>
        <w:t>A.成交价格</w:t>
      </w:r>
    </w:p>
    <w:p w14:paraId="05D5E4C5">
      <w:pPr>
        <w:spacing w:line="360" w:lineRule="auto"/>
        <w:ind w:firstLine="420" w:firstLineChars="200"/>
        <w:jc w:val="both"/>
        <w:outlineLvl w:val="0"/>
        <w:rPr>
          <w:rFonts w:ascii="Arial" w:hAnsi="Arial"/>
          <w:sz w:val="21"/>
          <w:szCs w:val="28"/>
          <w:highlight w:val="none"/>
        </w:rPr>
      </w:pPr>
      <w:r>
        <w:rPr>
          <w:rFonts w:ascii="Arial" w:hAnsi="Arial"/>
          <w:color w:val="000000"/>
          <w:sz w:val="21"/>
          <w:szCs w:val="21"/>
          <w:highlight w:val="none"/>
        </w:rPr>
        <w:t>受结构性因素的影响，三季度北京商品住宅成交均价创同期新高，累计涨幅底部回升。在房地产市场持续深度调整背景下，房企拿地策略转向理性谨慎，为激活市场活力，主城核心区域密集推出多宗配套成熟、开发潜力突出的优质地块。这些地块的入市直接带动中高端改善型产品供应量显著提升，叠加核心区资源稀缺性及改善需求崛起，推动北京楼市成交均价呈现结构性上涨趋势。2025年三季度，中建·运河玖院、华润臻云、建发·海晏、中海萬吉玖序、融创壹号院等项目热销，带动新房成交均价结构性上涨，商品住宅价格指数为46511元/平方米，同比上涨2.4%，同比涨幅居历史同期高位；累计来看，三季度商品住房价格累计上涨0.14%，较去年同期有所改善</w:t>
      </w:r>
      <w:r>
        <w:rPr>
          <w:rFonts w:ascii="Arial" w:hAnsi="Arial"/>
          <w:sz w:val="21"/>
          <w:szCs w:val="28"/>
          <w:highlight w:val="none"/>
        </w:rPr>
        <w:t>。</w:t>
      </w:r>
    </w:p>
    <w:p w14:paraId="0243CA3C">
      <w:pPr>
        <w:tabs>
          <w:tab w:val="left" w:pos="426"/>
        </w:tabs>
        <w:overflowPunct w:val="0"/>
        <w:spacing w:line="480" w:lineRule="auto"/>
        <w:jc w:val="center"/>
        <w:textAlignment w:val="auto"/>
        <w:rPr>
          <w:rFonts w:ascii="Arial" w:hAnsi="Arial"/>
          <w:sz w:val="21"/>
          <w:szCs w:val="28"/>
          <w:highlight w:val="none"/>
        </w:rPr>
      </w:pPr>
      <w:r>
        <w:rPr>
          <w:highlight w:val="none"/>
        </w:rPr>
        <w:drawing>
          <wp:inline distT="0" distB="0" distL="114300" distR="114300">
            <wp:extent cx="5904865" cy="1835785"/>
            <wp:effectExtent l="0" t="0" r="8255"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5"/>
                    <a:stretch>
                      <a:fillRect/>
                    </a:stretch>
                  </pic:blipFill>
                  <pic:spPr>
                    <a:xfrm>
                      <a:off x="0" y="0"/>
                      <a:ext cx="5904865" cy="1835785"/>
                    </a:xfrm>
                    <a:prstGeom prst="rect">
                      <a:avLst/>
                    </a:prstGeom>
                    <a:noFill/>
                    <a:ln>
                      <a:noFill/>
                    </a:ln>
                  </pic:spPr>
                </pic:pic>
              </a:graphicData>
            </a:graphic>
          </wp:inline>
        </w:drawing>
      </w:r>
    </w:p>
    <w:p w14:paraId="0FB2BF90">
      <w:pPr>
        <w:overflowPunct w:val="0"/>
        <w:spacing w:line="480" w:lineRule="auto"/>
        <w:ind w:firstLine="420" w:firstLineChars="200"/>
        <w:textAlignment w:val="auto"/>
        <w:rPr>
          <w:rFonts w:hint="eastAsia" w:ascii="Arial" w:hAnsi="Arial"/>
          <w:sz w:val="21"/>
          <w:szCs w:val="28"/>
          <w:highlight w:val="none"/>
        </w:rPr>
      </w:pPr>
      <w:r>
        <w:rPr>
          <w:rFonts w:hint="eastAsia" w:ascii="Arial" w:hAnsi="Arial"/>
          <w:sz w:val="21"/>
          <w:szCs w:val="28"/>
          <w:highlight w:val="none"/>
        </w:rPr>
        <w:t>B.</w:t>
      </w:r>
      <w:r>
        <w:rPr>
          <w:rFonts w:hint="eastAsia"/>
          <w:highlight w:val="none"/>
        </w:rPr>
        <w:t xml:space="preserve"> </w:t>
      </w:r>
      <w:r>
        <w:rPr>
          <w:rFonts w:hint="eastAsia" w:ascii="Arial" w:hAnsi="Arial"/>
          <w:sz w:val="21"/>
          <w:szCs w:val="28"/>
          <w:highlight w:val="none"/>
        </w:rPr>
        <w:t>成交结构</w:t>
      </w:r>
    </w:p>
    <w:p w14:paraId="1C9C0FAC">
      <w:pPr>
        <w:overflowPunct w:val="0"/>
        <w:spacing w:line="480" w:lineRule="auto"/>
        <w:ind w:firstLine="420" w:firstLineChars="200"/>
        <w:jc w:val="both"/>
        <w:textAlignment w:val="auto"/>
        <w:rPr>
          <w:rFonts w:ascii="Arial" w:hAnsi="Arial"/>
          <w:sz w:val="21"/>
          <w:szCs w:val="28"/>
          <w:highlight w:val="none"/>
        </w:rPr>
      </w:pPr>
      <w:r>
        <w:rPr>
          <w:rFonts w:ascii="Arial" w:hAnsi="Arial"/>
          <w:sz w:val="21"/>
          <w:szCs w:val="28"/>
          <w:highlight w:val="none"/>
        </w:rPr>
        <w:t>2025年三季度，90-200</w:t>
      </w:r>
      <w:r>
        <w:rPr>
          <w:rFonts w:hint="eastAsia" w:ascii="Arial" w:hAnsi="Arial"/>
          <w:sz w:val="21"/>
          <w:szCs w:val="28"/>
          <w:highlight w:val="none"/>
        </w:rPr>
        <w:t>平方米</w:t>
      </w:r>
      <w:r>
        <w:rPr>
          <w:rFonts w:ascii="Arial" w:hAnsi="Arial"/>
          <w:sz w:val="21"/>
          <w:szCs w:val="28"/>
          <w:highlight w:val="none"/>
        </w:rPr>
        <w:t>面积段的刚改和改善型产品成交占比提升明显，成交套数占比达 71.1%，占比提升5.6个百分点，中低面积段产品成交占比下滑明显，占比为21.6%，同比减少6.6个百分点。成交总价段在500-1200万</w:t>
      </w:r>
      <w:bookmarkStart w:id="60" w:name="OLE_LINK10"/>
      <w:r>
        <w:rPr>
          <w:rFonts w:hint="eastAsia" w:ascii="Arial" w:hAnsi="Arial"/>
          <w:sz w:val="21"/>
          <w:szCs w:val="28"/>
          <w:highlight w:val="none"/>
        </w:rPr>
        <w:t>元</w:t>
      </w:r>
      <w:bookmarkEnd w:id="60"/>
      <w:r>
        <w:rPr>
          <w:rFonts w:ascii="Arial" w:hAnsi="Arial"/>
          <w:sz w:val="21"/>
          <w:szCs w:val="28"/>
          <w:highlight w:val="none"/>
        </w:rPr>
        <w:t>之间的中高价位段产品成交占比提升较多，较去年同期增加4.3个百分点，其中500-800万</w:t>
      </w:r>
      <w:r>
        <w:rPr>
          <w:rFonts w:hint="eastAsia" w:ascii="Arial" w:hAnsi="Arial"/>
          <w:sz w:val="21"/>
          <w:szCs w:val="28"/>
          <w:highlight w:val="none"/>
        </w:rPr>
        <w:t>元</w:t>
      </w:r>
      <w:r>
        <w:rPr>
          <w:rFonts w:ascii="Arial" w:hAnsi="Arial"/>
          <w:sz w:val="21"/>
          <w:szCs w:val="28"/>
          <w:highlight w:val="none"/>
        </w:rPr>
        <w:t>之间产品市场占比最高，较去年同期增加5.0个百分点；中低总价段产品成交占比下滑幅度较大，占比较去年同 期减少7.6个百分点，其中300-500万</w:t>
      </w:r>
      <w:r>
        <w:rPr>
          <w:rFonts w:hint="eastAsia" w:ascii="Arial" w:hAnsi="Arial"/>
          <w:sz w:val="21"/>
          <w:szCs w:val="28"/>
          <w:highlight w:val="none"/>
        </w:rPr>
        <w:t>元</w:t>
      </w:r>
      <w:r>
        <w:rPr>
          <w:rFonts w:ascii="Arial" w:hAnsi="Arial"/>
          <w:sz w:val="21"/>
          <w:szCs w:val="28"/>
          <w:highlight w:val="none"/>
        </w:rPr>
        <w:t>之间产品成交占比下滑明显，较去年同期减少4.2个百分点；300万</w:t>
      </w:r>
      <w:r>
        <w:rPr>
          <w:rFonts w:hint="eastAsia" w:ascii="Arial" w:hAnsi="Arial"/>
          <w:sz w:val="21"/>
          <w:szCs w:val="28"/>
          <w:highlight w:val="none"/>
        </w:rPr>
        <w:t>元</w:t>
      </w:r>
      <w:r>
        <w:rPr>
          <w:rFonts w:ascii="Arial" w:hAnsi="Arial"/>
          <w:sz w:val="21"/>
          <w:szCs w:val="28"/>
          <w:highlight w:val="none"/>
        </w:rPr>
        <w:t>以下产品成交占比下滑3.4个百分点。</w:t>
      </w:r>
    </w:p>
    <w:p w14:paraId="4F481D31">
      <w:pPr>
        <w:overflowPunct w:val="0"/>
        <w:spacing w:line="480" w:lineRule="auto"/>
        <w:ind w:firstLine="420" w:firstLineChars="200"/>
        <w:jc w:val="both"/>
        <w:textAlignment w:val="auto"/>
        <w:rPr>
          <w:rFonts w:ascii="Arial" w:hAnsi="Arial"/>
          <w:sz w:val="21"/>
          <w:szCs w:val="28"/>
          <w:highlight w:val="none"/>
        </w:rPr>
      </w:pPr>
      <w:r>
        <w:rPr>
          <w:rFonts w:hint="eastAsia" w:ascii="Arial" w:hAnsi="Arial"/>
          <w:sz w:val="21"/>
          <w:szCs w:val="28"/>
          <w:highlight w:val="none"/>
        </w:rPr>
        <w:t>2025年</w:t>
      </w:r>
      <w:r>
        <w:rPr>
          <w:rFonts w:ascii="Arial" w:hAnsi="Arial"/>
          <w:sz w:val="21"/>
          <w:szCs w:val="28"/>
          <w:highlight w:val="none"/>
        </w:rPr>
        <w:t>三季度，华润臻云、建发·海晏、中海萬吉玖序、融创壹号院、金茂满曜、颐海澐颂等高端改善项目热销，均位居全市项目销售金额榜TOP10前列，带动中高面积段和高总价产品成交占比出现明显的提升。主要原因一方面是热销项目主力户型位于120-180</w:t>
      </w:r>
      <w:r>
        <w:rPr>
          <w:rFonts w:hint="eastAsia" w:ascii="Arial" w:hAnsi="Arial"/>
          <w:sz w:val="21"/>
          <w:szCs w:val="28"/>
          <w:highlight w:val="none"/>
        </w:rPr>
        <w:t>平方米</w:t>
      </w:r>
      <w:r>
        <w:rPr>
          <w:rFonts w:ascii="Arial" w:hAnsi="Arial"/>
          <w:sz w:val="21"/>
          <w:szCs w:val="28"/>
          <w:highlight w:val="none"/>
        </w:rPr>
        <w:t>之间；另一方面，入市项目区位优势较为明显，周边产业等配套资源丰富，市场需求支撑度较高，项目成交均价多数均超10万元/</w:t>
      </w:r>
      <w:r>
        <w:rPr>
          <w:rFonts w:hint="eastAsia" w:ascii="Arial" w:hAnsi="Arial"/>
          <w:sz w:val="21"/>
          <w:szCs w:val="28"/>
          <w:highlight w:val="none"/>
        </w:rPr>
        <w:t>平方米</w:t>
      </w:r>
      <w:r>
        <w:rPr>
          <w:rFonts w:ascii="Arial" w:hAnsi="Arial"/>
          <w:sz w:val="21"/>
          <w:szCs w:val="28"/>
          <w:highlight w:val="none"/>
        </w:rPr>
        <w:t>。</w:t>
      </w:r>
    </w:p>
    <w:p w14:paraId="60C4C117">
      <w:pPr>
        <w:overflowPunct w:val="0"/>
        <w:spacing w:line="480" w:lineRule="auto"/>
        <w:jc w:val="center"/>
        <w:textAlignment w:val="auto"/>
        <w:rPr>
          <w:rFonts w:hint="eastAsia"/>
          <w:highlight w:val="none"/>
        </w:rPr>
      </w:pPr>
      <w:r>
        <w:rPr>
          <w:highlight w:val="none"/>
        </w:rPr>
        <w:drawing>
          <wp:inline distT="0" distB="0" distL="114300" distR="114300">
            <wp:extent cx="5899785" cy="1706880"/>
            <wp:effectExtent l="0" t="0" r="13335" b="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36"/>
                    <a:stretch>
                      <a:fillRect/>
                    </a:stretch>
                  </pic:blipFill>
                  <pic:spPr>
                    <a:xfrm>
                      <a:off x="0" y="0"/>
                      <a:ext cx="5899785" cy="1706880"/>
                    </a:xfrm>
                    <a:prstGeom prst="rect">
                      <a:avLst/>
                    </a:prstGeom>
                    <a:noFill/>
                    <a:ln>
                      <a:noFill/>
                    </a:ln>
                  </pic:spPr>
                </pic:pic>
              </a:graphicData>
            </a:graphic>
          </wp:inline>
        </w:drawing>
      </w:r>
    </w:p>
    <w:p w14:paraId="2A13AB14">
      <w:pPr>
        <w:overflowPunct w:val="0"/>
        <w:spacing w:line="480" w:lineRule="auto"/>
        <w:ind w:firstLine="420" w:firstLineChars="200"/>
        <w:textAlignment w:val="auto"/>
        <w:rPr>
          <w:rFonts w:ascii="Arial" w:hAnsi="Arial"/>
          <w:sz w:val="21"/>
          <w:highlight w:val="none"/>
        </w:rPr>
      </w:pPr>
      <w:r>
        <w:rPr>
          <w:rFonts w:hint="eastAsia" w:ascii="Arial" w:hAnsi="Arial"/>
          <w:sz w:val="21"/>
          <w:highlight w:val="none"/>
        </w:rPr>
        <w:t>3）区域成交</w:t>
      </w:r>
    </w:p>
    <w:p w14:paraId="531E5B7C">
      <w:pPr>
        <w:overflowPunct w:val="0"/>
        <w:spacing w:line="480" w:lineRule="auto"/>
        <w:ind w:firstLine="420" w:firstLineChars="200"/>
        <w:jc w:val="both"/>
        <w:textAlignment w:val="auto"/>
        <w:rPr>
          <w:rFonts w:hint="eastAsia" w:ascii="Arial" w:hAnsi="Arial"/>
          <w:sz w:val="21"/>
          <w:szCs w:val="28"/>
          <w:highlight w:val="none"/>
        </w:rPr>
      </w:pPr>
      <w:r>
        <w:rPr>
          <w:rFonts w:ascii="Arial" w:hAnsi="Arial"/>
          <w:sz w:val="21"/>
          <w:szCs w:val="28"/>
          <w:highlight w:val="none"/>
        </w:rPr>
        <w:t>从区域成交规模来看，近郊六区仍为市场成交主力区域，成交规模占比超五成。2025年三季度近郊六区成交56.17万</w:t>
      </w:r>
      <w:r>
        <w:rPr>
          <w:rFonts w:hint="eastAsia" w:ascii="Arial" w:hAnsi="Arial"/>
          <w:sz w:val="21"/>
          <w:szCs w:val="28"/>
          <w:highlight w:val="none"/>
        </w:rPr>
        <w:t>平方米</w:t>
      </w:r>
      <w:r>
        <w:rPr>
          <w:rFonts w:ascii="Arial" w:hAnsi="Arial"/>
          <w:sz w:val="21"/>
          <w:szCs w:val="28"/>
          <w:highlight w:val="none"/>
        </w:rPr>
        <w:t>，占比达53.1%；其中，通州、大兴累计成交占全市的比重均超10%。中心城区累计成交42.36万</w:t>
      </w:r>
      <w:r>
        <w:rPr>
          <w:rFonts w:hint="eastAsia" w:ascii="Arial" w:hAnsi="Arial"/>
          <w:sz w:val="21"/>
          <w:szCs w:val="28"/>
          <w:highlight w:val="none"/>
        </w:rPr>
        <w:t>平方米</w:t>
      </w:r>
      <w:r>
        <w:rPr>
          <w:rFonts w:ascii="Arial" w:hAnsi="Arial"/>
          <w:sz w:val="21"/>
          <w:szCs w:val="28"/>
          <w:highlight w:val="none"/>
        </w:rPr>
        <w:t>，成交占比为40.1%，朝阳、丰台成交规模居前列，成交规模占全市的比重均超10%。</w:t>
      </w:r>
    </w:p>
    <w:p w14:paraId="00D07E17">
      <w:pPr>
        <w:overflowPunct w:val="0"/>
        <w:spacing w:line="480" w:lineRule="auto"/>
        <w:ind w:firstLine="420" w:firstLineChars="200"/>
        <w:jc w:val="both"/>
        <w:textAlignment w:val="auto"/>
        <w:rPr>
          <w:rFonts w:hint="eastAsia" w:ascii="Arial" w:hAnsi="Arial"/>
          <w:sz w:val="21"/>
          <w:szCs w:val="28"/>
          <w:highlight w:val="none"/>
        </w:rPr>
      </w:pPr>
      <w:r>
        <w:rPr>
          <w:rFonts w:ascii="Arial" w:hAnsi="Arial"/>
          <w:sz w:val="21"/>
          <w:szCs w:val="28"/>
          <w:highlight w:val="none"/>
        </w:rPr>
        <w:t>从区域成交变化来看，中心城区、远郊区域成交规模增加，近郊区域同比下滑。其中，中心城区同比增加26%，海淀同比增幅超八成，石景山成交同比增加42%，丰台和朝阳成交同比增幅在20%左右，东城区和西城区成交规模同比明显下滑，但基数较小；近郊区域成交同比减少15%，房山和顺义同比领跌，跌幅分别为59%和38%， 昌平和大兴成交同比跌幅分别为17%和21%，通州和门头沟成交同比增加；远郊区域成交规模同比增加27%，密云和怀柔增幅明显，平谷和延庆成交同比下跌。</w:t>
      </w:r>
    </w:p>
    <w:p w14:paraId="1AE3D276">
      <w:pPr>
        <w:tabs>
          <w:tab w:val="left" w:pos="0"/>
        </w:tabs>
        <w:overflowPunct w:val="0"/>
        <w:spacing w:line="480" w:lineRule="auto"/>
        <w:jc w:val="center"/>
        <w:textAlignment w:val="auto"/>
        <w:rPr>
          <w:highlight w:val="none"/>
        </w:rPr>
      </w:pPr>
      <w:r>
        <w:rPr>
          <w:highlight w:val="none"/>
        </w:rPr>
        <w:drawing>
          <wp:inline distT="0" distB="0" distL="114300" distR="114300">
            <wp:extent cx="5908040" cy="1941830"/>
            <wp:effectExtent l="0" t="0" r="5080" b="8890"/>
            <wp:docPr id="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pic:cNvPicPr>
                      <a:picLocks noChangeAspect="1"/>
                    </pic:cNvPicPr>
                  </pic:nvPicPr>
                  <pic:blipFill>
                    <a:blip r:embed="rId37"/>
                    <a:stretch>
                      <a:fillRect/>
                    </a:stretch>
                  </pic:blipFill>
                  <pic:spPr>
                    <a:xfrm>
                      <a:off x="0" y="0"/>
                      <a:ext cx="5908040" cy="1941830"/>
                    </a:xfrm>
                    <a:prstGeom prst="rect">
                      <a:avLst/>
                    </a:prstGeom>
                    <a:noFill/>
                    <a:ln>
                      <a:noFill/>
                    </a:ln>
                  </pic:spPr>
                </pic:pic>
              </a:graphicData>
            </a:graphic>
          </wp:inline>
        </w:drawing>
      </w:r>
    </w:p>
    <w:p w14:paraId="53F0AD36">
      <w:pPr>
        <w:overflowPunct w:val="0"/>
        <w:spacing w:line="480" w:lineRule="auto"/>
        <w:ind w:firstLine="420" w:firstLineChars="200"/>
        <w:jc w:val="both"/>
        <w:textAlignment w:val="auto"/>
        <w:rPr>
          <w:rFonts w:ascii="Arial" w:hAnsi="Arial"/>
          <w:sz w:val="21"/>
          <w:szCs w:val="28"/>
          <w:highlight w:val="none"/>
        </w:rPr>
      </w:pPr>
      <w:r>
        <w:rPr>
          <w:rFonts w:ascii="Arial" w:hAnsi="Arial"/>
          <w:sz w:val="21"/>
          <w:szCs w:val="28"/>
          <w:highlight w:val="none"/>
        </w:rPr>
        <w:t>从成交价格来看，</w:t>
      </w:r>
      <w:r>
        <w:rPr>
          <w:rFonts w:hint="eastAsia" w:ascii="Arial" w:hAnsi="Arial"/>
          <w:sz w:val="21"/>
          <w:szCs w:val="28"/>
          <w:highlight w:val="none"/>
        </w:rPr>
        <w:t>2025年三季度中心城区商品住宅（不含保障房）成交均价最高，整体均价超10万/平方米，其中东、西城成交均价均超12万元/平方米，远郊区整体成交均价最低，整体均价不足3万/平方米，其中密云区成交均价最低，上半年成交均价仅18794元/平方米</w:t>
      </w:r>
      <w:r>
        <w:rPr>
          <w:rFonts w:ascii="Arial" w:hAnsi="Arial"/>
          <w:sz w:val="21"/>
          <w:szCs w:val="28"/>
          <w:highlight w:val="none"/>
        </w:rPr>
        <w:t>。</w:t>
      </w:r>
    </w:p>
    <w:p w14:paraId="598EED2D">
      <w:pPr>
        <w:overflowPunct w:val="0"/>
        <w:spacing w:line="480" w:lineRule="auto"/>
        <w:ind w:firstLine="420" w:firstLineChars="200"/>
        <w:jc w:val="both"/>
        <w:textAlignment w:val="auto"/>
        <w:rPr>
          <w:rFonts w:ascii="Arial" w:hAnsi="Arial"/>
          <w:sz w:val="21"/>
          <w:szCs w:val="28"/>
          <w:highlight w:val="none"/>
        </w:rPr>
      </w:pPr>
      <w:r>
        <w:rPr>
          <w:rFonts w:ascii="Arial" w:hAnsi="Arial"/>
          <w:sz w:val="21"/>
          <w:szCs w:val="28"/>
          <w:highlight w:val="none"/>
        </w:rPr>
        <w:t>从价格变化来看，2025年三季度中心城区结构性上涨，近郊区、远郊区房价均有所下跌。其中，中心城区商品住宅成交均价同比上涨7%，海淀区和东城区领涨，同比涨幅分别为26%和20%；近郊区域成交均价同比下跌6%，门头沟和大兴房价下跌明显，同比跌幅均超10%；远郊区域成交均价同比下跌11%，密云和平谷跌幅超20%。</w:t>
      </w:r>
    </w:p>
    <w:p w14:paraId="7FE8DDB2">
      <w:pPr>
        <w:widowControl/>
        <w:spacing w:line="360" w:lineRule="auto"/>
        <w:jc w:val="center"/>
        <w:rPr>
          <w:rFonts w:hint="eastAsia" w:ascii="Arial" w:hAnsi="Arial" w:eastAsia="仿宋_GB2312" w:cs="Arial"/>
          <w:bCs/>
          <w:color w:val="000000"/>
          <w:sz w:val="28"/>
          <w:szCs w:val="28"/>
          <w:highlight w:val="none"/>
        </w:rPr>
      </w:pPr>
      <w:r>
        <w:rPr>
          <w:highlight w:val="none"/>
        </w:rPr>
        <w:drawing>
          <wp:inline distT="0" distB="0" distL="114300" distR="114300">
            <wp:extent cx="5902325" cy="1985010"/>
            <wp:effectExtent l="0" t="0" r="10795" b="1143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8"/>
                    <a:stretch>
                      <a:fillRect/>
                    </a:stretch>
                  </pic:blipFill>
                  <pic:spPr>
                    <a:xfrm>
                      <a:off x="0" y="0"/>
                      <a:ext cx="5902325" cy="1985010"/>
                    </a:xfrm>
                    <a:prstGeom prst="rect">
                      <a:avLst/>
                    </a:prstGeom>
                    <a:noFill/>
                    <a:ln>
                      <a:noFill/>
                    </a:ln>
                  </pic:spPr>
                </pic:pic>
              </a:graphicData>
            </a:graphic>
          </wp:inline>
        </w:drawing>
      </w:r>
    </w:p>
    <w:p w14:paraId="4476FE82">
      <w:pPr>
        <w:widowControl/>
        <w:overflowPunct w:val="0"/>
        <w:adjustRightInd/>
        <w:spacing w:line="480" w:lineRule="auto"/>
        <w:ind w:firstLine="420" w:firstLineChars="200"/>
        <w:jc w:val="both"/>
        <w:textAlignment w:val="auto"/>
        <w:rPr>
          <w:rFonts w:ascii="Arial" w:hAnsi="Arial"/>
          <w:bCs/>
          <w:sz w:val="21"/>
          <w:szCs w:val="28"/>
          <w:highlight w:val="none"/>
        </w:rPr>
      </w:pPr>
      <w:r>
        <w:rPr>
          <w:rFonts w:hint="eastAsia" w:ascii="Arial" w:hAnsi="Arial"/>
          <w:bCs/>
          <w:sz w:val="21"/>
          <w:szCs w:val="28"/>
          <w:highlight w:val="none"/>
        </w:rPr>
        <w:t>（3）存量房住宅市场</w:t>
      </w:r>
    </w:p>
    <w:p w14:paraId="00C3DD1A">
      <w:pPr>
        <w:overflowPunct w:val="0"/>
        <w:spacing w:line="480" w:lineRule="auto"/>
        <w:ind w:firstLine="420" w:firstLineChars="200"/>
        <w:jc w:val="both"/>
        <w:textAlignment w:val="auto"/>
        <w:rPr>
          <w:rFonts w:ascii="Arial" w:hAnsi="Arial"/>
          <w:sz w:val="21"/>
          <w:highlight w:val="none"/>
        </w:rPr>
      </w:pPr>
      <w:r>
        <w:rPr>
          <w:rFonts w:hint="eastAsia" w:ascii="Arial" w:hAnsi="Arial"/>
          <w:sz w:val="21"/>
          <w:highlight w:val="none"/>
        </w:rPr>
        <w:t>1）市场运行状况</w:t>
      </w:r>
    </w:p>
    <w:p w14:paraId="142AB2F6">
      <w:pPr>
        <w:tabs>
          <w:tab w:val="left" w:pos="426"/>
        </w:tabs>
        <w:overflowPunct w:val="0"/>
        <w:spacing w:line="480" w:lineRule="auto"/>
        <w:ind w:firstLine="420" w:firstLineChars="200"/>
        <w:jc w:val="both"/>
        <w:textAlignment w:val="auto"/>
        <w:rPr>
          <w:rFonts w:hint="eastAsia" w:ascii="Arial" w:hAnsi="Arial"/>
          <w:sz w:val="21"/>
          <w:szCs w:val="28"/>
          <w:highlight w:val="none"/>
        </w:rPr>
      </w:pPr>
      <w:r>
        <w:rPr>
          <w:rFonts w:hint="eastAsia" w:ascii="Arial" w:hAnsi="Arial"/>
          <w:sz w:val="21"/>
          <w:szCs w:val="28"/>
          <w:highlight w:val="none"/>
        </w:rPr>
        <w:t>2025年三季度，北京</w:t>
      </w:r>
      <w:bookmarkStart w:id="61" w:name="OLE_LINK11"/>
      <w:r>
        <w:rPr>
          <w:rFonts w:hint="eastAsia" w:ascii="Arial" w:hAnsi="Arial"/>
          <w:sz w:val="21"/>
          <w:szCs w:val="28"/>
          <w:highlight w:val="none"/>
        </w:rPr>
        <w:t>存量</w:t>
      </w:r>
      <w:bookmarkEnd w:id="61"/>
      <w:r>
        <w:rPr>
          <w:rFonts w:hint="eastAsia" w:ascii="Arial" w:hAnsi="Arial"/>
          <w:sz w:val="21"/>
          <w:szCs w:val="28"/>
          <w:highlight w:val="none"/>
        </w:rPr>
        <w:t>房市场活跃度有所下滑，累计成交5.16万套，环比下降6.7%，同比下降2.9%。从月度趋势来看，北京存量房市场热度先降后升，7/8月北京存量商品住宅成交规模降至1.3万套上下；8月下旬，受楼市新政效果刺激，成交量逐步上涨，9月累计成交15843套，创近半年月度新高。</w:t>
      </w:r>
    </w:p>
    <w:p w14:paraId="183BA3B1">
      <w:pPr>
        <w:tabs>
          <w:tab w:val="left" w:pos="426"/>
        </w:tabs>
        <w:overflowPunct w:val="0"/>
        <w:spacing w:line="480" w:lineRule="auto"/>
        <w:ind w:firstLine="420" w:firstLineChars="200"/>
        <w:jc w:val="both"/>
        <w:textAlignment w:val="auto"/>
        <w:rPr>
          <w:rFonts w:ascii="Arial" w:hAnsi="Arial"/>
          <w:sz w:val="21"/>
          <w:szCs w:val="28"/>
          <w:highlight w:val="none"/>
        </w:rPr>
      </w:pPr>
      <w:r>
        <w:rPr>
          <w:rFonts w:hint="eastAsia" w:ascii="Arial" w:hAnsi="Arial"/>
          <w:sz w:val="21"/>
          <w:szCs w:val="28"/>
          <w:highlight w:val="none"/>
        </w:rPr>
        <w:t>2025年</w:t>
      </w:r>
      <w:r>
        <w:rPr>
          <w:rFonts w:ascii="Arial" w:hAnsi="Arial"/>
          <w:sz w:val="21"/>
          <w:szCs w:val="28"/>
          <w:highlight w:val="none"/>
        </w:rPr>
        <w:t>三季年，北京</w:t>
      </w:r>
      <w:r>
        <w:rPr>
          <w:rFonts w:hint="eastAsia" w:ascii="Arial" w:hAnsi="Arial"/>
          <w:sz w:val="21"/>
          <w:szCs w:val="28"/>
          <w:highlight w:val="none"/>
        </w:rPr>
        <w:t>存量</w:t>
      </w:r>
      <w:r>
        <w:rPr>
          <w:rFonts w:ascii="Arial" w:hAnsi="Arial"/>
          <w:sz w:val="21"/>
          <w:szCs w:val="28"/>
          <w:highlight w:val="none"/>
        </w:rPr>
        <w:t>房市场延续“以价换量”主旋律。从统计局数据来看，二季度以来，受</w:t>
      </w:r>
      <w:r>
        <w:rPr>
          <w:rFonts w:hint="eastAsia" w:ascii="Arial" w:hAnsi="Arial"/>
          <w:sz w:val="21"/>
          <w:szCs w:val="28"/>
          <w:highlight w:val="none"/>
        </w:rPr>
        <w:t>存量</w:t>
      </w:r>
      <w:r>
        <w:rPr>
          <w:rFonts w:ascii="Arial" w:hAnsi="Arial"/>
          <w:sz w:val="21"/>
          <w:szCs w:val="28"/>
          <w:highlight w:val="none"/>
        </w:rPr>
        <w:t>房挂牌增加，学区需求下滑等因素影响，北京</w:t>
      </w:r>
      <w:r>
        <w:rPr>
          <w:rFonts w:hint="eastAsia" w:ascii="Arial" w:hAnsi="Arial"/>
          <w:sz w:val="21"/>
          <w:szCs w:val="28"/>
          <w:highlight w:val="none"/>
        </w:rPr>
        <w:t>存量</w:t>
      </w:r>
      <w:r>
        <w:rPr>
          <w:rFonts w:ascii="Arial" w:hAnsi="Arial"/>
          <w:sz w:val="21"/>
          <w:szCs w:val="28"/>
          <w:highlight w:val="none"/>
        </w:rPr>
        <w:t>房价格指数环比持续下跌，三季度房价跌幅呈扩大趋势，7月跌幅1.1%，8月跌幅再次扩大至1.2%，9月跌幅缩小至0.9%。</w:t>
      </w:r>
    </w:p>
    <w:p w14:paraId="26826AC1">
      <w:pPr>
        <w:tabs>
          <w:tab w:val="left" w:pos="0"/>
        </w:tabs>
        <w:overflowPunct w:val="0"/>
        <w:spacing w:line="480" w:lineRule="auto"/>
        <w:jc w:val="center"/>
        <w:textAlignment w:val="auto"/>
        <w:rPr>
          <w:rFonts w:ascii="Arial" w:hAnsi="Arial"/>
          <w:sz w:val="21"/>
          <w:highlight w:val="none"/>
        </w:rPr>
      </w:pPr>
      <w:r>
        <w:rPr>
          <w:highlight w:val="none"/>
        </w:rPr>
        <w:drawing>
          <wp:inline distT="0" distB="0" distL="114300" distR="114300">
            <wp:extent cx="5904230" cy="1635125"/>
            <wp:effectExtent l="0" t="0" r="8890" b="10795"/>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39"/>
                    <a:stretch>
                      <a:fillRect/>
                    </a:stretch>
                  </pic:blipFill>
                  <pic:spPr>
                    <a:xfrm>
                      <a:off x="0" y="0"/>
                      <a:ext cx="5904230" cy="1635125"/>
                    </a:xfrm>
                    <a:prstGeom prst="rect">
                      <a:avLst/>
                    </a:prstGeom>
                    <a:noFill/>
                    <a:ln>
                      <a:noFill/>
                    </a:ln>
                  </pic:spPr>
                </pic:pic>
              </a:graphicData>
            </a:graphic>
          </wp:inline>
        </w:drawing>
      </w:r>
    </w:p>
    <w:p w14:paraId="6A5C0FB3">
      <w:pPr>
        <w:overflowPunct w:val="0"/>
        <w:spacing w:line="480" w:lineRule="auto"/>
        <w:ind w:firstLine="420" w:firstLineChars="200"/>
        <w:jc w:val="both"/>
        <w:textAlignment w:val="auto"/>
        <w:rPr>
          <w:rFonts w:ascii="Arial" w:hAnsi="Arial"/>
          <w:sz w:val="21"/>
          <w:highlight w:val="none"/>
        </w:rPr>
      </w:pPr>
      <w:r>
        <w:rPr>
          <w:rFonts w:hint="eastAsia" w:ascii="Arial" w:hAnsi="Arial"/>
          <w:sz w:val="21"/>
          <w:highlight w:val="none"/>
        </w:rPr>
        <w:t>2）各区县统计</w:t>
      </w:r>
    </w:p>
    <w:p w14:paraId="172D37EF">
      <w:pPr>
        <w:overflowPunct w:val="0"/>
        <w:spacing w:line="480" w:lineRule="auto"/>
        <w:ind w:firstLine="420"/>
        <w:jc w:val="both"/>
        <w:textAlignment w:val="auto"/>
        <w:rPr>
          <w:rFonts w:ascii="Arial" w:hAnsi="Arial"/>
          <w:color w:val="000000"/>
          <w:sz w:val="21"/>
          <w:highlight w:val="none"/>
        </w:rPr>
      </w:pPr>
      <w:bookmarkStart w:id="62" w:name="OLE_LINK9"/>
      <w:bookmarkStart w:id="63" w:name="OLE_LINK8"/>
      <w:r>
        <w:rPr>
          <w:rFonts w:ascii="Arial" w:hAnsi="Arial"/>
          <w:color w:val="000000"/>
          <w:sz w:val="21"/>
          <w:highlight w:val="none"/>
        </w:rPr>
        <w:t>分区域来看，</w:t>
      </w:r>
      <w:r>
        <w:rPr>
          <w:rFonts w:hint="eastAsia" w:ascii="Arial" w:hAnsi="Arial"/>
          <w:color w:val="000000"/>
          <w:sz w:val="21"/>
          <w:highlight w:val="none"/>
        </w:rPr>
        <w:t>2025年三季度朝阳存量房成交规模较大，成交规模达87.22万平方米，居各区第一位；海淀、丰台、昌平成交面积均超过30万平方米，成交规模居第二梯队；另外，远郊各区以及近郊的门头沟存量房市场活跃度相对较低，成交规模均不足10万平方米。</w:t>
      </w:r>
    </w:p>
    <w:p w14:paraId="18154EC6">
      <w:pPr>
        <w:overflowPunct w:val="0"/>
        <w:spacing w:line="480" w:lineRule="auto"/>
        <w:ind w:firstLine="420"/>
        <w:jc w:val="both"/>
        <w:textAlignment w:val="auto"/>
        <w:rPr>
          <w:rFonts w:ascii="Arial" w:hAnsi="Arial"/>
          <w:color w:val="000000"/>
          <w:sz w:val="21"/>
          <w:highlight w:val="none"/>
        </w:rPr>
      </w:pPr>
      <w:r>
        <w:rPr>
          <w:rFonts w:hint="eastAsia" w:ascii="Arial" w:hAnsi="Arial"/>
          <w:color w:val="000000"/>
          <w:sz w:val="21"/>
          <w:highlight w:val="none"/>
        </w:rPr>
        <w:t>从同比变化来看，三季度，除门头沟、平谷、大兴、通州外，其他区域存量房成交规模均同比下跌，中心城区整体成交规模同比下跌8%，其中石景山区各同比下跌14%。成交价格方面，上半年西城区成交价格最高，达93558元/平方米；其次为东城区，为78189元/平方米</w:t>
      </w:r>
      <w:r>
        <w:rPr>
          <w:rFonts w:ascii="Arial" w:hAnsi="Arial"/>
          <w:color w:val="000000"/>
          <w:sz w:val="21"/>
          <w:highlight w:val="none"/>
        </w:rPr>
        <w:t>。</w:t>
      </w:r>
    </w:p>
    <w:p w14:paraId="00CCB70F">
      <w:pPr>
        <w:widowControl/>
        <w:spacing w:line="360" w:lineRule="auto"/>
        <w:jc w:val="center"/>
        <w:rPr>
          <w:rFonts w:hint="eastAsia" w:ascii="Arial" w:hAnsi="Arial" w:eastAsia="仿宋_GB2312" w:cs="Arial"/>
          <w:bCs/>
          <w:color w:val="000000"/>
          <w:sz w:val="28"/>
          <w:szCs w:val="28"/>
          <w:highlight w:val="none"/>
        </w:rPr>
      </w:pPr>
      <w:r>
        <w:rPr>
          <w:highlight w:val="none"/>
        </w:rPr>
        <w:drawing>
          <wp:inline distT="0" distB="0" distL="114300" distR="114300">
            <wp:extent cx="5908675" cy="2083435"/>
            <wp:effectExtent l="0" t="0" r="4445" b="4445"/>
            <wp:docPr id="2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pic:cNvPicPr>
                      <a:picLocks noChangeAspect="1"/>
                    </pic:cNvPicPr>
                  </pic:nvPicPr>
                  <pic:blipFill>
                    <a:blip r:embed="rId40"/>
                    <a:stretch>
                      <a:fillRect/>
                    </a:stretch>
                  </pic:blipFill>
                  <pic:spPr>
                    <a:xfrm>
                      <a:off x="0" y="0"/>
                      <a:ext cx="5908675" cy="2083435"/>
                    </a:xfrm>
                    <a:prstGeom prst="rect">
                      <a:avLst/>
                    </a:prstGeom>
                    <a:noFill/>
                    <a:ln>
                      <a:noFill/>
                    </a:ln>
                  </pic:spPr>
                </pic:pic>
              </a:graphicData>
            </a:graphic>
          </wp:inline>
        </w:drawing>
      </w:r>
    </w:p>
    <w:p w14:paraId="231DF1CE">
      <w:pPr>
        <w:overflowPunct w:val="0"/>
        <w:spacing w:line="480" w:lineRule="auto"/>
        <w:ind w:firstLine="420"/>
        <w:jc w:val="both"/>
        <w:textAlignment w:val="auto"/>
        <w:rPr>
          <w:rFonts w:ascii="Arial" w:hAnsi="Arial"/>
          <w:color w:val="000000"/>
          <w:sz w:val="21"/>
          <w:highlight w:val="none"/>
        </w:rPr>
      </w:pPr>
      <w:r>
        <w:rPr>
          <w:rFonts w:ascii="Arial" w:hAnsi="Arial"/>
          <w:color w:val="000000"/>
          <w:sz w:val="21"/>
          <w:highlight w:val="none"/>
        </w:rPr>
        <w:t>整体来看，北京市</w:t>
      </w:r>
      <w:r>
        <w:rPr>
          <w:rFonts w:hint="eastAsia" w:ascii="Arial" w:hAnsi="Arial"/>
          <w:color w:val="000000"/>
          <w:sz w:val="21"/>
          <w:highlight w:val="none"/>
        </w:rPr>
        <w:t>存量</w:t>
      </w:r>
      <w:r>
        <w:rPr>
          <w:rFonts w:ascii="Arial" w:hAnsi="Arial"/>
          <w:color w:val="000000"/>
          <w:sz w:val="21"/>
          <w:highlight w:val="none"/>
        </w:rPr>
        <w:t>房对新房市场的分流效应逐步增强。2021年以来，北京市</w:t>
      </w:r>
      <w:r>
        <w:rPr>
          <w:rFonts w:hint="eastAsia" w:ascii="Arial" w:hAnsi="Arial"/>
          <w:color w:val="000000"/>
          <w:sz w:val="21"/>
          <w:highlight w:val="none"/>
        </w:rPr>
        <w:t>存量</w:t>
      </w:r>
      <w:r>
        <w:rPr>
          <w:rFonts w:ascii="Arial" w:hAnsi="Arial"/>
          <w:color w:val="000000"/>
          <w:sz w:val="21"/>
          <w:highlight w:val="none"/>
        </w:rPr>
        <w:t>房成交占比波动增加。2025年三季度，北京新房市场虽有海淀、朝阳、通州 等项目的局部高热现象，但整体市场持续承压，累计成交套数不足1万套，为近年季度低位；</w:t>
      </w:r>
      <w:r>
        <w:rPr>
          <w:rFonts w:hint="eastAsia" w:ascii="Arial" w:hAnsi="Arial"/>
          <w:color w:val="000000"/>
          <w:sz w:val="21"/>
          <w:highlight w:val="none"/>
        </w:rPr>
        <w:t>存量</w:t>
      </w:r>
      <w:r>
        <w:rPr>
          <w:rFonts w:ascii="Arial" w:hAnsi="Arial"/>
          <w:color w:val="000000"/>
          <w:sz w:val="21"/>
          <w:highlight w:val="none"/>
        </w:rPr>
        <w:t>房市场热度虽有所下降，但成交套数依然保持较高水平。2025 年三季度北京</w:t>
      </w:r>
      <w:r>
        <w:rPr>
          <w:rFonts w:hint="eastAsia" w:ascii="Arial" w:hAnsi="Arial"/>
          <w:color w:val="000000"/>
          <w:sz w:val="21"/>
          <w:highlight w:val="none"/>
        </w:rPr>
        <w:t>存量</w:t>
      </w:r>
      <w:r>
        <w:rPr>
          <w:rFonts w:ascii="Arial" w:hAnsi="Arial"/>
          <w:color w:val="000000"/>
          <w:sz w:val="21"/>
          <w:highlight w:val="none"/>
        </w:rPr>
        <w:t>商品住宅累计成交套数占比升至81%，较上年同期提高4个百分点。</w:t>
      </w:r>
    </w:p>
    <w:p w14:paraId="42A00E83">
      <w:pPr>
        <w:overflowPunct w:val="0"/>
        <w:spacing w:line="480" w:lineRule="auto"/>
        <w:jc w:val="both"/>
        <w:textAlignment w:val="auto"/>
        <w:rPr>
          <w:rFonts w:hint="eastAsia" w:ascii="Arial" w:hAnsi="Arial"/>
          <w:color w:val="000000"/>
          <w:sz w:val="21"/>
          <w:highlight w:val="none"/>
        </w:rPr>
      </w:pPr>
      <w:r>
        <w:rPr>
          <w:highlight w:val="none"/>
        </w:rPr>
        <w:drawing>
          <wp:inline distT="0" distB="0" distL="114300" distR="114300">
            <wp:extent cx="5910580" cy="1723390"/>
            <wp:effectExtent l="0" t="0" r="2540" b="13970"/>
            <wp:docPr id="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5"/>
                    <pic:cNvPicPr>
                      <a:picLocks noChangeAspect="1"/>
                    </pic:cNvPicPr>
                  </pic:nvPicPr>
                  <pic:blipFill>
                    <a:blip r:embed="rId41"/>
                    <a:stretch>
                      <a:fillRect/>
                    </a:stretch>
                  </pic:blipFill>
                  <pic:spPr>
                    <a:xfrm>
                      <a:off x="0" y="0"/>
                      <a:ext cx="5910580" cy="1723390"/>
                    </a:xfrm>
                    <a:prstGeom prst="rect">
                      <a:avLst/>
                    </a:prstGeom>
                    <a:noFill/>
                    <a:ln>
                      <a:noFill/>
                    </a:ln>
                  </pic:spPr>
                </pic:pic>
              </a:graphicData>
            </a:graphic>
          </wp:inline>
        </w:drawing>
      </w:r>
    </w:p>
    <w:p w14:paraId="5575BF94">
      <w:pPr>
        <w:overflowPunct w:val="0"/>
        <w:spacing w:line="480" w:lineRule="auto"/>
        <w:ind w:firstLine="420" w:firstLineChars="200"/>
        <w:jc w:val="both"/>
        <w:textAlignment w:val="auto"/>
        <w:rPr>
          <w:rFonts w:ascii="Arial" w:hAnsi="Arial"/>
          <w:color w:val="000000"/>
          <w:sz w:val="21"/>
          <w:szCs w:val="28"/>
          <w:highlight w:val="none"/>
        </w:rPr>
      </w:pPr>
      <w:r>
        <w:rPr>
          <w:rFonts w:hint="eastAsia" w:ascii="Arial" w:hAnsi="Arial"/>
          <w:color w:val="000000"/>
          <w:sz w:val="21"/>
          <w:szCs w:val="28"/>
          <w:highlight w:val="none"/>
        </w:rPr>
        <w:t>4.产业政策</w:t>
      </w:r>
    </w:p>
    <w:p w14:paraId="71629385">
      <w:pPr>
        <w:overflowPunct w:val="0"/>
        <w:spacing w:line="480" w:lineRule="auto"/>
        <w:ind w:firstLine="420"/>
        <w:jc w:val="both"/>
        <w:textAlignment w:val="auto"/>
        <w:rPr>
          <w:rFonts w:hint="eastAsia" w:ascii="Arial" w:hAnsi="Arial"/>
          <w:b/>
          <w:color w:val="000000"/>
          <w:sz w:val="21"/>
          <w:highlight w:val="none"/>
        </w:rPr>
      </w:pPr>
      <w:r>
        <w:rPr>
          <w:rFonts w:hint="eastAsia" w:ascii="Arial" w:hAnsi="Arial"/>
          <w:b/>
          <w:color w:val="000000"/>
          <w:sz w:val="21"/>
          <w:highlight w:val="none"/>
        </w:rPr>
        <w:t>全国：</w:t>
      </w:r>
    </w:p>
    <w:p w14:paraId="097C2C5F">
      <w:pPr>
        <w:overflowPunct w:val="0"/>
        <w:spacing w:line="480" w:lineRule="auto"/>
        <w:ind w:firstLine="420"/>
        <w:jc w:val="both"/>
        <w:textAlignment w:val="auto"/>
        <w:rPr>
          <w:rFonts w:ascii="Arial" w:hAnsi="Arial"/>
          <w:color w:val="000000"/>
          <w:sz w:val="21"/>
          <w:highlight w:val="none"/>
        </w:rPr>
      </w:pPr>
      <w:r>
        <w:rPr>
          <w:rFonts w:ascii="Arial" w:hAnsi="Arial"/>
          <w:color w:val="000000"/>
          <w:sz w:val="21"/>
          <w:highlight w:val="none"/>
        </w:rPr>
        <w:t>2024年9月26日，中共中央政治局召开会议，分析研究当前经济形势，部署下一步经济工作。会议对房地产政策进行了重点部署，首次提出要“促进房地产市场止跌回稳”，强调稳定房地产市场对宏观经济的重要性。具体措施包括：</w:t>
      </w:r>
      <w:r>
        <w:rPr>
          <w:rFonts w:hint="eastAsia" w:ascii="Arial" w:hAnsi="Arial"/>
          <w:color w:val="000000"/>
          <w:sz w:val="21"/>
          <w:highlight w:val="none"/>
        </w:rPr>
        <w:t>一、</w:t>
      </w:r>
      <w:r>
        <w:rPr>
          <w:rFonts w:ascii="Arial" w:hAnsi="Arial"/>
          <w:color w:val="000000"/>
          <w:sz w:val="21"/>
          <w:highlight w:val="none"/>
        </w:rPr>
        <w:t>商品房建设：严控增量、优化存量、提高质量，意味着未来土地和住房供应将结合城市实际需求，不能盲目扩大。</w:t>
      </w:r>
      <w:r>
        <w:rPr>
          <w:rFonts w:hint="eastAsia" w:ascii="Arial" w:hAnsi="Arial"/>
          <w:color w:val="000000"/>
          <w:sz w:val="21"/>
          <w:highlight w:val="none"/>
        </w:rPr>
        <w:t>二、</w:t>
      </w:r>
      <w:r>
        <w:rPr>
          <w:rFonts w:ascii="Arial" w:hAnsi="Arial"/>
          <w:color w:val="000000"/>
          <w:sz w:val="21"/>
          <w:highlight w:val="none"/>
        </w:rPr>
        <w:t>住房限购政策：调整住房限购政策，降低存量房贷利率，以提振市场信心。</w:t>
      </w:r>
      <w:r>
        <w:rPr>
          <w:rFonts w:hint="eastAsia" w:ascii="Arial" w:hAnsi="Arial"/>
          <w:color w:val="000000"/>
          <w:sz w:val="21"/>
          <w:highlight w:val="none"/>
        </w:rPr>
        <w:t>三、</w:t>
      </w:r>
      <w:r>
        <w:rPr>
          <w:rFonts w:ascii="Arial" w:hAnsi="Arial"/>
          <w:color w:val="000000"/>
          <w:sz w:val="21"/>
          <w:highlight w:val="none"/>
        </w:rPr>
        <w:t>项目贷款：加大“白名单”项目贷款投放力度，支持盘活存量闲置土地。</w:t>
      </w:r>
      <w:r>
        <w:rPr>
          <w:rFonts w:hint="eastAsia" w:ascii="Arial" w:hAnsi="Arial"/>
          <w:color w:val="000000"/>
          <w:sz w:val="21"/>
          <w:highlight w:val="none"/>
        </w:rPr>
        <w:t>四、</w:t>
      </w:r>
      <w:r>
        <w:rPr>
          <w:rFonts w:ascii="Arial" w:hAnsi="Arial"/>
          <w:color w:val="000000"/>
          <w:sz w:val="21"/>
          <w:highlight w:val="none"/>
        </w:rPr>
        <w:t>政策完善：抓紧完善土地、财税、金融等政策，推动构建房地产发展新模式。会议的积极信号表明，财政和货币政策将加力稳经济，有助于稳定居民收入预期，对房地产市场产生积极影响</w:t>
      </w:r>
      <w:r>
        <w:rPr>
          <w:rFonts w:hint="eastAsia" w:ascii="Arial" w:hAnsi="Arial"/>
          <w:color w:val="000000"/>
          <w:sz w:val="21"/>
          <w:highlight w:val="none"/>
        </w:rPr>
        <w:t>。</w:t>
      </w:r>
    </w:p>
    <w:p w14:paraId="0CF9EBF8">
      <w:pPr>
        <w:overflowPunct w:val="0"/>
        <w:spacing w:line="480" w:lineRule="auto"/>
        <w:ind w:firstLine="420"/>
        <w:jc w:val="both"/>
        <w:textAlignment w:val="auto"/>
        <w:rPr>
          <w:rFonts w:ascii="Arial" w:hAnsi="Arial"/>
          <w:color w:val="000000"/>
          <w:sz w:val="21"/>
          <w:highlight w:val="none"/>
        </w:rPr>
      </w:pPr>
      <w:r>
        <w:rPr>
          <w:rFonts w:hint="eastAsia" w:ascii="Arial" w:hAnsi="Arial"/>
          <w:color w:val="000000"/>
          <w:sz w:val="21"/>
          <w:highlight w:val="none"/>
        </w:rPr>
        <w:t>2024</w:t>
      </w:r>
      <w:r>
        <w:rPr>
          <w:rFonts w:ascii="Arial" w:hAnsi="Arial"/>
          <w:color w:val="000000"/>
          <w:sz w:val="21"/>
          <w:highlight w:val="none"/>
        </w:rPr>
        <w:t>年12月11日至12日，202</w:t>
      </w:r>
      <w:r>
        <w:rPr>
          <w:rFonts w:hint="eastAsia" w:ascii="Arial" w:hAnsi="Arial"/>
          <w:color w:val="000000"/>
          <w:sz w:val="21"/>
          <w:highlight w:val="none"/>
        </w:rPr>
        <w:t>4</w:t>
      </w:r>
      <w:r>
        <w:rPr>
          <w:rFonts w:ascii="Arial" w:hAnsi="Arial"/>
          <w:color w:val="000000"/>
          <w:sz w:val="21"/>
          <w:highlight w:val="none"/>
        </w:rPr>
        <w:t>年中央经济工作会议举行</w:t>
      </w:r>
      <w:r>
        <w:rPr>
          <w:rFonts w:hint="eastAsia" w:ascii="Arial" w:hAnsi="Arial"/>
          <w:color w:val="000000"/>
          <w:sz w:val="21"/>
          <w:highlight w:val="none"/>
        </w:rPr>
        <w:t>。会议总结2024年经济工作，分析当前经济形势，部署2025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 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36CBBFF7">
      <w:pPr>
        <w:overflowPunct w:val="0"/>
        <w:spacing w:line="480" w:lineRule="auto"/>
        <w:ind w:firstLine="420"/>
        <w:jc w:val="both"/>
        <w:textAlignment w:val="auto"/>
        <w:rPr>
          <w:rFonts w:ascii="Arial" w:hAnsi="Arial"/>
          <w:color w:val="000000"/>
          <w:sz w:val="21"/>
          <w:highlight w:val="none"/>
        </w:rPr>
      </w:pPr>
      <w:r>
        <w:rPr>
          <w:rFonts w:hint="eastAsia" w:ascii="Arial" w:hAnsi="Arial"/>
          <w:color w:val="000000"/>
          <w:sz w:val="21"/>
          <w:highlight w:val="none"/>
        </w:rPr>
        <w:t>2024年</w:t>
      </w:r>
      <w:r>
        <w:rPr>
          <w:rFonts w:ascii="Arial" w:hAnsi="Arial"/>
          <w:color w:val="000000"/>
          <w:sz w:val="21"/>
          <w:highlight w:val="none"/>
        </w:rPr>
        <w:t>12月24日至25日，全国住房城乡建设工作会议在北京召开</w:t>
      </w:r>
      <w:r>
        <w:rPr>
          <w:rFonts w:hint="eastAsia" w:ascii="Arial" w:hAnsi="Arial"/>
          <w:color w:val="000000"/>
          <w:sz w:val="21"/>
          <w:highlight w:val="none"/>
        </w:rPr>
        <w:t>。</w:t>
      </w:r>
      <w:r>
        <w:rPr>
          <w:rFonts w:ascii="Arial" w:hAnsi="Arial"/>
          <w:color w:val="000000"/>
          <w:sz w:val="21"/>
          <w:highlight w:val="none"/>
        </w:rPr>
        <w:t>会议系统总结2024年工作，部署进一步全面深化住房城乡建设领域改革，明确2025年重点任务，奋力推进住房城乡建设事业高质量发展。会议强调，2</w:t>
      </w:r>
      <w:r>
        <w:rPr>
          <w:rFonts w:hint="eastAsia" w:ascii="Arial" w:hAnsi="Arial"/>
          <w:color w:val="000000"/>
          <w:sz w:val="21"/>
          <w:highlight w:val="none"/>
        </w:rPr>
        <w:t>025</w:t>
      </w:r>
      <w:r>
        <w:rPr>
          <w:rFonts w:ascii="Arial" w:hAnsi="Arial"/>
          <w:color w:val="000000"/>
          <w:sz w:val="21"/>
          <w:highlight w:val="none"/>
        </w:rPr>
        <w:t>年的工作要重点抓好</w:t>
      </w:r>
      <w:r>
        <w:rPr>
          <w:rFonts w:hint="eastAsia" w:ascii="Arial" w:hAnsi="Arial"/>
          <w:color w:val="000000"/>
          <w:sz w:val="21"/>
          <w:highlight w:val="none"/>
        </w:rPr>
        <w:t>5</w:t>
      </w:r>
      <w:r>
        <w:rPr>
          <w:rFonts w:ascii="Arial" w:hAnsi="Arial"/>
          <w:color w:val="000000"/>
          <w:sz w:val="21"/>
          <w:highlight w:val="none"/>
        </w:rPr>
        <w:t>大板块</w:t>
      </w:r>
      <w:r>
        <w:rPr>
          <w:rFonts w:hint="eastAsia" w:ascii="Arial" w:hAnsi="Arial"/>
          <w:color w:val="000000"/>
          <w:sz w:val="21"/>
          <w:highlight w:val="none"/>
        </w:rPr>
        <w:t>22</w:t>
      </w:r>
      <w:r>
        <w:rPr>
          <w:rFonts w:ascii="Arial" w:hAnsi="Arial"/>
          <w:color w:val="000000"/>
          <w:sz w:val="21"/>
          <w:highlight w:val="none"/>
        </w:rPr>
        <w:t>个方面工作。一、</w:t>
      </w:r>
      <w:r>
        <w:rPr>
          <w:rFonts w:hint="eastAsia" w:ascii="Arial" w:hAnsi="Arial"/>
          <w:color w:val="000000"/>
          <w:sz w:val="21"/>
          <w:highlight w:val="none"/>
        </w:rPr>
        <w:t>从</w:t>
      </w:r>
      <w:r>
        <w:rPr>
          <w:rFonts w:ascii="Arial" w:hAnsi="Arial"/>
          <w:color w:val="000000"/>
          <w:sz w:val="21"/>
          <w:highlight w:val="none"/>
        </w:rPr>
        <w:t>着力释放需求</w:t>
      </w:r>
      <w:r>
        <w:rPr>
          <w:rFonts w:hint="eastAsia" w:ascii="Arial" w:hAnsi="Arial"/>
          <w:color w:val="000000"/>
          <w:sz w:val="21"/>
          <w:highlight w:val="none"/>
        </w:rPr>
        <w:t>和着力</w:t>
      </w:r>
      <w:r>
        <w:rPr>
          <w:rFonts w:ascii="Arial" w:hAnsi="Arial"/>
          <w:color w:val="000000"/>
          <w:sz w:val="21"/>
          <w:highlight w:val="none"/>
        </w:rPr>
        <w:t>改善供给</w:t>
      </w:r>
      <w:r>
        <w:rPr>
          <w:rFonts w:hint="eastAsia" w:ascii="Arial" w:hAnsi="Arial"/>
          <w:color w:val="000000"/>
          <w:sz w:val="21"/>
          <w:highlight w:val="none"/>
        </w:rPr>
        <w:t>两方面，</w:t>
      </w:r>
      <w:r>
        <w:rPr>
          <w:rFonts w:ascii="Arial" w:hAnsi="Arial"/>
          <w:color w:val="000000"/>
          <w:sz w:val="21"/>
          <w:highlight w:val="none"/>
        </w:rPr>
        <w:t>持续用力推动房地产市场止跌回稳</w:t>
      </w:r>
      <w:r>
        <w:rPr>
          <w:rFonts w:hint="eastAsia" w:ascii="Arial" w:hAnsi="Arial"/>
          <w:color w:val="000000"/>
          <w:sz w:val="21"/>
          <w:highlight w:val="none"/>
        </w:rPr>
        <w:t>。二、从</w:t>
      </w:r>
      <w:r>
        <w:rPr>
          <w:rFonts w:ascii="Arial" w:hAnsi="Arial"/>
          <w:color w:val="000000"/>
          <w:sz w:val="21"/>
          <w:highlight w:val="none"/>
        </w:rPr>
        <w:t>着力优化和完善住房供应体系</w:t>
      </w:r>
      <w:r>
        <w:rPr>
          <w:rFonts w:hint="eastAsia" w:ascii="Arial" w:hAnsi="Arial"/>
          <w:color w:val="000000"/>
          <w:sz w:val="21"/>
          <w:highlight w:val="none"/>
        </w:rPr>
        <w:t>、</w:t>
      </w:r>
      <w:r>
        <w:rPr>
          <w:rFonts w:ascii="Arial" w:hAnsi="Arial"/>
          <w:color w:val="000000"/>
          <w:sz w:val="21"/>
          <w:highlight w:val="none"/>
        </w:rPr>
        <w:t>推动建立要素联动新机制</w:t>
      </w:r>
      <w:r>
        <w:rPr>
          <w:rFonts w:hint="eastAsia" w:ascii="Arial" w:hAnsi="Arial"/>
          <w:color w:val="000000"/>
          <w:sz w:val="21"/>
          <w:highlight w:val="none"/>
        </w:rPr>
        <w:t>、</w:t>
      </w:r>
      <w:r>
        <w:rPr>
          <w:rFonts w:ascii="Arial" w:hAnsi="Arial"/>
          <w:color w:val="000000"/>
          <w:sz w:val="21"/>
          <w:highlight w:val="none"/>
        </w:rPr>
        <w:t>大力推进商品住房销售制度改革</w:t>
      </w:r>
      <w:r>
        <w:rPr>
          <w:rFonts w:hint="eastAsia" w:ascii="Arial" w:hAnsi="Arial"/>
          <w:color w:val="000000"/>
          <w:sz w:val="21"/>
          <w:highlight w:val="none"/>
        </w:rPr>
        <w:t>、</w:t>
      </w:r>
      <w:r>
        <w:rPr>
          <w:rFonts w:ascii="Arial" w:hAnsi="Arial"/>
          <w:color w:val="000000"/>
          <w:sz w:val="21"/>
          <w:highlight w:val="none"/>
        </w:rPr>
        <w:t>加快建立房屋全生命周期安全管理制度</w:t>
      </w:r>
      <w:r>
        <w:rPr>
          <w:rFonts w:hint="eastAsia" w:ascii="Arial" w:hAnsi="Arial"/>
          <w:color w:val="000000"/>
          <w:sz w:val="21"/>
          <w:highlight w:val="none"/>
        </w:rPr>
        <w:t>和</w:t>
      </w:r>
      <w:r>
        <w:rPr>
          <w:rFonts w:ascii="Arial" w:hAnsi="Arial"/>
          <w:color w:val="000000"/>
          <w:sz w:val="21"/>
          <w:highlight w:val="none"/>
        </w:rPr>
        <w:t>完善房地产全过程监管</w:t>
      </w:r>
      <w:r>
        <w:rPr>
          <w:rFonts w:hint="eastAsia" w:ascii="Arial" w:hAnsi="Arial"/>
          <w:color w:val="000000"/>
          <w:sz w:val="21"/>
          <w:highlight w:val="none"/>
        </w:rPr>
        <w:t>五个方面，</w:t>
      </w:r>
      <w:r>
        <w:rPr>
          <w:rFonts w:ascii="Arial" w:hAnsi="Arial"/>
          <w:color w:val="000000"/>
          <w:sz w:val="21"/>
          <w:highlight w:val="none"/>
        </w:rPr>
        <w:t>推动构建房地产发展新模式</w:t>
      </w:r>
      <w:r>
        <w:rPr>
          <w:rFonts w:hint="eastAsia" w:ascii="Arial" w:hAnsi="Arial"/>
          <w:color w:val="000000"/>
          <w:sz w:val="21"/>
          <w:highlight w:val="none"/>
        </w:rPr>
        <w:t>。三、从</w:t>
      </w:r>
      <w:r>
        <w:rPr>
          <w:rFonts w:ascii="Arial" w:hAnsi="Arial"/>
          <w:color w:val="000000"/>
          <w:sz w:val="21"/>
          <w:highlight w:val="none"/>
        </w:rPr>
        <w:t>建立城市体检和城市更新一体化推进机制</w:t>
      </w:r>
      <w:r>
        <w:rPr>
          <w:rFonts w:hint="eastAsia" w:ascii="Arial" w:hAnsi="Arial"/>
          <w:color w:val="000000"/>
          <w:sz w:val="21"/>
          <w:highlight w:val="none"/>
        </w:rPr>
        <w:t>、</w:t>
      </w:r>
      <w:r>
        <w:rPr>
          <w:rFonts w:ascii="Arial" w:hAnsi="Arial"/>
          <w:color w:val="000000"/>
          <w:sz w:val="21"/>
          <w:highlight w:val="none"/>
        </w:rPr>
        <w:t>建立可持续的城市更新模式和政策法规</w:t>
      </w:r>
      <w:r>
        <w:rPr>
          <w:rFonts w:hint="eastAsia" w:ascii="Arial" w:hAnsi="Arial"/>
          <w:color w:val="000000"/>
          <w:sz w:val="21"/>
          <w:highlight w:val="none"/>
        </w:rPr>
        <w:t>、</w:t>
      </w:r>
      <w:r>
        <w:rPr>
          <w:rFonts w:ascii="Arial" w:hAnsi="Arial"/>
          <w:color w:val="000000"/>
          <w:sz w:val="21"/>
          <w:highlight w:val="none"/>
        </w:rPr>
        <w:t>谋划实施一批城市更新改造项目</w:t>
      </w:r>
      <w:r>
        <w:rPr>
          <w:rFonts w:hint="eastAsia" w:ascii="Arial" w:hAnsi="Arial"/>
          <w:color w:val="000000"/>
          <w:sz w:val="21"/>
          <w:highlight w:val="none"/>
        </w:rPr>
        <w:t>、</w:t>
      </w:r>
      <w:r>
        <w:rPr>
          <w:rFonts w:ascii="Arial" w:hAnsi="Arial"/>
          <w:color w:val="000000"/>
          <w:sz w:val="21"/>
          <w:highlight w:val="none"/>
        </w:rPr>
        <w:t>构建城市管理新模式</w:t>
      </w:r>
      <w:r>
        <w:rPr>
          <w:rFonts w:hint="eastAsia" w:ascii="Arial" w:hAnsi="Arial"/>
          <w:color w:val="000000"/>
          <w:sz w:val="21"/>
          <w:highlight w:val="none"/>
        </w:rPr>
        <w:t>和</w:t>
      </w:r>
      <w:r>
        <w:rPr>
          <w:rFonts w:ascii="Arial" w:hAnsi="Arial"/>
          <w:color w:val="000000"/>
          <w:sz w:val="21"/>
          <w:highlight w:val="none"/>
        </w:rPr>
        <w:t>以“新城建”为引擎打造高水平“数字住建”</w:t>
      </w:r>
      <w:r>
        <w:rPr>
          <w:rFonts w:hint="eastAsia" w:ascii="Arial" w:hAnsi="Arial"/>
          <w:color w:val="000000"/>
          <w:sz w:val="21"/>
          <w:highlight w:val="none"/>
        </w:rPr>
        <w:t>五个方面，</w:t>
      </w:r>
      <w:r>
        <w:rPr>
          <w:rFonts w:ascii="Arial" w:hAnsi="Arial"/>
          <w:color w:val="000000"/>
          <w:sz w:val="21"/>
          <w:highlight w:val="none"/>
        </w:rPr>
        <w:t>大力实施城市更新</w:t>
      </w:r>
      <w:r>
        <w:rPr>
          <w:rFonts w:hint="eastAsia" w:ascii="Arial" w:hAnsi="Arial"/>
          <w:color w:val="000000"/>
          <w:sz w:val="21"/>
          <w:highlight w:val="none"/>
        </w:rPr>
        <w:t>。四、从</w:t>
      </w:r>
      <w:r>
        <w:rPr>
          <w:rFonts w:ascii="Arial" w:hAnsi="Arial"/>
          <w:color w:val="000000"/>
          <w:sz w:val="21"/>
          <w:highlight w:val="none"/>
        </w:rPr>
        <w:t>全面深化建筑业改革</w:t>
      </w:r>
      <w:r>
        <w:rPr>
          <w:rFonts w:hint="eastAsia" w:ascii="Arial" w:hAnsi="Arial"/>
          <w:color w:val="000000"/>
          <w:sz w:val="21"/>
          <w:highlight w:val="none"/>
        </w:rPr>
        <w:t>、</w:t>
      </w:r>
      <w:r>
        <w:rPr>
          <w:rFonts w:ascii="Arial" w:hAnsi="Arial"/>
          <w:color w:val="000000"/>
          <w:sz w:val="21"/>
          <w:highlight w:val="none"/>
        </w:rPr>
        <w:t>以更高质量的制度供给激发活力</w:t>
      </w:r>
      <w:r>
        <w:rPr>
          <w:rFonts w:hint="eastAsia" w:ascii="Arial" w:hAnsi="Arial"/>
          <w:color w:val="000000"/>
          <w:sz w:val="21"/>
          <w:highlight w:val="none"/>
        </w:rPr>
        <w:t>、</w:t>
      </w:r>
      <w:r>
        <w:rPr>
          <w:rFonts w:ascii="Arial" w:hAnsi="Arial"/>
          <w:color w:val="000000"/>
          <w:sz w:val="21"/>
          <w:highlight w:val="none"/>
        </w:rPr>
        <w:t>整体提升工程建设标准</w:t>
      </w:r>
      <w:r>
        <w:rPr>
          <w:rFonts w:hint="eastAsia" w:ascii="Arial" w:hAnsi="Arial"/>
          <w:color w:val="000000"/>
          <w:sz w:val="21"/>
          <w:highlight w:val="none"/>
        </w:rPr>
        <w:t>、</w:t>
      </w:r>
      <w:r>
        <w:rPr>
          <w:rFonts w:ascii="Arial" w:hAnsi="Arial"/>
          <w:color w:val="000000"/>
          <w:sz w:val="21"/>
          <w:highlight w:val="none"/>
        </w:rPr>
        <w:t>支持打造形成现代化建筑产业链</w:t>
      </w:r>
      <w:r>
        <w:rPr>
          <w:rFonts w:hint="eastAsia" w:ascii="Arial" w:hAnsi="Arial"/>
          <w:color w:val="000000"/>
          <w:sz w:val="21"/>
          <w:highlight w:val="none"/>
        </w:rPr>
        <w:t>和</w:t>
      </w:r>
      <w:r>
        <w:rPr>
          <w:rFonts w:ascii="Arial" w:hAnsi="Arial"/>
          <w:color w:val="000000"/>
          <w:sz w:val="21"/>
          <w:highlight w:val="none"/>
        </w:rPr>
        <w:t>把绿色建筑培育发展成新的经济增长点</w:t>
      </w:r>
      <w:r>
        <w:rPr>
          <w:rFonts w:hint="eastAsia" w:ascii="Arial" w:hAnsi="Arial"/>
          <w:color w:val="000000"/>
          <w:sz w:val="21"/>
          <w:highlight w:val="none"/>
        </w:rPr>
        <w:t>五个方面，</w:t>
      </w:r>
      <w:r>
        <w:rPr>
          <w:rFonts w:ascii="Arial" w:hAnsi="Arial"/>
          <w:color w:val="000000"/>
          <w:sz w:val="21"/>
          <w:highlight w:val="none"/>
        </w:rPr>
        <w:t>打造“中国建造”升级版</w:t>
      </w:r>
      <w:r>
        <w:rPr>
          <w:rFonts w:hint="eastAsia" w:ascii="Arial" w:hAnsi="Arial"/>
          <w:color w:val="000000"/>
          <w:sz w:val="21"/>
          <w:highlight w:val="none"/>
        </w:rPr>
        <w:t>。五、从</w:t>
      </w:r>
      <w:r>
        <w:rPr>
          <w:rFonts w:ascii="Arial" w:hAnsi="Arial"/>
          <w:color w:val="000000"/>
          <w:sz w:val="21"/>
          <w:highlight w:val="none"/>
        </w:rPr>
        <w:t>提高住宅建设标准</w:t>
      </w:r>
      <w:r>
        <w:rPr>
          <w:rFonts w:hint="eastAsia" w:ascii="Arial" w:hAnsi="Arial"/>
          <w:color w:val="000000"/>
          <w:sz w:val="21"/>
          <w:highlight w:val="none"/>
        </w:rPr>
        <w:t>、</w:t>
      </w:r>
      <w:r>
        <w:rPr>
          <w:rFonts w:ascii="Arial" w:hAnsi="Arial"/>
          <w:color w:val="000000"/>
          <w:sz w:val="21"/>
          <w:highlight w:val="none"/>
        </w:rPr>
        <w:t>构建支持住房品质提升的制度体系</w:t>
      </w:r>
      <w:r>
        <w:rPr>
          <w:rFonts w:hint="eastAsia" w:ascii="Arial" w:hAnsi="Arial"/>
          <w:color w:val="000000"/>
          <w:sz w:val="21"/>
          <w:highlight w:val="none"/>
        </w:rPr>
        <w:t>、</w:t>
      </w:r>
      <w:r>
        <w:rPr>
          <w:rFonts w:ascii="Arial" w:hAnsi="Arial"/>
          <w:color w:val="000000"/>
          <w:sz w:val="21"/>
          <w:highlight w:val="none"/>
        </w:rPr>
        <w:t>支持房企打造好房子样板</w:t>
      </w:r>
      <w:r>
        <w:rPr>
          <w:rFonts w:hint="eastAsia" w:ascii="Arial" w:hAnsi="Arial"/>
          <w:color w:val="000000"/>
          <w:sz w:val="21"/>
          <w:highlight w:val="none"/>
        </w:rPr>
        <w:t>、</w:t>
      </w:r>
      <w:r>
        <w:rPr>
          <w:rFonts w:ascii="Arial" w:hAnsi="Arial"/>
          <w:color w:val="000000"/>
          <w:sz w:val="21"/>
          <w:highlight w:val="none"/>
        </w:rPr>
        <w:t>推进老旧住宅更新改造</w:t>
      </w:r>
      <w:r>
        <w:rPr>
          <w:rFonts w:hint="eastAsia" w:ascii="Arial" w:hAnsi="Arial"/>
          <w:color w:val="000000"/>
          <w:sz w:val="21"/>
          <w:highlight w:val="none"/>
        </w:rPr>
        <w:t>和</w:t>
      </w:r>
      <w:r>
        <w:rPr>
          <w:rFonts w:ascii="Arial" w:hAnsi="Arial"/>
          <w:color w:val="000000"/>
          <w:sz w:val="21"/>
          <w:highlight w:val="none"/>
        </w:rPr>
        <w:t>大力实施物业服务质量提升行动</w:t>
      </w:r>
      <w:r>
        <w:rPr>
          <w:rFonts w:hint="eastAsia" w:ascii="Arial" w:hAnsi="Arial"/>
          <w:color w:val="000000"/>
          <w:sz w:val="21"/>
          <w:highlight w:val="none"/>
        </w:rPr>
        <w:t>五个方面，</w:t>
      </w:r>
      <w:r>
        <w:rPr>
          <w:rFonts w:ascii="Arial" w:hAnsi="Arial"/>
          <w:color w:val="000000"/>
          <w:sz w:val="21"/>
          <w:highlight w:val="none"/>
        </w:rPr>
        <w:t>建设安全、舒适、绿色、智慧的好房子</w:t>
      </w:r>
      <w:r>
        <w:rPr>
          <w:rFonts w:hint="eastAsia" w:ascii="Arial" w:hAnsi="Arial"/>
          <w:color w:val="000000"/>
          <w:sz w:val="21"/>
          <w:highlight w:val="none"/>
        </w:rPr>
        <w:t>。</w:t>
      </w:r>
    </w:p>
    <w:p w14:paraId="6AEF26E0">
      <w:pPr>
        <w:overflowPunct w:val="0"/>
        <w:spacing w:line="480" w:lineRule="auto"/>
        <w:ind w:firstLine="420"/>
        <w:jc w:val="both"/>
        <w:textAlignment w:val="auto"/>
        <w:rPr>
          <w:rFonts w:ascii="Arial" w:hAnsi="Arial"/>
          <w:color w:val="000000"/>
          <w:sz w:val="21"/>
          <w:highlight w:val="none"/>
        </w:rPr>
      </w:pPr>
      <w:r>
        <w:rPr>
          <w:rFonts w:ascii="Arial" w:hAnsi="Arial"/>
          <w:color w:val="000000"/>
          <w:sz w:val="21"/>
          <w:highlight w:val="none"/>
        </w:rPr>
        <w:t>202</w:t>
      </w:r>
      <w:r>
        <w:rPr>
          <w:rFonts w:hint="eastAsia" w:ascii="Arial" w:hAnsi="Arial"/>
          <w:color w:val="000000"/>
          <w:sz w:val="21"/>
          <w:highlight w:val="none"/>
        </w:rPr>
        <w:t>5</w:t>
      </w:r>
      <w:r>
        <w:rPr>
          <w:rFonts w:ascii="Arial" w:hAnsi="Arial"/>
          <w:color w:val="000000"/>
          <w:sz w:val="21"/>
          <w:highlight w:val="none"/>
        </w:rPr>
        <w:t>年3月</w:t>
      </w:r>
      <w:r>
        <w:rPr>
          <w:rFonts w:hint="eastAsia" w:ascii="Arial" w:hAnsi="Arial"/>
          <w:color w:val="000000"/>
          <w:sz w:val="21"/>
          <w:highlight w:val="none"/>
        </w:rPr>
        <w:t>5</w:t>
      </w:r>
      <w:r>
        <w:rPr>
          <w:rFonts w:ascii="Arial" w:hAnsi="Arial"/>
          <w:color w:val="000000"/>
          <w:sz w:val="21"/>
          <w:highlight w:val="none"/>
        </w:rPr>
        <w:t>日全国两会召开。关于房地产的定调，政府工作报告延续了去年底中央经济工作会议基调，</w:t>
      </w:r>
      <w:r>
        <w:rPr>
          <w:rFonts w:hint="eastAsia" w:ascii="Arial" w:hAnsi="Arial"/>
          <w:color w:val="000000"/>
          <w:sz w:val="21"/>
          <w:highlight w:val="none"/>
        </w:rPr>
        <w:t>在2025年政府工作任务“有效防范化解重点领域风险,牢牢守住不发生系统性风险底线”中确立了“持续用力推动房地产市场止跌回稳”的政策目标，并从需求不断加力、供给持续调整、风险防范化解和行业长远发展四个方面给出了大段论述。</w:t>
      </w:r>
    </w:p>
    <w:p w14:paraId="0B8D15F6">
      <w:pPr>
        <w:overflowPunct w:val="0"/>
        <w:spacing w:line="480" w:lineRule="auto"/>
        <w:ind w:firstLine="420"/>
        <w:jc w:val="both"/>
        <w:textAlignment w:val="auto"/>
        <w:rPr>
          <w:rFonts w:hint="eastAsia" w:ascii="Arial" w:hAnsi="Arial"/>
          <w:color w:val="000000"/>
          <w:sz w:val="21"/>
          <w:highlight w:val="none"/>
        </w:rPr>
      </w:pPr>
      <w:r>
        <w:rPr>
          <w:rFonts w:hint="eastAsia" w:ascii="Arial" w:hAnsi="Arial"/>
          <w:color w:val="000000"/>
          <w:sz w:val="21"/>
          <w:highlight w:val="none"/>
        </w:rPr>
        <w:t>2025年4月3日，</w:t>
      </w:r>
      <w:r>
        <w:rPr>
          <w:rFonts w:ascii="Arial" w:hAnsi="Arial"/>
          <w:color w:val="000000"/>
          <w:sz w:val="21"/>
          <w:highlight w:val="none"/>
        </w:rPr>
        <w:t>财政部办公厅</w:t>
      </w:r>
      <w:r>
        <w:rPr>
          <w:rFonts w:hint="eastAsia" w:ascii="Arial" w:hAnsi="Arial"/>
          <w:color w:val="000000"/>
          <w:sz w:val="21"/>
          <w:highlight w:val="none"/>
        </w:rPr>
        <w:t>、</w:t>
      </w:r>
      <w:r>
        <w:rPr>
          <w:rFonts w:ascii="Arial" w:hAnsi="Arial"/>
          <w:color w:val="000000"/>
          <w:sz w:val="21"/>
          <w:highlight w:val="none"/>
        </w:rPr>
        <w:t>住房城乡建设部办公厅</w:t>
      </w:r>
      <w:r>
        <w:rPr>
          <w:rFonts w:hint="eastAsia" w:ascii="Arial" w:hAnsi="Arial"/>
          <w:color w:val="000000"/>
          <w:sz w:val="21"/>
          <w:highlight w:val="none"/>
        </w:rPr>
        <w:t>联合发布</w:t>
      </w:r>
      <w:r>
        <w:rPr>
          <w:rFonts w:ascii="Arial" w:hAnsi="Arial"/>
          <w:color w:val="000000"/>
          <w:sz w:val="21"/>
          <w:highlight w:val="none"/>
        </w:rPr>
        <w:t>《关于开展2025年度中央财政支持实施城市更新行动的通知》</w:t>
      </w:r>
      <w:r>
        <w:rPr>
          <w:rFonts w:hint="eastAsia" w:ascii="Arial" w:hAnsi="Arial"/>
          <w:color w:val="000000"/>
          <w:sz w:val="21"/>
          <w:highlight w:val="none"/>
        </w:rPr>
        <w:t>。《通知》提出</w:t>
      </w:r>
      <w:r>
        <w:rPr>
          <w:rFonts w:ascii="Arial" w:hAnsi="Arial"/>
          <w:color w:val="000000"/>
          <w:sz w:val="21"/>
          <w:highlight w:val="none"/>
        </w:rPr>
        <w:t>通过竞争性选拔，确定部分基础条件好、积极性高、特色突出的城市，在城市层面探索整合各类资源，探索建立资金、用地、金融等各类要素保障机制，形成工作合力。中央财政对入围城市给予定额补助，支持城市更新的样板项目建设和机制建设2个方向</w:t>
      </w:r>
      <w:r>
        <w:rPr>
          <w:rFonts w:hint="eastAsia" w:ascii="Arial" w:hAnsi="Arial"/>
          <w:color w:val="000000"/>
          <w:sz w:val="21"/>
          <w:highlight w:val="none"/>
        </w:rPr>
        <w:t>。</w:t>
      </w:r>
    </w:p>
    <w:p w14:paraId="02FBA34E">
      <w:pPr>
        <w:overflowPunct w:val="0"/>
        <w:spacing w:line="480" w:lineRule="auto"/>
        <w:ind w:firstLine="420"/>
        <w:jc w:val="both"/>
        <w:textAlignment w:val="auto"/>
        <w:rPr>
          <w:rFonts w:ascii="Arial" w:hAnsi="Arial"/>
          <w:color w:val="000000"/>
          <w:sz w:val="21"/>
          <w:highlight w:val="none"/>
        </w:rPr>
      </w:pPr>
      <w:r>
        <w:rPr>
          <w:rFonts w:hint="eastAsia" w:ascii="Arial" w:hAnsi="Arial"/>
          <w:color w:val="000000"/>
          <w:sz w:val="21"/>
          <w:highlight w:val="none"/>
        </w:rPr>
        <w:t>2025年4月25日</w:t>
      </w:r>
      <w:r>
        <w:rPr>
          <w:rFonts w:ascii="Arial" w:hAnsi="Arial"/>
          <w:color w:val="000000"/>
          <w:sz w:val="21"/>
          <w:highlight w:val="none"/>
        </w:rPr>
        <w:t>中共中央政治局召开会议，分析研究当前经济形势和经济工作。会议强调，要加紧实施更加积极有为的宏观政策，用好用足更加积极的财政政策和适度宽松的货币政策；加快地方政府专项债券、超长期特别国债等发行使用；适时降准降息，保持流动性充裕。会议指出，要持续用力防范化解重点领域风险；继续实施地方政府一揽子化债政策；加力实施城市更新行动，有力有序推进城中村和危旧房改造；加快构建房地产发展新 模式，加大高品质住房供给，优化存量商品房收购政策，持续巩固房地产市场稳定态势。</w:t>
      </w:r>
    </w:p>
    <w:p w14:paraId="7940E4F3">
      <w:pPr>
        <w:overflowPunct w:val="0"/>
        <w:spacing w:line="480" w:lineRule="auto"/>
        <w:ind w:firstLine="420"/>
        <w:jc w:val="both"/>
        <w:textAlignment w:val="auto"/>
        <w:rPr>
          <w:rFonts w:ascii="Arial" w:hAnsi="Arial"/>
          <w:color w:val="000000"/>
          <w:sz w:val="21"/>
          <w:highlight w:val="none"/>
        </w:rPr>
      </w:pPr>
      <w:r>
        <w:rPr>
          <w:rFonts w:hint="eastAsia" w:ascii="Arial" w:hAnsi="Arial"/>
          <w:color w:val="000000"/>
          <w:sz w:val="21"/>
          <w:highlight w:val="none"/>
        </w:rPr>
        <w:t>2025年5月15日，中共中央办公厅与国务院办公厅公开发布《关于持续推进城市更新行动的意见》。《意见》</w:t>
      </w:r>
      <w:r>
        <w:rPr>
          <w:rFonts w:ascii="Arial" w:hAnsi="Arial"/>
          <w:color w:val="000000"/>
          <w:sz w:val="21"/>
          <w:highlight w:val="none"/>
        </w:rPr>
        <w:t>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526C9CBE">
      <w:pPr>
        <w:overflowPunct w:val="0"/>
        <w:spacing w:line="480" w:lineRule="auto"/>
        <w:ind w:firstLine="420"/>
        <w:jc w:val="both"/>
        <w:textAlignment w:val="auto"/>
        <w:rPr>
          <w:rFonts w:ascii="Arial" w:hAnsi="Arial"/>
          <w:color w:val="000000"/>
          <w:sz w:val="21"/>
          <w:highlight w:val="none"/>
        </w:rPr>
      </w:pPr>
      <w:r>
        <w:rPr>
          <w:rFonts w:hint="eastAsia" w:ascii="Arial" w:hAnsi="Arial"/>
          <w:color w:val="000000"/>
          <w:sz w:val="21"/>
          <w:highlight w:val="none"/>
        </w:rPr>
        <w:t>2025年6月13日</w:t>
      </w:r>
      <w:r>
        <w:rPr>
          <w:rFonts w:ascii="Arial" w:hAnsi="Arial"/>
          <w:color w:val="000000"/>
          <w:sz w:val="21"/>
          <w:highlight w:val="none"/>
        </w:rPr>
        <w:t>国务院常务会议召开，其中重点部署了房地产相关政策，核心目标是</w:t>
      </w:r>
      <w:r>
        <w:rPr>
          <w:rFonts w:hint="eastAsia" w:ascii="Arial" w:hAnsi="Arial"/>
          <w:color w:val="000000"/>
          <w:sz w:val="21"/>
          <w:highlight w:val="none"/>
        </w:rPr>
        <w:t>“</w:t>
      </w:r>
      <w:r>
        <w:rPr>
          <w:rFonts w:ascii="Arial" w:hAnsi="Arial"/>
          <w:color w:val="000000"/>
          <w:sz w:val="21"/>
          <w:highlight w:val="none"/>
        </w:rPr>
        <w:t>更大力度推动房地产市场止跌回稳</w:t>
      </w:r>
      <w:r>
        <w:rPr>
          <w:rFonts w:hint="eastAsia" w:ascii="Arial" w:hAnsi="Arial"/>
          <w:color w:val="000000"/>
          <w:sz w:val="21"/>
          <w:highlight w:val="none"/>
        </w:rPr>
        <w:t>”</w:t>
      </w:r>
      <w:r>
        <w:rPr>
          <w:rFonts w:ascii="Arial" w:hAnsi="Arial"/>
          <w:color w:val="000000"/>
          <w:sz w:val="21"/>
          <w:highlight w:val="none"/>
        </w:rPr>
        <w:t>，并围绕构建房地产发展新模式、推进</w:t>
      </w:r>
      <w:r>
        <w:rPr>
          <w:rFonts w:hint="eastAsia" w:ascii="Arial" w:hAnsi="Arial"/>
          <w:color w:val="000000"/>
          <w:sz w:val="21"/>
          <w:highlight w:val="none"/>
        </w:rPr>
        <w:t>“好房子”</w:t>
      </w:r>
      <w:r>
        <w:rPr>
          <w:rFonts w:ascii="Arial" w:hAnsi="Arial"/>
          <w:color w:val="000000"/>
          <w:sz w:val="21"/>
          <w:highlight w:val="none"/>
        </w:rPr>
        <w:t>建设、盘活存量资源等方面提出具体措施。</w:t>
      </w:r>
    </w:p>
    <w:p w14:paraId="21E317A2">
      <w:pPr>
        <w:overflowPunct w:val="0"/>
        <w:spacing w:line="480" w:lineRule="auto"/>
        <w:ind w:firstLine="420"/>
        <w:jc w:val="both"/>
        <w:textAlignment w:val="auto"/>
        <w:rPr>
          <w:rFonts w:ascii="Arial" w:hAnsi="Arial"/>
          <w:color w:val="000000"/>
          <w:sz w:val="21"/>
          <w:highlight w:val="none"/>
        </w:rPr>
      </w:pPr>
      <w:r>
        <w:rPr>
          <w:rFonts w:hint="eastAsia" w:ascii="Arial" w:hAnsi="Arial"/>
          <w:color w:val="000000"/>
          <w:sz w:val="21"/>
          <w:highlight w:val="none"/>
        </w:rPr>
        <w:t>2025年7月1</w:t>
      </w:r>
      <w:r>
        <w:rPr>
          <w:rFonts w:ascii="Arial" w:hAnsi="Arial"/>
          <w:color w:val="000000"/>
          <w:sz w:val="21"/>
          <w:highlight w:val="none"/>
        </w:rPr>
        <w:t>4日至</w:t>
      </w:r>
      <w:r>
        <w:rPr>
          <w:rFonts w:hint="eastAsia" w:ascii="Arial" w:hAnsi="Arial"/>
          <w:color w:val="000000"/>
          <w:sz w:val="21"/>
          <w:highlight w:val="none"/>
        </w:rPr>
        <w:t>1</w:t>
      </w:r>
      <w:r>
        <w:rPr>
          <w:rFonts w:ascii="Arial" w:hAnsi="Arial"/>
          <w:color w:val="000000"/>
          <w:sz w:val="21"/>
          <w:highlight w:val="none"/>
        </w:rPr>
        <w:t>5日</w:t>
      </w:r>
      <w:bookmarkStart w:id="64" w:name="OLE_LINK7"/>
      <w:r>
        <w:rPr>
          <w:rFonts w:ascii="Arial" w:hAnsi="Arial"/>
          <w:color w:val="000000"/>
          <w:sz w:val="21"/>
          <w:highlight w:val="none"/>
        </w:rPr>
        <w:t>中央城市工作会议</w:t>
      </w:r>
      <w:bookmarkEnd w:id="64"/>
      <w:r>
        <w:rPr>
          <w:rFonts w:ascii="Arial" w:hAnsi="Arial"/>
          <w:color w:val="000000"/>
          <w:sz w:val="21"/>
          <w:highlight w:val="none"/>
        </w:rPr>
        <w:t>在北京举行，部署城市工作7个方面的重点任务：一是着力优化现代化城市体系；二是着力建设富有活力的创新城市，高质量开展城市更新；三是着力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r>
        <w:rPr>
          <w:rFonts w:hint="eastAsia" w:ascii="Arial" w:hAnsi="Arial"/>
          <w:color w:val="000000"/>
          <w:sz w:val="21"/>
          <w:highlight w:val="none"/>
        </w:rPr>
        <w:t>。</w:t>
      </w:r>
    </w:p>
    <w:p w14:paraId="5B38F0AE">
      <w:pPr>
        <w:overflowPunct w:val="0"/>
        <w:spacing w:line="480" w:lineRule="auto"/>
        <w:ind w:firstLine="420"/>
        <w:jc w:val="both"/>
        <w:textAlignment w:val="auto"/>
        <w:rPr>
          <w:rFonts w:hint="eastAsia" w:ascii="Arial" w:hAnsi="Arial"/>
          <w:color w:val="000000"/>
          <w:sz w:val="21"/>
          <w:highlight w:val="none"/>
        </w:rPr>
      </w:pPr>
      <w:r>
        <w:rPr>
          <w:rFonts w:hint="eastAsia" w:ascii="Arial" w:hAnsi="Arial"/>
          <w:color w:val="000000"/>
          <w:sz w:val="21"/>
          <w:highlight w:val="none"/>
        </w:rPr>
        <w:t>2025年7月16日，国务院公布《住房租赁条例》</w:t>
      </w:r>
      <w:r>
        <w:rPr>
          <w:rFonts w:ascii="Arial" w:hAnsi="Arial"/>
          <w:color w:val="000000"/>
          <w:sz w:val="21"/>
          <w:highlight w:val="none"/>
        </w:rPr>
        <w:t>。该条例旨在规范住房租赁活动，维护住房租赁活动当事人合法权益，稳定住房租赁关系，促进住房租赁市场高质量发展，推动加快建立租购并举的住房制度</w:t>
      </w:r>
      <w:r>
        <w:rPr>
          <w:rFonts w:hint="eastAsia" w:ascii="Arial" w:hAnsi="Arial"/>
          <w:color w:val="000000"/>
          <w:sz w:val="21"/>
          <w:highlight w:val="none"/>
        </w:rPr>
        <w:t>，《条例》</w:t>
      </w:r>
      <w:r>
        <w:rPr>
          <w:rFonts w:ascii="Arial" w:hAnsi="Arial"/>
          <w:color w:val="000000"/>
          <w:sz w:val="21"/>
          <w:highlight w:val="none"/>
        </w:rPr>
        <w:t>自2025年9月15日施行。</w:t>
      </w:r>
    </w:p>
    <w:p w14:paraId="63604471">
      <w:pPr>
        <w:overflowPunct w:val="0"/>
        <w:spacing w:line="480" w:lineRule="auto"/>
        <w:ind w:firstLine="420"/>
        <w:jc w:val="both"/>
        <w:textAlignment w:val="auto"/>
        <w:rPr>
          <w:rFonts w:hint="eastAsia" w:ascii="Arial" w:hAnsi="Arial"/>
          <w:b/>
          <w:color w:val="000000"/>
          <w:sz w:val="21"/>
          <w:highlight w:val="none"/>
        </w:rPr>
      </w:pPr>
      <w:r>
        <w:rPr>
          <w:rFonts w:hint="eastAsia" w:ascii="Arial" w:hAnsi="Arial"/>
          <w:b/>
          <w:color w:val="000000"/>
          <w:sz w:val="21"/>
          <w:highlight w:val="none"/>
        </w:rPr>
        <w:t>北京：</w:t>
      </w:r>
    </w:p>
    <w:p w14:paraId="4A469423">
      <w:pPr>
        <w:overflowPunct w:val="0"/>
        <w:spacing w:line="480" w:lineRule="auto"/>
        <w:ind w:firstLine="420"/>
        <w:jc w:val="both"/>
        <w:textAlignment w:val="auto"/>
        <w:rPr>
          <w:rFonts w:ascii="Arial" w:hAnsi="Arial"/>
          <w:color w:val="000000"/>
          <w:sz w:val="21"/>
          <w:highlight w:val="none"/>
        </w:rPr>
      </w:pPr>
      <w:r>
        <w:rPr>
          <w:rFonts w:ascii="Arial" w:hAnsi="Arial"/>
          <w:color w:val="000000"/>
          <w:sz w:val="21"/>
          <w:highlight w:val="none"/>
        </w:rPr>
        <w:t>2024年9月30日，北京市多部门联合发布《关于进一步优化调整本市房地产相关政策的通知》，自10月1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止跌回稳”的工作导向，将对四季度楼市政策的消化和市场提振产生积极影响，并预示着更多鼓励性政策的出台</w:t>
      </w:r>
      <w:r>
        <w:rPr>
          <w:rFonts w:hint="eastAsia" w:ascii="Arial" w:hAnsi="Arial"/>
          <w:color w:val="000000"/>
          <w:sz w:val="21"/>
          <w:highlight w:val="none"/>
        </w:rPr>
        <w:t>。</w:t>
      </w:r>
    </w:p>
    <w:p w14:paraId="0ABE8AB9">
      <w:pPr>
        <w:overflowPunct w:val="0"/>
        <w:spacing w:line="480" w:lineRule="auto"/>
        <w:ind w:firstLine="420"/>
        <w:jc w:val="both"/>
        <w:textAlignment w:val="auto"/>
        <w:rPr>
          <w:rFonts w:ascii="Arial" w:hAnsi="Arial"/>
          <w:color w:val="000000"/>
          <w:sz w:val="21"/>
          <w:highlight w:val="none"/>
        </w:rPr>
      </w:pPr>
      <w:r>
        <w:rPr>
          <w:rFonts w:ascii="Arial" w:hAnsi="Arial"/>
          <w:color w:val="000000"/>
          <w:sz w:val="21"/>
          <w:highlight w:val="none"/>
        </w:rPr>
        <w:t>2024年11月18日，北京市住房和城乡建设委员会、北京市财政局、国家税务总局北京市税务局联合发布《关于取消普通住房标准有关事项的通知》，取消了普通住房和非普通住房的划分标准。根据新政策，个人出售持有2年及以上的住房将免征增值税，而持有不足2年的住房则需按5%的税率缴纳增值税。在契税方面，北京市与全国统一，对个人购买家庭唯一住房，面积140平方米及以下的按1%税率征收契税，超过140平方米的按1.5%征收；对于家庭第二套住房，面积140平方米及以下的按1%征收，超过140平方米的按2%征收</w:t>
      </w:r>
      <w:r>
        <w:rPr>
          <w:rFonts w:hint="eastAsia" w:ascii="Arial" w:hAnsi="Arial"/>
          <w:color w:val="000000"/>
          <w:sz w:val="21"/>
          <w:highlight w:val="none"/>
        </w:rPr>
        <w:t>。</w:t>
      </w:r>
    </w:p>
    <w:p w14:paraId="218C9D35">
      <w:pPr>
        <w:overflowPunct w:val="0"/>
        <w:spacing w:line="480" w:lineRule="auto"/>
        <w:ind w:firstLine="420"/>
        <w:jc w:val="both"/>
        <w:textAlignment w:val="auto"/>
        <w:rPr>
          <w:rFonts w:ascii="Arial" w:hAnsi="Arial"/>
          <w:color w:val="000000"/>
          <w:sz w:val="21"/>
          <w:highlight w:val="none"/>
        </w:rPr>
      </w:pPr>
      <w:r>
        <w:rPr>
          <w:rFonts w:hint="eastAsia" w:ascii="Arial" w:hAnsi="Arial"/>
          <w:color w:val="000000"/>
          <w:sz w:val="21"/>
          <w:highlight w:val="none"/>
        </w:rPr>
        <w:t>2024年11月29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充分激发多元主体的更新意愿，推动城市更新项目落地实施。</w:t>
      </w:r>
    </w:p>
    <w:p w14:paraId="30CE9F58">
      <w:pPr>
        <w:overflowPunct w:val="0"/>
        <w:spacing w:line="480" w:lineRule="auto"/>
        <w:ind w:firstLine="420"/>
        <w:jc w:val="both"/>
        <w:textAlignment w:val="auto"/>
        <w:rPr>
          <w:rFonts w:ascii="Arial" w:hAnsi="Arial"/>
          <w:color w:val="000000"/>
          <w:sz w:val="21"/>
          <w:highlight w:val="none"/>
        </w:rPr>
      </w:pPr>
      <w:r>
        <w:rPr>
          <w:rFonts w:hint="eastAsia" w:ascii="Arial" w:hAnsi="Arial"/>
          <w:color w:val="000000"/>
          <w:sz w:val="21"/>
          <w:highlight w:val="none"/>
        </w:rPr>
        <w:t>2025年2月12日，</w:t>
      </w:r>
      <w:r>
        <w:rPr>
          <w:rFonts w:ascii="Arial" w:hAnsi="Arial"/>
          <w:color w:val="000000"/>
          <w:sz w:val="21"/>
          <w:highlight w:val="none"/>
        </w:rPr>
        <w:t>北京市规划和自然资源委员会发布</w:t>
      </w:r>
      <w:r>
        <w:rPr>
          <w:rFonts w:hint="eastAsia" w:ascii="Arial" w:hAnsi="Arial"/>
          <w:color w:val="000000"/>
          <w:sz w:val="21"/>
          <w:highlight w:val="none"/>
        </w:rPr>
        <w:t>《关于印发〈北京市平原多点地区“好房子”规划管理相关技术要点（试行）〉的通知》，</w:t>
      </w:r>
      <w:r>
        <w:rPr>
          <w:rFonts w:ascii="Arial" w:hAnsi="Arial"/>
          <w:color w:val="000000"/>
          <w:sz w:val="21"/>
          <w:highlight w:val="none"/>
        </w:rPr>
        <w:t>旨在提升住房品质，满足多样化居住需求。主要内容包括：允许按需设置封闭或开敞阳台，面积不超过套内建筑面积的10%；鼓励在140平方米以上住宅设置挑空空间；合理利用底层架空空间作为公共活动区域；设置开敞式风雨连廊以方便居民活动；增配邻里共享公共空间，提供便民服务；允许跨城市支路空间利用以优化布局；建筑高度可局部上浮以形成错落天际线；鼓励使用高品质材料提升立面品质。这些措施适用于顺义、大兴、亦庄、昌平、房山等平原多点地区，城市副中心可参照执行</w:t>
      </w:r>
      <w:r>
        <w:rPr>
          <w:rFonts w:hint="eastAsia" w:ascii="Arial" w:hAnsi="Arial"/>
          <w:color w:val="000000"/>
          <w:sz w:val="21"/>
          <w:highlight w:val="none"/>
        </w:rPr>
        <w:t>。</w:t>
      </w:r>
    </w:p>
    <w:p w14:paraId="7F8AEC2A">
      <w:pPr>
        <w:overflowPunct w:val="0"/>
        <w:spacing w:line="480" w:lineRule="auto"/>
        <w:ind w:firstLine="420"/>
        <w:jc w:val="both"/>
        <w:textAlignment w:val="auto"/>
        <w:rPr>
          <w:rFonts w:ascii="Arial" w:hAnsi="Arial"/>
          <w:color w:val="000000"/>
          <w:sz w:val="21"/>
          <w:highlight w:val="none"/>
        </w:rPr>
      </w:pPr>
      <w:r>
        <w:rPr>
          <w:rFonts w:hint="eastAsia" w:ascii="Arial" w:hAnsi="Arial"/>
          <w:color w:val="000000"/>
          <w:sz w:val="21"/>
          <w:highlight w:val="none"/>
        </w:rPr>
        <w:t>2025年</w:t>
      </w:r>
      <w:r>
        <w:rPr>
          <w:rFonts w:ascii="Arial" w:hAnsi="Arial"/>
          <w:color w:val="000000"/>
          <w:sz w:val="21"/>
          <w:highlight w:val="none"/>
        </w:rPr>
        <w:t>5月9日，北京市住房和城乡建设委员会</w:t>
      </w:r>
      <w:r>
        <w:rPr>
          <w:rFonts w:hint="eastAsia" w:ascii="Arial" w:hAnsi="Arial"/>
          <w:color w:val="000000"/>
          <w:sz w:val="21"/>
          <w:highlight w:val="none"/>
        </w:rPr>
        <w:t>发布</w:t>
      </w:r>
      <w:r>
        <w:rPr>
          <w:rFonts w:ascii="Arial" w:hAnsi="Arial"/>
          <w:color w:val="000000"/>
          <w:sz w:val="21"/>
          <w:highlight w:val="none"/>
        </w:rPr>
        <w:t>《关于印发</w:t>
      </w:r>
      <w:r>
        <w:rPr>
          <w:rFonts w:hint="eastAsia" w:ascii="Arial" w:hAnsi="Arial"/>
          <w:color w:val="000000"/>
          <w:sz w:val="21"/>
          <w:highlight w:val="none"/>
        </w:rPr>
        <w:t>〈</w:t>
      </w:r>
      <w:r>
        <w:rPr>
          <w:rFonts w:ascii="Arial" w:hAnsi="Arial"/>
          <w:color w:val="000000"/>
          <w:sz w:val="21"/>
          <w:highlight w:val="none"/>
        </w:rPr>
        <w:t>2025年北京市住房发展年度计划</w:t>
      </w:r>
      <w:r>
        <w:rPr>
          <w:rFonts w:hint="eastAsia" w:ascii="Arial" w:hAnsi="Arial"/>
          <w:color w:val="000000"/>
          <w:sz w:val="21"/>
          <w:highlight w:val="none"/>
        </w:rPr>
        <w:t>〉</w:t>
      </w:r>
      <w:r>
        <w:rPr>
          <w:rFonts w:ascii="Arial" w:hAnsi="Arial"/>
          <w:color w:val="000000"/>
          <w:sz w:val="21"/>
          <w:highlight w:val="none"/>
        </w:rPr>
        <w:t>的通知》</w:t>
      </w:r>
      <w:r>
        <w:rPr>
          <w:rFonts w:hint="eastAsia" w:ascii="Arial" w:hAnsi="Arial"/>
          <w:color w:val="000000"/>
          <w:sz w:val="21"/>
          <w:highlight w:val="none"/>
        </w:rPr>
        <w:t>。《通知》</w:t>
      </w:r>
      <w:r>
        <w:rPr>
          <w:rFonts w:ascii="Arial" w:hAnsi="Arial"/>
          <w:color w:val="000000"/>
          <w:sz w:val="21"/>
          <w:highlight w:val="none"/>
        </w:rPr>
        <w:t>围绕优化住房用地供应、推进房地产市场回稳向好、加强住房保障、规范住房租赁市场、发挥住房公积金作用、提升住房质量、推进城市更新、健全物业管理服务体系等八个方面，提出了具体任务、行动计划和工作举措。</w:t>
      </w:r>
    </w:p>
    <w:p w14:paraId="73A84FAD">
      <w:pPr>
        <w:overflowPunct w:val="0"/>
        <w:spacing w:line="480" w:lineRule="auto"/>
        <w:ind w:firstLine="420"/>
        <w:jc w:val="both"/>
        <w:textAlignment w:val="auto"/>
        <w:rPr>
          <w:rFonts w:ascii="Arial" w:hAnsi="Arial"/>
          <w:color w:val="000000"/>
          <w:sz w:val="21"/>
          <w:highlight w:val="none"/>
        </w:rPr>
      </w:pPr>
      <w:r>
        <w:rPr>
          <w:rFonts w:hint="eastAsia" w:ascii="Arial" w:hAnsi="Arial"/>
          <w:color w:val="000000"/>
          <w:sz w:val="21"/>
          <w:highlight w:val="none"/>
        </w:rPr>
        <w:t>2025年7月10日，北京市人民政府发布</w:t>
      </w:r>
      <w:r>
        <w:rPr>
          <w:rFonts w:ascii="Arial" w:hAnsi="Arial"/>
          <w:color w:val="000000"/>
          <w:sz w:val="21"/>
          <w:highlight w:val="none"/>
        </w:rPr>
        <w:t>《关于印发</w:t>
      </w:r>
      <w:r>
        <w:rPr>
          <w:rFonts w:hint="eastAsia" w:ascii="Arial" w:hAnsi="Arial"/>
          <w:color w:val="000000"/>
          <w:sz w:val="21"/>
          <w:highlight w:val="none"/>
        </w:rPr>
        <w:t>〈北京市深化改革提振消费专项行动方案〉</w:t>
      </w:r>
      <w:r>
        <w:rPr>
          <w:rFonts w:ascii="Arial" w:hAnsi="Arial"/>
          <w:color w:val="000000"/>
          <w:sz w:val="21"/>
          <w:highlight w:val="none"/>
        </w:rPr>
        <w:t>的通知》，提出共计24项具体方案。其中，</w:t>
      </w:r>
      <w:r>
        <w:rPr>
          <w:rFonts w:hint="eastAsia" w:ascii="Arial" w:hAnsi="Arial"/>
          <w:color w:val="000000"/>
          <w:sz w:val="21"/>
          <w:highlight w:val="none"/>
        </w:rPr>
        <w:t>第14项“</w:t>
      </w:r>
      <w:r>
        <w:rPr>
          <w:rFonts w:ascii="Arial" w:hAnsi="Arial"/>
          <w:color w:val="000000"/>
          <w:sz w:val="21"/>
          <w:highlight w:val="none"/>
        </w:rPr>
        <w:t>优化住房消费新供给</w:t>
      </w:r>
      <w:r>
        <w:rPr>
          <w:rFonts w:hint="eastAsia" w:ascii="Arial" w:hAnsi="Arial"/>
          <w:color w:val="000000"/>
          <w:sz w:val="21"/>
          <w:highlight w:val="none"/>
        </w:rPr>
        <w:t>”</w:t>
      </w:r>
      <w:r>
        <w:rPr>
          <w:rFonts w:ascii="Arial" w:hAnsi="Arial"/>
          <w:color w:val="000000"/>
          <w:sz w:val="21"/>
          <w:highlight w:val="none"/>
        </w:rPr>
        <w:t>：优先向轨道交通站点和就业密集地区 供应住宅用地，完善</w:t>
      </w:r>
      <w:r>
        <w:rPr>
          <w:rFonts w:hint="eastAsia" w:ascii="Arial" w:hAnsi="Arial"/>
          <w:color w:val="000000"/>
          <w:sz w:val="21"/>
          <w:highlight w:val="none"/>
        </w:rPr>
        <w:t>“</w:t>
      </w:r>
      <w:r>
        <w:rPr>
          <w:rFonts w:ascii="Arial" w:hAnsi="Arial"/>
          <w:color w:val="000000"/>
          <w:sz w:val="21"/>
          <w:highlight w:val="none"/>
        </w:rPr>
        <w:t>保障+市场</w:t>
      </w:r>
      <w:r>
        <w:rPr>
          <w:rFonts w:hint="eastAsia" w:ascii="Arial" w:hAnsi="Arial"/>
          <w:color w:val="000000"/>
          <w:sz w:val="21"/>
          <w:highlight w:val="none"/>
        </w:rPr>
        <w:t>”</w:t>
      </w:r>
      <w:r>
        <w:rPr>
          <w:rFonts w:ascii="Arial" w:hAnsi="Arial"/>
          <w:color w:val="000000"/>
          <w:sz w:val="21"/>
          <w:highlight w:val="none"/>
        </w:rPr>
        <w:t>住房供应体系。进一步发挥住房公积金促进作用，支持缴存人在提取公积 金支付购房首付款的同时申请住房公积金个人住房贷款。研究制定住房公积金个人住房贷款</w:t>
      </w:r>
      <w:r>
        <w:rPr>
          <w:rFonts w:hint="eastAsia" w:ascii="Arial" w:hAnsi="Arial"/>
          <w:color w:val="000000"/>
          <w:sz w:val="21"/>
          <w:highlight w:val="none"/>
        </w:rPr>
        <w:t>“</w:t>
      </w:r>
      <w:r>
        <w:rPr>
          <w:rFonts w:ascii="Arial" w:hAnsi="Arial"/>
          <w:color w:val="000000"/>
          <w:sz w:val="21"/>
          <w:highlight w:val="none"/>
        </w:rPr>
        <w:t>带押过户</w:t>
      </w:r>
      <w:r>
        <w:rPr>
          <w:rFonts w:hint="eastAsia" w:ascii="Arial" w:hAnsi="Arial"/>
          <w:color w:val="000000"/>
          <w:sz w:val="21"/>
          <w:highlight w:val="none"/>
        </w:rPr>
        <w:t>”</w:t>
      </w:r>
      <w:r>
        <w:rPr>
          <w:rFonts w:ascii="Arial" w:hAnsi="Arial"/>
          <w:color w:val="000000"/>
          <w:sz w:val="21"/>
          <w:highlight w:val="none"/>
        </w:rPr>
        <w:t>政策，并开展相关业务。</w:t>
      </w:r>
    </w:p>
    <w:p w14:paraId="38EBFA27">
      <w:pPr>
        <w:overflowPunct w:val="0"/>
        <w:spacing w:line="480" w:lineRule="auto"/>
        <w:ind w:firstLine="420"/>
        <w:jc w:val="both"/>
        <w:textAlignment w:val="auto"/>
        <w:rPr>
          <w:rFonts w:hint="eastAsia" w:ascii="Arial" w:hAnsi="Arial"/>
          <w:color w:val="000000"/>
          <w:sz w:val="21"/>
          <w:highlight w:val="none"/>
        </w:rPr>
      </w:pPr>
      <w:r>
        <w:rPr>
          <w:rFonts w:hint="eastAsia" w:ascii="Arial" w:hAnsi="Arial"/>
          <w:color w:val="000000"/>
          <w:sz w:val="21"/>
          <w:highlight w:val="none"/>
        </w:rPr>
        <w:t>2025年8月8日，</w:t>
      </w:r>
      <w:r>
        <w:rPr>
          <w:rFonts w:ascii="Arial" w:hAnsi="Arial"/>
          <w:color w:val="000000"/>
          <w:sz w:val="21"/>
          <w:highlight w:val="none"/>
        </w:rPr>
        <w:t>北京市住房和城乡建设委员会、</w:t>
      </w:r>
      <w:r>
        <w:rPr>
          <w:rFonts w:hint="eastAsia" w:ascii="Arial" w:hAnsi="Arial"/>
          <w:color w:val="000000"/>
          <w:sz w:val="21"/>
          <w:highlight w:val="none"/>
        </w:rPr>
        <w:t>北京住房公积金管理中心</w:t>
      </w:r>
      <w:r>
        <w:rPr>
          <w:rFonts w:ascii="Arial" w:hAnsi="Arial"/>
          <w:color w:val="000000"/>
          <w:sz w:val="21"/>
          <w:highlight w:val="none"/>
        </w:rPr>
        <w:t>联合发布</w:t>
      </w:r>
      <w:r>
        <w:rPr>
          <w:rFonts w:hint="eastAsia" w:ascii="Arial" w:hAnsi="Arial"/>
          <w:color w:val="000000"/>
          <w:sz w:val="21"/>
          <w:highlight w:val="none"/>
        </w:rPr>
        <w:t>《关于进一步优化调整本市房地产相关政策的通知》。此次政策调整聚焦于优化住房限购政策和加大公积金贷款支持力度两大方面，其中五环外限购松绑以及公积金政策的多项优化举措，印发广泛关注。《通知》自2025年8月9日起正式施行。</w:t>
      </w:r>
    </w:p>
    <w:bookmarkEnd w:id="62"/>
    <w:bookmarkEnd w:id="63"/>
    <w:p w14:paraId="7B594725">
      <w:pPr>
        <w:overflowPunct w:val="0"/>
        <w:spacing w:line="480" w:lineRule="auto"/>
        <w:ind w:firstLine="420"/>
        <w:jc w:val="both"/>
        <w:textAlignment w:val="auto"/>
        <w:rPr>
          <w:rFonts w:ascii="Arial" w:hAnsi="Arial"/>
          <w:color w:val="000000"/>
          <w:sz w:val="21"/>
          <w:highlight w:val="none"/>
        </w:rPr>
      </w:pPr>
      <w:r>
        <w:rPr>
          <w:rFonts w:hint="eastAsia" w:ascii="Arial" w:hAnsi="Arial"/>
          <w:color w:val="000000"/>
          <w:sz w:val="21"/>
          <w:highlight w:val="none"/>
        </w:rPr>
        <w:t>5.未来市场预期</w:t>
      </w:r>
    </w:p>
    <w:p w14:paraId="519A2CD4">
      <w:pPr>
        <w:overflowPunct w:val="0"/>
        <w:spacing w:line="480" w:lineRule="auto"/>
        <w:ind w:firstLine="420"/>
        <w:jc w:val="both"/>
        <w:textAlignment w:val="auto"/>
        <w:rPr>
          <w:rFonts w:ascii="Arial" w:hAnsi="Arial"/>
          <w:color w:val="000000"/>
          <w:sz w:val="21"/>
          <w:highlight w:val="none"/>
        </w:rPr>
      </w:pPr>
      <w:r>
        <w:rPr>
          <w:rFonts w:ascii="Arial" w:hAnsi="Arial"/>
          <w:color w:val="000000"/>
          <w:sz w:val="21"/>
          <w:highlight w:val="none"/>
        </w:rPr>
        <w:t>预计未来北京住宅市场将呈现</w:t>
      </w:r>
      <w:r>
        <w:rPr>
          <w:rFonts w:hint="eastAsia" w:ascii="Arial" w:hAnsi="Arial"/>
          <w:color w:val="000000"/>
          <w:sz w:val="21"/>
          <w:highlight w:val="none"/>
        </w:rPr>
        <w:t>“</w:t>
      </w:r>
      <w:r>
        <w:rPr>
          <w:rFonts w:ascii="Arial" w:hAnsi="Arial"/>
          <w:color w:val="000000"/>
          <w:sz w:val="21"/>
          <w:highlight w:val="none"/>
        </w:rPr>
        <w:t>政策持续优化、市场温和修复、结构分化加剧</w:t>
      </w:r>
      <w:r>
        <w:rPr>
          <w:rFonts w:hint="eastAsia" w:ascii="Arial" w:hAnsi="Arial"/>
          <w:color w:val="000000"/>
          <w:sz w:val="21"/>
          <w:highlight w:val="none"/>
        </w:rPr>
        <w:t>”</w:t>
      </w:r>
      <w:r>
        <w:rPr>
          <w:rFonts w:ascii="Arial" w:hAnsi="Arial"/>
          <w:color w:val="000000"/>
          <w:sz w:val="21"/>
          <w:highlight w:val="none"/>
        </w:rPr>
        <w:t>的总体趋势。政策层面，北京已实施五环外取消限购、优化公积金贷款等举措，未来限购政策仍有进一步放松空间，公积金支持力度有望继续加大（如推进“带押过户”等），以降低购房门槛、激活改善性需求。市场方面，短期内新房成交规模有望在供应放量及政策带动下温和回升，但受限于前期需求已部分释放及政策力度温和，反弹幅度有限。价格方面，核心区域优质改善项目仍将支撑整体均价结构性上涨，而近郊、远郊区域价格承压，市场分化持续。土地市场热度分化显著，核心地块竞争激烈，非核心区域多以底价成交，未来住房供应结构将进一步向</w:t>
      </w:r>
      <w:r>
        <w:rPr>
          <w:rFonts w:hint="eastAsia" w:ascii="Arial" w:hAnsi="Arial"/>
          <w:color w:val="000000"/>
          <w:sz w:val="21"/>
          <w:highlight w:val="none"/>
        </w:rPr>
        <w:t>“</w:t>
      </w:r>
      <w:r>
        <w:rPr>
          <w:rFonts w:ascii="Arial" w:hAnsi="Arial"/>
          <w:color w:val="000000"/>
          <w:sz w:val="21"/>
          <w:highlight w:val="none"/>
        </w:rPr>
        <w:t>好房子</w:t>
      </w:r>
      <w:r>
        <w:rPr>
          <w:rFonts w:hint="eastAsia" w:ascii="Arial" w:hAnsi="Arial"/>
          <w:color w:val="000000"/>
          <w:sz w:val="21"/>
          <w:highlight w:val="none"/>
        </w:rPr>
        <w:t>”</w:t>
      </w:r>
      <w:r>
        <w:rPr>
          <w:rFonts w:ascii="Arial" w:hAnsi="Arial"/>
          <w:color w:val="000000"/>
          <w:sz w:val="21"/>
          <w:highlight w:val="none"/>
        </w:rPr>
        <w:t>倾斜，中高面积段、中高总价产品占比提升，推动产品结构持续优化。整体来看，北京住宅市场正逐步进入</w:t>
      </w:r>
      <w:r>
        <w:rPr>
          <w:rFonts w:hint="eastAsia" w:ascii="Arial" w:hAnsi="Arial"/>
          <w:color w:val="000000"/>
          <w:sz w:val="21"/>
          <w:highlight w:val="none"/>
        </w:rPr>
        <w:t>“</w:t>
      </w:r>
      <w:r>
        <w:rPr>
          <w:rFonts w:ascii="Arial" w:hAnsi="Arial"/>
          <w:color w:val="000000"/>
          <w:sz w:val="21"/>
          <w:highlight w:val="none"/>
        </w:rPr>
        <w:t>量稳价稳、质升区异</w:t>
      </w:r>
      <w:r>
        <w:rPr>
          <w:rFonts w:hint="eastAsia" w:ascii="Arial" w:hAnsi="Arial"/>
          <w:color w:val="000000"/>
          <w:sz w:val="21"/>
          <w:highlight w:val="none"/>
        </w:rPr>
        <w:t>”</w:t>
      </w:r>
      <w:r>
        <w:rPr>
          <w:rFonts w:ascii="Arial" w:hAnsi="Arial"/>
          <w:color w:val="000000"/>
          <w:sz w:val="21"/>
          <w:highlight w:val="none"/>
        </w:rPr>
        <w:t>的新阶段</w:t>
      </w:r>
      <w:r>
        <w:rPr>
          <w:rFonts w:hint="eastAsia" w:ascii="Arial" w:hAnsi="Arial"/>
          <w:color w:val="000000"/>
          <w:sz w:val="21"/>
          <w:highlight w:val="none"/>
        </w:rPr>
        <w:t>。</w:t>
      </w:r>
    </w:p>
    <w:p w14:paraId="7055F373">
      <w:pPr>
        <w:spacing w:line="360" w:lineRule="auto"/>
        <w:rPr>
          <w:rFonts w:ascii="Arial" w:hAnsi="Arial"/>
          <w:b/>
          <w:kern w:val="2"/>
          <w:sz w:val="21"/>
          <w:szCs w:val="21"/>
          <w:highlight w:val="none"/>
        </w:rPr>
      </w:pPr>
      <w:r>
        <w:rPr>
          <w:rFonts w:ascii="Arial" w:hAnsi="Arial"/>
          <w:b/>
          <w:kern w:val="2"/>
          <w:sz w:val="21"/>
          <w:szCs w:val="21"/>
          <w:highlight w:val="none"/>
        </w:rPr>
        <w:t>（二）估价对象所在区域相应用途房地产市场状况</w:t>
      </w:r>
    </w:p>
    <w:p w14:paraId="2C698694">
      <w:pPr>
        <w:widowControl/>
        <w:overflowPunct w:val="0"/>
        <w:adjustRightInd/>
        <w:spacing w:line="480" w:lineRule="auto"/>
        <w:ind w:firstLine="420" w:firstLineChars="200"/>
        <w:jc w:val="both"/>
        <w:textAlignment w:val="auto"/>
        <w:rPr>
          <w:rFonts w:ascii="Arial" w:hAnsi="Arial"/>
          <w:sz w:val="21"/>
          <w:szCs w:val="28"/>
          <w:highlight w:val="none"/>
        </w:rPr>
      </w:pPr>
      <w:r>
        <w:rPr>
          <w:rFonts w:hint="eastAsia" w:ascii="Arial" w:hAnsi="Arial"/>
          <w:sz w:val="21"/>
          <w:szCs w:val="28"/>
          <w:highlight w:val="none"/>
        </w:rPr>
        <w:t>1.区域概况</w:t>
      </w:r>
    </w:p>
    <w:p w14:paraId="675CA2B8">
      <w:pPr>
        <w:snapToGrid w:val="0"/>
        <w:spacing w:line="480" w:lineRule="auto"/>
        <w:ind w:firstLine="420" w:firstLineChars="200"/>
        <w:jc w:val="both"/>
        <w:rPr>
          <w:rFonts w:ascii="Arial" w:hAnsi="Arial"/>
          <w:bCs/>
          <w:sz w:val="21"/>
          <w:szCs w:val="28"/>
          <w:highlight w:val="none"/>
        </w:rPr>
      </w:pPr>
      <w:r>
        <w:rPr>
          <w:rFonts w:hint="eastAsia" w:ascii="Arial" w:hAnsi="Arial"/>
          <w:bCs/>
          <w:sz w:val="21"/>
          <w:szCs w:val="28"/>
          <w:highlight w:val="none"/>
        </w:rPr>
        <w:t>估价对象位于北京市</w:t>
      </w:r>
      <w:r>
        <w:rPr>
          <w:rFonts w:ascii="Arial" w:hAnsi="Arial"/>
          <w:bCs/>
          <w:sz w:val="21"/>
          <w:szCs w:val="28"/>
          <w:highlight w:val="none"/>
        </w:rPr>
        <w:t>大兴区，大兴区位于北京市南部，全区南北长42.70km，东西宽45.00km，大兴区总面积1036.33平方公里，下辖黄村、西红门、旧宫、亦庄、瀛海、青云店等 14 个镇和清源、兴丰等8个街道办事处。大兴区东临通州区，南临河北省固安县、霸州市等，西与房山区隔永定河为邻，北接丰台区、朝阳区。</w:t>
      </w:r>
    </w:p>
    <w:p w14:paraId="0F6176B2">
      <w:pPr>
        <w:snapToGrid w:val="0"/>
        <w:spacing w:line="480" w:lineRule="auto"/>
        <w:ind w:firstLine="420" w:firstLineChars="200"/>
        <w:jc w:val="both"/>
        <w:rPr>
          <w:rFonts w:hint="eastAsia" w:ascii="Arial" w:hAnsi="Arial"/>
          <w:bCs/>
          <w:sz w:val="21"/>
          <w:szCs w:val="28"/>
          <w:highlight w:val="none"/>
        </w:rPr>
      </w:pPr>
      <w:r>
        <w:rPr>
          <w:rFonts w:ascii="Arial" w:hAnsi="Arial"/>
          <w:bCs/>
          <w:sz w:val="21"/>
          <w:szCs w:val="28"/>
          <w:highlight w:val="none"/>
        </w:rPr>
        <w:t>2024年地区生产总值1334.8亿元，同比增长5.2%，</w:t>
      </w:r>
      <w:r>
        <w:rPr>
          <w:rFonts w:hint="eastAsia" w:ascii="Arial" w:hAnsi="Arial"/>
          <w:bCs/>
          <w:sz w:val="21"/>
          <w:szCs w:val="28"/>
          <w:highlight w:val="none"/>
        </w:rPr>
        <w:t>其中第一产业实现增加值16.6亿元，比上年增长2.3%；第二产业实现增加值374.0亿元，比上年增长3.1%；第三产业实现增加值944.2亿元，比上年增长6.3%。</w:t>
      </w:r>
    </w:p>
    <w:p w14:paraId="2BF47EF8">
      <w:pPr>
        <w:snapToGrid w:val="0"/>
        <w:spacing w:line="480" w:lineRule="auto"/>
        <w:ind w:firstLine="420" w:firstLineChars="200"/>
        <w:jc w:val="both"/>
        <w:rPr>
          <w:rFonts w:hint="eastAsia" w:ascii="Arial" w:hAnsi="Arial"/>
          <w:bCs/>
          <w:sz w:val="21"/>
          <w:szCs w:val="28"/>
          <w:highlight w:val="none"/>
        </w:rPr>
      </w:pPr>
      <w:r>
        <w:rPr>
          <w:rFonts w:hint="eastAsia" w:ascii="Arial" w:hAnsi="Arial"/>
          <w:bCs/>
          <w:sz w:val="21"/>
          <w:szCs w:val="28"/>
          <w:highlight w:val="none"/>
        </w:rPr>
        <w:t>2024年，大兴区固定资产投资（不含农户）比上年下降13.4%，其中建筑安装工程投资比上年增长8.6%。分产业看，第二产业投资额比上年增长17.8%，占全区固定资产投资（不含农户）的比重为10.0%。其中制造业投资额比上年增长19.7%。第三产业投资额比上年下降15.9%,占全区固定资产投资（不含农户）的比重为89.9%。</w:t>
      </w:r>
    </w:p>
    <w:p w14:paraId="3B6BC3C0">
      <w:pPr>
        <w:snapToGrid w:val="0"/>
        <w:spacing w:line="480" w:lineRule="auto"/>
        <w:ind w:firstLine="420" w:firstLineChars="200"/>
        <w:jc w:val="both"/>
        <w:rPr>
          <w:rFonts w:hint="eastAsia" w:ascii="Arial" w:hAnsi="Arial" w:eastAsia="宋体"/>
          <w:bCs/>
          <w:sz w:val="21"/>
          <w:szCs w:val="28"/>
          <w:highlight w:val="none"/>
          <w:lang w:val="en-US" w:eastAsia="zh-CN"/>
        </w:rPr>
      </w:pPr>
      <w:r>
        <w:rPr>
          <w:rFonts w:hint="eastAsia" w:ascii="Arial" w:hAnsi="Arial"/>
          <w:bCs/>
          <w:sz w:val="21"/>
          <w:szCs w:val="28"/>
          <w:highlight w:val="none"/>
        </w:rPr>
        <w:t>2024年，大兴区居民人均可支配收入62204元，比上年增长4.4%。其中城镇居民人均可支配收入71870元，比上年增长3.6%；农村居民人均可支配收入40073元，比上年增长7.2%。从四项收入构成看，全区居民人均工资性收入45345元，比上年增长5.7%；人均财产净收入8676元，比上年下降0.6%；人均转移净收入6401元，比上年增长3.8%；人均经营净收入1782元，比上年增长1.3%。大兴区居民人均消费支出37540元，比上年增长2.5%。其中城镇居民人均消费支出41978元，比上年增长2.2%；农村居民人均消费支出27379元，比上年增长3.5%。消费支出中，居住支出11621元，比上年增长5.2%；食品烟酒支出9011元，比上年增长0.7%；交通和通信支出5193元，比上年下降1.7%。2025年10月，</w:t>
      </w:r>
      <w:r>
        <w:rPr>
          <w:rFonts w:hint="eastAsia" w:ascii="Arial" w:hAnsi="Arial"/>
          <w:bCs/>
          <w:sz w:val="21"/>
          <w:szCs w:val="28"/>
          <w:highlight w:val="none"/>
          <w:lang w:val="en-US" w:eastAsia="zh-CN"/>
        </w:rPr>
        <w:t>大兴区</w:t>
      </w:r>
      <w:r>
        <w:rPr>
          <w:rFonts w:hint="eastAsia" w:ascii="Arial" w:hAnsi="Arial"/>
          <w:bCs/>
          <w:sz w:val="21"/>
          <w:szCs w:val="28"/>
          <w:highlight w:val="none"/>
        </w:rPr>
        <w:t>获评全国法治政府建设示范市（县、区）</w:t>
      </w:r>
      <w:r>
        <w:rPr>
          <w:rFonts w:hint="eastAsia" w:ascii="Arial" w:hAnsi="Arial"/>
          <w:bCs/>
          <w:sz w:val="21"/>
          <w:szCs w:val="28"/>
          <w:highlight w:val="none"/>
          <w:lang w:eastAsia="zh-CN"/>
        </w:rPr>
        <w:t>。</w:t>
      </w:r>
    </w:p>
    <w:p w14:paraId="1EC1981C">
      <w:pPr>
        <w:spacing w:line="480" w:lineRule="auto"/>
        <w:ind w:firstLine="420" w:firstLineChars="200"/>
        <w:jc w:val="both"/>
        <w:rPr>
          <w:rFonts w:ascii="Arial" w:hAnsi="Arial"/>
          <w:sz w:val="21"/>
          <w:szCs w:val="28"/>
          <w:highlight w:val="none"/>
        </w:rPr>
      </w:pPr>
      <w:r>
        <w:rPr>
          <w:rFonts w:hint="eastAsia" w:ascii="Arial" w:hAnsi="Arial"/>
          <w:sz w:val="21"/>
          <w:szCs w:val="28"/>
          <w:highlight w:val="none"/>
          <w:lang w:val="en-US" w:eastAsia="zh-CN"/>
        </w:rPr>
        <w:t>2</w:t>
      </w:r>
      <w:r>
        <w:rPr>
          <w:rFonts w:hint="eastAsia" w:ascii="Arial" w:hAnsi="Arial"/>
          <w:sz w:val="21"/>
          <w:szCs w:val="28"/>
          <w:highlight w:val="none"/>
        </w:rPr>
        <w:t>.区域住宅用房房地产市场状况</w:t>
      </w:r>
    </w:p>
    <w:p w14:paraId="03F51FF9">
      <w:pPr>
        <w:spacing w:line="480" w:lineRule="auto"/>
        <w:ind w:firstLine="420" w:firstLineChars="200"/>
        <w:jc w:val="both"/>
        <w:rPr>
          <w:rFonts w:ascii="Arial" w:hAnsi="Arial"/>
          <w:sz w:val="21"/>
          <w:szCs w:val="28"/>
          <w:highlight w:val="none"/>
        </w:rPr>
      </w:pPr>
      <w:r>
        <w:rPr>
          <w:rFonts w:hint="eastAsia" w:ascii="Arial" w:hAnsi="Arial" w:cs="Arial"/>
          <w:kern w:val="2"/>
          <w:sz w:val="21"/>
          <w:szCs w:val="21"/>
          <w:highlight w:val="none"/>
        </w:rPr>
        <w:t>估价对象位于北京市大兴区，估价对象周边2公里内有兴创荣墅、住总兴创如遇、恒盛波尔多小镇、路劲御合院、阳光波尔多、北京城建宽院国誉府等，居住小区规模</w:t>
      </w:r>
      <w:r>
        <w:rPr>
          <w:rFonts w:hint="eastAsia" w:ascii="Arial" w:hAnsi="Arial" w:cs="Arial"/>
          <w:kern w:val="2"/>
          <w:sz w:val="21"/>
          <w:szCs w:val="21"/>
          <w:highlight w:val="none"/>
          <w:lang w:val="en-US" w:eastAsia="zh-CN"/>
        </w:rPr>
        <w:t>一般</w:t>
      </w:r>
      <w:r>
        <w:rPr>
          <w:rFonts w:hint="eastAsia" w:ascii="Arial" w:hAnsi="Arial" w:cs="Arial"/>
          <w:kern w:val="2"/>
          <w:sz w:val="21"/>
          <w:szCs w:val="21"/>
          <w:highlight w:val="none"/>
        </w:rPr>
        <w:t>，入住率</w:t>
      </w:r>
      <w:r>
        <w:rPr>
          <w:rFonts w:hint="eastAsia" w:ascii="Arial" w:hAnsi="Arial" w:cs="Arial"/>
          <w:kern w:val="2"/>
          <w:sz w:val="21"/>
          <w:szCs w:val="21"/>
          <w:highlight w:val="none"/>
          <w:lang w:val="en-US" w:eastAsia="zh-CN"/>
        </w:rPr>
        <w:t>一般</w:t>
      </w:r>
      <w:r>
        <w:rPr>
          <w:rFonts w:hint="eastAsia" w:ascii="Arial" w:hAnsi="Arial" w:cs="Arial"/>
          <w:kern w:val="2"/>
          <w:sz w:val="21"/>
          <w:szCs w:val="21"/>
          <w:highlight w:val="none"/>
        </w:rPr>
        <w:t>，综合评价居住区成熟度</w:t>
      </w:r>
      <w:r>
        <w:rPr>
          <w:rFonts w:hint="eastAsia" w:ascii="Arial" w:hAnsi="Arial" w:cs="Arial"/>
          <w:kern w:val="2"/>
          <w:sz w:val="21"/>
          <w:szCs w:val="21"/>
          <w:highlight w:val="none"/>
          <w:lang w:val="en-US" w:eastAsia="zh-CN"/>
        </w:rPr>
        <w:t>一般</w:t>
      </w:r>
      <w:r>
        <w:rPr>
          <w:rFonts w:hint="eastAsia" w:ascii="Arial" w:hAnsi="Arial" w:cs="Arial"/>
          <w:kern w:val="2"/>
          <w:sz w:val="21"/>
          <w:szCs w:val="21"/>
          <w:highlight w:val="none"/>
        </w:rPr>
        <w:t>。</w:t>
      </w:r>
      <w:r>
        <w:rPr>
          <w:rFonts w:hint="eastAsia" w:ascii="Arial" w:hAnsi="Arial"/>
          <w:sz w:val="21"/>
          <w:szCs w:val="28"/>
          <w:highlight w:val="none"/>
        </w:rPr>
        <w:t>据调查，估价对象周边同类型住宅租金约为</w:t>
      </w:r>
      <w:r>
        <w:rPr>
          <w:rFonts w:hint="eastAsia" w:ascii="Arial" w:hAnsi="Arial"/>
          <w:sz w:val="21"/>
          <w:szCs w:val="28"/>
          <w:highlight w:val="none"/>
          <w:lang w:val="en-US" w:eastAsia="zh-CN"/>
        </w:rPr>
        <w:t>15</w:t>
      </w:r>
      <w:r>
        <w:rPr>
          <w:rFonts w:hint="eastAsia" w:ascii="Arial" w:hAnsi="Arial"/>
          <w:sz w:val="21"/>
          <w:szCs w:val="28"/>
          <w:highlight w:val="none"/>
        </w:rPr>
        <w:t>-</w:t>
      </w:r>
      <w:r>
        <w:rPr>
          <w:rFonts w:hint="eastAsia" w:ascii="Arial" w:hAnsi="Arial"/>
          <w:sz w:val="21"/>
          <w:szCs w:val="28"/>
          <w:highlight w:val="none"/>
          <w:lang w:val="en-US" w:eastAsia="zh-CN"/>
        </w:rPr>
        <w:t>25</w:t>
      </w:r>
      <w:r>
        <w:rPr>
          <w:rFonts w:hint="eastAsia" w:ascii="Arial" w:hAnsi="Arial"/>
          <w:sz w:val="21"/>
          <w:szCs w:val="28"/>
          <w:highlight w:val="none"/>
        </w:rPr>
        <w:t>元/平方米·月。</w:t>
      </w:r>
    </w:p>
    <w:p w14:paraId="6DD856F7">
      <w:pPr>
        <w:spacing w:line="480" w:lineRule="auto"/>
        <w:ind w:firstLine="420" w:firstLineChars="200"/>
        <w:jc w:val="both"/>
        <w:rPr>
          <w:rFonts w:ascii="Arial" w:hAnsi="Arial"/>
          <w:sz w:val="21"/>
          <w:szCs w:val="28"/>
          <w:highlight w:val="none"/>
        </w:rPr>
      </w:pPr>
    </w:p>
    <w:p w14:paraId="1F8D34D3">
      <w:pPr>
        <w:pStyle w:val="3"/>
        <w:numPr>
          <w:ilvl w:val="0"/>
          <w:numId w:val="0"/>
        </w:numPr>
        <w:spacing w:line="480" w:lineRule="auto"/>
        <w:ind w:left="358" w:hanging="358" w:hangingChars="170"/>
        <w:jc w:val="both"/>
        <w:rPr>
          <w:rFonts w:eastAsia="宋体"/>
          <w:kern w:val="2"/>
          <w:sz w:val="21"/>
          <w:szCs w:val="21"/>
          <w:highlight w:val="none"/>
        </w:rPr>
      </w:pPr>
      <w:bookmarkStart w:id="65" w:name="_Toc155267105"/>
      <w:r>
        <w:rPr>
          <w:rFonts w:eastAsia="宋体"/>
          <w:kern w:val="2"/>
          <w:sz w:val="21"/>
          <w:szCs w:val="21"/>
          <w:highlight w:val="none"/>
        </w:rPr>
        <w:t>三、最高最佳利用分析</w:t>
      </w:r>
      <w:bookmarkEnd w:id="57"/>
      <w:bookmarkEnd w:id="65"/>
    </w:p>
    <w:p w14:paraId="07303622">
      <w:pPr>
        <w:pStyle w:val="60"/>
        <w:autoSpaceDE w:val="0"/>
        <w:autoSpaceDN w:val="0"/>
        <w:spacing w:line="480" w:lineRule="auto"/>
        <w:ind w:right="140" w:firstLine="420" w:firstLineChars="200"/>
        <w:jc w:val="both"/>
        <w:textAlignment w:val="bottom"/>
        <w:rPr>
          <w:rFonts w:ascii="Arial" w:hAnsi="Arial" w:cs="Arial"/>
          <w:sz w:val="21"/>
          <w:szCs w:val="21"/>
          <w:highlight w:val="none"/>
        </w:rPr>
      </w:pPr>
      <w:r>
        <w:rPr>
          <w:rFonts w:ascii="Arial" w:hAnsi="Arial" w:cs="Arial"/>
          <w:sz w:val="21"/>
          <w:szCs w:val="21"/>
          <w:highlight w:val="none"/>
        </w:rPr>
        <w:t>所谓最高最佳使用是指房地产估价要以房地产的最高最佳使用为前提。最高最佳使用是估价对象的一种最可能的使用</w:t>
      </w:r>
      <w:r>
        <w:rPr>
          <w:rFonts w:hint="eastAsia" w:ascii="Arial" w:hAnsi="Arial" w:cs="Arial"/>
          <w:sz w:val="21"/>
          <w:szCs w:val="21"/>
          <w:highlight w:val="none"/>
        </w:rPr>
        <w:t>,</w:t>
      </w:r>
      <w:r>
        <w:rPr>
          <w:rFonts w:ascii="Arial" w:hAnsi="Arial" w:cs="Arial"/>
          <w:sz w:val="21"/>
          <w:szCs w:val="21"/>
          <w:highlight w:val="none"/>
        </w:rPr>
        <w:t>这种最可能的使用是法律上允许、技术上可能、经济上可行，经过充分合理的论证，并能给估价对象带来最高价值的使用。它主要体现在以下几个方面</w:t>
      </w:r>
      <w:r>
        <w:rPr>
          <w:rFonts w:hint="eastAsia" w:ascii="Arial" w:hAnsi="Arial" w:cs="Arial"/>
          <w:sz w:val="21"/>
          <w:szCs w:val="21"/>
          <w:highlight w:val="none"/>
        </w:rPr>
        <w:t>:</w:t>
      </w:r>
    </w:p>
    <w:p w14:paraId="5F9961A9">
      <w:pPr>
        <w:pStyle w:val="60"/>
        <w:autoSpaceDE w:val="0"/>
        <w:autoSpaceDN w:val="0"/>
        <w:spacing w:line="480" w:lineRule="auto"/>
        <w:ind w:right="140"/>
        <w:jc w:val="both"/>
        <w:textAlignment w:val="bottom"/>
        <w:rPr>
          <w:rFonts w:ascii="Arial" w:hAnsi="Arial" w:cs="Arial"/>
          <w:b/>
          <w:sz w:val="21"/>
          <w:szCs w:val="21"/>
          <w:highlight w:val="none"/>
        </w:rPr>
      </w:pPr>
      <w:r>
        <w:rPr>
          <w:rFonts w:ascii="Arial" w:hAnsi="Arial" w:cs="Arial"/>
          <w:b/>
          <w:sz w:val="21"/>
          <w:szCs w:val="21"/>
          <w:highlight w:val="none"/>
        </w:rPr>
        <w:t>（一）法律上允许</w:t>
      </w:r>
    </w:p>
    <w:p w14:paraId="1A4469C9">
      <w:pPr>
        <w:pStyle w:val="60"/>
        <w:autoSpaceDE w:val="0"/>
        <w:autoSpaceDN w:val="0"/>
        <w:spacing w:line="480" w:lineRule="auto"/>
        <w:ind w:right="140" w:firstLine="420" w:firstLineChars="200"/>
        <w:jc w:val="both"/>
        <w:textAlignment w:val="bottom"/>
        <w:rPr>
          <w:rFonts w:ascii="Arial" w:hAnsi="Arial" w:cs="Arial"/>
          <w:sz w:val="21"/>
          <w:szCs w:val="21"/>
          <w:highlight w:val="none"/>
        </w:rPr>
      </w:pPr>
      <w:r>
        <w:rPr>
          <w:rFonts w:ascii="Arial" w:hAnsi="Arial" w:cs="Arial"/>
          <w:sz w:val="21"/>
          <w:szCs w:val="21"/>
          <w:highlight w:val="none"/>
        </w:rPr>
        <w:t>法律上允许即不受现时使用状况的限制，而依照法律规章、规划发展方向，按照其可能的最优用途进行估价。</w:t>
      </w:r>
    </w:p>
    <w:p w14:paraId="4D9B123F">
      <w:pPr>
        <w:pStyle w:val="60"/>
        <w:autoSpaceDE w:val="0"/>
        <w:autoSpaceDN w:val="0"/>
        <w:spacing w:line="480" w:lineRule="auto"/>
        <w:ind w:right="140" w:firstLine="420" w:firstLineChars="200"/>
        <w:jc w:val="both"/>
        <w:textAlignment w:val="bottom"/>
        <w:rPr>
          <w:rFonts w:ascii="Arial" w:hAnsi="Arial" w:cs="Arial"/>
          <w:sz w:val="21"/>
          <w:szCs w:val="21"/>
          <w:highlight w:val="none"/>
        </w:rPr>
      </w:pPr>
      <w:bookmarkStart w:id="66" w:name="_Hlk130232101"/>
      <w:r>
        <w:rPr>
          <w:rFonts w:hint="eastAsia" w:ascii="Arial" w:hAnsi="Arial" w:cs="Arial"/>
          <w:sz w:val="21"/>
          <w:szCs w:val="21"/>
          <w:highlight w:val="none"/>
        </w:rPr>
        <w:t>根据估价对象已取得</w:t>
      </w:r>
      <w:r>
        <w:rPr>
          <w:rFonts w:hint="eastAsia" w:ascii="Arial" w:hAnsi="Arial" w:cs="Arial"/>
          <w:sz w:val="21"/>
          <w:szCs w:val="21"/>
          <w:highlight w:val="none"/>
          <w:lang w:val="en-US" w:eastAsia="zh-CN"/>
        </w:rPr>
        <w:t>《国有土地使用证》[京兴国用（2010）出第00133、00134、00135号]、</w:t>
      </w:r>
      <w:r>
        <w:rPr>
          <w:rFonts w:hint="eastAsia" w:ascii="Arial" w:hAnsi="Arial" w:cs="Arial"/>
          <w:sz w:val="21"/>
          <w:szCs w:val="21"/>
          <w:highlight w:val="none"/>
          <w:lang w:eastAsia="zh-CN"/>
        </w:rPr>
        <w:t>《</w:t>
      </w:r>
      <w:r>
        <w:rPr>
          <w:rFonts w:hint="eastAsia" w:ascii="Arial" w:hAnsi="Arial" w:cs="Arial"/>
          <w:sz w:val="21"/>
          <w:szCs w:val="21"/>
          <w:highlight w:val="none"/>
          <w:lang w:val="en-US" w:eastAsia="zh-CN"/>
        </w:rPr>
        <w:t>北京市大兴区住房和城乡建设委员会 关于采育数字时尚小镇保障性住房使用管理有关问题的请示》[京兴建文（2025）123号]、《北京市大兴区住房和城乡建设委员会 关于采育数字时尚小镇保障性住房相关事宜专题会会议纪要》、</w:t>
      </w:r>
      <w:r>
        <w:rPr>
          <w:rFonts w:hint="eastAsia" w:ascii="Arial" w:hAnsi="Arial" w:cs="Arial"/>
          <w:sz w:val="21"/>
          <w:szCs w:val="21"/>
          <w:highlight w:val="none"/>
          <w:lang w:eastAsia="zh-CN"/>
        </w:rPr>
        <w:t>《</w:t>
      </w:r>
      <w:r>
        <w:rPr>
          <w:rFonts w:hint="eastAsia" w:ascii="Arial" w:hAnsi="Arial" w:cs="Arial"/>
          <w:sz w:val="21"/>
          <w:szCs w:val="21"/>
          <w:highlight w:val="none"/>
          <w:lang w:val="en-US" w:eastAsia="zh-CN"/>
        </w:rPr>
        <w:t>房屋所有权证书》[X京房权证兴字第144437、144436、144435、144444、1444440、144439、144442、144443、144449、144445、144447、194022号]</w:t>
      </w:r>
      <w:r>
        <w:rPr>
          <w:rFonts w:hint="eastAsia" w:ascii="Arial" w:hAnsi="Arial" w:cs="Arial"/>
          <w:kern w:val="2"/>
          <w:sz w:val="21"/>
          <w:szCs w:val="21"/>
          <w:highlight w:val="none"/>
        </w:rPr>
        <w:t>、</w:t>
      </w:r>
      <w:r>
        <w:rPr>
          <w:rFonts w:hint="eastAsia" w:ascii="Arial" w:hAnsi="Arial" w:cs="Arial"/>
          <w:sz w:val="21"/>
          <w:szCs w:val="21"/>
          <w:highlight w:val="none"/>
          <w:lang w:eastAsia="zh-CN"/>
        </w:rPr>
        <w:t>《</w:t>
      </w:r>
      <w:r>
        <w:rPr>
          <w:rFonts w:hint="eastAsia" w:ascii="Arial" w:hAnsi="Arial" w:cs="Arial"/>
          <w:sz w:val="21"/>
          <w:szCs w:val="21"/>
          <w:highlight w:val="none"/>
          <w:lang w:val="en-US" w:eastAsia="zh-CN"/>
        </w:rPr>
        <w:t>房屋所有权证书》[X京房权证兴字第100091、102139、102135、102136、102140、102137、102138、103831、102031、110683、110394、110393、110397、110396、110395、110392、110389号]、</w:t>
      </w:r>
      <w:r>
        <w:rPr>
          <w:rFonts w:hint="eastAsia" w:ascii="Arial" w:hAnsi="Arial" w:cs="Arial"/>
          <w:sz w:val="21"/>
          <w:szCs w:val="21"/>
          <w:highlight w:val="none"/>
          <w:lang w:eastAsia="zh-CN"/>
        </w:rPr>
        <w:t>《</w:t>
      </w:r>
      <w:r>
        <w:rPr>
          <w:rFonts w:hint="eastAsia" w:ascii="Arial" w:hAnsi="Arial" w:cs="Arial"/>
          <w:sz w:val="21"/>
          <w:szCs w:val="21"/>
          <w:highlight w:val="none"/>
          <w:lang w:val="en-US" w:eastAsia="zh-CN"/>
        </w:rPr>
        <w:t>房屋所有权证书》[X京房权证兴字第103107、103825号]、</w:t>
      </w:r>
      <w:r>
        <w:rPr>
          <w:rFonts w:hint="eastAsia" w:ascii="Arial" w:hAnsi="Arial" w:cs="Arial"/>
          <w:sz w:val="21"/>
          <w:szCs w:val="21"/>
          <w:highlight w:val="none"/>
          <w:lang w:eastAsia="zh-CN"/>
        </w:rPr>
        <w:t>《</w:t>
      </w:r>
      <w:r>
        <w:rPr>
          <w:rFonts w:hint="eastAsia" w:ascii="Arial" w:hAnsi="Arial" w:cs="Arial"/>
          <w:sz w:val="21"/>
          <w:szCs w:val="21"/>
          <w:highlight w:val="none"/>
          <w:lang w:val="en-US" w:eastAsia="zh-CN"/>
        </w:rPr>
        <w:t>房屋所有权证书》[X京房权证兴字第146943、146944、102030、100093、102028号]、《采育数字时尚小镇保障性住房趸组协议》及其附件</w:t>
      </w:r>
      <w:r>
        <w:rPr>
          <w:rFonts w:hint="eastAsia" w:ascii="Arial" w:hAnsi="Arial" w:cs="Arial"/>
          <w:sz w:val="21"/>
          <w:szCs w:val="21"/>
          <w:highlight w:val="none"/>
        </w:rPr>
        <w:t>，估价对象为</w:t>
      </w:r>
      <w:r>
        <w:rPr>
          <w:rFonts w:hint="eastAsia" w:ascii="Arial" w:hAnsi="Arial" w:cs="Arial"/>
          <w:sz w:val="21"/>
          <w:szCs w:val="21"/>
          <w:highlight w:val="none"/>
          <w:lang w:val="en-US" w:eastAsia="zh-CN"/>
        </w:rPr>
        <w:t>住宅用房</w:t>
      </w:r>
      <w:r>
        <w:rPr>
          <w:rFonts w:hint="eastAsia" w:ascii="Arial" w:hAnsi="Arial" w:cs="Arial"/>
          <w:sz w:val="21"/>
          <w:szCs w:val="21"/>
          <w:highlight w:val="none"/>
        </w:rPr>
        <w:t>，法律上允许。</w:t>
      </w:r>
      <w:bookmarkEnd w:id="66"/>
    </w:p>
    <w:p w14:paraId="5117C6A3">
      <w:pPr>
        <w:pStyle w:val="60"/>
        <w:autoSpaceDE w:val="0"/>
        <w:autoSpaceDN w:val="0"/>
        <w:spacing w:line="480" w:lineRule="auto"/>
        <w:ind w:right="142"/>
        <w:jc w:val="both"/>
        <w:textAlignment w:val="bottom"/>
        <w:rPr>
          <w:rFonts w:ascii="Arial" w:hAnsi="Arial" w:cs="Arial"/>
          <w:b/>
          <w:sz w:val="21"/>
          <w:szCs w:val="21"/>
          <w:highlight w:val="none"/>
        </w:rPr>
      </w:pPr>
      <w:r>
        <w:rPr>
          <w:rFonts w:ascii="Arial" w:hAnsi="Arial" w:cs="Arial"/>
          <w:b/>
          <w:sz w:val="21"/>
          <w:szCs w:val="21"/>
          <w:highlight w:val="none"/>
        </w:rPr>
        <w:t>（二）技术上可能</w:t>
      </w:r>
    </w:p>
    <w:p w14:paraId="182C4D8F">
      <w:pPr>
        <w:pStyle w:val="60"/>
        <w:autoSpaceDE w:val="0"/>
        <w:autoSpaceDN w:val="0"/>
        <w:spacing w:line="480" w:lineRule="auto"/>
        <w:ind w:right="142" w:firstLine="420" w:firstLineChars="200"/>
        <w:jc w:val="both"/>
        <w:textAlignment w:val="bottom"/>
        <w:rPr>
          <w:rFonts w:ascii="Arial" w:hAnsi="Arial" w:cs="Arial"/>
          <w:sz w:val="21"/>
          <w:szCs w:val="21"/>
          <w:highlight w:val="none"/>
        </w:rPr>
      </w:pPr>
      <w:r>
        <w:rPr>
          <w:rFonts w:hint="eastAsia" w:ascii="Arial" w:hAnsi="Arial" w:cs="Arial"/>
          <w:sz w:val="21"/>
          <w:szCs w:val="21"/>
          <w:highlight w:val="none"/>
        </w:rPr>
        <w:t>技术上可能</w:t>
      </w:r>
      <w:r>
        <w:rPr>
          <w:rFonts w:ascii="Arial" w:hAnsi="Arial" w:cs="Arial"/>
          <w:sz w:val="21"/>
          <w:szCs w:val="21"/>
          <w:highlight w:val="none"/>
        </w:rPr>
        <w:t>即不能把技术上无法做到的使用当作最高最佳使用，要按照房屋建筑工程方面的技术要求进行估价。</w:t>
      </w:r>
    </w:p>
    <w:p w14:paraId="76A82177">
      <w:pPr>
        <w:pStyle w:val="60"/>
        <w:autoSpaceDE w:val="0"/>
        <w:autoSpaceDN w:val="0"/>
        <w:spacing w:line="480" w:lineRule="auto"/>
        <w:ind w:right="142" w:firstLine="420" w:firstLineChars="200"/>
        <w:jc w:val="both"/>
        <w:textAlignment w:val="bottom"/>
        <w:rPr>
          <w:rFonts w:ascii="Arial" w:hAnsi="Arial" w:cs="Arial"/>
          <w:sz w:val="21"/>
          <w:szCs w:val="21"/>
          <w:highlight w:val="none"/>
        </w:rPr>
      </w:pPr>
      <w:r>
        <w:rPr>
          <w:rFonts w:hint="eastAsia" w:ascii="Arial" w:hAnsi="Arial" w:cs="Arial"/>
          <w:sz w:val="21"/>
          <w:szCs w:val="21"/>
          <w:highlight w:val="none"/>
        </w:rPr>
        <w:t>估价对象为</w:t>
      </w:r>
      <w:r>
        <w:rPr>
          <w:rFonts w:hint="eastAsia" w:ascii="Arial" w:hAnsi="Arial" w:cs="Arial"/>
          <w:kern w:val="2"/>
          <w:sz w:val="21"/>
          <w:szCs w:val="21"/>
          <w:highlight w:val="none"/>
        </w:rPr>
        <w:t>钢混</w:t>
      </w:r>
      <w:r>
        <w:rPr>
          <w:rFonts w:hint="eastAsia" w:ascii="Arial" w:hAnsi="Arial" w:cs="Arial"/>
          <w:sz w:val="21"/>
          <w:szCs w:val="21"/>
          <w:highlight w:val="none"/>
        </w:rPr>
        <w:t>结构的高层建筑物。</w:t>
      </w:r>
      <w:r>
        <w:rPr>
          <w:rFonts w:ascii="Arial" w:hAnsi="Arial" w:cs="Arial"/>
          <w:sz w:val="21"/>
          <w:szCs w:val="21"/>
          <w:highlight w:val="none"/>
        </w:rPr>
        <w:t>估价对象建筑结构、功能、造型、立面效果、建筑材料和设备选用、施工技术等方面，</w:t>
      </w:r>
      <w:r>
        <w:rPr>
          <w:rFonts w:hint="eastAsia" w:ascii="Arial" w:hAnsi="Arial" w:cs="Arial"/>
          <w:sz w:val="21"/>
          <w:szCs w:val="21"/>
          <w:highlight w:val="none"/>
        </w:rPr>
        <w:t>在目前的施工</w:t>
      </w:r>
      <w:r>
        <w:rPr>
          <w:rFonts w:ascii="Arial" w:hAnsi="Arial" w:cs="Arial"/>
          <w:sz w:val="21"/>
          <w:szCs w:val="21"/>
          <w:highlight w:val="none"/>
        </w:rPr>
        <w:t>技术上均能满足要求。</w:t>
      </w:r>
    </w:p>
    <w:p w14:paraId="2B18CD1D">
      <w:pPr>
        <w:pStyle w:val="60"/>
        <w:autoSpaceDE w:val="0"/>
        <w:autoSpaceDN w:val="0"/>
        <w:spacing w:line="480" w:lineRule="auto"/>
        <w:ind w:right="142"/>
        <w:jc w:val="both"/>
        <w:textAlignment w:val="bottom"/>
        <w:rPr>
          <w:rFonts w:ascii="Arial" w:hAnsi="Arial" w:cs="Arial"/>
          <w:b/>
          <w:sz w:val="21"/>
          <w:szCs w:val="21"/>
          <w:highlight w:val="none"/>
        </w:rPr>
      </w:pPr>
      <w:r>
        <w:rPr>
          <w:rFonts w:ascii="Arial" w:hAnsi="Arial" w:cs="Arial"/>
          <w:b/>
          <w:sz w:val="21"/>
          <w:szCs w:val="21"/>
          <w:highlight w:val="none"/>
        </w:rPr>
        <w:t>（三）经济上可行</w:t>
      </w:r>
    </w:p>
    <w:p w14:paraId="7181A72D">
      <w:pPr>
        <w:pStyle w:val="60"/>
        <w:autoSpaceDE w:val="0"/>
        <w:autoSpaceDN w:val="0"/>
        <w:spacing w:line="480" w:lineRule="auto"/>
        <w:ind w:right="142" w:firstLine="420" w:firstLineChars="200"/>
        <w:jc w:val="both"/>
        <w:textAlignment w:val="bottom"/>
        <w:rPr>
          <w:rFonts w:ascii="Arial" w:hAnsi="Arial" w:cs="Arial"/>
          <w:sz w:val="21"/>
          <w:szCs w:val="21"/>
          <w:highlight w:val="none"/>
        </w:rPr>
      </w:pPr>
      <w:r>
        <w:rPr>
          <w:rFonts w:hint="eastAsia" w:ascii="Arial" w:hAnsi="Arial" w:cs="Arial"/>
          <w:sz w:val="21"/>
          <w:szCs w:val="21"/>
          <w:highlight w:val="none"/>
        </w:rPr>
        <w:t>经济上可行</w:t>
      </w:r>
      <w:r>
        <w:rPr>
          <w:rFonts w:ascii="Arial" w:hAnsi="Arial" w:cs="Arial"/>
          <w:sz w:val="21"/>
          <w:szCs w:val="21"/>
          <w:highlight w:val="none"/>
        </w:rPr>
        <w:t>即估价结果应是各种可能的使用方式中，以经济上有限的投入而能获得最大的收益的使用方式的估价结果。估价对象目前用途、</w:t>
      </w:r>
      <w:r>
        <w:rPr>
          <w:rFonts w:hint="eastAsia" w:ascii="Arial" w:hAnsi="Arial" w:cs="Arial"/>
          <w:sz w:val="21"/>
          <w:szCs w:val="21"/>
          <w:highlight w:val="none"/>
        </w:rPr>
        <w:t>设定</w:t>
      </w:r>
      <w:r>
        <w:rPr>
          <w:rFonts w:ascii="Arial" w:hAnsi="Arial" w:cs="Arial"/>
          <w:sz w:val="21"/>
          <w:szCs w:val="21"/>
          <w:highlight w:val="none"/>
        </w:rPr>
        <w:t>产权合法、建造标准技术上能满足要求，并且其收入现值大于支出现值，具有经济可行性。</w:t>
      </w:r>
    </w:p>
    <w:p w14:paraId="15F75ACB">
      <w:pPr>
        <w:pStyle w:val="60"/>
        <w:autoSpaceDE w:val="0"/>
        <w:autoSpaceDN w:val="0"/>
        <w:spacing w:line="480" w:lineRule="auto"/>
        <w:ind w:right="140"/>
        <w:jc w:val="both"/>
        <w:textAlignment w:val="bottom"/>
        <w:rPr>
          <w:rFonts w:ascii="Arial" w:hAnsi="Arial" w:cs="Arial"/>
          <w:b/>
          <w:sz w:val="21"/>
          <w:szCs w:val="21"/>
          <w:highlight w:val="none"/>
        </w:rPr>
      </w:pPr>
      <w:r>
        <w:rPr>
          <w:rFonts w:ascii="Arial" w:hAnsi="Arial" w:cs="Arial"/>
          <w:b/>
          <w:sz w:val="21"/>
          <w:szCs w:val="21"/>
          <w:highlight w:val="none"/>
        </w:rPr>
        <w:t>（四）价值最大化</w:t>
      </w:r>
    </w:p>
    <w:p w14:paraId="4D62D185">
      <w:pPr>
        <w:pStyle w:val="60"/>
        <w:autoSpaceDE w:val="0"/>
        <w:autoSpaceDN w:val="0"/>
        <w:spacing w:line="480" w:lineRule="auto"/>
        <w:ind w:right="140" w:firstLine="420" w:firstLineChars="200"/>
        <w:jc w:val="both"/>
        <w:textAlignment w:val="bottom"/>
        <w:rPr>
          <w:rFonts w:ascii="Arial" w:hAnsi="Arial" w:cs="Arial"/>
          <w:sz w:val="21"/>
          <w:szCs w:val="21"/>
          <w:highlight w:val="none"/>
        </w:rPr>
      </w:pPr>
      <w:r>
        <w:rPr>
          <w:rFonts w:hint="eastAsia" w:ascii="Arial" w:hAnsi="Arial" w:cs="Arial"/>
          <w:sz w:val="21"/>
          <w:szCs w:val="21"/>
          <w:highlight w:val="none"/>
        </w:rPr>
        <w:t>价值最大化</w:t>
      </w:r>
      <w:r>
        <w:rPr>
          <w:rFonts w:ascii="Arial" w:hAnsi="Arial" w:cs="Arial"/>
          <w:sz w:val="21"/>
          <w:szCs w:val="21"/>
          <w:highlight w:val="none"/>
        </w:rPr>
        <w:t>即在所有具有经济可行性的使用方式中，能使估价对象价值达到最大的使用方式，才是最高最佳的使用方式。估价对象用途为</w:t>
      </w:r>
      <w:r>
        <w:rPr>
          <w:rFonts w:hint="eastAsia" w:ascii="Arial" w:hAnsi="Arial" w:cs="Arial"/>
          <w:kern w:val="2"/>
          <w:sz w:val="21"/>
          <w:szCs w:val="21"/>
          <w:highlight w:val="none"/>
        </w:rPr>
        <w:t>住宅</w:t>
      </w:r>
      <w:r>
        <w:rPr>
          <w:rFonts w:hint="eastAsia" w:ascii="Arial" w:hAnsi="Arial" w:cs="Arial"/>
          <w:sz w:val="21"/>
          <w:szCs w:val="21"/>
          <w:highlight w:val="none"/>
        </w:rPr>
        <w:t>，</w:t>
      </w:r>
      <w:r>
        <w:rPr>
          <w:rFonts w:ascii="Arial" w:hAnsi="Arial" w:cs="Arial"/>
          <w:sz w:val="21"/>
          <w:szCs w:val="21"/>
          <w:highlight w:val="none"/>
        </w:rPr>
        <w:t>其使用方式以满足法律上许可、技术上可能、经济上可行为前提条件，经过论证可使估价对象价值得到最大化。</w:t>
      </w:r>
    </w:p>
    <w:p w14:paraId="630CC8DC">
      <w:pPr>
        <w:pStyle w:val="60"/>
        <w:autoSpaceDE w:val="0"/>
        <w:autoSpaceDN w:val="0"/>
        <w:spacing w:line="480" w:lineRule="auto"/>
        <w:ind w:right="140"/>
        <w:jc w:val="both"/>
        <w:textAlignment w:val="bottom"/>
        <w:rPr>
          <w:rFonts w:ascii="Arial" w:hAnsi="Arial" w:cs="Arial"/>
          <w:b/>
          <w:sz w:val="21"/>
          <w:szCs w:val="21"/>
          <w:highlight w:val="none"/>
        </w:rPr>
      </w:pPr>
      <w:r>
        <w:rPr>
          <w:rFonts w:ascii="Arial" w:hAnsi="Arial" w:cs="Arial"/>
          <w:b/>
          <w:sz w:val="21"/>
          <w:szCs w:val="21"/>
          <w:highlight w:val="none"/>
        </w:rPr>
        <w:t>（五）使用前提说明与分析</w:t>
      </w:r>
    </w:p>
    <w:p w14:paraId="7C828F30">
      <w:pPr>
        <w:pStyle w:val="60"/>
        <w:autoSpaceDE w:val="0"/>
        <w:autoSpaceDN w:val="0"/>
        <w:spacing w:line="480" w:lineRule="auto"/>
        <w:ind w:right="140" w:firstLine="420" w:firstLineChars="200"/>
        <w:jc w:val="both"/>
        <w:textAlignment w:val="bottom"/>
        <w:rPr>
          <w:rFonts w:ascii="Arial" w:hAnsi="Arial" w:cs="Arial"/>
          <w:sz w:val="21"/>
          <w:szCs w:val="21"/>
          <w:highlight w:val="none"/>
        </w:rPr>
      </w:pPr>
      <w:r>
        <w:rPr>
          <w:rFonts w:ascii="Arial" w:hAnsi="Arial" w:cs="Arial"/>
          <w:sz w:val="21"/>
          <w:szCs w:val="21"/>
          <w:highlight w:val="none"/>
        </w:rPr>
        <w:t>估价对象</w:t>
      </w:r>
      <w:r>
        <w:rPr>
          <w:rFonts w:hint="eastAsia" w:ascii="Arial" w:hAnsi="Arial" w:cs="Arial"/>
          <w:sz w:val="21"/>
          <w:szCs w:val="21"/>
          <w:highlight w:val="none"/>
        </w:rPr>
        <w:t>设定</w:t>
      </w:r>
      <w:r>
        <w:rPr>
          <w:rFonts w:ascii="Arial" w:hAnsi="Arial" w:cs="Arial"/>
          <w:sz w:val="21"/>
          <w:szCs w:val="21"/>
          <w:highlight w:val="none"/>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37BC1A86">
      <w:pPr>
        <w:spacing w:line="480" w:lineRule="auto"/>
        <w:ind w:firstLine="420" w:firstLineChars="200"/>
        <w:jc w:val="both"/>
        <w:rPr>
          <w:rFonts w:ascii="Arial" w:hAnsi="Arial" w:cs="Arial"/>
          <w:sz w:val="21"/>
          <w:szCs w:val="21"/>
          <w:highlight w:val="none"/>
        </w:rPr>
      </w:pPr>
      <w:r>
        <w:rPr>
          <w:rFonts w:ascii="Arial" w:hAnsi="Arial" w:cs="Arial"/>
          <w:sz w:val="21"/>
          <w:szCs w:val="21"/>
          <w:highlight w:val="none"/>
        </w:rPr>
        <w:t>综上所述，我们认为估价对象用途</w:t>
      </w:r>
      <w:r>
        <w:rPr>
          <w:rFonts w:hint="eastAsia" w:ascii="Arial" w:hAnsi="Arial" w:cs="Arial"/>
          <w:sz w:val="21"/>
          <w:szCs w:val="21"/>
          <w:highlight w:val="none"/>
        </w:rPr>
        <w:t>为</w:t>
      </w:r>
      <w:r>
        <w:rPr>
          <w:rFonts w:hint="eastAsia" w:ascii="Arial" w:hAnsi="Arial" w:cs="Arial"/>
          <w:sz w:val="21"/>
          <w:szCs w:val="21"/>
          <w:highlight w:val="none"/>
          <w:lang w:val="en-US" w:eastAsia="zh-CN"/>
        </w:rPr>
        <w:t>住宅</w:t>
      </w:r>
      <w:r>
        <w:rPr>
          <w:rFonts w:ascii="Arial" w:hAnsi="Arial" w:cs="Arial"/>
          <w:sz w:val="21"/>
          <w:szCs w:val="21"/>
          <w:highlight w:val="none"/>
        </w:rPr>
        <w:t>为其最高最佳使用途径。</w:t>
      </w:r>
    </w:p>
    <w:p w14:paraId="46526AB5">
      <w:pPr>
        <w:spacing w:line="480" w:lineRule="auto"/>
        <w:ind w:firstLine="420" w:firstLineChars="200"/>
        <w:jc w:val="both"/>
        <w:rPr>
          <w:rFonts w:ascii="Arial" w:hAnsi="Arial" w:cs="Arial"/>
          <w:sz w:val="21"/>
          <w:szCs w:val="21"/>
          <w:highlight w:val="none"/>
        </w:rPr>
      </w:pPr>
    </w:p>
    <w:p w14:paraId="62D48E66">
      <w:pPr>
        <w:pStyle w:val="3"/>
        <w:numPr>
          <w:ilvl w:val="0"/>
          <w:numId w:val="9"/>
        </w:numPr>
        <w:spacing w:line="480" w:lineRule="auto"/>
        <w:jc w:val="both"/>
        <w:rPr>
          <w:rFonts w:eastAsia="宋体"/>
          <w:kern w:val="2"/>
          <w:sz w:val="21"/>
          <w:szCs w:val="21"/>
          <w:highlight w:val="none"/>
        </w:rPr>
      </w:pPr>
      <w:bookmarkStart w:id="67" w:name="_Toc155267106"/>
      <w:bookmarkStart w:id="68" w:name="_Toc525655439"/>
      <w:r>
        <w:rPr>
          <w:rFonts w:eastAsia="宋体"/>
          <w:kern w:val="2"/>
          <w:sz w:val="21"/>
          <w:szCs w:val="21"/>
          <w:highlight w:val="none"/>
        </w:rPr>
        <w:t>估价方法适用性分析</w:t>
      </w:r>
      <w:bookmarkEnd w:id="67"/>
      <w:bookmarkEnd w:id="68"/>
    </w:p>
    <w:p w14:paraId="0F67C76F">
      <w:pPr>
        <w:wordWrap w:val="0"/>
        <w:overflowPunct w:val="0"/>
        <w:spacing w:line="480" w:lineRule="auto"/>
        <w:ind w:firstLine="420" w:firstLineChars="200"/>
        <w:jc w:val="both"/>
        <w:textAlignment w:val="auto"/>
        <w:rPr>
          <w:rFonts w:ascii="Arial" w:hAnsi="Arial" w:cs="Arial"/>
          <w:bCs/>
          <w:spacing w:val="10"/>
          <w:sz w:val="21"/>
          <w:szCs w:val="21"/>
          <w:highlight w:val="none"/>
        </w:rPr>
      </w:pPr>
      <w:r>
        <w:rPr>
          <w:rFonts w:ascii="Arial" w:hAnsi="Arial" w:cs="Arial"/>
          <w:sz w:val="21"/>
          <w:szCs w:val="21"/>
          <w:highlight w:val="none"/>
        </w:rPr>
        <w:t>由于本次评估是</w:t>
      </w:r>
      <w:r>
        <w:rPr>
          <w:rFonts w:hint="eastAsia" w:ascii="Arial" w:hAnsi="Arial"/>
          <w:kern w:val="2"/>
          <w:sz w:val="21"/>
        </w:rPr>
        <w:t>为估价委托人了解估价对象房地产市场租金水平提供参考依据</w:t>
      </w:r>
      <w:r>
        <w:rPr>
          <w:rFonts w:ascii="Arial" w:hAnsi="Arial" w:cs="Arial"/>
          <w:sz w:val="21"/>
          <w:szCs w:val="21"/>
          <w:highlight w:val="none"/>
        </w:rPr>
        <w:t>，因此我们在认真分析研究估价对象的相关资料，并通过对邻近地区同类物业调查的基础上，根据《房地产估价规范》</w:t>
      </w:r>
      <w:r>
        <w:rPr>
          <w:rFonts w:hint="eastAsia" w:ascii="Arial" w:hAnsi="Arial" w:cs="Arial"/>
          <w:sz w:val="21"/>
          <w:szCs w:val="21"/>
          <w:highlight w:val="none"/>
        </w:rPr>
        <w:t>（</w:t>
      </w:r>
      <w:r>
        <w:rPr>
          <w:rFonts w:ascii="Arial" w:hAnsi="Arial" w:cs="Arial"/>
          <w:sz w:val="21"/>
          <w:szCs w:val="21"/>
          <w:highlight w:val="none"/>
        </w:rPr>
        <w:t>GB/T</w:t>
      </w:r>
      <w:r>
        <w:rPr>
          <w:rFonts w:hint="eastAsia" w:ascii="Arial" w:hAnsi="Arial" w:cs="Arial"/>
          <w:sz w:val="21"/>
          <w:szCs w:val="21"/>
          <w:highlight w:val="none"/>
        </w:rPr>
        <w:t xml:space="preserve"> </w:t>
      </w:r>
      <w:r>
        <w:rPr>
          <w:rFonts w:ascii="Arial" w:hAnsi="Arial" w:cs="Arial"/>
          <w:sz w:val="21"/>
          <w:szCs w:val="21"/>
          <w:highlight w:val="none"/>
        </w:rPr>
        <w:t>50291-2015</w:t>
      </w:r>
      <w:r>
        <w:rPr>
          <w:rFonts w:hint="eastAsia" w:ascii="Arial" w:hAnsi="Arial" w:cs="Arial"/>
          <w:sz w:val="21"/>
          <w:szCs w:val="21"/>
          <w:highlight w:val="none"/>
        </w:rPr>
        <w:t>）</w:t>
      </w:r>
      <w:r>
        <w:rPr>
          <w:rFonts w:ascii="Arial" w:hAnsi="Arial" w:cs="Arial"/>
          <w:sz w:val="21"/>
          <w:szCs w:val="21"/>
          <w:highlight w:val="none"/>
        </w:rPr>
        <w:t>的估价程序，选用</w:t>
      </w:r>
      <w:r>
        <w:rPr>
          <w:rFonts w:hint="eastAsia" w:ascii="Arial" w:hAnsi="Arial" w:cs="Arial"/>
          <w:sz w:val="21"/>
          <w:szCs w:val="21"/>
          <w:highlight w:val="none"/>
        </w:rPr>
        <w:t>比较法</w:t>
      </w:r>
      <w:r>
        <w:rPr>
          <w:rFonts w:ascii="Arial" w:hAnsi="Arial" w:cs="Arial"/>
          <w:sz w:val="21"/>
          <w:szCs w:val="21"/>
          <w:highlight w:val="none"/>
        </w:rPr>
        <w:t>为主方法进行估价</w:t>
      </w:r>
      <w:r>
        <w:rPr>
          <w:rFonts w:hint="eastAsia" w:ascii="Arial" w:hAnsi="Arial" w:cs="Arial"/>
          <w:sz w:val="21"/>
          <w:szCs w:val="21"/>
          <w:highlight w:val="none"/>
        </w:rPr>
        <w:t>，进而确定</w:t>
      </w:r>
      <w:r>
        <w:rPr>
          <w:rFonts w:hint="eastAsia" w:ascii="Arial" w:hAnsi="Arial"/>
          <w:sz w:val="21"/>
          <w:szCs w:val="21"/>
          <w:highlight w:val="none"/>
        </w:rPr>
        <w:t>估价对象</w:t>
      </w:r>
      <w:r>
        <w:rPr>
          <w:rFonts w:hint="eastAsia" w:ascii="Arial" w:hAnsi="Arial" w:cs="Arial"/>
          <w:sz w:val="21"/>
          <w:szCs w:val="21"/>
          <w:highlight w:val="none"/>
        </w:rPr>
        <w:t>市场租金价格水平</w:t>
      </w:r>
      <w:r>
        <w:rPr>
          <w:rFonts w:ascii="Arial" w:hAnsi="Arial" w:cs="Arial"/>
          <w:sz w:val="21"/>
          <w:szCs w:val="21"/>
          <w:highlight w:val="none"/>
        </w:rPr>
        <w:t>。</w:t>
      </w:r>
    </w:p>
    <w:p w14:paraId="1B5AA1C7">
      <w:pPr>
        <w:pStyle w:val="60"/>
        <w:autoSpaceDE w:val="0"/>
        <w:autoSpaceDN w:val="0"/>
        <w:spacing w:line="480" w:lineRule="auto"/>
        <w:ind w:right="140"/>
        <w:jc w:val="both"/>
        <w:textAlignment w:val="bottom"/>
        <w:rPr>
          <w:rFonts w:ascii="Arial" w:hAnsi="Arial" w:cs="Arial"/>
          <w:b/>
          <w:sz w:val="21"/>
          <w:szCs w:val="21"/>
          <w:highlight w:val="none"/>
        </w:rPr>
      </w:pPr>
      <w:r>
        <w:rPr>
          <w:rFonts w:ascii="Arial" w:hAnsi="Arial" w:cs="Arial"/>
          <w:b/>
          <w:sz w:val="21"/>
          <w:szCs w:val="21"/>
          <w:highlight w:val="none"/>
        </w:rPr>
        <w:t>（一）</w:t>
      </w:r>
      <w:r>
        <w:rPr>
          <w:rFonts w:hint="eastAsia" w:ascii="Arial" w:hAnsi="Arial" w:cs="Arial"/>
          <w:b/>
          <w:sz w:val="21"/>
          <w:szCs w:val="21"/>
          <w:highlight w:val="none"/>
        </w:rPr>
        <w:t>估价思路</w:t>
      </w:r>
      <w:r>
        <w:rPr>
          <w:rFonts w:ascii="Arial" w:hAnsi="Arial" w:cs="Arial"/>
          <w:b/>
          <w:sz w:val="21"/>
          <w:szCs w:val="21"/>
          <w:highlight w:val="none"/>
        </w:rPr>
        <w:t xml:space="preserve"> </w:t>
      </w:r>
    </w:p>
    <w:p w14:paraId="7EFD0876">
      <w:pPr>
        <w:pStyle w:val="60"/>
        <w:wordWrap w:val="0"/>
        <w:overflowPunct w:val="0"/>
        <w:autoSpaceDE w:val="0"/>
        <w:autoSpaceDN w:val="0"/>
        <w:spacing w:line="480" w:lineRule="auto"/>
        <w:ind w:right="140" w:firstLine="420" w:firstLineChars="200"/>
        <w:jc w:val="both"/>
        <w:textAlignment w:val="auto"/>
        <w:rPr>
          <w:rFonts w:ascii="Arial" w:hAnsi="Arial" w:cs="Arial"/>
          <w:sz w:val="21"/>
          <w:szCs w:val="21"/>
          <w:highlight w:val="none"/>
        </w:rPr>
      </w:pPr>
      <w:r>
        <w:rPr>
          <w:rFonts w:ascii="Arial" w:hAnsi="Arial" w:cs="Arial"/>
          <w:sz w:val="21"/>
          <w:szCs w:val="21"/>
          <w:highlight w:val="none"/>
        </w:rPr>
        <w:t>本次选用比较法对估价对象的市场租金水平进行测算，具体测算思路如下：</w:t>
      </w:r>
    </w:p>
    <w:p w14:paraId="4C3A8769">
      <w:pPr>
        <w:pStyle w:val="60"/>
        <w:wordWrap w:val="0"/>
        <w:overflowPunct w:val="0"/>
        <w:autoSpaceDE w:val="0"/>
        <w:autoSpaceDN w:val="0"/>
        <w:snapToGrid w:val="0"/>
        <w:spacing w:line="480" w:lineRule="auto"/>
        <w:ind w:firstLine="420" w:firstLineChars="200"/>
        <w:jc w:val="both"/>
        <w:textAlignment w:val="auto"/>
        <w:rPr>
          <w:rFonts w:ascii="Arial" w:hAnsi="Arial" w:cs="Arial"/>
          <w:sz w:val="21"/>
          <w:szCs w:val="21"/>
          <w:highlight w:val="none"/>
        </w:rPr>
      </w:pPr>
      <w:r>
        <w:rPr>
          <w:rFonts w:ascii="Arial" w:hAnsi="Arial" w:cs="Arial"/>
          <w:sz w:val="21"/>
          <w:szCs w:val="21"/>
          <w:highlight w:val="none"/>
        </w:rPr>
        <w:t>1.</w:t>
      </w:r>
      <w:r>
        <w:rPr>
          <w:rFonts w:hint="eastAsia" w:ascii="Arial" w:hAnsi="Arial" w:cs="Arial"/>
          <w:sz w:val="21"/>
          <w:szCs w:val="21"/>
          <w:highlight w:val="none"/>
        </w:rPr>
        <w:t>首先，根据估价委托人提供的</w:t>
      </w:r>
      <w:r>
        <w:rPr>
          <w:rFonts w:hint="eastAsia" w:ascii="Arial" w:hAnsi="Arial" w:cs="Arial"/>
          <w:kern w:val="2"/>
          <w:sz w:val="21"/>
          <w:highlight w:val="none"/>
        </w:rPr>
        <w:t>《</w:t>
      </w:r>
      <w:r>
        <w:rPr>
          <w:rFonts w:hint="eastAsia" w:ascii="Arial" w:hAnsi="Arial" w:cs="Arial"/>
          <w:kern w:val="2"/>
          <w:sz w:val="21"/>
          <w:szCs w:val="21"/>
          <w:highlight w:val="none"/>
        </w:rPr>
        <w:t>估价委托书</w:t>
      </w:r>
      <w:r>
        <w:rPr>
          <w:rFonts w:hint="eastAsia" w:ascii="Arial" w:hAnsi="Arial" w:cs="Arial"/>
          <w:kern w:val="2"/>
          <w:sz w:val="21"/>
          <w:highlight w:val="none"/>
        </w:rPr>
        <w:t>》</w:t>
      </w:r>
      <w:r>
        <w:rPr>
          <w:rFonts w:hint="eastAsia" w:ascii="Arial" w:hAnsi="Arial" w:cs="Arial"/>
          <w:kern w:val="2"/>
          <w:sz w:val="21"/>
          <w:highlight w:val="none"/>
          <w:lang w:eastAsia="zh-CN"/>
        </w:rPr>
        <w:t>、</w:t>
      </w:r>
      <w:r>
        <w:rPr>
          <w:rFonts w:hint="eastAsia" w:ascii="Arial" w:hAnsi="Arial" w:cs="Arial"/>
          <w:sz w:val="21"/>
          <w:szCs w:val="21"/>
          <w:highlight w:val="none"/>
          <w:lang w:val="en-US" w:eastAsia="zh-CN"/>
        </w:rPr>
        <w:t>《采育数字时尚小镇保障性住房趸组协议》及其附件</w:t>
      </w:r>
      <w:r>
        <w:rPr>
          <w:rFonts w:hint="eastAsia" w:ascii="Arial" w:hAnsi="Arial" w:cs="Arial"/>
          <w:sz w:val="21"/>
          <w:szCs w:val="21"/>
          <w:highlight w:val="none"/>
        </w:rPr>
        <w:t>，本次评估的标准房设定如下，标准房是指参照特定保障性租赁住房项目的建筑类型、结构、户型（含面积）、装饰装修、设施设备、家具家电、楼层、朝向等指标进行分类，分别设定的具有代表性的房屋。标准房设定时，其结构、装饰装修、设施设备、家具家电按照众数设定，楼层、朝向按保障性租赁住房项目中最优条件确定：</w:t>
      </w:r>
    </w:p>
    <w:tbl>
      <w:tblPr>
        <w:tblStyle w:val="33"/>
        <w:tblW w:w="94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1556"/>
        <w:gridCol w:w="1625"/>
        <w:gridCol w:w="1693"/>
        <w:gridCol w:w="1557"/>
        <w:gridCol w:w="1491"/>
        <w:gridCol w:w="1491"/>
      </w:tblGrid>
      <w:tr w14:paraId="59487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7C699A63">
            <w:pPr>
              <w:snapToGrid w:val="0"/>
              <w:spacing w:line="240" w:lineRule="exact"/>
              <w:jc w:val="center"/>
              <w:rPr>
                <w:rFonts w:ascii="Arial" w:hAnsi="Arial" w:eastAsia="华文细黑" w:cs="Arial"/>
                <w:sz w:val="18"/>
                <w:szCs w:val="18"/>
                <w:highlight w:val="none"/>
              </w:rPr>
            </w:pPr>
            <w:r>
              <w:rPr>
                <w:rFonts w:ascii="Arial" w:hAnsi="Arial" w:eastAsia="华文细黑" w:cs="Arial"/>
                <w:sz w:val="18"/>
                <w:szCs w:val="18"/>
                <w:highlight w:val="none"/>
              </w:rPr>
              <w:t>标准房</w:t>
            </w:r>
          </w:p>
        </w:tc>
        <w:tc>
          <w:tcPr>
            <w:tcW w:w="1625" w:type="dxa"/>
            <w:vAlign w:val="top"/>
          </w:tcPr>
          <w:p w14:paraId="7A54C099">
            <w:pPr>
              <w:snapToGrid w:val="0"/>
              <w:spacing w:line="240" w:lineRule="exact"/>
              <w:jc w:val="center"/>
              <w:rPr>
                <w:rFonts w:ascii="Arial" w:hAnsi="Arial" w:eastAsia="华文细黑" w:cs="Arial"/>
                <w:sz w:val="18"/>
                <w:szCs w:val="18"/>
                <w:highlight w:val="none"/>
              </w:rPr>
            </w:pPr>
            <w:r>
              <w:rPr>
                <w:rFonts w:ascii="Arial" w:hAnsi="Arial" w:eastAsia="华文细黑" w:cs="Arial"/>
                <w:sz w:val="18"/>
                <w:szCs w:val="18"/>
                <w:highlight w:val="none"/>
              </w:rPr>
              <w:t>户型</w:t>
            </w:r>
          </w:p>
        </w:tc>
        <w:tc>
          <w:tcPr>
            <w:tcW w:w="1693" w:type="dxa"/>
            <w:vAlign w:val="top"/>
          </w:tcPr>
          <w:p w14:paraId="206D9882">
            <w:pPr>
              <w:snapToGrid w:val="0"/>
              <w:spacing w:line="240" w:lineRule="exact"/>
              <w:jc w:val="center"/>
              <w:rPr>
                <w:rFonts w:ascii="Arial" w:hAnsi="Arial" w:eastAsia="华文细黑" w:cs="Arial"/>
                <w:sz w:val="18"/>
                <w:szCs w:val="18"/>
                <w:highlight w:val="none"/>
              </w:rPr>
            </w:pPr>
            <w:r>
              <w:rPr>
                <w:rFonts w:ascii="Arial" w:hAnsi="Arial" w:eastAsia="华文细黑" w:cs="Arial"/>
                <w:sz w:val="18"/>
                <w:szCs w:val="18"/>
                <w:highlight w:val="none"/>
              </w:rPr>
              <w:t>建筑面积（㎡）</w:t>
            </w:r>
          </w:p>
        </w:tc>
        <w:tc>
          <w:tcPr>
            <w:tcW w:w="1557" w:type="dxa"/>
            <w:vAlign w:val="top"/>
          </w:tcPr>
          <w:p w14:paraId="27806E7F">
            <w:pPr>
              <w:snapToGrid w:val="0"/>
              <w:spacing w:line="240" w:lineRule="exact"/>
              <w:jc w:val="center"/>
              <w:rPr>
                <w:rFonts w:ascii="Arial" w:hAnsi="Arial" w:eastAsia="华文细黑" w:cs="Arial"/>
                <w:sz w:val="18"/>
                <w:szCs w:val="18"/>
                <w:highlight w:val="none"/>
              </w:rPr>
            </w:pPr>
            <w:r>
              <w:rPr>
                <w:rFonts w:ascii="Arial" w:hAnsi="Arial" w:eastAsia="华文细黑" w:cs="Arial"/>
                <w:sz w:val="18"/>
                <w:szCs w:val="18"/>
                <w:highlight w:val="none"/>
              </w:rPr>
              <w:t>朝向</w:t>
            </w:r>
          </w:p>
        </w:tc>
        <w:tc>
          <w:tcPr>
            <w:tcW w:w="1491" w:type="dxa"/>
            <w:vAlign w:val="top"/>
          </w:tcPr>
          <w:p w14:paraId="051BCB9E">
            <w:pPr>
              <w:snapToGrid w:val="0"/>
              <w:spacing w:line="240" w:lineRule="exact"/>
              <w:jc w:val="center"/>
              <w:rPr>
                <w:rFonts w:ascii="Arial" w:hAnsi="Arial" w:eastAsia="华文细黑" w:cs="Arial"/>
                <w:sz w:val="18"/>
                <w:szCs w:val="18"/>
                <w:highlight w:val="none"/>
              </w:rPr>
            </w:pPr>
            <w:r>
              <w:rPr>
                <w:rFonts w:ascii="Arial" w:hAnsi="Arial" w:eastAsia="华文细黑" w:cs="Arial"/>
                <w:sz w:val="18"/>
                <w:szCs w:val="18"/>
                <w:highlight w:val="none"/>
              </w:rPr>
              <w:t>楼层</w:t>
            </w:r>
          </w:p>
        </w:tc>
        <w:tc>
          <w:tcPr>
            <w:tcW w:w="1491" w:type="dxa"/>
            <w:vAlign w:val="top"/>
          </w:tcPr>
          <w:p w14:paraId="165F18D5">
            <w:pPr>
              <w:snapToGrid w:val="0"/>
              <w:spacing w:line="240" w:lineRule="exact"/>
              <w:jc w:val="center"/>
              <w:rPr>
                <w:rFonts w:ascii="Arial" w:hAnsi="Arial" w:eastAsia="华文细黑" w:cs="Arial"/>
                <w:sz w:val="18"/>
                <w:szCs w:val="18"/>
                <w:highlight w:val="none"/>
              </w:rPr>
            </w:pPr>
            <w:r>
              <w:rPr>
                <w:rFonts w:ascii="Arial" w:hAnsi="Arial" w:eastAsia="华文细黑" w:cs="Arial"/>
                <w:sz w:val="18"/>
                <w:szCs w:val="18"/>
                <w:highlight w:val="none"/>
              </w:rPr>
              <w:t>装修</w:t>
            </w:r>
          </w:p>
        </w:tc>
      </w:tr>
      <w:tr w14:paraId="05866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4B521207">
            <w:pPr>
              <w:snapToGrid w:val="0"/>
              <w:spacing w:line="240" w:lineRule="exact"/>
              <w:jc w:val="center"/>
              <w:rPr>
                <w:rFonts w:ascii="Arial" w:hAnsi="Arial" w:eastAsia="华文细黑" w:cs="Arial"/>
                <w:sz w:val="18"/>
                <w:szCs w:val="18"/>
                <w:highlight w:val="none"/>
              </w:rPr>
            </w:pPr>
            <w:r>
              <w:rPr>
                <w:rFonts w:ascii="Arial" w:hAnsi="Arial" w:eastAsia="华文细黑" w:cs="Arial"/>
                <w:sz w:val="18"/>
                <w:szCs w:val="18"/>
                <w:highlight w:val="none"/>
              </w:rPr>
              <w:t>标准房1</w:t>
            </w:r>
          </w:p>
        </w:tc>
        <w:tc>
          <w:tcPr>
            <w:tcW w:w="1625" w:type="dxa"/>
            <w:vAlign w:val="top"/>
          </w:tcPr>
          <w:p w14:paraId="268A67EB">
            <w:pPr>
              <w:snapToGrid w:val="0"/>
              <w:spacing w:line="240" w:lineRule="exact"/>
              <w:jc w:val="center"/>
              <w:rPr>
                <w:rFonts w:ascii="Arial" w:hAnsi="Arial" w:eastAsia="华文细黑" w:cs="Arial"/>
                <w:sz w:val="18"/>
                <w:szCs w:val="18"/>
                <w:highlight w:val="none"/>
              </w:rPr>
            </w:pPr>
            <w:r>
              <w:rPr>
                <w:rFonts w:ascii="Arial" w:hAnsi="Arial" w:eastAsia="华文细黑" w:cs="Arial"/>
                <w:sz w:val="18"/>
                <w:szCs w:val="18"/>
                <w:highlight w:val="none"/>
              </w:rPr>
              <w:t>一居室</w:t>
            </w:r>
          </w:p>
        </w:tc>
        <w:tc>
          <w:tcPr>
            <w:tcW w:w="1693" w:type="dxa"/>
            <w:vAlign w:val="top"/>
          </w:tcPr>
          <w:p w14:paraId="26C15FE4">
            <w:pPr>
              <w:snapToGrid w:val="0"/>
              <w:spacing w:line="240" w:lineRule="exact"/>
              <w:jc w:val="center"/>
              <w:rPr>
                <w:rFonts w:ascii="Arial" w:hAnsi="Arial" w:eastAsia="华文细黑" w:cs="Arial"/>
                <w:sz w:val="18"/>
                <w:szCs w:val="18"/>
                <w:highlight w:val="none"/>
              </w:rPr>
            </w:pPr>
            <w:r>
              <w:rPr>
                <w:rFonts w:hint="eastAsia" w:ascii="Arial" w:hAnsi="Arial" w:eastAsia="华文细黑" w:cs="Arial"/>
                <w:sz w:val="18"/>
                <w:szCs w:val="18"/>
                <w:highlight w:val="none"/>
                <w:lang w:val="en-US" w:eastAsia="zh-CN"/>
              </w:rPr>
              <w:t>69.39</w:t>
            </w:r>
          </w:p>
        </w:tc>
        <w:tc>
          <w:tcPr>
            <w:tcW w:w="1557" w:type="dxa"/>
            <w:vAlign w:val="top"/>
          </w:tcPr>
          <w:p w14:paraId="6388662C">
            <w:pPr>
              <w:snapToGrid w:val="0"/>
              <w:spacing w:line="240" w:lineRule="exact"/>
              <w:jc w:val="center"/>
              <w:rPr>
                <w:rFonts w:ascii="Arial" w:hAnsi="Arial" w:eastAsia="华文细黑" w:cs="Arial"/>
                <w:sz w:val="18"/>
                <w:szCs w:val="18"/>
                <w:highlight w:val="none"/>
              </w:rPr>
            </w:pPr>
            <w:r>
              <w:rPr>
                <w:rFonts w:hint="eastAsia" w:ascii="Arial" w:hAnsi="Arial" w:eastAsia="华文细黑" w:cs="Arial"/>
                <w:sz w:val="18"/>
                <w:szCs w:val="18"/>
                <w:highlight w:val="none"/>
                <w:lang w:val="en-US" w:eastAsia="zh-CN"/>
              </w:rPr>
              <w:t>南北</w:t>
            </w:r>
          </w:p>
        </w:tc>
        <w:tc>
          <w:tcPr>
            <w:tcW w:w="1491" w:type="dxa"/>
            <w:vAlign w:val="top"/>
          </w:tcPr>
          <w:p w14:paraId="02C4969B">
            <w:pPr>
              <w:snapToGrid w:val="0"/>
              <w:spacing w:line="240" w:lineRule="exact"/>
              <w:jc w:val="center"/>
              <w:rPr>
                <w:rFonts w:ascii="Arial" w:hAnsi="Arial" w:eastAsia="华文细黑" w:cs="Arial"/>
                <w:sz w:val="18"/>
                <w:szCs w:val="18"/>
                <w:highlight w:val="none"/>
              </w:rPr>
            </w:pPr>
            <w:r>
              <w:rPr>
                <w:rFonts w:hint="eastAsia" w:ascii="华文细黑" w:hAnsi="华文细黑" w:eastAsia="华文细黑" w:cs="Arial"/>
                <w:sz w:val="18"/>
                <w:szCs w:val="18"/>
                <w:highlight w:val="none"/>
                <w:lang w:val="en-US" w:eastAsia="zh-CN"/>
              </w:rPr>
              <w:t>中</w:t>
            </w:r>
            <w:r>
              <w:rPr>
                <w:rFonts w:hint="eastAsia" w:ascii="华文细黑" w:hAnsi="华文细黑" w:eastAsia="华文细黑" w:cs="Arial"/>
                <w:sz w:val="18"/>
                <w:szCs w:val="18"/>
                <w:highlight w:val="none"/>
              </w:rPr>
              <w:t>楼层</w:t>
            </w:r>
          </w:p>
        </w:tc>
        <w:tc>
          <w:tcPr>
            <w:tcW w:w="1491" w:type="dxa"/>
            <w:vAlign w:val="top"/>
          </w:tcPr>
          <w:p w14:paraId="4AD26C02">
            <w:pPr>
              <w:snapToGrid w:val="0"/>
              <w:spacing w:line="240" w:lineRule="exact"/>
              <w:jc w:val="center"/>
              <w:rPr>
                <w:rFonts w:ascii="Arial" w:hAnsi="Arial" w:eastAsia="华文细黑" w:cs="Arial"/>
                <w:sz w:val="18"/>
                <w:szCs w:val="18"/>
                <w:highlight w:val="none"/>
              </w:rPr>
            </w:pPr>
            <w:r>
              <w:rPr>
                <w:rFonts w:hint="eastAsia" w:ascii="华文细黑" w:hAnsi="华文细黑" w:eastAsia="华文细黑" w:cs="Arial"/>
                <w:sz w:val="18"/>
                <w:szCs w:val="18"/>
                <w:highlight w:val="none"/>
              </w:rPr>
              <w:t>精装修</w:t>
            </w:r>
          </w:p>
        </w:tc>
      </w:tr>
      <w:tr w14:paraId="22418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1168E75E">
            <w:pPr>
              <w:snapToGrid w:val="0"/>
              <w:spacing w:line="240" w:lineRule="exact"/>
              <w:jc w:val="center"/>
              <w:rPr>
                <w:rFonts w:ascii="Arial" w:hAnsi="Arial" w:eastAsia="华文细黑" w:cs="Arial"/>
                <w:sz w:val="18"/>
                <w:szCs w:val="18"/>
                <w:highlight w:val="none"/>
              </w:rPr>
            </w:pPr>
            <w:r>
              <w:rPr>
                <w:rFonts w:ascii="Arial" w:hAnsi="Arial" w:eastAsia="华文细黑" w:cs="Arial"/>
                <w:sz w:val="18"/>
                <w:szCs w:val="18"/>
                <w:highlight w:val="none"/>
              </w:rPr>
              <w:t>标准房2</w:t>
            </w:r>
          </w:p>
        </w:tc>
        <w:tc>
          <w:tcPr>
            <w:tcW w:w="1625" w:type="dxa"/>
            <w:vAlign w:val="top"/>
          </w:tcPr>
          <w:p w14:paraId="0080C76F">
            <w:pPr>
              <w:snapToGrid w:val="0"/>
              <w:spacing w:line="240" w:lineRule="exact"/>
              <w:jc w:val="center"/>
              <w:rPr>
                <w:rFonts w:ascii="Arial" w:hAnsi="Arial" w:eastAsia="华文细黑" w:cs="Arial"/>
                <w:sz w:val="18"/>
                <w:szCs w:val="18"/>
                <w:highlight w:val="none"/>
              </w:rPr>
            </w:pPr>
            <w:r>
              <w:rPr>
                <w:rFonts w:ascii="Arial" w:hAnsi="Arial" w:eastAsia="华文细黑" w:cs="Arial"/>
                <w:sz w:val="18"/>
                <w:szCs w:val="18"/>
                <w:highlight w:val="none"/>
              </w:rPr>
              <w:t>两两居</w:t>
            </w:r>
          </w:p>
        </w:tc>
        <w:tc>
          <w:tcPr>
            <w:tcW w:w="1693" w:type="dxa"/>
            <w:vAlign w:val="top"/>
          </w:tcPr>
          <w:p w14:paraId="676FAF55">
            <w:pPr>
              <w:snapToGrid w:val="0"/>
              <w:spacing w:line="240" w:lineRule="exact"/>
              <w:jc w:val="center"/>
              <w:rPr>
                <w:rFonts w:ascii="Arial" w:hAnsi="Arial" w:eastAsia="华文细黑" w:cs="Arial"/>
                <w:sz w:val="18"/>
                <w:szCs w:val="18"/>
                <w:highlight w:val="none"/>
              </w:rPr>
            </w:pPr>
            <w:r>
              <w:rPr>
                <w:rFonts w:hint="eastAsia" w:ascii="Arial" w:hAnsi="Arial" w:eastAsia="华文细黑" w:cs="Arial"/>
                <w:sz w:val="18"/>
                <w:szCs w:val="18"/>
                <w:highlight w:val="none"/>
                <w:lang w:val="en-US" w:eastAsia="zh-CN"/>
              </w:rPr>
              <w:t>87.36</w:t>
            </w:r>
          </w:p>
        </w:tc>
        <w:tc>
          <w:tcPr>
            <w:tcW w:w="1557" w:type="dxa"/>
            <w:vAlign w:val="top"/>
          </w:tcPr>
          <w:p w14:paraId="42A6510E">
            <w:pPr>
              <w:snapToGrid w:val="0"/>
              <w:spacing w:line="240" w:lineRule="exact"/>
              <w:jc w:val="center"/>
              <w:rPr>
                <w:rFonts w:ascii="Arial" w:hAnsi="Arial" w:eastAsia="华文细黑" w:cs="Arial"/>
                <w:sz w:val="18"/>
                <w:szCs w:val="18"/>
                <w:highlight w:val="none"/>
              </w:rPr>
            </w:pPr>
            <w:r>
              <w:rPr>
                <w:rFonts w:hint="eastAsia" w:ascii="Arial" w:hAnsi="Arial" w:eastAsia="华文细黑" w:cs="Arial"/>
                <w:sz w:val="18"/>
                <w:szCs w:val="18"/>
                <w:highlight w:val="none"/>
                <w:lang w:val="en-US" w:eastAsia="zh-CN"/>
              </w:rPr>
              <w:t>南北</w:t>
            </w:r>
          </w:p>
        </w:tc>
        <w:tc>
          <w:tcPr>
            <w:tcW w:w="1491" w:type="dxa"/>
            <w:vAlign w:val="top"/>
          </w:tcPr>
          <w:p w14:paraId="01807116">
            <w:pPr>
              <w:snapToGrid w:val="0"/>
              <w:spacing w:line="240" w:lineRule="exact"/>
              <w:jc w:val="center"/>
              <w:rPr>
                <w:rFonts w:ascii="Arial" w:hAnsi="Arial" w:eastAsia="华文细黑" w:cs="Arial"/>
                <w:sz w:val="18"/>
                <w:szCs w:val="18"/>
                <w:highlight w:val="none"/>
              </w:rPr>
            </w:pPr>
            <w:r>
              <w:rPr>
                <w:rFonts w:hint="eastAsia" w:ascii="华文细黑" w:hAnsi="华文细黑" w:eastAsia="华文细黑" w:cs="Arial"/>
                <w:sz w:val="18"/>
                <w:szCs w:val="18"/>
                <w:highlight w:val="none"/>
                <w:lang w:val="en-US" w:eastAsia="zh-CN"/>
              </w:rPr>
              <w:t>中</w:t>
            </w:r>
            <w:r>
              <w:rPr>
                <w:rFonts w:hint="eastAsia" w:ascii="华文细黑" w:hAnsi="华文细黑" w:eastAsia="华文细黑" w:cs="Arial"/>
                <w:sz w:val="18"/>
                <w:szCs w:val="18"/>
                <w:highlight w:val="none"/>
              </w:rPr>
              <w:t>楼层</w:t>
            </w:r>
          </w:p>
        </w:tc>
        <w:tc>
          <w:tcPr>
            <w:tcW w:w="1491" w:type="dxa"/>
            <w:vAlign w:val="top"/>
          </w:tcPr>
          <w:p w14:paraId="377F1B28">
            <w:pPr>
              <w:snapToGrid w:val="0"/>
              <w:spacing w:line="240" w:lineRule="exact"/>
              <w:jc w:val="center"/>
              <w:rPr>
                <w:rFonts w:ascii="Arial" w:hAnsi="Arial" w:eastAsia="华文细黑" w:cs="Arial"/>
                <w:sz w:val="18"/>
                <w:szCs w:val="18"/>
                <w:highlight w:val="none"/>
              </w:rPr>
            </w:pPr>
            <w:r>
              <w:rPr>
                <w:rFonts w:hint="eastAsia" w:ascii="华文细黑" w:hAnsi="华文细黑" w:eastAsia="华文细黑" w:cs="Arial"/>
                <w:sz w:val="18"/>
                <w:szCs w:val="18"/>
                <w:highlight w:val="none"/>
              </w:rPr>
              <w:t>精装修</w:t>
            </w:r>
          </w:p>
        </w:tc>
      </w:tr>
      <w:tr w14:paraId="1BB5A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483B0D20">
            <w:pPr>
              <w:snapToGrid w:val="0"/>
              <w:spacing w:line="240" w:lineRule="exact"/>
              <w:jc w:val="center"/>
              <w:rPr>
                <w:rFonts w:ascii="Arial" w:hAnsi="Arial" w:eastAsia="华文细黑" w:cs="Arial"/>
                <w:sz w:val="18"/>
                <w:szCs w:val="18"/>
                <w:highlight w:val="none"/>
              </w:rPr>
            </w:pPr>
            <w:r>
              <w:rPr>
                <w:rFonts w:ascii="Arial" w:hAnsi="Arial" w:eastAsia="华文细黑" w:cs="Arial"/>
                <w:sz w:val="18"/>
                <w:szCs w:val="18"/>
                <w:highlight w:val="none"/>
              </w:rPr>
              <w:t>标准房3</w:t>
            </w:r>
          </w:p>
        </w:tc>
        <w:tc>
          <w:tcPr>
            <w:tcW w:w="1625" w:type="dxa"/>
            <w:vAlign w:val="top"/>
          </w:tcPr>
          <w:p w14:paraId="1C736DE7">
            <w:pPr>
              <w:snapToGrid w:val="0"/>
              <w:spacing w:line="240" w:lineRule="exact"/>
              <w:jc w:val="center"/>
              <w:rPr>
                <w:rFonts w:ascii="Arial" w:hAnsi="Arial" w:eastAsia="华文细黑" w:cs="Arial"/>
                <w:sz w:val="18"/>
                <w:szCs w:val="18"/>
                <w:highlight w:val="none"/>
              </w:rPr>
            </w:pPr>
            <w:r>
              <w:rPr>
                <w:rFonts w:hint="eastAsia" w:ascii="Arial" w:hAnsi="Arial" w:eastAsia="华文细黑" w:cs="Arial"/>
                <w:sz w:val="18"/>
                <w:szCs w:val="18"/>
                <w:highlight w:val="none"/>
                <w:lang w:val="en-US" w:eastAsia="zh-CN"/>
              </w:rPr>
              <w:t>三</w:t>
            </w:r>
            <w:r>
              <w:rPr>
                <w:rFonts w:ascii="Arial" w:hAnsi="Arial" w:eastAsia="华文细黑" w:cs="Arial"/>
                <w:sz w:val="18"/>
                <w:szCs w:val="18"/>
                <w:highlight w:val="none"/>
              </w:rPr>
              <w:t>居室</w:t>
            </w:r>
          </w:p>
        </w:tc>
        <w:tc>
          <w:tcPr>
            <w:tcW w:w="1693" w:type="dxa"/>
            <w:vAlign w:val="top"/>
          </w:tcPr>
          <w:p w14:paraId="134BF244">
            <w:pPr>
              <w:snapToGrid w:val="0"/>
              <w:spacing w:line="240" w:lineRule="exact"/>
              <w:jc w:val="center"/>
              <w:rPr>
                <w:rFonts w:ascii="Arial" w:hAnsi="Arial" w:eastAsia="华文细黑" w:cs="Arial"/>
                <w:sz w:val="18"/>
                <w:szCs w:val="18"/>
                <w:highlight w:val="none"/>
              </w:rPr>
            </w:pPr>
            <w:r>
              <w:rPr>
                <w:rFonts w:hint="eastAsia" w:ascii="Arial" w:hAnsi="Arial" w:eastAsia="华文细黑" w:cs="Arial"/>
                <w:sz w:val="18"/>
                <w:szCs w:val="18"/>
                <w:highlight w:val="none"/>
                <w:lang w:val="en-US" w:eastAsia="zh-CN"/>
              </w:rPr>
              <w:t>128.85</w:t>
            </w:r>
          </w:p>
        </w:tc>
        <w:tc>
          <w:tcPr>
            <w:tcW w:w="1557" w:type="dxa"/>
            <w:vAlign w:val="top"/>
          </w:tcPr>
          <w:p w14:paraId="6399C8C8">
            <w:pPr>
              <w:snapToGrid w:val="0"/>
              <w:spacing w:line="240" w:lineRule="exact"/>
              <w:jc w:val="center"/>
              <w:rPr>
                <w:rFonts w:ascii="Arial" w:hAnsi="Arial" w:eastAsia="华文细黑" w:cs="Arial"/>
                <w:sz w:val="18"/>
                <w:szCs w:val="18"/>
                <w:highlight w:val="none"/>
              </w:rPr>
            </w:pPr>
            <w:r>
              <w:rPr>
                <w:rFonts w:hint="eastAsia" w:ascii="Arial" w:hAnsi="Arial" w:eastAsia="华文细黑" w:cs="Arial"/>
                <w:sz w:val="18"/>
                <w:szCs w:val="18"/>
                <w:highlight w:val="none"/>
                <w:lang w:val="en-US" w:eastAsia="zh-CN"/>
              </w:rPr>
              <w:t>南北</w:t>
            </w:r>
          </w:p>
        </w:tc>
        <w:tc>
          <w:tcPr>
            <w:tcW w:w="1491" w:type="dxa"/>
            <w:vAlign w:val="top"/>
          </w:tcPr>
          <w:p w14:paraId="1DB895B2">
            <w:pPr>
              <w:snapToGrid w:val="0"/>
              <w:spacing w:line="240" w:lineRule="exact"/>
              <w:jc w:val="center"/>
              <w:rPr>
                <w:rFonts w:ascii="Arial" w:hAnsi="Arial" w:eastAsia="华文细黑" w:cs="Arial"/>
                <w:sz w:val="18"/>
                <w:szCs w:val="18"/>
                <w:highlight w:val="none"/>
              </w:rPr>
            </w:pPr>
            <w:r>
              <w:rPr>
                <w:rFonts w:hint="eastAsia" w:ascii="华文细黑" w:hAnsi="华文细黑" w:eastAsia="华文细黑" w:cs="Arial"/>
                <w:sz w:val="18"/>
                <w:szCs w:val="18"/>
                <w:highlight w:val="none"/>
                <w:lang w:val="en-US" w:eastAsia="zh-CN"/>
              </w:rPr>
              <w:t>中</w:t>
            </w:r>
            <w:r>
              <w:rPr>
                <w:rFonts w:hint="eastAsia" w:ascii="华文细黑" w:hAnsi="华文细黑" w:eastAsia="华文细黑" w:cs="Arial"/>
                <w:sz w:val="18"/>
                <w:szCs w:val="18"/>
                <w:highlight w:val="none"/>
              </w:rPr>
              <w:t>楼层</w:t>
            </w:r>
          </w:p>
        </w:tc>
        <w:tc>
          <w:tcPr>
            <w:tcW w:w="1491" w:type="dxa"/>
            <w:vAlign w:val="top"/>
          </w:tcPr>
          <w:p w14:paraId="4D539CDD">
            <w:pPr>
              <w:snapToGrid w:val="0"/>
              <w:spacing w:line="240" w:lineRule="exact"/>
              <w:jc w:val="center"/>
              <w:rPr>
                <w:rFonts w:ascii="Arial" w:hAnsi="Arial" w:eastAsia="华文细黑" w:cs="Arial"/>
                <w:sz w:val="18"/>
                <w:szCs w:val="18"/>
                <w:highlight w:val="none"/>
              </w:rPr>
            </w:pPr>
            <w:r>
              <w:rPr>
                <w:rFonts w:hint="eastAsia" w:ascii="华文细黑" w:hAnsi="华文细黑" w:eastAsia="华文细黑" w:cs="Arial"/>
                <w:sz w:val="18"/>
                <w:szCs w:val="18"/>
                <w:highlight w:val="none"/>
              </w:rPr>
              <w:t>精装修</w:t>
            </w:r>
          </w:p>
        </w:tc>
      </w:tr>
    </w:tbl>
    <w:p w14:paraId="225D91B0">
      <w:pPr>
        <w:pStyle w:val="60"/>
        <w:wordWrap w:val="0"/>
        <w:overflowPunct w:val="0"/>
        <w:autoSpaceDE w:val="0"/>
        <w:autoSpaceDN w:val="0"/>
        <w:spacing w:before="120" w:beforeLines="50" w:line="480" w:lineRule="auto"/>
        <w:ind w:firstLine="420" w:firstLineChars="200"/>
        <w:jc w:val="both"/>
        <w:textAlignment w:val="auto"/>
        <w:rPr>
          <w:rFonts w:ascii="Arial" w:hAnsi="Arial" w:cs="Arial"/>
          <w:sz w:val="21"/>
          <w:szCs w:val="21"/>
          <w:highlight w:val="none"/>
        </w:rPr>
      </w:pPr>
      <w:r>
        <w:rPr>
          <w:rFonts w:ascii="Arial" w:hAnsi="Arial" w:cs="Arial"/>
          <w:sz w:val="21"/>
          <w:szCs w:val="21"/>
          <w:highlight w:val="none"/>
        </w:rPr>
        <w:t>2.在估价对象周边区域选取适当数量</w:t>
      </w:r>
      <w:r>
        <w:rPr>
          <w:rFonts w:hint="eastAsia" w:ascii="Arial" w:hAnsi="Arial" w:cs="Arial"/>
          <w:sz w:val="21"/>
          <w:szCs w:val="21"/>
          <w:highlight w:val="none"/>
        </w:rPr>
        <w:t>住宅项目</w:t>
      </w:r>
      <w:r>
        <w:rPr>
          <w:rFonts w:ascii="Arial" w:hAnsi="Arial" w:cs="Arial"/>
          <w:sz w:val="21"/>
          <w:szCs w:val="21"/>
          <w:highlight w:val="none"/>
        </w:rPr>
        <w:t>，结合估价机构市场调查，选取可比小区。</w:t>
      </w:r>
    </w:p>
    <w:p w14:paraId="7AAACC53">
      <w:pPr>
        <w:pStyle w:val="60"/>
        <w:wordWrap w:val="0"/>
        <w:overflowPunct w:val="0"/>
        <w:autoSpaceDE w:val="0"/>
        <w:autoSpaceDN w:val="0"/>
        <w:spacing w:line="480" w:lineRule="auto"/>
        <w:ind w:firstLine="420" w:firstLineChars="200"/>
        <w:jc w:val="both"/>
        <w:textAlignment w:val="auto"/>
        <w:rPr>
          <w:rFonts w:ascii="Arial" w:hAnsi="Arial" w:cs="Arial"/>
          <w:sz w:val="21"/>
          <w:szCs w:val="21"/>
          <w:highlight w:val="none"/>
        </w:rPr>
      </w:pPr>
      <w:r>
        <w:rPr>
          <w:rFonts w:ascii="Arial" w:hAnsi="Arial" w:cs="Arial"/>
          <w:sz w:val="21"/>
          <w:szCs w:val="21"/>
          <w:highlight w:val="none"/>
        </w:rPr>
        <w:t>3.将所选可比小区与评估对象标准房进行比较，进行区位状况调整和实物状况调整，计算各可比实例比准租金，得到</w:t>
      </w:r>
      <w:r>
        <w:rPr>
          <w:rFonts w:hint="eastAsia" w:ascii="Arial" w:hAnsi="Arial" w:cs="Arial"/>
          <w:sz w:val="21"/>
          <w:szCs w:val="21"/>
          <w:highlight w:val="none"/>
        </w:rPr>
        <w:t>估价对象标准房</w:t>
      </w:r>
      <w:r>
        <w:rPr>
          <w:rFonts w:ascii="Arial" w:hAnsi="Arial" w:cs="Arial"/>
          <w:sz w:val="21"/>
          <w:szCs w:val="21"/>
          <w:highlight w:val="none"/>
        </w:rPr>
        <w:t>租金水平</w:t>
      </w:r>
      <w:r>
        <w:rPr>
          <w:rFonts w:hint="eastAsia" w:ascii="Arial" w:hAnsi="Arial" w:cs="Arial"/>
          <w:sz w:val="21"/>
          <w:szCs w:val="21"/>
          <w:highlight w:val="none"/>
        </w:rPr>
        <w:t>。</w:t>
      </w:r>
    </w:p>
    <w:p w14:paraId="056D7F9F">
      <w:pPr>
        <w:pStyle w:val="60"/>
        <w:wordWrap w:val="0"/>
        <w:overflowPunct w:val="0"/>
        <w:autoSpaceDE w:val="0"/>
        <w:autoSpaceDN w:val="0"/>
        <w:spacing w:line="480" w:lineRule="auto"/>
        <w:ind w:right="140"/>
        <w:jc w:val="both"/>
        <w:textAlignment w:val="auto"/>
        <w:rPr>
          <w:rFonts w:ascii="Arial" w:hAnsi="Arial" w:cs="Arial"/>
          <w:b/>
          <w:sz w:val="21"/>
          <w:szCs w:val="21"/>
          <w:highlight w:val="none"/>
        </w:rPr>
      </w:pPr>
      <w:r>
        <w:rPr>
          <w:rFonts w:hint="eastAsia" w:ascii="Arial" w:hAnsi="Arial" w:cs="Arial"/>
          <w:b/>
          <w:sz w:val="21"/>
          <w:szCs w:val="21"/>
          <w:highlight w:val="none"/>
        </w:rPr>
        <w:t>（二）估价方法</w:t>
      </w:r>
      <w:r>
        <w:rPr>
          <w:rFonts w:ascii="Arial" w:hAnsi="Arial" w:cs="Arial"/>
          <w:b/>
          <w:sz w:val="21"/>
          <w:szCs w:val="21"/>
          <w:highlight w:val="none"/>
        </w:rPr>
        <w:t xml:space="preserve"> </w:t>
      </w:r>
    </w:p>
    <w:p w14:paraId="54C5A6CA">
      <w:pPr>
        <w:pStyle w:val="60"/>
        <w:wordWrap w:val="0"/>
        <w:overflowPunct w:val="0"/>
        <w:autoSpaceDE w:val="0"/>
        <w:autoSpaceDN w:val="0"/>
        <w:spacing w:line="480" w:lineRule="auto"/>
        <w:ind w:right="140" w:firstLine="420" w:firstLineChars="200"/>
        <w:jc w:val="both"/>
        <w:textAlignment w:val="auto"/>
        <w:rPr>
          <w:rFonts w:ascii="Arial" w:hAnsi="Arial" w:cs="Arial"/>
          <w:sz w:val="21"/>
          <w:szCs w:val="21"/>
          <w:highlight w:val="none"/>
        </w:rPr>
      </w:pPr>
      <w:r>
        <w:rPr>
          <w:rFonts w:ascii="Arial" w:hAnsi="Arial" w:cs="Arial"/>
          <w:sz w:val="21"/>
          <w:szCs w:val="21"/>
          <w:highlight w:val="none"/>
        </w:rPr>
        <w:t>比较法，是在求取估价对象房地产</w:t>
      </w:r>
      <w:r>
        <w:rPr>
          <w:rFonts w:hint="eastAsia" w:ascii="Arial" w:hAnsi="Arial" w:cs="Arial"/>
          <w:sz w:val="21"/>
          <w:szCs w:val="21"/>
          <w:highlight w:val="none"/>
        </w:rPr>
        <w:t>市场租金水平</w:t>
      </w:r>
      <w:r>
        <w:rPr>
          <w:rFonts w:ascii="Arial" w:hAnsi="Arial" w:cs="Arial"/>
          <w:sz w:val="21"/>
          <w:szCs w:val="21"/>
          <w:highlight w:val="none"/>
        </w:rPr>
        <w:t>时，根据替代原则，将估价对象与在较近时期内已发生交易的类似房地产</w:t>
      </w:r>
      <w:r>
        <w:rPr>
          <w:rFonts w:hint="eastAsia" w:ascii="Arial" w:hAnsi="Arial" w:cs="Arial"/>
          <w:sz w:val="21"/>
          <w:szCs w:val="21"/>
          <w:highlight w:val="none"/>
        </w:rPr>
        <w:t>租赁</w:t>
      </w:r>
      <w:r>
        <w:rPr>
          <w:rFonts w:ascii="Arial" w:hAnsi="Arial" w:cs="Arial"/>
          <w:sz w:val="21"/>
          <w:szCs w:val="21"/>
          <w:highlight w:val="none"/>
        </w:rPr>
        <w:t>交易实例进行对照比较，并依据后者已知的价格，参照该房地产的交易情况、期日、区域及实物状况的差别，修正得出估价对象房地产</w:t>
      </w:r>
      <w:r>
        <w:rPr>
          <w:rFonts w:hint="eastAsia" w:ascii="Arial" w:hAnsi="Arial" w:cs="Arial"/>
          <w:sz w:val="21"/>
          <w:szCs w:val="21"/>
          <w:highlight w:val="none"/>
        </w:rPr>
        <w:t>市场租金水平</w:t>
      </w:r>
      <w:r>
        <w:rPr>
          <w:rFonts w:ascii="Arial" w:hAnsi="Arial" w:cs="Arial"/>
          <w:sz w:val="21"/>
          <w:szCs w:val="21"/>
          <w:highlight w:val="none"/>
        </w:rPr>
        <w:t>的方法。本次估价采用比较法思路评估租金价格水平。</w:t>
      </w:r>
    </w:p>
    <w:p w14:paraId="3D9C7DC8">
      <w:pPr>
        <w:pStyle w:val="60"/>
        <w:wordWrap w:val="0"/>
        <w:overflowPunct w:val="0"/>
        <w:autoSpaceDE w:val="0"/>
        <w:autoSpaceDN w:val="0"/>
        <w:spacing w:line="480" w:lineRule="auto"/>
        <w:ind w:right="140" w:firstLine="420" w:firstLineChars="200"/>
        <w:jc w:val="both"/>
        <w:textAlignment w:val="auto"/>
        <w:rPr>
          <w:rFonts w:ascii="Arial" w:hAnsi="Arial" w:cs="Arial"/>
          <w:sz w:val="21"/>
          <w:szCs w:val="21"/>
          <w:highlight w:val="none"/>
        </w:rPr>
      </w:pPr>
      <w:r>
        <w:rPr>
          <w:rFonts w:hint="eastAsia" w:ascii="Arial" w:hAnsi="Arial" w:cs="Arial"/>
          <w:sz w:val="21"/>
          <w:szCs w:val="21"/>
          <w:highlight w:val="none"/>
        </w:rPr>
        <w:t>1.</w:t>
      </w:r>
      <w:r>
        <w:rPr>
          <w:rFonts w:ascii="Arial" w:hAnsi="Arial" w:cs="Arial"/>
          <w:sz w:val="21"/>
          <w:szCs w:val="21"/>
          <w:highlight w:val="none"/>
        </w:rPr>
        <w:t>采用</w:t>
      </w:r>
      <w:r>
        <w:rPr>
          <w:rFonts w:hint="eastAsia" w:ascii="Arial" w:hAnsi="Arial" w:cs="Arial"/>
          <w:sz w:val="21"/>
          <w:szCs w:val="21"/>
          <w:highlight w:val="none"/>
        </w:rPr>
        <w:t>比较法</w:t>
      </w:r>
      <w:r>
        <w:rPr>
          <w:rFonts w:ascii="Arial" w:hAnsi="Arial" w:cs="Arial"/>
          <w:sz w:val="21"/>
          <w:szCs w:val="21"/>
          <w:highlight w:val="none"/>
        </w:rPr>
        <w:t>的理由</w:t>
      </w:r>
      <w:r>
        <w:rPr>
          <w:rFonts w:hint="eastAsia" w:ascii="Arial" w:hAnsi="Arial" w:cs="Arial"/>
          <w:sz w:val="21"/>
          <w:szCs w:val="21"/>
          <w:highlight w:val="none"/>
        </w:rPr>
        <w:t>：</w:t>
      </w:r>
    </w:p>
    <w:p w14:paraId="379238CC">
      <w:pPr>
        <w:pStyle w:val="60"/>
        <w:wordWrap w:val="0"/>
        <w:overflowPunct w:val="0"/>
        <w:autoSpaceDE w:val="0"/>
        <w:autoSpaceDN w:val="0"/>
        <w:spacing w:line="480" w:lineRule="auto"/>
        <w:ind w:right="140" w:firstLine="420" w:firstLineChars="200"/>
        <w:jc w:val="both"/>
        <w:textAlignment w:val="auto"/>
        <w:rPr>
          <w:rFonts w:ascii="Arial" w:hAnsi="Arial" w:cs="Arial"/>
          <w:sz w:val="21"/>
          <w:szCs w:val="21"/>
          <w:highlight w:val="none"/>
        </w:rPr>
      </w:pPr>
      <w:r>
        <w:rPr>
          <w:rFonts w:ascii="Arial" w:hAnsi="Arial" w:cs="Arial"/>
          <w:sz w:val="21"/>
          <w:szCs w:val="21"/>
          <w:highlight w:val="none"/>
        </w:rPr>
        <w:t>估价对象所处区域近期有较多的相同用途物业的出租案例，且交易时间与价值时点接近，故适宜采用比较法进行租赁价格评估；同时有所在区域</w:t>
      </w:r>
      <w:r>
        <w:rPr>
          <w:rFonts w:hint="eastAsia" w:ascii="Arial" w:hAnsi="Arial" w:cs="Arial"/>
          <w:sz w:val="21"/>
          <w:szCs w:val="21"/>
          <w:highlight w:val="none"/>
          <w:lang w:val="en-US" w:eastAsia="zh-CN"/>
        </w:rPr>
        <w:t>住宅</w:t>
      </w:r>
      <w:r>
        <w:rPr>
          <w:rFonts w:ascii="Arial" w:hAnsi="Arial" w:cs="Arial"/>
          <w:sz w:val="21"/>
          <w:szCs w:val="21"/>
          <w:highlight w:val="none"/>
        </w:rPr>
        <w:t>出租的公开信息，可通过因素修正得出估价对象所在区域</w:t>
      </w:r>
      <w:r>
        <w:rPr>
          <w:rFonts w:hint="eastAsia" w:ascii="Arial" w:hAnsi="Arial" w:cs="Arial"/>
          <w:sz w:val="21"/>
          <w:szCs w:val="21"/>
          <w:highlight w:val="none"/>
          <w:lang w:val="en-US" w:eastAsia="zh-CN"/>
        </w:rPr>
        <w:t>住宅</w:t>
      </w:r>
      <w:r>
        <w:rPr>
          <w:rFonts w:ascii="Arial" w:hAnsi="Arial" w:cs="Arial"/>
          <w:sz w:val="21"/>
          <w:szCs w:val="21"/>
          <w:highlight w:val="none"/>
        </w:rPr>
        <w:t>租赁价格水平</w:t>
      </w:r>
      <w:r>
        <w:rPr>
          <w:rFonts w:hint="eastAsia" w:ascii="Arial" w:hAnsi="Arial" w:cs="Arial"/>
          <w:sz w:val="21"/>
          <w:szCs w:val="21"/>
          <w:highlight w:val="none"/>
        </w:rPr>
        <w:t>。</w:t>
      </w:r>
      <w:r>
        <w:rPr>
          <w:rFonts w:ascii="Arial" w:hAnsi="Arial" w:cs="Arial"/>
          <w:sz w:val="21"/>
          <w:szCs w:val="21"/>
          <w:highlight w:val="none"/>
        </w:rPr>
        <w:t xml:space="preserve"> 同时</w:t>
      </w:r>
      <w:r>
        <w:rPr>
          <w:rFonts w:hint="eastAsia" w:ascii="Arial" w:hAnsi="Arial" w:cs="Arial"/>
          <w:sz w:val="21"/>
          <w:szCs w:val="21"/>
          <w:highlight w:val="none"/>
        </w:rPr>
        <w:t>，</w:t>
      </w:r>
      <w:r>
        <w:rPr>
          <w:rFonts w:ascii="Arial" w:hAnsi="Arial" w:cs="Arial"/>
          <w:sz w:val="21"/>
          <w:szCs w:val="21"/>
          <w:highlight w:val="none"/>
        </w:rPr>
        <w:t>通过区域因素修正得出估价对象相邻或相似区域</w:t>
      </w:r>
      <w:r>
        <w:rPr>
          <w:rFonts w:hint="eastAsia" w:ascii="Arial" w:hAnsi="Arial" w:cs="Arial"/>
          <w:sz w:val="21"/>
          <w:szCs w:val="21"/>
          <w:highlight w:val="none"/>
          <w:lang w:val="en-US" w:eastAsia="zh-CN"/>
        </w:rPr>
        <w:t>住宅用房</w:t>
      </w:r>
      <w:r>
        <w:rPr>
          <w:rFonts w:ascii="Arial" w:hAnsi="Arial" w:cs="Arial"/>
          <w:sz w:val="21"/>
          <w:szCs w:val="21"/>
          <w:highlight w:val="none"/>
        </w:rPr>
        <w:t>租赁价格水平</w:t>
      </w:r>
      <w:r>
        <w:rPr>
          <w:rFonts w:hint="eastAsia" w:ascii="Arial" w:hAnsi="Arial" w:cs="Arial"/>
          <w:sz w:val="21"/>
          <w:szCs w:val="21"/>
          <w:highlight w:val="none"/>
        </w:rPr>
        <w:t>。</w:t>
      </w:r>
    </w:p>
    <w:p w14:paraId="7F99CD76">
      <w:pPr>
        <w:pStyle w:val="60"/>
        <w:wordWrap w:val="0"/>
        <w:overflowPunct w:val="0"/>
        <w:autoSpaceDE w:val="0"/>
        <w:autoSpaceDN w:val="0"/>
        <w:spacing w:line="480" w:lineRule="auto"/>
        <w:ind w:right="140" w:firstLine="420" w:firstLineChars="200"/>
        <w:jc w:val="both"/>
        <w:textAlignment w:val="auto"/>
        <w:rPr>
          <w:rFonts w:ascii="Arial" w:hAnsi="Arial" w:cs="Arial"/>
          <w:sz w:val="21"/>
          <w:szCs w:val="21"/>
          <w:highlight w:val="none"/>
        </w:rPr>
      </w:pPr>
      <w:r>
        <w:rPr>
          <w:rFonts w:hint="eastAsia" w:ascii="Arial" w:hAnsi="Arial" w:cs="Arial"/>
          <w:sz w:val="21"/>
          <w:szCs w:val="21"/>
          <w:highlight w:val="none"/>
        </w:rPr>
        <w:t>2.</w:t>
      </w:r>
      <w:r>
        <w:rPr>
          <w:rFonts w:ascii="Arial" w:hAnsi="Arial" w:cs="Arial"/>
          <w:sz w:val="21"/>
          <w:szCs w:val="21"/>
          <w:highlight w:val="none"/>
        </w:rPr>
        <w:t>不采用成本法、假设开发法、收益法的理由</w:t>
      </w:r>
      <w:r>
        <w:rPr>
          <w:rFonts w:hint="eastAsia" w:ascii="Arial" w:hAnsi="Arial" w:cs="Arial"/>
          <w:sz w:val="21"/>
          <w:szCs w:val="21"/>
          <w:highlight w:val="none"/>
        </w:rPr>
        <w:t>：</w:t>
      </w:r>
    </w:p>
    <w:p w14:paraId="4A6C2286">
      <w:pPr>
        <w:pStyle w:val="60"/>
        <w:wordWrap w:val="0"/>
        <w:overflowPunct w:val="0"/>
        <w:autoSpaceDE w:val="0"/>
        <w:autoSpaceDN w:val="0"/>
        <w:spacing w:line="480" w:lineRule="auto"/>
        <w:ind w:firstLine="420"/>
        <w:jc w:val="both"/>
        <w:textAlignment w:val="auto"/>
        <w:rPr>
          <w:rFonts w:ascii="Arial" w:hAnsi="Arial" w:cs="Arial"/>
          <w:sz w:val="21"/>
          <w:szCs w:val="21"/>
          <w:highlight w:val="none"/>
        </w:rPr>
      </w:pPr>
      <w:bookmarkStart w:id="69" w:name="_Hlk155267600"/>
      <w:r>
        <w:rPr>
          <w:rFonts w:hint="eastAsia" w:hAnsi="宋体" w:cs="Arial"/>
          <w:sz w:val="21"/>
          <w:szCs w:val="21"/>
          <w:highlight w:val="none"/>
        </w:rPr>
        <w:t>（1）估价对象适用比较法，且已优先采用比较法进行评估，故不再采用成本法进行测算。</w:t>
      </w:r>
    </w:p>
    <w:p w14:paraId="317555DB">
      <w:pPr>
        <w:pStyle w:val="60"/>
        <w:wordWrap w:val="0"/>
        <w:overflowPunct w:val="0"/>
        <w:autoSpaceDE w:val="0"/>
        <w:autoSpaceDN w:val="0"/>
        <w:spacing w:line="480" w:lineRule="auto"/>
        <w:ind w:firstLine="420"/>
        <w:jc w:val="both"/>
        <w:textAlignment w:val="auto"/>
        <w:rPr>
          <w:rFonts w:hAnsi="宋体" w:cs="Arial"/>
          <w:sz w:val="21"/>
          <w:szCs w:val="21"/>
          <w:highlight w:val="none"/>
        </w:rPr>
      </w:pPr>
      <w:r>
        <w:rPr>
          <w:rFonts w:hint="eastAsia" w:hAnsi="宋体" w:cs="Arial"/>
          <w:sz w:val="21"/>
          <w:szCs w:val="21"/>
          <w:highlight w:val="none"/>
        </w:rPr>
        <w:t>（2）假设开发法可评估房地产市场价值，但不适于租赁价格的评估。</w:t>
      </w:r>
    </w:p>
    <w:p w14:paraId="7D6B90F7">
      <w:pPr>
        <w:pStyle w:val="60"/>
        <w:wordWrap w:val="0"/>
        <w:overflowPunct w:val="0"/>
        <w:autoSpaceDE w:val="0"/>
        <w:autoSpaceDN w:val="0"/>
        <w:spacing w:line="480" w:lineRule="auto"/>
        <w:ind w:firstLine="420"/>
        <w:jc w:val="both"/>
        <w:textAlignment w:val="auto"/>
        <w:rPr>
          <w:rFonts w:hAnsi="宋体" w:cs="Arial"/>
          <w:sz w:val="21"/>
          <w:szCs w:val="21"/>
          <w:highlight w:val="none"/>
        </w:rPr>
      </w:pPr>
      <w:r>
        <w:rPr>
          <w:rFonts w:hint="eastAsia" w:hAnsi="宋体" w:cs="Arial"/>
          <w:sz w:val="21"/>
          <w:szCs w:val="21"/>
          <w:highlight w:val="none"/>
        </w:rPr>
        <w:t>（3）</w:t>
      </w:r>
      <w:r>
        <w:rPr>
          <w:rFonts w:hAnsi="宋体" w:cs="Arial"/>
          <w:sz w:val="21"/>
          <w:szCs w:val="21"/>
          <w:highlight w:val="none"/>
        </w:rPr>
        <w:t>收益法适用于有现实收益或潜在收益的土地或房地产估价。估价对象用途</w:t>
      </w:r>
      <w:r>
        <w:rPr>
          <w:rFonts w:hint="eastAsia" w:hAnsi="宋体" w:cs="Arial"/>
          <w:sz w:val="21"/>
          <w:szCs w:val="21"/>
          <w:highlight w:val="none"/>
        </w:rPr>
        <w:t>设定为保障性租赁住房</w:t>
      </w:r>
      <w:r>
        <w:rPr>
          <w:rFonts w:hAnsi="宋体" w:cs="Arial"/>
          <w:sz w:val="21"/>
          <w:szCs w:val="21"/>
          <w:highlight w:val="none"/>
        </w:rPr>
        <w:t>，能对外出租，为收益性物业，估价对象虽具有潜在租金收益，租金水平也相对稳定，而由于受到国人传统的购房理念以及固定资产投资、保值需求等的影响，目前估价对象所在区域同类商品房</w:t>
      </w:r>
      <w:r>
        <w:rPr>
          <w:rFonts w:hint="eastAsia" w:hAnsi="宋体" w:cs="Arial"/>
          <w:sz w:val="21"/>
          <w:szCs w:val="21"/>
          <w:highlight w:val="none"/>
          <w:lang w:val="en-US" w:eastAsia="zh-CN"/>
        </w:rPr>
        <w:t>住宅</w:t>
      </w:r>
      <w:r>
        <w:rPr>
          <w:rFonts w:hAnsi="宋体" w:cs="Arial"/>
          <w:sz w:val="21"/>
          <w:szCs w:val="21"/>
          <w:highlight w:val="none"/>
        </w:rPr>
        <w:t>业态租售比差距较大， 采用房屋交易价格测算出的房屋租金不能反映正常的市场租金水平，故未采用收益法</w:t>
      </w:r>
      <w:bookmarkEnd w:id="69"/>
      <w:r>
        <w:rPr>
          <w:rFonts w:hint="eastAsia" w:hAnsi="宋体" w:cs="Arial"/>
          <w:sz w:val="21"/>
          <w:szCs w:val="21"/>
          <w:highlight w:val="none"/>
        </w:rPr>
        <w:t>。</w:t>
      </w:r>
    </w:p>
    <w:p w14:paraId="22A54ED7">
      <w:pPr>
        <w:pStyle w:val="60"/>
        <w:wordWrap w:val="0"/>
        <w:overflowPunct w:val="0"/>
        <w:autoSpaceDE w:val="0"/>
        <w:autoSpaceDN w:val="0"/>
        <w:spacing w:line="480" w:lineRule="auto"/>
        <w:ind w:right="140"/>
        <w:jc w:val="both"/>
        <w:textAlignment w:val="auto"/>
        <w:rPr>
          <w:rFonts w:ascii="Arial" w:hAnsi="Arial" w:cs="Arial"/>
          <w:b/>
          <w:sz w:val="21"/>
          <w:szCs w:val="21"/>
          <w:highlight w:val="none"/>
        </w:rPr>
      </w:pPr>
      <w:r>
        <w:rPr>
          <w:rFonts w:hint="eastAsia" w:ascii="Arial" w:hAnsi="Arial" w:cs="Arial"/>
          <w:b/>
          <w:sz w:val="21"/>
          <w:szCs w:val="21"/>
          <w:highlight w:val="none"/>
        </w:rPr>
        <w:t>（三）估价方法公式</w:t>
      </w:r>
      <w:r>
        <w:rPr>
          <w:rFonts w:ascii="Arial" w:hAnsi="Arial" w:cs="Arial"/>
          <w:b/>
          <w:sz w:val="21"/>
          <w:szCs w:val="21"/>
          <w:highlight w:val="none"/>
        </w:rPr>
        <w:t xml:space="preserve"> </w:t>
      </w:r>
    </w:p>
    <w:p w14:paraId="3ACE525E">
      <w:pPr>
        <w:pStyle w:val="60"/>
        <w:autoSpaceDE w:val="0"/>
        <w:autoSpaceDN w:val="0"/>
        <w:spacing w:line="480" w:lineRule="auto"/>
        <w:ind w:right="140" w:firstLine="420" w:firstLineChars="200"/>
        <w:jc w:val="both"/>
        <w:textAlignment w:val="bottom"/>
        <w:rPr>
          <w:rFonts w:ascii="Arial" w:hAnsi="Arial" w:cs="Arial"/>
          <w:sz w:val="21"/>
          <w:szCs w:val="21"/>
          <w:highlight w:val="none"/>
        </w:rPr>
      </w:pPr>
      <w:r>
        <w:rPr>
          <w:rFonts w:hint="eastAsia" w:ascii="Arial" w:hAnsi="Arial" w:cs="Arial"/>
          <w:sz w:val="21"/>
          <w:szCs w:val="21"/>
          <w:highlight w:val="none"/>
        </w:rPr>
        <w:t>比较法计算公式为：</w:t>
      </w:r>
    </w:p>
    <w:p w14:paraId="183AA5D6">
      <w:pPr>
        <w:pStyle w:val="60"/>
        <w:wordWrap w:val="0"/>
        <w:overflowPunct w:val="0"/>
        <w:autoSpaceDE w:val="0"/>
        <w:autoSpaceDN w:val="0"/>
        <w:spacing w:line="480" w:lineRule="auto"/>
        <w:ind w:right="140" w:firstLine="420"/>
        <w:jc w:val="both"/>
        <w:textAlignment w:val="auto"/>
        <w:rPr>
          <w:rFonts w:ascii="Arial" w:hAnsi="Arial" w:cs="Arial"/>
          <w:sz w:val="21"/>
          <w:szCs w:val="21"/>
          <w:highlight w:val="none"/>
        </w:rPr>
      </w:pPr>
      <w:r>
        <w:rPr>
          <w:rFonts w:ascii="Arial" w:hAnsi="Arial" w:cs="Arial"/>
          <w:sz w:val="21"/>
          <w:szCs w:val="21"/>
          <w:highlight w:val="none"/>
        </w:rPr>
        <w:t>待估房地产租赁价格＝可比实例房地产租赁价格×（待估房地产交易情况指数/可比实例交易情况指数）×（待估房地产交易日期房地产价租赁格指数/可比实例交易日期房地产租赁价格指数）×（待估房地产</w:t>
      </w:r>
      <w:r>
        <w:rPr>
          <w:rFonts w:hint="eastAsia" w:ascii="Arial" w:hAnsi="Arial" w:cs="Arial"/>
          <w:sz w:val="21"/>
          <w:szCs w:val="21"/>
          <w:highlight w:val="none"/>
        </w:rPr>
        <w:t>项目</w:t>
      </w:r>
      <w:r>
        <w:rPr>
          <w:rFonts w:ascii="Arial" w:hAnsi="Arial" w:cs="Arial"/>
          <w:sz w:val="21"/>
          <w:szCs w:val="21"/>
          <w:highlight w:val="none"/>
        </w:rPr>
        <w:t>类型指数/可比实例</w:t>
      </w:r>
      <w:r>
        <w:rPr>
          <w:rFonts w:hint="eastAsia" w:ascii="Arial" w:hAnsi="Arial" w:cs="Arial"/>
          <w:sz w:val="21"/>
          <w:szCs w:val="21"/>
          <w:highlight w:val="none"/>
        </w:rPr>
        <w:t>项目</w:t>
      </w:r>
      <w:r>
        <w:rPr>
          <w:rFonts w:ascii="Arial" w:hAnsi="Arial" w:cs="Arial"/>
          <w:sz w:val="21"/>
          <w:szCs w:val="21"/>
          <w:highlight w:val="none"/>
        </w:rPr>
        <w:t>类型指数</w:t>
      </w:r>
      <w:r>
        <w:rPr>
          <w:rFonts w:hint="eastAsia" w:ascii="Arial" w:hAnsi="Arial" w:cs="Arial"/>
          <w:sz w:val="21"/>
          <w:szCs w:val="21"/>
          <w:highlight w:val="none"/>
        </w:rPr>
        <w:t>）</w:t>
      </w:r>
      <w:r>
        <w:rPr>
          <w:rFonts w:ascii="Arial" w:hAnsi="Arial" w:cs="Arial"/>
          <w:sz w:val="21"/>
          <w:szCs w:val="21"/>
          <w:highlight w:val="none"/>
        </w:rPr>
        <w:t>…×（待估房地产区域状况条件指数/可比实例房地产区域状况条件指数）×（待估房地产实物状况条件指数/可比实例房地产实物状况条件指数）</w:t>
      </w:r>
    </w:p>
    <w:p w14:paraId="1CF8B360">
      <w:pPr>
        <w:pStyle w:val="60"/>
        <w:wordWrap w:val="0"/>
        <w:overflowPunct w:val="0"/>
        <w:autoSpaceDE w:val="0"/>
        <w:autoSpaceDN w:val="0"/>
        <w:spacing w:line="480" w:lineRule="auto"/>
        <w:ind w:right="140" w:firstLine="420"/>
        <w:jc w:val="both"/>
        <w:textAlignment w:val="auto"/>
        <w:rPr>
          <w:rFonts w:ascii="Arial" w:hAnsi="Arial" w:cs="Arial"/>
          <w:sz w:val="21"/>
          <w:szCs w:val="21"/>
          <w:highlight w:val="none"/>
        </w:rPr>
      </w:pPr>
      <w:r>
        <w:rPr>
          <w:rFonts w:hint="eastAsia" w:ascii="Arial" w:hAnsi="Arial" w:cs="Arial"/>
          <w:sz w:val="21"/>
          <w:szCs w:val="21"/>
          <w:highlight w:val="none"/>
        </w:rPr>
        <w:t>具体步骤如下：</w:t>
      </w:r>
    </w:p>
    <w:p w14:paraId="0C0618EF">
      <w:pPr>
        <w:pStyle w:val="60"/>
        <w:numPr>
          <w:ilvl w:val="0"/>
          <w:numId w:val="10"/>
        </w:numPr>
        <w:wordWrap w:val="0"/>
        <w:overflowPunct w:val="0"/>
        <w:autoSpaceDE w:val="0"/>
        <w:autoSpaceDN w:val="0"/>
        <w:spacing w:line="480" w:lineRule="auto"/>
        <w:ind w:right="140"/>
        <w:jc w:val="both"/>
        <w:textAlignment w:val="auto"/>
        <w:rPr>
          <w:rFonts w:ascii="Arial" w:hAnsi="Arial" w:cs="Arial"/>
          <w:sz w:val="21"/>
          <w:szCs w:val="21"/>
          <w:highlight w:val="none"/>
        </w:rPr>
      </w:pPr>
      <w:r>
        <w:rPr>
          <w:rFonts w:hint="eastAsia" w:ascii="Arial" w:hAnsi="Arial" w:cs="Arial"/>
          <w:sz w:val="21"/>
          <w:szCs w:val="21"/>
          <w:highlight w:val="none"/>
        </w:rPr>
        <w:t>选择可比案例</w:t>
      </w:r>
    </w:p>
    <w:p w14:paraId="60F73EFF">
      <w:pPr>
        <w:wordWrap w:val="0"/>
        <w:overflowPunct w:val="0"/>
        <w:spacing w:line="480" w:lineRule="auto"/>
        <w:ind w:left="780"/>
        <w:rPr>
          <w:rFonts w:ascii="Arial" w:hAnsi="Arial"/>
          <w:sz w:val="21"/>
          <w:szCs w:val="21"/>
          <w:highlight w:val="none"/>
        </w:rPr>
      </w:pPr>
      <w:r>
        <w:rPr>
          <w:rFonts w:hint="eastAsia" w:ascii="Arial" w:hAnsi="Arial"/>
          <w:sz w:val="21"/>
          <w:szCs w:val="21"/>
          <w:highlight w:val="none"/>
        </w:rPr>
        <w:t>选择比较案例时，应符合以下要求（与待估房地产比较）</w:t>
      </w:r>
    </w:p>
    <w:p w14:paraId="0838A2FE">
      <w:pPr>
        <w:wordWrap w:val="0"/>
        <w:overflowPunct w:val="0"/>
        <w:spacing w:line="480" w:lineRule="auto"/>
        <w:ind w:left="780"/>
        <w:rPr>
          <w:rFonts w:ascii="Arial" w:hAnsi="Arial"/>
          <w:sz w:val="21"/>
          <w:szCs w:val="21"/>
          <w:highlight w:val="none"/>
        </w:rPr>
      </w:pPr>
      <w:r>
        <w:rPr>
          <w:rFonts w:ascii="Arial" w:hAnsi="Arial"/>
          <w:sz w:val="21"/>
          <w:szCs w:val="21"/>
          <w:highlight w:val="none"/>
        </w:rPr>
        <w:t>1</w:t>
      </w:r>
      <w:r>
        <w:rPr>
          <w:rFonts w:hint="eastAsia" w:ascii="Arial" w:hAnsi="Arial"/>
          <w:sz w:val="21"/>
          <w:szCs w:val="21"/>
          <w:highlight w:val="none"/>
        </w:rPr>
        <w:t>）用途相同</w:t>
      </w:r>
    </w:p>
    <w:p w14:paraId="7FD1A264">
      <w:pPr>
        <w:wordWrap w:val="0"/>
        <w:overflowPunct w:val="0"/>
        <w:spacing w:line="480" w:lineRule="auto"/>
        <w:ind w:left="780"/>
        <w:rPr>
          <w:rFonts w:ascii="Arial" w:hAnsi="Arial"/>
          <w:sz w:val="21"/>
          <w:szCs w:val="21"/>
          <w:highlight w:val="none"/>
        </w:rPr>
      </w:pPr>
      <w:r>
        <w:rPr>
          <w:rFonts w:ascii="Arial" w:hAnsi="Arial"/>
          <w:sz w:val="21"/>
          <w:szCs w:val="21"/>
          <w:highlight w:val="none"/>
        </w:rPr>
        <w:t>2</w:t>
      </w:r>
      <w:r>
        <w:rPr>
          <w:rFonts w:hint="eastAsia" w:ascii="Arial" w:hAnsi="Arial"/>
          <w:sz w:val="21"/>
          <w:szCs w:val="21"/>
          <w:highlight w:val="none"/>
        </w:rPr>
        <w:t>）属于正常交易</w:t>
      </w:r>
    </w:p>
    <w:p w14:paraId="284FD868">
      <w:pPr>
        <w:wordWrap w:val="0"/>
        <w:overflowPunct w:val="0"/>
        <w:spacing w:line="480" w:lineRule="auto"/>
        <w:ind w:left="780"/>
        <w:rPr>
          <w:rFonts w:ascii="Arial" w:hAnsi="Arial"/>
          <w:sz w:val="21"/>
          <w:szCs w:val="21"/>
          <w:highlight w:val="none"/>
        </w:rPr>
      </w:pPr>
      <w:r>
        <w:rPr>
          <w:rFonts w:ascii="Arial" w:hAnsi="Arial"/>
          <w:sz w:val="21"/>
          <w:szCs w:val="21"/>
          <w:highlight w:val="none"/>
        </w:rPr>
        <w:t>3</w:t>
      </w:r>
      <w:r>
        <w:rPr>
          <w:rFonts w:hint="eastAsia" w:ascii="Arial" w:hAnsi="Arial"/>
          <w:sz w:val="21"/>
          <w:szCs w:val="21"/>
          <w:highlight w:val="none"/>
        </w:rPr>
        <w:t>）房地产状况各因素相近</w:t>
      </w:r>
    </w:p>
    <w:p w14:paraId="1A2DCDD9">
      <w:pPr>
        <w:wordWrap w:val="0"/>
        <w:overflowPunct w:val="0"/>
        <w:spacing w:line="480" w:lineRule="auto"/>
        <w:ind w:left="780"/>
        <w:rPr>
          <w:rFonts w:ascii="Arial" w:hAnsi="Arial"/>
          <w:sz w:val="21"/>
          <w:szCs w:val="21"/>
          <w:highlight w:val="none"/>
        </w:rPr>
      </w:pPr>
      <w:r>
        <w:rPr>
          <w:rFonts w:ascii="Arial" w:hAnsi="Arial"/>
          <w:sz w:val="21"/>
          <w:szCs w:val="21"/>
          <w:highlight w:val="none"/>
        </w:rPr>
        <w:t>4</w:t>
      </w:r>
      <w:r>
        <w:rPr>
          <w:rFonts w:hint="eastAsia" w:ascii="Arial" w:hAnsi="Arial"/>
          <w:sz w:val="21"/>
          <w:szCs w:val="21"/>
          <w:highlight w:val="none"/>
        </w:rPr>
        <w:t>）价值时点接近</w:t>
      </w:r>
    </w:p>
    <w:p w14:paraId="6A3EBCEB">
      <w:pPr>
        <w:wordWrap w:val="0"/>
        <w:overflowPunct w:val="0"/>
        <w:spacing w:line="480" w:lineRule="auto"/>
        <w:ind w:left="780"/>
        <w:rPr>
          <w:rFonts w:ascii="Arial" w:hAnsi="Arial"/>
          <w:sz w:val="21"/>
          <w:szCs w:val="21"/>
          <w:highlight w:val="none"/>
        </w:rPr>
      </w:pPr>
      <w:r>
        <w:rPr>
          <w:rFonts w:ascii="Arial" w:hAnsi="Arial"/>
          <w:sz w:val="21"/>
          <w:szCs w:val="21"/>
          <w:highlight w:val="none"/>
        </w:rPr>
        <w:t>5</w:t>
      </w:r>
      <w:r>
        <w:rPr>
          <w:rFonts w:hint="eastAsia" w:ascii="Arial" w:hAnsi="Arial"/>
          <w:sz w:val="21"/>
          <w:szCs w:val="21"/>
          <w:highlight w:val="none"/>
        </w:rPr>
        <w:t>）统一价格基础</w:t>
      </w:r>
    </w:p>
    <w:p w14:paraId="410A40DC">
      <w:pPr>
        <w:pStyle w:val="60"/>
        <w:numPr>
          <w:ilvl w:val="0"/>
          <w:numId w:val="10"/>
        </w:numPr>
        <w:wordWrap w:val="0"/>
        <w:overflowPunct w:val="0"/>
        <w:autoSpaceDE w:val="0"/>
        <w:autoSpaceDN w:val="0"/>
        <w:spacing w:line="480" w:lineRule="auto"/>
        <w:ind w:right="140"/>
        <w:jc w:val="both"/>
        <w:textAlignment w:val="auto"/>
        <w:rPr>
          <w:rFonts w:eastAsia="宋体"/>
          <w:kern w:val="2"/>
          <w:sz w:val="21"/>
          <w:szCs w:val="21"/>
          <w:highlight w:val="none"/>
        </w:rPr>
      </w:pPr>
      <w:r>
        <w:rPr>
          <w:rFonts w:hint="eastAsia" w:ascii="Arial" w:hAnsi="Arial" w:cs="Arial"/>
          <w:sz w:val="21"/>
          <w:szCs w:val="21"/>
          <w:highlight w:val="none"/>
        </w:rPr>
        <w:t>进行交易情况、交易日期、项目类型、房地产状况等因素修正</w:t>
      </w:r>
    </w:p>
    <w:p w14:paraId="3B3DF993">
      <w:pPr>
        <w:pStyle w:val="60"/>
        <w:numPr>
          <w:ilvl w:val="0"/>
          <w:numId w:val="10"/>
        </w:numPr>
        <w:wordWrap w:val="0"/>
        <w:overflowPunct w:val="0"/>
        <w:autoSpaceDE w:val="0"/>
        <w:autoSpaceDN w:val="0"/>
        <w:spacing w:line="480" w:lineRule="auto"/>
        <w:ind w:right="140"/>
        <w:jc w:val="both"/>
        <w:textAlignment w:val="auto"/>
        <w:rPr>
          <w:rFonts w:eastAsia="宋体"/>
          <w:kern w:val="2"/>
          <w:sz w:val="21"/>
          <w:szCs w:val="21"/>
          <w:highlight w:val="none"/>
        </w:rPr>
      </w:pPr>
      <w:r>
        <w:rPr>
          <w:rFonts w:hint="eastAsia" w:ascii="Arial" w:hAnsi="Arial" w:cs="Arial"/>
          <w:sz w:val="21"/>
          <w:szCs w:val="21"/>
          <w:highlight w:val="none"/>
        </w:rPr>
        <w:t>求取估价对象比准价格</w:t>
      </w:r>
      <w:bookmarkStart w:id="70" w:name="_Toc525655440"/>
      <w:bookmarkStart w:id="71" w:name="_Toc155267107"/>
    </w:p>
    <w:p w14:paraId="01C66496">
      <w:pPr>
        <w:rPr>
          <w:rFonts w:eastAsia="宋体"/>
          <w:kern w:val="2"/>
          <w:sz w:val="21"/>
          <w:szCs w:val="21"/>
          <w:highlight w:val="none"/>
        </w:rPr>
      </w:pPr>
      <w:r>
        <w:rPr>
          <w:rFonts w:eastAsia="宋体"/>
          <w:kern w:val="2"/>
          <w:sz w:val="21"/>
          <w:szCs w:val="21"/>
          <w:highlight w:val="none"/>
        </w:rPr>
        <w:br w:type="page"/>
      </w:r>
    </w:p>
    <w:p w14:paraId="539C3F63">
      <w:pPr>
        <w:pStyle w:val="3"/>
        <w:numPr>
          <w:ilvl w:val="0"/>
          <w:numId w:val="0"/>
        </w:numPr>
        <w:spacing w:line="480" w:lineRule="auto"/>
        <w:ind w:left="358" w:hanging="358" w:hangingChars="170"/>
        <w:jc w:val="both"/>
        <w:rPr>
          <w:rFonts w:eastAsia="宋体"/>
          <w:kern w:val="2"/>
          <w:sz w:val="21"/>
          <w:szCs w:val="21"/>
          <w:highlight w:val="none"/>
        </w:rPr>
      </w:pPr>
      <w:r>
        <w:rPr>
          <w:rFonts w:eastAsia="宋体"/>
          <w:kern w:val="2"/>
          <w:sz w:val="21"/>
          <w:szCs w:val="21"/>
          <w:highlight w:val="none"/>
        </w:rPr>
        <w:t>五、估价测算过程</w:t>
      </w:r>
      <w:bookmarkEnd w:id="70"/>
      <w:bookmarkEnd w:id="71"/>
      <w:r>
        <w:rPr>
          <w:rFonts w:hint="eastAsia" w:eastAsia="宋体"/>
          <w:kern w:val="2"/>
          <w:sz w:val="21"/>
          <w:szCs w:val="21"/>
          <w:highlight w:val="none"/>
        </w:rPr>
        <w:t xml:space="preserve">  </w:t>
      </w:r>
    </w:p>
    <w:p w14:paraId="2C38A1A4">
      <w:pPr>
        <w:pStyle w:val="60"/>
        <w:autoSpaceDE w:val="0"/>
        <w:autoSpaceDN w:val="0"/>
        <w:spacing w:line="480" w:lineRule="auto"/>
        <w:ind w:right="140" w:firstLine="422" w:firstLineChars="200"/>
        <w:jc w:val="both"/>
        <w:textAlignment w:val="bottom"/>
        <w:rPr>
          <w:rFonts w:ascii="Arial" w:hAnsi="Arial" w:cs="Arial"/>
          <w:b/>
          <w:sz w:val="21"/>
          <w:szCs w:val="21"/>
          <w:highlight w:val="none"/>
        </w:rPr>
      </w:pPr>
      <w:r>
        <w:rPr>
          <w:rFonts w:hint="eastAsia" w:ascii="Arial" w:hAnsi="Arial" w:cs="Arial"/>
          <w:b/>
          <w:sz w:val="21"/>
          <w:szCs w:val="21"/>
          <w:highlight w:val="none"/>
        </w:rPr>
        <w:t>（一）标准房选取</w:t>
      </w:r>
    </w:p>
    <w:p w14:paraId="139DE0E7">
      <w:pPr>
        <w:pStyle w:val="60"/>
        <w:wordWrap w:val="0"/>
        <w:overflowPunct w:val="0"/>
        <w:autoSpaceDE w:val="0"/>
        <w:autoSpaceDN w:val="0"/>
        <w:spacing w:line="480" w:lineRule="auto"/>
        <w:ind w:right="140" w:firstLine="420" w:firstLineChars="200"/>
        <w:jc w:val="both"/>
        <w:textAlignment w:val="auto"/>
        <w:rPr>
          <w:rFonts w:ascii="Arial" w:hAnsi="Arial" w:cs="Arial"/>
          <w:sz w:val="21"/>
          <w:szCs w:val="21"/>
          <w:highlight w:val="none"/>
        </w:rPr>
      </w:pPr>
      <w:r>
        <w:rPr>
          <w:rFonts w:ascii="Arial" w:hAnsi="Arial" w:cs="Arial"/>
          <w:sz w:val="21"/>
          <w:szCs w:val="21"/>
          <w:highlight w:val="none"/>
        </w:rPr>
        <w:t>本次选用比较法对估价对象的市场租金水平进行测算，具体测算思路如下：</w:t>
      </w:r>
    </w:p>
    <w:p w14:paraId="2AC9CCF8">
      <w:pPr>
        <w:pStyle w:val="60"/>
        <w:wordWrap w:val="0"/>
        <w:overflowPunct w:val="0"/>
        <w:autoSpaceDE w:val="0"/>
        <w:autoSpaceDN w:val="0"/>
        <w:snapToGrid w:val="0"/>
        <w:spacing w:line="480" w:lineRule="auto"/>
        <w:ind w:firstLine="420" w:firstLineChars="200"/>
        <w:jc w:val="both"/>
        <w:textAlignment w:val="auto"/>
        <w:rPr>
          <w:rFonts w:ascii="Arial" w:hAnsi="Arial" w:cs="Arial"/>
          <w:sz w:val="21"/>
          <w:szCs w:val="21"/>
          <w:highlight w:val="none"/>
        </w:rPr>
      </w:pPr>
      <w:r>
        <w:rPr>
          <w:rFonts w:hint="eastAsia" w:ascii="Arial" w:hAnsi="Arial" w:cs="Arial"/>
          <w:sz w:val="21"/>
          <w:szCs w:val="21"/>
          <w:highlight w:val="none"/>
        </w:rPr>
        <w:t>根据估价委托人提供的</w:t>
      </w:r>
      <w:r>
        <w:rPr>
          <w:rFonts w:hint="eastAsia" w:ascii="Arial" w:hAnsi="Arial" w:cs="Arial"/>
          <w:kern w:val="2"/>
          <w:sz w:val="21"/>
          <w:highlight w:val="none"/>
        </w:rPr>
        <w:t>《</w:t>
      </w:r>
      <w:r>
        <w:rPr>
          <w:rFonts w:hint="eastAsia" w:ascii="Arial" w:hAnsi="Arial" w:cs="Arial"/>
          <w:kern w:val="2"/>
          <w:sz w:val="21"/>
          <w:szCs w:val="21"/>
          <w:highlight w:val="none"/>
        </w:rPr>
        <w:t>估价委托书</w:t>
      </w:r>
      <w:r>
        <w:rPr>
          <w:rFonts w:hint="eastAsia" w:ascii="Arial" w:hAnsi="Arial" w:cs="Arial"/>
          <w:kern w:val="2"/>
          <w:sz w:val="21"/>
          <w:highlight w:val="none"/>
        </w:rPr>
        <w:t>》</w:t>
      </w:r>
      <w:r>
        <w:rPr>
          <w:rFonts w:hint="eastAsia" w:ascii="Arial" w:hAnsi="Arial" w:cs="Arial"/>
          <w:kern w:val="2"/>
          <w:sz w:val="21"/>
          <w:highlight w:val="none"/>
          <w:lang w:eastAsia="zh-CN"/>
        </w:rPr>
        <w:t>、</w:t>
      </w:r>
      <w:r>
        <w:rPr>
          <w:rFonts w:hint="eastAsia" w:ascii="Arial" w:hAnsi="Arial" w:cs="Arial"/>
          <w:sz w:val="21"/>
          <w:szCs w:val="21"/>
          <w:highlight w:val="none"/>
          <w:lang w:val="en-US" w:eastAsia="zh-CN"/>
        </w:rPr>
        <w:t>《采育数字时尚小镇保障性住房趸组协议》及其附件</w:t>
      </w:r>
      <w:r>
        <w:rPr>
          <w:rFonts w:hint="eastAsia" w:ascii="Arial" w:hAnsi="Arial" w:cs="Arial"/>
          <w:sz w:val="21"/>
          <w:szCs w:val="21"/>
          <w:highlight w:val="none"/>
        </w:rPr>
        <w:t>，本次评估的标准房设定如下，标准房是指参照特定项目的建筑类型、结构、户型（含面积）、装饰装修、设施设备、家具家电、楼层、朝向等指标进行分类，分别设定的具有代表性的房屋。标准房设定时，其结构、装饰装修、设施设备、家具家电按照众数设定，楼层、朝向按保障性租赁住房项目中最优条件确定：</w:t>
      </w:r>
    </w:p>
    <w:tbl>
      <w:tblPr>
        <w:tblStyle w:val="33"/>
        <w:tblW w:w="94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1556"/>
        <w:gridCol w:w="1625"/>
        <w:gridCol w:w="1693"/>
        <w:gridCol w:w="1557"/>
        <w:gridCol w:w="1491"/>
        <w:gridCol w:w="1491"/>
      </w:tblGrid>
      <w:tr w14:paraId="4E88E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1AC911C6">
            <w:pPr>
              <w:snapToGrid w:val="0"/>
              <w:spacing w:line="240" w:lineRule="exact"/>
              <w:jc w:val="center"/>
              <w:rPr>
                <w:rFonts w:ascii="Arial" w:hAnsi="Arial" w:eastAsia="华文细黑" w:cs="Arial"/>
                <w:sz w:val="18"/>
                <w:szCs w:val="18"/>
                <w:highlight w:val="none"/>
              </w:rPr>
            </w:pPr>
            <w:r>
              <w:rPr>
                <w:rFonts w:ascii="Arial" w:hAnsi="Arial" w:eastAsia="华文细黑" w:cs="Arial"/>
                <w:sz w:val="18"/>
                <w:szCs w:val="18"/>
                <w:highlight w:val="none"/>
              </w:rPr>
              <w:t>标准房</w:t>
            </w:r>
          </w:p>
        </w:tc>
        <w:tc>
          <w:tcPr>
            <w:tcW w:w="1625" w:type="dxa"/>
          </w:tcPr>
          <w:p w14:paraId="2EBB9DF1">
            <w:pPr>
              <w:snapToGrid w:val="0"/>
              <w:spacing w:line="240" w:lineRule="exact"/>
              <w:jc w:val="center"/>
              <w:rPr>
                <w:rFonts w:ascii="Arial" w:hAnsi="Arial" w:eastAsia="华文细黑" w:cs="Arial"/>
                <w:sz w:val="18"/>
                <w:szCs w:val="18"/>
                <w:highlight w:val="none"/>
              </w:rPr>
            </w:pPr>
            <w:r>
              <w:rPr>
                <w:rFonts w:ascii="Arial" w:hAnsi="Arial" w:eastAsia="华文细黑" w:cs="Arial"/>
                <w:sz w:val="18"/>
                <w:szCs w:val="18"/>
                <w:highlight w:val="none"/>
              </w:rPr>
              <w:t>户型</w:t>
            </w:r>
          </w:p>
        </w:tc>
        <w:tc>
          <w:tcPr>
            <w:tcW w:w="1693" w:type="dxa"/>
          </w:tcPr>
          <w:p w14:paraId="6EA6E530">
            <w:pPr>
              <w:snapToGrid w:val="0"/>
              <w:spacing w:line="240" w:lineRule="exact"/>
              <w:jc w:val="center"/>
              <w:rPr>
                <w:rFonts w:ascii="Arial" w:hAnsi="Arial" w:eastAsia="华文细黑" w:cs="Arial"/>
                <w:sz w:val="18"/>
                <w:szCs w:val="18"/>
                <w:highlight w:val="none"/>
              </w:rPr>
            </w:pPr>
            <w:r>
              <w:rPr>
                <w:rFonts w:ascii="Arial" w:hAnsi="Arial" w:eastAsia="华文细黑" w:cs="Arial"/>
                <w:sz w:val="18"/>
                <w:szCs w:val="18"/>
                <w:highlight w:val="none"/>
              </w:rPr>
              <w:t>建筑面积（㎡）</w:t>
            </w:r>
          </w:p>
        </w:tc>
        <w:tc>
          <w:tcPr>
            <w:tcW w:w="1557" w:type="dxa"/>
          </w:tcPr>
          <w:p w14:paraId="13B35CF3">
            <w:pPr>
              <w:snapToGrid w:val="0"/>
              <w:spacing w:line="240" w:lineRule="exact"/>
              <w:jc w:val="center"/>
              <w:rPr>
                <w:rFonts w:ascii="Arial" w:hAnsi="Arial" w:eastAsia="华文细黑" w:cs="Arial"/>
                <w:sz w:val="18"/>
                <w:szCs w:val="18"/>
                <w:highlight w:val="none"/>
              </w:rPr>
            </w:pPr>
            <w:r>
              <w:rPr>
                <w:rFonts w:ascii="Arial" w:hAnsi="Arial" w:eastAsia="华文细黑" w:cs="Arial"/>
                <w:sz w:val="18"/>
                <w:szCs w:val="18"/>
                <w:highlight w:val="none"/>
              </w:rPr>
              <w:t>朝向</w:t>
            </w:r>
          </w:p>
        </w:tc>
        <w:tc>
          <w:tcPr>
            <w:tcW w:w="1491" w:type="dxa"/>
          </w:tcPr>
          <w:p w14:paraId="63018927">
            <w:pPr>
              <w:snapToGrid w:val="0"/>
              <w:spacing w:line="240" w:lineRule="exact"/>
              <w:jc w:val="center"/>
              <w:rPr>
                <w:rFonts w:ascii="Arial" w:hAnsi="Arial" w:eastAsia="华文细黑" w:cs="Arial"/>
                <w:sz w:val="18"/>
                <w:szCs w:val="18"/>
                <w:highlight w:val="none"/>
              </w:rPr>
            </w:pPr>
            <w:r>
              <w:rPr>
                <w:rFonts w:ascii="Arial" w:hAnsi="Arial" w:eastAsia="华文细黑" w:cs="Arial"/>
                <w:sz w:val="18"/>
                <w:szCs w:val="18"/>
                <w:highlight w:val="none"/>
              </w:rPr>
              <w:t>楼层</w:t>
            </w:r>
          </w:p>
        </w:tc>
        <w:tc>
          <w:tcPr>
            <w:tcW w:w="1491" w:type="dxa"/>
          </w:tcPr>
          <w:p w14:paraId="4CF783D2">
            <w:pPr>
              <w:snapToGrid w:val="0"/>
              <w:spacing w:line="240" w:lineRule="exact"/>
              <w:jc w:val="center"/>
              <w:rPr>
                <w:rFonts w:ascii="Arial" w:hAnsi="Arial" w:eastAsia="华文细黑" w:cs="Arial"/>
                <w:sz w:val="18"/>
                <w:szCs w:val="18"/>
                <w:highlight w:val="none"/>
              </w:rPr>
            </w:pPr>
            <w:r>
              <w:rPr>
                <w:rFonts w:ascii="Arial" w:hAnsi="Arial" w:eastAsia="华文细黑" w:cs="Arial"/>
                <w:sz w:val="18"/>
                <w:szCs w:val="18"/>
                <w:highlight w:val="none"/>
              </w:rPr>
              <w:t>装修</w:t>
            </w:r>
          </w:p>
        </w:tc>
      </w:tr>
      <w:tr w14:paraId="0C76A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748432BF">
            <w:pPr>
              <w:snapToGrid w:val="0"/>
              <w:spacing w:line="240" w:lineRule="exact"/>
              <w:jc w:val="center"/>
              <w:rPr>
                <w:rFonts w:ascii="Arial" w:hAnsi="Arial" w:eastAsia="华文细黑" w:cs="Arial"/>
                <w:sz w:val="18"/>
                <w:szCs w:val="18"/>
                <w:highlight w:val="none"/>
              </w:rPr>
            </w:pPr>
            <w:r>
              <w:rPr>
                <w:rFonts w:ascii="Arial" w:hAnsi="Arial" w:eastAsia="华文细黑" w:cs="Arial"/>
                <w:sz w:val="18"/>
                <w:szCs w:val="18"/>
                <w:highlight w:val="none"/>
              </w:rPr>
              <w:t>标准房1</w:t>
            </w:r>
          </w:p>
        </w:tc>
        <w:tc>
          <w:tcPr>
            <w:tcW w:w="1625" w:type="dxa"/>
            <w:vAlign w:val="top"/>
          </w:tcPr>
          <w:p w14:paraId="0E9BB151">
            <w:pPr>
              <w:snapToGrid w:val="0"/>
              <w:spacing w:line="240" w:lineRule="exact"/>
              <w:jc w:val="center"/>
              <w:rPr>
                <w:rFonts w:ascii="Arial" w:hAnsi="Arial" w:eastAsia="华文细黑" w:cs="Arial"/>
                <w:sz w:val="18"/>
                <w:szCs w:val="18"/>
                <w:highlight w:val="none"/>
              </w:rPr>
            </w:pPr>
            <w:r>
              <w:rPr>
                <w:rFonts w:ascii="Arial" w:hAnsi="Arial" w:eastAsia="华文细黑" w:cs="Arial"/>
                <w:sz w:val="18"/>
                <w:szCs w:val="18"/>
                <w:highlight w:val="none"/>
              </w:rPr>
              <w:t>一居室</w:t>
            </w:r>
          </w:p>
        </w:tc>
        <w:tc>
          <w:tcPr>
            <w:tcW w:w="1693" w:type="dxa"/>
            <w:vAlign w:val="top"/>
          </w:tcPr>
          <w:p w14:paraId="05EE2182">
            <w:pPr>
              <w:snapToGrid w:val="0"/>
              <w:spacing w:line="240" w:lineRule="exact"/>
              <w:jc w:val="center"/>
              <w:rPr>
                <w:rFonts w:ascii="Arial" w:hAnsi="Arial" w:eastAsia="华文细黑" w:cs="Arial"/>
                <w:sz w:val="18"/>
                <w:szCs w:val="18"/>
                <w:highlight w:val="none"/>
              </w:rPr>
            </w:pPr>
            <w:r>
              <w:rPr>
                <w:rFonts w:hint="eastAsia" w:ascii="Arial" w:hAnsi="Arial" w:eastAsia="华文细黑" w:cs="Arial"/>
                <w:sz w:val="18"/>
                <w:szCs w:val="18"/>
                <w:highlight w:val="none"/>
                <w:lang w:val="en-US" w:eastAsia="zh-CN"/>
              </w:rPr>
              <w:t>69.39</w:t>
            </w:r>
          </w:p>
        </w:tc>
        <w:tc>
          <w:tcPr>
            <w:tcW w:w="1557" w:type="dxa"/>
            <w:vAlign w:val="top"/>
          </w:tcPr>
          <w:p w14:paraId="1B882ABB">
            <w:pPr>
              <w:snapToGrid w:val="0"/>
              <w:spacing w:line="240" w:lineRule="exact"/>
              <w:jc w:val="center"/>
              <w:rPr>
                <w:rFonts w:ascii="Arial" w:hAnsi="Arial" w:eastAsia="华文细黑" w:cs="Arial"/>
                <w:sz w:val="18"/>
                <w:szCs w:val="18"/>
                <w:highlight w:val="none"/>
              </w:rPr>
            </w:pPr>
            <w:r>
              <w:rPr>
                <w:rFonts w:hint="eastAsia" w:ascii="Arial" w:hAnsi="Arial" w:eastAsia="华文细黑" w:cs="Arial"/>
                <w:sz w:val="18"/>
                <w:szCs w:val="18"/>
                <w:highlight w:val="none"/>
                <w:lang w:val="en-US" w:eastAsia="zh-CN"/>
              </w:rPr>
              <w:t>南北</w:t>
            </w:r>
          </w:p>
        </w:tc>
        <w:tc>
          <w:tcPr>
            <w:tcW w:w="1491" w:type="dxa"/>
            <w:vAlign w:val="top"/>
          </w:tcPr>
          <w:p w14:paraId="51DC0BBE">
            <w:pPr>
              <w:snapToGrid w:val="0"/>
              <w:spacing w:line="240" w:lineRule="exact"/>
              <w:jc w:val="center"/>
              <w:rPr>
                <w:rFonts w:ascii="Arial" w:hAnsi="Arial" w:eastAsia="华文细黑" w:cs="Arial"/>
                <w:sz w:val="18"/>
                <w:szCs w:val="18"/>
                <w:highlight w:val="none"/>
              </w:rPr>
            </w:pPr>
            <w:r>
              <w:rPr>
                <w:rFonts w:hint="eastAsia" w:ascii="华文细黑" w:hAnsi="华文细黑" w:eastAsia="华文细黑" w:cs="Arial"/>
                <w:sz w:val="18"/>
                <w:szCs w:val="18"/>
                <w:highlight w:val="none"/>
                <w:lang w:val="en-US" w:eastAsia="zh-CN"/>
              </w:rPr>
              <w:t>中</w:t>
            </w:r>
            <w:r>
              <w:rPr>
                <w:rFonts w:hint="eastAsia" w:ascii="华文细黑" w:hAnsi="华文细黑" w:eastAsia="华文细黑" w:cs="Arial"/>
                <w:sz w:val="18"/>
                <w:szCs w:val="18"/>
                <w:highlight w:val="none"/>
              </w:rPr>
              <w:t>楼层</w:t>
            </w:r>
          </w:p>
        </w:tc>
        <w:tc>
          <w:tcPr>
            <w:tcW w:w="1491" w:type="dxa"/>
            <w:vAlign w:val="top"/>
          </w:tcPr>
          <w:p w14:paraId="01BB60A1">
            <w:pPr>
              <w:snapToGrid w:val="0"/>
              <w:spacing w:line="240" w:lineRule="exact"/>
              <w:jc w:val="center"/>
              <w:rPr>
                <w:rFonts w:ascii="Arial" w:hAnsi="Arial" w:eastAsia="华文细黑" w:cs="Arial"/>
                <w:sz w:val="18"/>
                <w:szCs w:val="18"/>
                <w:highlight w:val="none"/>
              </w:rPr>
            </w:pPr>
            <w:r>
              <w:rPr>
                <w:rFonts w:hint="eastAsia" w:ascii="华文细黑" w:hAnsi="华文细黑" w:eastAsia="华文细黑" w:cs="Arial"/>
                <w:sz w:val="18"/>
                <w:szCs w:val="18"/>
                <w:highlight w:val="none"/>
              </w:rPr>
              <w:t>精装修</w:t>
            </w:r>
          </w:p>
        </w:tc>
      </w:tr>
      <w:tr w14:paraId="1156B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3E6A78DB">
            <w:pPr>
              <w:snapToGrid w:val="0"/>
              <w:spacing w:line="240" w:lineRule="exact"/>
              <w:jc w:val="center"/>
              <w:rPr>
                <w:rFonts w:ascii="Arial" w:hAnsi="Arial" w:eastAsia="华文细黑" w:cs="Arial"/>
                <w:sz w:val="18"/>
                <w:szCs w:val="18"/>
                <w:highlight w:val="none"/>
              </w:rPr>
            </w:pPr>
            <w:r>
              <w:rPr>
                <w:rFonts w:ascii="Arial" w:hAnsi="Arial" w:eastAsia="华文细黑" w:cs="Arial"/>
                <w:sz w:val="18"/>
                <w:szCs w:val="18"/>
                <w:highlight w:val="none"/>
              </w:rPr>
              <w:t>标准房2</w:t>
            </w:r>
          </w:p>
        </w:tc>
        <w:tc>
          <w:tcPr>
            <w:tcW w:w="1625" w:type="dxa"/>
            <w:vAlign w:val="top"/>
          </w:tcPr>
          <w:p w14:paraId="15AB4BDC">
            <w:pPr>
              <w:snapToGrid w:val="0"/>
              <w:spacing w:line="240" w:lineRule="exact"/>
              <w:jc w:val="center"/>
              <w:rPr>
                <w:rFonts w:ascii="Arial" w:hAnsi="Arial" w:eastAsia="华文细黑" w:cs="Arial"/>
                <w:sz w:val="18"/>
                <w:szCs w:val="18"/>
                <w:highlight w:val="none"/>
              </w:rPr>
            </w:pPr>
            <w:r>
              <w:rPr>
                <w:rFonts w:ascii="Arial" w:hAnsi="Arial" w:eastAsia="华文细黑" w:cs="Arial"/>
                <w:sz w:val="18"/>
                <w:szCs w:val="18"/>
                <w:highlight w:val="none"/>
              </w:rPr>
              <w:t>两两居</w:t>
            </w:r>
          </w:p>
        </w:tc>
        <w:tc>
          <w:tcPr>
            <w:tcW w:w="1693" w:type="dxa"/>
            <w:vAlign w:val="top"/>
          </w:tcPr>
          <w:p w14:paraId="6789E719">
            <w:pPr>
              <w:snapToGrid w:val="0"/>
              <w:spacing w:line="240" w:lineRule="exact"/>
              <w:jc w:val="center"/>
              <w:rPr>
                <w:rFonts w:ascii="Arial" w:hAnsi="Arial" w:eastAsia="华文细黑" w:cs="Arial"/>
                <w:sz w:val="18"/>
                <w:szCs w:val="18"/>
                <w:highlight w:val="none"/>
              </w:rPr>
            </w:pPr>
            <w:r>
              <w:rPr>
                <w:rFonts w:hint="eastAsia" w:ascii="Arial" w:hAnsi="Arial" w:eastAsia="华文细黑" w:cs="Arial"/>
                <w:sz w:val="18"/>
                <w:szCs w:val="18"/>
                <w:highlight w:val="none"/>
                <w:lang w:val="en-US" w:eastAsia="zh-CN"/>
              </w:rPr>
              <w:t>87.36</w:t>
            </w:r>
          </w:p>
        </w:tc>
        <w:tc>
          <w:tcPr>
            <w:tcW w:w="1557" w:type="dxa"/>
            <w:vAlign w:val="top"/>
          </w:tcPr>
          <w:p w14:paraId="3073A26B">
            <w:pPr>
              <w:snapToGrid w:val="0"/>
              <w:spacing w:line="240" w:lineRule="exact"/>
              <w:jc w:val="center"/>
              <w:rPr>
                <w:rFonts w:ascii="Arial" w:hAnsi="Arial" w:eastAsia="华文细黑" w:cs="Arial"/>
                <w:sz w:val="18"/>
                <w:szCs w:val="18"/>
                <w:highlight w:val="none"/>
              </w:rPr>
            </w:pPr>
            <w:r>
              <w:rPr>
                <w:rFonts w:hint="eastAsia" w:ascii="Arial" w:hAnsi="Arial" w:eastAsia="华文细黑" w:cs="Arial"/>
                <w:sz w:val="18"/>
                <w:szCs w:val="18"/>
                <w:highlight w:val="none"/>
                <w:lang w:val="en-US" w:eastAsia="zh-CN"/>
              </w:rPr>
              <w:t>南北</w:t>
            </w:r>
          </w:p>
        </w:tc>
        <w:tc>
          <w:tcPr>
            <w:tcW w:w="1491" w:type="dxa"/>
            <w:vAlign w:val="top"/>
          </w:tcPr>
          <w:p w14:paraId="5F2AB1C5">
            <w:pPr>
              <w:snapToGrid w:val="0"/>
              <w:spacing w:line="240" w:lineRule="exact"/>
              <w:jc w:val="center"/>
              <w:rPr>
                <w:rFonts w:ascii="Arial" w:hAnsi="Arial" w:eastAsia="华文细黑" w:cs="Arial"/>
                <w:sz w:val="18"/>
                <w:szCs w:val="18"/>
                <w:highlight w:val="none"/>
              </w:rPr>
            </w:pPr>
            <w:r>
              <w:rPr>
                <w:rFonts w:hint="eastAsia" w:ascii="华文细黑" w:hAnsi="华文细黑" w:eastAsia="华文细黑" w:cs="Arial"/>
                <w:sz w:val="18"/>
                <w:szCs w:val="18"/>
                <w:highlight w:val="none"/>
                <w:lang w:val="en-US" w:eastAsia="zh-CN"/>
              </w:rPr>
              <w:t>中</w:t>
            </w:r>
            <w:r>
              <w:rPr>
                <w:rFonts w:hint="eastAsia" w:ascii="华文细黑" w:hAnsi="华文细黑" w:eastAsia="华文细黑" w:cs="Arial"/>
                <w:sz w:val="18"/>
                <w:szCs w:val="18"/>
                <w:highlight w:val="none"/>
              </w:rPr>
              <w:t>楼层</w:t>
            </w:r>
          </w:p>
        </w:tc>
        <w:tc>
          <w:tcPr>
            <w:tcW w:w="1491" w:type="dxa"/>
            <w:vAlign w:val="top"/>
          </w:tcPr>
          <w:p w14:paraId="03F2B6AD">
            <w:pPr>
              <w:snapToGrid w:val="0"/>
              <w:spacing w:line="240" w:lineRule="exact"/>
              <w:jc w:val="center"/>
              <w:rPr>
                <w:rFonts w:ascii="Arial" w:hAnsi="Arial" w:eastAsia="华文细黑" w:cs="Arial"/>
                <w:sz w:val="18"/>
                <w:szCs w:val="18"/>
                <w:highlight w:val="none"/>
              </w:rPr>
            </w:pPr>
            <w:r>
              <w:rPr>
                <w:rFonts w:hint="eastAsia" w:ascii="华文细黑" w:hAnsi="华文细黑" w:eastAsia="华文细黑" w:cs="Arial"/>
                <w:sz w:val="18"/>
                <w:szCs w:val="18"/>
                <w:highlight w:val="none"/>
              </w:rPr>
              <w:t>精装修</w:t>
            </w:r>
          </w:p>
        </w:tc>
      </w:tr>
      <w:tr w14:paraId="3CFFE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45ED5D8D">
            <w:pPr>
              <w:snapToGrid w:val="0"/>
              <w:spacing w:line="240" w:lineRule="exact"/>
              <w:jc w:val="center"/>
              <w:rPr>
                <w:rFonts w:ascii="Arial" w:hAnsi="Arial" w:eastAsia="华文细黑" w:cs="Arial"/>
                <w:sz w:val="18"/>
                <w:szCs w:val="18"/>
                <w:highlight w:val="none"/>
              </w:rPr>
            </w:pPr>
            <w:r>
              <w:rPr>
                <w:rFonts w:ascii="Arial" w:hAnsi="Arial" w:eastAsia="华文细黑" w:cs="Arial"/>
                <w:sz w:val="18"/>
                <w:szCs w:val="18"/>
                <w:highlight w:val="none"/>
              </w:rPr>
              <w:t>标准房3</w:t>
            </w:r>
          </w:p>
        </w:tc>
        <w:tc>
          <w:tcPr>
            <w:tcW w:w="1625" w:type="dxa"/>
            <w:vAlign w:val="top"/>
          </w:tcPr>
          <w:p w14:paraId="3E2AC569">
            <w:pPr>
              <w:snapToGrid w:val="0"/>
              <w:spacing w:line="240" w:lineRule="exact"/>
              <w:jc w:val="center"/>
              <w:rPr>
                <w:rFonts w:ascii="Arial" w:hAnsi="Arial" w:eastAsia="华文细黑" w:cs="Arial"/>
                <w:sz w:val="18"/>
                <w:szCs w:val="18"/>
                <w:highlight w:val="none"/>
              </w:rPr>
            </w:pPr>
            <w:r>
              <w:rPr>
                <w:rFonts w:hint="eastAsia" w:ascii="Arial" w:hAnsi="Arial" w:eastAsia="华文细黑" w:cs="Arial"/>
                <w:sz w:val="18"/>
                <w:szCs w:val="18"/>
                <w:highlight w:val="none"/>
                <w:lang w:val="en-US" w:eastAsia="zh-CN"/>
              </w:rPr>
              <w:t>三</w:t>
            </w:r>
            <w:r>
              <w:rPr>
                <w:rFonts w:ascii="Arial" w:hAnsi="Arial" w:eastAsia="华文细黑" w:cs="Arial"/>
                <w:sz w:val="18"/>
                <w:szCs w:val="18"/>
                <w:highlight w:val="none"/>
              </w:rPr>
              <w:t>居室</w:t>
            </w:r>
          </w:p>
        </w:tc>
        <w:tc>
          <w:tcPr>
            <w:tcW w:w="1693" w:type="dxa"/>
            <w:vAlign w:val="top"/>
          </w:tcPr>
          <w:p w14:paraId="09E42929">
            <w:pPr>
              <w:snapToGrid w:val="0"/>
              <w:spacing w:line="240" w:lineRule="exact"/>
              <w:jc w:val="center"/>
              <w:rPr>
                <w:rFonts w:ascii="Arial" w:hAnsi="Arial" w:eastAsia="华文细黑" w:cs="Arial"/>
                <w:sz w:val="18"/>
                <w:szCs w:val="18"/>
                <w:highlight w:val="none"/>
              </w:rPr>
            </w:pPr>
            <w:r>
              <w:rPr>
                <w:rFonts w:hint="eastAsia" w:ascii="Arial" w:hAnsi="Arial" w:eastAsia="华文细黑" w:cs="Arial"/>
                <w:sz w:val="18"/>
                <w:szCs w:val="18"/>
                <w:highlight w:val="none"/>
                <w:lang w:val="en-US" w:eastAsia="zh-CN"/>
              </w:rPr>
              <w:t>128.85</w:t>
            </w:r>
          </w:p>
        </w:tc>
        <w:tc>
          <w:tcPr>
            <w:tcW w:w="1557" w:type="dxa"/>
            <w:vAlign w:val="top"/>
          </w:tcPr>
          <w:p w14:paraId="110BBF79">
            <w:pPr>
              <w:snapToGrid w:val="0"/>
              <w:spacing w:line="240" w:lineRule="exact"/>
              <w:jc w:val="center"/>
              <w:rPr>
                <w:rFonts w:ascii="Arial" w:hAnsi="Arial" w:eastAsia="华文细黑" w:cs="Arial"/>
                <w:sz w:val="18"/>
                <w:szCs w:val="18"/>
                <w:highlight w:val="none"/>
              </w:rPr>
            </w:pPr>
            <w:r>
              <w:rPr>
                <w:rFonts w:hint="eastAsia" w:ascii="Arial" w:hAnsi="Arial" w:eastAsia="华文细黑" w:cs="Arial"/>
                <w:sz w:val="18"/>
                <w:szCs w:val="18"/>
                <w:highlight w:val="none"/>
                <w:lang w:val="en-US" w:eastAsia="zh-CN"/>
              </w:rPr>
              <w:t>南北</w:t>
            </w:r>
          </w:p>
        </w:tc>
        <w:tc>
          <w:tcPr>
            <w:tcW w:w="1491" w:type="dxa"/>
            <w:vAlign w:val="top"/>
          </w:tcPr>
          <w:p w14:paraId="0ABD3391">
            <w:pPr>
              <w:snapToGrid w:val="0"/>
              <w:spacing w:line="240" w:lineRule="exact"/>
              <w:jc w:val="center"/>
              <w:rPr>
                <w:rFonts w:ascii="Arial" w:hAnsi="Arial" w:eastAsia="华文细黑" w:cs="Arial"/>
                <w:sz w:val="18"/>
                <w:szCs w:val="18"/>
                <w:highlight w:val="none"/>
              </w:rPr>
            </w:pPr>
            <w:r>
              <w:rPr>
                <w:rFonts w:hint="eastAsia" w:ascii="华文细黑" w:hAnsi="华文细黑" w:eastAsia="华文细黑" w:cs="Arial"/>
                <w:sz w:val="18"/>
                <w:szCs w:val="18"/>
                <w:highlight w:val="none"/>
                <w:lang w:val="en-US" w:eastAsia="zh-CN"/>
              </w:rPr>
              <w:t>中</w:t>
            </w:r>
            <w:r>
              <w:rPr>
                <w:rFonts w:hint="eastAsia" w:ascii="华文细黑" w:hAnsi="华文细黑" w:eastAsia="华文细黑" w:cs="Arial"/>
                <w:sz w:val="18"/>
                <w:szCs w:val="18"/>
                <w:highlight w:val="none"/>
              </w:rPr>
              <w:t>楼层</w:t>
            </w:r>
          </w:p>
        </w:tc>
        <w:tc>
          <w:tcPr>
            <w:tcW w:w="1491" w:type="dxa"/>
            <w:vAlign w:val="top"/>
          </w:tcPr>
          <w:p w14:paraId="176FF468">
            <w:pPr>
              <w:snapToGrid w:val="0"/>
              <w:spacing w:line="240" w:lineRule="exact"/>
              <w:jc w:val="center"/>
              <w:rPr>
                <w:rFonts w:ascii="Arial" w:hAnsi="Arial" w:eastAsia="华文细黑" w:cs="Arial"/>
                <w:sz w:val="18"/>
                <w:szCs w:val="18"/>
                <w:highlight w:val="none"/>
              </w:rPr>
            </w:pPr>
            <w:r>
              <w:rPr>
                <w:rFonts w:hint="eastAsia" w:ascii="华文细黑" w:hAnsi="华文细黑" w:eastAsia="华文细黑" w:cs="Arial"/>
                <w:sz w:val="18"/>
                <w:szCs w:val="18"/>
                <w:highlight w:val="none"/>
              </w:rPr>
              <w:t>精装修</w:t>
            </w:r>
          </w:p>
        </w:tc>
      </w:tr>
    </w:tbl>
    <w:p w14:paraId="4112B097">
      <w:pPr>
        <w:pStyle w:val="18"/>
        <w:spacing w:before="240" w:beforeLines="100" w:line="480" w:lineRule="auto"/>
        <w:ind w:firstLine="422" w:firstLineChars="200"/>
        <w:rPr>
          <w:rFonts w:ascii="Arial" w:hAnsi="Arial" w:eastAsia="宋体" w:cs="Arial"/>
          <w:sz w:val="21"/>
          <w:szCs w:val="21"/>
          <w:highlight w:val="none"/>
        </w:rPr>
      </w:pPr>
      <w:r>
        <w:rPr>
          <w:rFonts w:ascii="Arial" w:hAnsi="Arial" w:eastAsia="宋体" w:cs="Arial"/>
          <w:sz w:val="21"/>
          <w:szCs w:val="21"/>
          <w:highlight w:val="none"/>
        </w:rPr>
        <w:t>（</w:t>
      </w:r>
      <w:r>
        <w:rPr>
          <w:rFonts w:hint="eastAsia" w:ascii="Arial" w:hAnsi="Arial" w:eastAsia="宋体" w:cs="Arial"/>
          <w:sz w:val="21"/>
          <w:szCs w:val="21"/>
          <w:highlight w:val="none"/>
        </w:rPr>
        <w:t>二</w:t>
      </w:r>
      <w:r>
        <w:rPr>
          <w:rFonts w:ascii="Arial" w:hAnsi="Arial" w:eastAsia="宋体" w:cs="Arial"/>
          <w:sz w:val="21"/>
          <w:szCs w:val="21"/>
          <w:highlight w:val="none"/>
        </w:rPr>
        <w:t>）</w:t>
      </w:r>
      <w:r>
        <w:rPr>
          <w:rFonts w:hint="eastAsia" w:ascii="Arial" w:hAnsi="Arial" w:eastAsia="宋体" w:cs="Arial"/>
          <w:sz w:val="21"/>
          <w:szCs w:val="21"/>
          <w:highlight w:val="none"/>
        </w:rPr>
        <w:t>比较法测算过程</w:t>
      </w:r>
    </w:p>
    <w:p w14:paraId="050D5B57">
      <w:pPr>
        <w:wordWrap w:val="0"/>
        <w:overflowPunct w:val="0"/>
        <w:spacing w:line="480" w:lineRule="auto"/>
        <w:ind w:firstLine="420" w:firstLineChars="200"/>
        <w:rPr>
          <w:rFonts w:ascii="Arial" w:hAnsi="Arial" w:cs="Arial"/>
          <w:sz w:val="21"/>
          <w:szCs w:val="21"/>
          <w:highlight w:val="none"/>
        </w:rPr>
      </w:pPr>
      <w:r>
        <w:rPr>
          <w:rFonts w:ascii="Arial" w:hAnsi="Arial" w:cs="Arial"/>
          <w:sz w:val="21"/>
          <w:szCs w:val="21"/>
          <w:highlight w:val="none"/>
        </w:rPr>
        <w:t>根据评估专业人员所掌握的市场资料，采用房地产交易中的替代原则，选取与估价对象类似用途的案例，并分别进行交易情况、市场状况、项目类型、房地产状况（权益、区位、实物）的修正和调整。</w:t>
      </w:r>
    </w:p>
    <w:p w14:paraId="6C75BAD8">
      <w:pPr>
        <w:wordWrap w:val="0"/>
        <w:overflowPunct w:val="0"/>
        <w:spacing w:line="480" w:lineRule="auto"/>
        <w:ind w:firstLine="422" w:firstLineChars="200"/>
        <w:rPr>
          <w:rFonts w:ascii="Arial" w:hAnsi="Arial" w:cs="Arial"/>
          <w:b/>
          <w:sz w:val="21"/>
          <w:szCs w:val="21"/>
          <w:highlight w:val="none"/>
        </w:rPr>
      </w:pPr>
      <w:r>
        <w:rPr>
          <w:rFonts w:hint="eastAsia" w:ascii="Arial" w:hAnsi="Arial" w:cs="Arial"/>
          <w:b/>
          <w:sz w:val="21"/>
          <w:szCs w:val="21"/>
          <w:highlight w:val="none"/>
        </w:rPr>
        <w:t>A.标准房1（</w:t>
      </w:r>
      <w:r>
        <w:rPr>
          <w:rFonts w:hint="eastAsia" w:ascii="宋体" w:hAnsi="宋体"/>
          <w:b/>
          <w:sz w:val="21"/>
          <w:szCs w:val="21"/>
          <w:highlight w:val="none"/>
        </w:rPr>
        <w:t>一居室标准房市场租金水平）</w:t>
      </w:r>
    </w:p>
    <w:p w14:paraId="7B8DF10B">
      <w:pPr>
        <w:wordWrap w:val="0"/>
        <w:overflowPunct w:val="0"/>
        <w:spacing w:line="480" w:lineRule="auto"/>
        <w:ind w:firstLine="420" w:firstLineChars="200"/>
        <w:rPr>
          <w:rFonts w:ascii="Arial" w:hAnsi="Arial" w:cs="Arial"/>
          <w:sz w:val="21"/>
          <w:szCs w:val="21"/>
          <w:highlight w:val="none"/>
        </w:rPr>
      </w:pPr>
      <w:r>
        <w:rPr>
          <w:rFonts w:ascii="Arial" w:hAnsi="Arial" w:cs="Arial"/>
          <w:sz w:val="21"/>
          <w:szCs w:val="21"/>
          <w:highlight w:val="none"/>
        </w:rPr>
        <w:t>1.选取案例并作因素条件说明</w:t>
      </w:r>
    </w:p>
    <w:p w14:paraId="0F652783">
      <w:pPr>
        <w:wordWrap w:val="0"/>
        <w:overflowPunct w:val="0"/>
        <w:spacing w:line="480" w:lineRule="auto"/>
        <w:ind w:firstLine="420" w:firstLineChars="200"/>
        <w:rPr>
          <w:rFonts w:ascii="Arial" w:hAnsi="Arial" w:cs="Arial"/>
          <w:sz w:val="21"/>
          <w:szCs w:val="21"/>
          <w:highlight w:val="none"/>
        </w:rPr>
      </w:pPr>
      <w:r>
        <w:rPr>
          <w:rFonts w:ascii="Arial" w:hAnsi="Arial" w:cs="Arial"/>
          <w:sz w:val="21"/>
          <w:szCs w:val="21"/>
          <w:highlight w:val="none"/>
        </w:rPr>
        <w:t>通过对北京市</w:t>
      </w:r>
      <w:r>
        <w:rPr>
          <w:rFonts w:hint="eastAsia" w:ascii="Arial" w:hAnsi="Arial" w:cs="Arial"/>
          <w:sz w:val="21"/>
          <w:szCs w:val="21"/>
          <w:highlight w:val="none"/>
        </w:rPr>
        <w:t>大兴</w:t>
      </w:r>
      <w:r>
        <w:rPr>
          <w:rFonts w:ascii="Arial" w:hAnsi="Arial" w:cs="Arial"/>
          <w:sz w:val="21"/>
          <w:szCs w:val="21"/>
          <w:highlight w:val="none"/>
        </w:rPr>
        <w:t>区</w:t>
      </w:r>
      <w:r>
        <w:rPr>
          <w:rFonts w:hint="eastAsia" w:ascii="Arial" w:hAnsi="Arial" w:cs="Arial"/>
          <w:sz w:val="21"/>
          <w:szCs w:val="21"/>
          <w:highlight w:val="none"/>
          <w:lang w:val="en-US" w:eastAsia="zh-CN"/>
        </w:rPr>
        <w:t>采育镇周边</w:t>
      </w:r>
      <w:r>
        <w:rPr>
          <w:rFonts w:hint="eastAsia" w:ascii="Arial" w:hAnsi="Arial" w:cs="Arial"/>
          <w:sz w:val="21"/>
          <w:szCs w:val="21"/>
          <w:highlight w:val="none"/>
        </w:rPr>
        <w:t>住宅</w:t>
      </w:r>
      <w:r>
        <w:rPr>
          <w:rFonts w:ascii="Arial" w:hAnsi="Arial" w:cs="Arial"/>
          <w:sz w:val="21"/>
          <w:szCs w:val="21"/>
          <w:highlight w:val="none"/>
        </w:rPr>
        <w:t>市场的调查，选取近期同一供需圈内邻近地区的三个租赁</w:t>
      </w:r>
      <w:r>
        <w:rPr>
          <w:rFonts w:hint="eastAsia" w:ascii="Arial" w:hAnsi="Arial" w:cs="Arial"/>
          <w:sz w:val="21"/>
          <w:szCs w:val="21"/>
          <w:highlight w:val="none"/>
        </w:rPr>
        <w:t>实例</w:t>
      </w:r>
      <w:r>
        <w:rPr>
          <w:rFonts w:ascii="Arial" w:hAnsi="Arial" w:cs="Arial"/>
          <w:sz w:val="21"/>
          <w:szCs w:val="21"/>
          <w:highlight w:val="none"/>
        </w:rPr>
        <w:t>进行比较。</w:t>
      </w:r>
    </w:p>
    <w:p w14:paraId="36A99173">
      <w:pPr>
        <w:wordWrap w:val="0"/>
        <w:overflowPunct w:val="0"/>
        <w:spacing w:line="480" w:lineRule="auto"/>
        <w:ind w:firstLine="420" w:firstLineChars="200"/>
        <w:rPr>
          <w:rFonts w:ascii="Arial" w:hAnsi="Arial" w:cs="Arial"/>
          <w:sz w:val="21"/>
          <w:szCs w:val="21"/>
          <w:highlight w:val="none"/>
        </w:rPr>
      </w:pPr>
      <w:r>
        <w:rPr>
          <w:rFonts w:hint="eastAsia" w:ascii="Arial" w:hAnsi="Arial" w:cs="Arial"/>
          <w:sz w:val="21"/>
          <w:szCs w:val="21"/>
          <w:highlight w:val="none"/>
        </w:rPr>
        <w:t>可比实例1</w:t>
      </w:r>
      <w:r>
        <w:rPr>
          <w:rFonts w:ascii="Arial" w:hAnsi="Arial" w:cs="Arial"/>
          <w:sz w:val="21"/>
          <w:szCs w:val="21"/>
          <w:highlight w:val="none"/>
        </w:rPr>
        <w:t>：</w:t>
      </w:r>
    </w:p>
    <w:p w14:paraId="223DBFD9">
      <w:pPr>
        <w:wordWrap w:val="0"/>
        <w:overflowPunct w:val="0"/>
        <w:spacing w:line="480" w:lineRule="auto"/>
        <w:ind w:firstLine="420" w:firstLineChars="200"/>
        <w:rPr>
          <w:rFonts w:ascii="Arial" w:hAnsi="Arial" w:cs="Arial"/>
          <w:sz w:val="21"/>
          <w:szCs w:val="21"/>
          <w:highlight w:val="none"/>
        </w:rPr>
      </w:pPr>
      <w:r>
        <w:rPr>
          <w:rFonts w:ascii="Arial" w:hAnsi="Arial" w:cs="Arial"/>
          <w:sz w:val="21"/>
          <w:szCs w:val="21"/>
          <w:highlight w:val="none"/>
        </w:rPr>
        <w:t>•项目名称：</w:t>
      </w:r>
      <w:r>
        <w:rPr>
          <w:rFonts w:hint="eastAsia" w:ascii="Arial" w:hAnsi="Arial" w:cs="Arial"/>
          <w:sz w:val="21"/>
          <w:szCs w:val="21"/>
          <w:highlight w:val="none"/>
        </w:rPr>
        <w:t>恒盛波尔多小镇南区</w:t>
      </w:r>
    </w:p>
    <w:p w14:paraId="35F59DDB">
      <w:pPr>
        <w:wordWrap w:val="0"/>
        <w:overflowPunct w:val="0"/>
        <w:spacing w:line="480" w:lineRule="auto"/>
        <w:ind w:firstLine="420" w:firstLineChars="200"/>
        <w:rPr>
          <w:rFonts w:hint="eastAsia" w:ascii="Arial" w:hAnsi="Arial" w:cs="Arial"/>
          <w:sz w:val="21"/>
          <w:szCs w:val="21"/>
          <w:highlight w:val="none"/>
        </w:rPr>
      </w:pPr>
      <w:r>
        <w:rPr>
          <w:rFonts w:ascii="Arial" w:hAnsi="Arial" w:cs="Arial"/>
          <w:sz w:val="21"/>
          <w:szCs w:val="21"/>
          <w:highlight w:val="none"/>
        </w:rPr>
        <w:t>•项目坐落：</w:t>
      </w:r>
      <w:r>
        <w:rPr>
          <w:rFonts w:hint="eastAsia" w:ascii="Arial" w:hAnsi="Arial" w:cs="Arial"/>
          <w:sz w:val="21"/>
          <w:szCs w:val="21"/>
          <w:highlight w:val="none"/>
        </w:rPr>
        <w:t>大兴区</w:t>
      </w:r>
      <w:r>
        <w:rPr>
          <w:rFonts w:hint="eastAsia" w:ascii="Arial" w:hAnsi="Arial" w:cs="Arial"/>
          <w:sz w:val="21"/>
          <w:szCs w:val="21"/>
          <w:highlight w:val="none"/>
          <w:lang w:val="en-US" w:eastAsia="zh-CN"/>
        </w:rPr>
        <w:t>采育镇</w:t>
      </w:r>
      <w:r>
        <w:rPr>
          <w:rFonts w:hint="eastAsia" w:ascii="Arial" w:hAnsi="Arial" w:cs="Arial"/>
          <w:sz w:val="21"/>
          <w:szCs w:val="21"/>
          <w:highlight w:val="none"/>
        </w:rPr>
        <w:t>育镇街32号</w:t>
      </w:r>
    </w:p>
    <w:p w14:paraId="2AB5B2FA">
      <w:pPr>
        <w:wordWrap w:val="0"/>
        <w:overflowPunct w:val="0"/>
        <w:spacing w:line="480" w:lineRule="auto"/>
        <w:ind w:firstLine="420" w:firstLineChars="200"/>
        <w:rPr>
          <w:rFonts w:ascii="Arial" w:hAnsi="Arial" w:cs="Arial"/>
          <w:sz w:val="21"/>
          <w:szCs w:val="21"/>
          <w:highlight w:val="none"/>
        </w:rPr>
      </w:pPr>
      <w:r>
        <w:rPr>
          <w:rFonts w:ascii="Arial" w:hAnsi="Arial" w:cs="Arial"/>
          <w:sz w:val="21"/>
          <w:szCs w:val="21"/>
          <w:highlight w:val="none"/>
        </w:rPr>
        <w:t>•交易时间：202</w:t>
      </w:r>
      <w:r>
        <w:rPr>
          <w:rFonts w:hint="eastAsia" w:ascii="Arial" w:hAnsi="Arial" w:cs="Arial"/>
          <w:sz w:val="21"/>
          <w:szCs w:val="21"/>
          <w:highlight w:val="none"/>
          <w:lang w:val="en-US" w:eastAsia="zh-CN"/>
        </w:rPr>
        <w:t>5</w:t>
      </w:r>
      <w:r>
        <w:rPr>
          <w:rFonts w:ascii="Arial" w:hAnsi="Arial" w:cs="Arial"/>
          <w:sz w:val="21"/>
          <w:szCs w:val="21"/>
          <w:highlight w:val="none"/>
        </w:rPr>
        <w:t>年</w:t>
      </w:r>
      <w:r>
        <w:rPr>
          <w:rFonts w:hint="eastAsia" w:ascii="Arial" w:hAnsi="Arial" w:cs="Arial"/>
          <w:sz w:val="21"/>
          <w:szCs w:val="21"/>
          <w:highlight w:val="none"/>
          <w:lang w:val="en-US" w:eastAsia="zh-CN"/>
        </w:rPr>
        <w:t>12</w:t>
      </w:r>
      <w:r>
        <w:rPr>
          <w:rFonts w:ascii="Arial" w:hAnsi="Arial" w:cs="Arial"/>
          <w:sz w:val="21"/>
          <w:szCs w:val="21"/>
          <w:highlight w:val="none"/>
        </w:rPr>
        <w:t>月</w:t>
      </w:r>
    </w:p>
    <w:p w14:paraId="179FE130">
      <w:pPr>
        <w:wordWrap w:val="0"/>
        <w:overflowPunct w:val="0"/>
        <w:spacing w:line="480" w:lineRule="auto"/>
        <w:ind w:firstLine="420" w:firstLineChars="200"/>
        <w:rPr>
          <w:rFonts w:ascii="Arial" w:hAnsi="Arial" w:cs="Arial"/>
          <w:sz w:val="21"/>
          <w:szCs w:val="21"/>
          <w:highlight w:val="none"/>
        </w:rPr>
      </w:pPr>
      <w:r>
        <w:rPr>
          <w:rFonts w:ascii="Arial" w:hAnsi="Arial" w:cs="Arial"/>
          <w:sz w:val="21"/>
          <w:szCs w:val="21"/>
          <w:highlight w:val="none"/>
        </w:rPr>
        <w:t>•交易情况：正常出租</w:t>
      </w:r>
    </w:p>
    <w:p w14:paraId="6B8EA309">
      <w:pPr>
        <w:wordWrap w:val="0"/>
        <w:overflowPunct w:val="0"/>
        <w:spacing w:line="480" w:lineRule="auto"/>
        <w:ind w:firstLine="420" w:firstLineChars="200"/>
        <w:rPr>
          <w:rFonts w:ascii="Arial" w:hAnsi="Arial" w:cs="Arial"/>
          <w:sz w:val="21"/>
          <w:szCs w:val="21"/>
          <w:highlight w:val="none"/>
        </w:rPr>
      </w:pPr>
      <w:r>
        <w:rPr>
          <w:rFonts w:ascii="Arial" w:hAnsi="Arial" w:cs="Arial"/>
          <w:sz w:val="21"/>
          <w:szCs w:val="21"/>
          <w:highlight w:val="none"/>
        </w:rPr>
        <w:t>•用途：住宅</w:t>
      </w:r>
    </w:p>
    <w:p w14:paraId="5A117DBD">
      <w:pPr>
        <w:wordWrap w:val="0"/>
        <w:overflowPunct w:val="0"/>
        <w:spacing w:line="480" w:lineRule="auto"/>
        <w:ind w:firstLine="420" w:firstLineChars="200"/>
        <w:jc w:val="both"/>
        <w:rPr>
          <w:rFonts w:ascii="Arial" w:hAnsi="Arial" w:cs="Arial"/>
          <w:sz w:val="21"/>
          <w:szCs w:val="21"/>
          <w:highlight w:val="none"/>
        </w:rPr>
      </w:pPr>
      <w:r>
        <w:rPr>
          <w:rFonts w:hint="eastAsia" w:ascii="Arial" w:hAnsi="Arial" w:cs="Arial"/>
          <w:sz w:val="21"/>
          <w:szCs w:val="21"/>
          <w:highlight w:val="none"/>
        </w:rPr>
        <w:t>可比实例1周边有</w:t>
      </w:r>
      <w:r>
        <w:rPr>
          <w:rFonts w:hint="eastAsia" w:ascii="Arial" w:hAnsi="Arial" w:cs="Arial"/>
          <w:kern w:val="2"/>
          <w:sz w:val="21"/>
          <w:szCs w:val="21"/>
          <w:highlight w:val="none"/>
        </w:rPr>
        <w:t>兴创荣墅、住总兴创如遇、</w:t>
      </w:r>
      <w:r>
        <w:rPr>
          <w:rFonts w:hint="eastAsia" w:ascii="Arial" w:hAnsi="Arial" w:cs="Arial"/>
          <w:kern w:val="2"/>
          <w:sz w:val="21"/>
          <w:szCs w:val="21"/>
          <w:highlight w:val="none"/>
          <w:lang w:val="en-US" w:eastAsia="zh-CN"/>
        </w:rPr>
        <w:t>阳光</w:t>
      </w:r>
      <w:r>
        <w:rPr>
          <w:rFonts w:hint="eastAsia" w:ascii="Arial" w:hAnsi="Arial" w:cs="Arial"/>
          <w:kern w:val="2"/>
          <w:sz w:val="21"/>
          <w:szCs w:val="21"/>
          <w:highlight w:val="none"/>
        </w:rPr>
        <w:t>波尔多</w:t>
      </w:r>
      <w:r>
        <w:rPr>
          <w:rFonts w:hint="eastAsia" w:ascii="Arial" w:hAnsi="Arial" w:cs="Arial"/>
          <w:kern w:val="2"/>
          <w:sz w:val="21"/>
          <w:szCs w:val="21"/>
          <w:highlight w:val="none"/>
          <w:lang w:eastAsia="zh-CN"/>
        </w:rPr>
        <w:t>、</w:t>
      </w:r>
      <w:r>
        <w:rPr>
          <w:rFonts w:hint="eastAsia" w:ascii="Arial" w:hAnsi="Arial" w:cs="Arial"/>
          <w:kern w:val="2"/>
          <w:sz w:val="21"/>
          <w:szCs w:val="21"/>
          <w:highlight w:val="none"/>
          <w:lang w:val="en-US" w:eastAsia="zh-CN"/>
        </w:rPr>
        <w:t>蓝天花园</w:t>
      </w:r>
      <w:r>
        <w:rPr>
          <w:rFonts w:hint="eastAsia" w:ascii="Arial" w:hAnsi="Arial" w:cs="Arial"/>
          <w:kern w:val="2"/>
          <w:sz w:val="21"/>
          <w:szCs w:val="21"/>
          <w:highlight w:val="none"/>
        </w:rPr>
        <w:t>、</w:t>
      </w:r>
      <w:r>
        <w:rPr>
          <w:rFonts w:hint="eastAsia" w:ascii="Arial" w:hAnsi="Arial" w:cs="Arial"/>
          <w:kern w:val="2"/>
          <w:sz w:val="21"/>
          <w:szCs w:val="21"/>
          <w:highlight w:val="none"/>
          <w:lang w:val="en-US" w:eastAsia="zh-CN"/>
        </w:rPr>
        <w:t>住总如院、</w:t>
      </w:r>
      <w:r>
        <w:rPr>
          <w:rFonts w:hint="eastAsia" w:ascii="Arial" w:hAnsi="Arial" w:cs="Arial"/>
          <w:kern w:val="2"/>
          <w:sz w:val="21"/>
          <w:szCs w:val="21"/>
          <w:highlight w:val="none"/>
        </w:rPr>
        <w:t>路劲御合院、北京城建宽院国誉府等</w:t>
      </w:r>
      <w:r>
        <w:rPr>
          <w:rFonts w:hint="eastAsia" w:ascii="Arial" w:hAnsi="Arial" w:cs="Arial"/>
          <w:kern w:val="2"/>
          <w:sz w:val="21"/>
          <w:szCs w:val="21"/>
          <w:highlight w:val="none"/>
          <w:lang w:eastAsia="zh-CN"/>
        </w:rPr>
        <w:t>，</w:t>
      </w:r>
      <w:r>
        <w:rPr>
          <w:rFonts w:hint="eastAsia" w:ascii="Arial" w:hAnsi="Arial" w:cs="Arial"/>
          <w:kern w:val="2"/>
          <w:sz w:val="21"/>
          <w:szCs w:val="21"/>
          <w:highlight w:val="none"/>
        </w:rPr>
        <w:t>居住小区规模一般，入住率一般，综合评价居住区成熟度一般</w:t>
      </w:r>
      <w:r>
        <w:rPr>
          <w:rFonts w:ascii="Arial" w:hAnsi="Arial" w:cs="Arial"/>
          <w:sz w:val="21"/>
          <w:szCs w:val="21"/>
          <w:highlight w:val="none"/>
        </w:rPr>
        <w:t>；</w:t>
      </w:r>
      <w:r>
        <w:rPr>
          <w:rFonts w:hint="eastAsia" w:ascii="Arial" w:hAnsi="Arial" w:cs="Arial"/>
          <w:sz w:val="21"/>
          <w:szCs w:val="21"/>
          <w:highlight w:val="none"/>
          <w:lang w:val="en-US" w:eastAsia="zh-CN"/>
        </w:rPr>
        <w:t>东</w:t>
      </w:r>
      <w:r>
        <w:rPr>
          <w:rFonts w:ascii="Arial" w:hAnsi="Arial" w:cs="Arial"/>
          <w:sz w:val="21"/>
          <w:szCs w:val="21"/>
          <w:highlight w:val="none"/>
        </w:rPr>
        <w:t>侧紧邻城市</w:t>
      </w:r>
      <w:r>
        <w:rPr>
          <w:rFonts w:hint="eastAsia" w:ascii="Arial" w:hAnsi="Arial" w:cs="Arial"/>
          <w:sz w:val="21"/>
          <w:szCs w:val="21"/>
          <w:highlight w:val="none"/>
          <w:lang w:val="en-US" w:eastAsia="zh-CN"/>
        </w:rPr>
        <w:t>次</w:t>
      </w:r>
      <w:r>
        <w:rPr>
          <w:rFonts w:hint="eastAsia" w:ascii="Arial" w:hAnsi="Arial" w:cs="Arial"/>
          <w:sz w:val="21"/>
          <w:szCs w:val="21"/>
          <w:highlight w:val="none"/>
        </w:rPr>
        <w:t>干道</w:t>
      </w:r>
      <w:r>
        <w:rPr>
          <w:rFonts w:ascii="Arial" w:hAnsi="Arial" w:cs="Arial"/>
          <w:sz w:val="21"/>
          <w:szCs w:val="21"/>
          <w:highlight w:val="none"/>
        </w:rPr>
        <w:t>——</w:t>
      </w:r>
      <w:r>
        <w:rPr>
          <w:rFonts w:hint="eastAsia" w:ascii="Arial" w:hAnsi="Arial" w:cs="Arial"/>
          <w:sz w:val="21"/>
          <w:szCs w:val="21"/>
          <w:highlight w:val="none"/>
          <w:lang w:val="en-US" w:eastAsia="zh-CN"/>
        </w:rPr>
        <w:t>福源路</w:t>
      </w:r>
      <w:r>
        <w:rPr>
          <w:rFonts w:ascii="Arial" w:hAnsi="Arial" w:cs="Arial"/>
          <w:sz w:val="21"/>
          <w:szCs w:val="21"/>
          <w:highlight w:val="none"/>
        </w:rPr>
        <w:t>，</w:t>
      </w:r>
      <w:r>
        <w:rPr>
          <w:rFonts w:hint="eastAsia" w:ascii="Arial" w:hAnsi="Arial" w:cs="Arial"/>
          <w:kern w:val="2"/>
          <w:sz w:val="21"/>
          <w:szCs w:val="21"/>
          <w:highlight w:val="none"/>
          <w:lang w:val="en-US" w:eastAsia="zh-CN"/>
        </w:rPr>
        <w:t>周边</w:t>
      </w:r>
      <w:r>
        <w:rPr>
          <w:rFonts w:hint="eastAsia" w:ascii="Arial" w:hAnsi="Arial" w:cs="Arial"/>
          <w:kern w:val="2"/>
          <w:sz w:val="21"/>
          <w:szCs w:val="21"/>
          <w:highlight w:val="none"/>
        </w:rPr>
        <w:t>2公里范围内无轨道交通站点，周边1公里内有926路、955路、兴20路、兴32路、兴43路、兴940路等公交线路途径并设立站点，综合评价交通便捷度</w:t>
      </w:r>
      <w:r>
        <w:rPr>
          <w:rFonts w:hint="eastAsia" w:ascii="Arial" w:hAnsi="Arial" w:cs="Arial"/>
          <w:kern w:val="2"/>
          <w:sz w:val="21"/>
          <w:szCs w:val="21"/>
          <w:highlight w:val="none"/>
          <w:lang w:val="en-US" w:eastAsia="zh-CN"/>
        </w:rPr>
        <w:t>一般；</w:t>
      </w:r>
      <w:r>
        <w:rPr>
          <w:rFonts w:ascii="Arial" w:hAnsi="Arial" w:cs="Arial"/>
          <w:sz w:val="21"/>
          <w:szCs w:val="21"/>
          <w:highlight w:val="none"/>
        </w:rPr>
        <w:t>周边有</w:t>
      </w:r>
      <w:r>
        <w:rPr>
          <w:rFonts w:hint="eastAsia" w:ascii="Arial" w:hAnsi="Arial" w:cs="Arial"/>
          <w:kern w:val="2"/>
          <w:sz w:val="21"/>
          <w:szCs w:val="21"/>
          <w:highlight w:val="none"/>
        </w:rPr>
        <w:t>采育公园、凤河</w:t>
      </w:r>
      <w:r>
        <w:rPr>
          <w:rFonts w:ascii="Arial" w:hAnsi="Arial" w:cs="Arial"/>
          <w:sz w:val="21"/>
          <w:szCs w:val="21"/>
          <w:highlight w:val="none"/>
        </w:rPr>
        <w:t>等自然景观，</w:t>
      </w:r>
      <w:r>
        <w:rPr>
          <w:rFonts w:hint="eastAsia" w:ascii="Arial" w:hAnsi="Arial" w:cs="Arial"/>
          <w:sz w:val="21"/>
          <w:szCs w:val="21"/>
          <w:highlight w:val="none"/>
        </w:rPr>
        <w:t>5公里范围内无污染源，</w:t>
      </w:r>
      <w:r>
        <w:rPr>
          <w:rFonts w:ascii="Arial" w:hAnsi="Arial" w:cs="Arial"/>
          <w:sz w:val="21"/>
          <w:szCs w:val="21"/>
          <w:highlight w:val="none"/>
        </w:rPr>
        <w:t>自然与人环境</w:t>
      </w:r>
      <w:r>
        <w:rPr>
          <w:rFonts w:hint="eastAsia" w:ascii="Arial" w:hAnsi="Arial" w:cs="Arial"/>
          <w:sz w:val="21"/>
          <w:szCs w:val="21"/>
          <w:highlight w:val="none"/>
          <w:lang w:val="en-US" w:eastAsia="zh-CN"/>
        </w:rPr>
        <w:t>一般</w:t>
      </w:r>
      <w:r>
        <w:rPr>
          <w:rFonts w:ascii="Arial" w:hAnsi="Arial" w:cs="Arial"/>
          <w:sz w:val="21"/>
          <w:szCs w:val="21"/>
          <w:highlight w:val="none"/>
        </w:rPr>
        <w:t>；周边</w:t>
      </w:r>
      <w:r>
        <w:rPr>
          <w:rFonts w:hint="eastAsia" w:ascii="Arial" w:hAnsi="Arial" w:cs="Arial"/>
          <w:kern w:val="2"/>
          <w:sz w:val="21"/>
          <w:szCs w:val="21"/>
          <w:highlight w:val="none"/>
        </w:rPr>
        <w:t>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r>
        <w:rPr>
          <w:rFonts w:ascii="Arial" w:hAnsi="Arial" w:cs="Arial"/>
          <w:sz w:val="21"/>
          <w:szCs w:val="21"/>
          <w:highlight w:val="none"/>
        </w:rPr>
        <w:t>；所在社区有专业物业公司，物业服务保障好</w:t>
      </w:r>
      <w:r>
        <w:rPr>
          <w:rFonts w:hint="eastAsia" w:ascii="Arial" w:hAnsi="Arial" w:cs="Arial"/>
          <w:sz w:val="21"/>
          <w:szCs w:val="21"/>
          <w:highlight w:val="none"/>
          <w:lang w:eastAsia="zh-CN"/>
        </w:rPr>
        <w:t>，</w:t>
      </w:r>
      <w:r>
        <w:rPr>
          <w:rFonts w:ascii="Arial" w:hAnsi="Arial" w:cs="Arial"/>
          <w:sz w:val="21"/>
          <w:szCs w:val="21"/>
          <w:highlight w:val="none"/>
        </w:rPr>
        <w:t>有一定规模的绿化，环境较好，区内未配有专属活动站；</w:t>
      </w:r>
      <w:r>
        <w:rPr>
          <w:rFonts w:hint="eastAsia" w:ascii="Arial" w:hAnsi="Arial" w:cs="Arial"/>
          <w:sz w:val="21"/>
          <w:szCs w:val="21"/>
          <w:highlight w:val="none"/>
          <w:lang w:val="en-US" w:eastAsia="zh-CN"/>
        </w:rPr>
        <w:t>社区</w:t>
      </w:r>
      <w:r>
        <w:rPr>
          <w:rFonts w:ascii="Arial" w:hAnsi="Arial" w:cs="Arial"/>
          <w:sz w:val="21"/>
          <w:szCs w:val="21"/>
          <w:highlight w:val="none"/>
        </w:rPr>
        <w:t>有一定数量的专业人员管理，居住管理一般；</w:t>
      </w:r>
      <w:r>
        <w:rPr>
          <w:rFonts w:hint="eastAsia" w:ascii="Arial" w:hAnsi="Arial" w:cs="Arial"/>
          <w:sz w:val="21"/>
          <w:szCs w:val="21"/>
          <w:highlight w:val="none"/>
        </w:rPr>
        <w:t>可比实例1</w:t>
      </w:r>
      <w:r>
        <w:rPr>
          <w:rFonts w:ascii="Arial" w:hAnsi="Arial" w:cs="Arial"/>
          <w:sz w:val="21"/>
          <w:szCs w:val="21"/>
          <w:highlight w:val="none"/>
        </w:rPr>
        <w:t>为</w:t>
      </w:r>
      <w:r>
        <w:rPr>
          <w:rFonts w:hint="eastAsia" w:ascii="Arial" w:hAnsi="Arial" w:cs="Arial"/>
          <w:sz w:val="21"/>
          <w:szCs w:val="21"/>
          <w:highlight w:val="none"/>
        </w:rPr>
        <w:t>一</w:t>
      </w:r>
      <w:r>
        <w:rPr>
          <w:rFonts w:ascii="Arial" w:hAnsi="Arial" w:cs="Arial"/>
          <w:sz w:val="21"/>
          <w:szCs w:val="21"/>
          <w:highlight w:val="none"/>
        </w:rPr>
        <w:t>居室户型，低楼层，</w:t>
      </w:r>
      <w:r>
        <w:rPr>
          <w:rFonts w:hint="eastAsia" w:ascii="Arial" w:hAnsi="Arial" w:cs="Arial"/>
          <w:sz w:val="21"/>
          <w:szCs w:val="21"/>
          <w:highlight w:val="none"/>
          <w:lang w:val="en-US" w:eastAsia="zh-CN"/>
        </w:rPr>
        <w:t>南</w:t>
      </w:r>
      <w:r>
        <w:rPr>
          <w:rFonts w:ascii="Arial" w:hAnsi="Arial" w:cs="Arial"/>
          <w:sz w:val="21"/>
          <w:szCs w:val="21"/>
          <w:highlight w:val="none"/>
        </w:rPr>
        <w:t>朝向，建成年份为</w:t>
      </w:r>
      <w:r>
        <w:rPr>
          <w:rFonts w:hint="eastAsia" w:ascii="Arial" w:hAnsi="Arial" w:cs="Arial"/>
          <w:sz w:val="21"/>
          <w:szCs w:val="21"/>
          <w:highlight w:val="none"/>
        </w:rPr>
        <w:t>2</w:t>
      </w:r>
      <w:r>
        <w:rPr>
          <w:rFonts w:ascii="Arial" w:hAnsi="Arial" w:cs="Arial"/>
          <w:sz w:val="21"/>
          <w:szCs w:val="21"/>
          <w:highlight w:val="none"/>
        </w:rPr>
        <w:t>01</w:t>
      </w:r>
      <w:r>
        <w:rPr>
          <w:rFonts w:hint="eastAsia" w:ascii="Arial" w:hAnsi="Arial" w:cs="Arial"/>
          <w:sz w:val="21"/>
          <w:szCs w:val="21"/>
          <w:highlight w:val="none"/>
          <w:lang w:val="en-US" w:eastAsia="zh-CN"/>
        </w:rPr>
        <w:t>3</w:t>
      </w:r>
      <w:r>
        <w:rPr>
          <w:rFonts w:ascii="Arial" w:hAnsi="Arial" w:cs="Arial"/>
          <w:sz w:val="21"/>
          <w:szCs w:val="21"/>
          <w:highlight w:val="none"/>
        </w:rPr>
        <w:t>年，建筑结构为</w:t>
      </w:r>
      <w:r>
        <w:rPr>
          <w:rFonts w:hint="eastAsia" w:ascii="Arial" w:hAnsi="Arial" w:cs="Arial"/>
          <w:sz w:val="21"/>
          <w:szCs w:val="21"/>
          <w:highlight w:val="none"/>
          <w:lang w:val="en-US" w:eastAsia="zh-CN"/>
        </w:rPr>
        <w:t>混合</w:t>
      </w:r>
      <w:r>
        <w:rPr>
          <w:rFonts w:ascii="Arial" w:hAnsi="Arial" w:cs="Arial"/>
          <w:sz w:val="21"/>
          <w:szCs w:val="21"/>
          <w:highlight w:val="none"/>
        </w:rPr>
        <w:t>结构，装修为精装修，建筑面积为</w:t>
      </w:r>
      <w:r>
        <w:rPr>
          <w:rFonts w:hint="eastAsia" w:ascii="Arial" w:hAnsi="Arial" w:cs="Arial"/>
          <w:sz w:val="21"/>
          <w:szCs w:val="21"/>
          <w:highlight w:val="none"/>
          <w:lang w:val="en-US" w:eastAsia="zh-CN"/>
        </w:rPr>
        <w:t>65.43</w:t>
      </w:r>
      <w:r>
        <w:rPr>
          <w:rFonts w:ascii="Arial" w:hAnsi="Arial" w:cs="Arial"/>
          <w:sz w:val="21"/>
          <w:szCs w:val="21"/>
          <w:highlight w:val="none"/>
        </w:rPr>
        <w:t>平方米，</w:t>
      </w:r>
      <w:r>
        <w:rPr>
          <w:rFonts w:hint="eastAsia" w:ascii="宋体" w:hAnsi="宋体"/>
          <w:sz w:val="21"/>
          <w:szCs w:val="21"/>
          <w:highlight w:val="none"/>
        </w:rPr>
        <w:t>配备家具、家电齐全，功能正常，质量有保证。交易价格</w:t>
      </w:r>
      <w:r>
        <w:rPr>
          <w:rFonts w:hint="eastAsia" w:ascii="Arial" w:hAnsi="Arial" w:cs="Arial"/>
          <w:sz w:val="21"/>
          <w:szCs w:val="21"/>
          <w:highlight w:val="none"/>
        </w:rPr>
        <w:t>为</w:t>
      </w:r>
      <w:r>
        <w:rPr>
          <w:rFonts w:hint="eastAsia" w:ascii="Arial" w:hAnsi="Arial" w:cs="Arial"/>
          <w:sz w:val="21"/>
          <w:szCs w:val="21"/>
          <w:highlight w:val="none"/>
          <w:lang w:val="en-US" w:eastAsia="zh-CN"/>
        </w:rPr>
        <w:t>24.45</w:t>
      </w:r>
      <w:r>
        <w:rPr>
          <w:rFonts w:hint="eastAsia" w:ascii="Arial" w:hAnsi="Arial" w:cs="Arial"/>
          <w:sz w:val="21"/>
          <w:szCs w:val="21"/>
          <w:highlight w:val="none"/>
        </w:rPr>
        <w:t>元/平方米·月（含物业费</w:t>
      </w:r>
      <w:r>
        <w:rPr>
          <w:rFonts w:hint="eastAsia" w:ascii="Arial" w:hAnsi="Arial" w:cs="Arial"/>
          <w:sz w:val="21"/>
          <w:szCs w:val="21"/>
          <w:highlight w:val="none"/>
          <w:lang w:val="en-US" w:eastAsia="zh-CN"/>
        </w:rPr>
        <w:t>1.68</w:t>
      </w:r>
      <w:r>
        <w:rPr>
          <w:rFonts w:hint="eastAsia" w:ascii="Arial" w:hAnsi="Arial" w:cs="Arial"/>
          <w:sz w:val="21"/>
          <w:szCs w:val="21"/>
          <w:highlight w:val="none"/>
        </w:rPr>
        <w:t>元/平方米·月、取暖费2.5元/平方米·月）。</w:t>
      </w:r>
    </w:p>
    <w:p w14:paraId="6C11A408">
      <w:pPr>
        <w:wordWrap w:val="0"/>
        <w:overflowPunct w:val="0"/>
        <w:spacing w:line="480" w:lineRule="auto"/>
        <w:ind w:firstLine="420" w:firstLineChars="200"/>
        <w:rPr>
          <w:rFonts w:ascii="Arial" w:hAnsi="Arial" w:cs="Arial"/>
          <w:sz w:val="21"/>
          <w:szCs w:val="21"/>
          <w:highlight w:val="none"/>
        </w:rPr>
      </w:pPr>
      <w:r>
        <w:rPr>
          <w:rFonts w:hint="eastAsia" w:ascii="Arial" w:hAnsi="Arial" w:cs="Arial"/>
          <w:sz w:val="21"/>
          <w:szCs w:val="21"/>
          <w:highlight w:val="none"/>
        </w:rPr>
        <w:t>可比实例2</w:t>
      </w:r>
      <w:r>
        <w:rPr>
          <w:rFonts w:ascii="Arial" w:hAnsi="Arial" w:cs="Arial"/>
          <w:sz w:val="21"/>
          <w:szCs w:val="21"/>
          <w:highlight w:val="none"/>
        </w:rPr>
        <w:t>：</w:t>
      </w:r>
    </w:p>
    <w:p w14:paraId="7BCEC814">
      <w:pPr>
        <w:wordWrap w:val="0"/>
        <w:overflowPunct w:val="0"/>
        <w:spacing w:line="480" w:lineRule="auto"/>
        <w:ind w:firstLine="420" w:firstLineChars="200"/>
        <w:rPr>
          <w:rFonts w:hint="default" w:ascii="Arial" w:hAnsi="Arial" w:eastAsia="宋体" w:cs="Arial"/>
          <w:sz w:val="21"/>
          <w:szCs w:val="21"/>
          <w:highlight w:val="none"/>
          <w:lang w:val="en-US" w:eastAsia="zh-CN"/>
        </w:rPr>
      </w:pPr>
      <w:r>
        <w:rPr>
          <w:rFonts w:ascii="Arial" w:hAnsi="Arial" w:cs="Arial"/>
          <w:sz w:val="21"/>
          <w:szCs w:val="21"/>
          <w:highlight w:val="none"/>
        </w:rPr>
        <w:t>•项目名称：</w:t>
      </w:r>
      <w:r>
        <w:rPr>
          <w:rFonts w:hint="eastAsia" w:ascii="Arial" w:hAnsi="Arial" w:cs="Arial"/>
          <w:sz w:val="21"/>
          <w:szCs w:val="21"/>
          <w:highlight w:val="none"/>
          <w:lang w:val="en-US" w:eastAsia="zh-CN"/>
        </w:rPr>
        <w:t>育新花园中里</w:t>
      </w:r>
    </w:p>
    <w:p w14:paraId="46DEAD2A">
      <w:pPr>
        <w:wordWrap w:val="0"/>
        <w:overflowPunct w:val="0"/>
        <w:spacing w:line="480" w:lineRule="auto"/>
        <w:ind w:firstLine="420" w:firstLineChars="200"/>
        <w:rPr>
          <w:rFonts w:ascii="Arial" w:hAnsi="Arial" w:cs="Arial"/>
          <w:sz w:val="21"/>
          <w:szCs w:val="21"/>
          <w:highlight w:val="none"/>
        </w:rPr>
      </w:pPr>
      <w:r>
        <w:rPr>
          <w:rFonts w:ascii="Arial" w:hAnsi="Arial" w:cs="Arial"/>
          <w:sz w:val="21"/>
          <w:szCs w:val="21"/>
          <w:highlight w:val="none"/>
        </w:rPr>
        <w:t>•项目坐落：</w:t>
      </w:r>
      <w:r>
        <w:rPr>
          <w:rFonts w:hint="eastAsia" w:ascii="Arial" w:hAnsi="Arial" w:cs="Arial"/>
          <w:sz w:val="21"/>
          <w:szCs w:val="21"/>
          <w:highlight w:val="none"/>
        </w:rPr>
        <w:t>大兴区</w:t>
      </w:r>
      <w:r>
        <w:rPr>
          <w:rFonts w:hint="eastAsia" w:ascii="Arial" w:hAnsi="Arial" w:cs="Arial"/>
          <w:sz w:val="21"/>
          <w:szCs w:val="21"/>
          <w:highlight w:val="none"/>
          <w:lang w:val="en-US" w:eastAsia="zh-CN"/>
        </w:rPr>
        <w:t>采育镇</w:t>
      </w:r>
      <w:r>
        <w:rPr>
          <w:rFonts w:hint="eastAsia" w:ascii="Arial" w:hAnsi="Arial" w:cs="Arial"/>
          <w:sz w:val="21"/>
          <w:szCs w:val="21"/>
          <w:highlight w:val="none"/>
        </w:rPr>
        <w:t>育林街2号院</w:t>
      </w:r>
    </w:p>
    <w:p w14:paraId="67A5EE82">
      <w:pPr>
        <w:wordWrap w:val="0"/>
        <w:overflowPunct w:val="0"/>
        <w:spacing w:line="480" w:lineRule="auto"/>
        <w:ind w:firstLine="420" w:firstLineChars="200"/>
        <w:rPr>
          <w:rFonts w:ascii="Arial" w:hAnsi="Arial" w:cs="Arial"/>
          <w:sz w:val="21"/>
          <w:szCs w:val="21"/>
          <w:highlight w:val="none"/>
        </w:rPr>
      </w:pPr>
      <w:r>
        <w:rPr>
          <w:rFonts w:ascii="Arial" w:hAnsi="Arial" w:cs="Arial"/>
          <w:sz w:val="21"/>
          <w:szCs w:val="21"/>
          <w:highlight w:val="none"/>
        </w:rPr>
        <w:t>•交易时间：202</w:t>
      </w:r>
      <w:r>
        <w:rPr>
          <w:rFonts w:hint="eastAsia" w:ascii="Arial" w:hAnsi="Arial" w:cs="Arial"/>
          <w:sz w:val="21"/>
          <w:szCs w:val="21"/>
          <w:highlight w:val="none"/>
          <w:lang w:val="en-US" w:eastAsia="zh-CN"/>
        </w:rPr>
        <w:t>5</w:t>
      </w:r>
      <w:r>
        <w:rPr>
          <w:rFonts w:ascii="Arial" w:hAnsi="Arial" w:cs="Arial"/>
          <w:sz w:val="21"/>
          <w:szCs w:val="21"/>
          <w:highlight w:val="none"/>
        </w:rPr>
        <w:t>年</w:t>
      </w:r>
      <w:r>
        <w:rPr>
          <w:rFonts w:hint="eastAsia" w:ascii="Arial" w:hAnsi="Arial" w:cs="Arial"/>
          <w:sz w:val="21"/>
          <w:szCs w:val="21"/>
          <w:highlight w:val="none"/>
          <w:lang w:val="en-US" w:eastAsia="zh-CN"/>
        </w:rPr>
        <w:t>12</w:t>
      </w:r>
      <w:r>
        <w:rPr>
          <w:rFonts w:ascii="Arial" w:hAnsi="Arial" w:cs="Arial"/>
          <w:sz w:val="21"/>
          <w:szCs w:val="21"/>
          <w:highlight w:val="none"/>
        </w:rPr>
        <w:t>月</w:t>
      </w:r>
    </w:p>
    <w:p w14:paraId="63BBF1A7">
      <w:pPr>
        <w:wordWrap w:val="0"/>
        <w:overflowPunct w:val="0"/>
        <w:spacing w:line="480" w:lineRule="auto"/>
        <w:ind w:firstLine="420" w:firstLineChars="200"/>
        <w:rPr>
          <w:rFonts w:ascii="Arial" w:hAnsi="Arial" w:cs="Arial"/>
          <w:sz w:val="21"/>
          <w:szCs w:val="21"/>
          <w:highlight w:val="none"/>
        </w:rPr>
      </w:pPr>
      <w:r>
        <w:rPr>
          <w:rFonts w:ascii="Arial" w:hAnsi="Arial" w:cs="Arial"/>
          <w:sz w:val="21"/>
          <w:szCs w:val="21"/>
          <w:highlight w:val="none"/>
        </w:rPr>
        <w:t>•交易情况：正常出租</w:t>
      </w:r>
    </w:p>
    <w:p w14:paraId="3C327A3F">
      <w:pPr>
        <w:wordWrap w:val="0"/>
        <w:overflowPunct w:val="0"/>
        <w:spacing w:line="480" w:lineRule="auto"/>
        <w:ind w:firstLine="420" w:firstLineChars="200"/>
        <w:rPr>
          <w:rFonts w:ascii="Arial" w:hAnsi="Arial" w:cs="Arial"/>
          <w:sz w:val="21"/>
          <w:szCs w:val="21"/>
          <w:highlight w:val="none"/>
        </w:rPr>
      </w:pPr>
      <w:r>
        <w:rPr>
          <w:rFonts w:ascii="Arial" w:hAnsi="Arial" w:cs="Arial"/>
          <w:sz w:val="21"/>
          <w:szCs w:val="21"/>
          <w:highlight w:val="none"/>
        </w:rPr>
        <w:t>•用途：住宅</w:t>
      </w:r>
    </w:p>
    <w:p w14:paraId="77888FE9">
      <w:pPr>
        <w:wordWrap w:val="0"/>
        <w:overflowPunct w:val="0"/>
        <w:spacing w:line="480" w:lineRule="auto"/>
        <w:ind w:firstLine="420" w:firstLineChars="200"/>
        <w:rPr>
          <w:rFonts w:ascii="Arial" w:hAnsi="Arial" w:cs="Arial"/>
          <w:sz w:val="21"/>
          <w:szCs w:val="21"/>
          <w:highlight w:val="none"/>
        </w:rPr>
      </w:pPr>
      <w:r>
        <w:rPr>
          <w:rFonts w:hint="eastAsia" w:ascii="Arial" w:hAnsi="Arial" w:cs="Arial"/>
          <w:sz w:val="21"/>
          <w:szCs w:val="21"/>
          <w:highlight w:val="none"/>
        </w:rPr>
        <w:t>可比实例</w:t>
      </w:r>
      <w:r>
        <w:rPr>
          <w:rFonts w:ascii="Arial" w:hAnsi="Arial" w:cs="Arial"/>
          <w:sz w:val="21"/>
          <w:szCs w:val="21"/>
          <w:highlight w:val="none"/>
        </w:rPr>
        <w:t>2</w:t>
      </w:r>
      <w:r>
        <w:rPr>
          <w:rFonts w:hint="eastAsia" w:ascii="Arial" w:hAnsi="Arial" w:cs="Arial"/>
          <w:sz w:val="21"/>
          <w:szCs w:val="21"/>
          <w:highlight w:val="none"/>
        </w:rPr>
        <w:t>周边</w:t>
      </w:r>
      <w:r>
        <w:rPr>
          <w:rFonts w:hint="eastAsia" w:ascii="Arial" w:hAnsi="Arial" w:cs="Arial"/>
          <w:kern w:val="2"/>
          <w:sz w:val="21"/>
          <w:szCs w:val="21"/>
          <w:highlight w:val="none"/>
        </w:rPr>
        <w:t>有兴创荣墅、住总兴创如遇、恒盛波尔多小镇、路劲御合院、阳光波尔多、北京城建宽院国誉府等，居住小区规模一般，入住率一般，综合评价居住区成熟度一般</w:t>
      </w:r>
      <w:r>
        <w:rPr>
          <w:rFonts w:ascii="Arial" w:hAnsi="Arial" w:cs="Arial"/>
          <w:sz w:val="21"/>
          <w:szCs w:val="21"/>
          <w:highlight w:val="none"/>
        </w:rPr>
        <w:t>；</w:t>
      </w:r>
      <w:r>
        <w:rPr>
          <w:rFonts w:hint="eastAsia" w:ascii="Arial" w:hAnsi="Arial" w:cs="Arial"/>
          <w:sz w:val="21"/>
          <w:szCs w:val="21"/>
          <w:highlight w:val="none"/>
          <w:lang w:val="en-US" w:eastAsia="zh-CN"/>
        </w:rPr>
        <w:t>南</w:t>
      </w:r>
      <w:r>
        <w:rPr>
          <w:rFonts w:ascii="Arial" w:hAnsi="Arial" w:cs="Arial"/>
          <w:sz w:val="21"/>
          <w:szCs w:val="21"/>
          <w:highlight w:val="none"/>
        </w:rPr>
        <w:t>侧紧邻城市</w:t>
      </w:r>
      <w:r>
        <w:rPr>
          <w:rFonts w:hint="eastAsia" w:ascii="Arial" w:hAnsi="Arial" w:cs="Arial"/>
          <w:kern w:val="2"/>
          <w:sz w:val="21"/>
          <w:szCs w:val="21"/>
          <w:highlight w:val="none"/>
          <w:lang w:val="en-US" w:eastAsia="zh-CN"/>
        </w:rPr>
        <w:t>次</w:t>
      </w:r>
      <w:r>
        <w:rPr>
          <w:rFonts w:hint="eastAsia" w:ascii="Arial" w:hAnsi="Arial" w:cs="Arial"/>
          <w:kern w:val="2"/>
          <w:sz w:val="21"/>
          <w:szCs w:val="21"/>
          <w:highlight w:val="none"/>
        </w:rPr>
        <w:t>干道</w:t>
      </w:r>
      <w:r>
        <w:rPr>
          <w:rFonts w:hint="eastAsia" w:ascii="Arial" w:hAnsi="Arial" w:cs="Arial"/>
          <w:kern w:val="2"/>
          <w:sz w:val="21"/>
          <w:szCs w:val="21"/>
          <w:highlight w:val="none"/>
          <w:lang w:eastAsia="zh-CN"/>
        </w:rPr>
        <w:t>——</w:t>
      </w:r>
      <w:r>
        <w:rPr>
          <w:rFonts w:hint="eastAsia" w:ascii="Arial" w:hAnsi="Arial" w:cs="Arial"/>
          <w:kern w:val="2"/>
          <w:sz w:val="21"/>
          <w:szCs w:val="21"/>
          <w:highlight w:val="none"/>
          <w:lang w:val="en-US" w:eastAsia="zh-CN"/>
        </w:rPr>
        <w:t>采星路</w:t>
      </w:r>
      <w:r>
        <w:rPr>
          <w:rFonts w:ascii="Arial" w:hAnsi="Arial" w:cs="Arial"/>
          <w:sz w:val="21"/>
          <w:szCs w:val="21"/>
          <w:highlight w:val="none"/>
        </w:rPr>
        <w:t>，</w:t>
      </w:r>
      <w:r>
        <w:rPr>
          <w:rFonts w:hint="eastAsia" w:ascii="Arial" w:hAnsi="Arial" w:cs="Arial"/>
          <w:kern w:val="2"/>
          <w:sz w:val="21"/>
          <w:szCs w:val="21"/>
          <w:highlight w:val="none"/>
          <w:lang w:val="en-US" w:eastAsia="zh-CN"/>
        </w:rPr>
        <w:t>周边</w:t>
      </w:r>
      <w:r>
        <w:rPr>
          <w:rFonts w:hint="eastAsia" w:ascii="Arial" w:hAnsi="Arial" w:cs="Arial"/>
          <w:kern w:val="2"/>
          <w:sz w:val="21"/>
          <w:szCs w:val="21"/>
          <w:highlight w:val="none"/>
        </w:rPr>
        <w:t>2公里范围内无轨道交通站点，周边1公里内有926路、955路、兴20路、兴32路、兴43路、兴940路等公交线路途径并设立站点，综合评价交通便捷度</w:t>
      </w:r>
      <w:r>
        <w:rPr>
          <w:rFonts w:hint="eastAsia" w:ascii="Arial" w:hAnsi="Arial" w:cs="Arial"/>
          <w:kern w:val="2"/>
          <w:sz w:val="21"/>
          <w:szCs w:val="21"/>
          <w:highlight w:val="none"/>
          <w:lang w:val="en-US" w:eastAsia="zh-CN"/>
        </w:rPr>
        <w:t>一般</w:t>
      </w:r>
      <w:r>
        <w:rPr>
          <w:rFonts w:ascii="Arial" w:hAnsi="Arial" w:cs="Arial"/>
          <w:sz w:val="21"/>
          <w:szCs w:val="21"/>
          <w:highlight w:val="none"/>
        </w:rPr>
        <w:t>；周边有</w:t>
      </w:r>
      <w:r>
        <w:rPr>
          <w:rFonts w:hint="eastAsia" w:ascii="Arial" w:hAnsi="Arial" w:cs="Arial"/>
          <w:kern w:val="2"/>
          <w:sz w:val="21"/>
          <w:szCs w:val="21"/>
          <w:highlight w:val="none"/>
        </w:rPr>
        <w:t>采育公园、凤河</w:t>
      </w:r>
      <w:r>
        <w:rPr>
          <w:rFonts w:ascii="Arial" w:hAnsi="Arial" w:cs="Arial"/>
          <w:sz w:val="21"/>
          <w:szCs w:val="21"/>
          <w:highlight w:val="none"/>
        </w:rPr>
        <w:t>等自然景观，</w:t>
      </w:r>
      <w:r>
        <w:rPr>
          <w:rFonts w:hint="eastAsia" w:ascii="Arial" w:hAnsi="Arial" w:cs="Arial"/>
          <w:sz w:val="21"/>
          <w:szCs w:val="21"/>
          <w:highlight w:val="none"/>
        </w:rPr>
        <w:t>5公里范围内无污染源，</w:t>
      </w:r>
      <w:r>
        <w:rPr>
          <w:rFonts w:ascii="Arial" w:hAnsi="Arial" w:cs="Arial"/>
          <w:sz w:val="21"/>
          <w:szCs w:val="21"/>
          <w:highlight w:val="none"/>
        </w:rPr>
        <w:t>自然与人环境</w:t>
      </w:r>
      <w:r>
        <w:rPr>
          <w:rFonts w:hint="eastAsia" w:ascii="Arial" w:hAnsi="Arial" w:cs="Arial"/>
          <w:kern w:val="2"/>
          <w:sz w:val="21"/>
          <w:szCs w:val="21"/>
          <w:highlight w:val="none"/>
          <w:lang w:val="en-US" w:eastAsia="zh-CN"/>
        </w:rPr>
        <w:t>一般</w:t>
      </w:r>
      <w:r>
        <w:rPr>
          <w:rFonts w:ascii="Arial" w:hAnsi="Arial" w:cs="Arial"/>
          <w:sz w:val="21"/>
          <w:szCs w:val="21"/>
          <w:highlight w:val="none"/>
        </w:rPr>
        <w:t>；周边</w:t>
      </w:r>
      <w:r>
        <w:rPr>
          <w:rFonts w:hint="eastAsia" w:ascii="Arial" w:hAnsi="Arial" w:cs="Arial"/>
          <w:kern w:val="2"/>
          <w:sz w:val="21"/>
          <w:szCs w:val="21"/>
          <w:highlight w:val="none"/>
        </w:rPr>
        <w:t>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r>
        <w:rPr>
          <w:rFonts w:ascii="Arial" w:hAnsi="Arial" w:cs="Arial"/>
          <w:sz w:val="21"/>
          <w:szCs w:val="21"/>
          <w:highlight w:val="none"/>
        </w:rPr>
        <w:t>；所在社区有专业物业公司，物业服务保障好</w:t>
      </w:r>
      <w:r>
        <w:rPr>
          <w:rFonts w:hint="eastAsia" w:ascii="Arial" w:hAnsi="Arial" w:cs="Arial"/>
          <w:sz w:val="21"/>
          <w:szCs w:val="21"/>
          <w:highlight w:val="none"/>
          <w:lang w:eastAsia="zh-CN"/>
        </w:rPr>
        <w:t>，</w:t>
      </w:r>
      <w:r>
        <w:rPr>
          <w:rFonts w:ascii="Arial" w:hAnsi="Arial" w:cs="Arial"/>
          <w:sz w:val="21"/>
          <w:szCs w:val="21"/>
          <w:highlight w:val="none"/>
        </w:rPr>
        <w:t>有一定规模的绿化，环境较好，区内未配有专属活动站；</w:t>
      </w:r>
      <w:r>
        <w:rPr>
          <w:rFonts w:hint="eastAsia" w:ascii="Arial" w:hAnsi="Arial" w:cs="Arial"/>
          <w:sz w:val="21"/>
          <w:szCs w:val="21"/>
          <w:highlight w:val="none"/>
          <w:lang w:val="en-US" w:eastAsia="zh-CN"/>
        </w:rPr>
        <w:t>社区</w:t>
      </w:r>
      <w:r>
        <w:rPr>
          <w:rFonts w:ascii="Arial" w:hAnsi="Arial" w:cs="Arial"/>
          <w:sz w:val="21"/>
          <w:szCs w:val="21"/>
          <w:highlight w:val="none"/>
        </w:rPr>
        <w:t>有一定数量的专业人员管理，居住管理一般；</w:t>
      </w:r>
      <w:r>
        <w:rPr>
          <w:rFonts w:hint="eastAsia" w:ascii="Arial" w:hAnsi="Arial" w:cs="Arial"/>
          <w:sz w:val="21"/>
          <w:szCs w:val="21"/>
          <w:highlight w:val="none"/>
        </w:rPr>
        <w:t>可比实例</w:t>
      </w:r>
      <w:r>
        <w:rPr>
          <w:rFonts w:ascii="Arial" w:hAnsi="Arial" w:cs="Arial"/>
          <w:sz w:val="21"/>
          <w:szCs w:val="21"/>
          <w:highlight w:val="none"/>
        </w:rPr>
        <w:t>2为</w:t>
      </w:r>
      <w:r>
        <w:rPr>
          <w:rFonts w:hint="eastAsia" w:ascii="Arial" w:hAnsi="Arial" w:cs="Arial"/>
          <w:sz w:val="21"/>
          <w:szCs w:val="21"/>
          <w:highlight w:val="none"/>
          <w:lang w:val="en-US" w:eastAsia="zh-CN"/>
        </w:rPr>
        <w:t>两</w:t>
      </w:r>
      <w:r>
        <w:rPr>
          <w:rFonts w:ascii="Arial" w:hAnsi="Arial" w:cs="Arial"/>
          <w:sz w:val="21"/>
          <w:szCs w:val="21"/>
          <w:highlight w:val="none"/>
        </w:rPr>
        <w:t>居室户型，</w:t>
      </w:r>
      <w:r>
        <w:rPr>
          <w:rFonts w:hint="eastAsia" w:ascii="Arial" w:hAnsi="Arial" w:cs="Arial"/>
          <w:sz w:val="21"/>
          <w:szCs w:val="21"/>
          <w:highlight w:val="none"/>
          <w:lang w:val="en-US" w:eastAsia="zh-CN"/>
        </w:rPr>
        <w:t>低</w:t>
      </w:r>
      <w:r>
        <w:rPr>
          <w:rFonts w:ascii="Arial" w:hAnsi="Arial" w:cs="Arial"/>
          <w:sz w:val="21"/>
          <w:szCs w:val="21"/>
          <w:highlight w:val="none"/>
        </w:rPr>
        <w:t>楼层，</w:t>
      </w:r>
      <w:r>
        <w:rPr>
          <w:rFonts w:hint="eastAsia" w:ascii="Arial" w:hAnsi="Arial" w:cs="Arial"/>
          <w:sz w:val="21"/>
          <w:szCs w:val="21"/>
          <w:highlight w:val="none"/>
          <w:lang w:val="en-US" w:eastAsia="zh-CN"/>
        </w:rPr>
        <w:t>南北</w:t>
      </w:r>
      <w:r>
        <w:rPr>
          <w:rFonts w:ascii="Arial" w:hAnsi="Arial" w:cs="Arial"/>
          <w:sz w:val="21"/>
          <w:szCs w:val="21"/>
          <w:highlight w:val="none"/>
        </w:rPr>
        <w:t>朝向，建成年份为</w:t>
      </w:r>
      <w:r>
        <w:rPr>
          <w:rFonts w:hint="eastAsia" w:ascii="Arial" w:hAnsi="Arial" w:cs="Arial"/>
          <w:sz w:val="21"/>
          <w:szCs w:val="21"/>
          <w:highlight w:val="none"/>
        </w:rPr>
        <w:t>2</w:t>
      </w:r>
      <w:r>
        <w:rPr>
          <w:rFonts w:ascii="Arial" w:hAnsi="Arial" w:cs="Arial"/>
          <w:sz w:val="21"/>
          <w:szCs w:val="21"/>
          <w:highlight w:val="none"/>
        </w:rPr>
        <w:t>0</w:t>
      </w:r>
      <w:r>
        <w:rPr>
          <w:rFonts w:hint="eastAsia" w:ascii="Arial" w:hAnsi="Arial" w:cs="Arial"/>
          <w:sz w:val="21"/>
          <w:szCs w:val="21"/>
          <w:highlight w:val="none"/>
          <w:lang w:val="en-US" w:eastAsia="zh-CN"/>
        </w:rPr>
        <w:t>10</w:t>
      </w:r>
      <w:r>
        <w:rPr>
          <w:rFonts w:ascii="Arial" w:hAnsi="Arial" w:cs="Arial"/>
          <w:sz w:val="21"/>
          <w:szCs w:val="21"/>
          <w:highlight w:val="none"/>
        </w:rPr>
        <w:t>年，建筑结构为钢混结构，装修为精装修，建筑面积为</w:t>
      </w:r>
      <w:r>
        <w:rPr>
          <w:rFonts w:hint="eastAsia" w:ascii="Arial" w:hAnsi="Arial" w:cs="Arial"/>
          <w:sz w:val="21"/>
          <w:szCs w:val="21"/>
          <w:highlight w:val="none"/>
          <w:lang w:val="en-US" w:eastAsia="zh-CN"/>
        </w:rPr>
        <w:t>85.31</w:t>
      </w:r>
      <w:r>
        <w:rPr>
          <w:rFonts w:ascii="Arial" w:hAnsi="Arial" w:cs="Arial"/>
          <w:sz w:val="21"/>
          <w:szCs w:val="21"/>
          <w:highlight w:val="none"/>
        </w:rPr>
        <w:t>平方米，</w:t>
      </w:r>
      <w:r>
        <w:rPr>
          <w:rFonts w:hint="eastAsia" w:ascii="宋体" w:hAnsi="宋体"/>
          <w:sz w:val="21"/>
          <w:szCs w:val="21"/>
          <w:highlight w:val="none"/>
        </w:rPr>
        <w:t>配备家具、家电齐全，功能正常，质量有保证。交易价格</w:t>
      </w:r>
      <w:r>
        <w:rPr>
          <w:rFonts w:hint="eastAsia" w:ascii="Arial" w:hAnsi="Arial" w:cs="Arial"/>
          <w:sz w:val="21"/>
          <w:szCs w:val="21"/>
          <w:highlight w:val="none"/>
        </w:rPr>
        <w:t>为</w:t>
      </w:r>
      <w:r>
        <w:rPr>
          <w:rFonts w:hint="eastAsia" w:ascii="Arial" w:hAnsi="Arial" w:cs="Arial"/>
          <w:sz w:val="21"/>
          <w:szCs w:val="21"/>
          <w:highlight w:val="none"/>
          <w:lang w:val="en-US" w:eastAsia="zh-CN"/>
        </w:rPr>
        <w:t>23.44</w:t>
      </w:r>
      <w:r>
        <w:rPr>
          <w:rFonts w:hint="eastAsia" w:ascii="Arial" w:hAnsi="Arial" w:cs="Arial"/>
          <w:sz w:val="21"/>
          <w:szCs w:val="21"/>
          <w:highlight w:val="none"/>
        </w:rPr>
        <w:t>元/平方米·月（含物业费</w:t>
      </w:r>
      <w:r>
        <w:rPr>
          <w:rFonts w:ascii="Arial" w:hAnsi="Arial" w:cs="Arial"/>
          <w:sz w:val="21"/>
          <w:szCs w:val="21"/>
          <w:highlight w:val="none"/>
        </w:rPr>
        <w:t>1.</w:t>
      </w:r>
      <w:r>
        <w:rPr>
          <w:rFonts w:hint="eastAsia" w:ascii="Arial" w:hAnsi="Arial" w:cs="Arial"/>
          <w:sz w:val="21"/>
          <w:szCs w:val="21"/>
          <w:highlight w:val="none"/>
          <w:lang w:val="en-US" w:eastAsia="zh-CN"/>
        </w:rPr>
        <w:t>56</w:t>
      </w:r>
      <w:r>
        <w:rPr>
          <w:rFonts w:hint="eastAsia" w:ascii="Arial" w:hAnsi="Arial" w:cs="Arial"/>
          <w:sz w:val="21"/>
          <w:szCs w:val="21"/>
          <w:highlight w:val="none"/>
        </w:rPr>
        <w:t>元/平方米·月、取暖费2.5元/平方米·月）</w:t>
      </w:r>
      <w:r>
        <w:rPr>
          <w:rFonts w:ascii="Arial" w:hAnsi="Arial" w:cs="Arial"/>
          <w:sz w:val="21"/>
          <w:szCs w:val="21"/>
          <w:highlight w:val="none"/>
        </w:rPr>
        <w:t>。</w:t>
      </w:r>
    </w:p>
    <w:p w14:paraId="4D05D35B">
      <w:pPr>
        <w:wordWrap w:val="0"/>
        <w:overflowPunct w:val="0"/>
        <w:spacing w:line="480" w:lineRule="auto"/>
        <w:ind w:firstLine="420" w:firstLineChars="200"/>
        <w:rPr>
          <w:rFonts w:ascii="Arial" w:hAnsi="Arial" w:cs="Arial"/>
          <w:sz w:val="21"/>
          <w:szCs w:val="21"/>
          <w:highlight w:val="none"/>
        </w:rPr>
      </w:pPr>
      <w:r>
        <w:rPr>
          <w:rFonts w:hint="eastAsia" w:ascii="Arial" w:hAnsi="Arial" w:cs="Arial"/>
          <w:sz w:val="21"/>
          <w:szCs w:val="21"/>
          <w:highlight w:val="none"/>
        </w:rPr>
        <w:t>可比实例3</w:t>
      </w:r>
      <w:r>
        <w:rPr>
          <w:rFonts w:ascii="Arial" w:hAnsi="Arial" w:cs="Arial"/>
          <w:sz w:val="21"/>
          <w:szCs w:val="21"/>
          <w:highlight w:val="none"/>
        </w:rPr>
        <w:t>：</w:t>
      </w:r>
    </w:p>
    <w:p w14:paraId="738A31AE">
      <w:pPr>
        <w:wordWrap w:val="0"/>
        <w:overflowPunct w:val="0"/>
        <w:spacing w:line="480" w:lineRule="auto"/>
        <w:ind w:firstLine="420" w:firstLineChars="200"/>
        <w:rPr>
          <w:rFonts w:ascii="Arial" w:hAnsi="Arial" w:cs="Arial"/>
          <w:sz w:val="21"/>
          <w:szCs w:val="21"/>
          <w:highlight w:val="none"/>
        </w:rPr>
      </w:pPr>
      <w:r>
        <w:rPr>
          <w:rFonts w:ascii="Arial" w:hAnsi="Arial" w:cs="Arial"/>
          <w:sz w:val="21"/>
          <w:szCs w:val="21"/>
          <w:highlight w:val="none"/>
        </w:rPr>
        <w:t>•项目名称：</w:t>
      </w:r>
      <w:r>
        <w:rPr>
          <w:rFonts w:hint="eastAsia" w:ascii="Arial" w:hAnsi="Arial" w:cs="Arial"/>
          <w:sz w:val="21"/>
          <w:szCs w:val="21"/>
          <w:highlight w:val="none"/>
          <w:lang w:val="en-US" w:eastAsia="zh-CN"/>
        </w:rPr>
        <w:t>育新花园北里</w:t>
      </w:r>
    </w:p>
    <w:p w14:paraId="17A0E86F">
      <w:pPr>
        <w:wordWrap w:val="0"/>
        <w:overflowPunct w:val="0"/>
        <w:spacing w:line="480" w:lineRule="auto"/>
        <w:ind w:firstLine="420" w:firstLineChars="200"/>
        <w:rPr>
          <w:rFonts w:ascii="Arial" w:hAnsi="Arial" w:cs="Arial"/>
          <w:sz w:val="21"/>
          <w:szCs w:val="21"/>
          <w:highlight w:val="none"/>
        </w:rPr>
      </w:pPr>
      <w:r>
        <w:rPr>
          <w:rFonts w:ascii="Arial" w:hAnsi="Arial" w:cs="Arial"/>
          <w:sz w:val="21"/>
          <w:szCs w:val="21"/>
          <w:highlight w:val="none"/>
        </w:rPr>
        <w:t>•项目坐落：</w:t>
      </w:r>
      <w:r>
        <w:rPr>
          <w:rFonts w:hint="eastAsia" w:ascii="Arial" w:hAnsi="Arial" w:cs="Arial"/>
          <w:sz w:val="21"/>
          <w:szCs w:val="21"/>
          <w:highlight w:val="none"/>
        </w:rPr>
        <w:t>大兴区</w:t>
      </w:r>
      <w:r>
        <w:rPr>
          <w:rFonts w:hint="eastAsia" w:ascii="Arial" w:hAnsi="Arial" w:cs="Arial"/>
          <w:sz w:val="21"/>
          <w:szCs w:val="21"/>
          <w:highlight w:val="none"/>
          <w:lang w:val="en-US" w:eastAsia="zh-CN"/>
        </w:rPr>
        <w:t>采育镇</w:t>
      </w:r>
      <w:r>
        <w:rPr>
          <w:rFonts w:hint="eastAsia" w:ascii="Arial" w:hAnsi="Arial" w:cs="Arial"/>
          <w:sz w:val="21"/>
          <w:szCs w:val="21"/>
          <w:highlight w:val="none"/>
        </w:rPr>
        <w:t>育林街1号院</w:t>
      </w:r>
    </w:p>
    <w:p w14:paraId="1301A67F">
      <w:pPr>
        <w:wordWrap w:val="0"/>
        <w:overflowPunct w:val="0"/>
        <w:spacing w:line="480" w:lineRule="auto"/>
        <w:ind w:firstLine="420" w:firstLineChars="200"/>
        <w:rPr>
          <w:rFonts w:ascii="Arial" w:hAnsi="Arial" w:cs="Arial"/>
          <w:sz w:val="21"/>
          <w:szCs w:val="21"/>
          <w:highlight w:val="none"/>
        </w:rPr>
      </w:pPr>
      <w:r>
        <w:rPr>
          <w:rFonts w:ascii="Arial" w:hAnsi="Arial" w:cs="Arial"/>
          <w:sz w:val="21"/>
          <w:szCs w:val="21"/>
          <w:highlight w:val="none"/>
        </w:rPr>
        <w:t>•交易时间：202</w:t>
      </w:r>
      <w:r>
        <w:rPr>
          <w:rFonts w:hint="eastAsia" w:ascii="Arial" w:hAnsi="Arial" w:cs="Arial"/>
          <w:sz w:val="21"/>
          <w:szCs w:val="21"/>
          <w:highlight w:val="none"/>
          <w:lang w:val="en-US" w:eastAsia="zh-CN"/>
        </w:rPr>
        <w:t>5</w:t>
      </w:r>
      <w:r>
        <w:rPr>
          <w:rFonts w:ascii="Arial" w:hAnsi="Arial" w:cs="Arial"/>
          <w:sz w:val="21"/>
          <w:szCs w:val="21"/>
          <w:highlight w:val="none"/>
        </w:rPr>
        <w:t>年</w:t>
      </w:r>
      <w:r>
        <w:rPr>
          <w:rFonts w:hint="eastAsia" w:ascii="Arial" w:hAnsi="Arial" w:cs="Arial"/>
          <w:sz w:val="21"/>
          <w:szCs w:val="21"/>
          <w:highlight w:val="none"/>
          <w:lang w:val="en-US" w:eastAsia="zh-CN"/>
        </w:rPr>
        <w:t>12</w:t>
      </w:r>
      <w:r>
        <w:rPr>
          <w:rFonts w:ascii="Arial" w:hAnsi="Arial" w:cs="Arial"/>
          <w:sz w:val="21"/>
          <w:szCs w:val="21"/>
          <w:highlight w:val="none"/>
        </w:rPr>
        <w:t>月</w:t>
      </w:r>
    </w:p>
    <w:p w14:paraId="415D0425">
      <w:pPr>
        <w:wordWrap w:val="0"/>
        <w:overflowPunct w:val="0"/>
        <w:spacing w:line="480" w:lineRule="auto"/>
        <w:ind w:firstLine="420" w:firstLineChars="200"/>
        <w:rPr>
          <w:rFonts w:ascii="Arial" w:hAnsi="Arial" w:cs="Arial"/>
          <w:sz w:val="21"/>
          <w:szCs w:val="21"/>
          <w:highlight w:val="none"/>
        </w:rPr>
      </w:pPr>
      <w:r>
        <w:rPr>
          <w:rFonts w:ascii="Arial" w:hAnsi="Arial" w:cs="Arial"/>
          <w:sz w:val="21"/>
          <w:szCs w:val="21"/>
          <w:highlight w:val="none"/>
        </w:rPr>
        <w:t>•交易情况：正常出租</w:t>
      </w:r>
    </w:p>
    <w:p w14:paraId="2874C726">
      <w:pPr>
        <w:wordWrap w:val="0"/>
        <w:overflowPunct w:val="0"/>
        <w:spacing w:line="480" w:lineRule="auto"/>
        <w:ind w:firstLine="420" w:firstLineChars="200"/>
        <w:rPr>
          <w:rFonts w:ascii="Arial" w:hAnsi="Arial" w:cs="Arial"/>
          <w:sz w:val="21"/>
          <w:szCs w:val="21"/>
          <w:highlight w:val="none"/>
        </w:rPr>
      </w:pPr>
      <w:r>
        <w:rPr>
          <w:rFonts w:ascii="Arial" w:hAnsi="Arial" w:cs="Arial"/>
          <w:sz w:val="21"/>
          <w:szCs w:val="21"/>
          <w:highlight w:val="none"/>
        </w:rPr>
        <w:t>•用途：住宅</w:t>
      </w:r>
    </w:p>
    <w:p w14:paraId="2308D021">
      <w:pPr>
        <w:wordWrap w:val="0"/>
        <w:overflowPunct w:val="0"/>
        <w:spacing w:line="480" w:lineRule="auto"/>
        <w:ind w:firstLine="420" w:firstLineChars="200"/>
        <w:jc w:val="both"/>
        <w:rPr>
          <w:rFonts w:ascii="Arial" w:hAnsi="Arial" w:cs="Arial"/>
          <w:sz w:val="21"/>
          <w:szCs w:val="21"/>
          <w:highlight w:val="none"/>
        </w:rPr>
      </w:pPr>
      <w:r>
        <w:rPr>
          <w:rFonts w:hint="eastAsia" w:ascii="Arial" w:hAnsi="Arial" w:cs="Arial"/>
          <w:sz w:val="21"/>
          <w:szCs w:val="21"/>
          <w:highlight w:val="none"/>
        </w:rPr>
        <w:t>可比实例3周边</w:t>
      </w:r>
      <w:r>
        <w:rPr>
          <w:rFonts w:hint="eastAsia" w:ascii="Arial" w:hAnsi="Arial" w:cs="Arial"/>
          <w:kern w:val="2"/>
          <w:sz w:val="21"/>
          <w:szCs w:val="21"/>
          <w:highlight w:val="none"/>
        </w:rPr>
        <w:t>有兴创荣墅、住总兴创如遇、恒盛波尔多小镇、路劲御合院、阳光波尔多、北京城建宽院国誉府等，居住小区规模一般，入住率一般，综合评价居住区成熟度一般</w:t>
      </w:r>
      <w:r>
        <w:rPr>
          <w:rFonts w:ascii="Arial" w:hAnsi="Arial" w:cs="Arial"/>
          <w:sz w:val="21"/>
          <w:szCs w:val="21"/>
          <w:highlight w:val="none"/>
        </w:rPr>
        <w:t>；</w:t>
      </w:r>
      <w:r>
        <w:rPr>
          <w:rFonts w:hint="eastAsia" w:ascii="Arial" w:hAnsi="Arial" w:cs="Arial"/>
          <w:sz w:val="21"/>
          <w:szCs w:val="21"/>
          <w:highlight w:val="none"/>
          <w:lang w:val="en-US" w:eastAsia="zh-CN"/>
        </w:rPr>
        <w:t>西</w:t>
      </w:r>
      <w:r>
        <w:rPr>
          <w:rFonts w:ascii="Arial" w:hAnsi="Arial" w:cs="Arial"/>
          <w:sz w:val="21"/>
          <w:szCs w:val="21"/>
          <w:highlight w:val="none"/>
        </w:rPr>
        <w:t>侧紧邻城市</w:t>
      </w:r>
      <w:r>
        <w:rPr>
          <w:rFonts w:hint="eastAsia" w:ascii="Arial" w:hAnsi="Arial" w:cs="Arial"/>
          <w:kern w:val="2"/>
          <w:sz w:val="21"/>
          <w:szCs w:val="21"/>
          <w:highlight w:val="none"/>
          <w:lang w:val="en-US" w:eastAsia="zh-CN"/>
        </w:rPr>
        <w:t>次</w:t>
      </w:r>
      <w:r>
        <w:rPr>
          <w:rFonts w:hint="eastAsia" w:ascii="Arial" w:hAnsi="Arial" w:cs="Arial"/>
          <w:kern w:val="2"/>
          <w:sz w:val="21"/>
          <w:szCs w:val="21"/>
          <w:highlight w:val="none"/>
        </w:rPr>
        <w:t>干道</w:t>
      </w:r>
      <w:r>
        <w:rPr>
          <w:rFonts w:hint="eastAsia" w:ascii="Arial" w:hAnsi="Arial" w:cs="Arial"/>
          <w:kern w:val="2"/>
          <w:sz w:val="21"/>
          <w:szCs w:val="21"/>
          <w:highlight w:val="none"/>
          <w:lang w:eastAsia="zh-CN"/>
        </w:rPr>
        <w:t>——</w:t>
      </w:r>
      <w:r>
        <w:rPr>
          <w:rFonts w:hint="eastAsia" w:ascii="Arial" w:hAnsi="Arial" w:cs="Arial"/>
          <w:kern w:val="2"/>
          <w:sz w:val="21"/>
          <w:szCs w:val="21"/>
          <w:highlight w:val="none"/>
          <w:lang w:val="en-US" w:eastAsia="zh-CN"/>
        </w:rPr>
        <w:t>福源路</w:t>
      </w:r>
      <w:r>
        <w:rPr>
          <w:rFonts w:ascii="Arial" w:hAnsi="Arial" w:cs="Arial"/>
          <w:sz w:val="21"/>
          <w:szCs w:val="21"/>
          <w:highlight w:val="none"/>
        </w:rPr>
        <w:t>，</w:t>
      </w:r>
      <w:r>
        <w:rPr>
          <w:rFonts w:hint="eastAsia" w:ascii="Arial" w:hAnsi="Arial" w:cs="Arial"/>
          <w:kern w:val="2"/>
          <w:sz w:val="21"/>
          <w:szCs w:val="21"/>
          <w:highlight w:val="none"/>
          <w:lang w:val="en-US" w:eastAsia="zh-CN"/>
        </w:rPr>
        <w:t>周边</w:t>
      </w:r>
      <w:r>
        <w:rPr>
          <w:rFonts w:hint="eastAsia" w:ascii="Arial" w:hAnsi="Arial" w:cs="Arial"/>
          <w:kern w:val="2"/>
          <w:sz w:val="21"/>
          <w:szCs w:val="21"/>
          <w:highlight w:val="none"/>
        </w:rPr>
        <w:t>2公里范围内无轨道交通站点，周边1公里内有926路、955路、兴20路、兴32路、兴43路、兴940路等公交线路途径并设立站点，综合评价交通便捷度</w:t>
      </w:r>
      <w:r>
        <w:rPr>
          <w:rFonts w:hint="eastAsia" w:ascii="Arial" w:hAnsi="Arial" w:cs="Arial"/>
          <w:kern w:val="2"/>
          <w:sz w:val="21"/>
          <w:szCs w:val="21"/>
          <w:highlight w:val="none"/>
          <w:lang w:val="en-US" w:eastAsia="zh-CN"/>
        </w:rPr>
        <w:t>一般</w:t>
      </w:r>
      <w:r>
        <w:rPr>
          <w:rFonts w:ascii="Arial" w:hAnsi="Arial" w:cs="Arial"/>
          <w:sz w:val="21"/>
          <w:szCs w:val="21"/>
          <w:highlight w:val="none"/>
        </w:rPr>
        <w:t>；周边有</w:t>
      </w:r>
      <w:r>
        <w:rPr>
          <w:rFonts w:hint="eastAsia" w:ascii="Arial" w:hAnsi="Arial" w:cs="Arial"/>
          <w:kern w:val="2"/>
          <w:sz w:val="21"/>
          <w:szCs w:val="21"/>
          <w:highlight w:val="none"/>
        </w:rPr>
        <w:t>采育公园、凤河</w:t>
      </w:r>
      <w:r>
        <w:rPr>
          <w:rFonts w:ascii="Arial" w:hAnsi="Arial" w:cs="Arial"/>
          <w:sz w:val="21"/>
          <w:szCs w:val="21"/>
          <w:highlight w:val="none"/>
        </w:rPr>
        <w:t>等自然景观，</w:t>
      </w:r>
      <w:r>
        <w:rPr>
          <w:rFonts w:hint="eastAsia" w:ascii="Arial" w:hAnsi="Arial" w:cs="Arial"/>
          <w:sz w:val="21"/>
          <w:szCs w:val="21"/>
          <w:highlight w:val="none"/>
        </w:rPr>
        <w:t>5公里范围内无污染源，</w:t>
      </w:r>
      <w:r>
        <w:rPr>
          <w:rFonts w:ascii="Arial" w:hAnsi="Arial" w:cs="Arial"/>
          <w:sz w:val="21"/>
          <w:szCs w:val="21"/>
          <w:highlight w:val="none"/>
        </w:rPr>
        <w:t>自然与人环境</w:t>
      </w:r>
      <w:r>
        <w:rPr>
          <w:rFonts w:hint="eastAsia" w:ascii="Arial" w:hAnsi="Arial" w:cs="Arial"/>
          <w:kern w:val="2"/>
          <w:sz w:val="21"/>
          <w:szCs w:val="21"/>
          <w:highlight w:val="none"/>
          <w:lang w:val="en-US" w:eastAsia="zh-CN"/>
        </w:rPr>
        <w:t>一般</w:t>
      </w:r>
      <w:r>
        <w:rPr>
          <w:rFonts w:ascii="Arial" w:hAnsi="Arial" w:cs="Arial"/>
          <w:sz w:val="21"/>
          <w:szCs w:val="21"/>
          <w:highlight w:val="none"/>
        </w:rPr>
        <w:t>；周边</w:t>
      </w:r>
      <w:r>
        <w:rPr>
          <w:rFonts w:hint="eastAsia" w:ascii="Arial" w:hAnsi="Arial" w:cs="Arial"/>
          <w:kern w:val="2"/>
          <w:sz w:val="21"/>
          <w:szCs w:val="21"/>
          <w:highlight w:val="none"/>
        </w:rPr>
        <w:t>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r>
        <w:rPr>
          <w:rFonts w:ascii="Arial" w:hAnsi="Arial" w:cs="Arial"/>
          <w:sz w:val="21"/>
          <w:szCs w:val="21"/>
          <w:highlight w:val="none"/>
        </w:rPr>
        <w:t>；所在社区有专业物业公司，物业服务保障好</w:t>
      </w:r>
      <w:r>
        <w:rPr>
          <w:rFonts w:hint="eastAsia" w:ascii="Arial" w:hAnsi="Arial" w:cs="Arial"/>
          <w:sz w:val="21"/>
          <w:szCs w:val="21"/>
          <w:highlight w:val="none"/>
          <w:lang w:eastAsia="zh-CN"/>
        </w:rPr>
        <w:t>，</w:t>
      </w:r>
      <w:r>
        <w:rPr>
          <w:rFonts w:ascii="Arial" w:hAnsi="Arial" w:cs="Arial"/>
          <w:sz w:val="21"/>
          <w:szCs w:val="21"/>
          <w:highlight w:val="none"/>
        </w:rPr>
        <w:t>有一定规模的绿化，环境较好，区内未配有专属活动站；</w:t>
      </w:r>
      <w:r>
        <w:rPr>
          <w:rFonts w:hint="eastAsia" w:ascii="Arial" w:hAnsi="Arial" w:cs="Arial"/>
          <w:sz w:val="21"/>
          <w:szCs w:val="21"/>
          <w:highlight w:val="none"/>
          <w:lang w:val="en-US" w:eastAsia="zh-CN"/>
        </w:rPr>
        <w:t>社区</w:t>
      </w:r>
      <w:r>
        <w:rPr>
          <w:rFonts w:ascii="Arial" w:hAnsi="Arial" w:cs="Arial"/>
          <w:sz w:val="21"/>
          <w:szCs w:val="21"/>
          <w:highlight w:val="none"/>
        </w:rPr>
        <w:t>有一定数量的专业人员管理，居住管理一般；</w:t>
      </w:r>
      <w:r>
        <w:rPr>
          <w:rFonts w:hint="eastAsia" w:ascii="Arial" w:hAnsi="Arial" w:cs="Arial"/>
          <w:sz w:val="21"/>
          <w:szCs w:val="21"/>
          <w:highlight w:val="none"/>
        </w:rPr>
        <w:t>可比实例</w:t>
      </w:r>
      <w:r>
        <w:rPr>
          <w:rFonts w:hint="eastAsia" w:ascii="Arial" w:hAnsi="Arial" w:cs="Arial"/>
          <w:sz w:val="21"/>
          <w:szCs w:val="21"/>
          <w:highlight w:val="none"/>
          <w:lang w:val="en-US" w:eastAsia="zh-CN"/>
        </w:rPr>
        <w:t>3</w:t>
      </w:r>
      <w:r>
        <w:rPr>
          <w:rFonts w:ascii="Arial" w:hAnsi="Arial" w:cs="Arial"/>
          <w:sz w:val="21"/>
          <w:szCs w:val="21"/>
          <w:highlight w:val="none"/>
        </w:rPr>
        <w:t>为</w:t>
      </w:r>
      <w:r>
        <w:rPr>
          <w:rFonts w:hint="eastAsia" w:ascii="Arial" w:hAnsi="Arial" w:cs="Arial"/>
          <w:sz w:val="21"/>
          <w:szCs w:val="21"/>
          <w:highlight w:val="none"/>
          <w:lang w:val="en-US" w:eastAsia="zh-CN"/>
        </w:rPr>
        <w:t>两</w:t>
      </w:r>
      <w:r>
        <w:rPr>
          <w:rFonts w:ascii="Arial" w:hAnsi="Arial" w:cs="Arial"/>
          <w:sz w:val="21"/>
          <w:szCs w:val="21"/>
          <w:highlight w:val="none"/>
        </w:rPr>
        <w:t>居室户型，</w:t>
      </w:r>
      <w:r>
        <w:rPr>
          <w:rFonts w:hint="eastAsia" w:ascii="Arial" w:hAnsi="Arial" w:cs="Arial"/>
          <w:sz w:val="21"/>
          <w:szCs w:val="21"/>
          <w:highlight w:val="none"/>
          <w:lang w:val="en-US" w:eastAsia="zh-CN"/>
        </w:rPr>
        <w:t>中</w:t>
      </w:r>
      <w:r>
        <w:rPr>
          <w:rFonts w:ascii="Arial" w:hAnsi="Arial" w:cs="Arial"/>
          <w:sz w:val="21"/>
          <w:szCs w:val="21"/>
          <w:highlight w:val="none"/>
        </w:rPr>
        <w:t>楼层，</w:t>
      </w:r>
      <w:r>
        <w:rPr>
          <w:rFonts w:hint="eastAsia" w:ascii="Arial" w:hAnsi="Arial" w:cs="Arial"/>
          <w:sz w:val="21"/>
          <w:szCs w:val="21"/>
          <w:highlight w:val="none"/>
          <w:lang w:val="en-US" w:eastAsia="zh-CN"/>
        </w:rPr>
        <w:t>南北</w:t>
      </w:r>
      <w:r>
        <w:rPr>
          <w:rFonts w:ascii="Arial" w:hAnsi="Arial" w:cs="Arial"/>
          <w:sz w:val="21"/>
          <w:szCs w:val="21"/>
          <w:highlight w:val="none"/>
        </w:rPr>
        <w:t>朝向，建成年份为</w:t>
      </w:r>
      <w:r>
        <w:rPr>
          <w:rFonts w:hint="eastAsia" w:ascii="Arial" w:hAnsi="Arial" w:cs="Arial"/>
          <w:sz w:val="21"/>
          <w:szCs w:val="21"/>
          <w:highlight w:val="none"/>
        </w:rPr>
        <w:t>2</w:t>
      </w:r>
      <w:r>
        <w:rPr>
          <w:rFonts w:ascii="Arial" w:hAnsi="Arial" w:cs="Arial"/>
          <w:sz w:val="21"/>
          <w:szCs w:val="21"/>
          <w:highlight w:val="none"/>
        </w:rPr>
        <w:t>0</w:t>
      </w:r>
      <w:r>
        <w:rPr>
          <w:rFonts w:hint="eastAsia" w:ascii="Arial" w:hAnsi="Arial" w:cs="Arial"/>
          <w:sz w:val="21"/>
          <w:szCs w:val="21"/>
          <w:highlight w:val="none"/>
          <w:lang w:val="en-US" w:eastAsia="zh-CN"/>
        </w:rPr>
        <w:t>14</w:t>
      </w:r>
      <w:r>
        <w:rPr>
          <w:rFonts w:ascii="Arial" w:hAnsi="Arial" w:cs="Arial"/>
          <w:sz w:val="21"/>
          <w:szCs w:val="21"/>
          <w:highlight w:val="none"/>
        </w:rPr>
        <w:t>年，建筑结构为钢混结构，装修为精装修，建筑面积为</w:t>
      </w:r>
      <w:r>
        <w:rPr>
          <w:rFonts w:hint="eastAsia" w:ascii="Arial" w:hAnsi="Arial" w:cs="Arial"/>
          <w:sz w:val="21"/>
          <w:szCs w:val="21"/>
          <w:highlight w:val="none"/>
          <w:lang w:val="en-US" w:eastAsia="zh-CN"/>
        </w:rPr>
        <w:t>87.39</w:t>
      </w:r>
      <w:r>
        <w:rPr>
          <w:rFonts w:ascii="Arial" w:hAnsi="Arial" w:cs="Arial"/>
          <w:sz w:val="21"/>
          <w:szCs w:val="21"/>
          <w:highlight w:val="none"/>
        </w:rPr>
        <w:t>平方米，</w:t>
      </w:r>
      <w:r>
        <w:rPr>
          <w:rFonts w:hint="eastAsia" w:ascii="宋体" w:hAnsi="宋体"/>
          <w:sz w:val="21"/>
          <w:szCs w:val="21"/>
          <w:highlight w:val="none"/>
        </w:rPr>
        <w:t>配备家具、家电齐全，功能正常，质量有保证。交易价格</w:t>
      </w:r>
      <w:r>
        <w:rPr>
          <w:rFonts w:hint="eastAsia" w:ascii="Arial" w:hAnsi="Arial" w:cs="Arial"/>
          <w:sz w:val="21"/>
          <w:szCs w:val="21"/>
          <w:highlight w:val="none"/>
        </w:rPr>
        <w:t>为</w:t>
      </w:r>
      <w:r>
        <w:rPr>
          <w:rFonts w:hint="eastAsia" w:ascii="Arial" w:hAnsi="Arial" w:cs="Arial"/>
          <w:sz w:val="21"/>
          <w:szCs w:val="21"/>
          <w:highlight w:val="none"/>
          <w:lang w:val="en-US" w:eastAsia="zh-CN"/>
        </w:rPr>
        <w:t>22.89</w:t>
      </w:r>
      <w:r>
        <w:rPr>
          <w:rFonts w:hint="eastAsia" w:ascii="Arial" w:hAnsi="Arial" w:cs="Arial"/>
          <w:sz w:val="21"/>
          <w:szCs w:val="21"/>
          <w:highlight w:val="none"/>
        </w:rPr>
        <w:t>元/平方米·月（含物业费</w:t>
      </w:r>
      <w:r>
        <w:rPr>
          <w:rFonts w:ascii="Arial" w:hAnsi="Arial" w:cs="Arial"/>
          <w:sz w:val="21"/>
          <w:szCs w:val="21"/>
          <w:highlight w:val="none"/>
        </w:rPr>
        <w:t>1.</w:t>
      </w:r>
      <w:r>
        <w:rPr>
          <w:rFonts w:hint="eastAsia" w:ascii="Arial" w:hAnsi="Arial" w:cs="Arial"/>
          <w:sz w:val="21"/>
          <w:szCs w:val="21"/>
          <w:highlight w:val="none"/>
          <w:lang w:val="en-US" w:eastAsia="zh-CN"/>
        </w:rPr>
        <w:t>56</w:t>
      </w:r>
      <w:r>
        <w:rPr>
          <w:rFonts w:hint="eastAsia" w:ascii="Arial" w:hAnsi="Arial" w:cs="Arial"/>
          <w:sz w:val="21"/>
          <w:szCs w:val="21"/>
          <w:highlight w:val="none"/>
        </w:rPr>
        <w:t>元/平方米·月、取暖费2.5元/平方米·月）</w:t>
      </w:r>
      <w:r>
        <w:rPr>
          <w:rFonts w:ascii="Arial" w:hAnsi="Arial" w:cs="Arial"/>
          <w:sz w:val="21"/>
          <w:szCs w:val="21"/>
          <w:highlight w:val="none"/>
        </w:rPr>
        <w:t>。</w:t>
      </w:r>
    </w:p>
    <w:p w14:paraId="242534DE">
      <w:pPr>
        <w:wordWrap w:val="0"/>
        <w:overflowPunct w:val="0"/>
        <w:spacing w:line="480" w:lineRule="auto"/>
        <w:ind w:firstLine="420" w:firstLineChars="200"/>
        <w:rPr>
          <w:rFonts w:ascii="宋体" w:hAnsi="宋体"/>
          <w:sz w:val="21"/>
          <w:szCs w:val="21"/>
          <w:highlight w:val="none"/>
        </w:rPr>
      </w:pPr>
      <w:r>
        <w:rPr>
          <w:rFonts w:hint="eastAsia" w:ascii="宋体" w:hAnsi="宋体"/>
          <w:sz w:val="21"/>
          <w:szCs w:val="21"/>
          <w:highlight w:val="none"/>
        </w:rPr>
        <w:t>建立比较基础</w:t>
      </w:r>
    </w:p>
    <w:tbl>
      <w:tblPr>
        <w:tblStyle w:val="33"/>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2047"/>
        <w:gridCol w:w="1812"/>
        <w:gridCol w:w="1812"/>
        <w:gridCol w:w="1812"/>
        <w:gridCol w:w="1815"/>
      </w:tblGrid>
      <w:tr w14:paraId="3112E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4269E8F0">
            <w:pPr>
              <w:pStyle w:val="61"/>
              <w:autoSpaceDE w:val="0"/>
              <w:autoSpaceDN w:val="0"/>
              <w:spacing w:line="240" w:lineRule="exact"/>
              <w:textAlignment w:val="bottom"/>
              <w:rPr>
                <w:rFonts w:ascii="Arial" w:hAnsi="Arial" w:cs="Arial"/>
                <w:sz w:val="16"/>
                <w:szCs w:val="18"/>
                <w:highlight w:val="none"/>
              </w:rPr>
            </w:pPr>
            <w:r>
              <w:rPr>
                <w:rFonts w:ascii="Arial" w:hAnsi="Arial" w:cs="Arial"/>
                <w:sz w:val="16"/>
                <w:szCs w:val="18"/>
                <w:highlight w:val="none"/>
              </w:rPr>
              <w:t>交易案例</w:t>
            </w:r>
          </w:p>
        </w:tc>
        <w:tc>
          <w:tcPr>
            <w:tcW w:w="1812" w:type="dxa"/>
            <w:vAlign w:val="center"/>
          </w:tcPr>
          <w:p w14:paraId="741A132E">
            <w:pPr>
              <w:pStyle w:val="61"/>
              <w:autoSpaceDE w:val="0"/>
              <w:autoSpaceDN w:val="0"/>
              <w:spacing w:line="240" w:lineRule="exact"/>
              <w:textAlignment w:val="bottom"/>
              <w:rPr>
                <w:rFonts w:ascii="Arial" w:hAnsi="Arial" w:cs="Arial"/>
                <w:sz w:val="16"/>
                <w:szCs w:val="18"/>
                <w:highlight w:val="none"/>
              </w:rPr>
            </w:pPr>
            <w:r>
              <w:rPr>
                <w:rFonts w:ascii="Arial" w:hAnsi="Arial" w:cs="Arial"/>
                <w:sz w:val="16"/>
                <w:szCs w:val="18"/>
                <w:highlight w:val="none"/>
              </w:rPr>
              <w:t>估价对象</w:t>
            </w:r>
          </w:p>
        </w:tc>
        <w:tc>
          <w:tcPr>
            <w:tcW w:w="1812" w:type="dxa"/>
            <w:vAlign w:val="center"/>
          </w:tcPr>
          <w:p w14:paraId="275EBD4E">
            <w:pPr>
              <w:pStyle w:val="61"/>
              <w:autoSpaceDE w:val="0"/>
              <w:autoSpaceDN w:val="0"/>
              <w:spacing w:line="240" w:lineRule="exact"/>
              <w:textAlignment w:val="bottom"/>
              <w:rPr>
                <w:rFonts w:ascii="Arial" w:hAnsi="Arial" w:cs="Arial"/>
                <w:sz w:val="16"/>
                <w:szCs w:val="18"/>
                <w:highlight w:val="none"/>
              </w:rPr>
            </w:pPr>
            <w:r>
              <w:rPr>
                <w:rFonts w:ascii="Arial" w:hAnsi="Arial" w:cs="Arial"/>
                <w:sz w:val="16"/>
                <w:szCs w:val="18"/>
                <w:highlight w:val="none"/>
              </w:rPr>
              <w:t>可比实例1</w:t>
            </w:r>
          </w:p>
        </w:tc>
        <w:tc>
          <w:tcPr>
            <w:tcW w:w="1812" w:type="dxa"/>
            <w:vAlign w:val="center"/>
          </w:tcPr>
          <w:p w14:paraId="78911AE5">
            <w:pPr>
              <w:pStyle w:val="61"/>
              <w:autoSpaceDE w:val="0"/>
              <w:autoSpaceDN w:val="0"/>
              <w:spacing w:line="240" w:lineRule="exact"/>
              <w:textAlignment w:val="bottom"/>
              <w:rPr>
                <w:rFonts w:ascii="Arial" w:hAnsi="Arial" w:cs="Arial"/>
                <w:sz w:val="16"/>
                <w:szCs w:val="18"/>
                <w:highlight w:val="none"/>
              </w:rPr>
            </w:pPr>
            <w:r>
              <w:rPr>
                <w:rFonts w:ascii="Arial" w:hAnsi="Arial" w:cs="Arial"/>
                <w:sz w:val="16"/>
                <w:szCs w:val="18"/>
                <w:highlight w:val="none"/>
              </w:rPr>
              <w:t>可比实例2</w:t>
            </w:r>
          </w:p>
        </w:tc>
        <w:tc>
          <w:tcPr>
            <w:tcW w:w="1815" w:type="dxa"/>
            <w:vAlign w:val="center"/>
          </w:tcPr>
          <w:p w14:paraId="71C1C0EB">
            <w:pPr>
              <w:pStyle w:val="61"/>
              <w:autoSpaceDE w:val="0"/>
              <w:autoSpaceDN w:val="0"/>
              <w:spacing w:line="240" w:lineRule="exact"/>
              <w:textAlignment w:val="bottom"/>
              <w:rPr>
                <w:rFonts w:ascii="Arial" w:hAnsi="Arial" w:cs="Arial"/>
                <w:sz w:val="16"/>
                <w:szCs w:val="18"/>
                <w:highlight w:val="none"/>
              </w:rPr>
            </w:pPr>
            <w:r>
              <w:rPr>
                <w:rFonts w:ascii="Arial" w:hAnsi="Arial" w:cs="Arial"/>
                <w:sz w:val="16"/>
                <w:szCs w:val="18"/>
                <w:highlight w:val="none"/>
              </w:rPr>
              <w:t>可比实例3</w:t>
            </w:r>
          </w:p>
        </w:tc>
      </w:tr>
      <w:tr w14:paraId="6B2BD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3E85A199">
            <w:pPr>
              <w:pStyle w:val="61"/>
              <w:autoSpaceDE w:val="0"/>
              <w:autoSpaceDN w:val="0"/>
              <w:spacing w:line="240" w:lineRule="exact"/>
              <w:textAlignment w:val="bottom"/>
              <w:rPr>
                <w:rFonts w:ascii="Arial" w:hAnsi="Arial" w:cs="Arial"/>
                <w:sz w:val="16"/>
                <w:szCs w:val="18"/>
                <w:highlight w:val="none"/>
              </w:rPr>
            </w:pPr>
            <w:r>
              <w:rPr>
                <w:rFonts w:ascii="Arial" w:hAnsi="Arial" w:cs="Arial"/>
                <w:sz w:val="16"/>
                <w:szCs w:val="18"/>
                <w:highlight w:val="none"/>
              </w:rPr>
              <w:t>项目名称</w:t>
            </w:r>
          </w:p>
        </w:tc>
        <w:tc>
          <w:tcPr>
            <w:tcW w:w="1812" w:type="dxa"/>
            <w:vAlign w:val="center"/>
          </w:tcPr>
          <w:p w14:paraId="27955189">
            <w:pPr>
              <w:pStyle w:val="61"/>
              <w:autoSpaceDE w:val="0"/>
              <w:autoSpaceDN w:val="0"/>
              <w:spacing w:line="240" w:lineRule="exact"/>
              <w:textAlignment w:val="bottom"/>
              <w:rPr>
                <w:rFonts w:hint="eastAsia" w:ascii="Arial" w:hAnsi="Arial" w:eastAsia="宋体" w:cs="Arial"/>
                <w:sz w:val="16"/>
                <w:szCs w:val="18"/>
                <w:highlight w:val="none"/>
                <w:lang w:eastAsia="zh-CN"/>
              </w:rPr>
            </w:pPr>
            <w:r>
              <w:rPr>
                <w:rFonts w:hint="eastAsia" w:ascii="Arial" w:hAnsi="Arial" w:cs="Arial"/>
                <w:sz w:val="16"/>
                <w:szCs w:val="18"/>
                <w:highlight w:val="none"/>
                <w:lang w:eastAsia="zh-CN"/>
              </w:rPr>
              <w:t>育新花园</w:t>
            </w:r>
          </w:p>
        </w:tc>
        <w:tc>
          <w:tcPr>
            <w:tcW w:w="1812" w:type="dxa"/>
            <w:vAlign w:val="center"/>
          </w:tcPr>
          <w:p w14:paraId="2665BE47">
            <w:pPr>
              <w:widowControl/>
              <w:snapToGrid w:val="0"/>
              <w:spacing w:line="240" w:lineRule="exact"/>
              <w:jc w:val="center"/>
              <w:textAlignment w:val="center"/>
              <w:rPr>
                <w:rFonts w:ascii="Arial" w:hAnsi="Arial" w:cs="Arial"/>
                <w:sz w:val="16"/>
                <w:szCs w:val="18"/>
                <w:highlight w:val="none"/>
              </w:rPr>
            </w:pPr>
            <w:r>
              <w:rPr>
                <w:rFonts w:hint="eastAsia" w:ascii="Arial" w:hAnsi="Arial" w:cs="Arial"/>
                <w:sz w:val="16"/>
                <w:szCs w:val="18"/>
                <w:highlight w:val="none"/>
              </w:rPr>
              <w:t>恒盛波尔多小镇南区</w:t>
            </w:r>
          </w:p>
        </w:tc>
        <w:tc>
          <w:tcPr>
            <w:tcW w:w="1812" w:type="dxa"/>
            <w:vAlign w:val="center"/>
          </w:tcPr>
          <w:p w14:paraId="2841648A">
            <w:pPr>
              <w:widowControl/>
              <w:snapToGrid w:val="0"/>
              <w:spacing w:line="240" w:lineRule="exact"/>
              <w:jc w:val="center"/>
              <w:textAlignment w:val="center"/>
              <w:rPr>
                <w:rFonts w:ascii="Arial" w:hAnsi="Arial" w:cs="Arial"/>
                <w:sz w:val="16"/>
                <w:szCs w:val="18"/>
                <w:highlight w:val="none"/>
              </w:rPr>
            </w:pPr>
            <w:r>
              <w:rPr>
                <w:rFonts w:hint="eastAsia" w:ascii="Arial" w:hAnsi="Arial" w:cs="Arial"/>
                <w:sz w:val="16"/>
                <w:szCs w:val="18"/>
                <w:highlight w:val="none"/>
              </w:rPr>
              <w:t>育新花园中里</w:t>
            </w:r>
          </w:p>
        </w:tc>
        <w:tc>
          <w:tcPr>
            <w:tcW w:w="1815" w:type="dxa"/>
            <w:vAlign w:val="center"/>
          </w:tcPr>
          <w:p w14:paraId="6FBAC531">
            <w:pPr>
              <w:widowControl/>
              <w:snapToGrid w:val="0"/>
              <w:spacing w:line="240" w:lineRule="exact"/>
              <w:jc w:val="center"/>
              <w:textAlignment w:val="center"/>
              <w:rPr>
                <w:rFonts w:ascii="Arial" w:hAnsi="Arial" w:cs="Arial"/>
                <w:sz w:val="16"/>
                <w:szCs w:val="18"/>
                <w:highlight w:val="none"/>
              </w:rPr>
            </w:pPr>
            <w:r>
              <w:rPr>
                <w:rFonts w:hint="eastAsia" w:ascii="Arial" w:hAnsi="Arial" w:cs="Arial"/>
                <w:sz w:val="16"/>
                <w:szCs w:val="18"/>
                <w:highlight w:val="none"/>
              </w:rPr>
              <w:t>育新花园</w:t>
            </w:r>
            <w:r>
              <w:rPr>
                <w:rFonts w:hint="eastAsia" w:ascii="Arial" w:hAnsi="Arial" w:cs="Arial"/>
                <w:sz w:val="16"/>
                <w:szCs w:val="18"/>
                <w:highlight w:val="none"/>
                <w:lang w:val="en-US" w:eastAsia="zh-CN"/>
              </w:rPr>
              <w:t>北</w:t>
            </w:r>
            <w:r>
              <w:rPr>
                <w:rFonts w:hint="eastAsia" w:ascii="Arial" w:hAnsi="Arial" w:cs="Arial"/>
                <w:sz w:val="16"/>
                <w:szCs w:val="18"/>
                <w:highlight w:val="none"/>
              </w:rPr>
              <w:t>里</w:t>
            </w:r>
          </w:p>
        </w:tc>
      </w:tr>
      <w:tr w14:paraId="00761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0C1B59C5">
            <w:pPr>
              <w:pStyle w:val="61"/>
              <w:autoSpaceDE w:val="0"/>
              <w:autoSpaceDN w:val="0"/>
              <w:spacing w:line="240" w:lineRule="exact"/>
              <w:textAlignment w:val="bottom"/>
              <w:rPr>
                <w:rFonts w:ascii="Arial" w:hAnsi="Arial" w:cs="Arial"/>
                <w:sz w:val="16"/>
                <w:szCs w:val="18"/>
                <w:highlight w:val="none"/>
              </w:rPr>
            </w:pPr>
            <w:r>
              <w:rPr>
                <w:rFonts w:ascii="Arial" w:hAnsi="Arial" w:cs="Arial"/>
                <w:sz w:val="16"/>
                <w:szCs w:val="18"/>
                <w:highlight w:val="none"/>
              </w:rPr>
              <w:t>租金价格（元/㎡·</w:t>
            </w:r>
            <w:r>
              <w:rPr>
                <w:rFonts w:hint="eastAsia" w:ascii="Arial" w:hAnsi="Arial" w:cs="Arial"/>
                <w:sz w:val="16"/>
                <w:szCs w:val="18"/>
                <w:highlight w:val="none"/>
              </w:rPr>
              <w:t>月</w:t>
            </w:r>
            <w:r>
              <w:rPr>
                <w:rFonts w:ascii="Arial" w:hAnsi="Arial" w:cs="Arial"/>
                <w:sz w:val="16"/>
                <w:szCs w:val="18"/>
                <w:highlight w:val="none"/>
              </w:rPr>
              <w:t>）</w:t>
            </w:r>
          </w:p>
        </w:tc>
        <w:tc>
          <w:tcPr>
            <w:tcW w:w="1812" w:type="dxa"/>
            <w:vAlign w:val="center"/>
          </w:tcPr>
          <w:p w14:paraId="104F91A4">
            <w:pPr>
              <w:pStyle w:val="61"/>
              <w:autoSpaceDE w:val="0"/>
              <w:autoSpaceDN w:val="0"/>
              <w:spacing w:line="240" w:lineRule="exact"/>
              <w:textAlignment w:val="bottom"/>
              <w:rPr>
                <w:rFonts w:ascii="Arial" w:hAnsi="Arial" w:cs="Arial"/>
                <w:sz w:val="16"/>
                <w:szCs w:val="18"/>
                <w:highlight w:val="none"/>
              </w:rPr>
            </w:pPr>
            <w:r>
              <w:rPr>
                <w:rFonts w:ascii="Arial" w:hAnsi="Arial" w:cs="Arial"/>
                <w:sz w:val="16"/>
                <w:szCs w:val="18"/>
                <w:highlight w:val="none"/>
              </w:rPr>
              <w:t>待估</w:t>
            </w:r>
          </w:p>
        </w:tc>
        <w:tc>
          <w:tcPr>
            <w:tcW w:w="1812" w:type="dxa"/>
            <w:vAlign w:val="center"/>
          </w:tcPr>
          <w:p w14:paraId="57930776">
            <w:pPr>
              <w:pStyle w:val="61"/>
              <w:autoSpaceDE w:val="0"/>
              <w:autoSpaceDN w:val="0"/>
              <w:snapToGrid w:val="0"/>
              <w:spacing w:line="240" w:lineRule="exact"/>
              <w:textAlignment w:val="bottom"/>
              <w:rPr>
                <w:rFonts w:hint="default" w:ascii="Arial" w:hAnsi="Arial" w:eastAsia="宋体" w:cs="Arial"/>
                <w:sz w:val="16"/>
                <w:szCs w:val="18"/>
                <w:highlight w:val="none"/>
                <w:lang w:val="en-US" w:eastAsia="zh-CN"/>
              </w:rPr>
            </w:pPr>
            <w:r>
              <w:rPr>
                <w:rFonts w:hint="eastAsia" w:ascii="Arial" w:hAnsi="Arial" w:cs="Arial"/>
                <w:sz w:val="16"/>
                <w:szCs w:val="18"/>
                <w:highlight w:val="none"/>
                <w:lang w:val="en-US" w:eastAsia="zh-CN"/>
              </w:rPr>
              <w:t>24.45</w:t>
            </w:r>
          </w:p>
        </w:tc>
        <w:tc>
          <w:tcPr>
            <w:tcW w:w="1812" w:type="dxa"/>
            <w:vAlign w:val="center"/>
          </w:tcPr>
          <w:p w14:paraId="3E920D43">
            <w:pPr>
              <w:pStyle w:val="61"/>
              <w:autoSpaceDE w:val="0"/>
              <w:autoSpaceDN w:val="0"/>
              <w:snapToGrid w:val="0"/>
              <w:spacing w:line="240" w:lineRule="exact"/>
              <w:textAlignment w:val="bottom"/>
              <w:rPr>
                <w:rFonts w:hint="default" w:ascii="Arial" w:hAnsi="Arial" w:eastAsia="宋体" w:cs="Arial"/>
                <w:sz w:val="16"/>
                <w:szCs w:val="18"/>
                <w:highlight w:val="none"/>
                <w:lang w:val="en-US" w:eastAsia="zh-CN"/>
              </w:rPr>
            </w:pPr>
            <w:r>
              <w:rPr>
                <w:rFonts w:hint="eastAsia" w:ascii="Arial" w:hAnsi="Arial" w:cs="Arial"/>
                <w:sz w:val="16"/>
                <w:szCs w:val="18"/>
                <w:highlight w:val="none"/>
                <w:lang w:val="en-US" w:eastAsia="zh-CN"/>
              </w:rPr>
              <w:t>23.44</w:t>
            </w:r>
          </w:p>
        </w:tc>
        <w:tc>
          <w:tcPr>
            <w:tcW w:w="1815" w:type="dxa"/>
            <w:vAlign w:val="center"/>
          </w:tcPr>
          <w:p w14:paraId="0413A38D">
            <w:pPr>
              <w:pStyle w:val="61"/>
              <w:autoSpaceDE w:val="0"/>
              <w:autoSpaceDN w:val="0"/>
              <w:snapToGrid w:val="0"/>
              <w:spacing w:line="240" w:lineRule="exact"/>
              <w:textAlignment w:val="bottom"/>
              <w:rPr>
                <w:rFonts w:hint="default" w:ascii="Arial" w:hAnsi="Arial" w:eastAsia="宋体" w:cs="Arial"/>
                <w:sz w:val="16"/>
                <w:szCs w:val="18"/>
                <w:highlight w:val="none"/>
                <w:lang w:val="en-US" w:eastAsia="zh-CN"/>
              </w:rPr>
            </w:pPr>
            <w:r>
              <w:rPr>
                <w:rFonts w:hint="eastAsia" w:ascii="Arial" w:hAnsi="Arial" w:cs="Arial"/>
                <w:sz w:val="16"/>
                <w:szCs w:val="18"/>
                <w:highlight w:val="none"/>
                <w:lang w:val="en-US" w:eastAsia="zh-CN"/>
              </w:rPr>
              <w:t>22.89</w:t>
            </w:r>
          </w:p>
        </w:tc>
      </w:tr>
      <w:tr w14:paraId="16DD9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2" w:hRule="atLeast"/>
          <w:jc w:val="center"/>
        </w:trPr>
        <w:tc>
          <w:tcPr>
            <w:tcW w:w="2047" w:type="dxa"/>
            <w:vMerge w:val="restart"/>
            <w:vAlign w:val="center"/>
          </w:tcPr>
          <w:p w14:paraId="4CF914B2">
            <w:pPr>
              <w:pStyle w:val="61"/>
              <w:autoSpaceDE w:val="0"/>
              <w:autoSpaceDN w:val="0"/>
              <w:spacing w:line="240" w:lineRule="exact"/>
              <w:textAlignment w:val="bottom"/>
              <w:rPr>
                <w:rFonts w:ascii="Arial" w:hAnsi="Arial" w:cs="Arial"/>
                <w:sz w:val="16"/>
                <w:szCs w:val="18"/>
                <w:highlight w:val="none"/>
              </w:rPr>
            </w:pPr>
            <w:r>
              <w:rPr>
                <w:rFonts w:hint="eastAsia" w:ascii="Arial" w:hAnsi="Arial" w:cs="Arial"/>
                <w:sz w:val="16"/>
                <w:szCs w:val="18"/>
                <w:highlight w:val="none"/>
              </w:rPr>
              <w:t>统一</w:t>
            </w:r>
            <w:r>
              <w:rPr>
                <w:rFonts w:ascii="Arial" w:hAnsi="Arial" w:cs="Arial"/>
                <w:sz w:val="16"/>
                <w:szCs w:val="18"/>
                <w:highlight w:val="none"/>
              </w:rPr>
              <w:t>租金内涵</w:t>
            </w:r>
          </w:p>
        </w:tc>
        <w:tc>
          <w:tcPr>
            <w:tcW w:w="1812" w:type="dxa"/>
            <w:vAlign w:val="center"/>
          </w:tcPr>
          <w:p w14:paraId="0A9BDEBD">
            <w:pPr>
              <w:pStyle w:val="61"/>
              <w:autoSpaceDE w:val="0"/>
              <w:autoSpaceDN w:val="0"/>
              <w:spacing w:line="240" w:lineRule="exact"/>
              <w:textAlignment w:val="bottom"/>
              <w:rPr>
                <w:rFonts w:ascii="Arial" w:hAnsi="Arial" w:cs="Arial"/>
                <w:sz w:val="16"/>
                <w:szCs w:val="18"/>
                <w:highlight w:val="none"/>
              </w:rPr>
            </w:pPr>
            <w:r>
              <w:rPr>
                <w:rFonts w:hint="eastAsia" w:ascii="Arial" w:hAnsi="Arial" w:cs="Arial"/>
                <w:sz w:val="16"/>
                <w:szCs w:val="18"/>
                <w:highlight w:val="none"/>
              </w:rPr>
              <w:t>包含房屋、家具家电使用费、物业费及租赁税费，包含持有运营单位在住房租赁合同中明确约定由出租人承担的基础服务费（例如基础物业管理服务、公区保洁、公区维保等费用），不包含增值服务费（例如室内保洁、室内人为损坏维修、洗衣、送餐等费用）、能源费（包括公区能源费及室内能源费，例如水、电、气、暖、网络等费用）、车位使用费等费用</w:t>
            </w:r>
          </w:p>
        </w:tc>
        <w:tc>
          <w:tcPr>
            <w:tcW w:w="1812" w:type="dxa"/>
            <w:vAlign w:val="center"/>
          </w:tcPr>
          <w:p w14:paraId="18BCB115">
            <w:pPr>
              <w:autoSpaceDE w:val="0"/>
              <w:autoSpaceDN w:val="0"/>
              <w:spacing w:line="240" w:lineRule="exact"/>
              <w:jc w:val="center"/>
              <w:textAlignment w:val="bottom"/>
              <w:rPr>
                <w:rFonts w:ascii="Arial" w:hAnsi="Arial" w:cs="Arial"/>
                <w:sz w:val="16"/>
                <w:szCs w:val="18"/>
                <w:highlight w:val="none"/>
              </w:rPr>
            </w:pPr>
            <w:r>
              <w:rPr>
                <w:rFonts w:hint="eastAsia" w:ascii="Arial" w:hAnsi="Arial" w:cs="Arial"/>
                <w:sz w:val="16"/>
                <w:szCs w:val="18"/>
                <w:highlight w:val="none"/>
              </w:rPr>
              <w:t>含房屋、家具家电使用费及租赁税费、物业费、供暖费</w:t>
            </w:r>
            <w:r>
              <w:rPr>
                <w:rFonts w:ascii="Arial" w:hAnsi="Arial" w:cs="Arial"/>
                <w:sz w:val="16"/>
                <w:szCs w:val="18"/>
                <w:highlight w:val="none"/>
              </w:rPr>
              <w:t>，不含</w:t>
            </w:r>
            <w:r>
              <w:rPr>
                <w:rFonts w:hint="eastAsia" w:ascii="Arial" w:hAnsi="Arial" w:cs="Arial"/>
                <w:sz w:val="16"/>
                <w:szCs w:val="18"/>
                <w:highlight w:val="none"/>
              </w:rPr>
              <w:t>增值服务费</w:t>
            </w:r>
            <w:r>
              <w:rPr>
                <w:rFonts w:ascii="Arial" w:hAnsi="Arial" w:cs="Arial"/>
                <w:sz w:val="16"/>
                <w:szCs w:val="18"/>
                <w:highlight w:val="none"/>
              </w:rPr>
              <w:t>、制冷费、水电费、天然气费、通信费、有线电视费及上网宽带费</w:t>
            </w:r>
            <w:r>
              <w:rPr>
                <w:rFonts w:hint="eastAsia" w:ascii="Arial" w:hAnsi="Arial" w:cs="Arial"/>
                <w:sz w:val="16"/>
                <w:szCs w:val="18"/>
                <w:highlight w:val="none"/>
              </w:rPr>
              <w:t>、车位使用费</w:t>
            </w:r>
            <w:r>
              <w:rPr>
                <w:rFonts w:ascii="Arial" w:hAnsi="Arial" w:cs="Arial"/>
                <w:sz w:val="16"/>
                <w:szCs w:val="18"/>
                <w:highlight w:val="none"/>
              </w:rPr>
              <w:t>等</w:t>
            </w:r>
          </w:p>
        </w:tc>
        <w:tc>
          <w:tcPr>
            <w:tcW w:w="1812" w:type="dxa"/>
            <w:vAlign w:val="center"/>
          </w:tcPr>
          <w:p w14:paraId="19E243DB">
            <w:pPr>
              <w:spacing w:line="276" w:lineRule="auto"/>
              <w:rPr>
                <w:sz w:val="16"/>
                <w:highlight w:val="none"/>
              </w:rPr>
            </w:pPr>
            <w:r>
              <w:rPr>
                <w:rFonts w:hint="eastAsia" w:ascii="Arial" w:hAnsi="Arial" w:cs="Arial"/>
                <w:sz w:val="16"/>
                <w:szCs w:val="18"/>
                <w:highlight w:val="none"/>
              </w:rPr>
              <w:t>含房屋、家具家电使用费及租赁税费、物业费、供暖费</w:t>
            </w:r>
            <w:r>
              <w:rPr>
                <w:rFonts w:ascii="Arial" w:hAnsi="Arial" w:cs="Arial"/>
                <w:sz w:val="16"/>
                <w:szCs w:val="18"/>
                <w:highlight w:val="none"/>
              </w:rPr>
              <w:t>，不含</w:t>
            </w:r>
            <w:r>
              <w:rPr>
                <w:rFonts w:hint="eastAsia" w:ascii="Arial" w:hAnsi="Arial" w:cs="Arial"/>
                <w:sz w:val="16"/>
                <w:szCs w:val="18"/>
                <w:highlight w:val="none"/>
              </w:rPr>
              <w:t>增值服务费</w:t>
            </w:r>
            <w:r>
              <w:rPr>
                <w:rFonts w:ascii="Arial" w:hAnsi="Arial" w:cs="Arial"/>
                <w:sz w:val="16"/>
                <w:szCs w:val="18"/>
                <w:highlight w:val="none"/>
              </w:rPr>
              <w:t>、制冷费、水电费、天然气费、通信费、有线电视费及上网宽带费</w:t>
            </w:r>
            <w:r>
              <w:rPr>
                <w:rFonts w:hint="eastAsia" w:ascii="Arial" w:hAnsi="Arial" w:cs="Arial"/>
                <w:sz w:val="16"/>
                <w:szCs w:val="18"/>
                <w:highlight w:val="none"/>
              </w:rPr>
              <w:t>、车位使用费</w:t>
            </w:r>
            <w:r>
              <w:rPr>
                <w:rFonts w:ascii="Arial" w:hAnsi="Arial" w:cs="Arial"/>
                <w:sz w:val="16"/>
                <w:szCs w:val="18"/>
                <w:highlight w:val="none"/>
              </w:rPr>
              <w:t>等</w:t>
            </w:r>
          </w:p>
        </w:tc>
        <w:tc>
          <w:tcPr>
            <w:tcW w:w="1815" w:type="dxa"/>
            <w:vAlign w:val="center"/>
          </w:tcPr>
          <w:p w14:paraId="1851D824">
            <w:pPr>
              <w:spacing w:line="276" w:lineRule="auto"/>
              <w:rPr>
                <w:sz w:val="16"/>
                <w:highlight w:val="none"/>
              </w:rPr>
            </w:pPr>
            <w:r>
              <w:rPr>
                <w:rFonts w:hint="eastAsia" w:ascii="Arial" w:hAnsi="Arial" w:cs="Arial"/>
                <w:sz w:val="16"/>
                <w:szCs w:val="18"/>
                <w:highlight w:val="none"/>
              </w:rPr>
              <w:t>含房屋、家具家电使用费及租赁税费、物业费、供暖费</w:t>
            </w:r>
            <w:r>
              <w:rPr>
                <w:rFonts w:ascii="Arial" w:hAnsi="Arial" w:cs="Arial"/>
                <w:sz w:val="16"/>
                <w:szCs w:val="18"/>
                <w:highlight w:val="none"/>
              </w:rPr>
              <w:t>，不含</w:t>
            </w:r>
            <w:r>
              <w:rPr>
                <w:rFonts w:hint="eastAsia" w:ascii="Arial" w:hAnsi="Arial" w:cs="Arial"/>
                <w:sz w:val="16"/>
                <w:szCs w:val="18"/>
                <w:highlight w:val="none"/>
              </w:rPr>
              <w:t>增值服务费</w:t>
            </w:r>
            <w:r>
              <w:rPr>
                <w:rFonts w:ascii="Arial" w:hAnsi="Arial" w:cs="Arial"/>
                <w:sz w:val="16"/>
                <w:szCs w:val="18"/>
                <w:highlight w:val="none"/>
              </w:rPr>
              <w:t>、制冷费、水电费、天然气费、通信费、有线电视费及上网宽带费</w:t>
            </w:r>
            <w:r>
              <w:rPr>
                <w:rFonts w:hint="eastAsia" w:ascii="Arial" w:hAnsi="Arial" w:cs="Arial"/>
                <w:sz w:val="16"/>
                <w:szCs w:val="18"/>
                <w:highlight w:val="none"/>
              </w:rPr>
              <w:t>、车位使用费</w:t>
            </w:r>
            <w:r>
              <w:rPr>
                <w:rFonts w:ascii="Arial" w:hAnsi="Arial" w:cs="Arial"/>
                <w:sz w:val="16"/>
                <w:szCs w:val="18"/>
                <w:highlight w:val="none"/>
              </w:rPr>
              <w:t>等</w:t>
            </w:r>
          </w:p>
        </w:tc>
      </w:tr>
      <w:tr w14:paraId="51E4A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4EF672A0">
            <w:pPr>
              <w:pStyle w:val="61"/>
              <w:autoSpaceDE w:val="0"/>
              <w:autoSpaceDN w:val="0"/>
              <w:spacing w:line="240" w:lineRule="exact"/>
              <w:textAlignment w:val="bottom"/>
              <w:rPr>
                <w:rFonts w:ascii="Arial" w:hAnsi="Arial" w:cs="Arial"/>
                <w:sz w:val="16"/>
                <w:szCs w:val="18"/>
                <w:highlight w:val="none"/>
              </w:rPr>
            </w:pPr>
          </w:p>
        </w:tc>
        <w:tc>
          <w:tcPr>
            <w:tcW w:w="1812" w:type="dxa"/>
            <w:vAlign w:val="center"/>
          </w:tcPr>
          <w:p w14:paraId="5F98453B">
            <w:pPr>
              <w:pStyle w:val="61"/>
              <w:autoSpaceDE w:val="0"/>
              <w:autoSpaceDN w:val="0"/>
              <w:spacing w:line="240" w:lineRule="exact"/>
              <w:textAlignment w:val="bottom"/>
              <w:rPr>
                <w:rFonts w:ascii="Arial" w:hAnsi="Arial" w:cs="Arial"/>
                <w:sz w:val="16"/>
                <w:szCs w:val="18"/>
                <w:highlight w:val="none"/>
              </w:rPr>
            </w:pPr>
            <w:r>
              <w:rPr>
                <w:rFonts w:hint="eastAsia" w:ascii="Arial" w:hAnsi="Arial" w:cs="Arial"/>
                <w:sz w:val="16"/>
                <w:szCs w:val="18"/>
                <w:highlight w:val="none"/>
              </w:rPr>
              <w:t>扣减物业费、供暖费</w:t>
            </w:r>
          </w:p>
        </w:tc>
        <w:tc>
          <w:tcPr>
            <w:tcW w:w="1812" w:type="dxa"/>
            <w:vAlign w:val="center"/>
          </w:tcPr>
          <w:p w14:paraId="6FA4D1DB">
            <w:pPr>
              <w:autoSpaceDE w:val="0"/>
              <w:autoSpaceDN w:val="0"/>
              <w:spacing w:line="240" w:lineRule="exact"/>
              <w:jc w:val="center"/>
              <w:textAlignment w:val="bottom"/>
              <w:rPr>
                <w:rFonts w:hint="default" w:ascii="Arial" w:hAnsi="Arial" w:eastAsia="宋体" w:cs="Arial"/>
                <w:sz w:val="16"/>
                <w:szCs w:val="18"/>
                <w:highlight w:val="none"/>
                <w:lang w:val="en-US" w:eastAsia="zh-CN"/>
              </w:rPr>
            </w:pPr>
            <w:r>
              <w:rPr>
                <w:rFonts w:hint="eastAsia" w:ascii="Arial" w:hAnsi="Arial" w:cs="Arial"/>
                <w:sz w:val="16"/>
                <w:szCs w:val="18"/>
                <w:highlight w:val="none"/>
                <w:lang w:val="en-US" w:eastAsia="zh-CN"/>
              </w:rPr>
              <w:t>4.18</w:t>
            </w:r>
          </w:p>
        </w:tc>
        <w:tc>
          <w:tcPr>
            <w:tcW w:w="1812" w:type="dxa"/>
            <w:vAlign w:val="center"/>
          </w:tcPr>
          <w:p w14:paraId="2113AE34">
            <w:pPr>
              <w:autoSpaceDE w:val="0"/>
              <w:autoSpaceDN w:val="0"/>
              <w:spacing w:line="240" w:lineRule="exact"/>
              <w:jc w:val="center"/>
              <w:textAlignment w:val="bottom"/>
              <w:rPr>
                <w:rFonts w:hint="default" w:ascii="Arial" w:hAnsi="Arial" w:eastAsia="宋体" w:cs="Arial"/>
                <w:sz w:val="16"/>
                <w:szCs w:val="18"/>
                <w:highlight w:val="none"/>
                <w:lang w:val="en-US" w:eastAsia="zh-CN"/>
              </w:rPr>
            </w:pPr>
            <w:r>
              <w:rPr>
                <w:rFonts w:hint="eastAsia" w:ascii="Arial" w:hAnsi="Arial" w:cs="Arial"/>
                <w:sz w:val="16"/>
                <w:szCs w:val="18"/>
                <w:highlight w:val="none"/>
                <w:lang w:val="en-US" w:eastAsia="zh-CN"/>
              </w:rPr>
              <w:t>4.06</w:t>
            </w:r>
          </w:p>
        </w:tc>
        <w:tc>
          <w:tcPr>
            <w:tcW w:w="1815" w:type="dxa"/>
            <w:vAlign w:val="center"/>
          </w:tcPr>
          <w:p w14:paraId="0B0ECD3F">
            <w:pPr>
              <w:autoSpaceDE w:val="0"/>
              <w:autoSpaceDN w:val="0"/>
              <w:spacing w:line="240" w:lineRule="exact"/>
              <w:jc w:val="center"/>
              <w:textAlignment w:val="bottom"/>
              <w:rPr>
                <w:rFonts w:hint="default" w:ascii="Arial" w:hAnsi="Arial" w:eastAsia="宋体" w:cs="Arial"/>
                <w:sz w:val="16"/>
                <w:szCs w:val="18"/>
                <w:highlight w:val="none"/>
                <w:lang w:val="en-US" w:eastAsia="zh-CN"/>
              </w:rPr>
            </w:pPr>
            <w:r>
              <w:rPr>
                <w:rFonts w:hint="eastAsia" w:ascii="Arial" w:hAnsi="Arial" w:cs="Arial"/>
                <w:sz w:val="16"/>
                <w:szCs w:val="18"/>
                <w:highlight w:val="none"/>
                <w:lang w:val="en-US" w:eastAsia="zh-CN"/>
              </w:rPr>
              <w:t>4.06</w:t>
            </w:r>
          </w:p>
        </w:tc>
      </w:tr>
      <w:tr w14:paraId="61223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4AFCE461">
            <w:pPr>
              <w:pStyle w:val="61"/>
              <w:autoSpaceDE w:val="0"/>
              <w:autoSpaceDN w:val="0"/>
              <w:spacing w:line="240" w:lineRule="exact"/>
              <w:textAlignment w:val="bottom"/>
              <w:rPr>
                <w:rFonts w:ascii="Arial" w:hAnsi="Arial" w:cs="Arial"/>
                <w:sz w:val="16"/>
                <w:szCs w:val="18"/>
                <w:highlight w:val="none"/>
              </w:rPr>
            </w:pPr>
          </w:p>
        </w:tc>
        <w:tc>
          <w:tcPr>
            <w:tcW w:w="1812" w:type="dxa"/>
            <w:vAlign w:val="center"/>
          </w:tcPr>
          <w:p w14:paraId="62D234C1">
            <w:pPr>
              <w:pStyle w:val="61"/>
              <w:autoSpaceDE w:val="0"/>
              <w:autoSpaceDN w:val="0"/>
              <w:spacing w:line="240" w:lineRule="exact"/>
              <w:textAlignment w:val="bottom"/>
              <w:rPr>
                <w:rFonts w:ascii="Arial" w:hAnsi="Arial" w:cs="Arial"/>
                <w:sz w:val="16"/>
                <w:szCs w:val="18"/>
                <w:highlight w:val="none"/>
              </w:rPr>
            </w:pPr>
            <w:r>
              <w:rPr>
                <w:rFonts w:hint="eastAsia" w:ascii="Arial" w:hAnsi="Arial" w:cs="Arial"/>
                <w:sz w:val="16"/>
                <w:szCs w:val="18"/>
                <w:highlight w:val="none"/>
              </w:rPr>
              <w:t>统一</w:t>
            </w:r>
            <w:r>
              <w:rPr>
                <w:rFonts w:ascii="Arial" w:hAnsi="Arial" w:cs="Arial"/>
                <w:sz w:val="16"/>
                <w:szCs w:val="18"/>
                <w:highlight w:val="none"/>
              </w:rPr>
              <w:t>租金内涵</w:t>
            </w:r>
            <w:r>
              <w:rPr>
                <w:rFonts w:hint="eastAsia" w:ascii="Arial" w:hAnsi="Arial" w:cs="Arial"/>
                <w:sz w:val="16"/>
                <w:szCs w:val="18"/>
                <w:highlight w:val="none"/>
              </w:rPr>
              <w:t>后价格</w:t>
            </w:r>
          </w:p>
        </w:tc>
        <w:tc>
          <w:tcPr>
            <w:tcW w:w="1812" w:type="dxa"/>
            <w:vAlign w:val="center"/>
          </w:tcPr>
          <w:p w14:paraId="353EAFF3">
            <w:pPr>
              <w:autoSpaceDE w:val="0"/>
              <w:autoSpaceDN w:val="0"/>
              <w:spacing w:line="240" w:lineRule="exact"/>
              <w:jc w:val="center"/>
              <w:textAlignment w:val="bottom"/>
              <w:rPr>
                <w:rFonts w:hint="default" w:ascii="Arial" w:hAnsi="Arial" w:eastAsia="宋体" w:cs="Arial"/>
                <w:sz w:val="16"/>
                <w:szCs w:val="18"/>
                <w:highlight w:val="none"/>
                <w:lang w:val="en-US" w:eastAsia="zh-CN"/>
              </w:rPr>
            </w:pPr>
            <w:r>
              <w:rPr>
                <w:rFonts w:hint="eastAsia" w:ascii="Arial" w:hAnsi="Arial" w:cs="Arial"/>
                <w:sz w:val="16"/>
                <w:szCs w:val="18"/>
                <w:highlight w:val="none"/>
                <w:lang w:val="en-US" w:eastAsia="zh-CN"/>
              </w:rPr>
              <w:t>20.27</w:t>
            </w:r>
          </w:p>
        </w:tc>
        <w:tc>
          <w:tcPr>
            <w:tcW w:w="1812" w:type="dxa"/>
            <w:vAlign w:val="center"/>
          </w:tcPr>
          <w:p w14:paraId="40F0BCF7">
            <w:pPr>
              <w:autoSpaceDE w:val="0"/>
              <w:autoSpaceDN w:val="0"/>
              <w:spacing w:line="240" w:lineRule="exact"/>
              <w:jc w:val="center"/>
              <w:textAlignment w:val="bottom"/>
              <w:rPr>
                <w:rFonts w:hint="default" w:ascii="Arial" w:hAnsi="Arial" w:eastAsia="宋体" w:cs="Arial"/>
                <w:sz w:val="16"/>
                <w:szCs w:val="18"/>
                <w:highlight w:val="none"/>
                <w:lang w:val="en-US" w:eastAsia="zh-CN"/>
              </w:rPr>
            </w:pPr>
            <w:r>
              <w:rPr>
                <w:rFonts w:hint="eastAsia" w:ascii="Arial" w:hAnsi="Arial" w:cs="Arial"/>
                <w:sz w:val="16"/>
                <w:szCs w:val="18"/>
                <w:highlight w:val="none"/>
                <w:lang w:val="en-US" w:eastAsia="zh-CN"/>
              </w:rPr>
              <w:t>19.38</w:t>
            </w:r>
          </w:p>
        </w:tc>
        <w:tc>
          <w:tcPr>
            <w:tcW w:w="1815" w:type="dxa"/>
            <w:vAlign w:val="center"/>
          </w:tcPr>
          <w:p w14:paraId="6E8E38B4">
            <w:pPr>
              <w:autoSpaceDE w:val="0"/>
              <w:autoSpaceDN w:val="0"/>
              <w:spacing w:line="240" w:lineRule="exact"/>
              <w:jc w:val="center"/>
              <w:textAlignment w:val="bottom"/>
              <w:rPr>
                <w:rFonts w:hint="default" w:ascii="Arial" w:hAnsi="Arial" w:eastAsia="宋体" w:cs="Arial"/>
                <w:sz w:val="16"/>
                <w:szCs w:val="18"/>
                <w:highlight w:val="none"/>
                <w:lang w:val="en-US" w:eastAsia="zh-CN"/>
              </w:rPr>
            </w:pPr>
            <w:r>
              <w:rPr>
                <w:rFonts w:hint="eastAsia" w:ascii="Arial" w:hAnsi="Arial" w:cs="Arial"/>
                <w:sz w:val="16"/>
                <w:szCs w:val="18"/>
                <w:highlight w:val="none"/>
                <w:lang w:val="en-US" w:eastAsia="zh-CN"/>
              </w:rPr>
              <w:t>18.83</w:t>
            </w:r>
          </w:p>
        </w:tc>
      </w:tr>
      <w:tr w14:paraId="366A7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restart"/>
            <w:vAlign w:val="center"/>
          </w:tcPr>
          <w:p w14:paraId="79A1886B">
            <w:pPr>
              <w:pStyle w:val="61"/>
              <w:autoSpaceDE w:val="0"/>
              <w:autoSpaceDN w:val="0"/>
              <w:spacing w:line="240" w:lineRule="exact"/>
              <w:textAlignment w:val="bottom"/>
              <w:rPr>
                <w:rFonts w:ascii="Arial" w:hAnsi="Arial" w:cs="Arial"/>
                <w:sz w:val="16"/>
                <w:szCs w:val="18"/>
                <w:highlight w:val="none"/>
              </w:rPr>
            </w:pPr>
            <w:r>
              <w:rPr>
                <w:rFonts w:hint="eastAsia" w:ascii="Arial" w:hAnsi="Arial" w:cs="Arial"/>
                <w:sz w:val="16"/>
                <w:szCs w:val="18"/>
                <w:highlight w:val="none"/>
              </w:rPr>
              <w:t>统一租赁行为条件</w:t>
            </w:r>
          </w:p>
        </w:tc>
        <w:tc>
          <w:tcPr>
            <w:tcW w:w="1812" w:type="dxa"/>
            <w:vAlign w:val="center"/>
          </w:tcPr>
          <w:p w14:paraId="44FB6469">
            <w:pPr>
              <w:pStyle w:val="61"/>
              <w:autoSpaceDE w:val="0"/>
              <w:autoSpaceDN w:val="0"/>
              <w:spacing w:line="240" w:lineRule="exact"/>
              <w:textAlignment w:val="bottom"/>
              <w:rPr>
                <w:rFonts w:ascii="Arial" w:hAnsi="Arial" w:cs="Arial"/>
                <w:sz w:val="16"/>
                <w:szCs w:val="18"/>
                <w:highlight w:val="none"/>
              </w:rPr>
            </w:pPr>
            <w:r>
              <w:rPr>
                <w:rFonts w:hint="eastAsia" w:ascii="Arial" w:hAnsi="Arial" w:cs="Arial"/>
                <w:sz w:val="16"/>
                <w:szCs w:val="18"/>
                <w:highlight w:val="none"/>
              </w:rPr>
              <w:t>一年租期，月付，无免租期</w:t>
            </w:r>
          </w:p>
        </w:tc>
        <w:tc>
          <w:tcPr>
            <w:tcW w:w="1812" w:type="dxa"/>
          </w:tcPr>
          <w:p w14:paraId="7B47ED94">
            <w:pPr>
              <w:pStyle w:val="61"/>
              <w:autoSpaceDE w:val="0"/>
              <w:autoSpaceDN w:val="0"/>
              <w:spacing w:line="240" w:lineRule="exact"/>
              <w:textAlignment w:val="bottom"/>
              <w:rPr>
                <w:rFonts w:ascii="Arial" w:hAnsi="Arial" w:cs="Arial"/>
                <w:sz w:val="16"/>
                <w:szCs w:val="18"/>
                <w:highlight w:val="none"/>
              </w:rPr>
            </w:pPr>
            <w:r>
              <w:rPr>
                <w:rFonts w:hint="eastAsia" w:ascii="Arial" w:hAnsi="Arial" w:cs="Arial"/>
                <w:sz w:val="16"/>
                <w:szCs w:val="18"/>
                <w:highlight w:val="none"/>
              </w:rPr>
              <w:t>一年租期，月付，无免租期</w:t>
            </w:r>
          </w:p>
        </w:tc>
        <w:tc>
          <w:tcPr>
            <w:tcW w:w="1812" w:type="dxa"/>
          </w:tcPr>
          <w:p w14:paraId="11723404">
            <w:pPr>
              <w:pStyle w:val="61"/>
              <w:autoSpaceDE w:val="0"/>
              <w:autoSpaceDN w:val="0"/>
              <w:spacing w:line="240" w:lineRule="exact"/>
              <w:textAlignment w:val="bottom"/>
              <w:rPr>
                <w:rFonts w:ascii="Arial" w:hAnsi="Arial" w:cs="Arial"/>
                <w:sz w:val="16"/>
                <w:szCs w:val="18"/>
                <w:highlight w:val="none"/>
              </w:rPr>
            </w:pPr>
            <w:r>
              <w:rPr>
                <w:rFonts w:hint="eastAsia" w:ascii="Arial" w:hAnsi="Arial" w:cs="Arial"/>
                <w:sz w:val="16"/>
                <w:szCs w:val="18"/>
                <w:highlight w:val="none"/>
              </w:rPr>
              <w:t>一年租期，月付，无免租期</w:t>
            </w:r>
          </w:p>
        </w:tc>
        <w:tc>
          <w:tcPr>
            <w:tcW w:w="1815" w:type="dxa"/>
          </w:tcPr>
          <w:p w14:paraId="65422AA2">
            <w:pPr>
              <w:pStyle w:val="61"/>
              <w:autoSpaceDE w:val="0"/>
              <w:autoSpaceDN w:val="0"/>
              <w:spacing w:line="240" w:lineRule="exact"/>
              <w:textAlignment w:val="bottom"/>
              <w:rPr>
                <w:rFonts w:ascii="Arial" w:hAnsi="Arial" w:cs="Arial"/>
                <w:sz w:val="16"/>
                <w:szCs w:val="18"/>
                <w:highlight w:val="none"/>
              </w:rPr>
            </w:pPr>
            <w:r>
              <w:rPr>
                <w:rFonts w:hint="eastAsia" w:ascii="Arial" w:hAnsi="Arial" w:cs="Arial"/>
                <w:sz w:val="16"/>
                <w:szCs w:val="18"/>
                <w:highlight w:val="none"/>
              </w:rPr>
              <w:t>一年租期，月付，无免租期</w:t>
            </w:r>
          </w:p>
        </w:tc>
      </w:tr>
      <w:tr w14:paraId="77994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2D63EEED">
            <w:pPr>
              <w:pStyle w:val="61"/>
              <w:autoSpaceDE w:val="0"/>
              <w:autoSpaceDN w:val="0"/>
              <w:spacing w:line="240" w:lineRule="exact"/>
              <w:textAlignment w:val="bottom"/>
              <w:rPr>
                <w:rFonts w:ascii="Arial" w:hAnsi="Arial" w:cs="Arial"/>
                <w:sz w:val="16"/>
                <w:szCs w:val="18"/>
                <w:highlight w:val="none"/>
              </w:rPr>
            </w:pPr>
          </w:p>
        </w:tc>
        <w:tc>
          <w:tcPr>
            <w:tcW w:w="1812" w:type="dxa"/>
            <w:vAlign w:val="center"/>
          </w:tcPr>
          <w:p w14:paraId="6DD1CF37">
            <w:pPr>
              <w:pStyle w:val="61"/>
              <w:autoSpaceDE w:val="0"/>
              <w:autoSpaceDN w:val="0"/>
              <w:spacing w:line="240" w:lineRule="exact"/>
              <w:textAlignment w:val="bottom"/>
              <w:rPr>
                <w:rFonts w:ascii="Arial" w:hAnsi="Arial" w:cs="Arial"/>
                <w:sz w:val="16"/>
                <w:szCs w:val="18"/>
                <w:highlight w:val="none"/>
              </w:rPr>
            </w:pPr>
            <w:r>
              <w:rPr>
                <w:rFonts w:ascii="Arial" w:hAnsi="Arial" w:cs="Arial"/>
                <w:sz w:val="16"/>
                <w:szCs w:val="18"/>
                <w:highlight w:val="none"/>
              </w:rPr>
              <w:t>修正系数</w:t>
            </w:r>
          </w:p>
        </w:tc>
        <w:tc>
          <w:tcPr>
            <w:tcW w:w="1812" w:type="dxa"/>
            <w:vAlign w:val="center"/>
          </w:tcPr>
          <w:p w14:paraId="25075802">
            <w:pPr>
              <w:pStyle w:val="61"/>
              <w:autoSpaceDE w:val="0"/>
              <w:autoSpaceDN w:val="0"/>
              <w:spacing w:line="240" w:lineRule="exact"/>
              <w:textAlignment w:val="bottom"/>
              <w:rPr>
                <w:rFonts w:ascii="Arial" w:hAnsi="Arial" w:cs="Arial"/>
                <w:sz w:val="16"/>
                <w:szCs w:val="18"/>
                <w:highlight w:val="none"/>
              </w:rPr>
            </w:pPr>
            <w:r>
              <w:rPr>
                <w:rFonts w:ascii="Arial" w:hAnsi="Arial" w:cs="Arial"/>
                <w:sz w:val="16"/>
                <w:szCs w:val="18"/>
                <w:highlight w:val="none"/>
              </w:rPr>
              <w:t>1</w:t>
            </w:r>
          </w:p>
        </w:tc>
        <w:tc>
          <w:tcPr>
            <w:tcW w:w="1812" w:type="dxa"/>
            <w:vAlign w:val="center"/>
          </w:tcPr>
          <w:p w14:paraId="25C81547">
            <w:pPr>
              <w:pStyle w:val="61"/>
              <w:autoSpaceDE w:val="0"/>
              <w:autoSpaceDN w:val="0"/>
              <w:spacing w:line="240" w:lineRule="exact"/>
              <w:textAlignment w:val="bottom"/>
              <w:rPr>
                <w:rFonts w:ascii="Arial" w:hAnsi="Arial" w:cs="Arial"/>
                <w:sz w:val="16"/>
                <w:szCs w:val="18"/>
                <w:highlight w:val="none"/>
              </w:rPr>
            </w:pPr>
            <w:r>
              <w:rPr>
                <w:rFonts w:ascii="Arial" w:hAnsi="Arial" w:cs="Arial"/>
                <w:sz w:val="16"/>
                <w:szCs w:val="18"/>
                <w:highlight w:val="none"/>
              </w:rPr>
              <w:t>1</w:t>
            </w:r>
          </w:p>
        </w:tc>
        <w:tc>
          <w:tcPr>
            <w:tcW w:w="1815" w:type="dxa"/>
            <w:vAlign w:val="center"/>
          </w:tcPr>
          <w:p w14:paraId="07E50263">
            <w:pPr>
              <w:pStyle w:val="61"/>
              <w:autoSpaceDE w:val="0"/>
              <w:autoSpaceDN w:val="0"/>
              <w:spacing w:line="240" w:lineRule="exact"/>
              <w:textAlignment w:val="bottom"/>
              <w:rPr>
                <w:rFonts w:ascii="Arial" w:hAnsi="Arial" w:cs="Arial"/>
                <w:sz w:val="16"/>
                <w:szCs w:val="18"/>
                <w:highlight w:val="none"/>
              </w:rPr>
            </w:pPr>
            <w:r>
              <w:rPr>
                <w:rFonts w:ascii="Arial" w:hAnsi="Arial" w:cs="Arial"/>
                <w:sz w:val="16"/>
                <w:szCs w:val="18"/>
                <w:highlight w:val="none"/>
              </w:rPr>
              <w:t>1</w:t>
            </w:r>
          </w:p>
        </w:tc>
      </w:tr>
      <w:tr w14:paraId="49A6D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restart"/>
            <w:vAlign w:val="center"/>
          </w:tcPr>
          <w:p w14:paraId="4F83434A">
            <w:pPr>
              <w:pStyle w:val="61"/>
              <w:autoSpaceDE w:val="0"/>
              <w:autoSpaceDN w:val="0"/>
              <w:spacing w:line="240" w:lineRule="exact"/>
              <w:textAlignment w:val="bottom"/>
              <w:rPr>
                <w:rFonts w:ascii="Arial" w:hAnsi="Arial" w:cs="Arial"/>
                <w:sz w:val="16"/>
                <w:szCs w:val="18"/>
                <w:highlight w:val="none"/>
              </w:rPr>
            </w:pPr>
            <w:r>
              <w:rPr>
                <w:rFonts w:ascii="Arial" w:hAnsi="Arial" w:cs="Arial"/>
                <w:sz w:val="16"/>
                <w:szCs w:val="18"/>
                <w:highlight w:val="none"/>
              </w:rPr>
              <w:t>统一计价单位</w:t>
            </w:r>
          </w:p>
        </w:tc>
        <w:tc>
          <w:tcPr>
            <w:tcW w:w="1812" w:type="dxa"/>
            <w:vAlign w:val="center"/>
          </w:tcPr>
          <w:p w14:paraId="79B94851">
            <w:pPr>
              <w:pStyle w:val="61"/>
              <w:autoSpaceDE w:val="0"/>
              <w:autoSpaceDN w:val="0"/>
              <w:spacing w:line="240" w:lineRule="exact"/>
              <w:textAlignment w:val="bottom"/>
              <w:rPr>
                <w:rFonts w:ascii="Arial" w:hAnsi="Arial" w:cs="Arial"/>
                <w:sz w:val="16"/>
                <w:szCs w:val="18"/>
                <w:highlight w:val="none"/>
              </w:rPr>
            </w:pPr>
            <w:r>
              <w:rPr>
                <w:rFonts w:ascii="Arial" w:hAnsi="Arial" w:cs="Arial"/>
                <w:sz w:val="16"/>
                <w:szCs w:val="18"/>
                <w:highlight w:val="none"/>
              </w:rPr>
              <w:t>人民币，元/建筑平方米·</w:t>
            </w:r>
            <w:r>
              <w:rPr>
                <w:rFonts w:hint="eastAsia" w:ascii="Arial" w:hAnsi="Arial" w:cs="Arial"/>
                <w:sz w:val="16"/>
                <w:szCs w:val="18"/>
                <w:highlight w:val="none"/>
              </w:rPr>
              <w:t>月</w:t>
            </w:r>
          </w:p>
        </w:tc>
        <w:tc>
          <w:tcPr>
            <w:tcW w:w="1812" w:type="dxa"/>
            <w:vAlign w:val="center"/>
          </w:tcPr>
          <w:p w14:paraId="541854D8">
            <w:pPr>
              <w:pStyle w:val="61"/>
              <w:autoSpaceDE w:val="0"/>
              <w:autoSpaceDN w:val="0"/>
              <w:spacing w:line="240" w:lineRule="exact"/>
              <w:textAlignment w:val="bottom"/>
              <w:rPr>
                <w:rFonts w:ascii="Arial" w:hAnsi="Arial" w:cs="Arial"/>
                <w:sz w:val="16"/>
                <w:szCs w:val="18"/>
                <w:highlight w:val="none"/>
              </w:rPr>
            </w:pPr>
            <w:r>
              <w:rPr>
                <w:rFonts w:ascii="Arial" w:hAnsi="Arial" w:cs="Arial"/>
                <w:sz w:val="16"/>
                <w:szCs w:val="18"/>
                <w:highlight w:val="none"/>
              </w:rPr>
              <w:t>人民币，元/建筑平方米·</w:t>
            </w:r>
            <w:r>
              <w:rPr>
                <w:rFonts w:hint="eastAsia" w:ascii="Arial" w:hAnsi="Arial" w:cs="Arial"/>
                <w:sz w:val="16"/>
                <w:szCs w:val="18"/>
                <w:highlight w:val="none"/>
              </w:rPr>
              <w:t>月</w:t>
            </w:r>
          </w:p>
        </w:tc>
        <w:tc>
          <w:tcPr>
            <w:tcW w:w="1812" w:type="dxa"/>
            <w:vAlign w:val="center"/>
          </w:tcPr>
          <w:p w14:paraId="447BC167">
            <w:pPr>
              <w:pStyle w:val="61"/>
              <w:autoSpaceDE w:val="0"/>
              <w:autoSpaceDN w:val="0"/>
              <w:spacing w:line="240" w:lineRule="exact"/>
              <w:textAlignment w:val="bottom"/>
              <w:rPr>
                <w:rFonts w:ascii="Arial" w:hAnsi="Arial" w:cs="Arial"/>
                <w:sz w:val="16"/>
                <w:szCs w:val="18"/>
                <w:highlight w:val="none"/>
              </w:rPr>
            </w:pPr>
            <w:r>
              <w:rPr>
                <w:rFonts w:ascii="Arial" w:hAnsi="Arial" w:cs="Arial"/>
                <w:sz w:val="16"/>
                <w:szCs w:val="18"/>
                <w:highlight w:val="none"/>
              </w:rPr>
              <w:t>人民币，元/建筑平方米·</w:t>
            </w:r>
            <w:r>
              <w:rPr>
                <w:rFonts w:hint="eastAsia" w:ascii="Arial" w:hAnsi="Arial" w:cs="Arial"/>
                <w:sz w:val="16"/>
                <w:szCs w:val="18"/>
                <w:highlight w:val="none"/>
              </w:rPr>
              <w:t>月</w:t>
            </w:r>
          </w:p>
        </w:tc>
        <w:tc>
          <w:tcPr>
            <w:tcW w:w="1815" w:type="dxa"/>
            <w:vAlign w:val="center"/>
          </w:tcPr>
          <w:p w14:paraId="5AB76B93">
            <w:pPr>
              <w:pStyle w:val="61"/>
              <w:autoSpaceDE w:val="0"/>
              <w:autoSpaceDN w:val="0"/>
              <w:spacing w:line="240" w:lineRule="exact"/>
              <w:textAlignment w:val="bottom"/>
              <w:rPr>
                <w:rFonts w:ascii="Arial" w:hAnsi="Arial" w:cs="Arial"/>
                <w:sz w:val="16"/>
                <w:szCs w:val="18"/>
                <w:highlight w:val="none"/>
              </w:rPr>
            </w:pPr>
            <w:r>
              <w:rPr>
                <w:rFonts w:ascii="Arial" w:hAnsi="Arial" w:cs="Arial"/>
                <w:sz w:val="16"/>
                <w:szCs w:val="18"/>
                <w:highlight w:val="none"/>
              </w:rPr>
              <w:t>人民币，元/建筑平方米·</w:t>
            </w:r>
            <w:r>
              <w:rPr>
                <w:rFonts w:hint="eastAsia" w:ascii="Arial" w:hAnsi="Arial" w:cs="Arial"/>
                <w:sz w:val="16"/>
                <w:szCs w:val="18"/>
                <w:highlight w:val="none"/>
              </w:rPr>
              <w:t>月</w:t>
            </w:r>
          </w:p>
        </w:tc>
      </w:tr>
      <w:tr w14:paraId="67E2E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2117EEEF">
            <w:pPr>
              <w:pStyle w:val="61"/>
              <w:autoSpaceDE w:val="0"/>
              <w:autoSpaceDN w:val="0"/>
              <w:spacing w:line="240" w:lineRule="exact"/>
              <w:textAlignment w:val="bottom"/>
              <w:rPr>
                <w:rFonts w:ascii="Arial" w:hAnsi="Arial" w:cs="Arial"/>
                <w:sz w:val="16"/>
                <w:szCs w:val="18"/>
                <w:highlight w:val="none"/>
              </w:rPr>
            </w:pPr>
          </w:p>
        </w:tc>
        <w:tc>
          <w:tcPr>
            <w:tcW w:w="1812" w:type="dxa"/>
            <w:vAlign w:val="center"/>
          </w:tcPr>
          <w:p w14:paraId="2E360949">
            <w:pPr>
              <w:pStyle w:val="61"/>
              <w:autoSpaceDE w:val="0"/>
              <w:autoSpaceDN w:val="0"/>
              <w:spacing w:line="240" w:lineRule="exact"/>
              <w:textAlignment w:val="bottom"/>
              <w:rPr>
                <w:rFonts w:ascii="Arial" w:hAnsi="Arial" w:cs="Arial"/>
                <w:sz w:val="16"/>
                <w:szCs w:val="18"/>
                <w:highlight w:val="none"/>
              </w:rPr>
            </w:pPr>
            <w:r>
              <w:rPr>
                <w:rFonts w:ascii="Arial" w:hAnsi="Arial" w:cs="Arial"/>
                <w:sz w:val="16"/>
                <w:szCs w:val="18"/>
                <w:highlight w:val="none"/>
              </w:rPr>
              <w:t>修正系数</w:t>
            </w:r>
          </w:p>
        </w:tc>
        <w:tc>
          <w:tcPr>
            <w:tcW w:w="1812" w:type="dxa"/>
            <w:vAlign w:val="center"/>
          </w:tcPr>
          <w:p w14:paraId="6A0F13C7">
            <w:pPr>
              <w:pStyle w:val="61"/>
              <w:autoSpaceDE w:val="0"/>
              <w:autoSpaceDN w:val="0"/>
              <w:spacing w:line="240" w:lineRule="exact"/>
              <w:textAlignment w:val="bottom"/>
              <w:rPr>
                <w:rFonts w:ascii="Arial" w:hAnsi="Arial" w:cs="Arial"/>
                <w:sz w:val="16"/>
                <w:szCs w:val="18"/>
                <w:highlight w:val="none"/>
              </w:rPr>
            </w:pPr>
            <w:r>
              <w:rPr>
                <w:rFonts w:ascii="Arial" w:hAnsi="Arial" w:cs="Arial"/>
                <w:sz w:val="16"/>
                <w:szCs w:val="18"/>
                <w:highlight w:val="none"/>
              </w:rPr>
              <w:t>1</w:t>
            </w:r>
          </w:p>
        </w:tc>
        <w:tc>
          <w:tcPr>
            <w:tcW w:w="1812" w:type="dxa"/>
            <w:vAlign w:val="center"/>
          </w:tcPr>
          <w:p w14:paraId="5F76A676">
            <w:pPr>
              <w:pStyle w:val="61"/>
              <w:autoSpaceDE w:val="0"/>
              <w:autoSpaceDN w:val="0"/>
              <w:spacing w:line="240" w:lineRule="exact"/>
              <w:textAlignment w:val="bottom"/>
              <w:rPr>
                <w:rFonts w:ascii="Arial" w:hAnsi="Arial" w:cs="Arial"/>
                <w:sz w:val="16"/>
                <w:szCs w:val="18"/>
                <w:highlight w:val="none"/>
              </w:rPr>
            </w:pPr>
            <w:r>
              <w:rPr>
                <w:rFonts w:ascii="Arial" w:hAnsi="Arial" w:cs="Arial"/>
                <w:sz w:val="16"/>
                <w:szCs w:val="18"/>
                <w:highlight w:val="none"/>
              </w:rPr>
              <w:t>1</w:t>
            </w:r>
          </w:p>
        </w:tc>
        <w:tc>
          <w:tcPr>
            <w:tcW w:w="1815" w:type="dxa"/>
            <w:vAlign w:val="center"/>
          </w:tcPr>
          <w:p w14:paraId="65DCEFA8">
            <w:pPr>
              <w:pStyle w:val="61"/>
              <w:autoSpaceDE w:val="0"/>
              <w:autoSpaceDN w:val="0"/>
              <w:spacing w:line="240" w:lineRule="exact"/>
              <w:textAlignment w:val="bottom"/>
              <w:rPr>
                <w:rFonts w:ascii="Arial" w:hAnsi="Arial" w:cs="Arial"/>
                <w:sz w:val="16"/>
                <w:szCs w:val="18"/>
                <w:highlight w:val="none"/>
              </w:rPr>
            </w:pPr>
            <w:r>
              <w:rPr>
                <w:rFonts w:ascii="Arial" w:hAnsi="Arial" w:cs="Arial"/>
                <w:sz w:val="16"/>
                <w:szCs w:val="18"/>
                <w:highlight w:val="none"/>
              </w:rPr>
              <w:t>1</w:t>
            </w:r>
          </w:p>
        </w:tc>
      </w:tr>
      <w:tr w14:paraId="56367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065F7F95">
            <w:pPr>
              <w:pStyle w:val="61"/>
              <w:autoSpaceDE w:val="0"/>
              <w:autoSpaceDN w:val="0"/>
              <w:spacing w:line="240" w:lineRule="exact"/>
              <w:textAlignment w:val="bottom"/>
              <w:rPr>
                <w:rFonts w:ascii="Arial" w:hAnsi="Arial" w:cs="Arial"/>
                <w:sz w:val="16"/>
                <w:szCs w:val="18"/>
                <w:highlight w:val="none"/>
              </w:rPr>
            </w:pPr>
            <w:r>
              <w:rPr>
                <w:rFonts w:ascii="Arial" w:hAnsi="Arial" w:cs="Arial"/>
                <w:sz w:val="16"/>
                <w:szCs w:val="18"/>
                <w:highlight w:val="none"/>
              </w:rPr>
              <w:t>价格（元/㎡·天）</w:t>
            </w:r>
          </w:p>
        </w:tc>
        <w:tc>
          <w:tcPr>
            <w:tcW w:w="1812" w:type="dxa"/>
            <w:vAlign w:val="center"/>
          </w:tcPr>
          <w:p w14:paraId="18AE28A9">
            <w:pPr>
              <w:pStyle w:val="61"/>
              <w:autoSpaceDE w:val="0"/>
              <w:autoSpaceDN w:val="0"/>
              <w:spacing w:line="240" w:lineRule="exact"/>
              <w:textAlignment w:val="bottom"/>
              <w:rPr>
                <w:rFonts w:ascii="Arial" w:hAnsi="Arial" w:cs="Arial"/>
                <w:sz w:val="16"/>
                <w:szCs w:val="18"/>
                <w:highlight w:val="none"/>
              </w:rPr>
            </w:pPr>
            <w:r>
              <w:rPr>
                <w:rFonts w:ascii="Arial" w:hAnsi="Arial" w:cs="Arial"/>
                <w:sz w:val="16"/>
                <w:szCs w:val="18"/>
                <w:highlight w:val="none"/>
              </w:rPr>
              <w:t>待估</w:t>
            </w:r>
          </w:p>
        </w:tc>
        <w:tc>
          <w:tcPr>
            <w:tcW w:w="1812" w:type="dxa"/>
            <w:vAlign w:val="center"/>
          </w:tcPr>
          <w:p w14:paraId="6C5A9157">
            <w:pPr>
              <w:autoSpaceDE w:val="0"/>
              <w:autoSpaceDN w:val="0"/>
              <w:spacing w:line="240" w:lineRule="exact"/>
              <w:jc w:val="center"/>
              <w:textAlignment w:val="bottom"/>
              <w:rPr>
                <w:rFonts w:ascii="Arial" w:hAnsi="Arial" w:cs="Arial"/>
                <w:sz w:val="16"/>
                <w:szCs w:val="18"/>
                <w:highlight w:val="none"/>
              </w:rPr>
            </w:pPr>
            <w:r>
              <w:rPr>
                <w:rFonts w:hint="eastAsia" w:ascii="Arial" w:hAnsi="Arial" w:cs="Arial"/>
                <w:sz w:val="16"/>
                <w:szCs w:val="18"/>
                <w:highlight w:val="none"/>
                <w:lang w:val="en-US" w:eastAsia="zh-CN"/>
              </w:rPr>
              <w:t>20.27</w:t>
            </w:r>
          </w:p>
        </w:tc>
        <w:tc>
          <w:tcPr>
            <w:tcW w:w="1812" w:type="dxa"/>
            <w:vAlign w:val="center"/>
          </w:tcPr>
          <w:p w14:paraId="6986AE6A">
            <w:pPr>
              <w:autoSpaceDE w:val="0"/>
              <w:autoSpaceDN w:val="0"/>
              <w:spacing w:line="240" w:lineRule="exact"/>
              <w:jc w:val="center"/>
              <w:textAlignment w:val="bottom"/>
              <w:rPr>
                <w:rFonts w:ascii="Arial" w:hAnsi="Arial" w:cs="Arial"/>
                <w:sz w:val="16"/>
                <w:szCs w:val="18"/>
                <w:highlight w:val="none"/>
              </w:rPr>
            </w:pPr>
            <w:r>
              <w:rPr>
                <w:rFonts w:hint="eastAsia" w:ascii="Arial" w:hAnsi="Arial" w:cs="Arial"/>
                <w:sz w:val="16"/>
                <w:szCs w:val="18"/>
                <w:highlight w:val="none"/>
                <w:lang w:val="en-US" w:eastAsia="zh-CN"/>
              </w:rPr>
              <w:t>19.38</w:t>
            </w:r>
          </w:p>
        </w:tc>
        <w:tc>
          <w:tcPr>
            <w:tcW w:w="1815" w:type="dxa"/>
            <w:vAlign w:val="center"/>
          </w:tcPr>
          <w:p w14:paraId="6EDE036E">
            <w:pPr>
              <w:autoSpaceDE w:val="0"/>
              <w:autoSpaceDN w:val="0"/>
              <w:spacing w:line="240" w:lineRule="exact"/>
              <w:jc w:val="center"/>
              <w:textAlignment w:val="bottom"/>
              <w:rPr>
                <w:rFonts w:ascii="Arial" w:hAnsi="Arial" w:cs="Arial"/>
                <w:sz w:val="16"/>
                <w:szCs w:val="18"/>
                <w:highlight w:val="none"/>
              </w:rPr>
            </w:pPr>
            <w:r>
              <w:rPr>
                <w:rFonts w:hint="eastAsia" w:ascii="Arial" w:hAnsi="Arial" w:cs="Arial"/>
                <w:sz w:val="16"/>
                <w:szCs w:val="18"/>
                <w:highlight w:val="none"/>
                <w:lang w:val="en-US" w:eastAsia="zh-CN"/>
              </w:rPr>
              <w:t>18.83</w:t>
            </w:r>
          </w:p>
        </w:tc>
      </w:tr>
    </w:tbl>
    <w:p w14:paraId="0220D8FA">
      <w:pPr>
        <w:wordWrap w:val="0"/>
        <w:overflowPunct w:val="0"/>
        <w:spacing w:line="480" w:lineRule="auto"/>
        <w:ind w:firstLine="420" w:firstLineChars="200"/>
        <w:rPr>
          <w:rFonts w:ascii="宋体" w:hAnsi="宋体"/>
          <w:sz w:val="21"/>
          <w:szCs w:val="21"/>
          <w:highlight w:val="none"/>
        </w:rPr>
      </w:pPr>
      <w:r>
        <w:rPr>
          <w:rFonts w:ascii="宋体" w:hAnsi="宋体"/>
          <w:sz w:val="21"/>
          <w:szCs w:val="21"/>
          <w:highlight w:val="none"/>
        </w:rPr>
        <w:br w:type="page"/>
      </w:r>
      <w:r>
        <w:rPr>
          <w:rFonts w:hint="eastAsia" w:ascii="宋体" w:hAnsi="宋体"/>
          <w:sz w:val="21"/>
          <w:szCs w:val="21"/>
          <w:highlight w:val="none"/>
        </w:rPr>
        <w:t>各实例位置如下：</w:t>
      </w:r>
    </w:p>
    <w:tbl>
      <w:tblPr>
        <w:tblStyle w:val="33"/>
        <w:tblW w:w="9300" w:type="dxa"/>
        <w:jc w:val="center"/>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Layout w:type="fixed"/>
        <w:tblCellMar>
          <w:top w:w="28" w:type="dxa"/>
          <w:left w:w="28" w:type="dxa"/>
          <w:bottom w:w="28" w:type="dxa"/>
          <w:right w:w="28" w:type="dxa"/>
        </w:tblCellMar>
      </w:tblPr>
      <w:tblGrid>
        <w:gridCol w:w="9300"/>
      </w:tblGrid>
      <w:tr w14:paraId="03759C47">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PrEx>
        <w:trPr>
          <w:cantSplit/>
          <w:jc w:val="center"/>
        </w:trPr>
        <w:tc>
          <w:tcPr>
            <w:tcW w:w="9300" w:type="dxa"/>
            <w:tcBorders>
              <w:top w:val="dotted" w:color="404040" w:sz="2" w:space="0"/>
              <w:left w:val="dotted" w:color="404040" w:sz="2" w:space="0"/>
              <w:bottom w:val="dotted" w:color="404040" w:sz="2" w:space="0"/>
              <w:right w:val="dotted" w:color="404040" w:sz="2" w:space="0"/>
            </w:tcBorders>
          </w:tcPr>
          <w:p w14:paraId="4130AD50">
            <w:pPr>
              <w:jc w:val="center"/>
              <w:rPr>
                <w:rFonts w:ascii="华文细黑" w:hAnsi="华文细黑" w:eastAsia="华文细黑"/>
                <w:highlight w:val="none"/>
              </w:rPr>
            </w:pPr>
            <w:r>
              <w:rPr>
                <w:rFonts w:hint="eastAsia" w:ascii="华文细黑" w:hAnsi="华文细黑" w:eastAsia="华文细黑"/>
                <w:highlight w:val="none"/>
              </w:rPr>
              <w:t>实例位置</w:t>
            </w:r>
          </w:p>
        </w:tc>
      </w:tr>
      <w:tr w14:paraId="57D44D30">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PrEx>
        <w:trPr>
          <w:cantSplit/>
          <w:trHeight w:val="6166" w:hRule="atLeast"/>
          <w:jc w:val="center"/>
        </w:trPr>
        <w:tc>
          <w:tcPr>
            <w:tcW w:w="9300" w:type="dxa"/>
            <w:tcBorders>
              <w:top w:val="dotted" w:color="404040" w:sz="2" w:space="0"/>
              <w:left w:val="dotted" w:color="404040" w:sz="2" w:space="0"/>
              <w:bottom w:val="dotted" w:color="404040" w:sz="2" w:space="0"/>
              <w:right w:val="dotted" w:color="404040" w:sz="2" w:space="0"/>
            </w:tcBorders>
          </w:tcPr>
          <w:p w14:paraId="51F8FB7A">
            <w:pPr>
              <w:jc w:val="center"/>
              <w:rPr>
                <w:rFonts w:ascii="Calibri" w:hAnsi="Calibri"/>
                <w:highlight w:val="none"/>
              </w:rPr>
            </w:pPr>
            <w:r>
              <w:drawing>
                <wp:inline distT="0" distB="0" distL="114300" distR="114300">
                  <wp:extent cx="5868035" cy="3771900"/>
                  <wp:effectExtent l="0" t="0" r="14605" b="7620"/>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42"/>
                          <a:stretch>
                            <a:fillRect/>
                          </a:stretch>
                        </pic:blipFill>
                        <pic:spPr>
                          <a:xfrm>
                            <a:off x="0" y="0"/>
                            <a:ext cx="5868035" cy="3771900"/>
                          </a:xfrm>
                          <a:prstGeom prst="rect">
                            <a:avLst/>
                          </a:prstGeom>
                          <a:noFill/>
                          <a:ln>
                            <a:noFill/>
                          </a:ln>
                        </pic:spPr>
                      </pic:pic>
                    </a:graphicData>
                  </a:graphic>
                </wp:inline>
              </w:drawing>
            </w:r>
          </w:p>
        </w:tc>
      </w:tr>
    </w:tbl>
    <w:p w14:paraId="06A20A6D">
      <w:pPr>
        <w:rPr>
          <w:highlight w:val="none"/>
        </w:rPr>
      </w:pPr>
    </w:p>
    <w:p w14:paraId="11769EDD">
      <w:pPr>
        <w:wordWrap w:val="0"/>
        <w:overflowPunct w:val="0"/>
        <w:spacing w:line="480" w:lineRule="auto"/>
        <w:ind w:firstLine="420" w:firstLineChars="200"/>
        <w:rPr>
          <w:rFonts w:ascii="Arial" w:hAnsi="Arial"/>
          <w:sz w:val="21"/>
          <w:szCs w:val="21"/>
          <w:highlight w:val="none"/>
        </w:rPr>
      </w:pPr>
      <w:r>
        <w:rPr>
          <w:rFonts w:ascii="Arial" w:hAnsi="Arial"/>
          <w:sz w:val="21"/>
          <w:szCs w:val="21"/>
          <w:highlight w:val="none"/>
        </w:rPr>
        <w:br w:type="page"/>
      </w:r>
      <w:r>
        <w:rPr>
          <w:rFonts w:hint="eastAsia" w:ascii="Arial" w:hAnsi="Arial"/>
          <w:sz w:val="21"/>
          <w:szCs w:val="21"/>
          <w:highlight w:val="none"/>
        </w:rPr>
        <w:t>（1）建立比较因素条件说明表</w:t>
      </w:r>
      <w:r>
        <w:rPr>
          <w:rFonts w:ascii="Arial" w:hAnsi="Arial"/>
          <w:sz w:val="21"/>
          <w:szCs w:val="21"/>
          <w:highlight w:val="none"/>
        </w:rPr>
        <w:t xml:space="preserve"> </w:t>
      </w:r>
    </w:p>
    <w:p w14:paraId="0EB93EA8">
      <w:pPr>
        <w:wordWrap w:val="0"/>
        <w:overflowPunct w:val="0"/>
        <w:spacing w:line="480" w:lineRule="auto"/>
        <w:ind w:firstLine="420" w:firstLineChars="200"/>
        <w:rPr>
          <w:rFonts w:ascii="Arial" w:hAnsi="Arial"/>
          <w:sz w:val="21"/>
          <w:szCs w:val="21"/>
          <w:highlight w:val="none"/>
        </w:rPr>
      </w:pPr>
      <w:r>
        <w:rPr>
          <w:rFonts w:ascii="Arial" w:hAnsi="Arial"/>
          <w:sz w:val="21"/>
          <w:szCs w:val="21"/>
          <w:highlight w:val="none"/>
        </w:rPr>
        <w:t>参与比较的因素条件应是对估价对象与可比实例小区之间的价格差异产生作用的因素，通过对估价对象各自特点的分析，本次估价选择了区域状况、实物状况进行比较，详见比较因素情况描述表</w:t>
      </w:r>
      <w:r>
        <w:rPr>
          <w:rFonts w:hint="eastAsia" w:ascii="Arial" w:hAnsi="Arial"/>
          <w:sz w:val="21"/>
          <w:szCs w:val="21"/>
          <w:highlight w:val="none"/>
        </w:rPr>
        <w:t>：</w:t>
      </w:r>
    </w:p>
    <w:p w14:paraId="73A5799C">
      <w:pPr>
        <w:overflowPunct w:val="0"/>
        <w:spacing w:line="480" w:lineRule="auto"/>
        <w:ind w:firstLine="420" w:firstLineChars="200"/>
        <w:jc w:val="center"/>
        <w:rPr>
          <w:rFonts w:ascii="Arial" w:hAnsi="Arial"/>
          <w:sz w:val="21"/>
          <w:szCs w:val="21"/>
          <w:highlight w:val="none"/>
        </w:rPr>
      </w:pPr>
      <w:r>
        <w:rPr>
          <w:rFonts w:hint="eastAsia" w:ascii="Arial" w:hAnsi="Arial"/>
          <w:sz w:val="21"/>
          <w:szCs w:val="21"/>
          <w:highlight w:val="none"/>
        </w:rPr>
        <w:t>比较因素情况描述表</w:t>
      </w:r>
    </w:p>
    <w:tbl>
      <w:tblPr>
        <w:tblStyle w:val="33"/>
        <w:tblW w:w="5000" w:type="pct"/>
        <w:jc w:val="center"/>
        <w:tblLayout w:type="autofit"/>
        <w:tblCellMar>
          <w:top w:w="0" w:type="dxa"/>
          <w:left w:w="108" w:type="dxa"/>
          <w:bottom w:w="0" w:type="dxa"/>
          <w:right w:w="108" w:type="dxa"/>
        </w:tblCellMar>
      </w:tblPr>
      <w:tblGrid>
        <w:gridCol w:w="694"/>
        <w:gridCol w:w="1442"/>
        <w:gridCol w:w="1844"/>
        <w:gridCol w:w="1844"/>
        <w:gridCol w:w="1844"/>
        <w:gridCol w:w="1847"/>
      </w:tblGrid>
      <w:tr w14:paraId="5419E9B2">
        <w:tblPrEx>
          <w:tblCellMar>
            <w:top w:w="0" w:type="dxa"/>
            <w:left w:w="108" w:type="dxa"/>
            <w:bottom w:w="0" w:type="dxa"/>
            <w:right w:w="108" w:type="dxa"/>
          </w:tblCellMar>
        </w:tblPrEx>
        <w:trPr>
          <w:trHeight w:val="397" w:hRule="atLeast"/>
          <w:tblHeader/>
          <w:jc w:val="center"/>
        </w:trPr>
        <w:tc>
          <w:tcPr>
            <w:tcW w:w="1122" w:type="pct"/>
            <w:gridSpan w:val="2"/>
            <w:tcBorders>
              <w:top w:val="single" w:color="auto" w:sz="4" w:space="0"/>
              <w:left w:val="single" w:color="auto" w:sz="4" w:space="0"/>
              <w:bottom w:val="single" w:color="auto" w:sz="4" w:space="0"/>
              <w:right w:val="single" w:color="000000" w:sz="4" w:space="0"/>
            </w:tcBorders>
            <w:vAlign w:val="center"/>
          </w:tcPr>
          <w:p w14:paraId="2E3759EC">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项目</w:t>
            </w:r>
          </w:p>
        </w:tc>
        <w:tc>
          <w:tcPr>
            <w:tcW w:w="968" w:type="pct"/>
            <w:tcBorders>
              <w:top w:val="single" w:color="auto" w:sz="4" w:space="0"/>
              <w:left w:val="nil"/>
              <w:bottom w:val="single" w:color="auto" w:sz="4" w:space="0"/>
              <w:right w:val="single" w:color="auto" w:sz="4" w:space="0"/>
            </w:tcBorders>
            <w:vAlign w:val="center"/>
          </w:tcPr>
          <w:p w14:paraId="1C817D24">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估价对象</w:t>
            </w:r>
          </w:p>
        </w:tc>
        <w:tc>
          <w:tcPr>
            <w:tcW w:w="968" w:type="pct"/>
            <w:tcBorders>
              <w:top w:val="single" w:color="auto" w:sz="4" w:space="0"/>
              <w:left w:val="nil"/>
              <w:bottom w:val="single" w:color="auto" w:sz="4" w:space="0"/>
              <w:right w:val="single" w:color="auto" w:sz="4" w:space="0"/>
            </w:tcBorders>
            <w:vAlign w:val="center"/>
          </w:tcPr>
          <w:p w14:paraId="2EAA8FB7">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可比实例1</w:t>
            </w:r>
          </w:p>
        </w:tc>
        <w:tc>
          <w:tcPr>
            <w:tcW w:w="968" w:type="pct"/>
            <w:tcBorders>
              <w:top w:val="single" w:color="auto" w:sz="4" w:space="0"/>
              <w:left w:val="nil"/>
              <w:bottom w:val="single" w:color="auto" w:sz="4" w:space="0"/>
              <w:right w:val="single" w:color="auto" w:sz="4" w:space="0"/>
            </w:tcBorders>
            <w:vAlign w:val="center"/>
          </w:tcPr>
          <w:p w14:paraId="60583DD0">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可比实例2</w:t>
            </w:r>
          </w:p>
        </w:tc>
        <w:tc>
          <w:tcPr>
            <w:tcW w:w="970" w:type="pct"/>
            <w:tcBorders>
              <w:top w:val="single" w:color="auto" w:sz="4" w:space="0"/>
              <w:left w:val="nil"/>
              <w:bottom w:val="single" w:color="auto" w:sz="4" w:space="0"/>
              <w:right w:val="single" w:color="auto" w:sz="4" w:space="0"/>
            </w:tcBorders>
            <w:vAlign w:val="center"/>
          </w:tcPr>
          <w:p w14:paraId="344848B4">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可比案例3</w:t>
            </w:r>
          </w:p>
        </w:tc>
      </w:tr>
      <w:tr w14:paraId="6F412622">
        <w:tblPrEx>
          <w:tblCellMar>
            <w:top w:w="0" w:type="dxa"/>
            <w:left w:w="108" w:type="dxa"/>
            <w:bottom w:w="0" w:type="dxa"/>
            <w:right w:w="108" w:type="dxa"/>
          </w:tblCellMar>
        </w:tblPrEx>
        <w:trPr>
          <w:trHeight w:val="397" w:hRule="atLeast"/>
          <w:tblHeader/>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0127365F">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小区名称</w:t>
            </w:r>
          </w:p>
        </w:tc>
        <w:tc>
          <w:tcPr>
            <w:tcW w:w="1844" w:type="dxa"/>
            <w:tcBorders>
              <w:top w:val="nil"/>
              <w:left w:val="nil"/>
              <w:bottom w:val="single" w:color="auto" w:sz="4" w:space="0"/>
              <w:right w:val="single" w:color="auto" w:sz="4" w:space="0"/>
            </w:tcBorders>
            <w:vAlign w:val="center"/>
          </w:tcPr>
          <w:p w14:paraId="585D92C8">
            <w:pPr>
              <w:pStyle w:val="61"/>
              <w:autoSpaceDE w:val="0"/>
              <w:autoSpaceDN w:val="0"/>
              <w:spacing w:line="240" w:lineRule="exact"/>
              <w:textAlignment w:val="bottom"/>
              <w:rPr>
                <w:rFonts w:hint="eastAsia" w:ascii="Arial" w:hAnsi="Arial" w:eastAsia="宋体" w:cs="Arial"/>
                <w:sz w:val="16"/>
                <w:szCs w:val="18"/>
                <w:highlight w:val="none"/>
                <w:lang w:eastAsia="zh-CN"/>
              </w:rPr>
            </w:pPr>
            <w:r>
              <w:rPr>
                <w:rFonts w:hint="eastAsia" w:ascii="Arial" w:hAnsi="Arial" w:cs="Arial"/>
                <w:sz w:val="16"/>
                <w:szCs w:val="18"/>
                <w:highlight w:val="none"/>
                <w:lang w:eastAsia="zh-CN"/>
              </w:rPr>
              <w:t>育新花园</w:t>
            </w:r>
          </w:p>
        </w:tc>
        <w:tc>
          <w:tcPr>
            <w:tcW w:w="1844" w:type="dxa"/>
            <w:tcBorders>
              <w:top w:val="nil"/>
              <w:left w:val="nil"/>
              <w:bottom w:val="single" w:color="auto" w:sz="4" w:space="0"/>
              <w:right w:val="single" w:color="auto" w:sz="4" w:space="0"/>
            </w:tcBorders>
            <w:vAlign w:val="center"/>
          </w:tcPr>
          <w:p w14:paraId="18D4EC4F">
            <w:pPr>
              <w:widowControl/>
              <w:snapToGrid w:val="0"/>
              <w:spacing w:line="240" w:lineRule="exact"/>
              <w:jc w:val="center"/>
              <w:textAlignment w:val="center"/>
              <w:rPr>
                <w:rFonts w:ascii="Arial" w:hAnsi="Arial" w:cs="Arial"/>
                <w:sz w:val="16"/>
                <w:szCs w:val="18"/>
                <w:highlight w:val="none"/>
              </w:rPr>
            </w:pPr>
            <w:r>
              <w:rPr>
                <w:rFonts w:hint="eastAsia" w:ascii="Arial" w:hAnsi="Arial" w:cs="Arial"/>
                <w:sz w:val="16"/>
                <w:szCs w:val="18"/>
                <w:highlight w:val="none"/>
              </w:rPr>
              <w:t>恒盛波尔多小镇南区</w:t>
            </w:r>
          </w:p>
        </w:tc>
        <w:tc>
          <w:tcPr>
            <w:tcW w:w="1844" w:type="dxa"/>
            <w:tcBorders>
              <w:top w:val="nil"/>
              <w:left w:val="nil"/>
              <w:bottom w:val="single" w:color="auto" w:sz="4" w:space="0"/>
              <w:right w:val="single" w:color="auto" w:sz="4" w:space="0"/>
            </w:tcBorders>
            <w:vAlign w:val="center"/>
          </w:tcPr>
          <w:p w14:paraId="3B7A55FC">
            <w:pPr>
              <w:widowControl/>
              <w:snapToGrid w:val="0"/>
              <w:spacing w:line="240" w:lineRule="exact"/>
              <w:jc w:val="center"/>
              <w:textAlignment w:val="center"/>
              <w:rPr>
                <w:rFonts w:ascii="Arial" w:hAnsi="Arial" w:cs="Arial"/>
                <w:sz w:val="16"/>
                <w:szCs w:val="18"/>
                <w:highlight w:val="none"/>
              </w:rPr>
            </w:pPr>
            <w:r>
              <w:rPr>
                <w:rFonts w:hint="eastAsia" w:ascii="Arial" w:hAnsi="Arial" w:cs="Arial"/>
                <w:sz w:val="16"/>
                <w:szCs w:val="18"/>
                <w:highlight w:val="none"/>
              </w:rPr>
              <w:t>育新花园中里</w:t>
            </w:r>
          </w:p>
        </w:tc>
        <w:tc>
          <w:tcPr>
            <w:tcW w:w="1847" w:type="dxa"/>
            <w:tcBorders>
              <w:top w:val="nil"/>
              <w:left w:val="nil"/>
              <w:bottom w:val="single" w:color="auto" w:sz="4" w:space="0"/>
              <w:right w:val="single" w:color="auto" w:sz="4" w:space="0"/>
            </w:tcBorders>
            <w:vAlign w:val="center"/>
          </w:tcPr>
          <w:p w14:paraId="5F4182BB">
            <w:pPr>
              <w:widowControl/>
              <w:snapToGrid w:val="0"/>
              <w:spacing w:line="240" w:lineRule="exact"/>
              <w:jc w:val="center"/>
              <w:textAlignment w:val="center"/>
              <w:rPr>
                <w:rFonts w:ascii="Arial" w:hAnsi="Arial" w:cs="Arial"/>
                <w:sz w:val="16"/>
                <w:szCs w:val="18"/>
                <w:highlight w:val="none"/>
              </w:rPr>
            </w:pPr>
            <w:r>
              <w:rPr>
                <w:rFonts w:hint="eastAsia" w:ascii="Arial" w:hAnsi="Arial" w:cs="Arial"/>
                <w:sz w:val="16"/>
                <w:szCs w:val="18"/>
                <w:highlight w:val="none"/>
              </w:rPr>
              <w:t>育新花园</w:t>
            </w:r>
            <w:r>
              <w:rPr>
                <w:rFonts w:hint="eastAsia" w:ascii="Arial" w:hAnsi="Arial" w:cs="Arial"/>
                <w:sz w:val="16"/>
                <w:szCs w:val="18"/>
                <w:highlight w:val="none"/>
                <w:lang w:val="en-US" w:eastAsia="zh-CN"/>
              </w:rPr>
              <w:t>北</w:t>
            </w:r>
            <w:r>
              <w:rPr>
                <w:rFonts w:hint="eastAsia" w:ascii="Arial" w:hAnsi="Arial" w:cs="Arial"/>
                <w:sz w:val="16"/>
                <w:szCs w:val="18"/>
                <w:highlight w:val="none"/>
              </w:rPr>
              <w:t>里</w:t>
            </w:r>
          </w:p>
        </w:tc>
      </w:tr>
      <w:tr w14:paraId="518AF137">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3160DD44">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平均租金（元/平方米·月）</w:t>
            </w:r>
          </w:p>
        </w:tc>
        <w:tc>
          <w:tcPr>
            <w:tcW w:w="1844" w:type="dxa"/>
            <w:tcBorders>
              <w:top w:val="nil"/>
              <w:left w:val="nil"/>
              <w:bottom w:val="single" w:color="auto" w:sz="4" w:space="0"/>
              <w:right w:val="single" w:color="auto" w:sz="4" w:space="0"/>
            </w:tcBorders>
            <w:vAlign w:val="center"/>
          </w:tcPr>
          <w:p w14:paraId="6C15375E">
            <w:pPr>
              <w:pStyle w:val="61"/>
              <w:autoSpaceDE w:val="0"/>
              <w:autoSpaceDN w:val="0"/>
              <w:spacing w:line="240" w:lineRule="exact"/>
              <w:textAlignment w:val="bottom"/>
              <w:rPr>
                <w:rFonts w:ascii="Arial" w:hAnsi="Arial" w:cs="Arial"/>
                <w:sz w:val="16"/>
                <w:szCs w:val="18"/>
                <w:highlight w:val="none"/>
              </w:rPr>
            </w:pPr>
            <w:r>
              <w:rPr>
                <w:rFonts w:ascii="Arial" w:hAnsi="Arial" w:cs="Arial"/>
                <w:sz w:val="16"/>
                <w:szCs w:val="18"/>
                <w:highlight w:val="none"/>
              </w:rPr>
              <w:t>待估</w:t>
            </w:r>
          </w:p>
        </w:tc>
        <w:tc>
          <w:tcPr>
            <w:tcW w:w="1844" w:type="dxa"/>
            <w:tcBorders>
              <w:top w:val="nil"/>
              <w:left w:val="nil"/>
              <w:bottom w:val="single" w:color="auto" w:sz="4" w:space="0"/>
              <w:right w:val="single" w:color="auto" w:sz="4" w:space="0"/>
            </w:tcBorders>
            <w:vAlign w:val="center"/>
          </w:tcPr>
          <w:p w14:paraId="04F9FDCC">
            <w:pPr>
              <w:autoSpaceDE w:val="0"/>
              <w:autoSpaceDN w:val="0"/>
              <w:spacing w:line="240" w:lineRule="exact"/>
              <w:jc w:val="center"/>
              <w:textAlignment w:val="bottom"/>
              <w:rPr>
                <w:rFonts w:ascii="Arial" w:hAnsi="Arial" w:cs="Arial"/>
                <w:sz w:val="16"/>
                <w:szCs w:val="18"/>
                <w:highlight w:val="none"/>
              </w:rPr>
            </w:pPr>
            <w:r>
              <w:rPr>
                <w:rFonts w:hint="eastAsia" w:ascii="Arial" w:hAnsi="Arial" w:cs="Arial"/>
                <w:sz w:val="16"/>
                <w:szCs w:val="18"/>
                <w:highlight w:val="none"/>
                <w:lang w:val="en-US" w:eastAsia="zh-CN"/>
              </w:rPr>
              <w:t>20.27</w:t>
            </w:r>
          </w:p>
        </w:tc>
        <w:tc>
          <w:tcPr>
            <w:tcW w:w="1844" w:type="dxa"/>
            <w:tcBorders>
              <w:top w:val="nil"/>
              <w:left w:val="nil"/>
              <w:bottom w:val="single" w:color="auto" w:sz="4" w:space="0"/>
              <w:right w:val="single" w:color="auto" w:sz="4" w:space="0"/>
            </w:tcBorders>
            <w:vAlign w:val="center"/>
          </w:tcPr>
          <w:p w14:paraId="058A3D46">
            <w:pPr>
              <w:autoSpaceDE w:val="0"/>
              <w:autoSpaceDN w:val="0"/>
              <w:spacing w:line="240" w:lineRule="exact"/>
              <w:jc w:val="center"/>
              <w:textAlignment w:val="bottom"/>
              <w:rPr>
                <w:rFonts w:ascii="Arial" w:hAnsi="Arial" w:cs="Arial"/>
                <w:sz w:val="16"/>
                <w:szCs w:val="18"/>
                <w:highlight w:val="none"/>
              </w:rPr>
            </w:pPr>
            <w:r>
              <w:rPr>
                <w:rFonts w:hint="eastAsia" w:ascii="Arial" w:hAnsi="Arial" w:cs="Arial"/>
                <w:sz w:val="16"/>
                <w:szCs w:val="18"/>
                <w:highlight w:val="none"/>
                <w:lang w:val="en-US" w:eastAsia="zh-CN"/>
              </w:rPr>
              <w:t>19.38</w:t>
            </w:r>
          </w:p>
        </w:tc>
        <w:tc>
          <w:tcPr>
            <w:tcW w:w="1847" w:type="dxa"/>
            <w:tcBorders>
              <w:top w:val="nil"/>
              <w:left w:val="nil"/>
              <w:bottom w:val="single" w:color="auto" w:sz="4" w:space="0"/>
              <w:right w:val="single" w:color="auto" w:sz="4" w:space="0"/>
            </w:tcBorders>
            <w:vAlign w:val="center"/>
          </w:tcPr>
          <w:p w14:paraId="235D68D1">
            <w:pPr>
              <w:autoSpaceDE w:val="0"/>
              <w:autoSpaceDN w:val="0"/>
              <w:spacing w:line="240" w:lineRule="exact"/>
              <w:jc w:val="center"/>
              <w:textAlignment w:val="bottom"/>
              <w:rPr>
                <w:rFonts w:ascii="Arial" w:hAnsi="Arial" w:cs="Arial"/>
                <w:sz w:val="16"/>
                <w:szCs w:val="18"/>
                <w:highlight w:val="none"/>
              </w:rPr>
            </w:pPr>
            <w:r>
              <w:rPr>
                <w:rFonts w:hint="eastAsia" w:ascii="Arial" w:hAnsi="Arial" w:cs="Arial"/>
                <w:sz w:val="16"/>
                <w:szCs w:val="18"/>
                <w:highlight w:val="none"/>
                <w:lang w:val="en-US" w:eastAsia="zh-CN"/>
              </w:rPr>
              <w:t>18.83</w:t>
            </w:r>
          </w:p>
        </w:tc>
      </w:tr>
      <w:tr w14:paraId="61136510">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5A54BC45">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交易时间</w:t>
            </w:r>
          </w:p>
        </w:tc>
        <w:tc>
          <w:tcPr>
            <w:tcW w:w="968" w:type="pct"/>
            <w:tcBorders>
              <w:top w:val="nil"/>
              <w:left w:val="nil"/>
              <w:bottom w:val="single" w:color="auto" w:sz="4" w:space="0"/>
              <w:right w:val="single" w:color="auto" w:sz="4" w:space="0"/>
            </w:tcBorders>
            <w:vAlign w:val="center"/>
          </w:tcPr>
          <w:p w14:paraId="7FC7957A">
            <w:pPr>
              <w:widowControl/>
              <w:adjustRightInd/>
              <w:spacing w:line="240" w:lineRule="auto"/>
              <w:jc w:val="center"/>
              <w:textAlignment w:val="auto"/>
              <w:rPr>
                <w:rFonts w:hint="eastAsia" w:ascii="Arial" w:hAnsi="Arial" w:eastAsia="宋体" w:cs="Arial"/>
                <w:sz w:val="16"/>
                <w:szCs w:val="18"/>
                <w:highlight w:val="none"/>
                <w:lang w:eastAsia="zh-CN"/>
              </w:rPr>
            </w:pPr>
            <w:r>
              <w:rPr>
                <w:rFonts w:hint="eastAsia" w:ascii="Arial" w:hAnsi="Arial" w:cs="Arial"/>
                <w:sz w:val="16"/>
                <w:szCs w:val="18"/>
                <w:highlight w:val="none"/>
                <w:lang w:eastAsia="zh-CN"/>
              </w:rPr>
              <w:t>2025年12月26日</w:t>
            </w:r>
          </w:p>
        </w:tc>
        <w:tc>
          <w:tcPr>
            <w:tcW w:w="968" w:type="pct"/>
            <w:tcBorders>
              <w:top w:val="nil"/>
              <w:left w:val="nil"/>
              <w:bottom w:val="single" w:color="auto" w:sz="4" w:space="0"/>
              <w:right w:val="single" w:color="auto" w:sz="4" w:space="0"/>
            </w:tcBorders>
            <w:vAlign w:val="center"/>
          </w:tcPr>
          <w:p w14:paraId="26BE7789">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202</w:t>
            </w:r>
            <w:r>
              <w:rPr>
                <w:rFonts w:hint="eastAsia" w:ascii="Arial" w:hAnsi="Arial" w:cs="Arial"/>
                <w:sz w:val="16"/>
                <w:szCs w:val="18"/>
                <w:highlight w:val="none"/>
                <w:lang w:val="en-US" w:eastAsia="zh-CN"/>
              </w:rPr>
              <w:t>5</w:t>
            </w:r>
            <w:r>
              <w:rPr>
                <w:rFonts w:ascii="Arial" w:hAnsi="Arial" w:cs="Arial"/>
                <w:sz w:val="16"/>
                <w:szCs w:val="18"/>
                <w:highlight w:val="none"/>
              </w:rPr>
              <w:t>年</w:t>
            </w:r>
            <w:r>
              <w:rPr>
                <w:rFonts w:hint="eastAsia" w:ascii="Arial" w:hAnsi="Arial" w:cs="Arial"/>
                <w:sz w:val="16"/>
                <w:szCs w:val="18"/>
                <w:highlight w:val="none"/>
                <w:lang w:val="en-US" w:eastAsia="zh-CN"/>
              </w:rPr>
              <w:t>12</w:t>
            </w:r>
            <w:r>
              <w:rPr>
                <w:rFonts w:ascii="Arial" w:hAnsi="Arial" w:cs="Arial"/>
                <w:sz w:val="16"/>
                <w:szCs w:val="18"/>
                <w:highlight w:val="none"/>
              </w:rPr>
              <w:t>月</w:t>
            </w:r>
          </w:p>
        </w:tc>
        <w:tc>
          <w:tcPr>
            <w:tcW w:w="968" w:type="pct"/>
            <w:tcBorders>
              <w:top w:val="nil"/>
              <w:left w:val="nil"/>
              <w:bottom w:val="single" w:color="auto" w:sz="4" w:space="0"/>
              <w:right w:val="single" w:color="auto" w:sz="4" w:space="0"/>
            </w:tcBorders>
            <w:vAlign w:val="center"/>
          </w:tcPr>
          <w:p w14:paraId="73FC9351">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202</w:t>
            </w:r>
            <w:r>
              <w:rPr>
                <w:rFonts w:hint="eastAsia" w:ascii="Arial" w:hAnsi="Arial" w:cs="Arial"/>
                <w:sz w:val="16"/>
                <w:szCs w:val="18"/>
                <w:highlight w:val="none"/>
                <w:lang w:val="en-US" w:eastAsia="zh-CN"/>
              </w:rPr>
              <w:t>5</w:t>
            </w:r>
            <w:r>
              <w:rPr>
                <w:rFonts w:ascii="Arial" w:hAnsi="Arial" w:cs="Arial"/>
                <w:sz w:val="16"/>
                <w:szCs w:val="18"/>
                <w:highlight w:val="none"/>
              </w:rPr>
              <w:t>年</w:t>
            </w:r>
            <w:r>
              <w:rPr>
                <w:rFonts w:hint="eastAsia" w:ascii="Arial" w:hAnsi="Arial" w:cs="Arial"/>
                <w:sz w:val="16"/>
                <w:szCs w:val="18"/>
                <w:highlight w:val="none"/>
                <w:lang w:val="en-US" w:eastAsia="zh-CN"/>
              </w:rPr>
              <w:t>12</w:t>
            </w:r>
            <w:r>
              <w:rPr>
                <w:rFonts w:ascii="Arial" w:hAnsi="Arial" w:cs="Arial"/>
                <w:sz w:val="16"/>
                <w:szCs w:val="18"/>
                <w:highlight w:val="none"/>
              </w:rPr>
              <w:t>月</w:t>
            </w:r>
          </w:p>
        </w:tc>
        <w:tc>
          <w:tcPr>
            <w:tcW w:w="970" w:type="pct"/>
            <w:tcBorders>
              <w:top w:val="nil"/>
              <w:left w:val="nil"/>
              <w:bottom w:val="single" w:color="auto" w:sz="4" w:space="0"/>
              <w:right w:val="single" w:color="auto" w:sz="4" w:space="0"/>
            </w:tcBorders>
            <w:vAlign w:val="center"/>
          </w:tcPr>
          <w:p w14:paraId="3BAC6E61">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202</w:t>
            </w:r>
            <w:r>
              <w:rPr>
                <w:rFonts w:hint="eastAsia" w:ascii="Arial" w:hAnsi="Arial" w:cs="Arial"/>
                <w:sz w:val="16"/>
                <w:szCs w:val="18"/>
                <w:highlight w:val="none"/>
                <w:lang w:val="en-US" w:eastAsia="zh-CN"/>
              </w:rPr>
              <w:t>5</w:t>
            </w:r>
            <w:r>
              <w:rPr>
                <w:rFonts w:ascii="Arial" w:hAnsi="Arial" w:cs="Arial"/>
                <w:sz w:val="16"/>
                <w:szCs w:val="18"/>
                <w:highlight w:val="none"/>
              </w:rPr>
              <w:t>年</w:t>
            </w:r>
            <w:r>
              <w:rPr>
                <w:rFonts w:hint="eastAsia" w:ascii="Arial" w:hAnsi="Arial" w:cs="Arial"/>
                <w:sz w:val="16"/>
                <w:szCs w:val="18"/>
                <w:highlight w:val="none"/>
                <w:lang w:val="en-US" w:eastAsia="zh-CN"/>
              </w:rPr>
              <w:t>12</w:t>
            </w:r>
            <w:r>
              <w:rPr>
                <w:rFonts w:ascii="Arial" w:hAnsi="Arial" w:cs="Arial"/>
                <w:sz w:val="16"/>
                <w:szCs w:val="18"/>
                <w:highlight w:val="none"/>
              </w:rPr>
              <w:t>月</w:t>
            </w:r>
          </w:p>
        </w:tc>
      </w:tr>
      <w:tr w14:paraId="037313EA">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4019113F">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交易情况</w:t>
            </w:r>
          </w:p>
        </w:tc>
        <w:tc>
          <w:tcPr>
            <w:tcW w:w="968" w:type="pct"/>
            <w:tcBorders>
              <w:top w:val="nil"/>
              <w:left w:val="nil"/>
              <w:bottom w:val="single" w:color="auto" w:sz="4" w:space="0"/>
              <w:right w:val="single" w:color="auto" w:sz="4" w:space="0"/>
            </w:tcBorders>
            <w:vAlign w:val="center"/>
          </w:tcPr>
          <w:p w14:paraId="1CB77016">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正常</w:t>
            </w:r>
          </w:p>
        </w:tc>
        <w:tc>
          <w:tcPr>
            <w:tcW w:w="968" w:type="pct"/>
            <w:tcBorders>
              <w:top w:val="nil"/>
              <w:left w:val="nil"/>
              <w:bottom w:val="single" w:color="auto" w:sz="4" w:space="0"/>
              <w:right w:val="single" w:color="auto" w:sz="4" w:space="0"/>
            </w:tcBorders>
            <w:vAlign w:val="center"/>
          </w:tcPr>
          <w:p w14:paraId="4453B96F">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正常</w:t>
            </w:r>
          </w:p>
        </w:tc>
        <w:tc>
          <w:tcPr>
            <w:tcW w:w="968" w:type="pct"/>
            <w:tcBorders>
              <w:top w:val="nil"/>
              <w:left w:val="nil"/>
              <w:bottom w:val="single" w:color="auto" w:sz="4" w:space="0"/>
              <w:right w:val="single" w:color="auto" w:sz="4" w:space="0"/>
            </w:tcBorders>
            <w:vAlign w:val="center"/>
          </w:tcPr>
          <w:p w14:paraId="5AFDAF10">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正常</w:t>
            </w:r>
          </w:p>
        </w:tc>
        <w:tc>
          <w:tcPr>
            <w:tcW w:w="970" w:type="pct"/>
            <w:tcBorders>
              <w:top w:val="nil"/>
              <w:left w:val="nil"/>
              <w:bottom w:val="single" w:color="auto" w:sz="4" w:space="0"/>
              <w:right w:val="single" w:color="auto" w:sz="4" w:space="0"/>
            </w:tcBorders>
            <w:vAlign w:val="center"/>
          </w:tcPr>
          <w:p w14:paraId="5131ED8D">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正常</w:t>
            </w:r>
          </w:p>
        </w:tc>
      </w:tr>
      <w:tr w14:paraId="2A163798">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70CFBBBE">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项目类型</w:t>
            </w:r>
          </w:p>
        </w:tc>
        <w:tc>
          <w:tcPr>
            <w:tcW w:w="968" w:type="pct"/>
            <w:tcBorders>
              <w:top w:val="nil"/>
              <w:left w:val="nil"/>
              <w:bottom w:val="single" w:color="auto" w:sz="4" w:space="0"/>
              <w:right w:val="single" w:color="auto" w:sz="4" w:space="0"/>
            </w:tcBorders>
            <w:vAlign w:val="center"/>
          </w:tcPr>
          <w:p w14:paraId="6C6249A7">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住宅</w:t>
            </w:r>
          </w:p>
        </w:tc>
        <w:tc>
          <w:tcPr>
            <w:tcW w:w="968" w:type="pct"/>
            <w:tcBorders>
              <w:top w:val="nil"/>
              <w:left w:val="nil"/>
              <w:bottom w:val="single" w:color="auto" w:sz="4" w:space="0"/>
              <w:right w:val="single" w:color="auto" w:sz="4" w:space="0"/>
            </w:tcBorders>
            <w:vAlign w:val="center"/>
          </w:tcPr>
          <w:p w14:paraId="11B07F96">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住宅</w:t>
            </w:r>
          </w:p>
        </w:tc>
        <w:tc>
          <w:tcPr>
            <w:tcW w:w="968" w:type="pct"/>
            <w:tcBorders>
              <w:top w:val="nil"/>
              <w:left w:val="nil"/>
              <w:bottom w:val="single" w:color="auto" w:sz="4" w:space="0"/>
              <w:right w:val="single" w:color="auto" w:sz="4" w:space="0"/>
            </w:tcBorders>
            <w:vAlign w:val="center"/>
          </w:tcPr>
          <w:p w14:paraId="3B1B50F8">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住宅</w:t>
            </w:r>
          </w:p>
        </w:tc>
        <w:tc>
          <w:tcPr>
            <w:tcW w:w="970" w:type="pct"/>
            <w:tcBorders>
              <w:top w:val="nil"/>
              <w:left w:val="nil"/>
              <w:bottom w:val="single" w:color="auto" w:sz="4" w:space="0"/>
              <w:right w:val="single" w:color="auto" w:sz="4" w:space="0"/>
            </w:tcBorders>
            <w:vAlign w:val="center"/>
          </w:tcPr>
          <w:p w14:paraId="21FE0BC5">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住宅</w:t>
            </w:r>
          </w:p>
        </w:tc>
      </w:tr>
      <w:tr w14:paraId="2F301DC5">
        <w:tblPrEx>
          <w:tblCellMar>
            <w:top w:w="0" w:type="dxa"/>
            <w:left w:w="108" w:type="dxa"/>
            <w:bottom w:w="0" w:type="dxa"/>
            <w:right w:w="108" w:type="dxa"/>
          </w:tblCellMar>
        </w:tblPrEx>
        <w:trPr>
          <w:trHeight w:val="397" w:hRule="atLeast"/>
          <w:jc w:val="center"/>
        </w:trPr>
        <w:tc>
          <w:tcPr>
            <w:tcW w:w="365" w:type="pct"/>
            <w:vMerge w:val="restart"/>
            <w:tcBorders>
              <w:top w:val="nil"/>
              <w:left w:val="single" w:color="auto" w:sz="4" w:space="0"/>
              <w:bottom w:val="single" w:color="000000" w:sz="4" w:space="0"/>
              <w:right w:val="single" w:color="auto" w:sz="4" w:space="0"/>
            </w:tcBorders>
            <w:vAlign w:val="center"/>
          </w:tcPr>
          <w:p w14:paraId="315F9072">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区域状况</w:t>
            </w:r>
          </w:p>
        </w:tc>
        <w:tc>
          <w:tcPr>
            <w:tcW w:w="757" w:type="pct"/>
            <w:tcBorders>
              <w:top w:val="nil"/>
              <w:left w:val="nil"/>
              <w:bottom w:val="single" w:color="auto" w:sz="4" w:space="0"/>
              <w:right w:val="single" w:color="auto" w:sz="4" w:space="0"/>
            </w:tcBorders>
            <w:vAlign w:val="center"/>
          </w:tcPr>
          <w:p w14:paraId="3A35312B">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居住区成熟度</w:t>
            </w:r>
          </w:p>
        </w:tc>
        <w:tc>
          <w:tcPr>
            <w:tcW w:w="968" w:type="pct"/>
            <w:tcBorders>
              <w:top w:val="nil"/>
              <w:left w:val="nil"/>
              <w:bottom w:val="single" w:color="auto" w:sz="4" w:space="0"/>
              <w:right w:val="single" w:color="auto" w:sz="4" w:space="0"/>
            </w:tcBorders>
            <w:vAlign w:val="center"/>
          </w:tcPr>
          <w:p w14:paraId="25AC0A9A">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估价对象周边2公里内有兴创荣墅、住总兴创如遇、恒盛波尔多小镇、路劲御合院、阳光波尔多、北京城建宽院国誉府等，居住小区规模一般，入住率一般，综合评价居住区成熟度一般。</w:t>
            </w:r>
          </w:p>
        </w:tc>
        <w:tc>
          <w:tcPr>
            <w:tcW w:w="968" w:type="pct"/>
            <w:tcBorders>
              <w:top w:val="nil"/>
              <w:left w:val="nil"/>
              <w:bottom w:val="single" w:color="auto" w:sz="4" w:space="0"/>
              <w:right w:val="single" w:color="auto" w:sz="4" w:space="0"/>
            </w:tcBorders>
            <w:vAlign w:val="center"/>
          </w:tcPr>
          <w:p w14:paraId="541F7077">
            <w:pPr>
              <w:widowControl/>
              <w:adjustRightInd/>
              <w:spacing w:line="240" w:lineRule="auto"/>
              <w:jc w:val="center"/>
              <w:textAlignment w:val="auto"/>
              <w:rPr>
                <w:rFonts w:ascii="Arial" w:hAnsi="Arial" w:cs="Arial"/>
                <w:sz w:val="16"/>
                <w:szCs w:val="18"/>
                <w:highlight w:val="none"/>
              </w:rPr>
            </w:pPr>
            <w:r>
              <w:rPr>
                <w:rFonts w:hint="eastAsia" w:ascii="宋体" w:hAnsi="宋体" w:cs="Arial"/>
                <w:sz w:val="16"/>
                <w:szCs w:val="18"/>
                <w:highlight w:val="none"/>
              </w:rPr>
              <w:t>周边2公里内有兴创荣墅、住总兴创如遇、阳光波尔多、蓝天花园、住总如院、路劲御合院、北京城建宽院国誉府等，居住小区规模一般，入住率一般，综合评价居住区成熟度一般</w:t>
            </w:r>
            <w:r>
              <w:rPr>
                <w:rFonts w:hint="eastAsia" w:ascii="Arial" w:hAnsi="Arial" w:cs="Arial"/>
                <w:sz w:val="16"/>
                <w:szCs w:val="18"/>
                <w:highlight w:val="none"/>
              </w:rPr>
              <w:t>。</w:t>
            </w:r>
          </w:p>
        </w:tc>
        <w:tc>
          <w:tcPr>
            <w:tcW w:w="968" w:type="pct"/>
            <w:tcBorders>
              <w:top w:val="nil"/>
              <w:left w:val="nil"/>
              <w:bottom w:val="single" w:color="auto" w:sz="4" w:space="0"/>
              <w:right w:val="single" w:color="auto" w:sz="4" w:space="0"/>
            </w:tcBorders>
            <w:vAlign w:val="center"/>
          </w:tcPr>
          <w:p w14:paraId="552A59C0">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周边2公里内有兴创荣墅、住总兴创如遇、恒盛波尔多小镇、路劲御合院、阳光波尔多、北京城建宽院国誉府等，居住小区规模一般，入住率一般，综合评价居住区成熟度一般。</w:t>
            </w:r>
          </w:p>
        </w:tc>
        <w:tc>
          <w:tcPr>
            <w:tcW w:w="970" w:type="pct"/>
            <w:tcBorders>
              <w:top w:val="nil"/>
              <w:left w:val="nil"/>
              <w:bottom w:val="single" w:color="auto" w:sz="4" w:space="0"/>
              <w:right w:val="single" w:color="auto" w:sz="4" w:space="0"/>
            </w:tcBorders>
            <w:vAlign w:val="center"/>
          </w:tcPr>
          <w:p w14:paraId="54C1F064">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周边2公里内有兴创荣墅、住总兴创如遇、恒盛波尔多小镇、路劲御合院、阳光波尔多、北京城建宽院国誉府等，居住小区规模一般，入住率一般，综合评价居住区成熟度一般。</w:t>
            </w:r>
          </w:p>
        </w:tc>
      </w:tr>
      <w:tr w14:paraId="512474CE">
        <w:tblPrEx>
          <w:tblCellMar>
            <w:top w:w="0" w:type="dxa"/>
            <w:left w:w="108" w:type="dxa"/>
            <w:bottom w:w="0" w:type="dxa"/>
            <w:right w:w="108" w:type="dxa"/>
          </w:tblCellMar>
        </w:tblPrEx>
        <w:trPr>
          <w:trHeight w:val="397" w:hRule="atLeast"/>
          <w:jc w:val="center"/>
        </w:trPr>
        <w:tc>
          <w:tcPr>
            <w:tcW w:w="365" w:type="pct"/>
            <w:vMerge w:val="continue"/>
            <w:tcBorders>
              <w:top w:val="nil"/>
              <w:left w:val="single" w:color="auto" w:sz="4" w:space="0"/>
              <w:bottom w:val="single" w:color="000000" w:sz="4" w:space="0"/>
              <w:right w:val="single" w:color="auto" w:sz="4" w:space="0"/>
            </w:tcBorders>
            <w:vAlign w:val="center"/>
          </w:tcPr>
          <w:p w14:paraId="63F2E88E">
            <w:pPr>
              <w:widowControl/>
              <w:adjustRightInd/>
              <w:spacing w:line="240" w:lineRule="auto"/>
              <w:jc w:val="center"/>
              <w:textAlignment w:val="auto"/>
              <w:rPr>
                <w:rFonts w:ascii="Arial" w:hAnsi="Arial" w:cs="Arial"/>
                <w:sz w:val="16"/>
                <w:szCs w:val="18"/>
                <w:highlight w:val="none"/>
              </w:rPr>
            </w:pPr>
          </w:p>
        </w:tc>
        <w:tc>
          <w:tcPr>
            <w:tcW w:w="757" w:type="pct"/>
            <w:tcBorders>
              <w:top w:val="nil"/>
              <w:left w:val="nil"/>
              <w:bottom w:val="single" w:color="auto" w:sz="4" w:space="0"/>
              <w:right w:val="single" w:color="auto" w:sz="4" w:space="0"/>
            </w:tcBorders>
            <w:vAlign w:val="center"/>
          </w:tcPr>
          <w:p w14:paraId="78D06F31">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道路通达度</w:t>
            </w:r>
          </w:p>
        </w:tc>
        <w:tc>
          <w:tcPr>
            <w:tcW w:w="968" w:type="pct"/>
            <w:tcBorders>
              <w:top w:val="nil"/>
              <w:left w:val="nil"/>
              <w:bottom w:val="single" w:color="auto" w:sz="4" w:space="0"/>
              <w:right w:val="single" w:color="auto" w:sz="4" w:space="0"/>
            </w:tcBorders>
            <w:vAlign w:val="center"/>
          </w:tcPr>
          <w:p w14:paraId="6F46A24F">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周边500米内有城市次干道——福源路</w:t>
            </w:r>
          </w:p>
        </w:tc>
        <w:tc>
          <w:tcPr>
            <w:tcW w:w="968" w:type="pct"/>
            <w:tcBorders>
              <w:top w:val="nil"/>
              <w:left w:val="nil"/>
              <w:bottom w:val="single" w:color="auto" w:sz="4" w:space="0"/>
              <w:right w:val="single" w:color="auto" w:sz="4" w:space="0"/>
            </w:tcBorders>
            <w:vAlign w:val="center"/>
          </w:tcPr>
          <w:p w14:paraId="03CDA61E">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周边500米内有城市次干道——福源路</w:t>
            </w:r>
          </w:p>
        </w:tc>
        <w:tc>
          <w:tcPr>
            <w:tcW w:w="968" w:type="pct"/>
            <w:tcBorders>
              <w:top w:val="nil"/>
              <w:left w:val="nil"/>
              <w:bottom w:val="single" w:color="auto" w:sz="4" w:space="0"/>
              <w:right w:val="single" w:color="auto" w:sz="4" w:space="0"/>
            </w:tcBorders>
            <w:vAlign w:val="center"/>
          </w:tcPr>
          <w:p w14:paraId="036A724B">
            <w:pPr>
              <w:widowControl/>
              <w:adjustRightInd/>
              <w:spacing w:line="240" w:lineRule="auto"/>
              <w:jc w:val="center"/>
              <w:textAlignment w:val="auto"/>
              <w:rPr>
                <w:rFonts w:ascii="Arial" w:hAnsi="Arial" w:cs="Arial"/>
                <w:sz w:val="16"/>
                <w:szCs w:val="18"/>
                <w:highlight w:val="none"/>
              </w:rPr>
            </w:pPr>
            <w:r>
              <w:rPr>
                <w:rFonts w:hint="eastAsia" w:ascii="宋体" w:hAnsi="宋体" w:cs="Arial"/>
                <w:sz w:val="16"/>
                <w:szCs w:val="18"/>
                <w:highlight w:val="none"/>
              </w:rPr>
              <w:t>周边500米内有城市次干道——采星路</w:t>
            </w:r>
          </w:p>
        </w:tc>
        <w:tc>
          <w:tcPr>
            <w:tcW w:w="970" w:type="pct"/>
            <w:tcBorders>
              <w:top w:val="nil"/>
              <w:left w:val="nil"/>
              <w:bottom w:val="single" w:color="auto" w:sz="4" w:space="0"/>
              <w:right w:val="single" w:color="auto" w:sz="4" w:space="0"/>
            </w:tcBorders>
            <w:vAlign w:val="center"/>
          </w:tcPr>
          <w:p w14:paraId="25AF4CDD">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周边500米内有城市次干道——福源路</w:t>
            </w:r>
          </w:p>
        </w:tc>
      </w:tr>
      <w:tr w14:paraId="72AEB18A">
        <w:tblPrEx>
          <w:tblCellMar>
            <w:top w:w="0" w:type="dxa"/>
            <w:left w:w="108" w:type="dxa"/>
            <w:bottom w:w="0" w:type="dxa"/>
            <w:right w:w="108" w:type="dxa"/>
          </w:tblCellMar>
        </w:tblPrEx>
        <w:trPr>
          <w:trHeight w:val="397" w:hRule="atLeast"/>
          <w:jc w:val="center"/>
        </w:trPr>
        <w:tc>
          <w:tcPr>
            <w:tcW w:w="365" w:type="pct"/>
            <w:vMerge w:val="continue"/>
            <w:tcBorders>
              <w:top w:val="nil"/>
              <w:left w:val="single" w:color="auto" w:sz="4" w:space="0"/>
              <w:bottom w:val="single" w:color="000000" w:sz="4" w:space="0"/>
              <w:right w:val="single" w:color="auto" w:sz="4" w:space="0"/>
            </w:tcBorders>
            <w:vAlign w:val="center"/>
          </w:tcPr>
          <w:p w14:paraId="7EA1D75A">
            <w:pPr>
              <w:widowControl/>
              <w:adjustRightInd/>
              <w:spacing w:line="240" w:lineRule="auto"/>
              <w:jc w:val="center"/>
              <w:textAlignment w:val="auto"/>
              <w:rPr>
                <w:rFonts w:ascii="Arial" w:hAnsi="Arial" w:cs="Arial"/>
                <w:sz w:val="16"/>
                <w:szCs w:val="18"/>
                <w:highlight w:val="none"/>
              </w:rPr>
            </w:pPr>
          </w:p>
        </w:tc>
        <w:tc>
          <w:tcPr>
            <w:tcW w:w="757" w:type="pct"/>
            <w:tcBorders>
              <w:top w:val="nil"/>
              <w:left w:val="nil"/>
              <w:bottom w:val="single" w:color="auto" w:sz="4" w:space="0"/>
              <w:right w:val="single" w:color="auto" w:sz="4" w:space="0"/>
            </w:tcBorders>
            <w:vAlign w:val="center"/>
          </w:tcPr>
          <w:p w14:paraId="21CF93B4">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距离轨道交通站点距离</w:t>
            </w:r>
          </w:p>
        </w:tc>
        <w:tc>
          <w:tcPr>
            <w:tcW w:w="968" w:type="pct"/>
            <w:tcBorders>
              <w:top w:val="nil"/>
              <w:left w:val="nil"/>
              <w:bottom w:val="single" w:color="auto" w:sz="4" w:space="0"/>
              <w:right w:val="single" w:color="auto" w:sz="4" w:space="0"/>
            </w:tcBorders>
            <w:vAlign w:val="center"/>
          </w:tcPr>
          <w:p w14:paraId="33622B8B">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周边2公里范围内无轨道交通站点</w:t>
            </w:r>
          </w:p>
        </w:tc>
        <w:tc>
          <w:tcPr>
            <w:tcW w:w="968" w:type="pct"/>
            <w:tcBorders>
              <w:top w:val="nil"/>
              <w:left w:val="nil"/>
              <w:bottom w:val="single" w:color="auto" w:sz="4" w:space="0"/>
              <w:right w:val="single" w:color="auto" w:sz="4" w:space="0"/>
            </w:tcBorders>
            <w:vAlign w:val="center"/>
          </w:tcPr>
          <w:p w14:paraId="582D5474">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周边2公里范围内无轨道交通站点</w:t>
            </w:r>
          </w:p>
        </w:tc>
        <w:tc>
          <w:tcPr>
            <w:tcW w:w="968" w:type="pct"/>
            <w:tcBorders>
              <w:top w:val="nil"/>
              <w:left w:val="nil"/>
              <w:bottom w:val="single" w:color="auto" w:sz="4" w:space="0"/>
              <w:right w:val="single" w:color="auto" w:sz="4" w:space="0"/>
            </w:tcBorders>
            <w:vAlign w:val="center"/>
          </w:tcPr>
          <w:p w14:paraId="5E0DC1A0">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周边2公里范围内无轨道交通站点</w:t>
            </w:r>
          </w:p>
        </w:tc>
        <w:tc>
          <w:tcPr>
            <w:tcW w:w="970" w:type="pct"/>
            <w:tcBorders>
              <w:top w:val="nil"/>
              <w:left w:val="nil"/>
              <w:bottom w:val="single" w:color="auto" w:sz="4" w:space="0"/>
              <w:right w:val="single" w:color="auto" w:sz="4" w:space="0"/>
            </w:tcBorders>
            <w:vAlign w:val="center"/>
          </w:tcPr>
          <w:p w14:paraId="50CA0F02">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周边2公里范围内无轨道交通站点</w:t>
            </w:r>
          </w:p>
        </w:tc>
      </w:tr>
      <w:tr w14:paraId="77D19C65">
        <w:tblPrEx>
          <w:tblCellMar>
            <w:top w:w="0" w:type="dxa"/>
            <w:left w:w="108" w:type="dxa"/>
            <w:bottom w:w="0" w:type="dxa"/>
            <w:right w:w="108" w:type="dxa"/>
          </w:tblCellMar>
        </w:tblPrEx>
        <w:trPr>
          <w:trHeight w:val="397" w:hRule="atLeast"/>
          <w:jc w:val="center"/>
        </w:trPr>
        <w:tc>
          <w:tcPr>
            <w:tcW w:w="365" w:type="pct"/>
            <w:vMerge w:val="continue"/>
            <w:tcBorders>
              <w:top w:val="nil"/>
              <w:left w:val="single" w:color="auto" w:sz="4" w:space="0"/>
              <w:bottom w:val="single" w:color="000000" w:sz="4" w:space="0"/>
              <w:right w:val="single" w:color="auto" w:sz="4" w:space="0"/>
            </w:tcBorders>
            <w:vAlign w:val="center"/>
          </w:tcPr>
          <w:p w14:paraId="32DDF7F7">
            <w:pPr>
              <w:widowControl/>
              <w:adjustRightInd/>
              <w:spacing w:line="240" w:lineRule="auto"/>
              <w:jc w:val="center"/>
              <w:textAlignment w:val="auto"/>
              <w:rPr>
                <w:rFonts w:ascii="Arial" w:hAnsi="Arial" w:cs="Arial"/>
                <w:sz w:val="16"/>
                <w:szCs w:val="18"/>
                <w:highlight w:val="none"/>
              </w:rPr>
            </w:pPr>
          </w:p>
        </w:tc>
        <w:tc>
          <w:tcPr>
            <w:tcW w:w="757" w:type="pct"/>
            <w:tcBorders>
              <w:top w:val="nil"/>
              <w:left w:val="nil"/>
              <w:bottom w:val="single" w:color="auto" w:sz="4" w:space="0"/>
              <w:right w:val="single" w:color="auto" w:sz="4" w:space="0"/>
            </w:tcBorders>
            <w:vAlign w:val="center"/>
          </w:tcPr>
          <w:p w14:paraId="087E89E3">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距离公交站点距离</w:t>
            </w:r>
          </w:p>
        </w:tc>
        <w:tc>
          <w:tcPr>
            <w:tcW w:w="968" w:type="pct"/>
            <w:tcBorders>
              <w:top w:val="nil"/>
              <w:left w:val="nil"/>
              <w:bottom w:val="single" w:color="auto" w:sz="4" w:space="0"/>
              <w:right w:val="single" w:color="auto" w:sz="4" w:space="0"/>
            </w:tcBorders>
            <w:vAlign w:val="center"/>
          </w:tcPr>
          <w:p w14:paraId="797C840E">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周边1公里内有926路、955路、兴20路、兴32路、兴43路、兴940路等公交线路途径并设立站点，综合评价交通便捷度一般</w:t>
            </w:r>
          </w:p>
        </w:tc>
        <w:tc>
          <w:tcPr>
            <w:tcW w:w="968" w:type="pct"/>
            <w:tcBorders>
              <w:top w:val="nil"/>
              <w:left w:val="nil"/>
              <w:bottom w:val="single" w:color="auto" w:sz="4" w:space="0"/>
              <w:right w:val="single" w:color="auto" w:sz="4" w:space="0"/>
            </w:tcBorders>
            <w:vAlign w:val="center"/>
          </w:tcPr>
          <w:p w14:paraId="38E30EF0">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周边1公里内有926路、955路、兴20路、兴32路、兴43路、兴940路等公交线路途径并设立站点，综合评价交通便捷度一般</w:t>
            </w:r>
          </w:p>
        </w:tc>
        <w:tc>
          <w:tcPr>
            <w:tcW w:w="968" w:type="pct"/>
            <w:tcBorders>
              <w:top w:val="nil"/>
              <w:left w:val="nil"/>
              <w:bottom w:val="single" w:color="auto" w:sz="4" w:space="0"/>
              <w:right w:val="single" w:color="auto" w:sz="4" w:space="0"/>
            </w:tcBorders>
            <w:vAlign w:val="center"/>
          </w:tcPr>
          <w:p w14:paraId="79C0DEC8">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周边1公里内有926路、955路、兴20路、兴32路、兴43路、兴940路等公交线路途径并设立站点，综合评价交通便捷度一般</w:t>
            </w:r>
          </w:p>
        </w:tc>
        <w:tc>
          <w:tcPr>
            <w:tcW w:w="970" w:type="pct"/>
            <w:tcBorders>
              <w:top w:val="nil"/>
              <w:left w:val="nil"/>
              <w:bottom w:val="single" w:color="auto" w:sz="4" w:space="0"/>
              <w:right w:val="single" w:color="auto" w:sz="4" w:space="0"/>
            </w:tcBorders>
            <w:vAlign w:val="center"/>
          </w:tcPr>
          <w:p w14:paraId="772F9770">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周边1公里内有926路、955路、兴20路、兴32路、兴43路、兴940路等公交线路途径并设立站点，综合评价交通便捷度一般</w:t>
            </w:r>
          </w:p>
        </w:tc>
      </w:tr>
      <w:tr w14:paraId="471171DC">
        <w:tblPrEx>
          <w:tblCellMar>
            <w:top w:w="0" w:type="dxa"/>
            <w:left w:w="108" w:type="dxa"/>
            <w:bottom w:w="0" w:type="dxa"/>
            <w:right w:w="108" w:type="dxa"/>
          </w:tblCellMar>
        </w:tblPrEx>
        <w:trPr>
          <w:trHeight w:val="397" w:hRule="atLeast"/>
          <w:jc w:val="center"/>
        </w:trPr>
        <w:tc>
          <w:tcPr>
            <w:tcW w:w="365" w:type="pct"/>
            <w:vMerge w:val="continue"/>
            <w:tcBorders>
              <w:top w:val="nil"/>
              <w:left w:val="single" w:color="auto" w:sz="4" w:space="0"/>
              <w:bottom w:val="single" w:color="000000" w:sz="4" w:space="0"/>
              <w:right w:val="single" w:color="auto" w:sz="4" w:space="0"/>
            </w:tcBorders>
            <w:vAlign w:val="center"/>
          </w:tcPr>
          <w:p w14:paraId="3F69C082">
            <w:pPr>
              <w:widowControl/>
              <w:adjustRightInd/>
              <w:spacing w:line="240" w:lineRule="auto"/>
              <w:jc w:val="center"/>
              <w:textAlignment w:val="auto"/>
              <w:rPr>
                <w:rFonts w:ascii="Arial" w:hAnsi="Arial" w:cs="Arial"/>
                <w:sz w:val="16"/>
                <w:szCs w:val="18"/>
                <w:highlight w:val="none"/>
              </w:rPr>
            </w:pPr>
          </w:p>
        </w:tc>
        <w:tc>
          <w:tcPr>
            <w:tcW w:w="757" w:type="pct"/>
            <w:tcBorders>
              <w:top w:val="nil"/>
              <w:left w:val="nil"/>
              <w:bottom w:val="single" w:color="auto" w:sz="4" w:space="0"/>
              <w:right w:val="single" w:color="auto" w:sz="4" w:space="0"/>
            </w:tcBorders>
            <w:vAlign w:val="center"/>
          </w:tcPr>
          <w:p w14:paraId="570B11C5">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环境质量优劣度</w:t>
            </w:r>
          </w:p>
        </w:tc>
        <w:tc>
          <w:tcPr>
            <w:tcW w:w="968" w:type="pct"/>
            <w:tcBorders>
              <w:top w:val="nil"/>
              <w:left w:val="nil"/>
              <w:bottom w:val="single" w:color="auto" w:sz="4" w:space="0"/>
              <w:right w:val="single" w:color="auto" w:sz="4" w:space="0"/>
            </w:tcBorders>
            <w:vAlign w:val="center"/>
          </w:tcPr>
          <w:p w14:paraId="5EB58489">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周边5km内无污染源</w:t>
            </w:r>
          </w:p>
        </w:tc>
        <w:tc>
          <w:tcPr>
            <w:tcW w:w="968" w:type="pct"/>
            <w:tcBorders>
              <w:top w:val="nil"/>
              <w:left w:val="nil"/>
              <w:bottom w:val="single" w:color="auto" w:sz="4" w:space="0"/>
              <w:right w:val="single" w:color="auto" w:sz="4" w:space="0"/>
            </w:tcBorders>
            <w:vAlign w:val="center"/>
          </w:tcPr>
          <w:p w14:paraId="74AA7108">
            <w:pPr>
              <w:widowControl/>
              <w:adjustRightInd/>
              <w:spacing w:line="240" w:lineRule="auto"/>
              <w:jc w:val="center"/>
              <w:textAlignment w:val="auto"/>
              <w:rPr>
                <w:rFonts w:ascii="Arial" w:hAnsi="Arial" w:cs="Arial"/>
                <w:sz w:val="16"/>
                <w:szCs w:val="18"/>
                <w:highlight w:val="none"/>
              </w:rPr>
            </w:pPr>
            <w:r>
              <w:rPr>
                <w:rFonts w:hint="eastAsia" w:ascii="宋体" w:hAnsi="宋体" w:cs="Arial"/>
                <w:sz w:val="16"/>
                <w:szCs w:val="18"/>
                <w:highlight w:val="none"/>
              </w:rPr>
              <w:t>周边5km内无污染源</w:t>
            </w:r>
          </w:p>
        </w:tc>
        <w:tc>
          <w:tcPr>
            <w:tcW w:w="968" w:type="pct"/>
            <w:tcBorders>
              <w:top w:val="nil"/>
              <w:left w:val="nil"/>
              <w:bottom w:val="single" w:color="auto" w:sz="4" w:space="0"/>
              <w:right w:val="single" w:color="auto" w:sz="4" w:space="0"/>
            </w:tcBorders>
            <w:vAlign w:val="center"/>
          </w:tcPr>
          <w:p w14:paraId="49BF2403">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周边5km内无污染源</w:t>
            </w:r>
          </w:p>
        </w:tc>
        <w:tc>
          <w:tcPr>
            <w:tcW w:w="970" w:type="pct"/>
            <w:tcBorders>
              <w:top w:val="nil"/>
              <w:left w:val="nil"/>
              <w:bottom w:val="single" w:color="auto" w:sz="4" w:space="0"/>
              <w:right w:val="single" w:color="auto" w:sz="4" w:space="0"/>
            </w:tcBorders>
            <w:vAlign w:val="center"/>
          </w:tcPr>
          <w:p w14:paraId="44D55457">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周边5km内无污染源</w:t>
            </w:r>
          </w:p>
        </w:tc>
      </w:tr>
      <w:tr w14:paraId="3E50EA52">
        <w:tblPrEx>
          <w:tblCellMar>
            <w:top w:w="0" w:type="dxa"/>
            <w:left w:w="108" w:type="dxa"/>
            <w:bottom w:w="0" w:type="dxa"/>
            <w:right w:w="108" w:type="dxa"/>
          </w:tblCellMar>
        </w:tblPrEx>
        <w:trPr>
          <w:trHeight w:val="397" w:hRule="atLeast"/>
          <w:jc w:val="center"/>
        </w:trPr>
        <w:tc>
          <w:tcPr>
            <w:tcW w:w="365" w:type="pct"/>
            <w:vMerge w:val="continue"/>
            <w:tcBorders>
              <w:top w:val="nil"/>
              <w:left w:val="single" w:color="auto" w:sz="4" w:space="0"/>
              <w:bottom w:val="single" w:color="000000" w:sz="4" w:space="0"/>
              <w:right w:val="single" w:color="auto" w:sz="4" w:space="0"/>
            </w:tcBorders>
            <w:vAlign w:val="center"/>
          </w:tcPr>
          <w:p w14:paraId="0349E01D">
            <w:pPr>
              <w:widowControl/>
              <w:adjustRightInd/>
              <w:spacing w:line="240" w:lineRule="auto"/>
              <w:jc w:val="center"/>
              <w:textAlignment w:val="auto"/>
              <w:rPr>
                <w:rFonts w:ascii="Arial" w:hAnsi="Arial" w:cs="Arial"/>
                <w:sz w:val="16"/>
                <w:szCs w:val="18"/>
                <w:highlight w:val="none"/>
              </w:rPr>
            </w:pPr>
          </w:p>
        </w:tc>
        <w:tc>
          <w:tcPr>
            <w:tcW w:w="757" w:type="pct"/>
            <w:tcBorders>
              <w:top w:val="nil"/>
              <w:left w:val="nil"/>
              <w:bottom w:val="single" w:color="auto" w:sz="4" w:space="0"/>
              <w:right w:val="single" w:color="auto" w:sz="4" w:space="0"/>
            </w:tcBorders>
            <w:vAlign w:val="center"/>
          </w:tcPr>
          <w:p w14:paraId="44276E2F">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自然及人文环境</w:t>
            </w:r>
          </w:p>
        </w:tc>
        <w:tc>
          <w:tcPr>
            <w:tcW w:w="968" w:type="pct"/>
            <w:tcBorders>
              <w:top w:val="nil"/>
              <w:left w:val="nil"/>
              <w:bottom w:val="single" w:color="auto" w:sz="4" w:space="0"/>
              <w:right w:val="single" w:color="auto" w:sz="4" w:space="0"/>
            </w:tcBorders>
            <w:vAlign w:val="center"/>
          </w:tcPr>
          <w:p w14:paraId="37BADD04">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估价对象2公里周边有采育公园、凤河等自然景观，自然与人文环境</w:t>
            </w:r>
            <w:r>
              <w:rPr>
                <w:rFonts w:hint="eastAsia" w:ascii="Arial" w:hAnsi="Arial" w:cs="Arial"/>
                <w:sz w:val="16"/>
                <w:szCs w:val="18"/>
                <w:highlight w:val="none"/>
                <w:lang w:val="en-US" w:eastAsia="zh-CN"/>
              </w:rPr>
              <w:t>一般</w:t>
            </w:r>
            <w:r>
              <w:rPr>
                <w:rFonts w:hint="eastAsia" w:ascii="Arial" w:hAnsi="Arial" w:cs="Arial"/>
                <w:sz w:val="16"/>
                <w:szCs w:val="18"/>
                <w:highlight w:val="none"/>
              </w:rPr>
              <w:t>。</w:t>
            </w:r>
          </w:p>
        </w:tc>
        <w:tc>
          <w:tcPr>
            <w:tcW w:w="968" w:type="pct"/>
            <w:tcBorders>
              <w:top w:val="nil"/>
              <w:left w:val="nil"/>
              <w:bottom w:val="single" w:color="auto" w:sz="4" w:space="0"/>
              <w:right w:val="single" w:color="auto" w:sz="4" w:space="0"/>
            </w:tcBorders>
            <w:vAlign w:val="center"/>
          </w:tcPr>
          <w:p w14:paraId="16BDA810">
            <w:pPr>
              <w:widowControl/>
              <w:adjustRightInd/>
              <w:spacing w:line="240" w:lineRule="auto"/>
              <w:jc w:val="center"/>
              <w:textAlignment w:val="auto"/>
              <w:rPr>
                <w:rFonts w:ascii="Arial" w:hAnsi="Arial" w:cs="Arial"/>
                <w:sz w:val="16"/>
                <w:szCs w:val="18"/>
                <w:highlight w:val="none"/>
              </w:rPr>
            </w:pPr>
            <w:r>
              <w:rPr>
                <w:rFonts w:hint="eastAsia" w:ascii="宋体" w:hAnsi="宋体" w:cs="Arial"/>
                <w:sz w:val="16"/>
                <w:szCs w:val="18"/>
                <w:highlight w:val="none"/>
              </w:rPr>
              <w:t>周边</w:t>
            </w:r>
            <w:r>
              <w:rPr>
                <w:rFonts w:hint="eastAsia" w:ascii="Arial" w:hAnsi="Arial" w:cs="Arial"/>
                <w:sz w:val="16"/>
                <w:szCs w:val="18"/>
                <w:highlight w:val="none"/>
              </w:rPr>
              <w:t>2公里周边有采育公园、凤河等自然景观，自然与人文环境</w:t>
            </w:r>
            <w:r>
              <w:rPr>
                <w:rFonts w:hint="eastAsia" w:ascii="Arial" w:hAnsi="Arial" w:cs="Arial"/>
                <w:sz w:val="16"/>
                <w:szCs w:val="18"/>
                <w:highlight w:val="none"/>
                <w:lang w:val="en-US" w:eastAsia="zh-CN"/>
              </w:rPr>
              <w:t>一般</w:t>
            </w:r>
            <w:r>
              <w:rPr>
                <w:rFonts w:hint="eastAsia" w:ascii="Arial" w:hAnsi="Arial" w:cs="Arial"/>
                <w:sz w:val="16"/>
                <w:szCs w:val="18"/>
                <w:highlight w:val="none"/>
              </w:rPr>
              <w:t>。</w:t>
            </w:r>
          </w:p>
        </w:tc>
        <w:tc>
          <w:tcPr>
            <w:tcW w:w="968" w:type="pct"/>
            <w:tcBorders>
              <w:top w:val="nil"/>
              <w:left w:val="nil"/>
              <w:bottom w:val="single" w:color="auto" w:sz="4" w:space="0"/>
              <w:right w:val="single" w:color="auto" w:sz="4" w:space="0"/>
            </w:tcBorders>
            <w:vAlign w:val="center"/>
          </w:tcPr>
          <w:p w14:paraId="04E53DD7">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周边2公里周边有采育公园、凤河等自然景观，自然与人文环境</w:t>
            </w:r>
            <w:r>
              <w:rPr>
                <w:rFonts w:hint="eastAsia" w:ascii="Arial" w:hAnsi="Arial" w:cs="Arial"/>
                <w:sz w:val="16"/>
                <w:szCs w:val="18"/>
                <w:highlight w:val="none"/>
                <w:lang w:val="en-US" w:eastAsia="zh-CN"/>
              </w:rPr>
              <w:t>一般</w:t>
            </w:r>
            <w:r>
              <w:rPr>
                <w:rFonts w:hint="eastAsia" w:ascii="Arial" w:hAnsi="Arial" w:cs="Arial"/>
                <w:sz w:val="16"/>
                <w:szCs w:val="18"/>
                <w:highlight w:val="none"/>
              </w:rPr>
              <w:t>。</w:t>
            </w:r>
          </w:p>
        </w:tc>
        <w:tc>
          <w:tcPr>
            <w:tcW w:w="970" w:type="pct"/>
            <w:tcBorders>
              <w:top w:val="nil"/>
              <w:left w:val="nil"/>
              <w:bottom w:val="single" w:color="auto" w:sz="4" w:space="0"/>
              <w:right w:val="single" w:color="auto" w:sz="4" w:space="0"/>
            </w:tcBorders>
            <w:vAlign w:val="center"/>
          </w:tcPr>
          <w:p w14:paraId="69821447">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周边2公里周边有采育公园、凤河等自然景观，自然与人文环境</w:t>
            </w:r>
            <w:r>
              <w:rPr>
                <w:rFonts w:hint="eastAsia" w:ascii="Arial" w:hAnsi="Arial" w:cs="Arial"/>
                <w:sz w:val="16"/>
                <w:szCs w:val="18"/>
                <w:highlight w:val="none"/>
                <w:lang w:val="en-US" w:eastAsia="zh-CN"/>
              </w:rPr>
              <w:t>一般</w:t>
            </w:r>
            <w:r>
              <w:rPr>
                <w:rFonts w:ascii="Arial" w:hAnsi="Arial" w:cs="Arial"/>
                <w:sz w:val="16"/>
                <w:szCs w:val="18"/>
                <w:highlight w:val="none"/>
              </w:rPr>
              <w:t>。</w:t>
            </w:r>
          </w:p>
        </w:tc>
      </w:tr>
      <w:tr w14:paraId="5EDD2724">
        <w:tblPrEx>
          <w:tblCellMar>
            <w:top w:w="0" w:type="dxa"/>
            <w:left w:w="108" w:type="dxa"/>
            <w:bottom w:w="0" w:type="dxa"/>
            <w:right w:w="108" w:type="dxa"/>
          </w:tblCellMar>
        </w:tblPrEx>
        <w:trPr>
          <w:trHeight w:val="397" w:hRule="atLeast"/>
          <w:jc w:val="center"/>
        </w:trPr>
        <w:tc>
          <w:tcPr>
            <w:tcW w:w="365" w:type="pct"/>
            <w:vMerge w:val="continue"/>
            <w:tcBorders>
              <w:top w:val="nil"/>
              <w:left w:val="single" w:color="auto" w:sz="4" w:space="0"/>
              <w:bottom w:val="single" w:color="000000" w:sz="4" w:space="0"/>
              <w:right w:val="single" w:color="auto" w:sz="4" w:space="0"/>
            </w:tcBorders>
            <w:vAlign w:val="center"/>
          </w:tcPr>
          <w:p w14:paraId="413A0F4D">
            <w:pPr>
              <w:widowControl/>
              <w:adjustRightInd/>
              <w:spacing w:line="240" w:lineRule="auto"/>
              <w:jc w:val="center"/>
              <w:textAlignment w:val="auto"/>
              <w:rPr>
                <w:rFonts w:ascii="Arial" w:hAnsi="Arial" w:cs="Arial"/>
                <w:sz w:val="16"/>
                <w:szCs w:val="18"/>
                <w:highlight w:val="none"/>
              </w:rPr>
            </w:pPr>
          </w:p>
        </w:tc>
        <w:tc>
          <w:tcPr>
            <w:tcW w:w="757" w:type="pct"/>
            <w:tcBorders>
              <w:top w:val="nil"/>
              <w:left w:val="nil"/>
              <w:bottom w:val="single" w:color="auto" w:sz="4" w:space="0"/>
              <w:right w:val="single" w:color="auto" w:sz="4" w:space="0"/>
            </w:tcBorders>
            <w:vAlign w:val="center"/>
          </w:tcPr>
          <w:p w14:paraId="6B69C9B2">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小区环境</w:t>
            </w:r>
          </w:p>
        </w:tc>
        <w:tc>
          <w:tcPr>
            <w:tcW w:w="968" w:type="pct"/>
            <w:tcBorders>
              <w:top w:val="nil"/>
              <w:left w:val="nil"/>
              <w:bottom w:val="single" w:color="auto" w:sz="4" w:space="0"/>
              <w:right w:val="single" w:color="auto" w:sz="4" w:space="0"/>
            </w:tcBorders>
            <w:vAlign w:val="center"/>
          </w:tcPr>
          <w:p w14:paraId="546BB1DE">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小区道路整洁、绿化率高、有景观设计、人车分流</w:t>
            </w:r>
          </w:p>
        </w:tc>
        <w:tc>
          <w:tcPr>
            <w:tcW w:w="968" w:type="pct"/>
            <w:tcBorders>
              <w:top w:val="nil"/>
              <w:left w:val="nil"/>
              <w:bottom w:val="single" w:color="auto" w:sz="4" w:space="0"/>
              <w:right w:val="single" w:color="auto" w:sz="4" w:space="0"/>
            </w:tcBorders>
            <w:vAlign w:val="center"/>
          </w:tcPr>
          <w:p w14:paraId="42936365">
            <w:pPr>
              <w:widowControl/>
              <w:adjustRightInd/>
              <w:spacing w:line="240" w:lineRule="auto"/>
              <w:jc w:val="center"/>
              <w:textAlignment w:val="auto"/>
              <w:rPr>
                <w:rFonts w:ascii="Arial" w:hAnsi="Arial" w:cs="Arial"/>
                <w:sz w:val="16"/>
                <w:szCs w:val="18"/>
                <w:highlight w:val="none"/>
              </w:rPr>
            </w:pPr>
            <w:r>
              <w:rPr>
                <w:rFonts w:hint="eastAsia" w:ascii="宋体" w:hAnsi="宋体" w:cs="Arial"/>
                <w:sz w:val="16"/>
                <w:szCs w:val="18"/>
                <w:highlight w:val="none"/>
              </w:rPr>
              <w:t>小区道路整洁、绿化率高、有景观设计、人车分</w:t>
            </w:r>
            <w:r>
              <w:rPr>
                <w:rFonts w:hint="eastAsia" w:ascii="Arial" w:hAnsi="Arial" w:cs="Arial"/>
                <w:sz w:val="16"/>
                <w:szCs w:val="18"/>
                <w:highlight w:val="none"/>
              </w:rPr>
              <w:t>流</w:t>
            </w:r>
          </w:p>
        </w:tc>
        <w:tc>
          <w:tcPr>
            <w:tcW w:w="968" w:type="pct"/>
            <w:tcBorders>
              <w:top w:val="nil"/>
              <w:left w:val="nil"/>
              <w:bottom w:val="single" w:color="auto" w:sz="4" w:space="0"/>
              <w:right w:val="single" w:color="auto" w:sz="4" w:space="0"/>
            </w:tcBorders>
            <w:vAlign w:val="center"/>
          </w:tcPr>
          <w:p w14:paraId="2B58FA0D">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小区道路整洁、绿化率高、有景观设计、人车分流</w:t>
            </w:r>
          </w:p>
        </w:tc>
        <w:tc>
          <w:tcPr>
            <w:tcW w:w="970" w:type="pct"/>
            <w:tcBorders>
              <w:top w:val="nil"/>
              <w:left w:val="nil"/>
              <w:bottom w:val="single" w:color="auto" w:sz="4" w:space="0"/>
              <w:right w:val="single" w:color="auto" w:sz="4" w:space="0"/>
            </w:tcBorders>
            <w:vAlign w:val="center"/>
          </w:tcPr>
          <w:p w14:paraId="0F7D8ED4">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小区道路整洁、绿化率高、有景观设计、人车分流</w:t>
            </w:r>
          </w:p>
        </w:tc>
      </w:tr>
      <w:tr w14:paraId="3DB07B71">
        <w:tblPrEx>
          <w:tblCellMar>
            <w:top w:w="0" w:type="dxa"/>
            <w:left w:w="108" w:type="dxa"/>
            <w:bottom w:w="0" w:type="dxa"/>
            <w:right w:w="108" w:type="dxa"/>
          </w:tblCellMar>
        </w:tblPrEx>
        <w:trPr>
          <w:trHeight w:val="397" w:hRule="atLeast"/>
          <w:jc w:val="center"/>
        </w:trPr>
        <w:tc>
          <w:tcPr>
            <w:tcW w:w="365" w:type="pct"/>
            <w:vMerge w:val="continue"/>
            <w:tcBorders>
              <w:top w:val="nil"/>
              <w:left w:val="single" w:color="auto" w:sz="4" w:space="0"/>
              <w:bottom w:val="single" w:color="000000" w:sz="4" w:space="0"/>
              <w:right w:val="single" w:color="auto" w:sz="4" w:space="0"/>
            </w:tcBorders>
            <w:vAlign w:val="center"/>
          </w:tcPr>
          <w:p w14:paraId="65337EE5">
            <w:pPr>
              <w:widowControl/>
              <w:adjustRightInd/>
              <w:spacing w:line="240" w:lineRule="auto"/>
              <w:jc w:val="center"/>
              <w:textAlignment w:val="auto"/>
              <w:rPr>
                <w:rFonts w:ascii="Arial" w:hAnsi="Arial" w:cs="Arial"/>
                <w:sz w:val="16"/>
                <w:szCs w:val="18"/>
                <w:highlight w:val="none"/>
              </w:rPr>
            </w:pPr>
          </w:p>
        </w:tc>
        <w:tc>
          <w:tcPr>
            <w:tcW w:w="757" w:type="pct"/>
            <w:tcBorders>
              <w:top w:val="nil"/>
              <w:left w:val="nil"/>
              <w:bottom w:val="single" w:color="auto" w:sz="4" w:space="0"/>
              <w:right w:val="single" w:color="auto" w:sz="4" w:space="0"/>
            </w:tcBorders>
            <w:vAlign w:val="center"/>
          </w:tcPr>
          <w:p w14:paraId="039809D6">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公共服务设施状况</w:t>
            </w:r>
          </w:p>
        </w:tc>
        <w:tc>
          <w:tcPr>
            <w:tcW w:w="968" w:type="pct"/>
            <w:tcBorders>
              <w:top w:val="nil"/>
              <w:left w:val="nil"/>
              <w:bottom w:val="single" w:color="auto" w:sz="4" w:space="0"/>
              <w:right w:val="single" w:color="auto" w:sz="4" w:space="0"/>
            </w:tcBorders>
            <w:vAlign w:val="center"/>
          </w:tcPr>
          <w:p w14:paraId="7ABE06C5">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周边2公里范围内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p>
        </w:tc>
        <w:tc>
          <w:tcPr>
            <w:tcW w:w="968" w:type="pct"/>
            <w:tcBorders>
              <w:top w:val="nil"/>
              <w:left w:val="nil"/>
              <w:bottom w:val="single" w:color="auto" w:sz="4" w:space="0"/>
              <w:right w:val="single" w:color="auto" w:sz="4" w:space="0"/>
            </w:tcBorders>
            <w:vAlign w:val="center"/>
          </w:tcPr>
          <w:p w14:paraId="67169DF6">
            <w:pPr>
              <w:widowControl/>
              <w:adjustRightInd/>
              <w:spacing w:line="240" w:lineRule="auto"/>
              <w:jc w:val="center"/>
              <w:textAlignment w:val="auto"/>
              <w:rPr>
                <w:rFonts w:ascii="Arial" w:hAnsi="Arial" w:cs="Arial"/>
                <w:sz w:val="16"/>
                <w:szCs w:val="18"/>
                <w:highlight w:val="none"/>
              </w:rPr>
            </w:pPr>
            <w:r>
              <w:rPr>
                <w:rFonts w:hint="eastAsia" w:ascii="宋体" w:hAnsi="宋体" w:cs="Arial"/>
                <w:sz w:val="16"/>
                <w:szCs w:val="18"/>
                <w:highlight w:val="none"/>
              </w:rPr>
              <w:t>周边2公里范围内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r>
              <w:rPr>
                <w:rFonts w:hint="eastAsia" w:ascii="Arial" w:hAnsi="Arial" w:cs="Arial"/>
                <w:sz w:val="16"/>
                <w:szCs w:val="18"/>
                <w:highlight w:val="none"/>
              </w:rPr>
              <w:t>。</w:t>
            </w:r>
          </w:p>
        </w:tc>
        <w:tc>
          <w:tcPr>
            <w:tcW w:w="968" w:type="pct"/>
            <w:tcBorders>
              <w:top w:val="nil"/>
              <w:left w:val="nil"/>
              <w:bottom w:val="single" w:color="auto" w:sz="4" w:space="0"/>
              <w:right w:val="single" w:color="auto" w:sz="4" w:space="0"/>
            </w:tcBorders>
            <w:vAlign w:val="center"/>
          </w:tcPr>
          <w:p w14:paraId="69B6E3DF">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周边2公里范围内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p>
        </w:tc>
        <w:tc>
          <w:tcPr>
            <w:tcW w:w="970" w:type="pct"/>
            <w:tcBorders>
              <w:top w:val="nil"/>
              <w:left w:val="nil"/>
              <w:bottom w:val="single" w:color="auto" w:sz="4" w:space="0"/>
              <w:right w:val="single" w:color="auto" w:sz="4" w:space="0"/>
            </w:tcBorders>
            <w:vAlign w:val="center"/>
          </w:tcPr>
          <w:p w14:paraId="2850C55E">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周边2公里范围内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p>
        </w:tc>
      </w:tr>
      <w:tr w14:paraId="14DAC969">
        <w:tblPrEx>
          <w:tblCellMar>
            <w:top w:w="0" w:type="dxa"/>
            <w:left w:w="108" w:type="dxa"/>
            <w:bottom w:w="0" w:type="dxa"/>
            <w:right w:w="108" w:type="dxa"/>
          </w:tblCellMar>
        </w:tblPrEx>
        <w:trPr>
          <w:trHeight w:val="397" w:hRule="atLeast"/>
          <w:jc w:val="center"/>
        </w:trPr>
        <w:tc>
          <w:tcPr>
            <w:tcW w:w="365" w:type="pct"/>
            <w:vMerge w:val="continue"/>
            <w:tcBorders>
              <w:top w:val="nil"/>
              <w:left w:val="single" w:color="auto" w:sz="4" w:space="0"/>
              <w:bottom w:val="single" w:color="000000" w:sz="4" w:space="0"/>
              <w:right w:val="single" w:color="auto" w:sz="4" w:space="0"/>
            </w:tcBorders>
            <w:vAlign w:val="center"/>
          </w:tcPr>
          <w:p w14:paraId="367C8527">
            <w:pPr>
              <w:widowControl/>
              <w:adjustRightInd/>
              <w:spacing w:line="240" w:lineRule="auto"/>
              <w:jc w:val="center"/>
              <w:textAlignment w:val="auto"/>
              <w:rPr>
                <w:rFonts w:ascii="Arial" w:hAnsi="Arial" w:cs="Arial"/>
                <w:sz w:val="16"/>
                <w:szCs w:val="18"/>
                <w:highlight w:val="none"/>
              </w:rPr>
            </w:pPr>
          </w:p>
        </w:tc>
        <w:tc>
          <w:tcPr>
            <w:tcW w:w="757" w:type="pct"/>
            <w:tcBorders>
              <w:top w:val="nil"/>
              <w:left w:val="nil"/>
              <w:bottom w:val="single" w:color="auto" w:sz="4" w:space="0"/>
              <w:right w:val="single" w:color="auto" w:sz="4" w:space="0"/>
            </w:tcBorders>
            <w:vAlign w:val="center"/>
          </w:tcPr>
          <w:p w14:paraId="2C1909EA">
            <w:pPr>
              <w:widowControl/>
              <w:adjustRightInd/>
              <w:spacing w:line="240" w:lineRule="auto"/>
              <w:jc w:val="center"/>
              <w:textAlignment w:val="auto"/>
              <w:rPr>
                <w:rFonts w:hint="default" w:ascii="Arial" w:hAnsi="Arial" w:eastAsia="宋体" w:cs="Arial"/>
                <w:sz w:val="16"/>
                <w:szCs w:val="18"/>
                <w:highlight w:val="none"/>
                <w:lang w:val="en-US" w:eastAsia="zh-CN"/>
              </w:rPr>
            </w:pPr>
            <w:r>
              <w:rPr>
                <w:rFonts w:hint="eastAsia" w:ascii="Arial" w:hAnsi="Arial" w:cs="Arial"/>
                <w:sz w:val="16"/>
                <w:szCs w:val="18"/>
                <w:highlight w:val="none"/>
                <w:lang w:val="en-US" w:eastAsia="zh-CN"/>
              </w:rPr>
              <w:t>建筑类型</w:t>
            </w:r>
          </w:p>
        </w:tc>
        <w:tc>
          <w:tcPr>
            <w:tcW w:w="968" w:type="pct"/>
            <w:tcBorders>
              <w:top w:val="nil"/>
              <w:left w:val="nil"/>
              <w:bottom w:val="single" w:color="auto" w:sz="4" w:space="0"/>
              <w:right w:val="single" w:color="auto" w:sz="4" w:space="0"/>
            </w:tcBorders>
            <w:vAlign w:val="center"/>
          </w:tcPr>
          <w:p w14:paraId="47E16E24">
            <w:pPr>
              <w:widowControl/>
              <w:adjustRightInd/>
              <w:spacing w:line="240" w:lineRule="auto"/>
              <w:jc w:val="center"/>
              <w:textAlignment w:val="auto"/>
              <w:rPr>
                <w:rFonts w:hint="default" w:ascii="Arial" w:hAnsi="Arial" w:cs="Arial"/>
                <w:sz w:val="16"/>
                <w:szCs w:val="18"/>
                <w:highlight w:val="none"/>
                <w:lang w:val="en-US" w:eastAsia="zh-CN"/>
              </w:rPr>
            </w:pPr>
            <w:r>
              <w:rPr>
                <w:rFonts w:hint="eastAsia" w:ascii="Arial" w:hAnsi="Arial" w:cs="Arial"/>
                <w:sz w:val="16"/>
                <w:szCs w:val="18"/>
                <w:highlight w:val="none"/>
                <w:lang w:val="en-US" w:eastAsia="zh-CN"/>
              </w:rPr>
              <w:t>高层板楼</w:t>
            </w:r>
          </w:p>
        </w:tc>
        <w:tc>
          <w:tcPr>
            <w:tcW w:w="968" w:type="pct"/>
            <w:tcBorders>
              <w:top w:val="nil"/>
              <w:left w:val="nil"/>
              <w:bottom w:val="single" w:color="auto" w:sz="4" w:space="0"/>
              <w:right w:val="single" w:color="auto" w:sz="4" w:space="0"/>
            </w:tcBorders>
            <w:vAlign w:val="center"/>
          </w:tcPr>
          <w:p w14:paraId="1D50EEE8">
            <w:pPr>
              <w:widowControl/>
              <w:adjustRightInd/>
              <w:spacing w:line="240" w:lineRule="auto"/>
              <w:jc w:val="center"/>
              <w:textAlignment w:val="auto"/>
              <w:rPr>
                <w:rFonts w:hint="default" w:ascii="Arial" w:hAnsi="Arial" w:eastAsia="宋体" w:cs="Arial"/>
                <w:sz w:val="16"/>
                <w:szCs w:val="18"/>
                <w:highlight w:val="none"/>
                <w:lang w:val="en-US" w:eastAsia="zh-CN"/>
              </w:rPr>
            </w:pPr>
            <w:r>
              <w:rPr>
                <w:rFonts w:hint="eastAsia" w:ascii="Arial" w:hAnsi="Arial" w:cs="Arial"/>
                <w:sz w:val="16"/>
                <w:szCs w:val="18"/>
                <w:highlight w:val="none"/>
                <w:lang w:val="en-US" w:eastAsia="zh-CN"/>
              </w:rPr>
              <w:t>多层板楼</w:t>
            </w:r>
          </w:p>
        </w:tc>
        <w:tc>
          <w:tcPr>
            <w:tcW w:w="968" w:type="pct"/>
            <w:tcBorders>
              <w:top w:val="nil"/>
              <w:left w:val="nil"/>
              <w:bottom w:val="single" w:color="auto" w:sz="4" w:space="0"/>
              <w:right w:val="single" w:color="auto" w:sz="4" w:space="0"/>
            </w:tcBorders>
            <w:vAlign w:val="center"/>
          </w:tcPr>
          <w:p w14:paraId="474D5296">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lang w:val="en-US" w:eastAsia="zh-CN"/>
              </w:rPr>
              <w:t>高层板楼</w:t>
            </w:r>
          </w:p>
        </w:tc>
        <w:tc>
          <w:tcPr>
            <w:tcW w:w="970" w:type="pct"/>
            <w:tcBorders>
              <w:top w:val="nil"/>
              <w:left w:val="nil"/>
              <w:bottom w:val="single" w:color="auto" w:sz="4" w:space="0"/>
              <w:right w:val="single" w:color="auto" w:sz="4" w:space="0"/>
            </w:tcBorders>
            <w:vAlign w:val="center"/>
          </w:tcPr>
          <w:p w14:paraId="6785D24A">
            <w:pPr>
              <w:widowControl/>
              <w:adjustRightInd/>
              <w:spacing w:line="240" w:lineRule="auto"/>
              <w:jc w:val="center"/>
              <w:textAlignment w:val="auto"/>
              <w:rPr>
                <w:rFonts w:hint="eastAsia" w:ascii="Arial" w:hAnsi="Arial" w:cs="Arial"/>
                <w:sz w:val="16"/>
                <w:szCs w:val="18"/>
                <w:highlight w:val="none"/>
                <w:lang w:val="en-US" w:eastAsia="zh-CN"/>
              </w:rPr>
            </w:pPr>
            <w:r>
              <w:rPr>
                <w:rFonts w:hint="eastAsia" w:ascii="Arial" w:hAnsi="Arial" w:cs="Arial"/>
                <w:sz w:val="16"/>
                <w:szCs w:val="18"/>
                <w:highlight w:val="none"/>
                <w:lang w:val="en-US" w:eastAsia="zh-CN"/>
              </w:rPr>
              <w:t>高层板楼</w:t>
            </w:r>
          </w:p>
        </w:tc>
      </w:tr>
      <w:tr w14:paraId="3230D8DA">
        <w:tblPrEx>
          <w:tblCellMar>
            <w:top w:w="0" w:type="dxa"/>
            <w:left w:w="108" w:type="dxa"/>
            <w:bottom w:w="0" w:type="dxa"/>
            <w:right w:w="108" w:type="dxa"/>
          </w:tblCellMar>
        </w:tblPrEx>
        <w:trPr>
          <w:trHeight w:val="397" w:hRule="atLeast"/>
          <w:jc w:val="center"/>
        </w:trPr>
        <w:tc>
          <w:tcPr>
            <w:tcW w:w="365" w:type="pct"/>
            <w:vMerge w:val="continue"/>
            <w:tcBorders>
              <w:top w:val="nil"/>
              <w:left w:val="single" w:color="auto" w:sz="4" w:space="0"/>
              <w:bottom w:val="single" w:color="000000" w:sz="4" w:space="0"/>
              <w:right w:val="single" w:color="auto" w:sz="4" w:space="0"/>
            </w:tcBorders>
            <w:vAlign w:val="center"/>
          </w:tcPr>
          <w:p w14:paraId="045E420B">
            <w:pPr>
              <w:widowControl/>
              <w:adjustRightInd/>
              <w:spacing w:line="240" w:lineRule="auto"/>
              <w:jc w:val="center"/>
              <w:textAlignment w:val="auto"/>
              <w:rPr>
                <w:rFonts w:ascii="Arial" w:hAnsi="Arial" w:cs="Arial"/>
                <w:sz w:val="16"/>
                <w:szCs w:val="18"/>
                <w:highlight w:val="none"/>
              </w:rPr>
            </w:pPr>
          </w:p>
        </w:tc>
        <w:tc>
          <w:tcPr>
            <w:tcW w:w="757" w:type="pct"/>
            <w:tcBorders>
              <w:top w:val="nil"/>
              <w:left w:val="nil"/>
              <w:bottom w:val="single" w:color="auto" w:sz="4" w:space="0"/>
              <w:right w:val="single" w:color="auto" w:sz="4" w:space="0"/>
            </w:tcBorders>
            <w:vAlign w:val="center"/>
          </w:tcPr>
          <w:p w14:paraId="620D009C">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楼层</w:t>
            </w:r>
          </w:p>
        </w:tc>
        <w:tc>
          <w:tcPr>
            <w:tcW w:w="968" w:type="pct"/>
            <w:tcBorders>
              <w:top w:val="nil"/>
              <w:left w:val="nil"/>
              <w:bottom w:val="single" w:color="auto" w:sz="4" w:space="0"/>
              <w:right w:val="single" w:color="auto" w:sz="4" w:space="0"/>
            </w:tcBorders>
            <w:vAlign w:val="center"/>
          </w:tcPr>
          <w:p w14:paraId="27DD398A">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lang w:val="en-US" w:eastAsia="zh-CN"/>
              </w:rPr>
              <w:t>中</w:t>
            </w:r>
            <w:r>
              <w:rPr>
                <w:rFonts w:ascii="Arial" w:hAnsi="Arial" w:cs="Arial"/>
                <w:sz w:val="16"/>
                <w:szCs w:val="18"/>
                <w:highlight w:val="none"/>
              </w:rPr>
              <w:t>楼层</w:t>
            </w:r>
          </w:p>
        </w:tc>
        <w:tc>
          <w:tcPr>
            <w:tcW w:w="968" w:type="pct"/>
            <w:tcBorders>
              <w:top w:val="nil"/>
              <w:left w:val="nil"/>
              <w:bottom w:val="single" w:color="auto" w:sz="4" w:space="0"/>
              <w:right w:val="single" w:color="auto" w:sz="4" w:space="0"/>
            </w:tcBorders>
            <w:vAlign w:val="center"/>
          </w:tcPr>
          <w:p w14:paraId="6CF526F1">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低楼层</w:t>
            </w:r>
          </w:p>
        </w:tc>
        <w:tc>
          <w:tcPr>
            <w:tcW w:w="968" w:type="pct"/>
            <w:tcBorders>
              <w:top w:val="nil"/>
              <w:left w:val="nil"/>
              <w:bottom w:val="single" w:color="auto" w:sz="4" w:space="0"/>
              <w:right w:val="single" w:color="auto" w:sz="4" w:space="0"/>
            </w:tcBorders>
            <w:vAlign w:val="center"/>
          </w:tcPr>
          <w:p w14:paraId="13E3D427">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低楼层</w:t>
            </w:r>
          </w:p>
        </w:tc>
        <w:tc>
          <w:tcPr>
            <w:tcW w:w="970" w:type="pct"/>
            <w:tcBorders>
              <w:top w:val="nil"/>
              <w:left w:val="nil"/>
              <w:bottom w:val="single" w:color="auto" w:sz="4" w:space="0"/>
              <w:right w:val="single" w:color="auto" w:sz="4" w:space="0"/>
            </w:tcBorders>
            <w:vAlign w:val="center"/>
          </w:tcPr>
          <w:p w14:paraId="264EA586">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lang w:val="en-US" w:eastAsia="zh-CN"/>
              </w:rPr>
              <w:t>中</w:t>
            </w:r>
            <w:r>
              <w:rPr>
                <w:rFonts w:ascii="Arial" w:hAnsi="Arial" w:cs="Arial"/>
                <w:sz w:val="16"/>
                <w:szCs w:val="18"/>
                <w:highlight w:val="none"/>
              </w:rPr>
              <w:t>楼层</w:t>
            </w:r>
          </w:p>
        </w:tc>
      </w:tr>
      <w:tr w14:paraId="03F9702A">
        <w:tblPrEx>
          <w:tblCellMar>
            <w:top w:w="0" w:type="dxa"/>
            <w:left w:w="108" w:type="dxa"/>
            <w:bottom w:w="0" w:type="dxa"/>
            <w:right w:w="108" w:type="dxa"/>
          </w:tblCellMar>
        </w:tblPrEx>
        <w:trPr>
          <w:trHeight w:val="397" w:hRule="atLeast"/>
          <w:jc w:val="center"/>
        </w:trPr>
        <w:tc>
          <w:tcPr>
            <w:tcW w:w="365" w:type="pct"/>
            <w:vMerge w:val="continue"/>
            <w:tcBorders>
              <w:top w:val="nil"/>
              <w:left w:val="single" w:color="auto" w:sz="4" w:space="0"/>
              <w:bottom w:val="single" w:color="auto" w:sz="4" w:space="0"/>
              <w:right w:val="single" w:color="auto" w:sz="4" w:space="0"/>
            </w:tcBorders>
            <w:vAlign w:val="center"/>
          </w:tcPr>
          <w:p w14:paraId="16FBEE80">
            <w:pPr>
              <w:widowControl/>
              <w:adjustRightInd/>
              <w:spacing w:line="240" w:lineRule="auto"/>
              <w:jc w:val="center"/>
              <w:textAlignment w:val="auto"/>
              <w:rPr>
                <w:rFonts w:ascii="Arial" w:hAnsi="Arial" w:cs="Arial"/>
                <w:sz w:val="16"/>
                <w:szCs w:val="18"/>
                <w:highlight w:val="none"/>
              </w:rPr>
            </w:pPr>
          </w:p>
        </w:tc>
        <w:tc>
          <w:tcPr>
            <w:tcW w:w="757" w:type="pct"/>
            <w:tcBorders>
              <w:top w:val="nil"/>
              <w:left w:val="nil"/>
              <w:bottom w:val="single" w:color="auto" w:sz="4" w:space="0"/>
              <w:right w:val="single" w:color="auto" w:sz="4" w:space="0"/>
            </w:tcBorders>
            <w:vAlign w:val="center"/>
          </w:tcPr>
          <w:p w14:paraId="59F96D08">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朝向</w:t>
            </w:r>
          </w:p>
        </w:tc>
        <w:tc>
          <w:tcPr>
            <w:tcW w:w="968" w:type="pct"/>
            <w:tcBorders>
              <w:top w:val="nil"/>
              <w:left w:val="nil"/>
              <w:bottom w:val="single" w:color="auto" w:sz="4" w:space="0"/>
              <w:right w:val="single" w:color="auto" w:sz="4" w:space="0"/>
            </w:tcBorders>
            <w:vAlign w:val="center"/>
          </w:tcPr>
          <w:p w14:paraId="50D89F27">
            <w:pPr>
              <w:widowControl/>
              <w:adjustRightInd/>
              <w:spacing w:line="240" w:lineRule="auto"/>
              <w:jc w:val="center"/>
              <w:textAlignment w:val="auto"/>
              <w:rPr>
                <w:rFonts w:hint="eastAsia" w:ascii="Arial" w:hAnsi="Arial" w:eastAsia="宋体" w:cs="Arial"/>
                <w:sz w:val="16"/>
                <w:szCs w:val="18"/>
                <w:highlight w:val="none"/>
                <w:lang w:eastAsia="zh-CN"/>
              </w:rPr>
            </w:pPr>
            <w:r>
              <w:rPr>
                <w:rFonts w:hint="eastAsia" w:ascii="Arial" w:hAnsi="Arial" w:cs="Arial"/>
                <w:sz w:val="16"/>
                <w:szCs w:val="18"/>
                <w:highlight w:val="none"/>
                <w:lang w:val="en-US" w:eastAsia="zh-CN"/>
              </w:rPr>
              <w:t>南北</w:t>
            </w:r>
          </w:p>
        </w:tc>
        <w:tc>
          <w:tcPr>
            <w:tcW w:w="968" w:type="pct"/>
            <w:tcBorders>
              <w:top w:val="nil"/>
              <w:left w:val="nil"/>
              <w:bottom w:val="single" w:color="auto" w:sz="4" w:space="0"/>
              <w:right w:val="single" w:color="auto" w:sz="4" w:space="0"/>
            </w:tcBorders>
            <w:vAlign w:val="center"/>
          </w:tcPr>
          <w:p w14:paraId="215E6D71">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lang w:val="en-US" w:eastAsia="zh-CN"/>
              </w:rPr>
              <w:t>南</w:t>
            </w:r>
          </w:p>
        </w:tc>
        <w:tc>
          <w:tcPr>
            <w:tcW w:w="968" w:type="pct"/>
            <w:tcBorders>
              <w:top w:val="nil"/>
              <w:left w:val="nil"/>
              <w:bottom w:val="single" w:color="auto" w:sz="4" w:space="0"/>
              <w:right w:val="single" w:color="auto" w:sz="4" w:space="0"/>
            </w:tcBorders>
            <w:vAlign w:val="center"/>
          </w:tcPr>
          <w:p w14:paraId="3E994C76">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lang w:val="en-US" w:eastAsia="zh-CN"/>
              </w:rPr>
              <w:t>南北</w:t>
            </w:r>
          </w:p>
        </w:tc>
        <w:tc>
          <w:tcPr>
            <w:tcW w:w="970" w:type="pct"/>
            <w:tcBorders>
              <w:top w:val="nil"/>
              <w:left w:val="nil"/>
              <w:bottom w:val="single" w:color="auto" w:sz="4" w:space="0"/>
              <w:right w:val="single" w:color="auto" w:sz="4" w:space="0"/>
            </w:tcBorders>
            <w:vAlign w:val="center"/>
          </w:tcPr>
          <w:p w14:paraId="1A171E7D">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lang w:val="en-US" w:eastAsia="zh-CN"/>
              </w:rPr>
              <w:t>南北</w:t>
            </w:r>
          </w:p>
        </w:tc>
      </w:tr>
      <w:tr w14:paraId="13A95AE0">
        <w:tblPrEx>
          <w:tblCellMar>
            <w:top w:w="0" w:type="dxa"/>
            <w:left w:w="108" w:type="dxa"/>
            <w:bottom w:w="0" w:type="dxa"/>
            <w:right w:w="108" w:type="dxa"/>
          </w:tblCellMar>
        </w:tblPrEx>
        <w:trPr>
          <w:trHeight w:val="397" w:hRule="atLeast"/>
          <w:jc w:val="center"/>
        </w:trPr>
        <w:tc>
          <w:tcPr>
            <w:tcW w:w="365" w:type="pct"/>
            <w:vMerge w:val="restart"/>
            <w:tcBorders>
              <w:top w:val="single" w:color="auto" w:sz="4" w:space="0"/>
              <w:left w:val="single" w:color="auto" w:sz="4" w:space="0"/>
              <w:bottom w:val="single" w:color="auto" w:sz="4" w:space="0"/>
              <w:right w:val="single" w:color="auto" w:sz="4" w:space="0"/>
            </w:tcBorders>
            <w:vAlign w:val="center"/>
          </w:tcPr>
          <w:p w14:paraId="1350AB11">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实物状况</w:t>
            </w:r>
          </w:p>
        </w:tc>
        <w:tc>
          <w:tcPr>
            <w:tcW w:w="757" w:type="pct"/>
            <w:tcBorders>
              <w:top w:val="single" w:color="auto" w:sz="4" w:space="0"/>
              <w:left w:val="nil"/>
              <w:bottom w:val="single" w:color="auto" w:sz="4" w:space="0"/>
              <w:right w:val="single" w:color="auto" w:sz="4" w:space="0"/>
            </w:tcBorders>
            <w:vAlign w:val="center"/>
          </w:tcPr>
          <w:p w14:paraId="18BF5A4F">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成新度</w:t>
            </w:r>
          </w:p>
        </w:tc>
        <w:tc>
          <w:tcPr>
            <w:tcW w:w="968" w:type="pct"/>
            <w:tcBorders>
              <w:top w:val="single" w:color="auto" w:sz="4" w:space="0"/>
              <w:left w:val="nil"/>
              <w:bottom w:val="single" w:color="auto" w:sz="4" w:space="0"/>
              <w:right w:val="single" w:color="auto" w:sz="4" w:space="0"/>
            </w:tcBorders>
            <w:vAlign w:val="center"/>
          </w:tcPr>
          <w:p w14:paraId="7FF845D6">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lang w:val="en-US" w:eastAsia="zh-CN"/>
              </w:rPr>
              <w:t>8</w:t>
            </w:r>
            <w:r>
              <w:rPr>
                <w:rFonts w:ascii="Arial" w:hAnsi="Arial" w:cs="Arial"/>
                <w:sz w:val="16"/>
                <w:szCs w:val="18"/>
                <w:highlight w:val="none"/>
              </w:rPr>
              <w:t>0-</w:t>
            </w:r>
            <w:r>
              <w:rPr>
                <w:rFonts w:hint="eastAsia" w:ascii="Arial" w:hAnsi="Arial" w:cs="Arial"/>
                <w:sz w:val="16"/>
                <w:szCs w:val="18"/>
                <w:highlight w:val="none"/>
                <w:lang w:val="en-US" w:eastAsia="zh-CN"/>
              </w:rPr>
              <w:t>9</w:t>
            </w:r>
            <w:r>
              <w:rPr>
                <w:rFonts w:hint="eastAsia" w:ascii="Arial" w:hAnsi="Arial" w:cs="Arial"/>
                <w:sz w:val="16"/>
                <w:szCs w:val="18"/>
                <w:highlight w:val="none"/>
              </w:rPr>
              <w:t>0</w:t>
            </w:r>
            <w:r>
              <w:rPr>
                <w:rFonts w:ascii="Arial" w:hAnsi="Arial" w:cs="Arial"/>
                <w:sz w:val="16"/>
                <w:szCs w:val="18"/>
                <w:highlight w:val="none"/>
              </w:rPr>
              <w:t>%</w:t>
            </w:r>
          </w:p>
        </w:tc>
        <w:tc>
          <w:tcPr>
            <w:tcW w:w="968" w:type="pct"/>
            <w:tcBorders>
              <w:top w:val="single" w:color="auto" w:sz="4" w:space="0"/>
              <w:left w:val="nil"/>
              <w:bottom w:val="single" w:color="auto" w:sz="4" w:space="0"/>
              <w:right w:val="single" w:color="auto" w:sz="4" w:space="0"/>
            </w:tcBorders>
            <w:vAlign w:val="center"/>
          </w:tcPr>
          <w:p w14:paraId="729C2B55">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lang w:val="en-US" w:eastAsia="zh-CN"/>
              </w:rPr>
              <w:t>8</w:t>
            </w:r>
            <w:r>
              <w:rPr>
                <w:rFonts w:ascii="Arial" w:hAnsi="Arial" w:cs="Arial"/>
                <w:sz w:val="16"/>
                <w:szCs w:val="18"/>
                <w:highlight w:val="none"/>
              </w:rPr>
              <w:t>0-</w:t>
            </w:r>
            <w:r>
              <w:rPr>
                <w:rFonts w:hint="eastAsia" w:ascii="Arial" w:hAnsi="Arial" w:cs="Arial"/>
                <w:sz w:val="16"/>
                <w:szCs w:val="18"/>
                <w:highlight w:val="none"/>
                <w:lang w:val="en-US" w:eastAsia="zh-CN"/>
              </w:rPr>
              <w:t>9</w:t>
            </w:r>
            <w:r>
              <w:rPr>
                <w:rFonts w:hint="eastAsia" w:ascii="Arial" w:hAnsi="Arial" w:cs="Arial"/>
                <w:sz w:val="16"/>
                <w:szCs w:val="18"/>
                <w:highlight w:val="none"/>
              </w:rPr>
              <w:t>0</w:t>
            </w:r>
            <w:r>
              <w:rPr>
                <w:rFonts w:ascii="Arial" w:hAnsi="Arial" w:cs="Arial"/>
                <w:sz w:val="16"/>
                <w:szCs w:val="18"/>
                <w:highlight w:val="none"/>
              </w:rPr>
              <w:t>%</w:t>
            </w:r>
          </w:p>
        </w:tc>
        <w:tc>
          <w:tcPr>
            <w:tcW w:w="968" w:type="pct"/>
            <w:tcBorders>
              <w:top w:val="single" w:color="auto" w:sz="4" w:space="0"/>
              <w:left w:val="nil"/>
              <w:bottom w:val="single" w:color="auto" w:sz="4" w:space="0"/>
              <w:right w:val="single" w:color="auto" w:sz="4" w:space="0"/>
            </w:tcBorders>
            <w:vAlign w:val="center"/>
          </w:tcPr>
          <w:p w14:paraId="6C37612D">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lang w:val="en-US" w:eastAsia="zh-CN"/>
              </w:rPr>
              <w:t>8</w:t>
            </w:r>
            <w:r>
              <w:rPr>
                <w:rFonts w:ascii="Arial" w:hAnsi="Arial" w:cs="Arial"/>
                <w:sz w:val="16"/>
                <w:szCs w:val="18"/>
                <w:highlight w:val="none"/>
              </w:rPr>
              <w:t>0-</w:t>
            </w:r>
            <w:r>
              <w:rPr>
                <w:rFonts w:hint="eastAsia" w:ascii="Arial" w:hAnsi="Arial" w:cs="Arial"/>
                <w:sz w:val="16"/>
                <w:szCs w:val="18"/>
                <w:highlight w:val="none"/>
                <w:lang w:val="en-US" w:eastAsia="zh-CN"/>
              </w:rPr>
              <w:t>9</w:t>
            </w:r>
            <w:r>
              <w:rPr>
                <w:rFonts w:hint="eastAsia" w:ascii="Arial" w:hAnsi="Arial" w:cs="Arial"/>
                <w:sz w:val="16"/>
                <w:szCs w:val="18"/>
                <w:highlight w:val="none"/>
              </w:rPr>
              <w:t>0</w:t>
            </w:r>
            <w:r>
              <w:rPr>
                <w:rFonts w:ascii="Arial" w:hAnsi="Arial" w:cs="Arial"/>
                <w:sz w:val="16"/>
                <w:szCs w:val="18"/>
                <w:highlight w:val="none"/>
              </w:rPr>
              <w:t>%</w:t>
            </w:r>
          </w:p>
        </w:tc>
        <w:tc>
          <w:tcPr>
            <w:tcW w:w="970" w:type="pct"/>
            <w:tcBorders>
              <w:top w:val="single" w:color="auto" w:sz="4" w:space="0"/>
              <w:left w:val="nil"/>
              <w:bottom w:val="single" w:color="auto" w:sz="4" w:space="0"/>
              <w:right w:val="single" w:color="auto" w:sz="4" w:space="0"/>
            </w:tcBorders>
            <w:vAlign w:val="center"/>
          </w:tcPr>
          <w:p w14:paraId="2397DA95">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lang w:val="en-US" w:eastAsia="zh-CN"/>
              </w:rPr>
              <w:t>8</w:t>
            </w:r>
            <w:r>
              <w:rPr>
                <w:rFonts w:ascii="Arial" w:hAnsi="Arial" w:cs="Arial"/>
                <w:sz w:val="16"/>
                <w:szCs w:val="18"/>
                <w:highlight w:val="none"/>
              </w:rPr>
              <w:t>0-</w:t>
            </w:r>
            <w:r>
              <w:rPr>
                <w:rFonts w:hint="eastAsia" w:ascii="Arial" w:hAnsi="Arial" w:cs="Arial"/>
                <w:sz w:val="16"/>
                <w:szCs w:val="18"/>
                <w:highlight w:val="none"/>
                <w:lang w:val="en-US" w:eastAsia="zh-CN"/>
              </w:rPr>
              <w:t>9</w:t>
            </w:r>
            <w:r>
              <w:rPr>
                <w:rFonts w:hint="eastAsia" w:ascii="Arial" w:hAnsi="Arial" w:cs="Arial"/>
                <w:sz w:val="16"/>
                <w:szCs w:val="18"/>
                <w:highlight w:val="none"/>
              </w:rPr>
              <w:t>0</w:t>
            </w:r>
            <w:r>
              <w:rPr>
                <w:rFonts w:ascii="Arial" w:hAnsi="Arial" w:cs="Arial"/>
                <w:sz w:val="16"/>
                <w:szCs w:val="18"/>
                <w:highlight w:val="none"/>
              </w:rPr>
              <w:t>%</w:t>
            </w:r>
          </w:p>
        </w:tc>
      </w:tr>
      <w:tr w14:paraId="7F48A60D">
        <w:tblPrEx>
          <w:tblCellMar>
            <w:top w:w="0" w:type="dxa"/>
            <w:left w:w="108" w:type="dxa"/>
            <w:bottom w:w="0" w:type="dxa"/>
            <w:right w:w="108" w:type="dxa"/>
          </w:tblCellMar>
        </w:tblPrEx>
        <w:trPr>
          <w:trHeight w:val="397" w:hRule="atLeast"/>
          <w:jc w:val="center"/>
        </w:trPr>
        <w:tc>
          <w:tcPr>
            <w:tcW w:w="365" w:type="pct"/>
            <w:vMerge w:val="continue"/>
            <w:tcBorders>
              <w:left w:val="single" w:color="auto" w:sz="4" w:space="0"/>
              <w:bottom w:val="single" w:color="auto" w:sz="4" w:space="0"/>
              <w:right w:val="single" w:color="auto" w:sz="4" w:space="0"/>
            </w:tcBorders>
            <w:vAlign w:val="center"/>
          </w:tcPr>
          <w:p w14:paraId="6310078F">
            <w:pPr>
              <w:widowControl/>
              <w:adjustRightInd/>
              <w:spacing w:line="240" w:lineRule="auto"/>
              <w:jc w:val="center"/>
              <w:textAlignment w:val="auto"/>
              <w:rPr>
                <w:rFonts w:ascii="Arial" w:hAnsi="Arial" w:cs="Arial"/>
                <w:sz w:val="16"/>
                <w:szCs w:val="18"/>
                <w:highlight w:val="none"/>
              </w:rPr>
            </w:pPr>
          </w:p>
        </w:tc>
        <w:tc>
          <w:tcPr>
            <w:tcW w:w="757" w:type="pct"/>
            <w:tcBorders>
              <w:top w:val="single" w:color="auto" w:sz="4" w:space="0"/>
              <w:left w:val="nil"/>
              <w:bottom w:val="single" w:color="auto" w:sz="4" w:space="0"/>
              <w:right w:val="single" w:color="auto" w:sz="4" w:space="0"/>
            </w:tcBorders>
            <w:vAlign w:val="center"/>
          </w:tcPr>
          <w:p w14:paraId="78FEDE06">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公共区域装修</w:t>
            </w:r>
          </w:p>
        </w:tc>
        <w:tc>
          <w:tcPr>
            <w:tcW w:w="968" w:type="pct"/>
            <w:tcBorders>
              <w:top w:val="single" w:color="auto" w:sz="4" w:space="0"/>
              <w:left w:val="nil"/>
              <w:bottom w:val="single" w:color="auto" w:sz="4" w:space="0"/>
              <w:right w:val="single" w:color="auto" w:sz="4" w:space="0"/>
            </w:tcBorders>
            <w:vAlign w:val="center"/>
          </w:tcPr>
          <w:p w14:paraId="64988DA7">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精装修</w:t>
            </w:r>
          </w:p>
        </w:tc>
        <w:tc>
          <w:tcPr>
            <w:tcW w:w="968" w:type="pct"/>
            <w:tcBorders>
              <w:top w:val="single" w:color="auto" w:sz="4" w:space="0"/>
              <w:left w:val="nil"/>
              <w:bottom w:val="single" w:color="auto" w:sz="4" w:space="0"/>
              <w:right w:val="single" w:color="auto" w:sz="4" w:space="0"/>
            </w:tcBorders>
            <w:vAlign w:val="center"/>
          </w:tcPr>
          <w:p w14:paraId="4B7F3B13">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精装修</w:t>
            </w:r>
          </w:p>
        </w:tc>
        <w:tc>
          <w:tcPr>
            <w:tcW w:w="968" w:type="pct"/>
            <w:tcBorders>
              <w:top w:val="single" w:color="auto" w:sz="4" w:space="0"/>
              <w:left w:val="nil"/>
              <w:bottom w:val="single" w:color="auto" w:sz="4" w:space="0"/>
              <w:right w:val="single" w:color="auto" w:sz="4" w:space="0"/>
            </w:tcBorders>
            <w:vAlign w:val="center"/>
          </w:tcPr>
          <w:p w14:paraId="6B0A27F5">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精装修</w:t>
            </w:r>
          </w:p>
        </w:tc>
        <w:tc>
          <w:tcPr>
            <w:tcW w:w="970" w:type="pct"/>
            <w:tcBorders>
              <w:top w:val="single" w:color="auto" w:sz="4" w:space="0"/>
              <w:left w:val="nil"/>
              <w:bottom w:val="single" w:color="auto" w:sz="4" w:space="0"/>
              <w:right w:val="single" w:color="auto" w:sz="4" w:space="0"/>
            </w:tcBorders>
            <w:vAlign w:val="center"/>
          </w:tcPr>
          <w:p w14:paraId="7FABDCF5">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精装修</w:t>
            </w:r>
          </w:p>
        </w:tc>
      </w:tr>
      <w:tr w14:paraId="22D803C9">
        <w:tblPrEx>
          <w:tblCellMar>
            <w:top w:w="0" w:type="dxa"/>
            <w:left w:w="108" w:type="dxa"/>
            <w:bottom w:w="0" w:type="dxa"/>
            <w:right w:w="108" w:type="dxa"/>
          </w:tblCellMar>
        </w:tblPrEx>
        <w:trPr>
          <w:trHeight w:val="397" w:hRule="atLeast"/>
          <w:jc w:val="center"/>
        </w:trPr>
        <w:tc>
          <w:tcPr>
            <w:tcW w:w="365" w:type="pct"/>
            <w:vMerge w:val="continue"/>
            <w:tcBorders>
              <w:left w:val="single" w:color="auto" w:sz="4" w:space="0"/>
              <w:bottom w:val="single" w:color="auto" w:sz="4" w:space="0"/>
              <w:right w:val="single" w:color="auto" w:sz="4" w:space="0"/>
            </w:tcBorders>
            <w:vAlign w:val="center"/>
          </w:tcPr>
          <w:p w14:paraId="21173517">
            <w:pPr>
              <w:widowControl/>
              <w:adjustRightInd/>
              <w:spacing w:line="240" w:lineRule="auto"/>
              <w:jc w:val="center"/>
              <w:textAlignment w:val="auto"/>
              <w:rPr>
                <w:rFonts w:ascii="Arial" w:hAnsi="Arial" w:cs="Arial"/>
                <w:sz w:val="16"/>
                <w:szCs w:val="18"/>
                <w:highlight w:val="none"/>
              </w:rPr>
            </w:pPr>
          </w:p>
        </w:tc>
        <w:tc>
          <w:tcPr>
            <w:tcW w:w="757" w:type="pct"/>
            <w:tcBorders>
              <w:top w:val="single" w:color="auto" w:sz="4" w:space="0"/>
              <w:left w:val="nil"/>
              <w:bottom w:val="single" w:color="auto" w:sz="4" w:space="0"/>
              <w:right w:val="single" w:color="auto" w:sz="4" w:space="0"/>
            </w:tcBorders>
            <w:vAlign w:val="center"/>
          </w:tcPr>
          <w:p w14:paraId="125C6A48">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室内装饰装修</w:t>
            </w:r>
          </w:p>
        </w:tc>
        <w:tc>
          <w:tcPr>
            <w:tcW w:w="968" w:type="pct"/>
            <w:tcBorders>
              <w:top w:val="single" w:color="auto" w:sz="4" w:space="0"/>
              <w:left w:val="nil"/>
              <w:bottom w:val="single" w:color="auto" w:sz="4" w:space="0"/>
              <w:right w:val="single" w:color="auto" w:sz="4" w:space="0"/>
            </w:tcBorders>
            <w:vAlign w:val="center"/>
          </w:tcPr>
          <w:p w14:paraId="7E660519">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精装修</w:t>
            </w:r>
          </w:p>
        </w:tc>
        <w:tc>
          <w:tcPr>
            <w:tcW w:w="968" w:type="pct"/>
            <w:tcBorders>
              <w:top w:val="single" w:color="auto" w:sz="4" w:space="0"/>
              <w:left w:val="nil"/>
              <w:bottom w:val="single" w:color="auto" w:sz="4" w:space="0"/>
              <w:right w:val="single" w:color="auto" w:sz="4" w:space="0"/>
            </w:tcBorders>
            <w:vAlign w:val="center"/>
          </w:tcPr>
          <w:p w14:paraId="2ADE9216">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精装修</w:t>
            </w:r>
          </w:p>
        </w:tc>
        <w:tc>
          <w:tcPr>
            <w:tcW w:w="968" w:type="pct"/>
            <w:tcBorders>
              <w:top w:val="single" w:color="auto" w:sz="4" w:space="0"/>
              <w:left w:val="nil"/>
              <w:bottom w:val="single" w:color="auto" w:sz="4" w:space="0"/>
              <w:right w:val="single" w:color="auto" w:sz="4" w:space="0"/>
            </w:tcBorders>
            <w:vAlign w:val="center"/>
          </w:tcPr>
          <w:p w14:paraId="37970F2A">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精装修</w:t>
            </w:r>
          </w:p>
        </w:tc>
        <w:tc>
          <w:tcPr>
            <w:tcW w:w="970" w:type="pct"/>
            <w:tcBorders>
              <w:top w:val="single" w:color="auto" w:sz="4" w:space="0"/>
              <w:left w:val="nil"/>
              <w:bottom w:val="single" w:color="auto" w:sz="4" w:space="0"/>
              <w:right w:val="single" w:color="auto" w:sz="4" w:space="0"/>
            </w:tcBorders>
            <w:vAlign w:val="center"/>
          </w:tcPr>
          <w:p w14:paraId="392D8870">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简单装修</w:t>
            </w:r>
          </w:p>
        </w:tc>
      </w:tr>
      <w:tr w14:paraId="5FE5E866">
        <w:tblPrEx>
          <w:tblCellMar>
            <w:top w:w="0" w:type="dxa"/>
            <w:left w:w="108" w:type="dxa"/>
            <w:bottom w:w="0" w:type="dxa"/>
            <w:right w:w="108" w:type="dxa"/>
          </w:tblCellMar>
        </w:tblPrEx>
        <w:trPr>
          <w:trHeight w:val="397" w:hRule="atLeast"/>
          <w:jc w:val="center"/>
        </w:trPr>
        <w:tc>
          <w:tcPr>
            <w:tcW w:w="365" w:type="pct"/>
            <w:vMerge w:val="continue"/>
            <w:tcBorders>
              <w:left w:val="single" w:color="auto" w:sz="4" w:space="0"/>
              <w:bottom w:val="single" w:color="auto" w:sz="4" w:space="0"/>
              <w:right w:val="single" w:color="auto" w:sz="4" w:space="0"/>
            </w:tcBorders>
            <w:vAlign w:val="center"/>
          </w:tcPr>
          <w:p w14:paraId="5415FA5A">
            <w:pPr>
              <w:widowControl/>
              <w:adjustRightInd/>
              <w:spacing w:line="240" w:lineRule="auto"/>
              <w:jc w:val="center"/>
              <w:textAlignment w:val="auto"/>
              <w:rPr>
                <w:rFonts w:ascii="Arial" w:hAnsi="Arial" w:cs="Arial"/>
                <w:sz w:val="16"/>
                <w:szCs w:val="18"/>
                <w:highlight w:val="none"/>
              </w:rPr>
            </w:pPr>
          </w:p>
        </w:tc>
        <w:tc>
          <w:tcPr>
            <w:tcW w:w="757" w:type="pct"/>
            <w:tcBorders>
              <w:top w:val="single" w:color="auto" w:sz="4" w:space="0"/>
              <w:left w:val="nil"/>
              <w:bottom w:val="single" w:color="auto" w:sz="4" w:space="0"/>
              <w:right w:val="single" w:color="auto" w:sz="4" w:space="0"/>
            </w:tcBorders>
            <w:vAlign w:val="center"/>
          </w:tcPr>
          <w:p w14:paraId="6A3241B5">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设施设备</w:t>
            </w:r>
          </w:p>
        </w:tc>
        <w:tc>
          <w:tcPr>
            <w:tcW w:w="968" w:type="pct"/>
            <w:tcBorders>
              <w:top w:val="single" w:color="auto" w:sz="4" w:space="0"/>
              <w:left w:val="nil"/>
              <w:bottom w:val="single" w:color="auto" w:sz="4" w:space="0"/>
              <w:right w:val="single" w:color="auto" w:sz="4" w:space="0"/>
            </w:tcBorders>
            <w:vAlign w:val="center"/>
          </w:tcPr>
          <w:p w14:paraId="250FB5FD">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较完善</w:t>
            </w:r>
          </w:p>
        </w:tc>
        <w:tc>
          <w:tcPr>
            <w:tcW w:w="968" w:type="pct"/>
            <w:tcBorders>
              <w:top w:val="single" w:color="auto" w:sz="4" w:space="0"/>
              <w:left w:val="nil"/>
              <w:bottom w:val="single" w:color="auto" w:sz="4" w:space="0"/>
              <w:right w:val="single" w:color="auto" w:sz="4" w:space="0"/>
            </w:tcBorders>
            <w:vAlign w:val="center"/>
          </w:tcPr>
          <w:p w14:paraId="66C580B3">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较完善</w:t>
            </w:r>
          </w:p>
        </w:tc>
        <w:tc>
          <w:tcPr>
            <w:tcW w:w="968" w:type="pct"/>
            <w:tcBorders>
              <w:top w:val="single" w:color="auto" w:sz="4" w:space="0"/>
              <w:left w:val="nil"/>
              <w:bottom w:val="single" w:color="auto" w:sz="4" w:space="0"/>
              <w:right w:val="single" w:color="auto" w:sz="4" w:space="0"/>
            </w:tcBorders>
            <w:vAlign w:val="center"/>
          </w:tcPr>
          <w:p w14:paraId="41E75268">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较完善</w:t>
            </w:r>
          </w:p>
        </w:tc>
        <w:tc>
          <w:tcPr>
            <w:tcW w:w="970" w:type="pct"/>
            <w:tcBorders>
              <w:top w:val="single" w:color="auto" w:sz="4" w:space="0"/>
              <w:left w:val="nil"/>
              <w:bottom w:val="single" w:color="auto" w:sz="4" w:space="0"/>
              <w:right w:val="single" w:color="auto" w:sz="4" w:space="0"/>
            </w:tcBorders>
            <w:vAlign w:val="center"/>
          </w:tcPr>
          <w:p w14:paraId="62513187">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较完善</w:t>
            </w:r>
          </w:p>
        </w:tc>
      </w:tr>
      <w:tr w14:paraId="4DD43741">
        <w:tblPrEx>
          <w:tblCellMar>
            <w:top w:w="0" w:type="dxa"/>
            <w:left w:w="108" w:type="dxa"/>
            <w:bottom w:w="0" w:type="dxa"/>
            <w:right w:w="108" w:type="dxa"/>
          </w:tblCellMar>
        </w:tblPrEx>
        <w:trPr>
          <w:trHeight w:val="397" w:hRule="atLeast"/>
          <w:jc w:val="center"/>
        </w:trPr>
        <w:tc>
          <w:tcPr>
            <w:tcW w:w="365" w:type="pct"/>
            <w:vMerge w:val="continue"/>
            <w:tcBorders>
              <w:left w:val="single" w:color="auto" w:sz="4" w:space="0"/>
              <w:bottom w:val="single" w:color="auto" w:sz="4" w:space="0"/>
              <w:right w:val="single" w:color="auto" w:sz="4" w:space="0"/>
            </w:tcBorders>
            <w:vAlign w:val="center"/>
          </w:tcPr>
          <w:p w14:paraId="12118186">
            <w:pPr>
              <w:widowControl/>
              <w:adjustRightInd/>
              <w:spacing w:line="240" w:lineRule="auto"/>
              <w:jc w:val="center"/>
              <w:textAlignment w:val="auto"/>
              <w:rPr>
                <w:rFonts w:ascii="Arial" w:hAnsi="Arial" w:cs="Arial"/>
                <w:sz w:val="16"/>
                <w:szCs w:val="18"/>
                <w:highlight w:val="none"/>
              </w:rPr>
            </w:pPr>
          </w:p>
        </w:tc>
        <w:tc>
          <w:tcPr>
            <w:tcW w:w="757" w:type="pct"/>
            <w:tcBorders>
              <w:top w:val="single" w:color="auto" w:sz="4" w:space="0"/>
              <w:left w:val="nil"/>
              <w:bottom w:val="single" w:color="auto" w:sz="4" w:space="0"/>
              <w:right w:val="single" w:color="auto" w:sz="4" w:space="0"/>
            </w:tcBorders>
            <w:vAlign w:val="center"/>
          </w:tcPr>
          <w:p w14:paraId="44A2BDCF">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综合管理服务设施</w:t>
            </w:r>
          </w:p>
        </w:tc>
        <w:tc>
          <w:tcPr>
            <w:tcW w:w="968" w:type="pct"/>
            <w:tcBorders>
              <w:top w:val="single" w:color="auto" w:sz="4" w:space="0"/>
              <w:left w:val="nil"/>
              <w:bottom w:val="single" w:color="auto" w:sz="4" w:space="0"/>
              <w:right w:val="single" w:color="auto" w:sz="4" w:space="0"/>
            </w:tcBorders>
            <w:vAlign w:val="center"/>
          </w:tcPr>
          <w:p w14:paraId="325876A8">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有快递柜、垃圾分类收集点</w:t>
            </w:r>
          </w:p>
        </w:tc>
        <w:tc>
          <w:tcPr>
            <w:tcW w:w="968" w:type="pct"/>
            <w:tcBorders>
              <w:top w:val="single" w:color="auto" w:sz="4" w:space="0"/>
              <w:left w:val="nil"/>
              <w:bottom w:val="single" w:color="auto" w:sz="4" w:space="0"/>
              <w:right w:val="single" w:color="auto" w:sz="4" w:space="0"/>
            </w:tcBorders>
            <w:vAlign w:val="center"/>
          </w:tcPr>
          <w:p w14:paraId="06CCD750">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有快递柜、垃圾分类收集点</w:t>
            </w:r>
          </w:p>
        </w:tc>
        <w:tc>
          <w:tcPr>
            <w:tcW w:w="968" w:type="pct"/>
            <w:tcBorders>
              <w:top w:val="single" w:color="auto" w:sz="4" w:space="0"/>
              <w:left w:val="nil"/>
              <w:bottom w:val="single" w:color="auto" w:sz="4" w:space="0"/>
              <w:right w:val="single" w:color="auto" w:sz="4" w:space="0"/>
            </w:tcBorders>
            <w:vAlign w:val="center"/>
          </w:tcPr>
          <w:p w14:paraId="7B6CC817">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有快递柜、垃圾分类收集点</w:t>
            </w:r>
          </w:p>
        </w:tc>
        <w:tc>
          <w:tcPr>
            <w:tcW w:w="970" w:type="pct"/>
            <w:tcBorders>
              <w:top w:val="single" w:color="auto" w:sz="4" w:space="0"/>
              <w:left w:val="nil"/>
              <w:bottom w:val="single" w:color="auto" w:sz="4" w:space="0"/>
              <w:right w:val="single" w:color="auto" w:sz="4" w:space="0"/>
            </w:tcBorders>
            <w:vAlign w:val="center"/>
          </w:tcPr>
          <w:p w14:paraId="174504C2">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有快递柜、垃圾分类收集点</w:t>
            </w:r>
          </w:p>
        </w:tc>
      </w:tr>
      <w:tr w14:paraId="3A06E944">
        <w:tblPrEx>
          <w:tblCellMar>
            <w:top w:w="0" w:type="dxa"/>
            <w:left w:w="108" w:type="dxa"/>
            <w:bottom w:w="0" w:type="dxa"/>
            <w:right w:w="108" w:type="dxa"/>
          </w:tblCellMar>
        </w:tblPrEx>
        <w:trPr>
          <w:trHeight w:val="397" w:hRule="atLeast"/>
          <w:jc w:val="center"/>
        </w:trPr>
        <w:tc>
          <w:tcPr>
            <w:tcW w:w="365" w:type="pct"/>
            <w:vMerge w:val="continue"/>
            <w:tcBorders>
              <w:left w:val="single" w:color="auto" w:sz="4" w:space="0"/>
              <w:bottom w:val="single" w:color="auto" w:sz="4" w:space="0"/>
              <w:right w:val="single" w:color="auto" w:sz="4" w:space="0"/>
            </w:tcBorders>
            <w:vAlign w:val="center"/>
          </w:tcPr>
          <w:p w14:paraId="61589BF7">
            <w:pPr>
              <w:widowControl/>
              <w:adjustRightInd/>
              <w:spacing w:line="240" w:lineRule="auto"/>
              <w:jc w:val="center"/>
              <w:textAlignment w:val="auto"/>
              <w:rPr>
                <w:rFonts w:ascii="Arial" w:hAnsi="Arial" w:cs="Arial"/>
                <w:sz w:val="16"/>
                <w:szCs w:val="18"/>
                <w:highlight w:val="none"/>
              </w:rPr>
            </w:pPr>
          </w:p>
        </w:tc>
        <w:tc>
          <w:tcPr>
            <w:tcW w:w="757" w:type="pct"/>
            <w:tcBorders>
              <w:top w:val="single" w:color="auto" w:sz="4" w:space="0"/>
              <w:left w:val="nil"/>
              <w:bottom w:val="single" w:color="auto" w:sz="4" w:space="0"/>
              <w:right w:val="single" w:color="auto" w:sz="4" w:space="0"/>
            </w:tcBorders>
            <w:vAlign w:val="center"/>
          </w:tcPr>
          <w:p w14:paraId="1F644D64">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户型布局</w:t>
            </w:r>
          </w:p>
        </w:tc>
        <w:tc>
          <w:tcPr>
            <w:tcW w:w="968" w:type="pct"/>
            <w:tcBorders>
              <w:top w:val="single" w:color="auto" w:sz="4" w:space="0"/>
              <w:left w:val="nil"/>
              <w:bottom w:val="single" w:color="auto" w:sz="4" w:space="0"/>
              <w:right w:val="single" w:color="auto" w:sz="4" w:space="0"/>
            </w:tcBorders>
            <w:vAlign w:val="center"/>
          </w:tcPr>
          <w:p w14:paraId="65F9B610">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一居室</w:t>
            </w:r>
          </w:p>
        </w:tc>
        <w:tc>
          <w:tcPr>
            <w:tcW w:w="968" w:type="pct"/>
            <w:tcBorders>
              <w:top w:val="single" w:color="auto" w:sz="4" w:space="0"/>
              <w:left w:val="nil"/>
              <w:bottom w:val="single" w:color="auto" w:sz="4" w:space="0"/>
              <w:right w:val="single" w:color="auto" w:sz="4" w:space="0"/>
            </w:tcBorders>
            <w:vAlign w:val="center"/>
          </w:tcPr>
          <w:p w14:paraId="37CA819E">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一居室</w:t>
            </w:r>
          </w:p>
        </w:tc>
        <w:tc>
          <w:tcPr>
            <w:tcW w:w="968" w:type="pct"/>
            <w:tcBorders>
              <w:top w:val="single" w:color="auto" w:sz="4" w:space="0"/>
              <w:left w:val="nil"/>
              <w:bottom w:val="single" w:color="auto" w:sz="4" w:space="0"/>
              <w:right w:val="single" w:color="auto" w:sz="4" w:space="0"/>
            </w:tcBorders>
            <w:vAlign w:val="center"/>
          </w:tcPr>
          <w:p w14:paraId="6EDB6343">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lang w:val="en-US" w:eastAsia="zh-CN"/>
              </w:rPr>
              <w:t>两</w:t>
            </w:r>
            <w:r>
              <w:rPr>
                <w:rFonts w:hint="eastAsia" w:ascii="Arial" w:hAnsi="Arial" w:cs="Arial"/>
                <w:sz w:val="16"/>
                <w:szCs w:val="18"/>
                <w:highlight w:val="none"/>
              </w:rPr>
              <w:t>居室</w:t>
            </w:r>
          </w:p>
        </w:tc>
        <w:tc>
          <w:tcPr>
            <w:tcW w:w="970" w:type="pct"/>
            <w:tcBorders>
              <w:top w:val="single" w:color="auto" w:sz="4" w:space="0"/>
              <w:left w:val="nil"/>
              <w:bottom w:val="single" w:color="auto" w:sz="4" w:space="0"/>
              <w:right w:val="single" w:color="auto" w:sz="4" w:space="0"/>
            </w:tcBorders>
            <w:vAlign w:val="center"/>
          </w:tcPr>
          <w:p w14:paraId="717BEB83">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lang w:val="en-US" w:eastAsia="zh-CN"/>
              </w:rPr>
              <w:t>两</w:t>
            </w:r>
            <w:r>
              <w:rPr>
                <w:rFonts w:hint="eastAsia" w:ascii="Arial" w:hAnsi="Arial" w:cs="Arial"/>
                <w:sz w:val="16"/>
                <w:szCs w:val="18"/>
                <w:highlight w:val="none"/>
              </w:rPr>
              <w:t>居室</w:t>
            </w:r>
          </w:p>
        </w:tc>
      </w:tr>
      <w:tr w14:paraId="74A95D23">
        <w:tblPrEx>
          <w:tblCellMar>
            <w:top w:w="0" w:type="dxa"/>
            <w:left w:w="108" w:type="dxa"/>
            <w:bottom w:w="0" w:type="dxa"/>
            <w:right w:w="108" w:type="dxa"/>
          </w:tblCellMar>
        </w:tblPrEx>
        <w:trPr>
          <w:trHeight w:val="397" w:hRule="atLeast"/>
          <w:jc w:val="center"/>
        </w:trPr>
        <w:tc>
          <w:tcPr>
            <w:tcW w:w="365" w:type="pct"/>
            <w:vMerge w:val="continue"/>
            <w:tcBorders>
              <w:left w:val="single" w:color="auto" w:sz="4" w:space="0"/>
              <w:bottom w:val="single" w:color="auto" w:sz="4" w:space="0"/>
              <w:right w:val="single" w:color="auto" w:sz="4" w:space="0"/>
            </w:tcBorders>
            <w:vAlign w:val="center"/>
          </w:tcPr>
          <w:p w14:paraId="362FA61A">
            <w:pPr>
              <w:widowControl/>
              <w:adjustRightInd/>
              <w:spacing w:line="240" w:lineRule="auto"/>
              <w:jc w:val="center"/>
              <w:textAlignment w:val="auto"/>
              <w:rPr>
                <w:rFonts w:ascii="Arial" w:hAnsi="Arial" w:cs="Arial"/>
                <w:sz w:val="16"/>
                <w:szCs w:val="18"/>
                <w:highlight w:val="none"/>
              </w:rPr>
            </w:pPr>
          </w:p>
        </w:tc>
        <w:tc>
          <w:tcPr>
            <w:tcW w:w="757" w:type="pct"/>
            <w:tcBorders>
              <w:top w:val="single" w:color="auto" w:sz="4" w:space="0"/>
              <w:left w:val="nil"/>
              <w:bottom w:val="single" w:color="auto" w:sz="4" w:space="0"/>
              <w:right w:val="single" w:color="auto" w:sz="4" w:space="0"/>
            </w:tcBorders>
            <w:vAlign w:val="center"/>
          </w:tcPr>
          <w:p w14:paraId="5D040976">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户型结构</w:t>
            </w:r>
          </w:p>
        </w:tc>
        <w:tc>
          <w:tcPr>
            <w:tcW w:w="968" w:type="pct"/>
            <w:tcBorders>
              <w:top w:val="single" w:color="auto" w:sz="4" w:space="0"/>
              <w:left w:val="nil"/>
              <w:bottom w:val="single" w:color="auto" w:sz="4" w:space="0"/>
              <w:right w:val="single" w:color="auto" w:sz="4" w:space="0"/>
            </w:tcBorders>
            <w:vAlign w:val="center"/>
          </w:tcPr>
          <w:p w14:paraId="7EEBE1C9">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平层</w:t>
            </w:r>
          </w:p>
        </w:tc>
        <w:tc>
          <w:tcPr>
            <w:tcW w:w="968" w:type="pct"/>
            <w:tcBorders>
              <w:top w:val="single" w:color="auto" w:sz="4" w:space="0"/>
              <w:left w:val="nil"/>
              <w:bottom w:val="single" w:color="auto" w:sz="4" w:space="0"/>
              <w:right w:val="single" w:color="auto" w:sz="4" w:space="0"/>
            </w:tcBorders>
            <w:vAlign w:val="center"/>
          </w:tcPr>
          <w:p w14:paraId="3A41C7C4">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平层</w:t>
            </w:r>
          </w:p>
        </w:tc>
        <w:tc>
          <w:tcPr>
            <w:tcW w:w="968" w:type="pct"/>
            <w:tcBorders>
              <w:top w:val="single" w:color="auto" w:sz="4" w:space="0"/>
              <w:left w:val="nil"/>
              <w:bottom w:val="single" w:color="auto" w:sz="4" w:space="0"/>
              <w:right w:val="single" w:color="auto" w:sz="4" w:space="0"/>
            </w:tcBorders>
            <w:vAlign w:val="center"/>
          </w:tcPr>
          <w:p w14:paraId="08998BD7">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平层</w:t>
            </w:r>
          </w:p>
        </w:tc>
        <w:tc>
          <w:tcPr>
            <w:tcW w:w="970" w:type="pct"/>
            <w:tcBorders>
              <w:top w:val="single" w:color="auto" w:sz="4" w:space="0"/>
              <w:left w:val="nil"/>
              <w:bottom w:val="single" w:color="auto" w:sz="4" w:space="0"/>
              <w:right w:val="single" w:color="auto" w:sz="4" w:space="0"/>
            </w:tcBorders>
            <w:vAlign w:val="center"/>
          </w:tcPr>
          <w:p w14:paraId="05965E39">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平层</w:t>
            </w:r>
          </w:p>
        </w:tc>
      </w:tr>
      <w:tr w14:paraId="407E677D">
        <w:tblPrEx>
          <w:tblCellMar>
            <w:top w:w="0" w:type="dxa"/>
            <w:left w:w="108" w:type="dxa"/>
            <w:bottom w:w="0" w:type="dxa"/>
            <w:right w:w="108" w:type="dxa"/>
          </w:tblCellMar>
        </w:tblPrEx>
        <w:trPr>
          <w:trHeight w:val="397" w:hRule="atLeast"/>
          <w:jc w:val="center"/>
        </w:trPr>
        <w:tc>
          <w:tcPr>
            <w:tcW w:w="365" w:type="pct"/>
            <w:vMerge w:val="continue"/>
            <w:tcBorders>
              <w:left w:val="single" w:color="auto" w:sz="4" w:space="0"/>
              <w:bottom w:val="single" w:color="auto" w:sz="4" w:space="0"/>
              <w:right w:val="single" w:color="auto" w:sz="4" w:space="0"/>
            </w:tcBorders>
            <w:vAlign w:val="center"/>
          </w:tcPr>
          <w:p w14:paraId="2066FCE8">
            <w:pPr>
              <w:widowControl/>
              <w:adjustRightInd/>
              <w:spacing w:line="240" w:lineRule="auto"/>
              <w:jc w:val="center"/>
              <w:textAlignment w:val="auto"/>
              <w:rPr>
                <w:rFonts w:ascii="Arial" w:hAnsi="Arial" w:cs="Arial"/>
                <w:sz w:val="16"/>
                <w:szCs w:val="18"/>
                <w:highlight w:val="none"/>
              </w:rPr>
            </w:pPr>
          </w:p>
        </w:tc>
        <w:tc>
          <w:tcPr>
            <w:tcW w:w="757" w:type="pct"/>
            <w:tcBorders>
              <w:top w:val="single" w:color="auto" w:sz="4" w:space="0"/>
              <w:left w:val="nil"/>
              <w:bottom w:val="single" w:color="auto" w:sz="4" w:space="0"/>
              <w:right w:val="single" w:color="auto" w:sz="4" w:space="0"/>
            </w:tcBorders>
            <w:vAlign w:val="center"/>
          </w:tcPr>
          <w:p w14:paraId="2A01070E">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建筑面积（㎡）</w:t>
            </w:r>
          </w:p>
        </w:tc>
        <w:tc>
          <w:tcPr>
            <w:tcW w:w="968" w:type="pct"/>
            <w:tcBorders>
              <w:top w:val="single" w:color="auto" w:sz="4" w:space="0"/>
              <w:left w:val="nil"/>
              <w:bottom w:val="single" w:color="auto" w:sz="4" w:space="0"/>
              <w:right w:val="single" w:color="auto" w:sz="4" w:space="0"/>
            </w:tcBorders>
            <w:vAlign w:val="center"/>
          </w:tcPr>
          <w:p w14:paraId="04787576">
            <w:pPr>
              <w:widowControl/>
              <w:adjustRightInd/>
              <w:spacing w:line="240" w:lineRule="auto"/>
              <w:jc w:val="center"/>
              <w:textAlignment w:val="auto"/>
              <w:rPr>
                <w:rFonts w:hint="default" w:ascii="Arial" w:hAnsi="Arial" w:eastAsia="宋体" w:cs="Arial"/>
                <w:sz w:val="16"/>
                <w:szCs w:val="18"/>
                <w:highlight w:val="none"/>
                <w:lang w:val="en-US" w:eastAsia="zh-CN"/>
              </w:rPr>
            </w:pPr>
            <w:r>
              <w:rPr>
                <w:rFonts w:hint="eastAsia" w:ascii="Arial" w:hAnsi="Arial" w:cs="Arial"/>
                <w:sz w:val="16"/>
                <w:szCs w:val="18"/>
                <w:highlight w:val="none"/>
                <w:lang w:val="en-US" w:eastAsia="zh-CN"/>
              </w:rPr>
              <w:t>69.91</w:t>
            </w:r>
          </w:p>
        </w:tc>
        <w:tc>
          <w:tcPr>
            <w:tcW w:w="968" w:type="pct"/>
            <w:tcBorders>
              <w:top w:val="single" w:color="auto" w:sz="4" w:space="0"/>
              <w:left w:val="nil"/>
              <w:bottom w:val="single" w:color="auto" w:sz="4" w:space="0"/>
              <w:right w:val="single" w:color="auto" w:sz="4" w:space="0"/>
            </w:tcBorders>
            <w:vAlign w:val="center"/>
          </w:tcPr>
          <w:p w14:paraId="1C3EED63">
            <w:pPr>
              <w:widowControl/>
              <w:adjustRightInd/>
              <w:spacing w:line="240" w:lineRule="auto"/>
              <w:jc w:val="center"/>
              <w:textAlignment w:val="auto"/>
              <w:rPr>
                <w:rFonts w:hint="default" w:ascii="Arial" w:hAnsi="Arial" w:eastAsia="宋体" w:cs="Arial"/>
                <w:sz w:val="16"/>
                <w:szCs w:val="18"/>
                <w:highlight w:val="none"/>
                <w:lang w:val="en-US" w:eastAsia="zh-CN"/>
              </w:rPr>
            </w:pPr>
            <w:r>
              <w:rPr>
                <w:rFonts w:hint="eastAsia" w:ascii="Arial" w:hAnsi="Arial" w:cs="Arial"/>
                <w:sz w:val="16"/>
                <w:szCs w:val="18"/>
                <w:highlight w:val="none"/>
                <w:lang w:val="en-US" w:eastAsia="zh-CN"/>
              </w:rPr>
              <w:t>65.43</w:t>
            </w:r>
          </w:p>
        </w:tc>
        <w:tc>
          <w:tcPr>
            <w:tcW w:w="968" w:type="pct"/>
            <w:tcBorders>
              <w:top w:val="single" w:color="auto" w:sz="4" w:space="0"/>
              <w:left w:val="nil"/>
              <w:bottom w:val="single" w:color="auto" w:sz="4" w:space="0"/>
              <w:right w:val="single" w:color="auto" w:sz="4" w:space="0"/>
            </w:tcBorders>
            <w:vAlign w:val="center"/>
          </w:tcPr>
          <w:p w14:paraId="3525A750">
            <w:pPr>
              <w:widowControl/>
              <w:adjustRightInd/>
              <w:spacing w:line="240" w:lineRule="auto"/>
              <w:jc w:val="center"/>
              <w:textAlignment w:val="auto"/>
              <w:rPr>
                <w:rFonts w:hint="default" w:ascii="Arial" w:hAnsi="Arial" w:eastAsia="宋体" w:cs="Arial"/>
                <w:sz w:val="16"/>
                <w:szCs w:val="18"/>
                <w:highlight w:val="none"/>
                <w:lang w:val="en-US" w:eastAsia="zh-CN"/>
              </w:rPr>
            </w:pPr>
            <w:r>
              <w:rPr>
                <w:rFonts w:hint="eastAsia" w:ascii="Arial" w:hAnsi="Arial" w:cs="Arial"/>
                <w:sz w:val="16"/>
                <w:szCs w:val="18"/>
                <w:highlight w:val="none"/>
                <w:lang w:val="en-US" w:eastAsia="zh-CN"/>
              </w:rPr>
              <w:t>85.31</w:t>
            </w:r>
          </w:p>
        </w:tc>
        <w:tc>
          <w:tcPr>
            <w:tcW w:w="970" w:type="pct"/>
            <w:tcBorders>
              <w:top w:val="single" w:color="auto" w:sz="4" w:space="0"/>
              <w:left w:val="nil"/>
              <w:bottom w:val="single" w:color="auto" w:sz="4" w:space="0"/>
              <w:right w:val="single" w:color="auto" w:sz="4" w:space="0"/>
            </w:tcBorders>
            <w:vAlign w:val="center"/>
          </w:tcPr>
          <w:p w14:paraId="00907252">
            <w:pPr>
              <w:widowControl/>
              <w:adjustRightInd/>
              <w:spacing w:line="240" w:lineRule="auto"/>
              <w:jc w:val="center"/>
              <w:textAlignment w:val="auto"/>
              <w:rPr>
                <w:rFonts w:hint="default" w:ascii="Arial" w:hAnsi="Arial" w:eastAsia="宋体" w:cs="Arial"/>
                <w:sz w:val="16"/>
                <w:szCs w:val="18"/>
                <w:highlight w:val="none"/>
                <w:lang w:val="en-US" w:eastAsia="zh-CN"/>
              </w:rPr>
            </w:pPr>
            <w:r>
              <w:rPr>
                <w:rFonts w:hint="eastAsia" w:ascii="Arial" w:hAnsi="Arial" w:cs="Arial"/>
                <w:sz w:val="16"/>
                <w:szCs w:val="18"/>
                <w:highlight w:val="none"/>
                <w:lang w:val="en-US" w:eastAsia="zh-CN"/>
              </w:rPr>
              <w:t>87.39</w:t>
            </w:r>
          </w:p>
        </w:tc>
      </w:tr>
      <w:tr w14:paraId="5279A570">
        <w:tblPrEx>
          <w:tblCellMar>
            <w:top w:w="0" w:type="dxa"/>
            <w:left w:w="108" w:type="dxa"/>
            <w:bottom w:w="0" w:type="dxa"/>
            <w:right w:w="108" w:type="dxa"/>
          </w:tblCellMar>
        </w:tblPrEx>
        <w:trPr>
          <w:trHeight w:val="397" w:hRule="atLeast"/>
          <w:jc w:val="center"/>
        </w:trPr>
        <w:tc>
          <w:tcPr>
            <w:tcW w:w="365" w:type="pct"/>
            <w:vMerge w:val="continue"/>
            <w:tcBorders>
              <w:left w:val="single" w:color="auto" w:sz="4" w:space="0"/>
              <w:bottom w:val="single" w:color="auto" w:sz="4" w:space="0"/>
              <w:right w:val="single" w:color="auto" w:sz="4" w:space="0"/>
            </w:tcBorders>
            <w:vAlign w:val="center"/>
          </w:tcPr>
          <w:p w14:paraId="4C550CFD">
            <w:pPr>
              <w:widowControl/>
              <w:adjustRightInd/>
              <w:spacing w:line="240" w:lineRule="auto"/>
              <w:jc w:val="center"/>
              <w:textAlignment w:val="auto"/>
              <w:rPr>
                <w:rFonts w:ascii="Arial" w:hAnsi="Arial" w:cs="Arial"/>
                <w:sz w:val="16"/>
                <w:szCs w:val="18"/>
                <w:highlight w:val="none"/>
              </w:rPr>
            </w:pPr>
          </w:p>
        </w:tc>
        <w:tc>
          <w:tcPr>
            <w:tcW w:w="757" w:type="pct"/>
            <w:tcBorders>
              <w:top w:val="single" w:color="auto" w:sz="4" w:space="0"/>
              <w:left w:val="nil"/>
              <w:bottom w:val="single" w:color="auto" w:sz="4" w:space="0"/>
              <w:right w:val="single" w:color="auto" w:sz="4" w:space="0"/>
            </w:tcBorders>
            <w:vAlign w:val="center"/>
          </w:tcPr>
          <w:p w14:paraId="75E01E66">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家具家电</w:t>
            </w:r>
          </w:p>
        </w:tc>
        <w:tc>
          <w:tcPr>
            <w:tcW w:w="968" w:type="pct"/>
            <w:tcBorders>
              <w:top w:val="single" w:color="auto" w:sz="4" w:space="0"/>
              <w:left w:val="nil"/>
              <w:bottom w:val="single" w:color="auto" w:sz="4" w:space="0"/>
              <w:right w:val="single" w:color="auto" w:sz="4" w:space="0"/>
            </w:tcBorders>
            <w:vAlign w:val="center"/>
          </w:tcPr>
          <w:p w14:paraId="31FB1CC0">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配备家具、家电齐全；功能正常，质量有保证，好</w:t>
            </w:r>
          </w:p>
        </w:tc>
        <w:tc>
          <w:tcPr>
            <w:tcW w:w="968" w:type="pct"/>
            <w:tcBorders>
              <w:top w:val="single" w:color="auto" w:sz="4" w:space="0"/>
              <w:left w:val="nil"/>
              <w:bottom w:val="single" w:color="auto" w:sz="4" w:space="0"/>
              <w:right w:val="single" w:color="auto" w:sz="4" w:space="0"/>
            </w:tcBorders>
            <w:vAlign w:val="center"/>
          </w:tcPr>
          <w:p w14:paraId="098AC898">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配备家具、家电齐全；功能正常，质量有保证，好</w:t>
            </w:r>
          </w:p>
        </w:tc>
        <w:tc>
          <w:tcPr>
            <w:tcW w:w="968" w:type="pct"/>
            <w:tcBorders>
              <w:top w:val="single" w:color="auto" w:sz="4" w:space="0"/>
              <w:left w:val="nil"/>
              <w:bottom w:val="single" w:color="auto" w:sz="4" w:space="0"/>
              <w:right w:val="single" w:color="auto" w:sz="4" w:space="0"/>
            </w:tcBorders>
            <w:vAlign w:val="center"/>
          </w:tcPr>
          <w:p w14:paraId="2C3E36B4">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配备家具、家电齐全；功能正常，质量有保证，好</w:t>
            </w:r>
          </w:p>
        </w:tc>
        <w:tc>
          <w:tcPr>
            <w:tcW w:w="970" w:type="pct"/>
            <w:tcBorders>
              <w:top w:val="single" w:color="auto" w:sz="4" w:space="0"/>
              <w:left w:val="nil"/>
              <w:bottom w:val="single" w:color="auto" w:sz="4" w:space="0"/>
              <w:right w:val="single" w:color="auto" w:sz="4" w:space="0"/>
            </w:tcBorders>
            <w:vAlign w:val="center"/>
          </w:tcPr>
          <w:p w14:paraId="69C555CE">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配备家具、家电齐全；功能正常，质量有保证，好</w:t>
            </w:r>
          </w:p>
        </w:tc>
      </w:tr>
      <w:tr w14:paraId="38733886">
        <w:tblPrEx>
          <w:tblCellMar>
            <w:top w:w="0" w:type="dxa"/>
            <w:left w:w="108" w:type="dxa"/>
            <w:bottom w:w="0" w:type="dxa"/>
            <w:right w:w="108" w:type="dxa"/>
          </w:tblCellMar>
        </w:tblPrEx>
        <w:trPr>
          <w:trHeight w:val="397" w:hRule="atLeast"/>
          <w:jc w:val="center"/>
        </w:trPr>
        <w:tc>
          <w:tcPr>
            <w:tcW w:w="365" w:type="pct"/>
            <w:vMerge w:val="restart"/>
            <w:tcBorders>
              <w:left w:val="single" w:color="auto" w:sz="4" w:space="0"/>
              <w:bottom w:val="single" w:color="auto" w:sz="4" w:space="0"/>
              <w:right w:val="single" w:color="auto" w:sz="4" w:space="0"/>
            </w:tcBorders>
            <w:vAlign w:val="center"/>
          </w:tcPr>
          <w:p w14:paraId="1FCC9F38">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权益状况</w:t>
            </w:r>
          </w:p>
        </w:tc>
        <w:tc>
          <w:tcPr>
            <w:tcW w:w="757" w:type="pct"/>
            <w:tcBorders>
              <w:top w:val="single" w:color="auto" w:sz="4" w:space="0"/>
              <w:left w:val="nil"/>
              <w:bottom w:val="single" w:color="auto" w:sz="4" w:space="0"/>
              <w:right w:val="single" w:color="auto" w:sz="4" w:space="0"/>
            </w:tcBorders>
            <w:vAlign w:val="center"/>
          </w:tcPr>
          <w:p w14:paraId="0804DF8B">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服务及管理水平</w:t>
            </w:r>
          </w:p>
        </w:tc>
        <w:tc>
          <w:tcPr>
            <w:tcW w:w="968" w:type="pct"/>
            <w:tcBorders>
              <w:top w:val="single" w:color="auto" w:sz="4" w:space="0"/>
              <w:left w:val="nil"/>
              <w:bottom w:val="single" w:color="auto" w:sz="4" w:space="0"/>
              <w:right w:val="single" w:color="auto" w:sz="4" w:space="0"/>
            </w:tcBorders>
            <w:vAlign w:val="center"/>
          </w:tcPr>
          <w:p w14:paraId="3E0093D0">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普通物业管理，封闭式管理</w:t>
            </w:r>
          </w:p>
        </w:tc>
        <w:tc>
          <w:tcPr>
            <w:tcW w:w="968" w:type="pct"/>
            <w:tcBorders>
              <w:top w:val="single" w:color="auto" w:sz="4" w:space="0"/>
              <w:left w:val="nil"/>
              <w:bottom w:val="single" w:color="auto" w:sz="4" w:space="0"/>
              <w:right w:val="single" w:color="auto" w:sz="4" w:space="0"/>
            </w:tcBorders>
            <w:vAlign w:val="center"/>
          </w:tcPr>
          <w:p w14:paraId="373374DF">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普通物业管理，封闭式管理</w:t>
            </w:r>
          </w:p>
        </w:tc>
        <w:tc>
          <w:tcPr>
            <w:tcW w:w="968" w:type="pct"/>
            <w:tcBorders>
              <w:top w:val="single" w:color="auto" w:sz="4" w:space="0"/>
              <w:left w:val="nil"/>
              <w:bottom w:val="single" w:color="auto" w:sz="4" w:space="0"/>
              <w:right w:val="single" w:color="auto" w:sz="4" w:space="0"/>
            </w:tcBorders>
            <w:vAlign w:val="center"/>
          </w:tcPr>
          <w:p w14:paraId="4C174E7A">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普通物业管理，封闭式管理</w:t>
            </w:r>
          </w:p>
        </w:tc>
        <w:tc>
          <w:tcPr>
            <w:tcW w:w="970" w:type="pct"/>
            <w:tcBorders>
              <w:top w:val="single" w:color="auto" w:sz="4" w:space="0"/>
              <w:left w:val="nil"/>
              <w:bottom w:val="single" w:color="auto" w:sz="4" w:space="0"/>
              <w:right w:val="single" w:color="auto" w:sz="4" w:space="0"/>
            </w:tcBorders>
            <w:vAlign w:val="center"/>
          </w:tcPr>
          <w:p w14:paraId="352A7264">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普通物业管理，封闭式管理</w:t>
            </w:r>
          </w:p>
        </w:tc>
      </w:tr>
      <w:tr w14:paraId="1C72CFDB">
        <w:tblPrEx>
          <w:tblCellMar>
            <w:top w:w="0" w:type="dxa"/>
            <w:left w:w="108" w:type="dxa"/>
            <w:bottom w:w="0" w:type="dxa"/>
            <w:right w:w="108" w:type="dxa"/>
          </w:tblCellMar>
        </w:tblPrEx>
        <w:trPr>
          <w:trHeight w:val="397" w:hRule="atLeast"/>
          <w:jc w:val="center"/>
        </w:trPr>
        <w:tc>
          <w:tcPr>
            <w:tcW w:w="365" w:type="pct"/>
            <w:vMerge w:val="continue"/>
            <w:tcBorders>
              <w:left w:val="single" w:color="auto" w:sz="4" w:space="0"/>
              <w:bottom w:val="single" w:color="auto" w:sz="4" w:space="0"/>
              <w:right w:val="single" w:color="auto" w:sz="4" w:space="0"/>
            </w:tcBorders>
            <w:vAlign w:val="center"/>
          </w:tcPr>
          <w:p w14:paraId="374C507C">
            <w:pPr>
              <w:widowControl/>
              <w:adjustRightInd/>
              <w:spacing w:line="240" w:lineRule="auto"/>
              <w:jc w:val="center"/>
              <w:textAlignment w:val="auto"/>
              <w:rPr>
                <w:rFonts w:ascii="Arial" w:hAnsi="Arial" w:cs="Arial"/>
                <w:sz w:val="16"/>
                <w:szCs w:val="18"/>
                <w:highlight w:val="none"/>
              </w:rPr>
            </w:pPr>
          </w:p>
        </w:tc>
        <w:tc>
          <w:tcPr>
            <w:tcW w:w="757" w:type="pct"/>
            <w:tcBorders>
              <w:top w:val="single" w:color="auto" w:sz="4" w:space="0"/>
              <w:left w:val="nil"/>
              <w:bottom w:val="single" w:color="auto" w:sz="4" w:space="0"/>
              <w:right w:val="single" w:color="auto" w:sz="4" w:space="0"/>
            </w:tcBorders>
            <w:vAlign w:val="center"/>
          </w:tcPr>
          <w:p w14:paraId="05B87CCB">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水电气费执行标准</w:t>
            </w:r>
          </w:p>
        </w:tc>
        <w:tc>
          <w:tcPr>
            <w:tcW w:w="968" w:type="pct"/>
            <w:tcBorders>
              <w:top w:val="single" w:color="auto" w:sz="4" w:space="0"/>
              <w:left w:val="nil"/>
              <w:bottom w:val="single" w:color="auto" w:sz="4" w:space="0"/>
              <w:right w:val="single" w:color="auto" w:sz="4" w:space="0"/>
            </w:tcBorders>
            <w:vAlign w:val="center"/>
          </w:tcPr>
          <w:p w14:paraId="11981FC3">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民水民电</w:t>
            </w:r>
          </w:p>
        </w:tc>
        <w:tc>
          <w:tcPr>
            <w:tcW w:w="968" w:type="pct"/>
            <w:tcBorders>
              <w:top w:val="single" w:color="auto" w:sz="4" w:space="0"/>
              <w:left w:val="nil"/>
              <w:bottom w:val="single" w:color="auto" w:sz="4" w:space="0"/>
              <w:right w:val="single" w:color="auto" w:sz="4" w:space="0"/>
            </w:tcBorders>
            <w:vAlign w:val="center"/>
          </w:tcPr>
          <w:p w14:paraId="14072F2B">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民水民电</w:t>
            </w:r>
          </w:p>
        </w:tc>
        <w:tc>
          <w:tcPr>
            <w:tcW w:w="968" w:type="pct"/>
            <w:tcBorders>
              <w:top w:val="single" w:color="auto" w:sz="4" w:space="0"/>
              <w:left w:val="nil"/>
              <w:bottom w:val="single" w:color="auto" w:sz="4" w:space="0"/>
              <w:right w:val="single" w:color="auto" w:sz="4" w:space="0"/>
            </w:tcBorders>
            <w:vAlign w:val="center"/>
          </w:tcPr>
          <w:p w14:paraId="72A9485A">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民水民电</w:t>
            </w:r>
          </w:p>
        </w:tc>
        <w:tc>
          <w:tcPr>
            <w:tcW w:w="970" w:type="pct"/>
            <w:tcBorders>
              <w:top w:val="single" w:color="auto" w:sz="4" w:space="0"/>
              <w:left w:val="nil"/>
              <w:bottom w:val="single" w:color="auto" w:sz="4" w:space="0"/>
              <w:right w:val="single" w:color="auto" w:sz="4" w:space="0"/>
            </w:tcBorders>
            <w:vAlign w:val="center"/>
          </w:tcPr>
          <w:p w14:paraId="6349ACB0">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民水民电</w:t>
            </w:r>
          </w:p>
        </w:tc>
      </w:tr>
    </w:tbl>
    <w:p w14:paraId="0A6C9E16">
      <w:pPr>
        <w:overflowPunct w:val="0"/>
        <w:spacing w:line="480" w:lineRule="auto"/>
        <w:ind w:firstLine="420" w:firstLineChars="200"/>
        <w:jc w:val="center"/>
        <w:rPr>
          <w:rFonts w:ascii="Arial" w:hAnsi="Arial"/>
          <w:sz w:val="21"/>
          <w:szCs w:val="21"/>
          <w:highlight w:val="none"/>
        </w:rPr>
      </w:pPr>
    </w:p>
    <w:p w14:paraId="464A2312">
      <w:pPr>
        <w:overflowPunct w:val="0"/>
        <w:spacing w:line="480" w:lineRule="auto"/>
        <w:ind w:firstLine="420" w:firstLineChars="200"/>
        <w:jc w:val="center"/>
        <w:rPr>
          <w:rFonts w:ascii="Arial" w:hAnsi="Arial"/>
          <w:sz w:val="21"/>
          <w:szCs w:val="21"/>
          <w:highlight w:val="none"/>
        </w:rPr>
      </w:pPr>
    </w:p>
    <w:p w14:paraId="25304720">
      <w:pPr>
        <w:overflowPunct w:val="0"/>
        <w:spacing w:line="480" w:lineRule="auto"/>
        <w:ind w:firstLine="420" w:firstLineChars="200"/>
        <w:jc w:val="center"/>
        <w:rPr>
          <w:rFonts w:ascii="Arial" w:hAnsi="Arial"/>
          <w:sz w:val="21"/>
          <w:szCs w:val="21"/>
          <w:highlight w:val="none"/>
        </w:rPr>
      </w:pPr>
    </w:p>
    <w:p w14:paraId="48256B72">
      <w:pPr>
        <w:overflowPunct w:val="0"/>
        <w:spacing w:line="480" w:lineRule="auto"/>
        <w:ind w:firstLine="420" w:firstLineChars="200"/>
        <w:jc w:val="center"/>
        <w:rPr>
          <w:rFonts w:ascii="Arial" w:hAnsi="Arial"/>
          <w:sz w:val="21"/>
          <w:szCs w:val="21"/>
          <w:highlight w:val="none"/>
        </w:rPr>
      </w:pPr>
    </w:p>
    <w:p w14:paraId="5E97BF91">
      <w:pPr>
        <w:overflowPunct w:val="0"/>
        <w:spacing w:line="480" w:lineRule="auto"/>
        <w:ind w:firstLine="420" w:firstLineChars="200"/>
        <w:jc w:val="center"/>
        <w:rPr>
          <w:rFonts w:ascii="Arial" w:hAnsi="Arial"/>
          <w:sz w:val="21"/>
          <w:szCs w:val="21"/>
          <w:highlight w:val="none"/>
        </w:rPr>
      </w:pPr>
    </w:p>
    <w:p w14:paraId="7E9CFEA1">
      <w:pPr>
        <w:overflowPunct w:val="0"/>
        <w:spacing w:line="480" w:lineRule="auto"/>
        <w:ind w:firstLine="420" w:firstLineChars="200"/>
        <w:jc w:val="center"/>
        <w:rPr>
          <w:rFonts w:ascii="Arial" w:hAnsi="Arial"/>
          <w:sz w:val="21"/>
          <w:szCs w:val="21"/>
          <w:highlight w:val="none"/>
        </w:rPr>
      </w:pPr>
    </w:p>
    <w:p w14:paraId="67E16856">
      <w:pPr>
        <w:overflowPunct w:val="0"/>
        <w:spacing w:line="480" w:lineRule="auto"/>
        <w:ind w:firstLine="420" w:firstLineChars="200"/>
        <w:jc w:val="center"/>
        <w:rPr>
          <w:rFonts w:ascii="Arial" w:hAnsi="Arial"/>
          <w:sz w:val="21"/>
          <w:szCs w:val="21"/>
          <w:highlight w:val="none"/>
        </w:rPr>
      </w:pPr>
    </w:p>
    <w:p w14:paraId="4D6CA334">
      <w:pPr>
        <w:overflowPunct w:val="0"/>
        <w:spacing w:line="480" w:lineRule="auto"/>
        <w:ind w:firstLine="420" w:firstLineChars="200"/>
        <w:jc w:val="center"/>
        <w:rPr>
          <w:rFonts w:ascii="Arial" w:hAnsi="Arial"/>
          <w:sz w:val="21"/>
          <w:szCs w:val="21"/>
          <w:highlight w:val="none"/>
        </w:rPr>
      </w:pPr>
    </w:p>
    <w:p w14:paraId="5BBDD44F">
      <w:pPr>
        <w:overflowPunct w:val="0"/>
        <w:spacing w:line="480" w:lineRule="auto"/>
        <w:ind w:firstLine="420" w:firstLineChars="200"/>
        <w:jc w:val="center"/>
        <w:rPr>
          <w:rFonts w:ascii="Arial" w:hAnsi="Arial"/>
          <w:sz w:val="21"/>
          <w:szCs w:val="21"/>
          <w:highlight w:val="none"/>
        </w:rPr>
      </w:pPr>
    </w:p>
    <w:p w14:paraId="1C86D369">
      <w:pPr>
        <w:wordWrap w:val="0"/>
        <w:overflowPunct w:val="0"/>
        <w:spacing w:line="480" w:lineRule="auto"/>
        <w:rPr>
          <w:rFonts w:ascii="Arial" w:hAnsi="Arial"/>
          <w:sz w:val="21"/>
          <w:szCs w:val="21"/>
          <w:highlight w:val="none"/>
        </w:rPr>
      </w:pPr>
    </w:p>
    <w:p w14:paraId="7B692E85">
      <w:pPr>
        <w:wordWrap w:val="0"/>
        <w:overflowPunct w:val="0"/>
        <w:spacing w:line="480" w:lineRule="auto"/>
        <w:ind w:firstLine="420" w:firstLineChars="200"/>
        <w:rPr>
          <w:rFonts w:ascii="Arial" w:hAnsi="Arial"/>
          <w:sz w:val="21"/>
          <w:szCs w:val="21"/>
          <w:highlight w:val="none"/>
        </w:rPr>
      </w:pPr>
      <w:r>
        <w:rPr>
          <w:rFonts w:ascii="Arial" w:hAnsi="Arial"/>
          <w:sz w:val="21"/>
          <w:szCs w:val="21"/>
          <w:highlight w:val="none"/>
        </w:rPr>
        <w:br w:type="page"/>
      </w:r>
      <w:r>
        <w:rPr>
          <w:rFonts w:hint="eastAsia" w:ascii="Arial" w:hAnsi="Arial"/>
          <w:sz w:val="21"/>
          <w:szCs w:val="21"/>
          <w:highlight w:val="none"/>
        </w:rPr>
        <w:t>（2）</w:t>
      </w:r>
      <w:r>
        <w:rPr>
          <w:rFonts w:ascii="Arial" w:hAnsi="Arial"/>
          <w:sz w:val="21"/>
          <w:szCs w:val="21"/>
          <w:highlight w:val="none"/>
        </w:rPr>
        <w:t xml:space="preserve"> </w:t>
      </w:r>
      <w:r>
        <w:rPr>
          <w:rFonts w:hint="eastAsia" w:ascii="Arial" w:hAnsi="Arial"/>
          <w:sz w:val="21"/>
          <w:szCs w:val="21"/>
          <w:highlight w:val="none"/>
        </w:rPr>
        <w:t>建立比较因素条件指数表和因素比较修正系数表</w:t>
      </w:r>
      <w:r>
        <w:rPr>
          <w:rFonts w:ascii="Arial" w:hAnsi="Arial"/>
          <w:sz w:val="21"/>
          <w:szCs w:val="21"/>
          <w:highlight w:val="none"/>
        </w:rPr>
        <w:t xml:space="preserve"> </w:t>
      </w:r>
    </w:p>
    <w:p w14:paraId="0D2A9A2F">
      <w:pPr>
        <w:wordWrap w:val="0"/>
        <w:overflowPunct w:val="0"/>
        <w:spacing w:line="480" w:lineRule="auto"/>
        <w:ind w:firstLine="420" w:firstLineChars="200"/>
        <w:rPr>
          <w:rFonts w:ascii="Arial" w:hAnsi="Arial"/>
          <w:sz w:val="21"/>
          <w:szCs w:val="21"/>
          <w:highlight w:val="none"/>
        </w:rPr>
      </w:pPr>
      <w:r>
        <w:rPr>
          <w:rFonts w:ascii="Arial" w:hAnsi="Arial"/>
          <w:sz w:val="21"/>
          <w:szCs w:val="21"/>
          <w:highlight w:val="none"/>
        </w:rPr>
        <w:t>根据对估价对象和可比案例情况的分析，把各可比案例的自身状况按照参比因素分别与估价对象的相应状况进行比较，编制比较因素条件指数表。具体如下</w:t>
      </w:r>
      <w:r>
        <w:rPr>
          <w:rFonts w:hint="eastAsia" w:ascii="Arial" w:hAnsi="Arial"/>
          <w:sz w:val="21"/>
          <w:szCs w:val="21"/>
          <w:highlight w:val="none"/>
        </w:rPr>
        <w:t>：</w:t>
      </w:r>
    </w:p>
    <w:p w14:paraId="3669A5E9">
      <w:pPr>
        <w:overflowPunct w:val="0"/>
        <w:spacing w:line="480" w:lineRule="auto"/>
        <w:ind w:firstLine="420" w:firstLineChars="200"/>
        <w:jc w:val="center"/>
        <w:rPr>
          <w:rFonts w:ascii="Arial" w:hAnsi="Arial"/>
          <w:sz w:val="21"/>
          <w:szCs w:val="21"/>
          <w:highlight w:val="none"/>
        </w:rPr>
      </w:pPr>
      <w:r>
        <w:rPr>
          <w:rFonts w:hint="eastAsia" w:ascii="Arial" w:hAnsi="Arial"/>
          <w:sz w:val="21"/>
          <w:szCs w:val="21"/>
          <w:highlight w:val="none"/>
          <w:lang w:eastAsia="zh-CN"/>
        </w:rPr>
        <w:t>育新花园</w:t>
      </w:r>
      <w:r>
        <w:rPr>
          <w:rFonts w:ascii="Arial" w:hAnsi="Arial"/>
          <w:sz w:val="21"/>
          <w:szCs w:val="21"/>
          <w:highlight w:val="none"/>
        </w:rPr>
        <w:t>比较因素条件指数表</w:t>
      </w:r>
    </w:p>
    <w:tbl>
      <w:tblPr>
        <w:tblStyle w:val="33"/>
        <w:tblW w:w="4936" w:type="pct"/>
        <w:jc w:val="center"/>
        <w:tblLayout w:type="autofit"/>
        <w:tblCellMar>
          <w:top w:w="57" w:type="dxa"/>
          <w:left w:w="57" w:type="dxa"/>
          <w:bottom w:w="57" w:type="dxa"/>
          <w:right w:w="57" w:type="dxa"/>
        </w:tblCellMar>
      </w:tblPr>
      <w:tblGrid>
        <w:gridCol w:w="570"/>
        <w:gridCol w:w="996"/>
        <w:gridCol w:w="988"/>
        <w:gridCol w:w="988"/>
        <w:gridCol w:w="988"/>
        <w:gridCol w:w="988"/>
        <w:gridCol w:w="3775"/>
      </w:tblGrid>
      <w:tr w14:paraId="0D973B0D">
        <w:tblPrEx>
          <w:tblCellMar>
            <w:top w:w="57" w:type="dxa"/>
            <w:left w:w="57" w:type="dxa"/>
            <w:bottom w:w="57" w:type="dxa"/>
            <w:right w:w="57" w:type="dxa"/>
          </w:tblCellMar>
        </w:tblPrEx>
        <w:trPr>
          <w:trHeight w:val="20" w:hRule="atLeast"/>
          <w:tblHeader/>
          <w:jc w:val="center"/>
        </w:trPr>
        <w:tc>
          <w:tcPr>
            <w:tcW w:w="843" w:type="pct"/>
            <w:gridSpan w:val="2"/>
            <w:vMerge w:val="restart"/>
            <w:tcBorders>
              <w:top w:val="single" w:color="auto" w:sz="4" w:space="0"/>
              <w:left w:val="single" w:color="auto" w:sz="4" w:space="0"/>
              <w:bottom w:val="single" w:color="000000" w:sz="4" w:space="0"/>
              <w:right w:val="single" w:color="000000" w:sz="4" w:space="0"/>
              <w:tl2br w:val="single" w:color="auto" w:sz="4" w:space="0"/>
            </w:tcBorders>
            <w:vAlign w:val="center"/>
          </w:tcPr>
          <w:p w14:paraId="0E0EB543">
            <w:pPr>
              <w:snapToGrid w:val="0"/>
              <w:spacing w:line="240" w:lineRule="exact"/>
              <w:jc w:val="right"/>
              <w:rPr>
                <w:rFonts w:ascii="宋体" w:hAnsi="宋体" w:cs="Arial"/>
                <w:sz w:val="16"/>
                <w:szCs w:val="18"/>
                <w:highlight w:val="none"/>
              </w:rPr>
            </w:pPr>
            <w:r>
              <w:rPr>
                <w:rFonts w:ascii="宋体" w:hAnsi="宋体" w:cs="Arial"/>
                <w:sz w:val="16"/>
                <w:szCs w:val="18"/>
                <w:highlight w:val="none"/>
              </w:rPr>
              <w:t>估价对象及</w:t>
            </w:r>
          </w:p>
          <w:p w14:paraId="654C881B">
            <w:pPr>
              <w:snapToGrid w:val="0"/>
              <w:spacing w:line="240" w:lineRule="exact"/>
              <w:jc w:val="right"/>
              <w:rPr>
                <w:rFonts w:ascii="宋体" w:hAnsi="宋体" w:cs="Arial"/>
                <w:sz w:val="16"/>
                <w:szCs w:val="18"/>
                <w:highlight w:val="none"/>
              </w:rPr>
            </w:pPr>
            <w:r>
              <w:rPr>
                <w:rFonts w:ascii="宋体" w:hAnsi="宋体" w:cs="Arial"/>
                <w:sz w:val="16"/>
                <w:szCs w:val="18"/>
                <w:highlight w:val="none"/>
              </w:rPr>
              <w:t>可比实例</w:t>
            </w:r>
          </w:p>
          <w:p w14:paraId="440E5990">
            <w:pPr>
              <w:snapToGrid w:val="0"/>
              <w:spacing w:line="240" w:lineRule="exact"/>
              <w:jc w:val="both"/>
              <w:rPr>
                <w:rFonts w:ascii="宋体" w:hAnsi="宋体" w:cs="Arial"/>
                <w:sz w:val="16"/>
                <w:szCs w:val="18"/>
                <w:highlight w:val="none"/>
              </w:rPr>
            </w:pPr>
          </w:p>
          <w:p w14:paraId="758EB669">
            <w:pPr>
              <w:snapToGrid w:val="0"/>
              <w:spacing w:line="240" w:lineRule="exact"/>
              <w:jc w:val="both"/>
              <w:rPr>
                <w:rFonts w:ascii="宋体" w:hAnsi="宋体" w:cs="Arial"/>
                <w:sz w:val="16"/>
                <w:szCs w:val="18"/>
                <w:highlight w:val="none"/>
              </w:rPr>
            </w:pPr>
          </w:p>
          <w:p w14:paraId="7EF8D6D2">
            <w:pPr>
              <w:snapToGrid w:val="0"/>
              <w:spacing w:line="240" w:lineRule="exact"/>
              <w:jc w:val="both"/>
              <w:rPr>
                <w:rFonts w:ascii="宋体" w:hAnsi="宋体" w:cs="Arial"/>
                <w:sz w:val="16"/>
                <w:szCs w:val="18"/>
                <w:highlight w:val="none"/>
              </w:rPr>
            </w:pPr>
            <w:r>
              <w:rPr>
                <w:rFonts w:ascii="宋体" w:hAnsi="宋体" w:cs="Arial"/>
                <w:sz w:val="16"/>
                <w:szCs w:val="18"/>
                <w:highlight w:val="none"/>
              </w:rPr>
              <w:t>比较因素</w:t>
            </w:r>
          </w:p>
        </w:tc>
        <w:tc>
          <w:tcPr>
            <w:tcW w:w="531" w:type="pct"/>
            <w:tcBorders>
              <w:top w:val="single" w:color="auto" w:sz="4" w:space="0"/>
              <w:left w:val="nil"/>
              <w:bottom w:val="single" w:color="auto" w:sz="4" w:space="0"/>
              <w:right w:val="single" w:color="auto" w:sz="4" w:space="0"/>
            </w:tcBorders>
            <w:vAlign w:val="center"/>
          </w:tcPr>
          <w:p w14:paraId="2B564015">
            <w:pPr>
              <w:snapToGrid w:val="0"/>
              <w:spacing w:line="240" w:lineRule="exact"/>
              <w:jc w:val="both"/>
              <w:rPr>
                <w:rFonts w:ascii="宋体" w:hAnsi="宋体" w:cs="Arial"/>
                <w:sz w:val="16"/>
                <w:szCs w:val="18"/>
                <w:highlight w:val="none"/>
              </w:rPr>
            </w:pPr>
            <w:r>
              <w:rPr>
                <w:rFonts w:ascii="宋体" w:hAnsi="宋体" w:cs="Arial"/>
                <w:sz w:val="16"/>
                <w:szCs w:val="18"/>
                <w:highlight w:val="none"/>
              </w:rPr>
              <w:t>估价对象</w:t>
            </w:r>
          </w:p>
        </w:tc>
        <w:tc>
          <w:tcPr>
            <w:tcW w:w="531" w:type="pct"/>
            <w:tcBorders>
              <w:top w:val="single" w:color="auto" w:sz="4" w:space="0"/>
              <w:left w:val="nil"/>
              <w:bottom w:val="single" w:color="auto" w:sz="4" w:space="0"/>
              <w:right w:val="single" w:color="auto" w:sz="4" w:space="0"/>
            </w:tcBorders>
            <w:vAlign w:val="center"/>
          </w:tcPr>
          <w:p w14:paraId="26E540F8">
            <w:pPr>
              <w:snapToGrid w:val="0"/>
              <w:spacing w:line="240" w:lineRule="exact"/>
              <w:jc w:val="both"/>
              <w:rPr>
                <w:rFonts w:ascii="宋体" w:hAnsi="宋体" w:cs="Arial"/>
                <w:sz w:val="16"/>
                <w:szCs w:val="18"/>
                <w:highlight w:val="none"/>
              </w:rPr>
            </w:pPr>
            <w:r>
              <w:rPr>
                <w:rFonts w:ascii="宋体" w:hAnsi="宋体" w:cs="Arial"/>
                <w:sz w:val="16"/>
                <w:szCs w:val="18"/>
                <w:highlight w:val="none"/>
              </w:rPr>
              <w:t>可比实例1</w:t>
            </w:r>
          </w:p>
        </w:tc>
        <w:tc>
          <w:tcPr>
            <w:tcW w:w="531" w:type="pct"/>
            <w:tcBorders>
              <w:top w:val="single" w:color="auto" w:sz="4" w:space="0"/>
              <w:left w:val="nil"/>
              <w:bottom w:val="single" w:color="auto" w:sz="4" w:space="0"/>
              <w:right w:val="single" w:color="auto" w:sz="4" w:space="0"/>
            </w:tcBorders>
            <w:vAlign w:val="center"/>
          </w:tcPr>
          <w:p w14:paraId="43FA2DAE">
            <w:pPr>
              <w:snapToGrid w:val="0"/>
              <w:spacing w:line="240" w:lineRule="exact"/>
              <w:jc w:val="both"/>
              <w:rPr>
                <w:rFonts w:ascii="宋体" w:hAnsi="宋体" w:cs="Arial"/>
                <w:sz w:val="16"/>
                <w:szCs w:val="18"/>
                <w:highlight w:val="none"/>
              </w:rPr>
            </w:pPr>
            <w:r>
              <w:rPr>
                <w:rFonts w:ascii="宋体" w:hAnsi="宋体" w:cs="Arial"/>
                <w:sz w:val="16"/>
                <w:szCs w:val="18"/>
                <w:highlight w:val="none"/>
              </w:rPr>
              <w:t>可比实例2</w:t>
            </w:r>
          </w:p>
        </w:tc>
        <w:tc>
          <w:tcPr>
            <w:tcW w:w="531" w:type="pct"/>
            <w:tcBorders>
              <w:top w:val="single" w:color="auto" w:sz="4" w:space="0"/>
              <w:left w:val="nil"/>
              <w:bottom w:val="single" w:color="auto" w:sz="4" w:space="0"/>
              <w:right w:val="single" w:color="auto" w:sz="4" w:space="0"/>
            </w:tcBorders>
            <w:vAlign w:val="center"/>
          </w:tcPr>
          <w:p w14:paraId="6FB73FE7">
            <w:pPr>
              <w:snapToGrid w:val="0"/>
              <w:spacing w:line="240" w:lineRule="exact"/>
              <w:jc w:val="both"/>
              <w:rPr>
                <w:rFonts w:ascii="宋体" w:hAnsi="宋体" w:cs="Arial"/>
                <w:sz w:val="16"/>
                <w:szCs w:val="18"/>
                <w:highlight w:val="none"/>
              </w:rPr>
            </w:pPr>
            <w:r>
              <w:rPr>
                <w:rFonts w:ascii="宋体" w:hAnsi="宋体" w:cs="Arial"/>
                <w:sz w:val="16"/>
                <w:szCs w:val="18"/>
                <w:highlight w:val="none"/>
              </w:rPr>
              <w:t>可比实例3</w:t>
            </w:r>
          </w:p>
        </w:tc>
        <w:tc>
          <w:tcPr>
            <w:tcW w:w="2030" w:type="pct"/>
            <w:tcBorders>
              <w:top w:val="single" w:color="auto" w:sz="4" w:space="0"/>
              <w:left w:val="nil"/>
              <w:bottom w:val="single" w:color="auto" w:sz="4" w:space="0"/>
              <w:right w:val="single" w:color="auto" w:sz="4" w:space="0"/>
            </w:tcBorders>
            <w:vAlign w:val="center"/>
          </w:tcPr>
          <w:p w14:paraId="641B7CFF">
            <w:pPr>
              <w:snapToGrid w:val="0"/>
              <w:spacing w:line="240" w:lineRule="exact"/>
              <w:jc w:val="both"/>
              <w:rPr>
                <w:rFonts w:ascii="宋体" w:hAnsi="宋体" w:cs="Arial"/>
                <w:sz w:val="16"/>
                <w:szCs w:val="18"/>
                <w:highlight w:val="none"/>
              </w:rPr>
            </w:pPr>
            <w:r>
              <w:rPr>
                <w:rFonts w:ascii="宋体" w:hAnsi="宋体" w:cs="Arial"/>
                <w:sz w:val="16"/>
                <w:szCs w:val="18"/>
                <w:highlight w:val="none"/>
              </w:rPr>
              <w:t>比较因素调整说明</w:t>
            </w:r>
          </w:p>
        </w:tc>
      </w:tr>
      <w:tr w14:paraId="0B07E99D">
        <w:tblPrEx>
          <w:tblCellMar>
            <w:top w:w="57" w:type="dxa"/>
            <w:left w:w="57" w:type="dxa"/>
            <w:bottom w:w="57" w:type="dxa"/>
            <w:right w:w="57" w:type="dxa"/>
          </w:tblCellMar>
        </w:tblPrEx>
        <w:trPr>
          <w:trHeight w:val="20" w:hRule="atLeast"/>
          <w:tblHeader/>
          <w:jc w:val="center"/>
        </w:trPr>
        <w:tc>
          <w:tcPr>
            <w:tcW w:w="843" w:type="pct"/>
            <w:gridSpan w:val="2"/>
            <w:vMerge w:val="continue"/>
            <w:tcBorders>
              <w:top w:val="single" w:color="auto" w:sz="4" w:space="0"/>
              <w:left w:val="single" w:color="auto" w:sz="4" w:space="0"/>
              <w:bottom w:val="single" w:color="000000" w:sz="4" w:space="0"/>
              <w:right w:val="single" w:color="000000" w:sz="4" w:space="0"/>
            </w:tcBorders>
            <w:vAlign w:val="center"/>
          </w:tcPr>
          <w:p w14:paraId="7DC11139">
            <w:pPr>
              <w:snapToGrid w:val="0"/>
              <w:spacing w:line="240" w:lineRule="exact"/>
              <w:jc w:val="both"/>
              <w:rPr>
                <w:rFonts w:ascii="宋体" w:hAnsi="宋体" w:cs="Arial"/>
                <w:sz w:val="16"/>
                <w:szCs w:val="18"/>
                <w:highlight w:val="none"/>
              </w:rPr>
            </w:pPr>
          </w:p>
        </w:tc>
        <w:tc>
          <w:tcPr>
            <w:tcW w:w="531" w:type="pct"/>
            <w:tcBorders>
              <w:top w:val="nil"/>
              <w:left w:val="nil"/>
              <w:bottom w:val="single" w:color="auto" w:sz="4" w:space="0"/>
              <w:right w:val="single" w:color="auto" w:sz="4" w:space="0"/>
            </w:tcBorders>
            <w:vAlign w:val="center"/>
          </w:tcPr>
          <w:p w14:paraId="72BEBE0D">
            <w:pPr>
              <w:pStyle w:val="61"/>
              <w:autoSpaceDE w:val="0"/>
              <w:autoSpaceDN w:val="0"/>
              <w:spacing w:line="240" w:lineRule="exact"/>
              <w:textAlignment w:val="bottom"/>
              <w:rPr>
                <w:rFonts w:hint="eastAsia" w:ascii="Arial" w:hAnsi="Arial" w:eastAsia="宋体" w:cs="Arial"/>
                <w:sz w:val="16"/>
                <w:szCs w:val="18"/>
                <w:highlight w:val="none"/>
                <w:lang w:eastAsia="zh-CN"/>
              </w:rPr>
            </w:pPr>
            <w:r>
              <w:rPr>
                <w:rFonts w:hint="eastAsia" w:ascii="Arial" w:hAnsi="Arial" w:cs="Arial"/>
                <w:sz w:val="16"/>
                <w:szCs w:val="18"/>
                <w:highlight w:val="none"/>
                <w:lang w:eastAsia="zh-CN"/>
              </w:rPr>
              <w:t>育新花园</w:t>
            </w:r>
          </w:p>
        </w:tc>
        <w:tc>
          <w:tcPr>
            <w:tcW w:w="531" w:type="pct"/>
            <w:tcBorders>
              <w:top w:val="nil"/>
              <w:left w:val="nil"/>
              <w:bottom w:val="single" w:color="auto" w:sz="4" w:space="0"/>
              <w:right w:val="single" w:color="auto" w:sz="4" w:space="0"/>
            </w:tcBorders>
            <w:vAlign w:val="center"/>
          </w:tcPr>
          <w:p w14:paraId="1A8DECCA">
            <w:pPr>
              <w:widowControl/>
              <w:snapToGrid w:val="0"/>
              <w:spacing w:line="240" w:lineRule="exact"/>
              <w:jc w:val="center"/>
              <w:textAlignment w:val="center"/>
              <w:rPr>
                <w:rFonts w:ascii="Arial" w:hAnsi="Arial" w:cs="Arial"/>
                <w:sz w:val="16"/>
                <w:szCs w:val="18"/>
                <w:highlight w:val="none"/>
              </w:rPr>
            </w:pPr>
            <w:r>
              <w:rPr>
                <w:rFonts w:hint="eastAsia" w:ascii="Arial" w:hAnsi="Arial" w:cs="Arial"/>
                <w:sz w:val="16"/>
                <w:szCs w:val="18"/>
                <w:highlight w:val="none"/>
              </w:rPr>
              <w:t>恒盛波尔多小镇南区</w:t>
            </w:r>
          </w:p>
        </w:tc>
        <w:tc>
          <w:tcPr>
            <w:tcW w:w="531" w:type="pct"/>
            <w:tcBorders>
              <w:top w:val="nil"/>
              <w:left w:val="nil"/>
              <w:bottom w:val="single" w:color="auto" w:sz="4" w:space="0"/>
              <w:right w:val="single" w:color="auto" w:sz="4" w:space="0"/>
            </w:tcBorders>
            <w:vAlign w:val="center"/>
          </w:tcPr>
          <w:p w14:paraId="51C1C2CB">
            <w:pPr>
              <w:widowControl/>
              <w:snapToGrid w:val="0"/>
              <w:spacing w:line="240" w:lineRule="exact"/>
              <w:jc w:val="center"/>
              <w:textAlignment w:val="center"/>
              <w:rPr>
                <w:rFonts w:ascii="Arial" w:hAnsi="Arial" w:cs="Arial"/>
                <w:sz w:val="16"/>
                <w:szCs w:val="18"/>
                <w:highlight w:val="none"/>
              </w:rPr>
            </w:pPr>
            <w:r>
              <w:rPr>
                <w:rFonts w:hint="eastAsia" w:ascii="Arial" w:hAnsi="Arial" w:cs="Arial"/>
                <w:sz w:val="16"/>
                <w:szCs w:val="18"/>
                <w:highlight w:val="none"/>
              </w:rPr>
              <w:t>育新花园中里</w:t>
            </w:r>
          </w:p>
        </w:tc>
        <w:tc>
          <w:tcPr>
            <w:tcW w:w="531" w:type="pct"/>
            <w:tcBorders>
              <w:top w:val="nil"/>
              <w:left w:val="nil"/>
              <w:bottom w:val="single" w:color="auto" w:sz="4" w:space="0"/>
              <w:right w:val="single" w:color="auto" w:sz="4" w:space="0"/>
            </w:tcBorders>
            <w:vAlign w:val="center"/>
          </w:tcPr>
          <w:p w14:paraId="115AD58B">
            <w:pPr>
              <w:widowControl/>
              <w:snapToGrid w:val="0"/>
              <w:spacing w:line="240" w:lineRule="exact"/>
              <w:jc w:val="center"/>
              <w:textAlignment w:val="center"/>
              <w:rPr>
                <w:rFonts w:ascii="Arial" w:hAnsi="Arial" w:cs="Arial"/>
                <w:sz w:val="16"/>
                <w:szCs w:val="18"/>
                <w:highlight w:val="none"/>
              </w:rPr>
            </w:pPr>
            <w:r>
              <w:rPr>
                <w:rFonts w:hint="eastAsia" w:ascii="Arial" w:hAnsi="Arial" w:cs="Arial"/>
                <w:sz w:val="16"/>
                <w:szCs w:val="18"/>
                <w:highlight w:val="none"/>
              </w:rPr>
              <w:t>育新花园</w:t>
            </w:r>
            <w:r>
              <w:rPr>
                <w:rFonts w:hint="eastAsia" w:ascii="Arial" w:hAnsi="Arial" w:cs="Arial"/>
                <w:sz w:val="16"/>
                <w:szCs w:val="18"/>
                <w:highlight w:val="none"/>
                <w:lang w:val="en-US" w:eastAsia="zh-CN"/>
              </w:rPr>
              <w:t>北</w:t>
            </w:r>
            <w:r>
              <w:rPr>
                <w:rFonts w:hint="eastAsia" w:ascii="Arial" w:hAnsi="Arial" w:cs="Arial"/>
                <w:sz w:val="16"/>
                <w:szCs w:val="18"/>
                <w:highlight w:val="none"/>
              </w:rPr>
              <w:t>里</w:t>
            </w:r>
          </w:p>
        </w:tc>
        <w:tc>
          <w:tcPr>
            <w:tcW w:w="2030" w:type="pct"/>
            <w:tcBorders>
              <w:top w:val="nil"/>
              <w:left w:val="nil"/>
              <w:bottom w:val="single" w:color="auto" w:sz="4" w:space="0"/>
              <w:right w:val="single" w:color="auto" w:sz="4" w:space="0"/>
            </w:tcBorders>
            <w:vAlign w:val="center"/>
          </w:tcPr>
          <w:p w14:paraId="64BEE945">
            <w:pPr>
              <w:snapToGrid w:val="0"/>
              <w:spacing w:line="240" w:lineRule="exact"/>
              <w:jc w:val="both"/>
              <w:rPr>
                <w:rFonts w:ascii="宋体" w:hAnsi="宋体" w:cs="Arial"/>
                <w:sz w:val="16"/>
                <w:szCs w:val="18"/>
                <w:highlight w:val="none"/>
              </w:rPr>
            </w:pPr>
            <w:r>
              <w:rPr>
                <w:rFonts w:ascii="宋体" w:hAnsi="宋体" w:cs="Arial"/>
                <w:sz w:val="16"/>
                <w:szCs w:val="18"/>
                <w:highlight w:val="none"/>
              </w:rPr>
              <w:t>——</w:t>
            </w:r>
          </w:p>
        </w:tc>
      </w:tr>
      <w:tr w14:paraId="65B1F836">
        <w:tblPrEx>
          <w:tblCellMar>
            <w:top w:w="57" w:type="dxa"/>
            <w:left w:w="57" w:type="dxa"/>
            <w:bottom w:w="57" w:type="dxa"/>
            <w:right w:w="57" w:type="dxa"/>
          </w:tblCellMar>
        </w:tblPrEx>
        <w:trPr>
          <w:trHeight w:val="20" w:hRule="atLeast"/>
          <w:jc w:val="center"/>
        </w:trPr>
        <w:tc>
          <w:tcPr>
            <w:tcW w:w="843" w:type="pct"/>
            <w:gridSpan w:val="2"/>
            <w:tcBorders>
              <w:top w:val="single" w:color="auto" w:sz="4" w:space="0"/>
              <w:left w:val="single" w:color="auto" w:sz="4" w:space="0"/>
              <w:bottom w:val="single" w:color="auto" w:sz="4" w:space="0"/>
              <w:right w:val="single" w:color="000000" w:sz="4" w:space="0"/>
            </w:tcBorders>
            <w:vAlign w:val="center"/>
          </w:tcPr>
          <w:p w14:paraId="4999F4F1">
            <w:pPr>
              <w:snapToGrid w:val="0"/>
              <w:spacing w:line="240" w:lineRule="exact"/>
              <w:jc w:val="both"/>
              <w:rPr>
                <w:rFonts w:ascii="宋体" w:hAnsi="宋体" w:cs="Arial"/>
                <w:sz w:val="16"/>
                <w:szCs w:val="18"/>
                <w:highlight w:val="none"/>
              </w:rPr>
            </w:pPr>
            <w:r>
              <w:rPr>
                <w:rFonts w:ascii="宋体" w:hAnsi="宋体" w:cs="Arial"/>
                <w:sz w:val="16"/>
                <w:szCs w:val="18"/>
                <w:highlight w:val="none"/>
              </w:rPr>
              <w:t>确定的租金价格（元/平方米·天）</w:t>
            </w:r>
          </w:p>
        </w:tc>
        <w:tc>
          <w:tcPr>
            <w:tcW w:w="531" w:type="pct"/>
            <w:tcBorders>
              <w:top w:val="nil"/>
              <w:left w:val="nil"/>
              <w:bottom w:val="single" w:color="auto" w:sz="4" w:space="0"/>
              <w:right w:val="single" w:color="auto" w:sz="4" w:space="0"/>
            </w:tcBorders>
            <w:noWrap/>
            <w:vAlign w:val="center"/>
          </w:tcPr>
          <w:p w14:paraId="32569147">
            <w:pPr>
              <w:pStyle w:val="61"/>
              <w:autoSpaceDE w:val="0"/>
              <w:autoSpaceDN w:val="0"/>
              <w:spacing w:line="240" w:lineRule="exact"/>
              <w:jc w:val="left"/>
              <w:textAlignment w:val="bottom"/>
              <w:rPr>
                <w:rFonts w:hAnsi="宋体" w:cs="Arial"/>
                <w:sz w:val="16"/>
                <w:szCs w:val="18"/>
                <w:highlight w:val="none"/>
              </w:rPr>
            </w:pPr>
            <w:r>
              <w:rPr>
                <w:rFonts w:ascii="Arial" w:hAnsi="Arial" w:cs="Arial"/>
                <w:sz w:val="16"/>
                <w:szCs w:val="18"/>
                <w:highlight w:val="none"/>
              </w:rPr>
              <w:t>待估</w:t>
            </w:r>
          </w:p>
        </w:tc>
        <w:tc>
          <w:tcPr>
            <w:tcW w:w="531" w:type="pct"/>
            <w:tcBorders>
              <w:top w:val="nil"/>
              <w:left w:val="nil"/>
              <w:bottom w:val="single" w:color="auto" w:sz="4" w:space="0"/>
              <w:right w:val="single" w:color="auto" w:sz="4" w:space="0"/>
            </w:tcBorders>
            <w:noWrap/>
            <w:vAlign w:val="center"/>
          </w:tcPr>
          <w:p w14:paraId="3E100E76">
            <w:pPr>
              <w:pStyle w:val="61"/>
              <w:autoSpaceDE w:val="0"/>
              <w:autoSpaceDN w:val="0"/>
              <w:snapToGrid w:val="0"/>
              <w:spacing w:line="240" w:lineRule="exact"/>
              <w:jc w:val="left"/>
              <w:textAlignment w:val="bottom"/>
              <w:rPr>
                <w:rFonts w:ascii="Arial" w:hAnsi="Arial" w:cs="Arial"/>
                <w:sz w:val="16"/>
                <w:szCs w:val="18"/>
                <w:highlight w:val="none"/>
              </w:rPr>
            </w:pPr>
            <w:r>
              <w:rPr>
                <w:rFonts w:hint="eastAsia" w:ascii="Arial" w:hAnsi="Arial" w:cs="Arial"/>
                <w:sz w:val="16"/>
                <w:szCs w:val="18"/>
                <w:highlight w:val="none"/>
                <w:lang w:val="en-US" w:eastAsia="zh-CN"/>
              </w:rPr>
              <w:t>24.45</w:t>
            </w:r>
          </w:p>
        </w:tc>
        <w:tc>
          <w:tcPr>
            <w:tcW w:w="531" w:type="pct"/>
            <w:tcBorders>
              <w:top w:val="nil"/>
              <w:left w:val="nil"/>
              <w:bottom w:val="single" w:color="auto" w:sz="4" w:space="0"/>
              <w:right w:val="single" w:color="auto" w:sz="4" w:space="0"/>
            </w:tcBorders>
            <w:noWrap/>
            <w:vAlign w:val="center"/>
          </w:tcPr>
          <w:p w14:paraId="09078B27">
            <w:pPr>
              <w:pStyle w:val="61"/>
              <w:autoSpaceDE w:val="0"/>
              <w:autoSpaceDN w:val="0"/>
              <w:snapToGrid w:val="0"/>
              <w:spacing w:line="240" w:lineRule="exact"/>
              <w:jc w:val="left"/>
              <w:textAlignment w:val="bottom"/>
              <w:rPr>
                <w:rFonts w:ascii="Arial" w:hAnsi="Arial" w:cs="Arial"/>
                <w:sz w:val="16"/>
                <w:szCs w:val="18"/>
                <w:highlight w:val="none"/>
              </w:rPr>
            </w:pPr>
            <w:r>
              <w:rPr>
                <w:rFonts w:hint="eastAsia" w:ascii="Arial" w:hAnsi="Arial" w:cs="Arial"/>
                <w:sz w:val="16"/>
                <w:szCs w:val="18"/>
                <w:highlight w:val="none"/>
                <w:lang w:val="en-US" w:eastAsia="zh-CN"/>
              </w:rPr>
              <w:t>23.44</w:t>
            </w:r>
          </w:p>
        </w:tc>
        <w:tc>
          <w:tcPr>
            <w:tcW w:w="531" w:type="pct"/>
            <w:tcBorders>
              <w:top w:val="nil"/>
              <w:left w:val="nil"/>
              <w:bottom w:val="single" w:color="auto" w:sz="4" w:space="0"/>
              <w:right w:val="single" w:color="auto" w:sz="4" w:space="0"/>
            </w:tcBorders>
            <w:noWrap/>
            <w:vAlign w:val="center"/>
          </w:tcPr>
          <w:p w14:paraId="0172192F">
            <w:pPr>
              <w:pStyle w:val="61"/>
              <w:autoSpaceDE w:val="0"/>
              <w:autoSpaceDN w:val="0"/>
              <w:snapToGrid w:val="0"/>
              <w:spacing w:line="240" w:lineRule="exact"/>
              <w:jc w:val="left"/>
              <w:textAlignment w:val="bottom"/>
              <w:rPr>
                <w:rFonts w:ascii="Arial" w:hAnsi="Arial" w:cs="Arial"/>
                <w:sz w:val="16"/>
                <w:szCs w:val="18"/>
                <w:highlight w:val="none"/>
              </w:rPr>
            </w:pPr>
            <w:r>
              <w:rPr>
                <w:rFonts w:hint="eastAsia" w:ascii="Arial" w:hAnsi="Arial" w:cs="Arial"/>
                <w:sz w:val="16"/>
                <w:szCs w:val="18"/>
                <w:highlight w:val="none"/>
                <w:lang w:val="en-US" w:eastAsia="zh-CN"/>
              </w:rPr>
              <w:t>22.89</w:t>
            </w:r>
          </w:p>
        </w:tc>
        <w:tc>
          <w:tcPr>
            <w:tcW w:w="2030" w:type="pct"/>
            <w:tcBorders>
              <w:top w:val="nil"/>
              <w:left w:val="nil"/>
              <w:bottom w:val="single" w:color="auto" w:sz="4" w:space="0"/>
              <w:right w:val="single" w:color="auto" w:sz="4" w:space="0"/>
            </w:tcBorders>
            <w:vAlign w:val="center"/>
          </w:tcPr>
          <w:p w14:paraId="113CD487">
            <w:pPr>
              <w:snapToGrid w:val="0"/>
              <w:spacing w:line="240" w:lineRule="exact"/>
              <w:jc w:val="both"/>
              <w:rPr>
                <w:rFonts w:ascii="宋体" w:hAnsi="宋体" w:cs="Arial"/>
                <w:sz w:val="16"/>
                <w:szCs w:val="18"/>
                <w:highlight w:val="none"/>
              </w:rPr>
            </w:pPr>
            <w:r>
              <w:rPr>
                <w:rFonts w:ascii="宋体" w:hAnsi="宋体" w:cs="Arial"/>
                <w:sz w:val="16"/>
                <w:szCs w:val="18"/>
                <w:highlight w:val="none"/>
              </w:rPr>
              <w:t>——</w:t>
            </w:r>
          </w:p>
        </w:tc>
      </w:tr>
      <w:tr w14:paraId="1C4589BC">
        <w:tblPrEx>
          <w:tblCellMar>
            <w:top w:w="57" w:type="dxa"/>
            <w:left w:w="57" w:type="dxa"/>
            <w:bottom w:w="57" w:type="dxa"/>
            <w:right w:w="57" w:type="dxa"/>
          </w:tblCellMar>
        </w:tblPrEx>
        <w:trPr>
          <w:trHeight w:val="20" w:hRule="atLeast"/>
          <w:jc w:val="center"/>
        </w:trPr>
        <w:tc>
          <w:tcPr>
            <w:tcW w:w="843" w:type="pct"/>
            <w:gridSpan w:val="2"/>
            <w:tcBorders>
              <w:top w:val="single" w:color="auto" w:sz="4" w:space="0"/>
              <w:left w:val="single" w:color="auto" w:sz="4" w:space="0"/>
              <w:bottom w:val="single" w:color="auto" w:sz="4" w:space="0"/>
              <w:right w:val="single" w:color="auto" w:sz="4" w:space="0"/>
            </w:tcBorders>
            <w:vAlign w:val="center"/>
          </w:tcPr>
          <w:p w14:paraId="778C2BA8">
            <w:pPr>
              <w:snapToGrid w:val="0"/>
              <w:spacing w:line="240" w:lineRule="exact"/>
              <w:jc w:val="both"/>
              <w:rPr>
                <w:rFonts w:ascii="宋体" w:hAnsi="宋体" w:cs="Arial"/>
                <w:sz w:val="16"/>
                <w:szCs w:val="18"/>
                <w:highlight w:val="none"/>
              </w:rPr>
            </w:pPr>
            <w:r>
              <w:rPr>
                <w:rFonts w:ascii="宋体" w:hAnsi="宋体" w:cs="Arial"/>
                <w:sz w:val="16"/>
                <w:szCs w:val="18"/>
                <w:highlight w:val="none"/>
              </w:rPr>
              <w:t>交易时间</w:t>
            </w:r>
          </w:p>
        </w:tc>
        <w:tc>
          <w:tcPr>
            <w:tcW w:w="531" w:type="pct"/>
            <w:tcBorders>
              <w:top w:val="nil"/>
              <w:left w:val="nil"/>
              <w:bottom w:val="single" w:color="auto" w:sz="4" w:space="0"/>
              <w:right w:val="single" w:color="auto" w:sz="4" w:space="0"/>
            </w:tcBorders>
            <w:noWrap/>
            <w:vAlign w:val="center"/>
          </w:tcPr>
          <w:p w14:paraId="5773D41A">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119CBDE5">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452DA281">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02BFFE11">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2030" w:type="pct"/>
            <w:tcBorders>
              <w:top w:val="nil"/>
              <w:left w:val="nil"/>
              <w:bottom w:val="single" w:color="auto" w:sz="4" w:space="0"/>
              <w:right w:val="single" w:color="auto" w:sz="4" w:space="0"/>
            </w:tcBorders>
            <w:vAlign w:val="center"/>
          </w:tcPr>
          <w:p w14:paraId="1A82856E">
            <w:pPr>
              <w:snapToGrid w:val="0"/>
              <w:spacing w:line="240" w:lineRule="exact"/>
              <w:jc w:val="both"/>
              <w:rPr>
                <w:rFonts w:ascii="Arial" w:hAnsi="Arial" w:cs="Arial"/>
                <w:sz w:val="16"/>
                <w:szCs w:val="18"/>
                <w:highlight w:val="none"/>
              </w:rPr>
            </w:pPr>
            <w:r>
              <w:rPr>
                <w:rFonts w:ascii="Arial" w:hAnsi="Arial" w:cs="Arial"/>
                <w:sz w:val="16"/>
                <w:szCs w:val="18"/>
                <w:highlight w:val="none"/>
              </w:rPr>
              <w:t>估价对象与可比实例的交易时间一致，因此确定估价对象与可比实例该因素指数均为100；</w:t>
            </w:r>
          </w:p>
        </w:tc>
      </w:tr>
      <w:tr w14:paraId="3BC0787A">
        <w:tblPrEx>
          <w:tblCellMar>
            <w:top w:w="57" w:type="dxa"/>
            <w:left w:w="57" w:type="dxa"/>
            <w:bottom w:w="57" w:type="dxa"/>
            <w:right w:w="57" w:type="dxa"/>
          </w:tblCellMar>
        </w:tblPrEx>
        <w:trPr>
          <w:trHeight w:val="20" w:hRule="atLeast"/>
          <w:jc w:val="center"/>
        </w:trPr>
        <w:tc>
          <w:tcPr>
            <w:tcW w:w="843" w:type="pct"/>
            <w:gridSpan w:val="2"/>
            <w:tcBorders>
              <w:top w:val="single" w:color="auto" w:sz="4" w:space="0"/>
              <w:left w:val="single" w:color="auto" w:sz="4" w:space="0"/>
              <w:bottom w:val="single" w:color="auto" w:sz="4" w:space="0"/>
              <w:right w:val="single" w:color="auto" w:sz="4" w:space="0"/>
            </w:tcBorders>
            <w:vAlign w:val="center"/>
          </w:tcPr>
          <w:p w14:paraId="32C1A154">
            <w:pPr>
              <w:snapToGrid w:val="0"/>
              <w:spacing w:line="240" w:lineRule="exact"/>
              <w:jc w:val="both"/>
              <w:rPr>
                <w:rFonts w:ascii="宋体" w:hAnsi="宋体" w:cs="Arial"/>
                <w:sz w:val="16"/>
                <w:szCs w:val="18"/>
                <w:highlight w:val="none"/>
              </w:rPr>
            </w:pPr>
            <w:r>
              <w:rPr>
                <w:rFonts w:ascii="宋体" w:hAnsi="宋体" w:cs="Arial"/>
                <w:sz w:val="16"/>
                <w:szCs w:val="18"/>
                <w:highlight w:val="none"/>
              </w:rPr>
              <w:t>交易情况</w:t>
            </w:r>
          </w:p>
        </w:tc>
        <w:tc>
          <w:tcPr>
            <w:tcW w:w="531" w:type="pct"/>
            <w:tcBorders>
              <w:top w:val="nil"/>
              <w:left w:val="nil"/>
              <w:bottom w:val="single" w:color="auto" w:sz="4" w:space="0"/>
              <w:right w:val="single" w:color="auto" w:sz="4" w:space="0"/>
            </w:tcBorders>
            <w:noWrap/>
            <w:vAlign w:val="center"/>
          </w:tcPr>
          <w:p w14:paraId="4956D78D">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2398135E">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1C2BBA25">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5490CB5F">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2030" w:type="pct"/>
            <w:tcBorders>
              <w:top w:val="nil"/>
              <w:left w:val="nil"/>
              <w:bottom w:val="single" w:color="auto" w:sz="4" w:space="0"/>
              <w:right w:val="single" w:color="auto" w:sz="4" w:space="0"/>
            </w:tcBorders>
            <w:vAlign w:val="center"/>
          </w:tcPr>
          <w:p w14:paraId="51D6E29D">
            <w:pPr>
              <w:snapToGrid w:val="0"/>
              <w:spacing w:line="240" w:lineRule="exact"/>
              <w:jc w:val="both"/>
              <w:rPr>
                <w:rFonts w:ascii="Arial" w:hAnsi="Arial" w:cs="Arial"/>
                <w:sz w:val="16"/>
                <w:szCs w:val="18"/>
                <w:highlight w:val="none"/>
              </w:rPr>
            </w:pPr>
            <w:r>
              <w:rPr>
                <w:rFonts w:ascii="Arial" w:hAnsi="Arial" w:cs="Arial"/>
                <w:sz w:val="16"/>
                <w:szCs w:val="18"/>
                <w:highlight w:val="none"/>
              </w:rPr>
              <w:t>可比实例均为正常交易或已修正为正常交易，故不予修正，交易情况指数均100；</w:t>
            </w:r>
          </w:p>
        </w:tc>
      </w:tr>
      <w:tr w14:paraId="14AFC43F">
        <w:tblPrEx>
          <w:tblCellMar>
            <w:top w:w="57" w:type="dxa"/>
            <w:left w:w="57" w:type="dxa"/>
            <w:bottom w:w="57" w:type="dxa"/>
            <w:right w:w="57" w:type="dxa"/>
          </w:tblCellMar>
        </w:tblPrEx>
        <w:trPr>
          <w:trHeight w:val="20" w:hRule="atLeast"/>
          <w:jc w:val="center"/>
        </w:trPr>
        <w:tc>
          <w:tcPr>
            <w:tcW w:w="843" w:type="pct"/>
            <w:gridSpan w:val="2"/>
            <w:tcBorders>
              <w:top w:val="single" w:color="auto" w:sz="4" w:space="0"/>
              <w:left w:val="single" w:color="auto" w:sz="4" w:space="0"/>
              <w:bottom w:val="single" w:color="auto" w:sz="4" w:space="0"/>
              <w:right w:val="single" w:color="auto" w:sz="4" w:space="0"/>
            </w:tcBorders>
            <w:vAlign w:val="center"/>
          </w:tcPr>
          <w:p w14:paraId="61DAB92F">
            <w:pPr>
              <w:snapToGrid w:val="0"/>
              <w:spacing w:line="240" w:lineRule="exact"/>
              <w:jc w:val="both"/>
              <w:rPr>
                <w:rFonts w:ascii="宋体" w:hAnsi="宋体" w:cs="Arial"/>
                <w:sz w:val="16"/>
                <w:szCs w:val="18"/>
                <w:highlight w:val="none"/>
              </w:rPr>
            </w:pPr>
            <w:r>
              <w:rPr>
                <w:rFonts w:ascii="宋体" w:hAnsi="宋体" w:cs="Arial"/>
                <w:sz w:val="16"/>
                <w:szCs w:val="18"/>
                <w:highlight w:val="none"/>
              </w:rPr>
              <w:t>项目类型</w:t>
            </w:r>
          </w:p>
        </w:tc>
        <w:tc>
          <w:tcPr>
            <w:tcW w:w="531" w:type="pct"/>
            <w:tcBorders>
              <w:top w:val="nil"/>
              <w:left w:val="nil"/>
              <w:bottom w:val="single" w:color="auto" w:sz="4" w:space="0"/>
              <w:right w:val="single" w:color="auto" w:sz="4" w:space="0"/>
            </w:tcBorders>
            <w:noWrap/>
            <w:vAlign w:val="center"/>
          </w:tcPr>
          <w:p w14:paraId="1EFF2A40">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3E049B7D">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51CDD3C4">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6041D95F">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2030" w:type="pct"/>
            <w:tcBorders>
              <w:top w:val="nil"/>
              <w:left w:val="nil"/>
              <w:bottom w:val="single" w:color="auto" w:sz="4" w:space="0"/>
              <w:right w:val="single" w:color="auto" w:sz="4" w:space="0"/>
            </w:tcBorders>
            <w:vAlign w:val="center"/>
          </w:tcPr>
          <w:p w14:paraId="593D032D">
            <w:pPr>
              <w:snapToGrid w:val="0"/>
              <w:spacing w:line="240" w:lineRule="exact"/>
              <w:jc w:val="both"/>
              <w:rPr>
                <w:rFonts w:ascii="Arial" w:hAnsi="Arial" w:cs="Arial"/>
                <w:sz w:val="16"/>
                <w:szCs w:val="18"/>
                <w:highlight w:val="none"/>
              </w:rPr>
            </w:pPr>
            <w:r>
              <w:rPr>
                <w:rFonts w:ascii="Arial" w:hAnsi="Arial" w:cs="Arial"/>
                <w:sz w:val="16"/>
                <w:szCs w:val="18"/>
                <w:highlight w:val="none"/>
              </w:rPr>
              <w:t>可比实例均为</w:t>
            </w:r>
            <w:r>
              <w:rPr>
                <w:rFonts w:hint="eastAsia" w:ascii="Arial" w:hAnsi="Arial" w:cs="Arial"/>
                <w:sz w:val="16"/>
                <w:szCs w:val="18"/>
                <w:highlight w:val="none"/>
                <w:lang w:val="en-US" w:eastAsia="zh-CN"/>
              </w:rPr>
              <w:t>住宅</w:t>
            </w:r>
            <w:r>
              <w:rPr>
                <w:rFonts w:ascii="Arial" w:hAnsi="Arial" w:cs="Arial"/>
                <w:sz w:val="16"/>
                <w:szCs w:val="18"/>
                <w:highlight w:val="none"/>
              </w:rPr>
              <w:t>，故不予修正，交易情况指数均100；</w:t>
            </w:r>
          </w:p>
        </w:tc>
      </w:tr>
      <w:tr w14:paraId="57A513AF">
        <w:tblPrEx>
          <w:tblCellMar>
            <w:top w:w="57" w:type="dxa"/>
            <w:left w:w="57" w:type="dxa"/>
            <w:bottom w:w="57" w:type="dxa"/>
            <w:right w:w="57" w:type="dxa"/>
          </w:tblCellMar>
        </w:tblPrEx>
        <w:trPr>
          <w:trHeight w:val="20" w:hRule="atLeast"/>
          <w:jc w:val="center"/>
        </w:trPr>
        <w:tc>
          <w:tcPr>
            <w:tcW w:w="307" w:type="pct"/>
            <w:vMerge w:val="restart"/>
            <w:tcBorders>
              <w:top w:val="single" w:color="auto" w:sz="4" w:space="0"/>
              <w:left w:val="single" w:color="auto" w:sz="4" w:space="0"/>
              <w:bottom w:val="single" w:color="auto" w:sz="4" w:space="0"/>
              <w:right w:val="single" w:color="auto" w:sz="4" w:space="0"/>
            </w:tcBorders>
            <w:noWrap/>
            <w:vAlign w:val="center"/>
          </w:tcPr>
          <w:p w14:paraId="360851C5">
            <w:pPr>
              <w:snapToGrid w:val="0"/>
              <w:spacing w:line="240" w:lineRule="exact"/>
              <w:jc w:val="both"/>
              <w:rPr>
                <w:rFonts w:ascii="宋体" w:hAnsi="宋体" w:cs="Arial"/>
                <w:sz w:val="16"/>
                <w:szCs w:val="18"/>
                <w:highlight w:val="none"/>
              </w:rPr>
            </w:pPr>
            <w:r>
              <w:rPr>
                <w:rFonts w:ascii="宋体" w:hAnsi="宋体" w:cs="Arial"/>
                <w:sz w:val="16"/>
                <w:szCs w:val="18"/>
                <w:highlight w:val="none"/>
              </w:rPr>
              <w:t>区域</w:t>
            </w:r>
          </w:p>
          <w:p w14:paraId="7835C4D6">
            <w:pPr>
              <w:snapToGrid w:val="0"/>
              <w:spacing w:line="240" w:lineRule="exact"/>
              <w:jc w:val="both"/>
              <w:rPr>
                <w:rFonts w:ascii="宋体" w:hAnsi="宋体" w:cs="Arial"/>
                <w:sz w:val="16"/>
                <w:szCs w:val="18"/>
                <w:highlight w:val="none"/>
              </w:rPr>
            </w:pPr>
            <w:r>
              <w:rPr>
                <w:rFonts w:ascii="宋体" w:hAnsi="宋体" w:cs="Arial"/>
                <w:sz w:val="16"/>
                <w:szCs w:val="18"/>
                <w:highlight w:val="none"/>
              </w:rPr>
              <w:t>状况</w:t>
            </w:r>
          </w:p>
        </w:tc>
        <w:tc>
          <w:tcPr>
            <w:tcW w:w="535" w:type="pct"/>
            <w:tcBorders>
              <w:top w:val="nil"/>
              <w:left w:val="nil"/>
              <w:bottom w:val="single" w:color="auto" w:sz="4" w:space="0"/>
              <w:right w:val="single" w:color="auto" w:sz="4" w:space="0"/>
            </w:tcBorders>
            <w:vAlign w:val="center"/>
          </w:tcPr>
          <w:p w14:paraId="41CD3084">
            <w:pPr>
              <w:widowControl/>
              <w:adjustRightInd/>
              <w:spacing w:line="240" w:lineRule="auto"/>
              <w:jc w:val="center"/>
              <w:textAlignment w:val="auto"/>
              <w:rPr>
                <w:rFonts w:ascii="宋体" w:hAnsi="宋体" w:cs="Arial"/>
                <w:sz w:val="16"/>
                <w:szCs w:val="18"/>
                <w:highlight w:val="none"/>
              </w:rPr>
            </w:pPr>
            <w:r>
              <w:rPr>
                <w:rFonts w:ascii="宋体" w:hAnsi="宋体" w:cs="Arial"/>
                <w:sz w:val="16"/>
                <w:szCs w:val="18"/>
                <w:highlight w:val="none"/>
              </w:rPr>
              <w:t>居住区成熟度</w:t>
            </w:r>
          </w:p>
        </w:tc>
        <w:tc>
          <w:tcPr>
            <w:tcW w:w="531" w:type="pct"/>
            <w:tcBorders>
              <w:top w:val="nil"/>
              <w:left w:val="nil"/>
              <w:bottom w:val="single" w:color="auto" w:sz="4" w:space="0"/>
              <w:right w:val="single" w:color="auto" w:sz="4" w:space="0"/>
            </w:tcBorders>
            <w:noWrap/>
            <w:vAlign w:val="center"/>
          </w:tcPr>
          <w:p w14:paraId="77CB0BA5">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438AB506">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3B4F793A">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72EA7BEF">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2030" w:type="pct"/>
            <w:tcBorders>
              <w:top w:val="nil"/>
              <w:left w:val="nil"/>
              <w:bottom w:val="single" w:color="auto" w:sz="4" w:space="0"/>
              <w:right w:val="single" w:color="auto" w:sz="4" w:space="0"/>
            </w:tcBorders>
            <w:vAlign w:val="center"/>
          </w:tcPr>
          <w:p w14:paraId="28A1862C">
            <w:pPr>
              <w:snapToGrid w:val="0"/>
              <w:spacing w:line="240" w:lineRule="exact"/>
              <w:jc w:val="both"/>
              <w:rPr>
                <w:rFonts w:ascii="Arial" w:hAnsi="Arial" w:cs="Arial"/>
                <w:sz w:val="16"/>
                <w:szCs w:val="18"/>
                <w:highlight w:val="none"/>
              </w:rPr>
            </w:pPr>
            <w:r>
              <w:rPr>
                <w:rFonts w:ascii="Arial" w:hAnsi="Arial" w:cs="Arial"/>
                <w:sz w:val="16"/>
                <w:szCs w:val="18"/>
                <w:highlight w:val="none"/>
              </w:rPr>
              <w:t>从好到差划分为优、较优、一般、较劣、劣五个等级，每个等级相差5分，确定可比实例1、2、3该因素指数分别为100、100、100；</w:t>
            </w:r>
          </w:p>
        </w:tc>
      </w:tr>
      <w:tr w14:paraId="5AB5A7C8">
        <w:tblPrEx>
          <w:tblCellMar>
            <w:top w:w="57" w:type="dxa"/>
            <w:left w:w="57" w:type="dxa"/>
            <w:bottom w:w="57" w:type="dxa"/>
            <w:right w:w="57" w:type="dxa"/>
          </w:tblCellMar>
        </w:tblPrEx>
        <w:trPr>
          <w:trHeight w:val="20" w:hRule="atLeast"/>
          <w:jc w:val="center"/>
        </w:trPr>
        <w:tc>
          <w:tcPr>
            <w:tcW w:w="307" w:type="pct"/>
            <w:vMerge w:val="continue"/>
            <w:tcBorders>
              <w:top w:val="single" w:color="auto" w:sz="4" w:space="0"/>
              <w:left w:val="single" w:color="auto" w:sz="4" w:space="0"/>
              <w:bottom w:val="single" w:color="auto" w:sz="4" w:space="0"/>
              <w:right w:val="single" w:color="auto" w:sz="4" w:space="0"/>
            </w:tcBorders>
            <w:vAlign w:val="center"/>
          </w:tcPr>
          <w:p w14:paraId="72F10846">
            <w:pPr>
              <w:snapToGrid w:val="0"/>
              <w:spacing w:line="240" w:lineRule="exact"/>
              <w:jc w:val="both"/>
              <w:rPr>
                <w:rFonts w:ascii="宋体" w:hAnsi="宋体" w:cs="Arial"/>
                <w:sz w:val="16"/>
                <w:szCs w:val="18"/>
                <w:highlight w:val="none"/>
              </w:rPr>
            </w:pPr>
          </w:p>
        </w:tc>
        <w:tc>
          <w:tcPr>
            <w:tcW w:w="535" w:type="pct"/>
            <w:tcBorders>
              <w:top w:val="nil"/>
              <w:left w:val="nil"/>
              <w:bottom w:val="single" w:color="auto" w:sz="4" w:space="0"/>
              <w:right w:val="single" w:color="auto" w:sz="4" w:space="0"/>
            </w:tcBorders>
            <w:vAlign w:val="center"/>
          </w:tcPr>
          <w:p w14:paraId="23D74E42">
            <w:pPr>
              <w:widowControl/>
              <w:adjustRightInd/>
              <w:spacing w:line="240" w:lineRule="auto"/>
              <w:jc w:val="center"/>
              <w:textAlignment w:val="auto"/>
              <w:rPr>
                <w:rFonts w:ascii="宋体" w:hAnsi="宋体" w:cs="Arial"/>
                <w:sz w:val="16"/>
                <w:szCs w:val="18"/>
                <w:highlight w:val="none"/>
              </w:rPr>
            </w:pPr>
            <w:r>
              <w:rPr>
                <w:rFonts w:ascii="宋体" w:hAnsi="宋体" w:cs="Arial"/>
                <w:sz w:val="16"/>
                <w:szCs w:val="18"/>
                <w:highlight w:val="none"/>
              </w:rPr>
              <w:t>道路通达度</w:t>
            </w:r>
          </w:p>
        </w:tc>
        <w:tc>
          <w:tcPr>
            <w:tcW w:w="531" w:type="pct"/>
            <w:tcBorders>
              <w:top w:val="nil"/>
              <w:left w:val="nil"/>
              <w:bottom w:val="single" w:color="auto" w:sz="4" w:space="0"/>
              <w:right w:val="single" w:color="auto" w:sz="4" w:space="0"/>
            </w:tcBorders>
            <w:noWrap/>
            <w:vAlign w:val="center"/>
          </w:tcPr>
          <w:p w14:paraId="15E1F1F3">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180BC50E">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16937265">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31984B08">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2030" w:type="pct"/>
            <w:tcBorders>
              <w:top w:val="nil"/>
              <w:left w:val="nil"/>
              <w:bottom w:val="single" w:color="auto" w:sz="4" w:space="0"/>
              <w:right w:val="single" w:color="auto" w:sz="4" w:space="0"/>
            </w:tcBorders>
            <w:vAlign w:val="center"/>
          </w:tcPr>
          <w:p w14:paraId="3A83508B">
            <w:pPr>
              <w:snapToGrid w:val="0"/>
              <w:spacing w:line="240" w:lineRule="exact"/>
              <w:jc w:val="both"/>
              <w:rPr>
                <w:rFonts w:ascii="Arial" w:hAnsi="Arial" w:cs="Arial"/>
                <w:sz w:val="16"/>
                <w:szCs w:val="18"/>
                <w:highlight w:val="none"/>
              </w:rPr>
            </w:pPr>
            <w:r>
              <w:rPr>
                <w:rFonts w:ascii="Arial" w:hAnsi="Arial" w:cs="Arial"/>
                <w:sz w:val="16"/>
                <w:szCs w:val="18"/>
                <w:highlight w:val="none"/>
              </w:rPr>
              <w:t>按照距离干道的距离和干道等级分为优、较优、一般、较劣、劣五个等级，每个等级相差2分，确定可比实例1、2、3该因素指数分别为100、100、100；</w:t>
            </w:r>
          </w:p>
        </w:tc>
      </w:tr>
      <w:tr w14:paraId="439BD75D">
        <w:tblPrEx>
          <w:tblCellMar>
            <w:top w:w="57" w:type="dxa"/>
            <w:left w:w="57" w:type="dxa"/>
            <w:bottom w:w="57" w:type="dxa"/>
            <w:right w:w="57" w:type="dxa"/>
          </w:tblCellMar>
        </w:tblPrEx>
        <w:trPr>
          <w:trHeight w:val="20" w:hRule="atLeast"/>
          <w:jc w:val="center"/>
        </w:trPr>
        <w:tc>
          <w:tcPr>
            <w:tcW w:w="307" w:type="pct"/>
            <w:vMerge w:val="continue"/>
            <w:tcBorders>
              <w:top w:val="single" w:color="auto" w:sz="4" w:space="0"/>
              <w:left w:val="single" w:color="auto" w:sz="4" w:space="0"/>
              <w:bottom w:val="single" w:color="auto" w:sz="4" w:space="0"/>
              <w:right w:val="single" w:color="auto" w:sz="4" w:space="0"/>
            </w:tcBorders>
            <w:vAlign w:val="center"/>
          </w:tcPr>
          <w:p w14:paraId="05F281D8">
            <w:pPr>
              <w:snapToGrid w:val="0"/>
              <w:spacing w:line="240" w:lineRule="exact"/>
              <w:jc w:val="both"/>
              <w:rPr>
                <w:rFonts w:ascii="宋体" w:hAnsi="宋体" w:cs="Arial"/>
                <w:sz w:val="16"/>
                <w:szCs w:val="18"/>
                <w:highlight w:val="none"/>
              </w:rPr>
            </w:pPr>
          </w:p>
        </w:tc>
        <w:tc>
          <w:tcPr>
            <w:tcW w:w="535" w:type="pct"/>
            <w:tcBorders>
              <w:top w:val="nil"/>
              <w:left w:val="nil"/>
              <w:bottom w:val="single" w:color="auto" w:sz="4" w:space="0"/>
              <w:right w:val="single" w:color="auto" w:sz="4" w:space="0"/>
            </w:tcBorders>
            <w:vAlign w:val="center"/>
          </w:tcPr>
          <w:p w14:paraId="436BFB4F">
            <w:pPr>
              <w:widowControl/>
              <w:adjustRightInd/>
              <w:spacing w:line="240" w:lineRule="auto"/>
              <w:jc w:val="center"/>
              <w:textAlignment w:val="auto"/>
              <w:rPr>
                <w:rFonts w:ascii="宋体" w:hAnsi="宋体" w:cs="Arial"/>
                <w:sz w:val="16"/>
                <w:szCs w:val="18"/>
                <w:highlight w:val="none"/>
              </w:rPr>
            </w:pPr>
            <w:r>
              <w:rPr>
                <w:rFonts w:ascii="宋体" w:hAnsi="宋体" w:cs="Arial"/>
                <w:sz w:val="16"/>
                <w:szCs w:val="18"/>
                <w:highlight w:val="none"/>
              </w:rPr>
              <w:t>距离轨道交通站点距离</w:t>
            </w:r>
          </w:p>
        </w:tc>
        <w:tc>
          <w:tcPr>
            <w:tcW w:w="531" w:type="pct"/>
            <w:tcBorders>
              <w:top w:val="nil"/>
              <w:left w:val="nil"/>
              <w:bottom w:val="single" w:color="auto" w:sz="4" w:space="0"/>
              <w:right w:val="single" w:color="auto" w:sz="4" w:space="0"/>
            </w:tcBorders>
            <w:noWrap/>
            <w:vAlign w:val="center"/>
          </w:tcPr>
          <w:p w14:paraId="2094D640">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08EC12D8">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639BA7C8">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65809027">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2030" w:type="pct"/>
            <w:tcBorders>
              <w:top w:val="nil"/>
              <w:left w:val="nil"/>
              <w:bottom w:val="single" w:color="auto" w:sz="4" w:space="0"/>
              <w:right w:val="single" w:color="auto" w:sz="4" w:space="0"/>
            </w:tcBorders>
            <w:vAlign w:val="center"/>
          </w:tcPr>
          <w:p w14:paraId="1027029C">
            <w:pPr>
              <w:snapToGrid w:val="0"/>
              <w:spacing w:line="240" w:lineRule="exact"/>
              <w:jc w:val="both"/>
              <w:rPr>
                <w:rFonts w:ascii="Arial" w:hAnsi="Arial" w:cs="Arial"/>
                <w:sz w:val="16"/>
                <w:szCs w:val="18"/>
                <w:highlight w:val="none"/>
              </w:rPr>
            </w:pPr>
            <w:r>
              <w:rPr>
                <w:rFonts w:ascii="Arial" w:hAnsi="Arial" w:cs="Arial"/>
                <w:sz w:val="16"/>
                <w:szCs w:val="18"/>
                <w:highlight w:val="none"/>
              </w:rPr>
              <w:t>按照距离轨道交通的距离，0.5km为一档，每个等级相差</w:t>
            </w:r>
            <w:r>
              <w:rPr>
                <w:rFonts w:hint="eastAsia" w:ascii="Arial" w:hAnsi="Arial" w:cs="Arial"/>
                <w:sz w:val="16"/>
                <w:szCs w:val="18"/>
                <w:highlight w:val="none"/>
              </w:rPr>
              <w:t>1</w:t>
            </w:r>
            <w:r>
              <w:rPr>
                <w:rFonts w:ascii="Arial" w:hAnsi="Arial" w:cs="Arial"/>
                <w:sz w:val="16"/>
                <w:szCs w:val="18"/>
                <w:highlight w:val="none"/>
              </w:rPr>
              <w:t>分，确定可比实例1、2、3该因素指数分别为100、100、100；</w:t>
            </w:r>
          </w:p>
        </w:tc>
      </w:tr>
      <w:tr w14:paraId="69739AB1">
        <w:tblPrEx>
          <w:tblCellMar>
            <w:top w:w="57" w:type="dxa"/>
            <w:left w:w="57" w:type="dxa"/>
            <w:bottom w:w="57" w:type="dxa"/>
            <w:right w:w="57" w:type="dxa"/>
          </w:tblCellMar>
        </w:tblPrEx>
        <w:trPr>
          <w:trHeight w:val="20" w:hRule="atLeast"/>
          <w:jc w:val="center"/>
        </w:trPr>
        <w:tc>
          <w:tcPr>
            <w:tcW w:w="307" w:type="pct"/>
            <w:vMerge w:val="continue"/>
            <w:tcBorders>
              <w:top w:val="single" w:color="auto" w:sz="4" w:space="0"/>
              <w:left w:val="single" w:color="auto" w:sz="4" w:space="0"/>
              <w:bottom w:val="single" w:color="auto" w:sz="4" w:space="0"/>
              <w:right w:val="single" w:color="auto" w:sz="4" w:space="0"/>
            </w:tcBorders>
            <w:vAlign w:val="center"/>
          </w:tcPr>
          <w:p w14:paraId="4CA1E992">
            <w:pPr>
              <w:snapToGrid w:val="0"/>
              <w:spacing w:line="240" w:lineRule="exact"/>
              <w:jc w:val="both"/>
              <w:rPr>
                <w:rFonts w:ascii="宋体" w:hAnsi="宋体" w:cs="Arial"/>
                <w:sz w:val="16"/>
                <w:szCs w:val="18"/>
                <w:highlight w:val="none"/>
              </w:rPr>
            </w:pPr>
          </w:p>
        </w:tc>
        <w:tc>
          <w:tcPr>
            <w:tcW w:w="535" w:type="pct"/>
            <w:tcBorders>
              <w:top w:val="nil"/>
              <w:left w:val="nil"/>
              <w:bottom w:val="single" w:color="auto" w:sz="4" w:space="0"/>
              <w:right w:val="single" w:color="auto" w:sz="4" w:space="0"/>
            </w:tcBorders>
            <w:vAlign w:val="center"/>
          </w:tcPr>
          <w:p w14:paraId="7A8A5742">
            <w:pPr>
              <w:widowControl/>
              <w:adjustRightInd/>
              <w:spacing w:line="240" w:lineRule="auto"/>
              <w:jc w:val="center"/>
              <w:textAlignment w:val="auto"/>
              <w:rPr>
                <w:rFonts w:ascii="宋体" w:hAnsi="宋体" w:cs="Arial"/>
                <w:sz w:val="16"/>
                <w:szCs w:val="18"/>
                <w:highlight w:val="none"/>
              </w:rPr>
            </w:pPr>
            <w:r>
              <w:rPr>
                <w:rFonts w:ascii="宋体" w:hAnsi="宋体" w:cs="Arial"/>
                <w:sz w:val="16"/>
                <w:szCs w:val="18"/>
                <w:highlight w:val="none"/>
              </w:rPr>
              <w:t>距离公交站点距离</w:t>
            </w:r>
          </w:p>
        </w:tc>
        <w:tc>
          <w:tcPr>
            <w:tcW w:w="531" w:type="pct"/>
            <w:tcBorders>
              <w:top w:val="nil"/>
              <w:left w:val="nil"/>
              <w:bottom w:val="single" w:color="auto" w:sz="4" w:space="0"/>
              <w:right w:val="single" w:color="auto" w:sz="4" w:space="0"/>
            </w:tcBorders>
            <w:noWrap/>
            <w:vAlign w:val="center"/>
          </w:tcPr>
          <w:p w14:paraId="28427B49">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1980602F">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6CF6BB8B">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5085C6D8">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2030" w:type="pct"/>
            <w:tcBorders>
              <w:top w:val="nil"/>
              <w:left w:val="nil"/>
              <w:bottom w:val="single" w:color="auto" w:sz="4" w:space="0"/>
              <w:right w:val="single" w:color="auto" w:sz="4" w:space="0"/>
            </w:tcBorders>
            <w:vAlign w:val="center"/>
          </w:tcPr>
          <w:p w14:paraId="372A3658">
            <w:pPr>
              <w:snapToGrid w:val="0"/>
              <w:spacing w:line="240" w:lineRule="exact"/>
              <w:jc w:val="both"/>
              <w:rPr>
                <w:rFonts w:ascii="Arial" w:hAnsi="Arial" w:cs="Arial"/>
                <w:sz w:val="16"/>
                <w:szCs w:val="18"/>
                <w:highlight w:val="none"/>
              </w:rPr>
            </w:pPr>
            <w:r>
              <w:rPr>
                <w:rFonts w:ascii="Arial" w:hAnsi="Arial" w:cs="Arial"/>
                <w:sz w:val="16"/>
                <w:szCs w:val="18"/>
                <w:highlight w:val="none"/>
              </w:rPr>
              <w:t>按照距离公交站点的距离，0.5km为一档，每个等级相差2分，确定可比实例1、2、3该因素指数分别为100、100、100；</w:t>
            </w:r>
          </w:p>
        </w:tc>
      </w:tr>
      <w:tr w14:paraId="4D60A2DA">
        <w:tblPrEx>
          <w:tblCellMar>
            <w:top w:w="57" w:type="dxa"/>
            <w:left w:w="57" w:type="dxa"/>
            <w:bottom w:w="57" w:type="dxa"/>
            <w:right w:w="57" w:type="dxa"/>
          </w:tblCellMar>
        </w:tblPrEx>
        <w:trPr>
          <w:trHeight w:val="20" w:hRule="atLeast"/>
          <w:jc w:val="center"/>
        </w:trPr>
        <w:tc>
          <w:tcPr>
            <w:tcW w:w="307" w:type="pct"/>
            <w:vMerge w:val="continue"/>
            <w:tcBorders>
              <w:top w:val="single" w:color="auto" w:sz="4" w:space="0"/>
              <w:left w:val="single" w:color="auto" w:sz="4" w:space="0"/>
              <w:bottom w:val="single" w:color="auto" w:sz="4" w:space="0"/>
              <w:right w:val="single" w:color="auto" w:sz="4" w:space="0"/>
            </w:tcBorders>
            <w:vAlign w:val="center"/>
          </w:tcPr>
          <w:p w14:paraId="13027882">
            <w:pPr>
              <w:snapToGrid w:val="0"/>
              <w:spacing w:line="240" w:lineRule="exact"/>
              <w:jc w:val="both"/>
              <w:rPr>
                <w:rFonts w:ascii="宋体" w:hAnsi="宋体" w:cs="Arial"/>
                <w:sz w:val="16"/>
                <w:szCs w:val="18"/>
                <w:highlight w:val="none"/>
              </w:rPr>
            </w:pPr>
          </w:p>
        </w:tc>
        <w:tc>
          <w:tcPr>
            <w:tcW w:w="535" w:type="pct"/>
            <w:tcBorders>
              <w:top w:val="nil"/>
              <w:left w:val="nil"/>
              <w:bottom w:val="single" w:color="auto" w:sz="4" w:space="0"/>
              <w:right w:val="single" w:color="auto" w:sz="4" w:space="0"/>
            </w:tcBorders>
            <w:vAlign w:val="center"/>
          </w:tcPr>
          <w:p w14:paraId="60D5BE89">
            <w:pPr>
              <w:widowControl/>
              <w:adjustRightInd/>
              <w:spacing w:line="240" w:lineRule="auto"/>
              <w:jc w:val="center"/>
              <w:textAlignment w:val="auto"/>
              <w:rPr>
                <w:rFonts w:ascii="宋体" w:hAnsi="宋体" w:cs="Arial"/>
                <w:sz w:val="16"/>
                <w:szCs w:val="18"/>
                <w:highlight w:val="none"/>
              </w:rPr>
            </w:pPr>
            <w:r>
              <w:rPr>
                <w:rFonts w:hint="eastAsia" w:ascii="宋体" w:hAnsi="宋体" w:cs="Arial"/>
                <w:sz w:val="16"/>
                <w:szCs w:val="18"/>
                <w:highlight w:val="none"/>
              </w:rPr>
              <w:t>环境质量优劣度</w:t>
            </w:r>
          </w:p>
        </w:tc>
        <w:tc>
          <w:tcPr>
            <w:tcW w:w="531" w:type="pct"/>
            <w:tcBorders>
              <w:top w:val="nil"/>
              <w:left w:val="nil"/>
              <w:bottom w:val="single" w:color="auto" w:sz="4" w:space="0"/>
              <w:right w:val="single" w:color="auto" w:sz="4" w:space="0"/>
            </w:tcBorders>
            <w:noWrap/>
            <w:vAlign w:val="center"/>
          </w:tcPr>
          <w:p w14:paraId="02FB672A">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01B15E20">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0C749705">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6FD2576D">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2030" w:type="pct"/>
            <w:tcBorders>
              <w:top w:val="nil"/>
              <w:left w:val="nil"/>
              <w:bottom w:val="single" w:color="auto" w:sz="4" w:space="0"/>
              <w:right w:val="single" w:color="auto" w:sz="4" w:space="0"/>
            </w:tcBorders>
            <w:vAlign w:val="center"/>
          </w:tcPr>
          <w:p w14:paraId="7370E726">
            <w:pPr>
              <w:snapToGrid w:val="0"/>
              <w:spacing w:line="240" w:lineRule="exact"/>
              <w:jc w:val="both"/>
              <w:rPr>
                <w:rFonts w:ascii="Arial" w:hAnsi="Arial" w:cs="Arial"/>
                <w:sz w:val="16"/>
                <w:szCs w:val="18"/>
                <w:highlight w:val="none"/>
              </w:rPr>
            </w:pPr>
            <w:r>
              <w:rPr>
                <w:rFonts w:hint="eastAsia" w:ascii="Arial" w:hAnsi="Arial" w:cs="Arial"/>
                <w:sz w:val="16"/>
                <w:szCs w:val="18"/>
                <w:highlight w:val="none"/>
              </w:rPr>
              <w:t>根据周边污染源的范围，判断优劣，每档相差2分</w:t>
            </w:r>
            <w:r>
              <w:rPr>
                <w:rFonts w:ascii="Arial" w:hAnsi="Arial" w:cs="Arial"/>
                <w:sz w:val="16"/>
                <w:szCs w:val="18"/>
                <w:highlight w:val="none"/>
              </w:rPr>
              <w:t>，确定可比实例1、2、3该因素指数分别为100、100、100</w:t>
            </w:r>
            <w:r>
              <w:rPr>
                <w:rFonts w:hint="eastAsia" w:ascii="Arial" w:hAnsi="Arial" w:cs="Arial"/>
                <w:sz w:val="16"/>
                <w:szCs w:val="18"/>
                <w:highlight w:val="none"/>
              </w:rPr>
              <w:t>；</w:t>
            </w:r>
          </w:p>
        </w:tc>
      </w:tr>
      <w:tr w14:paraId="2756E3D6">
        <w:tblPrEx>
          <w:tblCellMar>
            <w:top w:w="57" w:type="dxa"/>
            <w:left w:w="57" w:type="dxa"/>
            <w:bottom w:w="57" w:type="dxa"/>
            <w:right w:w="57" w:type="dxa"/>
          </w:tblCellMar>
        </w:tblPrEx>
        <w:trPr>
          <w:trHeight w:val="20" w:hRule="atLeast"/>
          <w:jc w:val="center"/>
        </w:trPr>
        <w:tc>
          <w:tcPr>
            <w:tcW w:w="307" w:type="pct"/>
            <w:vMerge w:val="continue"/>
            <w:tcBorders>
              <w:top w:val="single" w:color="auto" w:sz="4" w:space="0"/>
              <w:left w:val="single" w:color="auto" w:sz="4" w:space="0"/>
              <w:bottom w:val="single" w:color="auto" w:sz="4" w:space="0"/>
              <w:right w:val="single" w:color="auto" w:sz="4" w:space="0"/>
            </w:tcBorders>
            <w:vAlign w:val="center"/>
          </w:tcPr>
          <w:p w14:paraId="0F545D64">
            <w:pPr>
              <w:snapToGrid w:val="0"/>
              <w:spacing w:line="240" w:lineRule="exact"/>
              <w:jc w:val="both"/>
              <w:rPr>
                <w:rFonts w:ascii="宋体" w:hAnsi="宋体" w:cs="Arial"/>
                <w:sz w:val="16"/>
                <w:szCs w:val="18"/>
                <w:highlight w:val="none"/>
              </w:rPr>
            </w:pPr>
          </w:p>
        </w:tc>
        <w:tc>
          <w:tcPr>
            <w:tcW w:w="535" w:type="pct"/>
            <w:tcBorders>
              <w:top w:val="nil"/>
              <w:left w:val="nil"/>
              <w:bottom w:val="single" w:color="auto" w:sz="4" w:space="0"/>
              <w:right w:val="single" w:color="auto" w:sz="4" w:space="0"/>
            </w:tcBorders>
            <w:vAlign w:val="center"/>
          </w:tcPr>
          <w:p w14:paraId="328F70CA">
            <w:pPr>
              <w:widowControl/>
              <w:adjustRightInd/>
              <w:spacing w:line="240" w:lineRule="auto"/>
              <w:jc w:val="center"/>
              <w:textAlignment w:val="auto"/>
              <w:rPr>
                <w:rFonts w:ascii="宋体" w:hAnsi="宋体" w:cs="Arial"/>
                <w:sz w:val="16"/>
                <w:szCs w:val="18"/>
                <w:highlight w:val="none"/>
              </w:rPr>
            </w:pPr>
            <w:r>
              <w:rPr>
                <w:rFonts w:ascii="宋体" w:hAnsi="宋体" w:cs="Arial"/>
                <w:sz w:val="16"/>
                <w:szCs w:val="18"/>
                <w:highlight w:val="none"/>
              </w:rPr>
              <w:t>自然环境</w:t>
            </w:r>
          </w:p>
        </w:tc>
        <w:tc>
          <w:tcPr>
            <w:tcW w:w="531" w:type="pct"/>
            <w:tcBorders>
              <w:top w:val="nil"/>
              <w:left w:val="nil"/>
              <w:bottom w:val="single" w:color="auto" w:sz="4" w:space="0"/>
              <w:right w:val="single" w:color="auto" w:sz="4" w:space="0"/>
            </w:tcBorders>
            <w:noWrap/>
            <w:vAlign w:val="center"/>
          </w:tcPr>
          <w:p w14:paraId="43E6B659">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04EE3A52">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424001EE">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2C96CC65">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2030" w:type="pct"/>
            <w:tcBorders>
              <w:top w:val="nil"/>
              <w:left w:val="nil"/>
              <w:bottom w:val="single" w:color="auto" w:sz="4" w:space="0"/>
              <w:right w:val="single" w:color="auto" w:sz="4" w:space="0"/>
            </w:tcBorders>
            <w:vAlign w:val="center"/>
          </w:tcPr>
          <w:p w14:paraId="302C1CBA">
            <w:pPr>
              <w:snapToGrid w:val="0"/>
              <w:spacing w:line="240" w:lineRule="exact"/>
              <w:jc w:val="both"/>
              <w:rPr>
                <w:rFonts w:ascii="Arial" w:hAnsi="Arial" w:cs="Arial"/>
                <w:sz w:val="16"/>
                <w:szCs w:val="18"/>
                <w:highlight w:val="none"/>
              </w:rPr>
            </w:pPr>
            <w:r>
              <w:rPr>
                <w:rFonts w:ascii="Arial" w:hAnsi="Arial" w:cs="Arial"/>
                <w:sz w:val="16"/>
                <w:szCs w:val="18"/>
                <w:highlight w:val="none"/>
              </w:rPr>
              <w:t>从好到差划分为好、较好、一般、较差、差五个等级，每个等级相差2分，确定可比实例1、2、3该因素指数分别为100、100、100；</w:t>
            </w:r>
          </w:p>
        </w:tc>
      </w:tr>
      <w:tr w14:paraId="7623C9B4">
        <w:tblPrEx>
          <w:tblCellMar>
            <w:top w:w="57" w:type="dxa"/>
            <w:left w:w="57" w:type="dxa"/>
            <w:bottom w:w="57" w:type="dxa"/>
            <w:right w:w="57" w:type="dxa"/>
          </w:tblCellMar>
        </w:tblPrEx>
        <w:trPr>
          <w:trHeight w:val="20" w:hRule="atLeast"/>
          <w:jc w:val="center"/>
        </w:trPr>
        <w:tc>
          <w:tcPr>
            <w:tcW w:w="307" w:type="pct"/>
            <w:vMerge w:val="continue"/>
            <w:tcBorders>
              <w:top w:val="single" w:color="auto" w:sz="4" w:space="0"/>
              <w:left w:val="single" w:color="auto" w:sz="4" w:space="0"/>
              <w:bottom w:val="single" w:color="auto" w:sz="4" w:space="0"/>
              <w:right w:val="single" w:color="auto" w:sz="4" w:space="0"/>
            </w:tcBorders>
            <w:vAlign w:val="center"/>
          </w:tcPr>
          <w:p w14:paraId="4B6F6188">
            <w:pPr>
              <w:snapToGrid w:val="0"/>
              <w:spacing w:line="240" w:lineRule="exact"/>
              <w:jc w:val="both"/>
              <w:rPr>
                <w:rFonts w:ascii="宋体" w:hAnsi="宋体" w:cs="Arial"/>
                <w:sz w:val="16"/>
                <w:szCs w:val="18"/>
                <w:highlight w:val="none"/>
              </w:rPr>
            </w:pPr>
          </w:p>
        </w:tc>
        <w:tc>
          <w:tcPr>
            <w:tcW w:w="535" w:type="pct"/>
            <w:tcBorders>
              <w:top w:val="nil"/>
              <w:left w:val="nil"/>
              <w:bottom w:val="single" w:color="auto" w:sz="4" w:space="0"/>
              <w:right w:val="single" w:color="auto" w:sz="4" w:space="0"/>
            </w:tcBorders>
            <w:vAlign w:val="center"/>
          </w:tcPr>
          <w:p w14:paraId="0AFD819D">
            <w:pPr>
              <w:widowControl/>
              <w:adjustRightInd/>
              <w:spacing w:line="240" w:lineRule="auto"/>
              <w:jc w:val="center"/>
              <w:textAlignment w:val="auto"/>
              <w:rPr>
                <w:rFonts w:ascii="宋体" w:hAnsi="宋体" w:cs="Arial"/>
                <w:sz w:val="16"/>
                <w:szCs w:val="18"/>
                <w:highlight w:val="none"/>
              </w:rPr>
            </w:pPr>
            <w:r>
              <w:rPr>
                <w:rFonts w:hint="eastAsia" w:ascii="宋体" w:hAnsi="宋体" w:cs="Arial"/>
                <w:sz w:val="16"/>
                <w:szCs w:val="18"/>
                <w:highlight w:val="none"/>
              </w:rPr>
              <w:t>小区环境</w:t>
            </w:r>
          </w:p>
        </w:tc>
        <w:tc>
          <w:tcPr>
            <w:tcW w:w="531" w:type="pct"/>
            <w:tcBorders>
              <w:top w:val="nil"/>
              <w:left w:val="nil"/>
              <w:bottom w:val="single" w:color="auto" w:sz="4" w:space="0"/>
              <w:right w:val="single" w:color="auto" w:sz="4" w:space="0"/>
            </w:tcBorders>
            <w:noWrap/>
            <w:vAlign w:val="center"/>
          </w:tcPr>
          <w:p w14:paraId="3A622A65">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63012DAB">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3F41F62D">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608DFC41">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2030" w:type="pct"/>
            <w:tcBorders>
              <w:top w:val="nil"/>
              <w:left w:val="nil"/>
              <w:bottom w:val="single" w:color="auto" w:sz="4" w:space="0"/>
              <w:right w:val="single" w:color="auto" w:sz="4" w:space="0"/>
            </w:tcBorders>
            <w:vAlign w:val="center"/>
          </w:tcPr>
          <w:p w14:paraId="421336A2">
            <w:pPr>
              <w:snapToGrid w:val="0"/>
              <w:spacing w:line="240" w:lineRule="exact"/>
              <w:jc w:val="both"/>
              <w:rPr>
                <w:rFonts w:ascii="Arial" w:hAnsi="Arial" w:cs="Arial"/>
                <w:sz w:val="16"/>
                <w:szCs w:val="18"/>
                <w:highlight w:val="none"/>
              </w:rPr>
            </w:pPr>
            <w:r>
              <w:rPr>
                <w:rFonts w:hint="eastAsia" w:ascii="Arial" w:hAnsi="Arial" w:cs="Arial"/>
                <w:sz w:val="16"/>
                <w:szCs w:val="18"/>
                <w:highlight w:val="none"/>
              </w:rPr>
              <w:t>根据小区道路、绿化率、景观设计及人车分流情况分为一档，每级相差1分，</w:t>
            </w:r>
            <w:r>
              <w:rPr>
                <w:rFonts w:ascii="Arial" w:hAnsi="Arial" w:cs="Arial"/>
                <w:sz w:val="16"/>
                <w:szCs w:val="18"/>
                <w:highlight w:val="none"/>
              </w:rPr>
              <w:t>确定可比实例1、2、3该因素指数分别为100、100、100；</w:t>
            </w:r>
          </w:p>
        </w:tc>
      </w:tr>
      <w:tr w14:paraId="07F37846">
        <w:tblPrEx>
          <w:tblCellMar>
            <w:top w:w="57" w:type="dxa"/>
            <w:left w:w="57" w:type="dxa"/>
            <w:bottom w:w="57" w:type="dxa"/>
            <w:right w:w="57" w:type="dxa"/>
          </w:tblCellMar>
        </w:tblPrEx>
        <w:trPr>
          <w:trHeight w:val="20" w:hRule="atLeast"/>
          <w:jc w:val="center"/>
        </w:trPr>
        <w:tc>
          <w:tcPr>
            <w:tcW w:w="307" w:type="pct"/>
            <w:vMerge w:val="continue"/>
            <w:tcBorders>
              <w:top w:val="single" w:color="auto" w:sz="4" w:space="0"/>
              <w:left w:val="single" w:color="auto" w:sz="4" w:space="0"/>
              <w:bottom w:val="single" w:color="auto" w:sz="4" w:space="0"/>
              <w:right w:val="single" w:color="auto" w:sz="4" w:space="0"/>
            </w:tcBorders>
            <w:vAlign w:val="center"/>
          </w:tcPr>
          <w:p w14:paraId="55FDEAF6">
            <w:pPr>
              <w:snapToGrid w:val="0"/>
              <w:spacing w:line="240" w:lineRule="exact"/>
              <w:jc w:val="both"/>
              <w:rPr>
                <w:rFonts w:ascii="宋体" w:hAnsi="宋体" w:cs="Arial"/>
                <w:sz w:val="16"/>
                <w:szCs w:val="18"/>
                <w:highlight w:val="none"/>
              </w:rPr>
            </w:pPr>
          </w:p>
        </w:tc>
        <w:tc>
          <w:tcPr>
            <w:tcW w:w="535" w:type="pct"/>
            <w:tcBorders>
              <w:top w:val="nil"/>
              <w:left w:val="nil"/>
              <w:bottom w:val="single" w:color="auto" w:sz="4" w:space="0"/>
              <w:right w:val="single" w:color="auto" w:sz="4" w:space="0"/>
            </w:tcBorders>
            <w:vAlign w:val="center"/>
          </w:tcPr>
          <w:p w14:paraId="092BC0DA">
            <w:pPr>
              <w:widowControl/>
              <w:adjustRightInd/>
              <w:spacing w:line="240" w:lineRule="auto"/>
              <w:jc w:val="center"/>
              <w:textAlignment w:val="auto"/>
              <w:rPr>
                <w:rFonts w:ascii="宋体" w:hAnsi="宋体" w:cs="Arial"/>
                <w:sz w:val="16"/>
                <w:szCs w:val="18"/>
                <w:highlight w:val="none"/>
              </w:rPr>
            </w:pPr>
            <w:r>
              <w:rPr>
                <w:rFonts w:hint="eastAsia" w:ascii="宋体" w:hAnsi="宋体" w:cs="Arial"/>
                <w:sz w:val="16"/>
                <w:szCs w:val="18"/>
                <w:highlight w:val="none"/>
              </w:rPr>
              <w:t>公共服务设施状况</w:t>
            </w:r>
          </w:p>
        </w:tc>
        <w:tc>
          <w:tcPr>
            <w:tcW w:w="531" w:type="pct"/>
            <w:tcBorders>
              <w:top w:val="nil"/>
              <w:left w:val="nil"/>
              <w:bottom w:val="single" w:color="auto" w:sz="4" w:space="0"/>
              <w:right w:val="single" w:color="auto" w:sz="4" w:space="0"/>
            </w:tcBorders>
            <w:noWrap/>
            <w:vAlign w:val="center"/>
          </w:tcPr>
          <w:p w14:paraId="6E922ABB">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787E4955">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1FD03665">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11C3858E">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2030" w:type="pct"/>
            <w:tcBorders>
              <w:top w:val="nil"/>
              <w:left w:val="nil"/>
              <w:bottom w:val="single" w:color="auto" w:sz="4" w:space="0"/>
              <w:right w:val="single" w:color="auto" w:sz="4" w:space="0"/>
            </w:tcBorders>
            <w:vAlign w:val="center"/>
          </w:tcPr>
          <w:p w14:paraId="14E7494B">
            <w:pPr>
              <w:snapToGrid w:val="0"/>
              <w:spacing w:line="240" w:lineRule="exact"/>
              <w:jc w:val="both"/>
              <w:rPr>
                <w:rFonts w:ascii="Arial" w:hAnsi="Arial" w:cs="Arial"/>
                <w:sz w:val="16"/>
                <w:szCs w:val="18"/>
                <w:highlight w:val="none"/>
              </w:rPr>
            </w:pPr>
            <w:r>
              <w:rPr>
                <w:rFonts w:ascii="Arial" w:hAnsi="Arial" w:cs="Arial"/>
                <w:sz w:val="16"/>
                <w:szCs w:val="18"/>
                <w:highlight w:val="none"/>
              </w:rPr>
              <w:t>从好到差划分为齐全、较齐全、一般、较不齐全、不齐全五个等级，每个等级相差5分，确定可比实例1、2、3该因素指数分别为100、100、100；</w:t>
            </w:r>
          </w:p>
        </w:tc>
      </w:tr>
      <w:tr w14:paraId="27AE8237">
        <w:tblPrEx>
          <w:tblCellMar>
            <w:top w:w="57" w:type="dxa"/>
            <w:left w:w="57" w:type="dxa"/>
            <w:bottom w:w="57" w:type="dxa"/>
            <w:right w:w="57" w:type="dxa"/>
          </w:tblCellMar>
        </w:tblPrEx>
        <w:trPr>
          <w:trHeight w:val="20" w:hRule="atLeast"/>
          <w:jc w:val="center"/>
        </w:trPr>
        <w:tc>
          <w:tcPr>
            <w:tcW w:w="307" w:type="pct"/>
            <w:vMerge w:val="continue"/>
            <w:tcBorders>
              <w:top w:val="single" w:color="auto" w:sz="4" w:space="0"/>
              <w:left w:val="single" w:color="auto" w:sz="4" w:space="0"/>
              <w:bottom w:val="single" w:color="auto" w:sz="4" w:space="0"/>
              <w:right w:val="single" w:color="auto" w:sz="4" w:space="0"/>
            </w:tcBorders>
            <w:vAlign w:val="center"/>
          </w:tcPr>
          <w:p w14:paraId="2259C77C">
            <w:pPr>
              <w:snapToGrid w:val="0"/>
              <w:spacing w:line="240" w:lineRule="exact"/>
              <w:jc w:val="both"/>
              <w:rPr>
                <w:rFonts w:ascii="宋体" w:hAnsi="宋体" w:cs="Arial"/>
                <w:sz w:val="16"/>
                <w:szCs w:val="18"/>
                <w:highlight w:val="none"/>
              </w:rPr>
            </w:pPr>
          </w:p>
        </w:tc>
        <w:tc>
          <w:tcPr>
            <w:tcW w:w="535" w:type="pct"/>
            <w:tcBorders>
              <w:top w:val="nil"/>
              <w:left w:val="nil"/>
              <w:bottom w:val="single" w:color="auto" w:sz="4" w:space="0"/>
              <w:right w:val="single" w:color="auto" w:sz="4" w:space="0"/>
            </w:tcBorders>
            <w:vAlign w:val="center"/>
          </w:tcPr>
          <w:p w14:paraId="261F30E3">
            <w:pPr>
              <w:widowControl/>
              <w:adjustRightInd/>
              <w:spacing w:line="240" w:lineRule="auto"/>
              <w:jc w:val="center"/>
              <w:textAlignment w:val="auto"/>
              <w:rPr>
                <w:rFonts w:hint="default" w:ascii="宋体" w:hAnsi="宋体" w:eastAsia="宋体" w:cs="Arial"/>
                <w:sz w:val="16"/>
                <w:szCs w:val="18"/>
                <w:highlight w:val="none"/>
                <w:lang w:val="en-US" w:eastAsia="zh-CN"/>
              </w:rPr>
            </w:pPr>
            <w:r>
              <w:rPr>
                <w:rFonts w:hint="eastAsia" w:ascii="宋体" w:hAnsi="宋体" w:cs="Arial"/>
                <w:sz w:val="16"/>
                <w:szCs w:val="18"/>
                <w:highlight w:val="none"/>
                <w:lang w:val="en-US" w:eastAsia="zh-CN"/>
              </w:rPr>
              <w:t>建筑类型</w:t>
            </w:r>
          </w:p>
        </w:tc>
        <w:tc>
          <w:tcPr>
            <w:tcW w:w="531" w:type="pct"/>
            <w:tcBorders>
              <w:top w:val="nil"/>
              <w:left w:val="nil"/>
              <w:bottom w:val="single" w:color="auto" w:sz="4" w:space="0"/>
              <w:right w:val="single" w:color="auto" w:sz="4" w:space="0"/>
            </w:tcBorders>
            <w:shd w:val="clear" w:color="auto" w:fill="auto"/>
            <w:noWrap/>
            <w:vAlign w:val="center"/>
          </w:tcPr>
          <w:p w14:paraId="184F0A07">
            <w:pPr>
              <w:snapToGrid w:val="0"/>
              <w:spacing w:line="240" w:lineRule="exact"/>
              <w:jc w:val="both"/>
              <w:rPr>
                <w:rFonts w:ascii="Arial" w:hAnsi="Arial" w:eastAsia="宋体" w:cs="Arial"/>
                <w:sz w:val="16"/>
                <w:szCs w:val="18"/>
                <w:highlight w:val="none"/>
                <w:lang w:val="en-US" w:eastAsia="zh-CN" w:bidi="ar-SA"/>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shd w:val="clear" w:color="auto" w:fill="auto"/>
            <w:noWrap/>
            <w:vAlign w:val="center"/>
          </w:tcPr>
          <w:p w14:paraId="6F92DDD5">
            <w:pPr>
              <w:snapToGrid w:val="0"/>
              <w:spacing w:line="240" w:lineRule="exact"/>
              <w:jc w:val="both"/>
              <w:rPr>
                <w:rFonts w:hint="default" w:ascii="Arial" w:hAnsi="Arial" w:eastAsia="宋体" w:cs="Arial"/>
                <w:sz w:val="16"/>
                <w:szCs w:val="18"/>
                <w:highlight w:val="none"/>
                <w:lang w:val="en-US" w:eastAsia="zh-CN" w:bidi="ar-SA"/>
              </w:rPr>
            </w:pPr>
            <w:r>
              <w:rPr>
                <w:rFonts w:ascii="Arial" w:hAnsi="Arial" w:cs="Arial"/>
                <w:sz w:val="16"/>
                <w:szCs w:val="18"/>
                <w:highlight w:val="none"/>
              </w:rPr>
              <w:t>1</w:t>
            </w:r>
            <w:r>
              <w:rPr>
                <w:rFonts w:hint="eastAsia" w:ascii="Arial" w:hAnsi="Arial" w:cs="Arial"/>
                <w:sz w:val="16"/>
                <w:szCs w:val="18"/>
                <w:highlight w:val="none"/>
                <w:lang w:val="en-US" w:eastAsia="zh-CN"/>
              </w:rPr>
              <w:t>05</w:t>
            </w:r>
          </w:p>
        </w:tc>
        <w:tc>
          <w:tcPr>
            <w:tcW w:w="531" w:type="pct"/>
            <w:tcBorders>
              <w:top w:val="nil"/>
              <w:left w:val="nil"/>
              <w:bottom w:val="single" w:color="auto" w:sz="4" w:space="0"/>
              <w:right w:val="single" w:color="auto" w:sz="4" w:space="0"/>
            </w:tcBorders>
            <w:shd w:val="clear" w:color="auto" w:fill="auto"/>
            <w:noWrap/>
            <w:vAlign w:val="center"/>
          </w:tcPr>
          <w:p w14:paraId="29235CD3">
            <w:pPr>
              <w:snapToGrid w:val="0"/>
              <w:spacing w:line="240" w:lineRule="exact"/>
              <w:jc w:val="both"/>
              <w:rPr>
                <w:rFonts w:hint="eastAsia" w:ascii="Arial" w:hAnsi="Arial" w:eastAsia="宋体" w:cs="Arial"/>
                <w:sz w:val="16"/>
                <w:szCs w:val="18"/>
                <w:highlight w:val="none"/>
                <w:lang w:val="en-US" w:eastAsia="zh-CN" w:bidi="ar-SA"/>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shd w:val="clear" w:color="auto" w:fill="auto"/>
            <w:noWrap/>
            <w:vAlign w:val="center"/>
          </w:tcPr>
          <w:p w14:paraId="76AF126E">
            <w:pPr>
              <w:snapToGrid w:val="0"/>
              <w:spacing w:line="240" w:lineRule="exact"/>
              <w:jc w:val="both"/>
              <w:rPr>
                <w:rFonts w:ascii="Arial" w:hAnsi="Arial" w:eastAsia="宋体" w:cs="Arial"/>
                <w:sz w:val="16"/>
                <w:szCs w:val="18"/>
                <w:highlight w:val="none"/>
                <w:lang w:val="en-US" w:eastAsia="zh-CN" w:bidi="ar-SA"/>
              </w:rPr>
            </w:pPr>
            <w:r>
              <w:rPr>
                <w:rFonts w:ascii="Arial" w:hAnsi="Arial" w:cs="Arial"/>
                <w:sz w:val="16"/>
                <w:szCs w:val="18"/>
                <w:highlight w:val="none"/>
              </w:rPr>
              <w:t>100</w:t>
            </w:r>
          </w:p>
        </w:tc>
        <w:tc>
          <w:tcPr>
            <w:tcW w:w="2030" w:type="pct"/>
            <w:tcBorders>
              <w:top w:val="nil"/>
              <w:left w:val="nil"/>
              <w:bottom w:val="single" w:color="auto" w:sz="4" w:space="0"/>
              <w:right w:val="single" w:color="auto" w:sz="4" w:space="0"/>
            </w:tcBorders>
            <w:shd w:val="clear" w:color="auto" w:fill="auto"/>
            <w:vAlign w:val="center"/>
          </w:tcPr>
          <w:p w14:paraId="24196BE4">
            <w:pPr>
              <w:snapToGrid w:val="0"/>
              <w:spacing w:line="240" w:lineRule="exact"/>
              <w:jc w:val="both"/>
              <w:rPr>
                <w:rFonts w:ascii="Arial" w:hAnsi="Arial" w:eastAsia="宋体" w:cs="Arial"/>
                <w:sz w:val="16"/>
                <w:szCs w:val="18"/>
                <w:highlight w:val="none"/>
                <w:lang w:val="en-US" w:eastAsia="zh-CN" w:bidi="ar-SA"/>
              </w:rPr>
            </w:pPr>
            <w:r>
              <w:rPr>
                <w:rFonts w:ascii="Arial" w:hAnsi="Arial" w:cs="Arial"/>
                <w:sz w:val="16"/>
                <w:szCs w:val="18"/>
                <w:highlight w:val="none"/>
              </w:rPr>
              <w:t>分为</w:t>
            </w:r>
            <w:r>
              <w:rPr>
                <w:rFonts w:hint="eastAsia" w:ascii="Arial" w:hAnsi="Arial" w:cs="Arial"/>
                <w:sz w:val="16"/>
                <w:szCs w:val="18"/>
                <w:highlight w:val="none"/>
                <w:lang w:val="en-US" w:eastAsia="zh-CN"/>
              </w:rPr>
              <w:t>多层板楼、高层板楼、板塔结合、塔楼四</w:t>
            </w:r>
            <w:r>
              <w:rPr>
                <w:rFonts w:ascii="Arial" w:hAnsi="Arial" w:cs="Arial"/>
                <w:sz w:val="16"/>
                <w:szCs w:val="18"/>
                <w:highlight w:val="none"/>
              </w:rPr>
              <w:t>个等级，以估价对象指数为 100，每相差一个等级，每级相差</w:t>
            </w:r>
            <w:r>
              <w:rPr>
                <w:rFonts w:hint="eastAsia" w:ascii="Arial" w:hAnsi="Arial" w:cs="Arial"/>
                <w:sz w:val="16"/>
                <w:szCs w:val="18"/>
                <w:highlight w:val="none"/>
                <w:lang w:val="en-US" w:eastAsia="zh-CN"/>
              </w:rPr>
              <w:t>5</w:t>
            </w:r>
            <w:r>
              <w:rPr>
                <w:rFonts w:ascii="Arial" w:hAnsi="Arial" w:cs="Arial"/>
                <w:sz w:val="16"/>
                <w:szCs w:val="18"/>
                <w:highlight w:val="none"/>
              </w:rPr>
              <w:t>分，确定可比实例1、2、3该因素指数分别为</w:t>
            </w:r>
            <w:r>
              <w:rPr>
                <w:rFonts w:hint="eastAsia" w:ascii="Arial" w:hAnsi="Arial" w:cs="Arial"/>
                <w:sz w:val="16"/>
                <w:szCs w:val="18"/>
                <w:highlight w:val="none"/>
                <w:lang w:val="en-US" w:eastAsia="zh-CN"/>
              </w:rPr>
              <w:t>105</w:t>
            </w:r>
            <w:r>
              <w:rPr>
                <w:rFonts w:ascii="Arial" w:hAnsi="Arial" w:cs="Arial"/>
                <w:sz w:val="16"/>
                <w:szCs w:val="18"/>
                <w:highlight w:val="none"/>
              </w:rPr>
              <w:t>、</w:t>
            </w:r>
            <w:r>
              <w:rPr>
                <w:rFonts w:hint="eastAsia" w:ascii="Arial" w:hAnsi="Arial" w:cs="Arial"/>
                <w:sz w:val="16"/>
                <w:szCs w:val="18"/>
                <w:highlight w:val="none"/>
              </w:rPr>
              <w:t>100</w:t>
            </w:r>
            <w:r>
              <w:rPr>
                <w:rFonts w:ascii="Arial" w:hAnsi="Arial" w:cs="Arial"/>
                <w:sz w:val="16"/>
                <w:szCs w:val="18"/>
                <w:highlight w:val="none"/>
              </w:rPr>
              <w:t>、100；</w:t>
            </w:r>
          </w:p>
        </w:tc>
      </w:tr>
      <w:tr w14:paraId="6A236AE5">
        <w:tblPrEx>
          <w:tblCellMar>
            <w:top w:w="57" w:type="dxa"/>
            <w:left w:w="57" w:type="dxa"/>
            <w:bottom w:w="57" w:type="dxa"/>
            <w:right w:w="57" w:type="dxa"/>
          </w:tblCellMar>
        </w:tblPrEx>
        <w:trPr>
          <w:trHeight w:val="20" w:hRule="atLeast"/>
          <w:jc w:val="center"/>
        </w:trPr>
        <w:tc>
          <w:tcPr>
            <w:tcW w:w="307" w:type="pct"/>
            <w:vMerge w:val="continue"/>
            <w:tcBorders>
              <w:top w:val="single" w:color="auto" w:sz="4" w:space="0"/>
              <w:left w:val="single" w:color="auto" w:sz="4" w:space="0"/>
              <w:bottom w:val="single" w:color="auto" w:sz="4" w:space="0"/>
              <w:right w:val="single" w:color="auto" w:sz="4" w:space="0"/>
            </w:tcBorders>
            <w:vAlign w:val="center"/>
          </w:tcPr>
          <w:p w14:paraId="37832CA2">
            <w:pPr>
              <w:snapToGrid w:val="0"/>
              <w:spacing w:line="240" w:lineRule="exact"/>
              <w:jc w:val="both"/>
              <w:rPr>
                <w:rFonts w:ascii="宋体" w:hAnsi="宋体" w:cs="Arial"/>
                <w:sz w:val="16"/>
                <w:szCs w:val="18"/>
                <w:highlight w:val="none"/>
              </w:rPr>
            </w:pPr>
          </w:p>
        </w:tc>
        <w:tc>
          <w:tcPr>
            <w:tcW w:w="535" w:type="pct"/>
            <w:tcBorders>
              <w:top w:val="nil"/>
              <w:left w:val="nil"/>
              <w:bottom w:val="single" w:color="auto" w:sz="4" w:space="0"/>
              <w:right w:val="single" w:color="auto" w:sz="4" w:space="0"/>
            </w:tcBorders>
            <w:vAlign w:val="center"/>
          </w:tcPr>
          <w:p w14:paraId="6946A068">
            <w:pPr>
              <w:widowControl/>
              <w:adjustRightInd/>
              <w:spacing w:line="240" w:lineRule="auto"/>
              <w:jc w:val="center"/>
              <w:textAlignment w:val="auto"/>
              <w:rPr>
                <w:rFonts w:ascii="宋体" w:hAnsi="宋体" w:cs="Arial"/>
                <w:sz w:val="16"/>
                <w:szCs w:val="18"/>
                <w:highlight w:val="none"/>
              </w:rPr>
            </w:pPr>
            <w:r>
              <w:rPr>
                <w:rFonts w:ascii="宋体" w:hAnsi="宋体" w:cs="Arial"/>
                <w:sz w:val="16"/>
                <w:szCs w:val="18"/>
                <w:highlight w:val="none"/>
              </w:rPr>
              <w:t>楼层</w:t>
            </w:r>
          </w:p>
        </w:tc>
        <w:tc>
          <w:tcPr>
            <w:tcW w:w="531" w:type="pct"/>
            <w:tcBorders>
              <w:top w:val="nil"/>
              <w:left w:val="nil"/>
              <w:bottom w:val="single" w:color="auto" w:sz="4" w:space="0"/>
              <w:right w:val="single" w:color="auto" w:sz="4" w:space="0"/>
            </w:tcBorders>
            <w:noWrap/>
            <w:vAlign w:val="center"/>
          </w:tcPr>
          <w:p w14:paraId="5584B71B">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5F717447">
            <w:pPr>
              <w:snapToGrid w:val="0"/>
              <w:spacing w:line="240" w:lineRule="exact"/>
              <w:jc w:val="both"/>
              <w:rPr>
                <w:rFonts w:hint="default" w:ascii="Arial" w:hAnsi="Arial" w:eastAsia="宋体" w:cs="Arial"/>
                <w:sz w:val="16"/>
                <w:szCs w:val="18"/>
                <w:highlight w:val="none"/>
                <w:lang w:val="en-US" w:eastAsia="zh-CN"/>
              </w:rPr>
            </w:pPr>
            <w:r>
              <w:rPr>
                <w:rFonts w:hint="eastAsia" w:ascii="Arial" w:hAnsi="Arial" w:cs="Arial"/>
                <w:sz w:val="16"/>
                <w:szCs w:val="18"/>
                <w:highlight w:val="none"/>
                <w:lang w:val="en-US" w:eastAsia="zh-CN"/>
              </w:rPr>
              <w:t>99</w:t>
            </w:r>
          </w:p>
        </w:tc>
        <w:tc>
          <w:tcPr>
            <w:tcW w:w="531" w:type="pct"/>
            <w:tcBorders>
              <w:top w:val="nil"/>
              <w:left w:val="nil"/>
              <w:bottom w:val="single" w:color="auto" w:sz="4" w:space="0"/>
              <w:right w:val="single" w:color="auto" w:sz="4" w:space="0"/>
            </w:tcBorders>
            <w:noWrap/>
            <w:vAlign w:val="center"/>
          </w:tcPr>
          <w:p w14:paraId="1E86B018">
            <w:pPr>
              <w:snapToGrid w:val="0"/>
              <w:spacing w:line="240" w:lineRule="exact"/>
              <w:jc w:val="both"/>
              <w:rPr>
                <w:rFonts w:hint="default" w:ascii="Arial" w:hAnsi="Arial" w:eastAsia="宋体" w:cs="Arial"/>
                <w:sz w:val="16"/>
                <w:szCs w:val="18"/>
                <w:highlight w:val="none"/>
                <w:lang w:val="en-US" w:eastAsia="zh-CN"/>
              </w:rPr>
            </w:pPr>
            <w:r>
              <w:rPr>
                <w:rFonts w:hint="eastAsia" w:ascii="Arial" w:hAnsi="Arial" w:cs="Arial"/>
                <w:sz w:val="16"/>
                <w:szCs w:val="18"/>
                <w:highlight w:val="none"/>
                <w:lang w:val="en-US" w:eastAsia="zh-CN"/>
              </w:rPr>
              <w:t>99</w:t>
            </w:r>
          </w:p>
        </w:tc>
        <w:tc>
          <w:tcPr>
            <w:tcW w:w="531" w:type="pct"/>
            <w:tcBorders>
              <w:top w:val="nil"/>
              <w:left w:val="nil"/>
              <w:bottom w:val="single" w:color="auto" w:sz="4" w:space="0"/>
              <w:right w:val="single" w:color="auto" w:sz="4" w:space="0"/>
            </w:tcBorders>
            <w:noWrap/>
            <w:vAlign w:val="center"/>
          </w:tcPr>
          <w:p w14:paraId="301E5C91">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2030" w:type="pct"/>
            <w:tcBorders>
              <w:top w:val="nil"/>
              <w:left w:val="nil"/>
              <w:bottom w:val="single" w:color="auto" w:sz="4" w:space="0"/>
              <w:right w:val="single" w:color="auto" w:sz="4" w:space="0"/>
            </w:tcBorders>
            <w:vAlign w:val="center"/>
          </w:tcPr>
          <w:p w14:paraId="17D1E3F8">
            <w:pPr>
              <w:snapToGrid w:val="0"/>
              <w:spacing w:line="240" w:lineRule="exact"/>
              <w:jc w:val="both"/>
              <w:rPr>
                <w:rFonts w:ascii="Arial" w:hAnsi="Arial" w:cs="Arial"/>
                <w:sz w:val="16"/>
                <w:szCs w:val="18"/>
                <w:highlight w:val="none"/>
              </w:rPr>
            </w:pPr>
            <w:r>
              <w:rPr>
                <w:rFonts w:ascii="Arial" w:hAnsi="Arial" w:cs="Arial"/>
                <w:sz w:val="16"/>
                <w:szCs w:val="18"/>
                <w:highlight w:val="none"/>
              </w:rPr>
              <w:t>分为高楼层、中楼层、低楼层两个等级，以估价对象指数为 100，每相差一个等级，每级相差</w:t>
            </w:r>
            <w:r>
              <w:rPr>
                <w:rFonts w:hint="eastAsia" w:ascii="Arial" w:hAnsi="Arial" w:cs="Arial"/>
                <w:sz w:val="16"/>
                <w:szCs w:val="18"/>
                <w:highlight w:val="none"/>
                <w:lang w:val="en-US" w:eastAsia="zh-CN"/>
              </w:rPr>
              <w:t>1</w:t>
            </w:r>
            <w:r>
              <w:rPr>
                <w:rFonts w:ascii="Arial" w:hAnsi="Arial" w:cs="Arial"/>
                <w:sz w:val="16"/>
                <w:szCs w:val="18"/>
                <w:highlight w:val="none"/>
              </w:rPr>
              <w:t>分，确定可比实例1、2、3该因素指数分别为</w:t>
            </w:r>
            <w:r>
              <w:rPr>
                <w:rFonts w:hint="eastAsia" w:ascii="Arial" w:hAnsi="Arial" w:cs="Arial"/>
                <w:sz w:val="16"/>
                <w:szCs w:val="18"/>
                <w:highlight w:val="none"/>
                <w:lang w:val="en-US" w:eastAsia="zh-CN"/>
              </w:rPr>
              <w:t>99</w:t>
            </w:r>
            <w:r>
              <w:rPr>
                <w:rFonts w:ascii="Arial" w:hAnsi="Arial" w:cs="Arial"/>
                <w:sz w:val="16"/>
                <w:szCs w:val="18"/>
                <w:highlight w:val="none"/>
              </w:rPr>
              <w:t>、</w:t>
            </w:r>
            <w:r>
              <w:rPr>
                <w:rFonts w:hint="eastAsia" w:ascii="Arial" w:hAnsi="Arial" w:cs="Arial"/>
                <w:sz w:val="16"/>
                <w:szCs w:val="18"/>
                <w:highlight w:val="none"/>
                <w:lang w:val="en-US" w:eastAsia="zh-CN"/>
              </w:rPr>
              <w:t>99</w:t>
            </w:r>
            <w:r>
              <w:rPr>
                <w:rFonts w:ascii="Arial" w:hAnsi="Arial" w:cs="Arial"/>
                <w:sz w:val="16"/>
                <w:szCs w:val="18"/>
                <w:highlight w:val="none"/>
              </w:rPr>
              <w:t>、100；</w:t>
            </w:r>
          </w:p>
        </w:tc>
      </w:tr>
      <w:tr w14:paraId="36E9E6E8">
        <w:tblPrEx>
          <w:tblCellMar>
            <w:top w:w="57" w:type="dxa"/>
            <w:left w:w="57" w:type="dxa"/>
            <w:bottom w:w="57" w:type="dxa"/>
            <w:right w:w="57" w:type="dxa"/>
          </w:tblCellMar>
        </w:tblPrEx>
        <w:trPr>
          <w:trHeight w:val="20" w:hRule="atLeast"/>
          <w:jc w:val="center"/>
        </w:trPr>
        <w:tc>
          <w:tcPr>
            <w:tcW w:w="307" w:type="pct"/>
            <w:vMerge w:val="continue"/>
            <w:tcBorders>
              <w:top w:val="single" w:color="auto" w:sz="4" w:space="0"/>
              <w:left w:val="single" w:color="auto" w:sz="4" w:space="0"/>
              <w:bottom w:val="single" w:color="auto" w:sz="4" w:space="0"/>
              <w:right w:val="single" w:color="auto" w:sz="4" w:space="0"/>
            </w:tcBorders>
            <w:vAlign w:val="center"/>
          </w:tcPr>
          <w:p w14:paraId="6BC8D02B">
            <w:pPr>
              <w:snapToGrid w:val="0"/>
              <w:spacing w:line="240" w:lineRule="exact"/>
              <w:jc w:val="both"/>
              <w:rPr>
                <w:rFonts w:ascii="宋体" w:hAnsi="宋体" w:cs="Arial"/>
                <w:sz w:val="16"/>
                <w:szCs w:val="18"/>
                <w:highlight w:val="none"/>
              </w:rPr>
            </w:pPr>
          </w:p>
        </w:tc>
        <w:tc>
          <w:tcPr>
            <w:tcW w:w="535" w:type="pct"/>
            <w:tcBorders>
              <w:top w:val="nil"/>
              <w:left w:val="nil"/>
              <w:bottom w:val="single" w:color="auto" w:sz="4" w:space="0"/>
              <w:right w:val="single" w:color="auto" w:sz="4" w:space="0"/>
            </w:tcBorders>
            <w:vAlign w:val="center"/>
          </w:tcPr>
          <w:p w14:paraId="11E700ED">
            <w:pPr>
              <w:widowControl/>
              <w:adjustRightInd/>
              <w:spacing w:line="240" w:lineRule="auto"/>
              <w:jc w:val="center"/>
              <w:textAlignment w:val="auto"/>
              <w:rPr>
                <w:rFonts w:ascii="宋体" w:hAnsi="宋体" w:cs="Arial"/>
                <w:sz w:val="16"/>
                <w:szCs w:val="18"/>
                <w:highlight w:val="none"/>
              </w:rPr>
            </w:pPr>
            <w:r>
              <w:rPr>
                <w:rFonts w:ascii="宋体" w:hAnsi="宋体" w:cs="Arial"/>
                <w:sz w:val="16"/>
                <w:szCs w:val="18"/>
                <w:highlight w:val="none"/>
              </w:rPr>
              <w:t>朝向</w:t>
            </w:r>
          </w:p>
        </w:tc>
        <w:tc>
          <w:tcPr>
            <w:tcW w:w="531" w:type="pct"/>
            <w:tcBorders>
              <w:top w:val="nil"/>
              <w:left w:val="nil"/>
              <w:bottom w:val="single" w:color="auto" w:sz="4" w:space="0"/>
              <w:right w:val="single" w:color="auto" w:sz="4" w:space="0"/>
            </w:tcBorders>
            <w:noWrap/>
            <w:vAlign w:val="center"/>
          </w:tcPr>
          <w:p w14:paraId="661B4EF3">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40B0ABBA">
            <w:pPr>
              <w:snapToGrid w:val="0"/>
              <w:spacing w:line="240" w:lineRule="exact"/>
              <w:jc w:val="both"/>
              <w:rPr>
                <w:rFonts w:hint="default" w:ascii="Arial" w:hAnsi="Arial" w:eastAsia="宋体" w:cs="Arial"/>
                <w:sz w:val="16"/>
                <w:szCs w:val="18"/>
                <w:highlight w:val="none"/>
                <w:lang w:val="en-US" w:eastAsia="zh-CN"/>
              </w:rPr>
            </w:pPr>
            <w:r>
              <w:rPr>
                <w:rFonts w:hint="eastAsia" w:ascii="Arial" w:hAnsi="Arial" w:cs="Arial"/>
                <w:sz w:val="16"/>
                <w:szCs w:val="18"/>
                <w:highlight w:val="none"/>
                <w:lang w:val="en-US" w:eastAsia="zh-CN"/>
              </w:rPr>
              <w:t>99</w:t>
            </w:r>
          </w:p>
        </w:tc>
        <w:tc>
          <w:tcPr>
            <w:tcW w:w="531" w:type="pct"/>
            <w:tcBorders>
              <w:top w:val="nil"/>
              <w:left w:val="nil"/>
              <w:bottom w:val="single" w:color="auto" w:sz="4" w:space="0"/>
              <w:right w:val="single" w:color="auto" w:sz="4" w:space="0"/>
            </w:tcBorders>
            <w:noWrap/>
            <w:vAlign w:val="center"/>
          </w:tcPr>
          <w:p w14:paraId="54B8C42E">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4F4AE8BC">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2030" w:type="pct"/>
            <w:tcBorders>
              <w:top w:val="nil"/>
              <w:left w:val="nil"/>
              <w:bottom w:val="single" w:color="auto" w:sz="4" w:space="0"/>
              <w:right w:val="single" w:color="auto" w:sz="4" w:space="0"/>
            </w:tcBorders>
            <w:vAlign w:val="center"/>
          </w:tcPr>
          <w:p w14:paraId="07CF4DD7">
            <w:pPr>
              <w:snapToGrid w:val="0"/>
              <w:spacing w:line="240" w:lineRule="exact"/>
              <w:jc w:val="both"/>
              <w:rPr>
                <w:rFonts w:ascii="Arial" w:hAnsi="Arial" w:cs="Arial"/>
                <w:sz w:val="16"/>
                <w:szCs w:val="18"/>
                <w:highlight w:val="none"/>
              </w:rPr>
            </w:pPr>
            <w:r>
              <w:rPr>
                <w:rFonts w:ascii="Arial" w:hAnsi="Arial" w:cs="Arial"/>
                <w:sz w:val="16"/>
                <w:szCs w:val="18"/>
                <w:highlight w:val="none"/>
              </w:rPr>
              <w:t>从优到劣依次为：为南北向；南向；东、南；西、南；东、西；东；西；东、北；西、北；北。每档相差</w:t>
            </w:r>
            <w:r>
              <w:rPr>
                <w:rFonts w:hint="eastAsia" w:ascii="Arial" w:hAnsi="Arial" w:cs="Arial"/>
                <w:sz w:val="16"/>
                <w:szCs w:val="18"/>
                <w:highlight w:val="none"/>
                <w:lang w:val="en-US" w:eastAsia="zh-CN"/>
              </w:rPr>
              <w:t>1</w:t>
            </w:r>
            <w:r>
              <w:rPr>
                <w:rFonts w:ascii="Arial" w:hAnsi="Arial" w:cs="Arial"/>
                <w:sz w:val="16"/>
                <w:szCs w:val="18"/>
                <w:highlight w:val="none"/>
              </w:rPr>
              <w:t>分，确定可比实例1、2、3该因素指数分别为</w:t>
            </w:r>
            <w:r>
              <w:rPr>
                <w:rFonts w:hint="eastAsia" w:ascii="Arial" w:hAnsi="Arial" w:cs="Arial"/>
                <w:sz w:val="16"/>
                <w:szCs w:val="18"/>
                <w:highlight w:val="none"/>
                <w:lang w:val="en-US" w:eastAsia="zh-CN"/>
              </w:rPr>
              <w:t>99</w:t>
            </w:r>
            <w:r>
              <w:rPr>
                <w:rFonts w:hint="eastAsia" w:ascii="Arial" w:hAnsi="Arial" w:cs="Arial"/>
                <w:sz w:val="16"/>
                <w:szCs w:val="18"/>
                <w:highlight w:val="none"/>
              </w:rPr>
              <w:t>、</w:t>
            </w:r>
            <w:r>
              <w:rPr>
                <w:rFonts w:hint="eastAsia" w:ascii="Arial" w:hAnsi="Arial" w:cs="Arial"/>
                <w:sz w:val="16"/>
                <w:szCs w:val="18"/>
                <w:highlight w:val="none"/>
                <w:lang w:val="en-US" w:eastAsia="zh-CN"/>
              </w:rPr>
              <w:t>100</w:t>
            </w:r>
            <w:r>
              <w:rPr>
                <w:rFonts w:hint="eastAsia" w:ascii="Arial" w:hAnsi="Arial" w:cs="Arial"/>
                <w:sz w:val="16"/>
                <w:szCs w:val="18"/>
                <w:highlight w:val="none"/>
              </w:rPr>
              <w:t>、</w:t>
            </w:r>
            <w:r>
              <w:rPr>
                <w:rFonts w:ascii="Arial" w:hAnsi="Arial" w:cs="Arial"/>
                <w:sz w:val="16"/>
                <w:szCs w:val="18"/>
                <w:highlight w:val="none"/>
              </w:rPr>
              <w:t>1</w:t>
            </w:r>
            <w:r>
              <w:rPr>
                <w:rFonts w:hint="eastAsia" w:ascii="Arial" w:hAnsi="Arial" w:cs="Arial"/>
                <w:sz w:val="16"/>
                <w:szCs w:val="18"/>
                <w:highlight w:val="none"/>
                <w:lang w:val="en-US" w:eastAsia="zh-CN"/>
              </w:rPr>
              <w:t>00</w:t>
            </w:r>
            <w:r>
              <w:rPr>
                <w:rFonts w:ascii="Arial" w:hAnsi="Arial" w:cs="Arial"/>
                <w:sz w:val="16"/>
                <w:szCs w:val="18"/>
                <w:highlight w:val="none"/>
              </w:rPr>
              <w:t>；</w:t>
            </w:r>
          </w:p>
        </w:tc>
      </w:tr>
      <w:tr w14:paraId="50641A39">
        <w:tblPrEx>
          <w:tblCellMar>
            <w:top w:w="57" w:type="dxa"/>
            <w:left w:w="57" w:type="dxa"/>
            <w:bottom w:w="57" w:type="dxa"/>
            <w:right w:w="57" w:type="dxa"/>
          </w:tblCellMar>
        </w:tblPrEx>
        <w:trPr>
          <w:trHeight w:val="20" w:hRule="atLeast"/>
          <w:jc w:val="center"/>
        </w:trPr>
        <w:tc>
          <w:tcPr>
            <w:tcW w:w="307" w:type="pct"/>
            <w:vMerge w:val="restart"/>
            <w:tcBorders>
              <w:top w:val="single" w:color="auto" w:sz="4" w:space="0"/>
              <w:left w:val="single" w:color="auto" w:sz="4" w:space="0"/>
              <w:bottom w:val="single" w:color="auto" w:sz="4" w:space="0"/>
              <w:right w:val="single" w:color="auto" w:sz="4" w:space="0"/>
            </w:tcBorders>
            <w:noWrap/>
            <w:vAlign w:val="center"/>
          </w:tcPr>
          <w:p w14:paraId="464C15CB">
            <w:pPr>
              <w:snapToGrid w:val="0"/>
              <w:spacing w:line="240" w:lineRule="exact"/>
              <w:jc w:val="both"/>
              <w:rPr>
                <w:rFonts w:ascii="宋体" w:hAnsi="宋体" w:cs="Arial"/>
                <w:sz w:val="16"/>
                <w:szCs w:val="18"/>
                <w:highlight w:val="none"/>
              </w:rPr>
            </w:pPr>
            <w:r>
              <w:rPr>
                <w:rFonts w:ascii="宋体" w:hAnsi="宋体" w:cs="Arial"/>
                <w:sz w:val="16"/>
                <w:szCs w:val="18"/>
                <w:highlight w:val="none"/>
              </w:rPr>
              <w:t>实物</w:t>
            </w:r>
          </w:p>
          <w:p w14:paraId="6FECD978">
            <w:pPr>
              <w:snapToGrid w:val="0"/>
              <w:spacing w:line="240" w:lineRule="exact"/>
              <w:jc w:val="both"/>
              <w:rPr>
                <w:rFonts w:ascii="宋体" w:hAnsi="宋体" w:cs="Arial"/>
                <w:sz w:val="16"/>
                <w:szCs w:val="18"/>
                <w:highlight w:val="none"/>
              </w:rPr>
            </w:pPr>
            <w:r>
              <w:rPr>
                <w:rFonts w:ascii="宋体" w:hAnsi="宋体" w:cs="Arial"/>
                <w:sz w:val="16"/>
                <w:szCs w:val="18"/>
                <w:highlight w:val="none"/>
              </w:rPr>
              <w:t>状况</w:t>
            </w:r>
          </w:p>
        </w:tc>
        <w:tc>
          <w:tcPr>
            <w:tcW w:w="535" w:type="pct"/>
            <w:tcBorders>
              <w:top w:val="nil"/>
              <w:left w:val="nil"/>
              <w:bottom w:val="single" w:color="auto" w:sz="4" w:space="0"/>
              <w:right w:val="single" w:color="auto" w:sz="4" w:space="0"/>
            </w:tcBorders>
            <w:vAlign w:val="center"/>
          </w:tcPr>
          <w:p w14:paraId="6C5FD0CB">
            <w:pPr>
              <w:widowControl/>
              <w:adjustRightInd/>
              <w:spacing w:line="240" w:lineRule="auto"/>
              <w:jc w:val="center"/>
              <w:textAlignment w:val="auto"/>
              <w:rPr>
                <w:rFonts w:ascii="宋体" w:hAnsi="宋体" w:cs="Arial"/>
                <w:sz w:val="16"/>
                <w:szCs w:val="18"/>
                <w:highlight w:val="none"/>
              </w:rPr>
            </w:pPr>
            <w:r>
              <w:rPr>
                <w:rFonts w:ascii="宋体" w:hAnsi="宋体" w:cs="Arial"/>
                <w:sz w:val="16"/>
                <w:szCs w:val="18"/>
                <w:highlight w:val="none"/>
              </w:rPr>
              <w:t>成新度</w:t>
            </w:r>
          </w:p>
        </w:tc>
        <w:tc>
          <w:tcPr>
            <w:tcW w:w="531" w:type="pct"/>
            <w:tcBorders>
              <w:top w:val="nil"/>
              <w:left w:val="nil"/>
              <w:bottom w:val="single" w:color="auto" w:sz="4" w:space="0"/>
              <w:right w:val="single" w:color="auto" w:sz="4" w:space="0"/>
            </w:tcBorders>
            <w:noWrap/>
            <w:vAlign w:val="center"/>
          </w:tcPr>
          <w:p w14:paraId="32D9F3DB">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6E6CF8FD">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6598F958">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38A2937D">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2030" w:type="pct"/>
            <w:tcBorders>
              <w:top w:val="nil"/>
              <w:left w:val="nil"/>
              <w:bottom w:val="single" w:color="auto" w:sz="4" w:space="0"/>
              <w:right w:val="single" w:color="auto" w:sz="4" w:space="0"/>
            </w:tcBorders>
            <w:vAlign w:val="center"/>
          </w:tcPr>
          <w:p w14:paraId="5000F92D">
            <w:pPr>
              <w:snapToGrid w:val="0"/>
              <w:spacing w:line="240" w:lineRule="exact"/>
              <w:jc w:val="both"/>
              <w:rPr>
                <w:rFonts w:ascii="Arial" w:hAnsi="Arial" w:cs="Arial"/>
                <w:sz w:val="16"/>
                <w:szCs w:val="18"/>
                <w:highlight w:val="none"/>
              </w:rPr>
            </w:pPr>
            <w:r>
              <w:rPr>
                <w:rFonts w:ascii="Arial" w:hAnsi="Arial" w:cs="Arial"/>
                <w:sz w:val="16"/>
                <w:szCs w:val="18"/>
                <w:highlight w:val="none"/>
              </w:rPr>
              <w:t>根据90%（含）-100%、80%（含）-90%、70%（含）-80%、60%（含）-70%、60%以下分为五个等级，每级相差</w:t>
            </w:r>
            <w:r>
              <w:rPr>
                <w:rFonts w:hint="eastAsia" w:ascii="Arial" w:hAnsi="Arial" w:cs="Arial"/>
                <w:sz w:val="16"/>
                <w:szCs w:val="18"/>
                <w:highlight w:val="none"/>
                <w:lang w:val="en-US" w:eastAsia="zh-CN"/>
              </w:rPr>
              <w:t>1</w:t>
            </w:r>
            <w:r>
              <w:rPr>
                <w:rFonts w:ascii="Arial" w:hAnsi="Arial" w:cs="Arial"/>
                <w:sz w:val="16"/>
                <w:szCs w:val="18"/>
                <w:highlight w:val="none"/>
              </w:rPr>
              <w:t>分，确定可比实例1、2、3该因素指数分别为</w:t>
            </w:r>
            <w:r>
              <w:rPr>
                <w:rFonts w:hint="eastAsia" w:ascii="Arial" w:hAnsi="Arial" w:cs="Arial"/>
                <w:sz w:val="16"/>
                <w:szCs w:val="18"/>
                <w:highlight w:val="none"/>
                <w:lang w:val="en-US" w:eastAsia="zh-CN"/>
              </w:rPr>
              <w:t>100</w:t>
            </w:r>
            <w:r>
              <w:rPr>
                <w:rFonts w:hint="eastAsia" w:ascii="Arial" w:hAnsi="Arial" w:cs="Arial"/>
                <w:sz w:val="16"/>
                <w:szCs w:val="18"/>
                <w:highlight w:val="none"/>
              </w:rPr>
              <w:t>、</w:t>
            </w:r>
            <w:r>
              <w:rPr>
                <w:rFonts w:hint="eastAsia" w:ascii="Arial" w:hAnsi="Arial" w:cs="Arial"/>
                <w:sz w:val="16"/>
                <w:szCs w:val="18"/>
                <w:highlight w:val="none"/>
                <w:lang w:val="en-US" w:eastAsia="zh-CN"/>
              </w:rPr>
              <w:t>100</w:t>
            </w:r>
            <w:r>
              <w:rPr>
                <w:rFonts w:hint="eastAsia" w:ascii="Arial" w:hAnsi="Arial" w:cs="Arial"/>
                <w:sz w:val="16"/>
                <w:szCs w:val="18"/>
                <w:highlight w:val="none"/>
              </w:rPr>
              <w:t>、1</w:t>
            </w:r>
            <w:r>
              <w:rPr>
                <w:rFonts w:ascii="Arial" w:hAnsi="Arial" w:cs="Arial"/>
                <w:sz w:val="16"/>
                <w:szCs w:val="18"/>
                <w:highlight w:val="none"/>
              </w:rPr>
              <w:t>00；</w:t>
            </w:r>
          </w:p>
        </w:tc>
      </w:tr>
      <w:tr w14:paraId="603810A3">
        <w:tblPrEx>
          <w:tblCellMar>
            <w:top w:w="57" w:type="dxa"/>
            <w:left w:w="57" w:type="dxa"/>
            <w:bottom w:w="57" w:type="dxa"/>
            <w:right w:w="57" w:type="dxa"/>
          </w:tblCellMar>
        </w:tblPrEx>
        <w:trPr>
          <w:trHeight w:val="20" w:hRule="atLeast"/>
          <w:jc w:val="center"/>
        </w:trPr>
        <w:tc>
          <w:tcPr>
            <w:tcW w:w="307" w:type="pct"/>
            <w:vMerge w:val="continue"/>
            <w:tcBorders>
              <w:top w:val="nil"/>
              <w:left w:val="single" w:color="auto" w:sz="4" w:space="0"/>
              <w:bottom w:val="single" w:color="auto" w:sz="4" w:space="0"/>
              <w:right w:val="single" w:color="auto" w:sz="4" w:space="0"/>
            </w:tcBorders>
            <w:vAlign w:val="center"/>
          </w:tcPr>
          <w:p w14:paraId="2B4EE59C">
            <w:pPr>
              <w:snapToGrid w:val="0"/>
              <w:spacing w:line="240" w:lineRule="exact"/>
              <w:jc w:val="both"/>
              <w:rPr>
                <w:rFonts w:ascii="宋体" w:hAnsi="宋体" w:cs="Arial"/>
                <w:sz w:val="16"/>
                <w:szCs w:val="18"/>
                <w:highlight w:val="none"/>
              </w:rPr>
            </w:pPr>
          </w:p>
        </w:tc>
        <w:tc>
          <w:tcPr>
            <w:tcW w:w="535" w:type="pct"/>
            <w:tcBorders>
              <w:top w:val="nil"/>
              <w:left w:val="nil"/>
              <w:bottom w:val="single" w:color="auto" w:sz="4" w:space="0"/>
              <w:right w:val="single" w:color="auto" w:sz="4" w:space="0"/>
            </w:tcBorders>
            <w:vAlign w:val="center"/>
          </w:tcPr>
          <w:p w14:paraId="0CCB508A">
            <w:pPr>
              <w:widowControl/>
              <w:adjustRightInd/>
              <w:spacing w:line="240" w:lineRule="auto"/>
              <w:jc w:val="center"/>
              <w:textAlignment w:val="auto"/>
              <w:rPr>
                <w:rFonts w:ascii="宋体" w:hAnsi="宋体" w:cs="Arial"/>
                <w:sz w:val="16"/>
                <w:szCs w:val="18"/>
                <w:highlight w:val="none"/>
              </w:rPr>
            </w:pPr>
            <w:r>
              <w:rPr>
                <w:rFonts w:ascii="宋体" w:hAnsi="宋体" w:cs="Arial"/>
                <w:sz w:val="16"/>
                <w:szCs w:val="18"/>
                <w:highlight w:val="none"/>
              </w:rPr>
              <w:t>公共区域装修</w:t>
            </w:r>
          </w:p>
        </w:tc>
        <w:tc>
          <w:tcPr>
            <w:tcW w:w="531" w:type="pct"/>
            <w:tcBorders>
              <w:top w:val="nil"/>
              <w:left w:val="nil"/>
              <w:bottom w:val="single" w:color="auto" w:sz="4" w:space="0"/>
              <w:right w:val="single" w:color="auto" w:sz="4" w:space="0"/>
            </w:tcBorders>
            <w:noWrap/>
            <w:vAlign w:val="center"/>
          </w:tcPr>
          <w:p w14:paraId="6EDD80D1">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42A3C517">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1FCCE43D">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125CCCAF">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2030" w:type="pct"/>
            <w:tcBorders>
              <w:top w:val="nil"/>
              <w:left w:val="nil"/>
              <w:bottom w:val="single" w:color="auto" w:sz="4" w:space="0"/>
              <w:right w:val="single" w:color="auto" w:sz="4" w:space="0"/>
            </w:tcBorders>
            <w:vAlign w:val="center"/>
          </w:tcPr>
          <w:p w14:paraId="0D2504DB">
            <w:pPr>
              <w:snapToGrid w:val="0"/>
              <w:spacing w:line="240" w:lineRule="exact"/>
              <w:jc w:val="both"/>
              <w:rPr>
                <w:rFonts w:ascii="Arial" w:hAnsi="Arial" w:cs="Arial"/>
                <w:sz w:val="16"/>
                <w:szCs w:val="18"/>
                <w:highlight w:val="none"/>
              </w:rPr>
            </w:pPr>
            <w:r>
              <w:rPr>
                <w:rFonts w:ascii="Arial" w:hAnsi="Arial" w:cs="Arial"/>
                <w:sz w:val="16"/>
                <w:szCs w:val="18"/>
                <w:highlight w:val="none"/>
              </w:rPr>
              <w:t>分为精装修、普通装修、简单装修、毛坯等，以估价对象指数为 100，每级相差2分，确定可比实例1、2、3该因素指数分别为100、100、100；</w:t>
            </w:r>
          </w:p>
        </w:tc>
      </w:tr>
      <w:tr w14:paraId="50CDBD66">
        <w:tblPrEx>
          <w:tblCellMar>
            <w:top w:w="57" w:type="dxa"/>
            <w:left w:w="57" w:type="dxa"/>
            <w:bottom w:w="57" w:type="dxa"/>
            <w:right w:w="57" w:type="dxa"/>
          </w:tblCellMar>
        </w:tblPrEx>
        <w:trPr>
          <w:trHeight w:val="20" w:hRule="atLeast"/>
          <w:jc w:val="center"/>
        </w:trPr>
        <w:tc>
          <w:tcPr>
            <w:tcW w:w="307" w:type="pct"/>
            <w:vMerge w:val="continue"/>
            <w:tcBorders>
              <w:top w:val="nil"/>
              <w:left w:val="single" w:color="auto" w:sz="4" w:space="0"/>
              <w:bottom w:val="single" w:color="auto" w:sz="4" w:space="0"/>
              <w:right w:val="single" w:color="auto" w:sz="4" w:space="0"/>
            </w:tcBorders>
            <w:vAlign w:val="center"/>
          </w:tcPr>
          <w:p w14:paraId="61E31734">
            <w:pPr>
              <w:snapToGrid w:val="0"/>
              <w:spacing w:line="240" w:lineRule="exact"/>
              <w:jc w:val="both"/>
              <w:rPr>
                <w:rFonts w:ascii="宋体" w:hAnsi="宋体" w:cs="Arial"/>
                <w:sz w:val="16"/>
                <w:szCs w:val="18"/>
                <w:highlight w:val="none"/>
              </w:rPr>
            </w:pPr>
          </w:p>
        </w:tc>
        <w:tc>
          <w:tcPr>
            <w:tcW w:w="535" w:type="pct"/>
            <w:tcBorders>
              <w:top w:val="nil"/>
              <w:left w:val="nil"/>
              <w:bottom w:val="single" w:color="auto" w:sz="4" w:space="0"/>
              <w:right w:val="single" w:color="auto" w:sz="4" w:space="0"/>
            </w:tcBorders>
            <w:vAlign w:val="center"/>
          </w:tcPr>
          <w:p w14:paraId="5FFE057F">
            <w:pPr>
              <w:widowControl/>
              <w:adjustRightInd/>
              <w:spacing w:line="240" w:lineRule="auto"/>
              <w:jc w:val="center"/>
              <w:textAlignment w:val="auto"/>
              <w:rPr>
                <w:rFonts w:ascii="宋体" w:hAnsi="宋体" w:cs="Arial"/>
                <w:sz w:val="16"/>
                <w:szCs w:val="18"/>
                <w:highlight w:val="none"/>
              </w:rPr>
            </w:pPr>
            <w:r>
              <w:rPr>
                <w:rFonts w:ascii="宋体" w:hAnsi="宋体" w:cs="Arial"/>
                <w:sz w:val="16"/>
                <w:szCs w:val="18"/>
                <w:highlight w:val="none"/>
              </w:rPr>
              <w:t>室内装饰装修</w:t>
            </w:r>
          </w:p>
        </w:tc>
        <w:tc>
          <w:tcPr>
            <w:tcW w:w="531" w:type="pct"/>
            <w:tcBorders>
              <w:top w:val="nil"/>
              <w:left w:val="nil"/>
              <w:bottom w:val="single" w:color="auto" w:sz="4" w:space="0"/>
              <w:right w:val="single" w:color="auto" w:sz="4" w:space="0"/>
            </w:tcBorders>
            <w:noWrap/>
            <w:vAlign w:val="center"/>
          </w:tcPr>
          <w:p w14:paraId="2F25D0A6">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58C23F47">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2F0271DE">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0BD71AC8">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2030" w:type="pct"/>
            <w:tcBorders>
              <w:top w:val="nil"/>
              <w:left w:val="nil"/>
              <w:bottom w:val="single" w:color="auto" w:sz="4" w:space="0"/>
              <w:right w:val="single" w:color="auto" w:sz="4" w:space="0"/>
            </w:tcBorders>
            <w:vAlign w:val="center"/>
          </w:tcPr>
          <w:p w14:paraId="562B28EC">
            <w:pPr>
              <w:snapToGrid w:val="0"/>
              <w:spacing w:line="240" w:lineRule="exact"/>
              <w:jc w:val="both"/>
              <w:rPr>
                <w:rFonts w:ascii="Arial" w:hAnsi="Arial" w:cs="Arial"/>
                <w:sz w:val="16"/>
                <w:szCs w:val="18"/>
                <w:highlight w:val="none"/>
              </w:rPr>
            </w:pPr>
            <w:r>
              <w:rPr>
                <w:rFonts w:ascii="Arial" w:hAnsi="Arial" w:cs="Arial"/>
                <w:sz w:val="16"/>
                <w:szCs w:val="18"/>
                <w:highlight w:val="none"/>
              </w:rPr>
              <w:t>分为精装修、普通装修、简单装修、毛坯等，以估价对象指数为 100，每级相差3分，确定可比实例1、2、3该因素指数分别为</w:t>
            </w:r>
            <w:r>
              <w:rPr>
                <w:rFonts w:hint="eastAsia" w:ascii="Arial" w:hAnsi="Arial" w:cs="Arial"/>
                <w:sz w:val="16"/>
                <w:szCs w:val="18"/>
                <w:highlight w:val="none"/>
              </w:rPr>
              <w:t>100、100、100</w:t>
            </w:r>
            <w:r>
              <w:rPr>
                <w:rFonts w:ascii="Arial" w:hAnsi="Arial" w:cs="Arial"/>
                <w:sz w:val="16"/>
                <w:szCs w:val="18"/>
                <w:highlight w:val="none"/>
              </w:rPr>
              <w:t>；</w:t>
            </w:r>
          </w:p>
        </w:tc>
      </w:tr>
      <w:tr w14:paraId="044A171C">
        <w:tblPrEx>
          <w:tblCellMar>
            <w:top w:w="57" w:type="dxa"/>
            <w:left w:w="57" w:type="dxa"/>
            <w:bottom w:w="57" w:type="dxa"/>
            <w:right w:w="57" w:type="dxa"/>
          </w:tblCellMar>
        </w:tblPrEx>
        <w:trPr>
          <w:trHeight w:val="20" w:hRule="atLeast"/>
          <w:jc w:val="center"/>
        </w:trPr>
        <w:tc>
          <w:tcPr>
            <w:tcW w:w="307" w:type="pct"/>
            <w:vMerge w:val="continue"/>
            <w:tcBorders>
              <w:top w:val="nil"/>
              <w:left w:val="single" w:color="auto" w:sz="4" w:space="0"/>
              <w:bottom w:val="single" w:color="auto" w:sz="4" w:space="0"/>
              <w:right w:val="single" w:color="auto" w:sz="4" w:space="0"/>
            </w:tcBorders>
            <w:vAlign w:val="center"/>
          </w:tcPr>
          <w:p w14:paraId="7FE7DFD2">
            <w:pPr>
              <w:snapToGrid w:val="0"/>
              <w:spacing w:line="240" w:lineRule="exact"/>
              <w:jc w:val="both"/>
              <w:rPr>
                <w:rFonts w:ascii="宋体" w:hAnsi="宋体" w:cs="Arial"/>
                <w:sz w:val="16"/>
                <w:szCs w:val="18"/>
                <w:highlight w:val="none"/>
              </w:rPr>
            </w:pPr>
          </w:p>
        </w:tc>
        <w:tc>
          <w:tcPr>
            <w:tcW w:w="535" w:type="pct"/>
            <w:tcBorders>
              <w:top w:val="nil"/>
              <w:left w:val="nil"/>
              <w:bottom w:val="single" w:color="auto" w:sz="4" w:space="0"/>
              <w:right w:val="single" w:color="auto" w:sz="4" w:space="0"/>
            </w:tcBorders>
            <w:vAlign w:val="center"/>
          </w:tcPr>
          <w:p w14:paraId="7D827F76">
            <w:pPr>
              <w:widowControl/>
              <w:adjustRightInd/>
              <w:spacing w:line="240" w:lineRule="auto"/>
              <w:jc w:val="center"/>
              <w:textAlignment w:val="auto"/>
              <w:rPr>
                <w:rFonts w:ascii="宋体" w:hAnsi="宋体" w:cs="Arial"/>
                <w:sz w:val="16"/>
                <w:szCs w:val="18"/>
                <w:highlight w:val="none"/>
              </w:rPr>
            </w:pPr>
            <w:r>
              <w:rPr>
                <w:rFonts w:ascii="宋体" w:hAnsi="宋体" w:cs="Arial"/>
                <w:sz w:val="16"/>
                <w:szCs w:val="18"/>
                <w:highlight w:val="none"/>
              </w:rPr>
              <w:t>设施设备</w:t>
            </w:r>
          </w:p>
        </w:tc>
        <w:tc>
          <w:tcPr>
            <w:tcW w:w="531" w:type="pct"/>
            <w:tcBorders>
              <w:top w:val="nil"/>
              <w:left w:val="nil"/>
              <w:bottom w:val="single" w:color="auto" w:sz="4" w:space="0"/>
              <w:right w:val="single" w:color="auto" w:sz="4" w:space="0"/>
            </w:tcBorders>
            <w:noWrap/>
            <w:vAlign w:val="center"/>
          </w:tcPr>
          <w:p w14:paraId="1260BB98">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24097516">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19DD8FAE">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63DDD303">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2030" w:type="pct"/>
            <w:tcBorders>
              <w:top w:val="nil"/>
              <w:left w:val="nil"/>
              <w:bottom w:val="single" w:color="auto" w:sz="4" w:space="0"/>
              <w:right w:val="single" w:color="auto" w:sz="4" w:space="0"/>
            </w:tcBorders>
            <w:vAlign w:val="center"/>
          </w:tcPr>
          <w:p w14:paraId="4FF4FAE6">
            <w:pPr>
              <w:snapToGrid w:val="0"/>
              <w:spacing w:line="240" w:lineRule="exact"/>
              <w:jc w:val="both"/>
              <w:rPr>
                <w:rFonts w:ascii="Arial" w:hAnsi="Arial" w:cs="Arial"/>
                <w:sz w:val="16"/>
                <w:szCs w:val="18"/>
                <w:highlight w:val="none"/>
              </w:rPr>
            </w:pPr>
            <w:r>
              <w:rPr>
                <w:rFonts w:ascii="Arial" w:hAnsi="Arial" w:cs="Arial"/>
                <w:sz w:val="16"/>
                <w:szCs w:val="18"/>
                <w:highlight w:val="none"/>
              </w:rPr>
              <w:t>根据实际配备情况，分为完善、较完善、一般、较不完善、不完善五个等级，每级相差</w:t>
            </w:r>
            <w:r>
              <w:rPr>
                <w:rFonts w:hint="eastAsia" w:ascii="Arial" w:hAnsi="Arial" w:cs="Arial"/>
                <w:sz w:val="16"/>
                <w:szCs w:val="18"/>
                <w:highlight w:val="none"/>
              </w:rPr>
              <w:t>3</w:t>
            </w:r>
            <w:r>
              <w:rPr>
                <w:rFonts w:ascii="Arial" w:hAnsi="Arial" w:cs="Arial"/>
                <w:sz w:val="16"/>
                <w:szCs w:val="18"/>
                <w:highlight w:val="none"/>
              </w:rPr>
              <w:t>分，确定可比实例1、2、3该因素指数分别为</w:t>
            </w:r>
            <w:r>
              <w:rPr>
                <w:rFonts w:hint="eastAsia" w:ascii="Arial" w:hAnsi="Arial" w:cs="Arial"/>
                <w:sz w:val="16"/>
                <w:szCs w:val="18"/>
                <w:highlight w:val="none"/>
              </w:rPr>
              <w:t>10</w:t>
            </w:r>
            <w:r>
              <w:rPr>
                <w:rFonts w:hint="eastAsia" w:ascii="Arial" w:hAnsi="Arial" w:cs="Arial"/>
                <w:sz w:val="16"/>
                <w:szCs w:val="18"/>
                <w:highlight w:val="none"/>
                <w:lang w:val="en-US" w:eastAsia="zh-CN"/>
              </w:rPr>
              <w:t>0</w:t>
            </w:r>
            <w:r>
              <w:rPr>
                <w:rFonts w:hint="eastAsia" w:ascii="Arial" w:hAnsi="Arial" w:cs="Arial"/>
                <w:sz w:val="16"/>
                <w:szCs w:val="18"/>
                <w:highlight w:val="none"/>
              </w:rPr>
              <w:t>、100、100</w:t>
            </w:r>
            <w:r>
              <w:rPr>
                <w:rFonts w:ascii="Arial" w:hAnsi="Arial" w:cs="Arial"/>
                <w:sz w:val="16"/>
                <w:szCs w:val="18"/>
                <w:highlight w:val="none"/>
              </w:rPr>
              <w:t>；</w:t>
            </w:r>
          </w:p>
        </w:tc>
      </w:tr>
      <w:tr w14:paraId="1C22081A">
        <w:tblPrEx>
          <w:tblCellMar>
            <w:top w:w="57" w:type="dxa"/>
            <w:left w:w="57" w:type="dxa"/>
            <w:bottom w:w="57" w:type="dxa"/>
            <w:right w:w="57" w:type="dxa"/>
          </w:tblCellMar>
        </w:tblPrEx>
        <w:trPr>
          <w:trHeight w:val="20" w:hRule="atLeast"/>
          <w:jc w:val="center"/>
        </w:trPr>
        <w:tc>
          <w:tcPr>
            <w:tcW w:w="307" w:type="pct"/>
            <w:vMerge w:val="continue"/>
            <w:tcBorders>
              <w:top w:val="nil"/>
              <w:left w:val="single" w:color="auto" w:sz="4" w:space="0"/>
              <w:bottom w:val="single" w:color="auto" w:sz="4" w:space="0"/>
              <w:right w:val="single" w:color="auto" w:sz="4" w:space="0"/>
            </w:tcBorders>
            <w:vAlign w:val="center"/>
          </w:tcPr>
          <w:p w14:paraId="29654093">
            <w:pPr>
              <w:snapToGrid w:val="0"/>
              <w:spacing w:line="240" w:lineRule="exact"/>
              <w:jc w:val="both"/>
              <w:rPr>
                <w:rFonts w:ascii="宋体" w:hAnsi="宋体" w:cs="Arial"/>
                <w:sz w:val="16"/>
                <w:szCs w:val="18"/>
                <w:highlight w:val="none"/>
              </w:rPr>
            </w:pPr>
          </w:p>
        </w:tc>
        <w:tc>
          <w:tcPr>
            <w:tcW w:w="535" w:type="pct"/>
            <w:tcBorders>
              <w:top w:val="nil"/>
              <w:left w:val="nil"/>
              <w:bottom w:val="single" w:color="auto" w:sz="4" w:space="0"/>
              <w:right w:val="single" w:color="auto" w:sz="4" w:space="0"/>
            </w:tcBorders>
            <w:vAlign w:val="center"/>
          </w:tcPr>
          <w:p w14:paraId="2C6B121B">
            <w:pPr>
              <w:widowControl/>
              <w:adjustRightInd/>
              <w:spacing w:line="240" w:lineRule="auto"/>
              <w:jc w:val="center"/>
              <w:textAlignment w:val="auto"/>
              <w:rPr>
                <w:rFonts w:ascii="宋体" w:hAnsi="宋体" w:cs="Arial"/>
                <w:sz w:val="16"/>
                <w:szCs w:val="18"/>
                <w:highlight w:val="none"/>
              </w:rPr>
            </w:pPr>
            <w:r>
              <w:rPr>
                <w:rFonts w:ascii="宋体" w:hAnsi="宋体" w:cs="Arial"/>
                <w:sz w:val="16"/>
                <w:szCs w:val="18"/>
                <w:highlight w:val="none"/>
              </w:rPr>
              <w:t>综合管理服务设施</w:t>
            </w:r>
          </w:p>
        </w:tc>
        <w:tc>
          <w:tcPr>
            <w:tcW w:w="531" w:type="pct"/>
            <w:tcBorders>
              <w:top w:val="nil"/>
              <w:left w:val="nil"/>
              <w:bottom w:val="single" w:color="auto" w:sz="4" w:space="0"/>
              <w:right w:val="single" w:color="auto" w:sz="4" w:space="0"/>
            </w:tcBorders>
            <w:noWrap/>
            <w:vAlign w:val="center"/>
          </w:tcPr>
          <w:p w14:paraId="22A27352">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4D2EDEA4">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1A2008DB">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5A0073C7">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2030" w:type="pct"/>
            <w:tcBorders>
              <w:top w:val="nil"/>
              <w:left w:val="nil"/>
              <w:bottom w:val="single" w:color="auto" w:sz="4" w:space="0"/>
              <w:right w:val="single" w:color="auto" w:sz="4" w:space="0"/>
            </w:tcBorders>
            <w:vAlign w:val="center"/>
          </w:tcPr>
          <w:p w14:paraId="5E66784D">
            <w:pPr>
              <w:snapToGrid w:val="0"/>
              <w:spacing w:line="240" w:lineRule="exact"/>
              <w:jc w:val="both"/>
              <w:rPr>
                <w:rFonts w:ascii="Arial" w:hAnsi="Arial" w:cs="Arial"/>
                <w:sz w:val="16"/>
                <w:szCs w:val="18"/>
                <w:highlight w:val="none"/>
              </w:rPr>
            </w:pPr>
            <w:r>
              <w:rPr>
                <w:rFonts w:ascii="Arial" w:hAnsi="Arial" w:cs="Arial"/>
                <w:sz w:val="16"/>
                <w:szCs w:val="18"/>
                <w:highlight w:val="none"/>
              </w:rPr>
              <w:t>根据实际管理服务，确定可比实例1、2、3该因素指数分别为100、100、100；</w:t>
            </w:r>
          </w:p>
        </w:tc>
      </w:tr>
      <w:tr w14:paraId="22B4D915">
        <w:tblPrEx>
          <w:tblCellMar>
            <w:top w:w="57" w:type="dxa"/>
            <w:left w:w="57" w:type="dxa"/>
            <w:bottom w:w="57" w:type="dxa"/>
            <w:right w:w="57" w:type="dxa"/>
          </w:tblCellMar>
        </w:tblPrEx>
        <w:trPr>
          <w:trHeight w:val="20" w:hRule="atLeast"/>
          <w:jc w:val="center"/>
        </w:trPr>
        <w:tc>
          <w:tcPr>
            <w:tcW w:w="307" w:type="pct"/>
            <w:vMerge w:val="continue"/>
            <w:tcBorders>
              <w:top w:val="nil"/>
              <w:left w:val="single" w:color="auto" w:sz="4" w:space="0"/>
              <w:bottom w:val="single" w:color="auto" w:sz="4" w:space="0"/>
              <w:right w:val="single" w:color="auto" w:sz="4" w:space="0"/>
            </w:tcBorders>
            <w:vAlign w:val="center"/>
          </w:tcPr>
          <w:p w14:paraId="609D9706">
            <w:pPr>
              <w:snapToGrid w:val="0"/>
              <w:spacing w:line="240" w:lineRule="exact"/>
              <w:jc w:val="both"/>
              <w:rPr>
                <w:rFonts w:ascii="宋体" w:hAnsi="宋体" w:cs="Arial"/>
                <w:sz w:val="16"/>
                <w:szCs w:val="18"/>
                <w:highlight w:val="none"/>
              </w:rPr>
            </w:pPr>
          </w:p>
        </w:tc>
        <w:tc>
          <w:tcPr>
            <w:tcW w:w="535" w:type="pct"/>
            <w:tcBorders>
              <w:top w:val="nil"/>
              <w:left w:val="nil"/>
              <w:bottom w:val="single" w:color="auto" w:sz="4" w:space="0"/>
              <w:right w:val="single" w:color="auto" w:sz="4" w:space="0"/>
            </w:tcBorders>
            <w:vAlign w:val="center"/>
          </w:tcPr>
          <w:p w14:paraId="18B7A942">
            <w:pPr>
              <w:widowControl/>
              <w:adjustRightInd/>
              <w:spacing w:line="240" w:lineRule="auto"/>
              <w:jc w:val="center"/>
              <w:textAlignment w:val="auto"/>
              <w:rPr>
                <w:rFonts w:ascii="宋体" w:hAnsi="宋体" w:cs="Arial"/>
                <w:sz w:val="16"/>
                <w:szCs w:val="18"/>
                <w:highlight w:val="none"/>
              </w:rPr>
            </w:pPr>
            <w:r>
              <w:rPr>
                <w:rFonts w:ascii="宋体" w:hAnsi="宋体" w:cs="Arial"/>
                <w:sz w:val="16"/>
                <w:szCs w:val="18"/>
                <w:highlight w:val="none"/>
              </w:rPr>
              <w:t>户型布局</w:t>
            </w:r>
          </w:p>
        </w:tc>
        <w:tc>
          <w:tcPr>
            <w:tcW w:w="531" w:type="pct"/>
            <w:tcBorders>
              <w:top w:val="nil"/>
              <w:left w:val="nil"/>
              <w:bottom w:val="single" w:color="auto" w:sz="4" w:space="0"/>
              <w:right w:val="single" w:color="auto" w:sz="4" w:space="0"/>
            </w:tcBorders>
            <w:noWrap/>
            <w:vAlign w:val="center"/>
          </w:tcPr>
          <w:p w14:paraId="58E507EA">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656D8C06">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36A1B139">
            <w:pPr>
              <w:snapToGrid w:val="0"/>
              <w:spacing w:line="240" w:lineRule="exact"/>
              <w:jc w:val="both"/>
              <w:rPr>
                <w:rFonts w:hint="default" w:ascii="Arial" w:hAnsi="Arial" w:eastAsia="宋体" w:cs="Arial"/>
                <w:sz w:val="16"/>
                <w:szCs w:val="18"/>
                <w:highlight w:val="none"/>
                <w:lang w:val="en-US" w:eastAsia="zh-CN"/>
              </w:rPr>
            </w:pPr>
            <w:r>
              <w:rPr>
                <w:rFonts w:hint="eastAsia" w:ascii="Arial" w:hAnsi="Arial" w:cs="Arial"/>
                <w:sz w:val="16"/>
                <w:szCs w:val="18"/>
                <w:highlight w:val="none"/>
                <w:lang w:val="en-US" w:eastAsia="zh-CN"/>
              </w:rPr>
              <w:t>98</w:t>
            </w:r>
          </w:p>
        </w:tc>
        <w:tc>
          <w:tcPr>
            <w:tcW w:w="531" w:type="pct"/>
            <w:tcBorders>
              <w:top w:val="nil"/>
              <w:left w:val="nil"/>
              <w:bottom w:val="single" w:color="auto" w:sz="4" w:space="0"/>
              <w:right w:val="single" w:color="auto" w:sz="4" w:space="0"/>
            </w:tcBorders>
            <w:noWrap/>
            <w:vAlign w:val="center"/>
          </w:tcPr>
          <w:p w14:paraId="7418B8E3">
            <w:pPr>
              <w:snapToGrid w:val="0"/>
              <w:spacing w:line="240" w:lineRule="exact"/>
              <w:jc w:val="both"/>
              <w:rPr>
                <w:rFonts w:hint="default" w:ascii="Arial" w:hAnsi="Arial" w:eastAsia="宋体" w:cs="Arial"/>
                <w:sz w:val="16"/>
                <w:szCs w:val="18"/>
                <w:highlight w:val="none"/>
                <w:lang w:val="en-US" w:eastAsia="zh-CN"/>
              </w:rPr>
            </w:pPr>
            <w:r>
              <w:rPr>
                <w:rFonts w:hint="eastAsia" w:ascii="Arial" w:hAnsi="Arial" w:cs="Arial"/>
                <w:sz w:val="16"/>
                <w:szCs w:val="18"/>
                <w:highlight w:val="none"/>
                <w:lang w:val="en-US" w:eastAsia="zh-CN"/>
              </w:rPr>
              <w:t>98</w:t>
            </w:r>
          </w:p>
        </w:tc>
        <w:tc>
          <w:tcPr>
            <w:tcW w:w="2030" w:type="pct"/>
            <w:tcBorders>
              <w:top w:val="nil"/>
              <w:left w:val="nil"/>
              <w:bottom w:val="single" w:color="auto" w:sz="4" w:space="0"/>
              <w:right w:val="single" w:color="auto" w:sz="4" w:space="0"/>
            </w:tcBorders>
            <w:vAlign w:val="center"/>
          </w:tcPr>
          <w:p w14:paraId="7379CCDB">
            <w:pPr>
              <w:snapToGrid w:val="0"/>
              <w:spacing w:line="240" w:lineRule="exact"/>
              <w:jc w:val="both"/>
              <w:rPr>
                <w:rFonts w:ascii="Arial" w:hAnsi="Arial" w:cs="Arial"/>
                <w:sz w:val="16"/>
                <w:szCs w:val="18"/>
                <w:highlight w:val="none"/>
              </w:rPr>
            </w:pPr>
            <w:r>
              <w:rPr>
                <w:rFonts w:ascii="Arial" w:hAnsi="Arial" w:cs="Arial"/>
                <w:sz w:val="16"/>
                <w:szCs w:val="18"/>
                <w:highlight w:val="none"/>
              </w:rPr>
              <w:t>根据布局对于使用率的影响，确定可比实例1、2、3该因素指数分别为</w:t>
            </w:r>
            <w:r>
              <w:rPr>
                <w:rFonts w:hint="eastAsia" w:ascii="Arial" w:hAnsi="Arial" w:cs="Arial"/>
                <w:sz w:val="16"/>
                <w:szCs w:val="18"/>
                <w:highlight w:val="none"/>
                <w:lang w:val="en-US" w:eastAsia="zh-CN"/>
              </w:rPr>
              <w:t>100</w:t>
            </w:r>
            <w:r>
              <w:rPr>
                <w:rFonts w:hint="eastAsia" w:ascii="Arial" w:hAnsi="Arial" w:cs="Arial"/>
                <w:sz w:val="16"/>
                <w:szCs w:val="18"/>
                <w:highlight w:val="none"/>
              </w:rPr>
              <w:t>、</w:t>
            </w:r>
            <w:r>
              <w:rPr>
                <w:rFonts w:hint="eastAsia" w:ascii="Arial" w:hAnsi="Arial" w:cs="Arial"/>
                <w:sz w:val="16"/>
                <w:szCs w:val="18"/>
                <w:highlight w:val="none"/>
                <w:lang w:val="en-US" w:eastAsia="zh-CN"/>
              </w:rPr>
              <w:t>98</w:t>
            </w:r>
            <w:r>
              <w:rPr>
                <w:rFonts w:hint="eastAsia" w:ascii="Arial" w:hAnsi="Arial" w:cs="Arial"/>
                <w:sz w:val="16"/>
                <w:szCs w:val="18"/>
                <w:highlight w:val="none"/>
              </w:rPr>
              <w:t>、</w:t>
            </w:r>
            <w:r>
              <w:rPr>
                <w:rFonts w:hint="eastAsia" w:ascii="Arial" w:hAnsi="Arial" w:cs="Arial"/>
                <w:sz w:val="16"/>
                <w:szCs w:val="18"/>
                <w:highlight w:val="none"/>
                <w:lang w:val="en-US" w:eastAsia="zh-CN"/>
              </w:rPr>
              <w:t>98</w:t>
            </w:r>
            <w:r>
              <w:rPr>
                <w:rFonts w:ascii="Arial" w:hAnsi="Arial" w:cs="Arial"/>
                <w:sz w:val="16"/>
                <w:szCs w:val="18"/>
                <w:highlight w:val="none"/>
              </w:rPr>
              <w:t>；</w:t>
            </w:r>
          </w:p>
        </w:tc>
      </w:tr>
      <w:tr w14:paraId="3F82242F">
        <w:tblPrEx>
          <w:tblCellMar>
            <w:top w:w="57" w:type="dxa"/>
            <w:left w:w="57" w:type="dxa"/>
            <w:bottom w:w="57" w:type="dxa"/>
            <w:right w:w="57" w:type="dxa"/>
          </w:tblCellMar>
        </w:tblPrEx>
        <w:trPr>
          <w:trHeight w:val="20" w:hRule="atLeast"/>
          <w:jc w:val="center"/>
        </w:trPr>
        <w:tc>
          <w:tcPr>
            <w:tcW w:w="307" w:type="pct"/>
            <w:vMerge w:val="continue"/>
            <w:tcBorders>
              <w:top w:val="nil"/>
              <w:left w:val="single" w:color="auto" w:sz="4" w:space="0"/>
              <w:bottom w:val="single" w:color="auto" w:sz="4" w:space="0"/>
              <w:right w:val="single" w:color="auto" w:sz="4" w:space="0"/>
            </w:tcBorders>
            <w:vAlign w:val="center"/>
          </w:tcPr>
          <w:p w14:paraId="0EF8C749">
            <w:pPr>
              <w:snapToGrid w:val="0"/>
              <w:spacing w:line="240" w:lineRule="exact"/>
              <w:jc w:val="both"/>
              <w:rPr>
                <w:rFonts w:ascii="宋体" w:hAnsi="宋体" w:cs="Arial"/>
                <w:sz w:val="16"/>
                <w:szCs w:val="18"/>
                <w:highlight w:val="none"/>
              </w:rPr>
            </w:pPr>
          </w:p>
        </w:tc>
        <w:tc>
          <w:tcPr>
            <w:tcW w:w="535" w:type="pct"/>
            <w:tcBorders>
              <w:top w:val="nil"/>
              <w:left w:val="nil"/>
              <w:bottom w:val="single" w:color="auto" w:sz="4" w:space="0"/>
              <w:right w:val="single" w:color="auto" w:sz="4" w:space="0"/>
            </w:tcBorders>
            <w:vAlign w:val="center"/>
          </w:tcPr>
          <w:p w14:paraId="7901E806">
            <w:pPr>
              <w:widowControl/>
              <w:adjustRightInd/>
              <w:spacing w:line="240" w:lineRule="auto"/>
              <w:jc w:val="center"/>
              <w:textAlignment w:val="auto"/>
              <w:rPr>
                <w:rFonts w:ascii="宋体" w:hAnsi="宋体" w:cs="Arial"/>
                <w:sz w:val="16"/>
                <w:szCs w:val="18"/>
                <w:highlight w:val="none"/>
              </w:rPr>
            </w:pPr>
            <w:r>
              <w:rPr>
                <w:rFonts w:ascii="宋体" w:hAnsi="宋体" w:cs="Arial"/>
                <w:sz w:val="16"/>
                <w:szCs w:val="18"/>
                <w:highlight w:val="none"/>
              </w:rPr>
              <w:t>户型结构</w:t>
            </w:r>
          </w:p>
        </w:tc>
        <w:tc>
          <w:tcPr>
            <w:tcW w:w="531" w:type="pct"/>
            <w:tcBorders>
              <w:top w:val="nil"/>
              <w:left w:val="nil"/>
              <w:bottom w:val="single" w:color="auto" w:sz="4" w:space="0"/>
              <w:right w:val="single" w:color="auto" w:sz="4" w:space="0"/>
            </w:tcBorders>
            <w:noWrap/>
            <w:vAlign w:val="center"/>
          </w:tcPr>
          <w:p w14:paraId="592F2A56">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0177FE56">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7364DB97">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7F493274">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2030" w:type="pct"/>
            <w:tcBorders>
              <w:top w:val="nil"/>
              <w:left w:val="nil"/>
              <w:bottom w:val="single" w:color="auto" w:sz="4" w:space="0"/>
              <w:right w:val="single" w:color="auto" w:sz="4" w:space="0"/>
            </w:tcBorders>
            <w:vAlign w:val="center"/>
          </w:tcPr>
          <w:p w14:paraId="36218899">
            <w:pPr>
              <w:snapToGrid w:val="0"/>
              <w:spacing w:line="240" w:lineRule="exact"/>
              <w:jc w:val="both"/>
              <w:rPr>
                <w:rFonts w:ascii="Arial" w:hAnsi="Arial" w:cs="Arial"/>
                <w:sz w:val="16"/>
                <w:szCs w:val="18"/>
                <w:highlight w:val="none"/>
              </w:rPr>
            </w:pPr>
            <w:r>
              <w:rPr>
                <w:rFonts w:ascii="Arial" w:hAnsi="Arial" w:cs="Arial"/>
                <w:sz w:val="16"/>
                <w:szCs w:val="18"/>
                <w:highlight w:val="none"/>
              </w:rPr>
              <w:t>估价对象与案例均为</w:t>
            </w:r>
            <w:r>
              <w:rPr>
                <w:rFonts w:hint="eastAsia" w:ascii="Arial" w:hAnsi="Arial" w:cs="Arial"/>
                <w:sz w:val="16"/>
                <w:szCs w:val="18"/>
                <w:highlight w:val="none"/>
              </w:rPr>
              <w:t>平层，</w:t>
            </w:r>
            <w:r>
              <w:rPr>
                <w:rFonts w:ascii="Arial" w:hAnsi="Arial" w:cs="Arial"/>
                <w:sz w:val="16"/>
                <w:szCs w:val="18"/>
                <w:highlight w:val="none"/>
              </w:rPr>
              <w:t>确定可比实例1、2、3该因素指数分别为100、100、100；</w:t>
            </w:r>
          </w:p>
        </w:tc>
      </w:tr>
      <w:tr w14:paraId="2F865C6C">
        <w:tblPrEx>
          <w:tblCellMar>
            <w:top w:w="57" w:type="dxa"/>
            <w:left w:w="57" w:type="dxa"/>
            <w:bottom w:w="57" w:type="dxa"/>
            <w:right w:w="57" w:type="dxa"/>
          </w:tblCellMar>
        </w:tblPrEx>
        <w:trPr>
          <w:trHeight w:val="20" w:hRule="atLeast"/>
          <w:jc w:val="center"/>
        </w:trPr>
        <w:tc>
          <w:tcPr>
            <w:tcW w:w="307" w:type="pct"/>
            <w:vMerge w:val="continue"/>
            <w:tcBorders>
              <w:top w:val="nil"/>
              <w:left w:val="single" w:color="auto" w:sz="4" w:space="0"/>
              <w:bottom w:val="single" w:color="auto" w:sz="4" w:space="0"/>
              <w:right w:val="single" w:color="auto" w:sz="4" w:space="0"/>
            </w:tcBorders>
            <w:vAlign w:val="center"/>
          </w:tcPr>
          <w:p w14:paraId="7EB2E74D">
            <w:pPr>
              <w:snapToGrid w:val="0"/>
              <w:spacing w:line="240" w:lineRule="exact"/>
              <w:jc w:val="both"/>
              <w:rPr>
                <w:rFonts w:ascii="宋体" w:hAnsi="宋体" w:cs="Arial"/>
                <w:sz w:val="16"/>
                <w:szCs w:val="18"/>
                <w:highlight w:val="none"/>
              </w:rPr>
            </w:pPr>
          </w:p>
        </w:tc>
        <w:tc>
          <w:tcPr>
            <w:tcW w:w="535" w:type="pct"/>
            <w:tcBorders>
              <w:top w:val="nil"/>
              <w:left w:val="nil"/>
              <w:bottom w:val="single" w:color="auto" w:sz="4" w:space="0"/>
              <w:right w:val="single" w:color="auto" w:sz="4" w:space="0"/>
            </w:tcBorders>
            <w:vAlign w:val="center"/>
          </w:tcPr>
          <w:p w14:paraId="30607913">
            <w:pPr>
              <w:widowControl/>
              <w:adjustRightInd/>
              <w:spacing w:line="240" w:lineRule="auto"/>
              <w:jc w:val="center"/>
              <w:textAlignment w:val="auto"/>
              <w:rPr>
                <w:rFonts w:ascii="宋体" w:hAnsi="宋体" w:cs="Arial"/>
                <w:sz w:val="16"/>
                <w:szCs w:val="18"/>
                <w:highlight w:val="none"/>
              </w:rPr>
            </w:pPr>
            <w:r>
              <w:rPr>
                <w:rFonts w:ascii="宋体" w:hAnsi="宋体" w:cs="Arial"/>
                <w:sz w:val="16"/>
                <w:szCs w:val="18"/>
                <w:highlight w:val="none"/>
              </w:rPr>
              <w:t>建筑面积</w:t>
            </w:r>
          </w:p>
        </w:tc>
        <w:tc>
          <w:tcPr>
            <w:tcW w:w="531" w:type="pct"/>
            <w:tcBorders>
              <w:top w:val="nil"/>
              <w:left w:val="nil"/>
              <w:bottom w:val="single" w:color="auto" w:sz="4" w:space="0"/>
              <w:right w:val="single" w:color="auto" w:sz="4" w:space="0"/>
            </w:tcBorders>
            <w:noWrap/>
            <w:vAlign w:val="center"/>
          </w:tcPr>
          <w:p w14:paraId="00118A60">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3BF62864">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6D7861EA">
            <w:pPr>
              <w:snapToGrid w:val="0"/>
              <w:spacing w:line="240" w:lineRule="exact"/>
              <w:jc w:val="both"/>
              <w:rPr>
                <w:rFonts w:hint="default" w:ascii="Arial" w:hAnsi="Arial" w:eastAsia="宋体" w:cs="Arial"/>
                <w:sz w:val="16"/>
                <w:szCs w:val="18"/>
                <w:highlight w:val="none"/>
                <w:lang w:val="en-US" w:eastAsia="zh-CN"/>
              </w:rPr>
            </w:pPr>
            <w:r>
              <w:rPr>
                <w:rFonts w:hint="eastAsia" w:ascii="Arial" w:hAnsi="Arial" w:cs="Arial"/>
                <w:sz w:val="16"/>
                <w:szCs w:val="18"/>
                <w:highlight w:val="none"/>
                <w:lang w:val="en-US" w:eastAsia="zh-CN"/>
              </w:rPr>
              <w:t>98</w:t>
            </w:r>
          </w:p>
        </w:tc>
        <w:tc>
          <w:tcPr>
            <w:tcW w:w="531" w:type="pct"/>
            <w:tcBorders>
              <w:top w:val="nil"/>
              <w:left w:val="nil"/>
              <w:bottom w:val="single" w:color="auto" w:sz="4" w:space="0"/>
              <w:right w:val="single" w:color="auto" w:sz="4" w:space="0"/>
            </w:tcBorders>
            <w:noWrap/>
            <w:vAlign w:val="center"/>
          </w:tcPr>
          <w:p w14:paraId="3E513077">
            <w:pPr>
              <w:snapToGrid w:val="0"/>
              <w:spacing w:line="240" w:lineRule="exact"/>
              <w:jc w:val="both"/>
              <w:rPr>
                <w:rFonts w:hint="default" w:ascii="Arial" w:hAnsi="Arial" w:eastAsia="宋体" w:cs="Arial"/>
                <w:sz w:val="16"/>
                <w:szCs w:val="18"/>
                <w:highlight w:val="none"/>
                <w:lang w:val="en-US" w:eastAsia="zh-CN"/>
              </w:rPr>
            </w:pPr>
            <w:r>
              <w:rPr>
                <w:rFonts w:hint="eastAsia" w:ascii="Arial" w:hAnsi="Arial" w:cs="Arial"/>
                <w:sz w:val="16"/>
                <w:szCs w:val="18"/>
                <w:highlight w:val="none"/>
                <w:lang w:val="en-US" w:eastAsia="zh-CN"/>
              </w:rPr>
              <w:t>98</w:t>
            </w:r>
          </w:p>
        </w:tc>
        <w:tc>
          <w:tcPr>
            <w:tcW w:w="2030" w:type="pct"/>
            <w:tcBorders>
              <w:top w:val="nil"/>
              <w:left w:val="nil"/>
              <w:bottom w:val="single" w:color="auto" w:sz="4" w:space="0"/>
              <w:right w:val="single" w:color="auto" w:sz="4" w:space="0"/>
            </w:tcBorders>
            <w:vAlign w:val="center"/>
          </w:tcPr>
          <w:p w14:paraId="4BBD12C8">
            <w:pPr>
              <w:snapToGrid w:val="0"/>
              <w:spacing w:line="240" w:lineRule="exact"/>
              <w:jc w:val="both"/>
              <w:rPr>
                <w:rFonts w:ascii="Arial" w:hAnsi="Arial"/>
                <w:highlight w:val="none"/>
              </w:rPr>
            </w:pPr>
            <w:r>
              <w:rPr>
                <w:rFonts w:ascii="Arial" w:hAnsi="Arial" w:cs="Arial"/>
                <w:sz w:val="16"/>
                <w:szCs w:val="18"/>
                <w:highlight w:val="none"/>
              </w:rPr>
              <w:t>根据建筑面积对其价值的影响，从好到差划分为</w:t>
            </w:r>
            <w:r>
              <w:rPr>
                <w:rFonts w:hint="eastAsia" w:ascii="Arial" w:hAnsi="Arial" w:cs="Arial"/>
                <w:sz w:val="16"/>
                <w:szCs w:val="18"/>
                <w:highlight w:val="none"/>
                <w:lang w:val="en-US" w:eastAsia="zh-CN"/>
              </w:rPr>
              <w:t>6</w:t>
            </w:r>
            <w:r>
              <w:rPr>
                <w:rFonts w:hint="eastAsia" w:ascii="Arial" w:hAnsi="Arial" w:cs="Arial"/>
                <w:sz w:val="16"/>
                <w:szCs w:val="18"/>
                <w:highlight w:val="none"/>
              </w:rPr>
              <w:t>0</w:t>
            </w:r>
            <w:r>
              <w:rPr>
                <w:rFonts w:ascii="Arial" w:hAnsi="Arial" w:cs="Arial"/>
                <w:sz w:val="16"/>
                <w:szCs w:val="18"/>
                <w:highlight w:val="none"/>
              </w:rPr>
              <w:t>（含）平方米及以下、</w:t>
            </w:r>
            <w:r>
              <w:rPr>
                <w:rFonts w:hint="eastAsia" w:ascii="Arial" w:hAnsi="Arial" w:cs="Arial"/>
                <w:sz w:val="16"/>
                <w:szCs w:val="18"/>
                <w:highlight w:val="none"/>
                <w:lang w:val="en-US" w:eastAsia="zh-CN"/>
              </w:rPr>
              <w:t>6</w:t>
            </w:r>
            <w:r>
              <w:rPr>
                <w:rFonts w:hint="eastAsia" w:ascii="Arial" w:hAnsi="Arial" w:cs="Arial"/>
                <w:sz w:val="16"/>
                <w:szCs w:val="18"/>
                <w:highlight w:val="none"/>
              </w:rPr>
              <w:t>0</w:t>
            </w:r>
            <w:r>
              <w:rPr>
                <w:rFonts w:ascii="Arial" w:hAnsi="Arial" w:cs="Arial"/>
                <w:sz w:val="16"/>
                <w:szCs w:val="18"/>
                <w:highlight w:val="none"/>
              </w:rPr>
              <w:t>-</w:t>
            </w:r>
            <w:r>
              <w:rPr>
                <w:rFonts w:hint="eastAsia" w:ascii="Arial" w:hAnsi="Arial" w:cs="Arial"/>
                <w:sz w:val="16"/>
                <w:szCs w:val="18"/>
                <w:highlight w:val="none"/>
                <w:lang w:val="en-US" w:eastAsia="zh-CN"/>
              </w:rPr>
              <w:t>7</w:t>
            </w:r>
            <w:r>
              <w:rPr>
                <w:rFonts w:ascii="Arial" w:hAnsi="Arial" w:cs="Arial"/>
                <w:sz w:val="16"/>
                <w:szCs w:val="18"/>
                <w:highlight w:val="none"/>
              </w:rPr>
              <w:t>0（含）平方米、</w:t>
            </w:r>
            <w:r>
              <w:rPr>
                <w:rFonts w:hint="eastAsia" w:ascii="Arial" w:hAnsi="Arial" w:cs="Arial"/>
                <w:sz w:val="16"/>
                <w:szCs w:val="18"/>
                <w:highlight w:val="none"/>
                <w:lang w:val="en-US" w:eastAsia="zh-CN"/>
              </w:rPr>
              <w:t>7</w:t>
            </w:r>
            <w:r>
              <w:rPr>
                <w:rFonts w:ascii="Arial" w:hAnsi="Arial" w:cs="Arial"/>
                <w:sz w:val="16"/>
                <w:szCs w:val="18"/>
                <w:highlight w:val="none"/>
              </w:rPr>
              <w:t>0-</w:t>
            </w:r>
            <w:r>
              <w:rPr>
                <w:rFonts w:hint="eastAsia" w:ascii="Arial" w:hAnsi="Arial" w:cs="Arial"/>
                <w:sz w:val="16"/>
                <w:szCs w:val="18"/>
                <w:highlight w:val="none"/>
                <w:lang w:val="en-US" w:eastAsia="zh-CN"/>
              </w:rPr>
              <w:t>8</w:t>
            </w:r>
            <w:r>
              <w:rPr>
                <w:rFonts w:ascii="Arial" w:hAnsi="Arial" w:cs="Arial"/>
                <w:sz w:val="16"/>
                <w:szCs w:val="18"/>
                <w:highlight w:val="none"/>
              </w:rPr>
              <w:t>0（含）</w:t>
            </w:r>
            <w:r>
              <w:rPr>
                <w:rFonts w:hint="eastAsia" w:ascii="Arial" w:hAnsi="Arial" w:cs="Arial"/>
                <w:sz w:val="16"/>
                <w:szCs w:val="18"/>
                <w:highlight w:val="none"/>
                <w:lang w:eastAsia="zh-CN"/>
              </w:rPr>
              <w:t>、</w:t>
            </w:r>
            <w:r>
              <w:rPr>
                <w:rFonts w:hint="eastAsia" w:ascii="Arial" w:hAnsi="Arial" w:cs="Arial"/>
                <w:sz w:val="16"/>
                <w:szCs w:val="18"/>
                <w:highlight w:val="none"/>
                <w:lang w:val="en-US" w:eastAsia="zh-CN"/>
              </w:rPr>
              <w:t>8</w:t>
            </w:r>
            <w:r>
              <w:rPr>
                <w:rFonts w:ascii="Arial" w:hAnsi="Arial" w:cs="Arial"/>
                <w:sz w:val="16"/>
                <w:szCs w:val="18"/>
                <w:highlight w:val="none"/>
              </w:rPr>
              <w:t>0-</w:t>
            </w:r>
            <w:r>
              <w:rPr>
                <w:rFonts w:hint="eastAsia" w:ascii="Arial" w:hAnsi="Arial" w:cs="Arial"/>
                <w:sz w:val="16"/>
                <w:szCs w:val="18"/>
                <w:highlight w:val="none"/>
                <w:lang w:val="en-US" w:eastAsia="zh-CN"/>
              </w:rPr>
              <w:t>9</w:t>
            </w:r>
            <w:r>
              <w:rPr>
                <w:rFonts w:ascii="Arial" w:hAnsi="Arial" w:cs="Arial"/>
                <w:sz w:val="16"/>
                <w:szCs w:val="18"/>
                <w:highlight w:val="none"/>
              </w:rPr>
              <w:t>0（含）</w:t>
            </w:r>
            <w:r>
              <w:rPr>
                <w:rFonts w:hint="eastAsia" w:ascii="Arial" w:hAnsi="Arial" w:cs="Arial"/>
                <w:sz w:val="16"/>
                <w:szCs w:val="18"/>
                <w:highlight w:val="none"/>
                <w:lang w:eastAsia="zh-CN"/>
              </w:rPr>
              <w:t>、</w:t>
            </w:r>
            <w:r>
              <w:rPr>
                <w:rFonts w:hint="eastAsia" w:ascii="Arial" w:hAnsi="Arial" w:cs="Arial"/>
                <w:sz w:val="16"/>
                <w:szCs w:val="18"/>
                <w:highlight w:val="none"/>
                <w:lang w:val="en-US" w:eastAsia="zh-CN"/>
              </w:rPr>
              <w:t>90</w:t>
            </w:r>
            <w:r>
              <w:rPr>
                <w:rFonts w:ascii="Arial" w:hAnsi="Arial" w:cs="Arial"/>
                <w:sz w:val="16"/>
                <w:szCs w:val="18"/>
                <w:highlight w:val="none"/>
              </w:rPr>
              <w:t>-</w:t>
            </w:r>
            <w:r>
              <w:rPr>
                <w:rFonts w:hint="eastAsia" w:ascii="Arial" w:hAnsi="Arial" w:cs="Arial"/>
                <w:sz w:val="16"/>
                <w:szCs w:val="18"/>
                <w:highlight w:val="none"/>
                <w:lang w:val="en-US" w:eastAsia="zh-CN"/>
              </w:rPr>
              <w:t>10</w:t>
            </w:r>
            <w:r>
              <w:rPr>
                <w:rFonts w:ascii="Arial" w:hAnsi="Arial" w:cs="Arial"/>
                <w:sz w:val="16"/>
                <w:szCs w:val="18"/>
                <w:highlight w:val="none"/>
              </w:rPr>
              <w:t>0（含）</w:t>
            </w:r>
            <w:r>
              <w:rPr>
                <w:rFonts w:hint="eastAsia" w:ascii="Arial" w:hAnsi="Arial" w:cs="Arial"/>
                <w:sz w:val="16"/>
                <w:szCs w:val="18"/>
                <w:highlight w:val="none"/>
                <w:lang w:eastAsia="zh-CN"/>
              </w:rPr>
              <w:t>、</w:t>
            </w:r>
            <w:r>
              <w:rPr>
                <w:rFonts w:hint="eastAsia" w:ascii="Arial" w:hAnsi="Arial" w:cs="Arial"/>
                <w:sz w:val="16"/>
                <w:szCs w:val="18"/>
                <w:highlight w:val="none"/>
                <w:lang w:val="en-US" w:eastAsia="zh-CN"/>
              </w:rPr>
              <w:t>100</w:t>
            </w:r>
            <w:r>
              <w:rPr>
                <w:rFonts w:ascii="Arial" w:hAnsi="Arial" w:cs="Arial"/>
                <w:sz w:val="16"/>
                <w:szCs w:val="18"/>
                <w:highlight w:val="none"/>
              </w:rPr>
              <w:t>-</w:t>
            </w:r>
            <w:r>
              <w:rPr>
                <w:rFonts w:hint="eastAsia" w:ascii="Arial" w:hAnsi="Arial" w:cs="Arial"/>
                <w:sz w:val="16"/>
                <w:szCs w:val="18"/>
                <w:highlight w:val="none"/>
                <w:lang w:val="en-US" w:eastAsia="zh-CN"/>
              </w:rPr>
              <w:t>11</w:t>
            </w:r>
            <w:r>
              <w:rPr>
                <w:rFonts w:ascii="Arial" w:hAnsi="Arial" w:cs="Arial"/>
                <w:sz w:val="16"/>
                <w:szCs w:val="18"/>
                <w:highlight w:val="none"/>
              </w:rPr>
              <w:t>0（含）</w:t>
            </w:r>
            <w:r>
              <w:rPr>
                <w:rFonts w:hint="eastAsia" w:ascii="Arial" w:hAnsi="Arial" w:cs="Arial"/>
                <w:sz w:val="16"/>
                <w:szCs w:val="18"/>
                <w:highlight w:val="none"/>
                <w:lang w:eastAsia="zh-CN"/>
              </w:rPr>
              <w:t>、</w:t>
            </w:r>
            <w:r>
              <w:rPr>
                <w:rFonts w:hint="eastAsia" w:ascii="Arial" w:hAnsi="Arial" w:cs="Arial"/>
                <w:sz w:val="16"/>
                <w:szCs w:val="18"/>
                <w:highlight w:val="none"/>
                <w:lang w:val="en-US" w:eastAsia="zh-CN"/>
              </w:rPr>
              <w:t>110</w:t>
            </w:r>
            <w:r>
              <w:rPr>
                <w:rFonts w:ascii="Arial" w:hAnsi="Arial" w:cs="Arial"/>
                <w:sz w:val="16"/>
                <w:szCs w:val="18"/>
                <w:highlight w:val="none"/>
              </w:rPr>
              <w:t>-</w:t>
            </w:r>
            <w:r>
              <w:rPr>
                <w:rFonts w:hint="eastAsia" w:ascii="Arial" w:hAnsi="Arial" w:cs="Arial"/>
                <w:sz w:val="16"/>
                <w:szCs w:val="18"/>
                <w:highlight w:val="none"/>
                <w:lang w:val="en-US" w:eastAsia="zh-CN"/>
              </w:rPr>
              <w:t>12</w:t>
            </w:r>
            <w:r>
              <w:rPr>
                <w:rFonts w:ascii="Arial" w:hAnsi="Arial" w:cs="Arial"/>
                <w:sz w:val="16"/>
                <w:szCs w:val="18"/>
                <w:highlight w:val="none"/>
              </w:rPr>
              <w:t>0（含）</w:t>
            </w:r>
            <w:r>
              <w:rPr>
                <w:rFonts w:hint="eastAsia" w:ascii="Arial" w:hAnsi="Arial" w:cs="Arial"/>
                <w:sz w:val="16"/>
                <w:szCs w:val="18"/>
                <w:highlight w:val="none"/>
                <w:lang w:eastAsia="zh-CN"/>
              </w:rPr>
              <w:t>、</w:t>
            </w:r>
            <w:r>
              <w:rPr>
                <w:rFonts w:hint="eastAsia" w:ascii="Arial" w:hAnsi="Arial" w:cs="Arial"/>
                <w:sz w:val="16"/>
                <w:szCs w:val="18"/>
                <w:highlight w:val="none"/>
                <w:lang w:val="en-US" w:eastAsia="zh-CN"/>
              </w:rPr>
              <w:t>120</w:t>
            </w:r>
            <w:r>
              <w:rPr>
                <w:rFonts w:ascii="Arial" w:hAnsi="Arial" w:cs="Arial"/>
                <w:sz w:val="16"/>
                <w:szCs w:val="18"/>
                <w:highlight w:val="none"/>
              </w:rPr>
              <w:t>-</w:t>
            </w:r>
            <w:r>
              <w:rPr>
                <w:rFonts w:hint="eastAsia" w:ascii="Arial" w:hAnsi="Arial" w:cs="Arial"/>
                <w:sz w:val="16"/>
                <w:szCs w:val="18"/>
                <w:highlight w:val="none"/>
                <w:lang w:val="en-US" w:eastAsia="zh-CN"/>
              </w:rPr>
              <w:t>13</w:t>
            </w:r>
            <w:r>
              <w:rPr>
                <w:rFonts w:ascii="Arial" w:hAnsi="Arial" w:cs="Arial"/>
                <w:sz w:val="16"/>
                <w:szCs w:val="18"/>
                <w:highlight w:val="none"/>
              </w:rPr>
              <w:t>0（含）</w:t>
            </w:r>
            <w:r>
              <w:rPr>
                <w:rFonts w:hint="eastAsia" w:ascii="Arial" w:hAnsi="Arial" w:cs="Arial"/>
                <w:sz w:val="16"/>
                <w:szCs w:val="18"/>
                <w:highlight w:val="none"/>
                <w:lang w:eastAsia="zh-CN"/>
              </w:rPr>
              <w:t>、</w:t>
            </w:r>
            <w:r>
              <w:rPr>
                <w:rFonts w:hint="eastAsia" w:ascii="Arial" w:hAnsi="Arial" w:cs="Arial"/>
                <w:sz w:val="16"/>
                <w:szCs w:val="18"/>
                <w:highlight w:val="none"/>
                <w:lang w:val="en-US" w:eastAsia="zh-CN"/>
              </w:rPr>
              <w:t>130</w:t>
            </w:r>
            <w:r>
              <w:rPr>
                <w:rFonts w:ascii="Arial" w:hAnsi="Arial" w:cs="Arial"/>
                <w:sz w:val="16"/>
                <w:szCs w:val="18"/>
                <w:highlight w:val="none"/>
              </w:rPr>
              <w:t>-</w:t>
            </w:r>
            <w:r>
              <w:rPr>
                <w:rFonts w:hint="eastAsia" w:ascii="Arial" w:hAnsi="Arial" w:cs="Arial"/>
                <w:sz w:val="16"/>
                <w:szCs w:val="18"/>
                <w:highlight w:val="none"/>
                <w:lang w:val="en-US" w:eastAsia="zh-CN"/>
              </w:rPr>
              <w:t>14</w:t>
            </w:r>
            <w:r>
              <w:rPr>
                <w:rFonts w:ascii="Arial" w:hAnsi="Arial" w:cs="Arial"/>
                <w:sz w:val="16"/>
                <w:szCs w:val="18"/>
                <w:highlight w:val="none"/>
              </w:rPr>
              <w:t>0（含）平方米及以上。以估价对象该因素指数为100，各可比实例与之相比，确定可比实例1、2、3该因素指数分别为</w:t>
            </w:r>
            <w:r>
              <w:rPr>
                <w:rFonts w:hint="eastAsia" w:ascii="Arial" w:hAnsi="Arial" w:cs="Arial"/>
                <w:sz w:val="16"/>
                <w:szCs w:val="18"/>
                <w:highlight w:val="none"/>
                <w:lang w:val="en-US" w:eastAsia="zh-CN"/>
              </w:rPr>
              <w:t>100</w:t>
            </w:r>
            <w:r>
              <w:rPr>
                <w:rFonts w:hint="eastAsia" w:ascii="Arial" w:hAnsi="Arial" w:cs="Arial"/>
                <w:sz w:val="16"/>
                <w:szCs w:val="18"/>
                <w:highlight w:val="none"/>
              </w:rPr>
              <w:t>、</w:t>
            </w:r>
            <w:r>
              <w:rPr>
                <w:rFonts w:ascii="Arial" w:hAnsi="Arial" w:cs="Arial"/>
                <w:sz w:val="16"/>
                <w:szCs w:val="18"/>
                <w:highlight w:val="none"/>
              </w:rPr>
              <w:t>9</w:t>
            </w:r>
            <w:r>
              <w:rPr>
                <w:rFonts w:hint="eastAsia" w:ascii="Arial" w:hAnsi="Arial" w:cs="Arial"/>
                <w:sz w:val="16"/>
                <w:szCs w:val="18"/>
                <w:highlight w:val="none"/>
                <w:lang w:val="en-US" w:eastAsia="zh-CN"/>
              </w:rPr>
              <w:t>8</w:t>
            </w:r>
            <w:r>
              <w:rPr>
                <w:rFonts w:hint="eastAsia" w:ascii="Arial" w:hAnsi="Arial" w:cs="Arial"/>
                <w:sz w:val="16"/>
                <w:szCs w:val="18"/>
                <w:highlight w:val="none"/>
              </w:rPr>
              <w:t>、</w:t>
            </w:r>
            <w:r>
              <w:rPr>
                <w:rFonts w:hint="eastAsia" w:ascii="Arial" w:hAnsi="Arial" w:cs="Arial"/>
                <w:sz w:val="16"/>
                <w:szCs w:val="18"/>
                <w:highlight w:val="none"/>
                <w:lang w:val="en-US" w:eastAsia="zh-CN"/>
              </w:rPr>
              <w:t>98</w:t>
            </w:r>
            <w:r>
              <w:rPr>
                <w:rFonts w:ascii="Arial" w:hAnsi="Arial" w:cs="Arial"/>
                <w:sz w:val="16"/>
                <w:szCs w:val="18"/>
                <w:highlight w:val="none"/>
              </w:rPr>
              <w:t>；</w:t>
            </w:r>
          </w:p>
        </w:tc>
      </w:tr>
      <w:tr w14:paraId="20603280">
        <w:tblPrEx>
          <w:tblCellMar>
            <w:top w:w="57" w:type="dxa"/>
            <w:left w:w="57" w:type="dxa"/>
            <w:bottom w:w="57" w:type="dxa"/>
            <w:right w:w="57" w:type="dxa"/>
          </w:tblCellMar>
        </w:tblPrEx>
        <w:trPr>
          <w:trHeight w:val="20" w:hRule="atLeast"/>
          <w:jc w:val="center"/>
        </w:trPr>
        <w:tc>
          <w:tcPr>
            <w:tcW w:w="307" w:type="pct"/>
            <w:vMerge w:val="continue"/>
            <w:tcBorders>
              <w:top w:val="nil"/>
              <w:left w:val="single" w:color="auto" w:sz="4" w:space="0"/>
              <w:bottom w:val="single" w:color="auto" w:sz="4" w:space="0"/>
              <w:right w:val="single" w:color="auto" w:sz="4" w:space="0"/>
            </w:tcBorders>
            <w:vAlign w:val="center"/>
          </w:tcPr>
          <w:p w14:paraId="509465F0">
            <w:pPr>
              <w:snapToGrid w:val="0"/>
              <w:spacing w:line="240" w:lineRule="exact"/>
              <w:jc w:val="both"/>
              <w:rPr>
                <w:rFonts w:ascii="宋体" w:hAnsi="宋体" w:cs="Arial"/>
                <w:sz w:val="16"/>
                <w:szCs w:val="18"/>
                <w:highlight w:val="none"/>
              </w:rPr>
            </w:pPr>
          </w:p>
        </w:tc>
        <w:tc>
          <w:tcPr>
            <w:tcW w:w="535" w:type="pct"/>
            <w:tcBorders>
              <w:top w:val="nil"/>
              <w:left w:val="nil"/>
              <w:bottom w:val="single" w:color="auto" w:sz="4" w:space="0"/>
              <w:right w:val="single" w:color="auto" w:sz="4" w:space="0"/>
            </w:tcBorders>
            <w:vAlign w:val="center"/>
          </w:tcPr>
          <w:p w14:paraId="681785B2">
            <w:pPr>
              <w:widowControl/>
              <w:adjustRightInd/>
              <w:spacing w:line="240" w:lineRule="auto"/>
              <w:jc w:val="center"/>
              <w:textAlignment w:val="auto"/>
              <w:rPr>
                <w:rFonts w:ascii="宋体" w:hAnsi="宋体" w:cs="Arial"/>
                <w:sz w:val="16"/>
                <w:szCs w:val="18"/>
                <w:highlight w:val="none"/>
              </w:rPr>
            </w:pPr>
            <w:r>
              <w:rPr>
                <w:rFonts w:ascii="宋体" w:hAnsi="宋体" w:cs="Arial"/>
                <w:sz w:val="16"/>
                <w:szCs w:val="18"/>
                <w:highlight w:val="none"/>
              </w:rPr>
              <w:t>家具家电</w:t>
            </w:r>
          </w:p>
        </w:tc>
        <w:tc>
          <w:tcPr>
            <w:tcW w:w="531" w:type="pct"/>
            <w:tcBorders>
              <w:top w:val="nil"/>
              <w:left w:val="nil"/>
              <w:bottom w:val="single" w:color="auto" w:sz="4" w:space="0"/>
              <w:right w:val="single" w:color="auto" w:sz="4" w:space="0"/>
            </w:tcBorders>
            <w:noWrap/>
            <w:vAlign w:val="center"/>
          </w:tcPr>
          <w:p w14:paraId="6970F1E0">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2CFC1404">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5D9897AC">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41FF807E">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2030" w:type="pct"/>
            <w:tcBorders>
              <w:top w:val="nil"/>
              <w:left w:val="nil"/>
              <w:bottom w:val="single" w:color="auto" w:sz="4" w:space="0"/>
              <w:right w:val="single" w:color="auto" w:sz="4" w:space="0"/>
            </w:tcBorders>
            <w:vAlign w:val="center"/>
          </w:tcPr>
          <w:p w14:paraId="01F147E8">
            <w:pPr>
              <w:widowControl/>
              <w:adjustRightInd/>
              <w:spacing w:line="240" w:lineRule="auto"/>
              <w:textAlignment w:val="auto"/>
              <w:rPr>
                <w:rFonts w:ascii="Arial" w:hAnsi="Arial"/>
                <w:highlight w:val="none"/>
              </w:rPr>
            </w:pPr>
            <w:r>
              <w:rPr>
                <w:rFonts w:ascii="Arial" w:hAnsi="Arial" w:cs="Arial"/>
                <w:sz w:val="16"/>
                <w:szCs w:val="18"/>
                <w:highlight w:val="none"/>
              </w:rPr>
              <w:t>根据家具家电配备齐全程度，以估价对象该因素指数为100，各可比实例与之相比，确定可比实例1、2、3该因素指数分别为</w:t>
            </w:r>
            <w:r>
              <w:rPr>
                <w:rFonts w:hint="eastAsia" w:ascii="Arial" w:hAnsi="Arial" w:cs="Arial"/>
                <w:sz w:val="16"/>
                <w:szCs w:val="18"/>
                <w:highlight w:val="none"/>
              </w:rPr>
              <w:t>10</w:t>
            </w:r>
            <w:r>
              <w:rPr>
                <w:rFonts w:ascii="Arial" w:hAnsi="Arial" w:cs="Arial"/>
                <w:sz w:val="16"/>
                <w:szCs w:val="18"/>
                <w:highlight w:val="none"/>
              </w:rPr>
              <w:t>0</w:t>
            </w:r>
            <w:r>
              <w:rPr>
                <w:rFonts w:hint="eastAsia" w:ascii="Arial" w:hAnsi="Arial" w:cs="Arial"/>
                <w:sz w:val="16"/>
                <w:szCs w:val="18"/>
                <w:highlight w:val="none"/>
              </w:rPr>
              <w:t>、10</w:t>
            </w:r>
            <w:r>
              <w:rPr>
                <w:rFonts w:ascii="Arial" w:hAnsi="Arial" w:cs="Arial"/>
                <w:sz w:val="16"/>
                <w:szCs w:val="18"/>
                <w:highlight w:val="none"/>
              </w:rPr>
              <w:t>0</w:t>
            </w:r>
            <w:r>
              <w:rPr>
                <w:rFonts w:hint="eastAsia" w:ascii="Arial" w:hAnsi="Arial" w:cs="Arial"/>
                <w:sz w:val="16"/>
                <w:szCs w:val="18"/>
                <w:highlight w:val="none"/>
              </w:rPr>
              <w:t>、10</w:t>
            </w:r>
            <w:r>
              <w:rPr>
                <w:rFonts w:ascii="Arial" w:hAnsi="Arial" w:cs="Arial"/>
                <w:sz w:val="16"/>
                <w:szCs w:val="18"/>
                <w:highlight w:val="none"/>
              </w:rPr>
              <w:t>0</w:t>
            </w:r>
          </w:p>
        </w:tc>
      </w:tr>
      <w:tr w14:paraId="7530C0E4">
        <w:tblPrEx>
          <w:tblCellMar>
            <w:top w:w="57" w:type="dxa"/>
            <w:left w:w="57" w:type="dxa"/>
            <w:bottom w:w="57" w:type="dxa"/>
            <w:right w:w="57" w:type="dxa"/>
          </w:tblCellMar>
        </w:tblPrEx>
        <w:trPr>
          <w:trHeight w:val="20" w:hRule="atLeast"/>
          <w:jc w:val="center"/>
        </w:trPr>
        <w:tc>
          <w:tcPr>
            <w:tcW w:w="307" w:type="pct"/>
            <w:vMerge w:val="restart"/>
            <w:tcBorders>
              <w:top w:val="single" w:color="auto" w:sz="4" w:space="0"/>
              <w:left w:val="single" w:color="auto" w:sz="4" w:space="0"/>
              <w:bottom w:val="single" w:color="auto" w:sz="4" w:space="0"/>
              <w:right w:val="single" w:color="auto" w:sz="4" w:space="0"/>
            </w:tcBorders>
            <w:vAlign w:val="center"/>
          </w:tcPr>
          <w:p w14:paraId="257E1A37">
            <w:pPr>
              <w:snapToGrid w:val="0"/>
              <w:spacing w:line="240" w:lineRule="exact"/>
              <w:jc w:val="both"/>
              <w:rPr>
                <w:rFonts w:ascii="宋体" w:hAnsi="宋体" w:cs="Arial"/>
                <w:sz w:val="16"/>
                <w:szCs w:val="18"/>
                <w:highlight w:val="none"/>
              </w:rPr>
            </w:pPr>
            <w:r>
              <w:rPr>
                <w:rFonts w:ascii="宋体" w:hAnsi="宋体" w:cs="Arial"/>
                <w:sz w:val="16"/>
                <w:szCs w:val="18"/>
                <w:highlight w:val="none"/>
              </w:rPr>
              <w:t>权益状况</w:t>
            </w:r>
          </w:p>
        </w:tc>
        <w:tc>
          <w:tcPr>
            <w:tcW w:w="535" w:type="pct"/>
            <w:tcBorders>
              <w:top w:val="single" w:color="auto" w:sz="4" w:space="0"/>
              <w:left w:val="nil"/>
              <w:bottom w:val="single" w:color="auto" w:sz="4" w:space="0"/>
              <w:right w:val="single" w:color="auto" w:sz="4" w:space="0"/>
            </w:tcBorders>
            <w:vAlign w:val="center"/>
          </w:tcPr>
          <w:p w14:paraId="71C085EC">
            <w:pPr>
              <w:snapToGrid w:val="0"/>
              <w:spacing w:line="240" w:lineRule="exact"/>
              <w:jc w:val="both"/>
              <w:rPr>
                <w:rFonts w:ascii="宋体" w:hAnsi="宋体" w:cs="Arial"/>
                <w:sz w:val="16"/>
                <w:szCs w:val="18"/>
                <w:highlight w:val="none"/>
              </w:rPr>
            </w:pPr>
            <w:r>
              <w:rPr>
                <w:rFonts w:ascii="宋体" w:hAnsi="宋体" w:cs="Arial"/>
                <w:sz w:val="16"/>
                <w:szCs w:val="18"/>
                <w:highlight w:val="none"/>
              </w:rPr>
              <w:t>服务及管理水平</w:t>
            </w:r>
          </w:p>
        </w:tc>
        <w:tc>
          <w:tcPr>
            <w:tcW w:w="531" w:type="pct"/>
            <w:tcBorders>
              <w:top w:val="nil"/>
              <w:left w:val="nil"/>
              <w:bottom w:val="single" w:color="auto" w:sz="4" w:space="0"/>
              <w:right w:val="single" w:color="auto" w:sz="4" w:space="0"/>
            </w:tcBorders>
            <w:noWrap/>
            <w:vAlign w:val="center"/>
          </w:tcPr>
          <w:p w14:paraId="01DE95B1">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53214A97">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3F3771E7">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4D197CBD">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2030" w:type="pct"/>
            <w:tcBorders>
              <w:top w:val="nil"/>
              <w:left w:val="nil"/>
              <w:bottom w:val="single" w:color="auto" w:sz="4" w:space="0"/>
              <w:right w:val="single" w:color="auto" w:sz="4" w:space="0"/>
            </w:tcBorders>
            <w:vAlign w:val="center"/>
          </w:tcPr>
          <w:p w14:paraId="65D345FC">
            <w:pPr>
              <w:widowControl/>
              <w:adjustRightInd/>
              <w:spacing w:line="240" w:lineRule="auto"/>
              <w:textAlignment w:val="auto"/>
              <w:rPr>
                <w:rFonts w:ascii="Arial" w:hAnsi="Arial" w:cs="Arial"/>
                <w:sz w:val="16"/>
                <w:szCs w:val="18"/>
                <w:highlight w:val="none"/>
              </w:rPr>
            </w:pPr>
            <w:r>
              <w:rPr>
                <w:rFonts w:ascii="Arial" w:hAnsi="Arial" w:cs="Arial"/>
                <w:sz w:val="16"/>
                <w:szCs w:val="18"/>
                <w:highlight w:val="none"/>
              </w:rPr>
              <w:t>根据是否配置服务管家、是否封闭式管理，以估价对象该因素指数为100，各可比实例与之相比，确定可比实例1、2、3该因素指数分别为</w:t>
            </w:r>
            <w:r>
              <w:rPr>
                <w:rFonts w:hint="eastAsia" w:ascii="Arial" w:hAnsi="Arial" w:cs="Arial"/>
                <w:sz w:val="16"/>
                <w:szCs w:val="18"/>
                <w:highlight w:val="none"/>
                <w:lang w:val="en-US" w:eastAsia="zh-CN"/>
              </w:rPr>
              <w:t>100</w:t>
            </w:r>
            <w:r>
              <w:rPr>
                <w:rFonts w:hint="eastAsia" w:ascii="Arial" w:hAnsi="Arial" w:cs="Arial"/>
                <w:sz w:val="16"/>
                <w:szCs w:val="18"/>
                <w:highlight w:val="none"/>
              </w:rPr>
              <w:t>、</w:t>
            </w:r>
            <w:r>
              <w:rPr>
                <w:rFonts w:hint="eastAsia" w:ascii="Arial" w:hAnsi="Arial" w:cs="Arial"/>
                <w:sz w:val="16"/>
                <w:szCs w:val="18"/>
                <w:highlight w:val="none"/>
                <w:lang w:val="en-US" w:eastAsia="zh-CN"/>
              </w:rPr>
              <w:t>100</w:t>
            </w:r>
            <w:r>
              <w:rPr>
                <w:rFonts w:hint="eastAsia" w:ascii="Arial" w:hAnsi="Arial" w:cs="Arial"/>
                <w:sz w:val="16"/>
                <w:szCs w:val="18"/>
                <w:highlight w:val="none"/>
              </w:rPr>
              <w:t>、</w:t>
            </w:r>
            <w:r>
              <w:rPr>
                <w:rFonts w:hint="eastAsia" w:ascii="Arial" w:hAnsi="Arial" w:cs="Arial"/>
                <w:sz w:val="16"/>
                <w:szCs w:val="18"/>
                <w:highlight w:val="none"/>
                <w:lang w:val="en-US" w:eastAsia="zh-CN"/>
              </w:rPr>
              <w:t>100</w:t>
            </w:r>
            <w:r>
              <w:rPr>
                <w:rFonts w:ascii="Arial" w:hAnsi="Arial" w:cs="Arial"/>
                <w:sz w:val="16"/>
                <w:szCs w:val="18"/>
                <w:highlight w:val="none"/>
              </w:rPr>
              <w:t>。</w:t>
            </w:r>
          </w:p>
        </w:tc>
      </w:tr>
      <w:tr w14:paraId="2B7A44D6">
        <w:tblPrEx>
          <w:tblCellMar>
            <w:top w:w="57" w:type="dxa"/>
            <w:left w:w="57" w:type="dxa"/>
            <w:bottom w:w="57" w:type="dxa"/>
            <w:right w:w="57" w:type="dxa"/>
          </w:tblCellMar>
        </w:tblPrEx>
        <w:trPr>
          <w:trHeight w:val="20" w:hRule="atLeast"/>
          <w:jc w:val="center"/>
        </w:trPr>
        <w:tc>
          <w:tcPr>
            <w:tcW w:w="307" w:type="pct"/>
            <w:vMerge w:val="continue"/>
            <w:tcBorders>
              <w:top w:val="nil"/>
              <w:left w:val="single" w:color="auto" w:sz="4" w:space="0"/>
              <w:bottom w:val="single" w:color="auto" w:sz="4" w:space="0"/>
              <w:right w:val="single" w:color="auto" w:sz="4" w:space="0"/>
            </w:tcBorders>
            <w:vAlign w:val="center"/>
          </w:tcPr>
          <w:p w14:paraId="6A64DDB1">
            <w:pPr>
              <w:snapToGrid w:val="0"/>
              <w:spacing w:line="240" w:lineRule="exact"/>
              <w:jc w:val="both"/>
              <w:rPr>
                <w:rFonts w:ascii="宋体" w:hAnsi="宋体" w:cs="Arial"/>
                <w:sz w:val="16"/>
                <w:szCs w:val="18"/>
                <w:highlight w:val="none"/>
              </w:rPr>
            </w:pPr>
          </w:p>
        </w:tc>
        <w:tc>
          <w:tcPr>
            <w:tcW w:w="535" w:type="pct"/>
            <w:tcBorders>
              <w:top w:val="nil"/>
              <w:left w:val="nil"/>
              <w:bottom w:val="single" w:color="auto" w:sz="4" w:space="0"/>
              <w:right w:val="single" w:color="auto" w:sz="4" w:space="0"/>
            </w:tcBorders>
            <w:vAlign w:val="center"/>
          </w:tcPr>
          <w:p w14:paraId="3A99BAAC">
            <w:pPr>
              <w:snapToGrid w:val="0"/>
              <w:spacing w:line="240" w:lineRule="exact"/>
              <w:jc w:val="both"/>
              <w:rPr>
                <w:rFonts w:ascii="宋体" w:hAnsi="宋体" w:cs="Arial"/>
                <w:sz w:val="16"/>
                <w:szCs w:val="18"/>
                <w:highlight w:val="none"/>
              </w:rPr>
            </w:pPr>
            <w:r>
              <w:rPr>
                <w:rFonts w:ascii="宋体" w:hAnsi="宋体" w:cs="Arial"/>
                <w:sz w:val="16"/>
                <w:szCs w:val="18"/>
                <w:highlight w:val="none"/>
              </w:rPr>
              <w:t>水电气费执行标准</w:t>
            </w:r>
          </w:p>
        </w:tc>
        <w:tc>
          <w:tcPr>
            <w:tcW w:w="531" w:type="pct"/>
            <w:tcBorders>
              <w:top w:val="nil"/>
              <w:left w:val="nil"/>
              <w:bottom w:val="single" w:color="auto" w:sz="4" w:space="0"/>
              <w:right w:val="single" w:color="auto" w:sz="4" w:space="0"/>
            </w:tcBorders>
            <w:noWrap/>
            <w:vAlign w:val="center"/>
          </w:tcPr>
          <w:p w14:paraId="369B3D7D">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7C92B88D">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23BEF8C1">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7059BD95">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2030" w:type="pct"/>
            <w:tcBorders>
              <w:top w:val="nil"/>
              <w:left w:val="nil"/>
              <w:bottom w:val="single" w:color="auto" w:sz="4" w:space="0"/>
              <w:right w:val="single" w:color="auto" w:sz="4" w:space="0"/>
            </w:tcBorders>
            <w:vAlign w:val="center"/>
          </w:tcPr>
          <w:p w14:paraId="3DCAE32F">
            <w:pPr>
              <w:widowControl/>
              <w:adjustRightInd/>
              <w:spacing w:line="240" w:lineRule="auto"/>
              <w:textAlignment w:val="auto"/>
              <w:rPr>
                <w:rFonts w:ascii="Arial" w:hAnsi="Arial" w:cs="Arial"/>
                <w:sz w:val="16"/>
                <w:szCs w:val="18"/>
                <w:highlight w:val="none"/>
              </w:rPr>
            </w:pPr>
            <w:r>
              <w:rPr>
                <w:rFonts w:ascii="Arial" w:hAnsi="Arial" w:cs="Arial"/>
                <w:sz w:val="16"/>
                <w:szCs w:val="18"/>
                <w:highlight w:val="none"/>
              </w:rPr>
              <w:t>估价对象与案例均采用民水民电，确定可比实例1、2、3该因素指数分别为100、100、100。</w:t>
            </w:r>
          </w:p>
        </w:tc>
      </w:tr>
    </w:tbl>
    <w:p w14:paraId="378A8D8D">
      <w:pPr>
        <w:wordWrap w:val="0"/>
        <w:overflowPunct w:val="0"/>
        <w:spacing w:line="480" w:lineRule="auto"/>
        <w:rPr>
          <w:rFonts w:ascii="Arial" w:hAnsi="Arial"/>
          <w:sz w:val="21"/>
          <w:szCs w:val="21"/>
          <w:highlight w:val="none"/>
        </w:rPr>
      </w:pPr>
    </w:p>
    <w:p w14:paraId="41266574">
      <w:pPr>
        <w:wordWrap w:val="0"/>
        <w:overflowPunct w:val="0"/>
        <w:spacing w:line="480" w:lineRule="auto"/>
        <w:rPr>
          <w:rFonts w:ascii="Arial" w:hAnsi="Arial"/>
          <w:sz w:val="21"/>
          <w:szCs w:val="21"/>
          <w:highlight w:val="none"/>
        </w:rPr>
      </w:pPr>
    </w:p>
    <w:p w14:paraId="5673C7A9">
      <w:pPr>
        <w:rPr>
          <w:rFonts w:hint="eastAsia" w:ascii="Arial" w:hAnsi="Arial"/>
          <w:sz w:val="21"/>
          <w:szCs w:val="21"/>
          <w:highlight w:val="none"/>
        </w:rPr>
      </w:pPr>
      <w:r>
        <w:rPr>
          <w:rFonts w:hint="eastAsia" w:ascii="Arial" w:hAnsi="Arial"/>
          <w:sz w:val="21"/>
          <w:szCs w:val="21"/>
          <w:highlight w:val="none"/>
        </w:rPr>
        <w:br w:type="page"/>
      </w:r>
    </w:p>
    <w:p w14:paraId="790EF285">
      <w:pPr>
        <w:wordWrap w:val="0"/>
        <w:overflowPunct w:val="0"/>
        <w:spacing w:line="480" w:lineRule="auto"/>
        <w:ind w:firstLine="420" w:firstLineChars="200"/>
        <w:rPr>
          <w:rFonts w:ascii="Arial" w:hAnsi="Arial"/>
          <w:sz w:val="21"/>
          <w:szCs w:val="21"/>
          <w:highlight w:val="none"/>
        </w:rPr>
      </w:pPr>
      <w:r>
        <w:rPr>
          <w:rFonts w:hint="eastAsia" w:ascii="Arial" w:hAnsi="Arial"/>
          <w:sz w:val="21"/>
          <w:szCs w:val="21"/>
          <w:highlight w:val="none"/>
        </w:rPr>
        <w:t>（3）编制因素比较修正系数表</w:t>
      </w:r>
      <w:r>
        <w:rPr>
          <w:rFonts w:ascii="Arial" w:hAnsi="Arial"/>
          <w:sz w:val="21"/>
          <w:szCs w:val="21"/>
          <w:highlight w:val="none"/>
        </w:rPr>
        <w:t xml:space="preserve"> </w:t>
      </w:r>
    </w:p>
    <w:p w14:paraId="4D7AE149">
      <w:pPr>
        <w:wordWrap w:val="0"/>
        <w:overflowPunct w:val="0"/>
        <w:spacing w:line="480" w:lineRule="auto"/>
        <w:ind w:firstLine="420" w:firstLineChars="200"/>
        <w:rPr>
          <w:rFonts w:ascii="Arial" w:hAnsi="Arial"/>
          <w:sz w:val="21"/>
          <w:szCs w:val="21"/>
          <w:highlight w:val="none"/>
        </w:rPr>
      </w:pPr>
      <w:r>
        <w:rPr>
          <w:rFonts w:hint="eastAsia" w:ascii="Arial" w:hAnsi="Arial"/>
          <w:sz w:val="21"/>
          <w:szCs w:val="21"/>
          <w:highlight w:val="none"/>
        </w:rPr>
        <w:t>根据比较因素条件指数表，编制因素各项目比较修正系数表，详见下表：</w:t>
      </w:r>
    </w:p>
    <w:p w14:paraId="7E2188DB">
      <w:pPr>
        <w:overflowPunct w:val="0"/>
        <w:spacing w:line="480" w:lineRule="auto"/>
        <w:ind w:firstLine="420" w:firstLineChars="200"/>
        <w:jc w:val="center"/>
        <w:rPr>
          <w:rFonts w:ascii="Arial" w:hAnsi="Arial"/>
          <w:sz w:val="21"/>
          <w:szCs w:val="21"/>
          <w:highlight w:val="none"/>
        </w:rPr>
      </w:pPr>
      <w:r>
        <w:rPr>
          <w:rFonts w:hint="eastAsia" w:ascii="Arial" w:hAnsi="Arial"/>
          <w:sz w:val="21"/>
          <w:szCs w:val="21"/>
          <w:highlight w:val="none"/>
        </w:rPr>
        <w:t>因素比较修正系数表</w:t>
      </w:r>
    </w:p>
    <w:tbl>
      <w:tblPr>
        <w:tblStyle w:val="33"/>
        <w:tblW w:w="5000" w:type="pct"/>
        <w:tblInd w:w="0" w:type="dxa"/>
        <w:tblLayout w:type="autofit"/>
        <w:tblCellMar>
          <w:top w:w="0" w:type="dxa"/>
          <w:left w:w="108" w:type="dxa"/>
          <w:bottom w:w="0" w:type="dxa"/>
          <w:right w:w="108" w:type="dxa"/>
        </w:tblCellMar>
      </w:tblPr>
      <w:tblGrid>
        <w:gridCol w:w="1506"/>
        <w:gridCol w:w="2887"/>
        <w:gridCol w:w="1707"/>
        <w:gridCol w:w="1707"/>
        <w:gridCol w:w="1708"/>
      </w:tblGrid>
      <w:tr w14:paraId="4CEBAFB6">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678C2381">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项目</w:t>
            </w:r>
          </w:p>
        </w:tc>
        <w:tc>
          <w:tcPr>
            <w:tcW w:w="897" w:type="pct"/>
            <w:tcBorders>
              <w:top w:val="single" w:color="auto" w:sz="4" w:space="0"/>
              <w:left w:val="nil"/>
              <w:bottom w:val="single" w:color="auto" w:sz="4" w:space="0"/>
              <w:right w:val="single" w:color="auto" w:sz="4" w:space="0"/>
            </w:tcBorders>
            <w:vAlign w:val="center"/>
          </w:tcPr>
          <w:p w14:paraId="063B0613">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可比实例1</w:t>
            </w:r>
          </w:p>
        </w:tc>
        <w:tc>
          <w:tcPr>
            <w:tcW w:w="897" w:type="pct"/>
            <w:tcBorders>
              <w:top w:val="single" w:color="auto" w:sz="4" w:space="0"/>
              <w:left w:val="nil"/>
              <w:bottom w:val="single" w:color="auto" w:sz="4" w:space="0"/>
              <w:right w:val="single" w:color="auto" w:sz="4" w:space="0"/>
            </w:tcBorders>
            <w:vAlign w:val="center"/>
          </w:tcPr>
          <w:p w14:paraId="2164C432">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可比实例2</w:t>
            </w:r>
          </w:p>
        </w:tc>
        <w:tc>
          <w:tcPr>
            <w:tcW w:w="897" w:type="pct"/>
            <w:tcBorders>
              <w:top w:val="single" w:color="auto" w:sz="4" w:space="0"/>
              <w:left w:val="nil"/>
              <w:bottom w:val="single" w:color="auto" w:sz="4" w:space="0"/>
              <w:right w:val="single" w:color="auto" w:sz="4" w:space="0"/>
            </w:tcBorders>
            <w:vAlign w:val="center"/>
          </w:tcPr>
          <w:p w14:paraId="31C77BF8">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可比实例3</w:t>
            </w:r>
          </w:p>
        </w:tc>
      </w:tr>
      <w:tr w14:paraId="4F3CE34A">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08C0B210">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小区名称</w:t>
            </w:r>
          </w:p>
        </w:tc>
        <w:tc>
          <w:tcPr>
            <w:tcW w:w="897" w:type="pct"/>
            <w:tcBorders>
              <w:top w:val="nil"/>
              <w:left w:val="nil"/>
              <w:bottom w:val="single" w:color="auto" w:sz="4" w:space="0"/>
              <w:right w:val="single" w:color="auto" w:sz="4" w:space="0"/>
            </w:tcBorders>
            <w:vAlign w:val="center"/>
          </w:tcPr>
          <w:p w14:paraId="637BB43A">
            <w:pPr>
              <w:widowControl/>
              <w:snapToGrid w:val="0"/>
              <w:spacing w:line="240" w:lineRule="exact"/>
              <w:jc w:val="center"/>
              <w:textAlignment w:val="center"/>
              <w:rPr>
                <w:rFonts w:ascii="Arial" w:hAnsi="Arial" w:cs="Arial"/>
                <w:sz w:val="16"/>
                <w:szCs w:val="18"/>
                <w:highlight w:val="none"/>
              </w:rPr>
            </w:pPr>
            <w:r>
              <w:rPr>
                <w:rFonts w:hint="eastAsia" w:ascii="Arial" w:hAnsi="Arial" w:cs="Arial"/>
                <w:sz w:val="16"/>
                <w:szCs w:val="18"/>
                <w:highlight w:val="none"/>
              </w:rPr>
              <w:t>恒盛波尔多小镇南区</w:t>
            </w:r>
          </w:p>
        </w:tc>
        <w:tc>
          <w:tcPr>
            <w:tcW w:w="897" w:type="pct"/>
            <w:tcBorders>
              <w:top w:val="nil"/>
              <w:left w:val="nil"/>
              <w:bottom w:val="single" w:color="auto" w:sz="4" w:space="0"/>
              <w:right w:val="single" w:color="auto" w:sz="4" w:space="0"/>
            </w:tcBorders>
            <w:vAlign w:val="center"/>
          </w:tcPr>
          <w:p w14:paraId="1BBDF98D">
            <w:pPr>
              <w:widowControl/>
              <w:snapToGrid w:val="0"/>
              <w:spacing w:line="240" w:lineRule="exact"/>
              <w:jc w:val="center"/>
              <w:textAlignment w:val="center"/>
              <w:rPr>
                <w:rFonts w:ascii="Arial" w:hAnsi="Arial" w:cs="Arial"/>
                <w:sz w:val="16"/>
                <w:szCs w:val="18"/>
                <w:highlight w:val="none"/>
              </w:rPr>
            </w:pPr>
            <w:r>
              <w:rPr>
                <w:rFonts w:hint="eastAsia" w:ascii="Arial" w:hAnsi="Arial" w:cs="Arial"/>
                <w:sz w:val="16"/>
                <w:szCs w:val="18"/>
                <w:highlight w:val="none"/>
              </w:rPr>
              <w:t>育新花园中里</w:t>
            </w:r>
          </w:p>
        </w:tc>
        <w:tc>
          <w:tcPr>
            <w:tcW w:w="897" w:type="pct"/>
            <w:tcBorders>
              <w:top w:val="nil"/>
              <w:left w:val="nil"/>
              <w:bottom w:val="single" w:color="auto" w:sz="4" w:space="0"/>
              <w:right w:val="single" w:color="auto" w:sz="4" w:space="0"/>
            </w:tcBorders>
            <w:vAlign w:val="center"/>
          </w:tcPr>
          <w:p w14:paraId="621B5FF3">
            <w:pPr>
              <w:widowControl/>
              <w:snapToGrid w:val="0"/>
              <w:spacing w:line="240" w:lineRule="exact"/>
              <w:jc w:val="center"/>
              <w:textAlignment w:val="center"/>
              <w:rPr>
                <w:rFonts w:ascii="Arial" w:hAnsi="Arial" w:cs="Arial"/>
                <w:sz w:val="16"/>
                <w:szCs w:val="18"/>
                <w:highlight w:val="none"/>
              </w:rPr>
            </w:pPr>
            <w:r>
              <w:rPr>
                <w:rFonts w:hint="eastAsia" w:ascii="Arial" w:hAnsi="Arial" w:cs="Arial"/>
                <w:sz w:val="16"/>
                <w:szCs w:val="18"/>
                <w:highlight w:val="none"/>
              </w:rPr>
              <w:t>育新花园</w:t>
            </w:r>
            <w:r>
              <w:rPr>
                <w:rFonts w:hint="eastAsia" w:ascii="Arial" w:hAnsi="Arial" w:cs="Arial"/>
                <w:sz w:val="16"/>
                <w:szCs w:val="18"/>
                <w:highlight w:val="none"/>
                <w:lang w:val="en-US" w:eastAsia="zh-CN"/>
              </w:rPr>
              <w:t>北</w:t>
            </w:r>
            <w:r>
              <w:rPr>
                <w:rFonts w:hint="eastAsia" w:ascii="Arial" w:hAnsi="Arial" w:cs="Arial"/>
                <w:sz w:val="16"/>
                <w:szCs w:val="18"/>
                <w:highlight w:val="none"/>
              </w:rPr>
              <w:t>里</w:t>
            </w:r>
          </w:p>
        </w:tc>
      </w:tr>
      <w:tr w14:paraId="13B7027E">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6DE86AF1">
            <w:pPr>
              <w:widowControl/>
              <w:adjustRightInd/>
              <w:spacing w:line="240" w:lineRule="auto"/>
              <w:textAlignment w:val="auto"/>
              <w:rPr>
                <w:rFonts w:ascii="Arial" w:hAnsi="Arial" w:cs="Arial"/>
                <w:sz w:val="16"/>
                <w:szCs w:val="18"/>
                <w:highlight w:val="none"/>
              </w:rPr>
            </w:pPr>
            <w:r>
              <w:rPr>
                <w:rFonts w:ascii="Arial" w:hAnsi="Arial" w:cs="Arial"/>
                <w:sz w:val="16"/>
                <w:szCs w:val="18"/>
                <w:highlight w:val="none"/>
              </w:rPr>
              <w:t>平均租金（元/平方米·月）</w:t>
            </w:r>
          </w:p>
        </w:tc>
        <w:tc>
          <w:tcPr>
            <w:tcW w:w="897" w:type="pct"/>
            <w:tcBorders>
              <w:top w:val="nil"/>
              <w:left w:val="nil"/>
              <w:bottom w:val="single" w:color="auto" w:sz="4" w:space="0"/>
              <w:right w:val="single" w:color="auto" w:sz="4" w:space="0"/>
            </w:tcBorders>
            <w:vAlign w:val="center"/>
          </w:tcPr>
          <w:p w14:paraId="085B9052">
            <w:pPr>
              <w:pStyle w:val="61"/>
              <w:autoSpaceDE w:val="0"/>
              <w:autoSpaceDN w:val="0"/>
              <w:snapToGrid w:val="0"/>
              <w:spacing w:line="240" w:lineRule="exact"/>
              <w:textAlignment w:val="bottom"/>
              <w:rPr>
                <w:rFonts w:ascii="Arial" w:hAnsi="Arial" w:cs="Arial"/>
                <w:sz w:val="16"/>
                <w:szCs w:val="18"/>
                <w:highlight w:val="none"/>
              </w:rPr>
            </w:pPr>
            <w:r>
              <w:rPr>
                <w:rFonts w:hint="eastAsia" w:ascii="Arial" w:hAnsi="Arial" w:cs="Arial"/>
                <w:sz w:val="16"/>
                <w:szCs w:val="18"/>
                <w:highlight w:val="none"/>
                <w:lang w:val="en-US" w:eastAsia="zh-CN"/>
              </w:rPr>
              <w:t>24.45</w:t>
            </w:r>
          </w:p>
        </w:tc>
        <w:tc>
          <w:tcPr>
            <w:tcW w:w="897" w:type="pct"/>
            <w:tcBorders>
              <w:top w:val="nil"/>
              <w:left w:val="nil"/>
              <w:bottom w:val="single" w:color="auto" w:sz="4" w:space="0"/>
              <w:right w:val="single" w:color="auto" w:sz="4" w:space="0"/>
            </w:tcBorders>
            <w:vAlign w:val="center"/>
          </w:tcPr>
          <w:p w14:paraId="3BBC5B80">
            <w:pPr>
              <w:pStyle w:val="61"/>
              <w:autoSpaceDE w:val="0"/>
              <w:autoSpaceDN w:val="0"/>
              <w:snapToGrid w:val="0"/>
              <w:spacing w:line="240" w:lineRule="exact"/>
              <w:textAlignment w:val="bottom"/>
              <w:rPr>
                <w:rFonts w:ascii="Arial" w:hAnsi="Arial" w:cs="Arial"/>
                <w:sz w:val="16"/>
                <w:szCs w:val="18"/>
                <w:highlight w:val="none"/>
              </w:rPr>
            </w:pPr>
            <w:r>
              <w:rPr>
                <w:rFonts w:hint="eastAsia" w:ascii="Arial" w:hAnsi="Arial" w:cs="Arial"/>
                <w:sz w:val="16"/>
                <w:szCs w:val="18"/>
                <w:highlight w:val="none"/>
                <w:lang w:val="en-US" w:eastAsia="zh-CN"/>
              </w:rPr>
              <w:t>23.44</w:t>
            </w:r>
          </w:p>
        </w:tc>
        <w:tc>
          <w:tcPr>
            <w:tcW w:w="897" w:type="pct"/>
            <w:tcBorders>
              <w:top w:val="nil"/>
              <w:left w:val="nil"/>
              <w:bottom w:val="single" w:color="auto" w:sz="4" w:space="0"/>
              <w:right w:val="single" w:color="auto" w:sz="4" w:space="0"/>
            </w:tcBorders>
            <w:vAlign w:val="center"/>
          </w:tcPr>
          <w:p w14:paraId="440F22CE">
            <w:pPr>
              <w:pStyle w:val="61"/>
              <w:autoSpaceDE w:val="0"/>
              <w:autoSpaceDN w:val="0"/>
              <w:snapToGrid w:val="0"/>
              <w:spacing w:line="240" w:lineRule="exact"/>
              <w:textAlignment w:val="bottom"/>
              <w:rPr>
                <w:rFonts w:ascii="Arial" w:hAnsi="Arial" w:cs="Arial"/>
                <w:sz w:val="16"/>
                <w:szCs w:val="18"/>
                <w:highlight w:val="none"/>
              </w:rPr>
            </w:pPr>
            <w:r>
              <w:rPr>
                <w:rFonts w:hint="eastAsia" w:ascii="Arial" w:hAnsi="Arial" w:cs="Arial"/>
                <w:sz w:val="16"/>
                <w:szCs w:val="18"/>
                <w:highlight w:val="none"/>
                <w:lang w:val="en-US" w:eastAsia="zh-CN"/>
              </w:rPr>
              <w:t>22.89</w:t>
            </w:r>
          </w:p>
        </w:tc>
      </w:tr>
      <w:tr w14:paraId="06234145">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6EE76474">
            <w:pPr>
              <w:widowControl/>
              <w:adjustRightInd/>
              <w:spacing w:line="240" w:lineRule="auto"/>
              <w:textAlignment w:val="auto"/>
              <w:rPr>
                <w:rFonts w:ascii="Arial" w:hAnsi="Arial" w:cs="Arial"/>
                <w:sz w:val="16"/>
                <w:szCs w:val="18"/>
                <w:highlight w:val="none"/>
              </w:rPr>
            </w:pPr>
            <w:r>
              <w:rPr>
                <w:rFonts w:ascii="Arial" w:hAnsi="Arial" w:cs="Arial"/>
                <w:sz w:val="16"/>
                <w:szCs w:val="18"/>
                <w:highlight w:val="none"/>
              </w:rPr>
              <w:t>交易时间</w:t>
            </w:r>
          </w:p>
        </w:tc>
        <w:tc>
          <w:tcPr>
            <w:tcW w:w="897" w:type="pct"/>
            <w:tcBorders>
              <w:top w:val="nil"/>
              <w:left w:val="nil"/>
              <w:bottom w:val="single" w:color="auto" w:sz="4" w:space="0"/>
              <w:right w:val="single" w:color="auto" w:sz="4" w:space="0"/>
            </w:tcBorders>
            <w:vAlign w:val="center"/>
          </w:tcPr>
          <w:p w14:paraId="3E059753">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897" w:type="pct"/>
            <w:tcBorders>
              <w:top w:val="nil"/>
              <w:left w:val="nil"/>
              <w:bottom w:val="single" w:color="auto" w:sz="4" w:space="0"/>
              <w:right w:val="single" w:color="auto" w:sz="4" w:space="0"/>
            </w:tcBorders>
            <w:vAlign w:val="center"/>
          </w:tcPr>
          <w:p w14:paraId="778B1541">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897" w:type="pct"/>
            <w:tcBorders>
              <w:top w:val="nil"/>
              <w:left w:val="nil"/>
              <w:bottom w:val="single" w:color="auto" w:sz="4" w:space="0"/>
              <w:right w:val="single" w:color="auto" w:sz="4" w:space="0"/>
            </w:tcBorders>
            <w:vAlign w:val="center"/>
          </w:tcPr>
          <w:p w14:paraId="2DBB511B">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r>
      <w:tr w14:paraId="32E8BE77">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118B99FC">
            <w:pPr>
              <w:widowControl/>
              <w:adjustRightInd/>
              <w:spacing w:line="240" w:lineRule="auto"/>
              <w:textAlignment w:val="auto"/>
              <w:rPr>
                <w:rFonts w:ascii="Arial" w:hAnsi="Arial" w:cs="Arial"/>
                <w:sz w:val="16"/>
                <w:szCs w:val="18"/>
                <w:highlight w:val="none"/>
              </w:rPr>
            </w:pPr>
            <w:r>
              <w:rPr>
                <w:rFonts w:ascii="Arial" w:hAnsi="Arial" w:cs="Arial"/>
                <w:sz w:val="16"/>
                <w:szCs w:val="18"/>
                <w:highlight w:val="none"/>
              </w:rPr>
              <w:t>交易情况</w:t>
            </w:r>
          </w:p>
        </w:tc>
        <w:tc>
          <w:tcPr>
            <w:tcW w:w="897" w:type="pct"/>
            <w:tcBorders>
              <w:top w:val="nil"/>
              <w:left w:val="nil"/>
              <w:bottom w:val="single" w:color="auto" w:sz="4" w:space="0"/>
              <w:right w:val="single" w:color="auto" w:sz="4" w:space="0"/>
            </w:tcBorders>
            <w:vAlign w:val="center"/>
          </w:tcPr>
          <w:p w14:paraId="339F0894">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897" w:type="pct"/>
            <w:tcBorders>
              <w:top w:val="nil"/>
              <w:left w:val="nil"/>
              <w:bottom w:val="single" w:color="auto" w:sz="4" w:space="0"/>
              <w:right w:val="single" w:color="auto" w:sz="4" w:space="0"/>
            </w:tcBorders>
            <w:vAlign w:val="center"/>
          </w:tcPr>
          <w:p w14:paraId="7718D9CC">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897" w:type="pct"/>
            <w:tcBorders>
              <w:top w:val="nil"/>
              <w:left w:val="nil"/>
              <w:bottom w:val="single" w:color="auto" w:sz="4" w:space="0"/>
              <w:right w:val="single" w:color="auto" w:sz="4" w:space="0"/>
            </w:tcBorders>
            <w:vAlign w:val="center"/>
          </w:tcPr>
          <w:p w14:paraId="0F68649E">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r>
      <w:tr w14:paraId="67015C67">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25DFB67F">
            <w:pPr>
              <w:widowControl/>
              <w:adjustRightInd/>
              <w:spacing w:line="240" w:lineRule="auto"/>
              <w:textAlignment w:val="auto"/>
              <w:rPr>
                <w:rFonts w:ascii="Arial" w:hAnsi="Arial" w:cs="Arial"/>
                <w:sz w:val="16"/>
                <w:szCs w:val="18"/>
                <w:highlight w:val="none"/>
              </w:rPr>
            </w:pPr>
            <w:r>
              <w:rPr>
                <w:rFonts w:ascii="Arial" w:hAnsi="Arial" w:cs="Arial"/>
                <w:sz w:val="16"/>
                <w:szCs w:val="18"/>
                <w:highlight w:val="none"/>
              </w:rPr>
              <w:t>项目类型</w:t>
            </w:r>
          </w:p>
        </w:tc>
        <w:tc>
          <w:tcPr>
            <w:tcW w:w="897" w:type="pct"/>
            <w:tcBorders>
              <w:top w:val="nil"/>
              <w:left w:val="nil"/>
              <w:bottom w:val="single" w:color="auto" w:sz="4" w:space="0"/>
              <w:right w:val="single" w:color="auto" w:sz="4" w:space="0"/>
            </w:tcBorders>
            <w:vAlign w:val="center"/>
          </w:tcPr>
          <w:p w14:paraId="1268E2C2">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897" w:type="pct"/>
            <w:tcBorders>
              <w:top w:val="nil"/>
              <w:left w:val="nil"/>
              <w:bottom w:val="single" w:color="auto" w:sz="4" w:space="0"/>
              <w:right w:val="single" w:color="auto" w:sz="4" w:space="0"/>
            </w:tcBorders>
            <w:vAlign w:val="center"/>
          </w:tcPr>
          <w:p w14:paraId="5CCFDDEE">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897" w:type="pct"/>
            <w:tcBorders>
              <w:top w:val="nil"/>
              <w:left w:val="nil"/>
              <w:bottom w:val="single" w:color="auto" w:sz="4" w:space="0"/>
              <w:right w:val="single" w:color="auto" w:sz="4" w:space="0"/>
            </w:tcBorders>
            <w:vAlign w:val="center"/>
          </w:tcPr>
          <w:p w14:paraId="2D81C8CE">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r>
      <w:tr w14:paraId="07CA0028">
        <w:tblPrEx>
          <w:tblCellMar>
            <w:top w:w="0" w:type="dxa"/>
            <w:left w:w="108" w:type="dxa"/>
            <w:bottom w:w="0" w:type="dxa"/>
            <w:right w:w="108" w:type="dxa"/>
          </w:tblCellMar>
        </w:tblPrEx>
        <w:trPr>
          <w:trHeight w:val="227" w:hRule="atLeast"/>
        </w:trPr>
        <w:tc>
          <w:tcPr>
            <w:tcW w:w="791" w:type="pct"/>
            <w:vMerge w:val="restart"/>
            <w:tcBorders>
              <w:top w:val="nil"/>
              <w:left w:val="single" w:color="auto" w:sz="4" w:space="0"/>
              <w:bottom w:val="single" w:color="auto" w:sz="4" w:space="0"/>
              <w:right w:val="single" w:color="auto" w:sz="4" w:space="0"/>
            </w:tcBorders>
            <w:vAlign w:val="center"/>
          </w:tcPr>
          <w:p w14:paraId="3A42C5E4">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区域状况</w:t>
            </w:r>
          </w:p>
        </w:tc>
        <w:tc>
          <w:tcPr>
            <w:tcW w:w="1516" w:type="pct"/>
            <w:tcBorders>
              <w:top w:val="nil"/>
              <w:left w:val="nil"/>
              <w:bottom w:val="single" w:color="auto" w:sz="4" w:space="0"/>
              <w:right w:val="single" w:color="auto" w:sz="4" w:space="0"/>
            </w:tcBorders>
            <w:vAlign w:val="center"/>
          </w:tcPr>
          <w:p w14:paraId="2EAE99F0">
            <w:pPr>
              <w:widowControl/>
              <w:adjustRightInd/>
              <w:spacing w:line="240" w:lineRule="auto"/>
              <w:textAlignment w:val="auto"/>
              <w:rPr>
                <w:rFonts w:ascii="Arial" w:hAnsi="Arial" w:cs="Arial"/>
                <w:sz w:val="16"/>
                <w:szCs w:val="18"/>
                <w:highlight w:val="none"/>
              </w:rPr>
            </w:pPr>
            <w:r>
              <w:rPr>
                <w:rFonts w:ascii="Arial" w:hAnsi="Arial" w:cs="Arial"/>
                <w:sz w:val="16"/>
                <w:szCs w:val="18"/>
                <w:highlight w:val="none"/>
              </w:rPr>
              <w:t>居住区成熟度</w:t>
            </w:r>
          </w:p>
        </w:tc>
        <w:tc>
          <w:tcPr>
            <w:tcW w:w="897" w:type="pct"/>
            <w:tcBorders>
              <w:top w:val="nil"/>
              <w:left w:val="nil"/>
              <w:bottom w:val="single" w:color="auto" w:sz="4" w:space="0"/>
              <w:right w:val="single" w:color="auto" w:sz="4" w:space="0"/>
            </w:tcBorders>
            <w:vAlign w:val="center"/>
          </w:tcPr>
          <w:p w14:paraId="7B546B6B">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897" w:type="pct"/>
            <w:tcBorders>
              <w:top w:val="nil"/>
              <w:left w:val="nil"/>
              <w:bottom w:val="single" w:color="auto" w:sz="4" w:space="0"/>
              <w:right w:val="single" w:color="auto" w:sz="4" w:space="0"/>
            </w:tcBorders>
            <w:vAlign w:val="center"/>
          </w:tcPr>
          <w:p w14:paraId="70A9E2E7">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897" w:type="pct"/>
            <w:tcBorders>
              <w:top w:val="nil"/>
              <w:left w:val="nil"/>
              <w:bottom w:val="single" w:color="auto" w:sz="4" w:space="0"/>
              <w:right w:val="single" w:color="auto" w:sz="4" w:space="0"/>
            </w:tcBorders>
            <w:vAlign w:val="center"/>
          </w:tcPr>
          <w:p w14:paraId="40729BA6">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r>
      <w:tr w14:paraId="120DA46C">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6B74B1A1">
            <w:pPr>
              <w:widowControl/>
              <w:adjustRightInd/>
              <w:spacing w:line="240" w:lineRule="auto"/>
              <w:textAlignment w:val="auto"/>
              <w:rPr>
                <w:rFonts w:ascii="Arial" w:hAnsi="Arial" w:cs="Arial"/>
                <w:sz w:val="16"/>
                <w:szCs w:val="18"/>
                <w:highlight w:val="none"/>
              </w:rPr>
            </w:pPr>
          </w:p>
        </w:tc>
        <w:tc>
          <w:tcPr>
            <w:tcW w:w="1516" w:type="pct"/>
            <w:tcBorders>
              <w:top w:val="nil"/>
              <w:left w:val="nil"/>
              <w:bottom w:val="single" w:color="auto" w:sz="4" w:space="0"/>
              <w:right w:val="single" w:color="auto" w:sz="4" w:space="0"/>
            </w:tcBorders>
            <w:vAlign w:val="center"/>
          </w:tcPr>
          <w:p w14:paraId="76CF690B">
            <w:pPr>
              <w:widowControl/>
              <w:adjustRightInd/>
              <w:spacing w:line="240" w:lineRule="auto"/>
              <w:textAlignment w:val="auto"/>
              <w:rPr>
                <w:rFonts w:ascii="Arial" w:hAnsi="Arial" w:cs="Arial"/>
                <w:sz w:val="16"/>
                <w:szCs w:val="18"/>
                <w:highlight w:val="none"/>
              </w:rPr>
            </w:pPr>
            <w:r>
              <w:rPr>
                <w:rFonts w:ascii="Arial" w:hAnsi="Arial" w:cs="Arial"/>
                <w:sz w:val="16"/>
                <w:szCs w:val="18"/>
                <w:highlight w:val="none"/>
              </w:rPr>
              <w:t>道路通达度</w:t>
            </w:r>
          </w:p>
        </w:tc>
        <w:tc>
          <w:tcPr>
            <w:tcW w:w="897" w:type="pct"/>
            <w:tcBorders>
              <w:top w:val="nil"/>
              <w:left w:val="nil"/>
              <w:bottom w:val="single" w:color="auto" w:sz="4" w:space="0"/>
              <w:right w:val="single" w:color="auto" w:sz="4" w:space="0"/>
            </w:tcBorders>
            <w:vAlign w:val="center"/>
          </w:tcPr>
          <w:p w14:paraId="0DFDB912">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897" w:type="pct"/>
            <w:tcBorders>
              <w:top w:val="nil"/>
              <w:left w:val="nil"/>
              <w:bottom w:val="single" w:color="auto" w:sz="4" w:space="0"/>
              <w:right w:val="single" w:color="auto" w:sz="4" w:space="0"/>
            </w:tcBorders>
            <w:vAlign w:val="center"/>
          </w:tcPr>
          <w:p w14:paraId="59B19492">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897" w:type="pct"/>
            <w:tcBorders>
              <w:top w:val="nil"/>
              <w:left w:val="nil"/>
              <w:bottom w:val="single" w:color="auto" w:sz="4" w:space="0"/>
              <w:right w:val="single" w:color="auto" w:sz="4" w:space="0"/>
            </w:tcBorders>
            <w:vAlign w:val="center"/>
          </w:tcPr>
          <w:p w14:paraId="0C9D8540">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r>
      <w:tr w14:paraId="62B76F53">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3069713E">
            <w:pPr>
              <w:widowControl/>
              <w:adjustRightInd/>
              <w:spacing w:line="240" w:lineRule="auto"/>
              <w:textAlignment w:val="auto"/>
              <w:rPr>
                <w:rFonts w:ascii="Arial" w:hAnsi="Arial" w:cs="Arial"/>
                <w:sz w:val="16"/>
                <w:szCs w:val="18"/>
                <w:highlight w:val="none"/>
              </w:rPr>
            </w:pPr>
          </w:p>
        </w:tc>
        <w:tc>
          <w:tcPr>
            <w:tcW w:w="1516" w:type="pct"/>
            <w:tcBorders>
              <w:top w:val="nil"/>
              <w:left w:val="nil"/>
              <w:bottom w:val="single" w:color="auto" w:sz="4" w:space="0"/>
              <w:right w:val="single" w:color="auto" w:sz="4" w:space="0"/>
            </w:tcBorders>
            <w:vAlign w:val="center"/>
          </w:tcPr>
          <w:p w14:paraId="582A1F3B">
            <w:pPr>
              <w:widowControl/>
              <w:adjustRightInd/>
              <w:spacing w:line="240" w:lineRule="auto"/>
              <w:textAlignment w:val="auto"/>
              <w:rPr>
                <w:rFonts w:ascii="Arial" w:hAnsi="Arial" w:cs="Arial"/>
                <w:sz w:val="16"/>
                <w:szCs w:val="18"/>
                <w:highlight w:val="none"/>
              </w:rPr>
            </w:pPr>
            <w:r>
              <w:rPr>
                <w:rFonts w:ascii="Arial" w:hAnsi="Arial" w:cs="Arial"/>
                <w:sz w:val="16"/>
                <w:szCs w:val="18"/>
                <w:highlight w:val="none"/>
              </w:rPr>
              <w:t>距离轨道交通站点距离</w:t>
            </w:r>
          </w:p>
        </w:tc>
        <w:tc>
          <w:tcPr>
            <w:tcW w:w="897" w:type="pct"/>
            <w:tcBorders>
              <w:top w:val="nil"/>
              <w:left w:val="nil"/>
              <w:bottom w:val="single" w:color="auto" w:sz="4" w:space="0"/>
              <w:right w:val="single" w:color="auto" w:sz="4" w:space="0"/>
            </w:tcBorders>
            <w:vAlign w:val="center"/>
          </w:tcPr>
          <w:p w14:paraId="62FCEDC1">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897" w:type="pct"/>
            <w:tcBorders>
              <w:top w:val="nil"/>
              <w:left w:val="nil"/>
              <w:bottom w:val="single" w:color="auto" w:sz="4" w:space="0"/>
              <w:right w:val="single" w:color="auto" w:sz="4" w:space="0"/>
            </w:tcBorders>
            <w:vAlign w:val="center"/>
          </w:tcPr>
          <w:p w14:paraId="1C39DE5B">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897" w:type="pct"/>
            <w:tcBorders>
              <w:top w:val="nil"/>
              <w:left w:val="nil"/>
              <w:bottom w:val="single" w:color="auto" w:sz="4" w:space="0"/>
              <w:right w:val="single" w:color="auto" w:sz="4" w:space="0"/>
            </w:tcBorders>
            <w:vAlign w:val="center"/>
          </w:tcPr>
          <w:p w14:paraId="73140958">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r>
      <w:tr w14:paraId="05275A4C">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3236B4D2">
            <w:pPr>
              <w:widowControl/>
              <w:adjustRightInd/>
              <w:spacing w:line="240" w:lineRule="auto"/>
              <w:textAlignment w:val="auto"/>
              <w:rPr>
                <w:rFonts w:ascii="Arial" w:hAnsi="Arial" w:cs="Arial"/>
                <w:sz w:val="16"/>
                <w:szCs w:val="18"/>
                <w:highlight w:val="none"/>
              </w:rPr>
            </w:pPr>
          </w:p>
        </w:tc>
        <w:tc>
          <w:tcPr>
            <w:tcW w:w="1516" w:type="pct"/>
            <w:tcBorders>
              <w:top w:val="nil"/>
              <w:left w:val="nil"/>
              <w:bottom w:val="single" w:color="auto" w:sz="4" w:space="0"/>
              <w:right w:val="single" w:color="auto" w:sz="4" w:space="0"/>
            </w:tcBorders>
            <w:vAlign w:val="center"/>
          </w:tcPr>
          <w:p w14:paraId="77C3A4D1">
            <w:pPr>
              <w:widowControl/>
              <w:adjustRightInd/>
              <w:spacing w:line="240" w:lineRule="auto"/>
              <w:textAlignment w:val="auto"/>
              <w:rPr>
                <w:rFonts w:ascii="Arial" w:hAnsi="Arial" w:cs="Arial"/>
                <w:sz w:val="16"/>
                <w:szCs w:val="18"/>
                <w:highlight w:val="none"/>
              </w:rPr>
            </w:pPr>
            <w:r>
              <w:rPr>
                <w:rFonts w:ascii="Arial" w:hAnsi="Arial" w:cs="Arial"/>
                <w:sz w:val="16"/>
                <w:szCs w:val="18"/>
                <w:highlight w:val="none"/>
              </w:rPr>
              <w:t>距离公交站点距离</w:t>
            </w:r>
          </w:p>
        </w:tc>
        <w:tc>
          <w:tcPr>
            <w:tcW w:w="897" w:type="pct"/>
            <w:tcBorders>
              <w:top w:val="nil"/>
              <w:left w:val="nil"/>
              <w:bottom w:val="single" w:color="auto" w:sz="4" w:space="0"/>
              <w:right w:val="single" w:color="auto" w:sz="4" w:space="0"/>
            </w:tcBorders>
            <w:vAlign w:val="center"/>
          </w:tcPr>
          <w:p w14:paraId="2796DF89">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897" w:type="pct"/>
            <w:tcBorders>
              <w:top w:val="nil"/>
              <w:left w:val="nil"/>
              <w:bottom w:val="single" w:color="auto" w:sz="4" w:space="0"/>
              <w:right w:val="single" w:color="auto" w:sz="4" w:space="0"/>
            </w:tcBorders>
            <w:vAlign w:val="center"/>
          </w:tcPr>
          <w:p w14:paraId="620A5D1D">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897" w:type="pct"/>
            <w:tcBorders>
              <w:top w:val="nil"/>
              <w:left w:val="nil"/>
              <w:bottom w:val="single" w:color="auto" w:sz="4" w:space="0"/>
              <w:right w:val="single" w:color="auto" w:sz="4" w:space="0"/>
            </w:tcBorders>
            <w:vAlign w:val="center"/>
          </w:tcPr>
          <w:p w14:paraId="42A31347">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r>
      <w:tr w14:paraId="356CC69F">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51BFBE5F">
            <w:pPr>
              <w:widowControl/>
              <w:adjustRightInd/>
              <w:spacing w:line="240" w:lineRule="auto"/>
              <w:textAlignment w:val="auto"/>
              <w:rPr>
                <w:rFonts w:ascii="Arial" w:hAnsi="Arial" w:cs="Arial"/>
                <w:sz w:val="16"/>
                <w:szCs w:val="18"/>
                <w:highlight w:val="none"/>
              </w:rPr>
            </w:pPr>
          </w:p>
        </w:tc>
        <w:tc>
          <w:tcPr>
            <w:tcW w:w="1516" w:type="pct"/>
            <w:tcBorders>
              <w:top w:val="nil"/>
              <w:left w:val="nil"/>
              <w:bottom w:val="single" w:color="auto" w:sz="4" w:space="0"/>
              <w:right w:val="single" w:color="auto" w:sz="4" w:space="0"/>
            </w:tcBorders>
            <w:vAlign w:val="center"/>
          </w:tcPr>
          <w:p w14:paraId="43F71528">
            <w:pPr>
              <w:widowControl/>
              <w:adjustRightInd/>
              <w:spacing w:line="240" w:lineRule="auto"/>
              <w:textAlignment w:val="auto"/>
              <w:rPr>
                <w:rFonts w:ascii="Arial" w:hAnsi="Arial" w:cs="Arial"/>
                <w:sz w:val="16"/>
                <w:szCs w:val="18"/>
                <w:highlight w:val="none"/>
              </w:rPr>
            </w:pPr>
            <w:r>
              <w:rPr>
                <w:rFonts w:hint="eastAsia" w:ascii="Arial" w:hAnsi="Arial" w:cs="Arial"/>
                <w:sz w:val="16"/>
                <w:szCs w:val="18"/>
                <w:highlight w:val="none"/>
              </w:rPr>
              <w:t>环境质量优劣度</w:t>
            </w:r>
          </w:p>
        </w:tc>
        <w:tc>
          <w:tcPr>
            <w:tcW w:w="897" w:type="pct"/>
            <w:tcBorders>
              <w:top w:val="nil"/>
              <w:left w:val="nil"/>
              <w:bottom w:val="single" w:color="auto" w:sz="4" w:space="0"/>
              <w:right w:val="single" w:color="auto" w:sz="4" w:space="0"/>
            </w:tcBorders>
            <w:vAlign w:val="center"/>
          </w:tcPr>
          <w:p w14:paraId="78F386C7">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897" w:type="pct"/>
            <w:tcBorders>
              <w:top w:val="nil"/>
              <w:left w:val="nil"/>
              <w:bottom w:val="single" w:color="auto" w:sz="4" w:space="0"/>
              <w:right w:val="single" w:color="auto" w:sz="4" w:space="0"/>
            </w:tcBorders>
            <w:vAlign w:val="center"/>
          </w:tcPr>
          <w:p w14:paraId="31868C09">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897" w:type="pct"/>
            <w:tcBorders>
              <w:top w:val="nil"/>
              <w:left w:val="nil"/>
              <w:bottom w:val="single" w:color="auto" w:sz="4" w:space="0"/>
              <w:right w:val="single" w:color="auto" w:sz="4" w:space="0"/>
            </w:tcBorders>
            <w:vAlign w:val="center"/>
          </w:tcPr>
          <w:p w14:paraId="11B705F8">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r>
      <w:tr w14:paraId="1025A616">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290C9F33">
            <w:pPr>
              <w:widowControl/>
              <w:adjustRightInd/>
              <w:spacing w:line="240" w:lineRule="auto"/>
              <w:textAlignment w:val="auto"/>
              <w:rPr>
                <w:rFonts w:ascii="Arial" w:hAnsi="Arial" w:cs="Arial"/>
                <w:sz w:val="16"/>
                <w:szCs w:val="18"/>
                <w:highlight w:val="none"/>
              </w:rPr>
            </w:pPr>
          </w:p>
        </w:tc>
        <w:tc>
          <w:tcPr>
            <w:tcW w:w="1516" w:type="pct"/>
            <w:tcBorders>
              <w:top w:val="nil"/>
              <w:left w:val="nil"/>
              <w:bottom w:val="single" w:color="auto" w:sz="4" w:space="0"/>
              <w:right w:val="single" w:color="auto" w:sz="4" w:space="0"/>
            </w:tcBorders>
            <w:vAlign w:val="center"/>
          </w:tcPr>
          <w:p w14:paraId="64442E68">
            <w:pPr>
              <w:widowControl/>
              <w:adjustRightInd/>
              <w:spacing w:line="240" w:lineRule="auto"/>
              <w:textAlignment w:val="auto"/>
              <w:rPr>
                <w:rFonts w:ascii="Arial" w:hAnsi="Arial" w:cs="Arial"/>
                <w:sz w:val="16"/>
                <w:szCs w:val="18"/>
                <w:highlight w:val="none"/>
              </w:rPr>
            </w:pPr>
            <w:r>
              <w:rPr>
                <w:rFonts w:ascii="Arial" w:hAnsi="Arial" w:cs="Arial"/>
                <w:sz w:val="16"/>
                <w:szCs w:val="18"/>
                <w:highlight w:val="none"/>
              </w:rPr>
              <w:t>自然环境</w:t>
            </w:r>
          </w:p>
        </w:tc>
        <w:tc>
          <w:tcPr>
            <w:tcW w:w="897" w:type="pct"/>
            <w:tcBorders>
              <w:top w:val="nil"/>
              <w:left w:val="nil"/>
              <w:bottom w:val="single" w:color="auto" w:sz="4" w:space="0"/>
              <w:right w:val="single" w:color="auto" w:sz="4" w:space="0"/>
            </w:tcBorders>
            <w:vAlign w:val="center"/>
          </w:tcPr>
          <w:p w14:paraId="26B5458B">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897" w:type="pct"/>
            <w:tcBorders>
              <w:top w:val="nil"/>
              <w:left w:val="nil"/>
              <w:bottom w:val="single" w:color="auto" w:sz="4" w:space="0"/>
              <w:right w:val="single" w:color="auto" w:sz="4" w:space="0"/>
            </w:tcBorders>
            <w:vAlign w:val="center"/>
          </w:tcPr>
          <w:p w14:paraId="13399F58">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897" w:type="pct"/>
            <w:tcBorders>
              <w:top w:val="nil"/>
              <w:left w:val="nil"/>
              <w:bottom w:val="single" w:color="auto" w:sz="4" w:space="0"/>
              <w:right w:val="single" w:color="auto" w:sz="4" w:space="0"/>
            </w:tcBorders>
            <w:vAlign w:val="center"/>
          </w:tcPr>
          <w:p w14:paraId="24A2AF23">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r>
      <w:tr w14:paraId="0ABF5DD7">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0F6161B4">
            <w:pPr>
              <w:widowControl/>
              <w:adjustRightInd/>
              <w:spacing w:line="240" w:lineRule="auto"/>
              <w:textAlignment w:val="auto"/>
              <w:rPr>
                <w:rFonts w:ascii="Arial" w:hAnsi="Arial" w:cs="Arial"/>
                <w:sz w:val="16"/>
                <w:szCs w:val="18"/>
                <w:highlight w:val="none"/>
              </w:rPr>
            </w:pPr>
          </w:p>
        </w:tc>
        <w:tc>
          <w:tcPr>
            <w:tcW w:w="1516" w:type="pct"/>
            <w:tcBorders>
              <w:top w:val="nil"/>
              <w:left w:val="nil"/>
              <w:bottom w:val="single" w:color="auto" w:sz="4" w:space="0"/>
              <w:right w:val="single" w:color="auto" w:sz="4" w:space="0"/>
            </w:tcBorders>
            <w:vAlign w:val="center"/>
          </w:tcPr>
          <w:p w14:paraId="25EDE359">
            <w:pPr>
              <w:widowControl/>
              <w:adjustRightInd/>
              <w:spacing w:line="240" w:lineRule="auto"/>
              <w:textAlignment w:val="auto"/>
              <w:rPr>
                <w:rFonts w:ascii="Arial" w:hAnsi="Arial" w:cs="Arial"/>
                <w:sz w:val="16"/>
                <w:szCs w:val="18"/>
                <w:highlight w:val="none"/>
              </w:rPr>
            </w:pPr>
            <w:r>
              <w:rPr>
                <w:rFonts w:hint="eastAsia" w:ascii="Arial" w:hAnsi="Arial" w:cs="Arial"/>
                <w:sz w:val="16"/>
                <w:szCs w:val="18"/>
                <w:highlight w:val="none"/>
              </w:rPr>
              <w:t>小区环境</w:t>
            </w:r>
          </w:p>
        </w:tc>
        <w:tc>
          <w:tcPr>
            <w:tcW w:w="897" w:type="pct"/>
            <w:tcBorders>
              <w:top w:val="nil"/>
              <w:left w:val="nil"/>
              <w:bottom w:val="single" w:color="auto" w:sz="4" w:space="0"/>
              <w:right w:val="single" w:color="auto" w:sz="4" w:space="0"/>
            </w:tcBorders>
            <w:vAlign w:val="center"/>
          </w:tcPr>
          <w:p w14:paraId="3237A693">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897" w:type="pct"/>
            <w:tcBorders>
              <w:top w:val="nil"/>
              <w:left w:val="nil"/>
              <w:bottom w:val="single" w:color="auto" w:sz="4" w:space="0"/>
              <w:right w:val="single" w:color="auto" w:sz="4" w:space="0"/>
            </w:tcBorders>
            <w:vAlign w:val="center"/>
          </w:tcPr>
          <w:p w14:paraId="1BFE15B1">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897" w:type="pct"/>
            <w:tcBorders>
              <w:top w:val="nil"/>
              <w:left w:val="nil"/>
              <w:bottom w:val="single" w:color="auto" w:sz="4" w:space="0"/>
              <w:right w:val="single" w:color="auto" w:sz="4" w:space="0"/>
            </w:tcBorders>
            <w:vAlign w:val="center"/>
          </w:tcPr>
          <w:p w14:paraId="7D92FB4B">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r>
      <w:tr w14:paraId="7B92B16E">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6A7FC2AA">
            <w:pPr>
              <w:widowControl/>
              <w:adjustRightInd/>
              <w:spacing w:line="240" w:lineRule="auto"/>
              <w:textAlignment w:val="auto"/>
              <w:rPr>
                <w:rFonts w:ascii="Arial" w:hAnsi="Arial" w:cs="Arial"/>
                <w:sz w:val="16"/>
                <w:szCs w:val="18"/>
                <w:highlight w:val="none"/>
              </w:rPr>
            </w:pPr>
          </w:p>
        </w:tc>
        <w:tc>
          <w:tcPr>
            <w:tcW w:w="1516" w:type="pct"/>
            <w:tcBorders>
              <w:top w:val="nil"/>
              <w:left w:val="nil"/>
              <w:bottom w:val="single" w:color="auto" w:sz="4" w:space="0"/>
              <w:right w:val="single" w:color="auto" w:sz="4" w:space="0"/>
            </w:tcBorders>
            <w:vAlign w:val="center"/>
          </w:tcPr>
          <w:p w14:paraId="425BF17D">
            <w:pPr>
              <w:widowControl/>
              <w:adjustRightInd/>
              <w:spacing w:line="240" w:lineRule="auto"/>
              <w:textAlignment w:val="auto"/>
              <w:rPr>
                <w:rFonts w:ascii="Arial" w:hAnsi="Arial" w:cs="Arial"/>
                <w:sz w:val="16"/>
                <w:szCs w:val="18"/>
                <w:highlight w:val="none"/>
              </w:rPr>
            </w:pPr>
            <w:r>
              <w:rPr>
                <w:rFonts w:hint="eastAsia" w:ascii="Arial" w:hAnsi="Arial" w:cs="Arial"/>
                <w:sz w:val="16"/>
                <w:szCs w:val="18"/>
                <w:highlight w:val="none"/>
              </w:rPr>
              <w:t>公共服务设施状况</w:t>
            </w:r>
          </w:p>
        </w:tc>
        <w:tc>
          <w:tcPr>
            <w:tcW w:w="897" w:type="pct"/>
            <w:tcBorders>
              <w:top w:val="nil"/>
              <w:left w:val="nil"/>
              <w:bottom w:val="single" w:color="auto" w:sz="4" w:space="0"/>
              <w:right w:val="single" w:color="auto" w:sz="4" w:space="0"/>
            </w:tcBorders>
            <w:vAlign w:val="center"/>
          </w:tcPr>
          <w:p w14:paraId="5C4C1A4E">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897" w:type="pct"/>
            <w:tcBorders>
              <w:top w:val="nil"/>
              <w:left w:val="nil"/>
              <w:bottom w:val="single" w:color="auto" w:sz="4" w:space="0"/>
              <w:right w:val="single" w:color="auto" w:sz="4" w:space="0"/>
            </w:tcBorders>
            <w:vAlign w:val="center"/>
          </w:tcPr>
          <w:p w14:paraId="6E9A10A1">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897" w:type="pct"/>
            <w:tcBorders>
              <w:top w:val="nil"/>
              <w:left w:val="nil"/>
              <w:bottom w:val="single" w:color="auto" w:sz="4" w:space="0"/>
              <w:right w:val="single" w:color="auto" w:sz="4" w:space="0"/>
            </w:tcBorders>
            <w:vAlign w:val="center"/>
          </w:tcPr>
          <w:p w14:paraId="277CD8B7">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r>
      <w:tr w14:paraId="06591612">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45ADB7B4">
            <w:pPr>
              <w:widowControl/>
              <w:adjustRightInd/>
              <w:spacing w:line="240" w:lineRule="auto"/>
              <w:textAlignment w:val="auto"/>
              <w:rPr>
                <w:rFonts w:ascii="Arial" w:hAnsi="Arial" w:cs="Arial"/>
                <w:sz w:val="16"/>
                <w:szCs w:val="18"/>
                <w:highlight w:val="none"/>
              </w:rPr>
            </w:pPr>
          </w:p>
        </w:tc>
        <w:tc>
          <w:tcPr>
            <w:tcW w:w="1516" w:type="pct"/>
            <w:tcBorders>
              <w:top w:val="nil"/>
              <w:left w:val="nil"/>
              <w:bottom w:val="single" w:color="auto" w:sz="4" w:space="0"/>
              <w:right w:val="single" w:color="auto" w:sz="4" w:space="0"/>
            </w:tcBorders>
            <w:vAlign w:val="center"/>
          </w:tcPr>
          <w:p w14:paraId="179DA653">
            <w:pPr>
              <w:widowControl/>
              <w:adjustRightInd/>
              <w:spacing w:line="240" w:lineRule="auto"/>
              <w:textAlignment w:val="auto"/>
              <w:rPr>
                <w:rFonts w:hint="default" w:ascii="Arial" w:hAnsi="Arial" w:eastAsia="宋体" w:cs="Arial"/>
                <w:sz w:val="16"/>
                <w:szCs w:val="18"/>
                <w:highlight w:val="none"/>
                <w:lang w:val="en-US" w:eastAsia="zh-CN"/>
              </w:rPr>
            </w:pPr>
            <w:r>
              <w:rPr>
                <w:rFonts w:hint="eastAsia" w:ascii="Arial" w:hAnsi="Arial" w:cs="Arial"/>
                <w:sz w:val="16"/>
                <w:szCs w:val="18"/>
                <w:highlight w:val="none"/>
                <w:lang w:val="en-US" w:eastAsia="zh-CN"/>
              </w:rPr>
              <w:t>建筑类型</w:t>
            </w:r>
          </w:p>
        </w:tc>
        <w:tc>
          <w:tcPr>
            <w:tcW w:w="897" w:type="pct"/>
            <w:tcBorders>
              <w:top w:val="nil"/>
              <w:left w:val="nil"/>
              <w:bottom w:val="single" w:color="auto" w:sz="4" w:space="0"/>
              <w:right w:val="single" w:color="auto" w:sz="4" w:space="0"/>
            </w:tcBorders>
            <w:shd w:val="clear" w:color="auto" w:fill="auto"/>
            <w:vAlign w:val="center"/>
          </w:tcPr>
          <w:p w14:paraId="34A4E7F1">
            <w:pPr>
              <w:widowControl/>
              <w:adjustRightInd/>
              <w:spacing w:line="240" w:lineRule="auto"/>
              <w:jc w:val="center"/>
              <w:textAlignment w:val="auto"/>
              <w:rPr>
                <w:rFonts w:hint="eastAsia" w:ascii="Arial" w:hAnsi="Arial" w:eastAsia="宋体" w:cs="Arial"/>
                <w:sz w:val="16"/>
                <w:szCs w:val="18"/>
                <w:highlight w:val="none"/>
                <w:lang w:val="en-US" w:eastAsia="zh-CN" w:bidi="ar-SA"/>
              </w:rPr>
            </w:pPr>
            <w:r>
              <w:rPr>
                <w:rFonts w:ascii="Arial" w:hAnsi="Arial" w:cs="Arial"/>
                <w:sz w:val="16"/>
                <w:szCs w:val="18"/>
                <w:highlight w:val="none"/>
              </w:rPr>
              <w:t>100/10</w:t>
            </w:r>
            <w:r>
              <w:rPr>
                <w:rFonts w:hint="eastAsia" w:ascii="Arial" w:hAnsi="Arial" w:cs="Arial"/>
                <w:sz w:val="16"/>
                <w:szCs w:val="18"/>
                <w:highlight w:val="none"/>
                <w:lang w:val="en-US" w:eastAsia="zh-CN"/>
              </w:rPr>
              <w:t>5</w:t>
            </w:r>
          </w:p>
        </w:tc>
        <w:tc>
          <w:tcPr>
            <w:tcW w:w="897" w:type="pct"/>
            <w:tcBorders>
              <w:top w:val="nil"/>
              <w:left w:val="nil"/>
              <w:bottom w:val="single" w:color="auto" w:sz="4" w:space="0"/>
              <w:right w:val="single" w:color="auto" w:sz="4" w:space="0"/>
            </w:tcBorders>
            <w:shd w:val="clear" w:color="auto" w:fill="auto"/>
            <w:vAlign w:val="center"/>
          </w:tcPr>
          <w:p w14:paraId="34A98E60">
            <w:pPr>
              <w:widowControl/>
              <w:adjustRightInd/>
              <w:spacing w:line="240" w:lineRule="auto"/>
              <w:jc w:val="center"/>
              <w:textAlignment w:val="auto"/>
              <w:rPr>
                <w:rFonts w:ascii="Arial" w:hAnsi="Arial" w:eastAsia="宋体" w:cs="Arial"/>
                <w:sz w:val="16"/>
                <w:szCs w:val="18"/>
                <w:highlight w:val="none"/>
                <w:lang w:val="en-US" w:eastAsia="zh-CN" w:bidi="ar-SA"/>
              </w:rPr>
            </w:pPr>
            <w:r>
              <w:rPr>
                <w:rFonts w:ascii="Arial" w:hAnsi="Arial" w:cs="Arial"/>
                <w:sz w:val="16"/>
                <w:szCs w:val="18"/>
                <w:highlight w:val="none"/>
              </w:rPr>
              <w:t>100/100</w:t>
            </w:r>
          </w:p>
        </w:tc>
        <w:tc>
          <w:tcPr>
            <w:tcW w:w="897" w:type="pct"/>
            <w:tcBorders>
              <w:top w:val="nil"/>
              <w:left w:val="nil"/>
              <w:bottom w:val="single" w:color="auto" w:sz="4" w:space="0"/>
              <w:right w:val="single" w:color="auto" w:sz="4" w:space="0"/>
            </w:tcBorders>
            <w:shd w:val="clear" w:color="auto" w:fill="auto"/>
            <w:vAlign w:val="center"/>
          </w:tcPr>
          <w:p w14:paraId="446594F6">
            <w:pPr>
              <w:widowControl/>
              <w:adjustRightInd/>
              <w:spacing w:line="240" w:lineRule="auto"/>
              <w:jc w:val="center"/>
              <w:textAlignment w:val="auto"/>
              <w:rPr>
                <w:rFonts w:ascii="Arial" w:hAnsi="Arial" w:eastAsia="宋体" w:cs="Arial"/>
                <w:sz w:val="16"/>
                <w:szCs w:val="18"/>
                <w:highlight w:val="none"/>
                <w:lang w:val="en-US" w:eastAsia="zh-CN" w:bidi="ar-SA"/>
              </w:rPr>
            </w:pPr>
            <w:r>
              <w:rPr>
                <w:rFonts w:ascii="Arial" w:hAnsi="Arial" w:cs="Arial"/>
                <w:sz w:val="16"/>
                <w:szCs w:val="18"/>
                <w:highlight w:val="none"/>
              </w:rPr>
              <w:t>100/100</w:t>
            </w:r>
          </w:p>
        </w:tc>
      </w:tr>
      <w:tr w14:paraId="0BB4D26E">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21C2451E">
            <w:pPr>
              <w:widowControl/>
              <w:adjustRightInd/>
              <w:spacing w:line="240" w:lineRule="auto"/>
              <w:textAlignment w:val="auto"/>
              <w:rPr>
                <w:rFonts w:ascii="Arial" w:hAnsi="Arial" w:cs="Arial"/>
                <w:sz w:val="16"/>
                <w:szCs w:val="18"/>
                <w:highlight w:val="none"/>
              </w:rPr>
            </w:pPr>
          </w:p>
        </w:tc>
        <w:tc>
          <w:tcPr>
            <w:tcW w:w="1516" w:type="pct"/>
            <w:tcBorders>
              <w:top w:val="nil"/>
              <w:left w:val="nil"/>
              <w:bottom w:val="single" w:color="auto" w:sz="4" w:space="0"/>
              <w:right w:val="single" w:color="auto" w:sz="4" w:space="0"/>
            </w:tcBorders>
            <w:vAlign w:val="center"/>
          </w:tcPr>
          <w:p w14:paraId="346D6037">
            <w:pPr>
              <w:widowControl/>
              <w:adjustRightInd/>
              <w:spacing w:line="240" w:lineRule="auto"/>
              <w:textAlignment w:val="auto"/>
              <w:rPr>
                <w:rFonts w:ascii="Arial" w:hAnsi="Arial" w:cs="Arial"/>
                <w:sz w:val="16"/>
                <w:szCs w:val="18"/>
                <w:highlight w:val="none"/>
              </w:rPr>
            </w:pPr>
            <w:r>
              <w:rPr>
                <w:rFonts w:ascii="Arial" w:hAnsi="Arial" w:cs="Arial"/>
                <w:sz w:val="16"/>
                <w:szCs w:val="18"/>
                <w:highlight w:val="none"/>
              </w:rPr>
              <w:t>楼层</w:t>
            </w:r>
          </w:p>
        </w:tc>
        <w:tc>
          <w:tcPr>
            <w:tcW w:w="897" w:type="pct"/>
            <w:tcBorders>
              <w:top w:val="nil"/>
              <w:left w:val="nil"/>
              <w:bottom w:val="single" w:color="auto" w:sz="4" w:space="0"/>
              <w:right w:val="single" w:color="auto" w:sz="4" w:space="0"/>
            </w:tcBorders>
            <w:vAlign w:val="center"/>
          </w:tcPr>
          <w:p w14:paraId="6310E011">
            <w:pPr>
              <w:widowControl/>
              <w:adjustRightInd/>
              <w:spacing w:line="240" w:lineRule="auto"/>
              <w:jc w:val="center"/>
              <w:textAlignment w:val="auto"/>
              <w:rPr>
                <w:rFonts w:hint="default" w:ascii="Arial" w:hAnsi="Arial" w:eastAsia="宋体" w:cs="Arial"/>
                <w:sz w:val="16"/>
                <w:szCs w:val="18"/>
                <w:highlight w:val="none"/>
                <w:lang w:val="en-US" w:eastAsia="zh-CN"/>
              </w:rPr>
            </w:pPr>
            <w:r>
              <w:rPr>
                <w:rFonts w:ascii="Arial" w:hAnsi="Arial" w:cs="Arial"/>
                <w:sz w:val="16"/>
                <w:szCs w:val="18"/>
                <w:highlight w:val="none"/>
              </w:rPr>
              <w:t>100/</w:t>
            </w:r>
            <w:r>
              <w:rPr>
                <w:rFonts w:hint="eastAsia" w:ascii="Arial" w:hAnsi="Arial" w:cs="Arial"/>
                <w:sz w:val="16"/>
                <w:szCs w:val="18"/>
                <w:highlight w:val="none"/>
                <w:lang w:val="en-US" w:eastAsia="zh-CN"/>
              </w:rPr>
              <w:t>99</w:t>
            </w:r>
          </w:p>
        </w:tc>
        <w:tc>
          <w:tcPr>
            <w:tcW w:w="897" w:type="pct"/>
            <w:tcBorders>
              <w:top w:val="nil"/>
              <w:left w:val="nil"/>
              <w:bottom w:val="single" w:color="auto" w:sz="4" w:space="0"/>
              <w:right w:val="single" w:color="auto" w:sz="4" w:space="0"/>
            </w:tcBorders>
            <w:vAlign w:val="center"/>
          </w:tcPr>
          <w:p w14:paraId="1970CDF6">
            <w:pPr>
              <w:widowControl/>
              <w:adjustRightInd/>
              <w:spacing w:line="240" w:lineRule="auto"/>
              <w:jc w:val="center"/>
              <w:textAlignment w:val="auto"/>
              <w:rPr>
                <w:rFonts w:hint="default" w:ascii="Arial" w:hAnsi="Arial" w:eastAsia="宋体" w:cs="Arial"/>
                <w:sz w:val="16"/>
                <w:szCs w:val="18"/>
                <w:highlight w:val="none"/>
                <w:lang w:val="en-US" w:eastAsia="zh-CN"/>
              </w:rPr>
            </w:pPr>
            <w:r>
              <w:rPr>
                <w:rFonts w:ascii="Arial" w:hAnsi="Arial" w:cs="Arial"/>
                <w:sz w:val="16"/>
                <w:szCs w:val="18"/>
                <w:highlight w:val="none"/>
              </w:rPr>
              <w:t>100/</w:t>
            </w:r>
            <w:r>
              <w:rPr>
                <w:rFonts w:hint="eastAsia" w:ascii="Arial" w:hAnsi="Arial" w:cs="Arial"/>
                <w:sz w:val="16"/>
                <w:szCs w:val="18"/>
                <w:highlight w:val="none"/>
                <w:lang w:val="en-US" w:eastAsia="zh-CN"/>
              </w:rPr>
              <w:t>99</w:t>
            </w:r>
          </w:p>
        </w:tc>
        <w:tc>
          <w:tcPr>
            <w:tcW w:w="897" w:type="pct"/>
            <w:tcBorders>
              <w:top w:val="nil"/>
              <w:left w:val="nil"/>
              <w:bottom w:val="single" w:color="auto" w:sz="4" w:space="0"/>
              <w:right w:val="single" w:color="auto" w:sz="4" w:space="0"/>
            </w:tcBorders>
            <w:vAlign w:val="center"/>
          </w:tcPr>
          <w:p w14:paraId="179A0B6B">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r>
      <w:tr w14:paraId="7EE5D382">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32F96F2C">
            <w:pPr>
              <w:widowControl/>
              <w:adjustRightInd/>
              <w:spacing w:line="240" w:lineRule="auto"/>
              <w:textAlignment w:val="auto"/>
              <w:rPr>
                <w:rFonts w:ascii="Arial" w:hAnsi="Arial" w:cs="Arial"/>
                <w:sz w:val="16"/>
                <w:szCs w:val="18"/>
                <w:highlight w:val="none"/>
              </w:rPr>
            </w:pPr>
          </w:p>
        </w:tc>
        <w:tc>
          <w:tcPr>
            <w:tcW w:w="1516" w:type="pct"/>
            <w:tcBorders>
              <w:top w:val="nil"/>
              <w:left w:val="nil"/>
              <w:bottom w:val="single" w:color="auto" w:sz="4" w:space="0"/>
              <w:right w:val="single" w:color="auto" w:sz="4" w:space="0"/>
            </w:tcBorders>
            <w:vAlign w:val="center"/>
          </w:tcPr>
          <w:p w14:paraId="262AC114">
            <w:pPr>
              <w:widowControl/>
              <w:adjustRightInd/>
              <w:spacing w:line="240" w:lineRule="auto"/>
              <w:textAlignment w:val="auto"/>
              <w:rPr>
                <w:rFonts w:ascii="Arial" w:hAnsi="Arial" w:cs="Arial"/>
                <w:sz w:val="16"/>
                <w:szCs w:val="18"/>
                <w:highlight w:val="none"/>
              </w:rPr>
            </w:pPr>
            <w:r>
              <w:rPr>
                <w:rFonts w:ascii="Arial" w:hAnsi="Arial" w:cs="Arial"/>
                <w:sz w:val="16"/>
                <w:szCs w:val="18"/>
                <w:highlight w:val="none"/>
              </w:rPr>
              <w:t>朝向</w:t>
            </w:r>
          </w:p>
        </w:tc>
        <w:tc>
          <w:tcPr>
            <w:tcW w:w="897" w:type="pct"/>
            <w:tcBorders>
              <w:top w:val="nil"/>
              <w:left w:val="nil"/>
              <w:bottom w:val="single" w:color="auto" w:sz="4" w:space="0"/>
              <w:right w:val="single" w:color="auto" w:sz="4" w:space="0"/>
            </w:tcBorders>
            <w:vAlign w:val="center"/>
          </w:tcPr>
          <w:p w14:paraId="513DEACA">
            <w:pPr>
              <w:widowControl/>
              <w:adjustRightInd/>
              <w:spacing w:line="240" w:lineRule="auto"/>
              <w:jc w:val="center"/>
              <w:textAlignment w:val="auto"/>
              <w:rPr>
                <w:rFonts w:hint="default" w:ascii="Arial" w:hAnsi="Arial" w:eastAsia="宋体" w:cs="Arial"/>
                <w:sz w:val="16"/>
                <w:szCs w:val="18"/>
                <w:highlight w:val="none"/>
                <w:lang w:val="en-US" w:eastAsia="zh-CN"/>
              </w:rPr>
            </w:pPr>
            <w:r>
              <w:rPr>
                <w:rFonts w:ascii="Arial" w:hAnsi="Arial" w:cs="Arial"/>
                <w:sz w:val="16"/>
                <w:szCs w:val="18"/>
                <w:highlight w:val="none"/>
              </w:rPr>
              <w:t>100/</w:t>
            </w:r>
            <w:r>
              <w:rPr>
                <w:rFonts w:hint="eastAsia" w:ascii="Arial" w:hAnsi="Arial" w:cs="Arial"/>
                <w:sz w:val="16"/>
                <w:szCs w:val="18"/>
                <w:highlight w:val="none"/>
                <w:lang w:val="en-US" w:eastAsia="zh-CN"/>
              </w:rPr>
              <w:t>99</w:t>
            </w:r>
          </w:p>
        </w:tc>
        <w:tc>
          <w:tcPr>
            <w:tcW w:w="897" w:type="pct"/>
            <w:tcBorders>
              <w:top w:val="nil"/>
              <w:left w:val="nil"/>
              <w:bottom w:val="single" w:color="auto" w:sz="4" w:space="0"/>
              <w:right w:val="single" w:color="auto" w:sz="4" w:space="0"/>
            </w:tcBorders>
            <w:vAlign w:val="center"/>
          </w:tcPr>
          <w:p w14:paraId="4F652F02">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897" w:type="pct"/>
            <w:tcBorders>
              <w:top w:val="nil"/>
              <w:left w:val="nil"/>
              <w:bottom w:val="single" w:color="auto" w:sz="4" w:space="0"/>
              <w:right w:val="single" w:color="auto" w:sz="4" w:space="0"/>
            </w:tcBorders>
            <w:vAlign w:val="center"/>
          </w:tcPr>
          <w:p w14:paraId="77C94194">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r>
      <w:tr w14:paraId="7803427E">
        <w:tblPrEx>
          <w:tblCellMar>
            <w:top w:w="0" w:type="dxa"/>
            <w:left w:w="108" w:type="dxa"/>
            <w:bottom w:w="0" w:type="dxa"/>
            <w:right w:w="108" w:type="dxa"/>
          </w:tblCellMar>
        </w:tblPrEx>
        <w:trPr>
          <w:trHeight w:val="227" w:hRule="atLeast"/>
        </w:trPr>
        <w:tc>
          <w:tcPr>
            <w:tcW w:w="791" w:type="pct"/>
            <w:vMerge w:val="restart"/>
            <w:tcBorders>
              <w:top w:val="single" w:color="auto" w:sz="4" w:space="0"/>
              <w:left w:val="single" w:color="auto" w:sz="4" w:space="0"/>
              <w:bottom w:val="single" w:color="auto" w:sz="4" w:space="0"/>
              <w:right w:val="single" w:color="auto" w:sz="4" w:space="0"/>
            </w:tcBorders>
            <w:vAlign w:val="center"/>
          </w:tcPr>
          <w:p w14:paraId="51F00F19">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实物状况</w:t>
            </w:r>
          </w:p>
        </w:tc>
        <w:tc>
          <w:tcPr>
            <w:tcW w:w="1516" w:type="pct"/>
            <w:tcBorders>
              <w:top w:val="nil"/>
              <w:left w:val="nil"/>
              <w:bottom w:val="single" w:color="auto" w:sz="4" w:space="0"/>
              <w:right w:val="single" w:color="auto" w:sz="4" w:space="0"/>
            </w:tcBorders>
            <w:vAlign w:val="center"/>
          </w:tcPr>
          <w:p w14:paraId="01800914">
            <w:pPr>
              <w:widowControl/>
              <w:adjustRightInd/>
              <w:spacing w:line="240" w:lineRule="auto"/>
              <w:textAlignment w:val="auto"/>
              <w:rPr>
                <w:rFonts w:ascii="Arial" w:hAnsi="Arial" w:cs="Arial"/>
                <w:sz w:val="16"/>
                <w:szCs w:val="18"/>
                <w:highlight w:val="none"/>
              </w:rPr>
            </w:pPr>
            <w:r>
              <w:rPr>
                <w:rFonts w:ascii="Arial" w:hAnsi="Arial" w:cs="Arial"/>
                <w:sz w:val="16"/>
                <w:szCs w:val="18"/>
                <w:highlight w:val="none"/>
              </w:rPr>
              <w:t>成新度</w:t>
            </w:r>
          </w:p>
        </w:tc>
        <w:tc>
          <w:tcPr>
            <w:tcW w:w="897" w:type="pct"/>
            <w:tcBorders>
              <w:top w:val="nil"/>
              <w:left w:val="nil"/>
              <w:bottom w:val="single" w:color="auto" w:sz="4" w:space="0"/>
              <w:right w:val="single" w:color="auto" w:sz="4" w:space="0"/>
            </w:tcBorders>
            <w:vAlign w:val="center"/>
          </w:tcPr>
          <w:p w14:paraId="27E8F353">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897" w:type="pct"/>
            <w:tcBorders>
              <w:top w:val="nil"/>
              <w:left w:val="nil"/>
              <w:bottom w:val="single" w:color="auto" w:sz="4" w:space="0"/>
              <w:right w:val="single" w:color="auto" w:sz="4" w:space="0"/>
            </w:tcBorders>
            <w:vAlign w:val="center"/>
          </w:tcPr>
          <w:p w14:paraId="2ECB6D54">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897" w:type="pct"/>
            <w:tcBorders>
              <w:top w:val="nil"/>
              <w:left w:val="nil"/>
              <w:bottom w:val="single" w:color="auto" w:sz="4" w:space="0"/>
              <w:right w:val="single" w:color="auto" w:sz="4" w:space="0"/>
            </w:tcBorders>
            <w:vAlign w:val="center"/>
          </w:tcPr>
          <w:p w14:paraId="4D2DFB01">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r>
      <w:tr w14:paraId="6F54FC49">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301ADE4D">
            <w:pPr>
              <w:widowControl/>
              <w:adjustRightInd/>
              <w:spacing w:line="240" w:lineRule="auto"/>
              <w:textAlignment w:val="auto"/>
              <w:rPr>
                <w:rFonts w:ascii="Arial" w:hAnsi="Arial" w:cs="Arial"/>
                <w:sz w:val="16"/>
                <w:szCs w:val="18"/>
                <w:highlight w:val="none"/>
              </w:rPr>
            </w:pPr>
          </w:p>
        </w:tc>
        <w:tc>
          <w:tcPr>
            <w:tcW w:w="1516" w:type="pct"/>
            <w:tcBorders>
              <w:top w:val="nil"/>
              <w:left w:val="nil"/>
              <w:bottom w:val="single" w:color="auto" w:sz="4" w:space="0"/>
              <w:right w:val="single" w:color="auto" w:sz="4" w:space="0"/>
            </w:tcBorders>
            <w:vAlign w:val="center"/>
          </w:tcPr>
          <w:p w14:paraId="11CEF3A3">
            <w:pPr>
              <w:widowControl/>
              <w:adjustRightInd/>
              <w:spacing w:line="240" w:lineRule="auto"/>
              <w:textAlignment w:val="auto"/>
              <w:rPr>
                <w:rFonts w:ascii="Arial" w:hAnsi="Arial" w:cs="Arial"/>
                <w:sz w:val="16"/>
                <w:szCs w:val="18"/>
                <w:highlight w:val="none"/>
              </w:rPr>
            </w:pPr>
            <w:r>
              <w:rPr>
                <w:rFonts w:ascii="Arial" w:hAnsi="Arial" w:cs="Arial"/>
                <w:sz w:val="16"/>
                <w:szCs w:val="18"/>
                <w:highlight w:val="none"/>
              </w:rPr>
              <w:t>公共区域装修</w:t>
            </w:r>
          </w:p>
        </w:tc>
        <w:tc>
          <w:tcPr>
            <w:tcW w:w="897" w:type="pct"/>
            <w:tcBorders>
              <w:top w:val="nil"/>
              <w:left w:val="nil"/>
              <w:bottom w:val="single" w:color="auto" w:sz="4" w:space="0"/>
              <w:right w:val="single" w:color="auto" w:sz="4" w:space="0"/>
            </w:tcBorders>
            <w:vAlign w:val="center"/>
          </w:tcPr>
          <w:p w14:paraId="4B656884">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897" w:type="pct"/>
            <w:tcBorders>
              <w:top w:val="nil"/>
              <w:left w:val="nil"/>
              <w:bottom w:val="single" w:color="auto" w:sz="4" w:space="0"/>
              <w:right w:val="single" w:color="auto" w:sz="4" w:space="0"/>
            </w:tcBorders>
            <w:vAlign w:val="center"/>
          </w:tcPr>
          <w:p w14:paraId="0C67618E">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897" w:type="pct"/>
            <w:tcBorders>
              <w:top w:val="nil"/>
              <w:left w:val="nil"/>
              <w:bottom w:val="single" w:color="auto" w:sz="4" w:space="0"/>
              <w:right w:val="single" w:color="auto" w:sz="4" w:space="0"/>
            </w:tcBorders>
            <w:vAlign w:val="center"/>
          </w:tcPr>
          <w:p w14:paraId="751630A4">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r>
      <w:tr w14:paraId="3006F19C">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2A5F6E56">
            <w:pPr>
              <w:widowControl/>
              <w:adjustRightInd/>
              <w:spacing w:line="240" w:lineRule="auto"/>
              <w:textAlignment w:val="auto"/>
              <w:rPr>
                <w:rFonts w:ascii="Arial" w:hAnsi="Arial" w:cs="Arial"/>
                <w:sz w:val="16"/>
                <w:szCs w:val="18"/>
                <w:highlight w:val="none"/>
              </w:rPr>
            </w:pPr>
          </w:p>
        </w:tc>
        <w:tc>
          <w:tcPr>
            <w:tcW w:w="1516" w:type="pct"/>
            <w:tcBorders>
              <w:top w:val="nil"/>
              <w:left w:val="nil"/>
              <w:bottom w:val="single" w:color="auto" w:sz="4" w:space="0"/>
              <w:right w:val="single" w:color="auto" w:sz="4" w:space="0"/>
            </w:tcBorders>
            <w:vAlign w:val="center"/>
          </w:tcPr>
          <w:p w14:paraId="2A18AFC9">
            <w:pPr>
              <w:widowControl/>
              <w:adjustRightInd/>
              <w:spacing w:line="240" w:lineRule="auto"/>
              <w:textAlignment w:val="auto"/>
              <w:rPr>
                <w:rFonts w:ascii="Arial" w:hAnsi="Arial" w:cs="Arial"/>
                <w:sz w:val="16"/>
                <w:szCs w:val="18"/>
                <w:highlight w:val="none"/>
              </w:rPr>
            </w:pPr>
            <w:r>
              <w:rPr>
                <w:rFonts w:ascii="Arial" w:hAnsi="Arial" w:cs="Arial"/>
                <w:sz w:val="16"/>
                <w:szCs w:val="18"/>
                <w:highlight w:val="none"/>
              </w:rPr>
              <w:t>室内装饰装修</w:t>
            </w:r>
          </w:p>
        </w:tc>
        <w:tc>
          <w:tcPr>
            <w:tcW w:w="897" w:type="pct"/>
            <w:tcBorders>
              <w:top w:val="nil"/>
              <w:left w:val="nil"/>
              <w:bottom w:val="single" w:color="auto" w:sz="4" w:space="0"/>
              <w:right w:val="single" w:color="auto" w:sz="4" w:space="0"/>
            </w:tcBorders>
            <w:vAlign w:val="center"/>
          </w:tcPr>
          <w:p w14:paraId="101C83FF">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897" w:type="pct"/>
            <w:tcBorders>
              <w:top w:val="nil"/>
              <w:left w:val="nil"/>
              <w:bottom w:val="single" w:color="auto" w:sz="4" w:space="0"/>
              <w:right w:val="single" w:color="auto" w:sz="4" w:space="0"/>
            </w:tcBorders>
            <w:vAlign w:val="center"/>
          </w:tcPr>
          <w:p w14:paraId="3100762D">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897" w:type="pct"/>
            <w:tcBorders>
              <w:top w:val="nil"/>
              <w:left w:val="nil"/>
              <w:bottom w:val="single" w:color="auto" w:sz="4" w:space="0"/>
              <w:right w:val="single" w:color="auto" w:sz="4" w:space="0"/>
            </w:tcBorders>
            <w:vAlign w:val="center"/>
          </w:tcPr>
          <w:p w14:paraId="79C25A16">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r>
      <w:tr w14:paraId="64130DFA">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156FABA4">
            <w:pPr>
              <w:widowControl/>
              <w:adjustRightInd/>
              <w:spacing w:line="240" w:lineRule="auto"/>
              <w:textAlignment w:val="auto"/>
              <w:rPr>
                <w:rFonts w:ascii="Arial" w:hAnsi="Arial" w:cs="Arial"/>
                <w:sz w:val="16"/>
                <w:szCs w:val="18"/>
                <w:highlight w:val="none"/>
              </w:rPr>
            </w:pPr>
          </w:p>
        </w:tc>
        <w:tc>
          <w:tcPr>
            <w:tcW w:w="1516" w:type="pct"/>
            <w:tcBorders>
              <w:top w:val="nil"/>
              <w:left w:val="nil"/>
              <w:bottom w:val="single" w:color="auto" w:sz="4" w:space="0"/>
              <w:right w:val="single" w:color="auto" w:sz="4" w:space="0"/>
            </w:tcBorders>
            <w:vAlign w:val="center"/>
          </w:tcPr>
          <w:p w14:paraId="78186E5E">
            <w:pPr>
              <w:widowControl/>
              <w:adjustRightInd/>
              <w:spacing w:line="240" w:lineRule="auto"/>
              <w:textAlignment w:val="auto"/>
              <w:rPr>
                <w:rFonts w:ascii="Arial" w:hAnsi="Arial" w:cs="Arial"/>
                <w:sz w:val="16"/>
                <w:szCs w:val="18"/>
                <w:highlight w:val="none"/>
              </w:rPr>
            </w:pPr>
            <w:r>
              <w:rPr>
                <w:rFonts w:ascii="Arial" w:hAnsi="Arial" w:cs="Arial"/>
                <w:sz w:val="16"/>
                <w:szCs w:val="18"/>
                <w:highlight w:val="none"/>
              </w:rPr>
              <w:t>设施设备</w:t>
            </w:r>
          </w:p>
        </w:tc>
        <w:tc>
          <w:tcPr>
            <w:tcW w:w="897" w:type="pct"/>
            <w:tcBorders>
              <w:top w:val="nil"/>
              <w:left w:val="nil"/>
              <w:bottom w:val="single" w:color="auto" w:sz="4" w:space="0"/>
              <w:right w:val="single" w:color="auto" w:sz="4" w:space="0"/>
            </w:tcBorders>
            <w:vAlign w:val="center"/>
          </w:tcPr>
          <w:p w14:paraId="5C4F0A67">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897" w:type="pct"/>
            <w:tcBorders>
              <w:top w:val="nil"/>
              <w:left w:val="nil"/>
              <w:bottom w:val="single" w:color="auto" w:sz="4" w:space="0"/>
              <w:right w:val="single" w:color="auto" w:sz="4" w:space="0"/>
            </w:tcBorders>
            <w:vAlign w:val="center"/>
          </w:tcPr>
          <w:p w14:paraId="5F4EEDCE">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897" w:type="pct"/>
            <w:tcBorders>
              <w:top w:val="nil"/>
              <w:left w:val="nil"/>
              <w:bottom w:val="single" w:color="auto" w:sz="4" w:space="0"/>
              <w:right w:val="single" w:color="auto" w:sz="4" w:space="0"/>
            </w:tcBorders>
            <w:vAlign w:val="center"/>
          </w:tcPr>
          <w:p w14:paraId="7205D040">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r>
      <w:tr w14:paraId="41DB30F7">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4A0C0ADC">
            <w:pPr>
              <w:widowControl/>
              <w:adjustRightInd/>
              <w:spacing w:line="240" w:lineRule="auto"/>
              <w:textAlignment w:val="auto"/>
              <w:rPr>
                <w:rFonts w:ascii="Arial" w:hAnsi="Arial" w:cs="Arial"/>
                <w:sz w:val="16"/>
                <w:szCs w:val="18"/>
                <w:highlight w:val="none"/>
              </w:rPr>
            </w:pPr>
          </w:p>
        </w:tc>
        <w:tc>
          <w:tcPr>
            <w:tcW w:w="1516" w:type="pct"/>
            <w:tcBorders>
              <w:top w:val="nil"/>
              <w:left w:val="nil"/>
              <w:bottom w:val="single" w:color="auto" w:sz="4" w:space="0"/>
              <w:right w:val="single" w:color="auto" w:sz="4" w:space="0"/>
            </w:tcBorders>
            <w:vAlign w:val="center"/>
          </w:tcPr>
          <w:p w14:paraId="4B0967FF">
            <w:pPr>
              <w:widowControl/>
              <w:adjustRightInd/>
              <w:spacing w:line="240" w:lineRule="auto"/>
              <w:textAlignment w:val="auto"/>
              <w:rPr>
                <w:rFonts w:ascii="Arial" w:hAnsi="Arial" w:cs="Arial"/>
                <w:sz w:val="16"/>
                <w:szCs w:val="18"/>
                <w:highlight w:val="none"/>
              </w:rPr>
            </w:pPr>
            <w:r>
              <w:rPr>
                <w:rFonts w:ascii="Arial" w:hAnsi="Arial" w:cs="Arial"/>
                <w:sz w:val="16"/>
                <w:szCs w:val="18"/>
                <w:highlight w:val="none"/>
              </w:rPr>
              <w:t>综合管理服务设施</w:t>
            </w:r>
          </w:p>
        </w:tc>
        <w:tc>
          <w:tcPr>
            <w:tcW w:w="897" w:type="pct"/>
            <w:tcBorders>
              <w:top w:val="nil"/>
              <w:left w:val="nil"/>
              <w:bottom w:val="single" w:color="auto" w:sz="4" w:space="0"/>
              <w:right w:val="single" w:color="auto" w:sz="4" w:space="0"/>
            </w:tcBorders>
            <w:vAlign w:val="center"/>
          </w:tcPr>
          <w:p w14:paraId="42E785D1">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897" w:type="pct"/>
            <w:tcBorders>
              <w:top w:val="nil"/>
              <w:left w:val="nil"/>
              <w:bottom w:val="single" w:color="auto" w:sz="4" w:space="0"/>
              <w:right w:val="single" w:color="auto" w:sz="4" w:space="0"/>
            </w:tcBorders>
            <w:vAlign w:val="center"/>
          </w:tcPr>
          <w:p w14:paraId="47057725">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897" w:type="pct"/>
            <w:tcBorders>
              <w:top w:val="nil"/>
              <w:left w:val="nil"/>
              <w:bottom w:val="single" w:color="auto" w:sz="4" w:space="0"/>
              <w:right w:val="single" w:color="auto" w:sz="4" w:space="0"/>
            </w:tcBorders>
            <w:vAlign w:val="center"/>
          </w:tcPr>
          <w:p w14:paraId="37B8A693">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r>
      <w:tr w14:paraId="32B0573A">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10F24C39">
            <w:pPr>
              <w:widowControl/>
              <w:adjustRightInd/>
              <w:spacing w:line="240" w:lineRule="auto"/>
              <w:textAlignment w:val="auto"/>
              <w:rPr>
                <w:rFonts w:ascii="Arial" w:hAnsi="Arial" w:cs="Arial"/>
                <w:sz w:val="16"/>
                <w:szCs w:val="18"/>
                <w:highlight w:val="none"/>
              </w:rPr>
            </w:pPr>
          </w:p>
        </w:tc>
        <w:tc>
          <w:tcPr>
            <w:tcW w:w="1516" w:type="pct"/>
            <w:tcBorders>
              <w:top w:val="nil"/>
              <w:left w:val="nil"/>
              <w:bottom w:val="single" w:color="auto" w:sz="4" w:space="0"/>
              <w:right w:val="single" w:color="auto" w:sz="4" w:space="0"/>
            </w:tcBorders>
            <w:vAlign w:val="center"/>
          </w:tcPr>
          <w:p w14:paraId="3A62EE0A">
            <w:pPr>
              <w:widowControl/>
              <w:adjustRightInd/>
              <w:spacing w:line="240" w:lineRule="auto"/>
              <w:textAlignment w:val="auto"/>
              <w:rPr>
                <w:rFonts w:ascii="Arial" w:hAnsi="Arial" w:cs="Arial"/>
                <w:sz w:val="16"/>
                <w:szCs w:val="18"/>
                <w:highlight w:val="none"/>
              </w:rPr>
            </w:pPr>
            <w:r>
              <w:rPr>
                <w:rFonts w:ascii="Arial" w:hAnsi="Arial" w:cs="Arial"/>
                <w:sz w:val="16"/>
                <w:szCs w:val="18"/>
                <w:highlight w:val="none"/>
              </w:rPr>
              <w:t>户型布局</w:t>
            </w:r>
          </w:p>
        </w:tc>
        <w:tc>
          <w:tcPr>
            <w:tcW w:w="897" w:type="pct"/>
            <w:tcBorders>
              <w:top w:val="nil"/>
              <w:left w:val="nil"/>
              <w:bottom w:val="single" w:color="auto" w:sz="4" w:space="0"/>
              <w:right w:val="single" w:color="auto" w:sz="4" w:space="0"/>
            </w:tcBorders>
            <w:vAlign w:val="center"/>
          </w:tcPr>
          <w:p w14:paraId="0052CC7B">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897" w:type="pct"/>
            <w:tcBorders>
              <w:top w:val="nil"/>
              <w:left w:val="nil"/>
              <w:bottom w:val="single" w:color="auto" w:sz="4" w:space="0"/>
              <w:right w:val="single" w:color="auto" w:sz="4" w:space="0"/>
            </w:tcBorders>
            <w:vAlign w:val="center"/>
          </w:tcPr>
          <w:p w14:paraId="037B2BCE">
            <w:pPr>
              <w:widowControl/>
              <w:adjustRightInd/>
              <w:spacing w:line="240" w:lineRule="auto"/>
              <w:jc w:val="center"/>
              <w:textAlignment w:val="auto"/>
              <w:rPr>
                <w:rFonts w:hint="default" w:ascii="Arial" w:hAnsi="Arial" w:eastAsia="宋体" w:cs="Arial"/>
                <w:sz w:val="16"/>
                <w:szCs w:val="18"/>
                <w:highlight w:val="none"/>
                <w:lang w:val="en-US" w:eastAsia="zh-CN"/>
              </w:rPr>
            </w:pPr>
            <w:r>
              <w:rPr>
                <w:rFonts w:ascii="Arial" w:hAnsi="Arial" w:cs="Arial"/>
                <w:sz w:val="16"/>
                <w:szCs w:val="18"/>
                <w:highlight w:val="none"/>
              </w:rPr>
              <w:t>100/</w:t>
            </w:r>
            <w:r>
              <w:rPr>
                <w:rFonts w:hint="eastAsia" w:ascii="Arial" w:hAnsi="Arial" w:cs="Arial"/>
                <w:sz w:val="16"/>
                <w:szCs w:val="18"/>
                <w:highlight w:val="none"/>
                <w:lang w:val="en-US" w:eastAsia="zh-CN"/>
              </w:rPr>
              <w:t>98</w:t>
            </w:r>
          </w:p>
        </w:tc>
        <w:tc>
          <w:tcPr>
            <w:tcW w:w="897" w:type="pct"/>
            <w:tcBorders>
              <w:top w:val="nil"/>
              <w:left w:val="nil"/>
              <w:bottom w:val="single" w:color="auto" w:sz="4" w:space="0"/>
              <w:right w:val="single" w:color="auto" w:sz="4" w:space="0"/>
            </w:tcBorders>
            <w:vAlign w:val="center"/>
          </w:tcPr>
          <w:p w14:paraId="274C3C41">
            <w:pPr>
              <w:widowControl/>
              <w:adjustRightInd/>
              <w:spacing w:line="240" w:lineRule="auto"/>
              <w:jc w:val="center"/>
              <w:textAlignment w:val="auto"/>
              <w:rPr>
                <w:rFonts w:hint="default" w:ascii="Arial" w:hAnsi="Arial" w:eastAsia="宋体" w:cs="Arial"/>
                <w:sz w:val="16"/>
                <w:szCs w:val="18"/>
                <w:highlight w:val="none"/>
                <w:lang w:val="en-US" w:eastAsia="zh-CN"/>
              </w:rPr>
            </w:pPr>
            <w:r>
              <w:rPr>
                <w:rFonts w:ascii="Arial" w:hAnsi="Arial" w:cs="Arial"/>
                <w:sz w:val="16"/>
                <w:szCs w:val="18"/>
                <w:highlight w:val="none"/>
              </w:rPr>
              <w:t>100/</w:t>
            </w:r>
            <w:r>
              <w:rPr>
                <w:rFonts w:hint="eastAsia" w:ascii="Arial" w:hAnsi="Arial" w:cs="Arial"/>
                <w:sz w:val="16"/>
                <w:szCs w:val="18"/>
                <w:highlight w:val="none"/>
                <w:lang w:val="en-US" w:eastAsia="zh-CN"/>
              </w:rPr>
              <w:t>98</w:t>
            </w:r>
          </w:p>
        </w:tc>
      </w:tr>
      <w:tr w14:paraId="614E5D26">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320F15EA">
            <w:pPr>
              <w:widowControl/>
              <w:adjustRightInd/>
              <w:spacing w:line="240" w:lineRule="auto"/>
              <w:textAlignment w:val="auto"/>
              <w:rPr>
                <w:rFonts w:ascii="Arial" w:hAnsi="Arial" w:cs="Arial"/>
                <w:sz w:val="16"/>
                <w:szCs w:val="18"/>
                <w:highlight w:val="none"/>
              </w:rPr>
            </w:pPr>
          </w:p>
        </w:tc>
        <w:tc>
          <w:tcPr>
            <w:tcW w:w="1516" w:type="pct"/>
            <w:tcBorders>
              <w:top w:val="nil"/>
              <w:left w:val="nil"/>
              <w:bottom w:val="single" w:color="auto" w:sz="4" w:space="0"/>
              <w:right w:val="single" w:color="auto" w:sz="4" w:space="0"/>
            </w:tcBorders>
            <w:vAlign w:val="center"/>
          </w:tcPr>
          <w:p w14:paraId="07C878EE">
            <w:pPr>
              <w:widowControl/>
              <w:adjustRightInd/>
              <w:spacing w:line="240" w:lineRule="auto"/>
              <w:textAlignment w:val="auto"/>
              <w:rPr>
                <w:rFonts w:ascii="Arial" w:hAnsi="Arial" w:cs="Arial"/>
                <w:sz w:val="16"/>
                <w:szCs w:val="18"/>
                <w:highlight w:val="none"/>
              </w:rPr>
            </w:pPr>
            <w:r>
              <w:rPr>
                <w:rFonts w:ascii="Arial" w:hAnsi="Arial" w:cs="Arial"/>
                <w:sz w:val="16"/>
                <w:szCs w:val="18"/>
                <w:highlight w:val="none"/>
              </w:rPr>
              <w:t>户型结构</w:t>
            </w:r>
          </w:p>
        </w:tc>
        <w:tc>
          <w:tcPr>
            <w:tcW w:w="897" w:type="pct"/>
            <w:tcBorders>
              <w:top w:val="nil"/>
              <w:left w:val="nil"/>
              <w:bottom w:val="single" w:color="auto" w:sz="4" w:space="0"/>
              <w:right w:val="single" w:color="auto" w:sz="4" w:space="0"/>
            </w:tcBorders>
            <w:vAlign w:val="center"/>
          </w:tcPr>
          <w:p w14:paraId="30D40629">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897" w:type="pct"/>
            <w:tcBorders>
              <w:top w:val="nil"/>
              <w:left w:val="nil"/>
              <w:bottom w:val="single" w:color="auto" w:sz="4" w:space="0"/>
              <w:right w:val="single" w:color="auto" w:sz="4" w:space="0"/>
            </w:tcBorders>
            <w:vAlign w:val="center"/>
          </w:tcPr>
          <w:p w14:paraId="50FD1DDC">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897" w:type="pct"/>
            <w:tcBorders>
              <w:top w:val="nil"/>
              <w:left w:val="nil"/>
              <w:bottom w:val="single" w:color="auto" w:sz="4" w:space="0"/>
              <w:right w:val="single" w:color="auto" w:sz="4" w:space="0"/>
            </w:tcBorders>
            <w:vAlign w:val="center"/>
          </w:tcPr>
          <w:p w14:paraId="196F63A4">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r>
      <w:tr w14:paraId="2ACBF7B7">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16585B17">
            <w:pPr>
              <w:widowControl/>
              <w:adjustRightInd/>
              <w:spacing w:line="240" w:lineRule="auto"/>
              <w:textAlignment w:val="auto"/>
              <w:rPr>
                <w:rFonts w:ascii="Arial" w:hAnsi="Arial" w:cs="Arial"/>
                <w:sz w:val="16"/>
                <w:szCs w:val="18"/>
                <w:highlight w:val="none"/>
              </w:rPr>
            </w:pPr>
          </w:p>
        </w:tc>
        <w:tc>
          <w:tcPr>
            <w:tcW w:w="1516" w:type="pct"/>
            <w:tcBorders>
              <w:top w:val="nil"/>
              <w:left w:val="nil"/>
              <w:bottom w:val="single" w:color="auto" w:sz="4" w:space="0"/>
              <w:right w:val="single" w:color="auto" w:sz="4" w:space="0"/>
            </w:tcBorders>
            <w:vAlign w:val="center"/>
          </w:tcPr>
          <w:p w14:paraId="56AB447D">
            <w:pPr>
              <w:widowControl/>
              <w:adjustRightInd/>
              <w:spacing w:line="240" w:lineRule="auto"/>
              <w:textAlignment w:val="auto"/>
              <w:rPr>
                <w:rFonts w:ascii="Arial" w:hAnsi="Arial" w:cs="Arial"/>
                <w:sz w:val="16"/>
                <w:szCs w:val="18"/>
                <w:highlight w:val="none"/>
              </w:rPr>
            </w:pPr>
            <w:r>
              <w:rPr>
                <w:rFonts w:ascii="Arial" w:hAnsi="Arial" w:cs="Arial"/>
                <w:sz w:val="16"/>
                <w:szCs w:val="18"/>
                <w:highlight w:val="none"/>
              </w:rPr>
              <w:t>建筑面积</w:t>
            </w:r>
          </w:p>
        </w:tc>
        <w:tc>
          <w:tcPr>
            <w:tcW w:w="897" w:type="pct"/>
            <w:tcBorders>
              <w:top w:val="nil"/>
              <w:left w:val="nil"/>
              <w:bottom w:val="single" w:color="auto" w:sz="4" w:space="0"/>
              <w:right w:val="single" w:color="auto" w:sz="4" w:space="0"/>
            </w:tcBorders>
            <w:vAlign w:val="center"/>
          </w:tcPr>
          <w:p w14:paraId="036F6607">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897" w:type="pct"/>
            <w:tcBorders>
              <w:top w:val="nil"/>
              <w:left w:val="nil"/>
              <w:bottom w:val="single" w:color="auto" w:sz="4" w:space="0"/>
              <w:right w:val="single" w:color="auto" w:sz="4" w:space="0"/>
            </w:tcBorders>
            <w:vAlign w:val="center"/>
          </w:tcPr>
          <w:p w14:paraId="63A9BC42">
            <w:pPr>
              <w:widowControl/>
              <w:adjustRightInd/>
              <w:spacing w:line="240" w:lineRule="auto"/>
              <w:jc w:val="center"/>
              <w:textAlignment w:val="auto"/>
              <w:rPr>
                <w:rFonts w:hint="default" w:ascii="Arial" w:hAnsi="Arial" w:eastAsia="宋体" w:cs="Arial"/>
                <w:sz w:val="16"/>
                <w:szCs w:val="18"/>
                <w:highlight w:val="none"/>
                <w:lang w:val="en-US" w:eastAsia="zh-CN"/>
              </w:rPr>
            </w:pPr>
            <w:r>
              <w:rPr>
                <w:rFonts w:ascii="Arial" w:hAnsi="Arial" w:cs="Arial"/>
                <w:sz w:val="16"/>
                <w:szCs w:val="18"/>
                <w:highlight w:val="none"/>
              </w:rPr>
              <w:t>100/</w:t>
            </w:r>
            <w:r>
              <w:rPr>
                <w:rFonts w:hint="eastAsia" w:ascii="Arial" w:hAnsi="Arial" w:cs="Arial"/>
                <w:sz w:val="16"/>
                <w:szCs w:val="18"/>
                <w:highlight w:val="none"/>
                <w:lang w:val="en-US" w:eastAsia="zh-CN"/>
              </w:rPr>
              <w:t>98</w:t>
            </w:r>
          </w:p>
        </w:tc>
        <w:tc>
          <w:tcPr>
            <w:tcW w:w="897" w:type="pct"/>
            <w:tcBorders>
              <w:top w:val="nil"/>
              <w:left w:val="nil"/>
              <w:bottom w:val="single" w:color="auto" w:sz="4" w:space="0"/>
              <w:right w:val="single" w:color="auto" w:sz="4" w:space="0"/>
            </w:tcBorders>
            <w:vAlign w:val="center"/>
          </w:tcPr>
          <w:p w14:paraId="01A82625">
            <w:pPr>
              <w:widowControl/>
              <w:adjustRightInd/>
              <w:spacing w:line="240" w:lineRule="auto"/>
              <w:jc w:val="center"/>
              <w:textAlignment w:val="auto"/>
              <w:rPr>
                <w:rFonts w:hint="default" w:ascii="Arial" w:hAnsi="Arial" w:eastAsia="宋体" w:cs="Arial"/>
                <w:sz w:val="16"/>
                <w:szCs w:val="18"/>
                <w:highlight w:val="none"/>
                <w:lang w:val="en-US" w:eastAsia="zh-CN"/>
              </w:rPr>
            </w:pPr>
            <w:r>
              <w:rPr>
                <w:rFonts w:ascii="Arial" w:hAnsi="Arial" w:cs="Arial"/>
                <w:sz w:val="16"/>
                <w:szCs w:val="18"/>
                <w:highlight w:val="none"/>
              </w:rPr>
              <w:t>100/</w:t>
            </w:r>
            <w:r>
              <w:rPr>
                <w:rFonts w:hint="eastAsia" w:ascii="Arial" w:hAnsi="Arial" w:cs="Arial"/>
                <w:sz w:val="16"/>
                <w:szCs w:val="18"/>
                <w:highlight w:val="none"/>
                <w:lang w:val="en-US" w:eastAsia="zh-CN"/>
              </w:rPr>
              <w:t>98</w:t>
            </w:r>
          </w:p>
        </w:tc>
      </w:tr>
      <w:tr w14:paraId="497D1ABA">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6DEAE9A4">
            <w:pPr>
              <w:widowControl/>
              <w:adjustRightInd/>
              <w:spacing w:line="240" w:lineRule="auto"/>
              <w:textAlignment w:val="auto"/>
              <w:rPr>
                <w:rFonts w:ascii="Arial" w:hAnsi="Arial" w:cs="Arial"/>
                <w:sz w:val="16"/>
                <w:szCs w:val="18"/>
                <w:highlight w:val="none"/>
              </w:rPr>
            </w:pPr>
          </w:p>
        </w:tc>
        <w:tc>
          <w:tcPr>
            <w:tcW w:w="1516" w:type="pct"/>
            <w:tcBorders>
              <w:top w:val="nil"/>
              <w:left w:val="nil"/>
              <w:bottom w:val="single" w:color="auto" w:sz="4" w:space="0"/>
              <w:right w:val="single" w:color="auto" w:sz="4" w:space="0"/>
            </w:tcBorders>
            <w:vAlign w:val="center"/>
          </w:tcPr>
          <w:p w14:paraId="68122CD4">
            <w:pPr>
              <w:widowControl/>
              <w:adjustRightInd/>
              <w:spacing w:line="240" w:lineRule="auto"/>
              <w:textAlignment w:val="auto"/>
              <w:rPr>
                <w:rFonts w:ascii="Arial" w:hAnsi="Arial" w:cs="Arial"/>
                <w:sz w:val="16"/>
                <w:szCs w:val="18"/>
                <w:highlight w:val="none"/>
              </w:rPr>
            </w:pPr>
            <w:r>
              <w:rPr>
                <w:rFonts w:ascii="Arial" w:hAnsi="Arial" w:cs="Arial"/>
                <w:sz w:val="16"/>
                <w:szCs w:val="18"/>
                <w:highlight w:val="none"/>
              </w:rPr>
              <w:t>家具家电</w:t>
            </w:r>
          </w:p>
        </w:tc>
        <w:tc>
          <w:tcPr>
            <w:tcW w:w="897" w:type="pct"/>
            <w:tcBorders>
              <w:top w:val="nil"/>
              <w:left w:val="nil"/>
              <w:bottom w:val="single" w:color="auto" w:sz="4" w:space="0"/>
              <w:right w:val="single" w:color="auto" w:sz="4" w:space="0"/>
            </w:tcBorders>
            <w:vAlign w:val="center"/>
          </w:tcPr>
          <w:p w14:paraId="1C4EA6FF">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897" w:type="pct"/>
            <w:tcBorders>
              <w:top w:val="nil"/>
              <w:left w:val="nil"/>
              <w:bottom w:val="single" w:color="auto" w:sz="4" w:space="0"/>
              <w:right w:val="single" w:color="auto" w:sz="4" w:space="0"/>
            </w:tcBorders>
            <w:vAlign w:val="center"/>
          </w:tcPr>
          <w:p w14:paraId="10694048">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897" w:type="pct"/>
            <w:tcBorders>
              <w:top w:val="nil"/>
              <w:left w:val="nil"/>
              <w:bottom w:val="single" w:color="auto" w:sz="4" w:space="0"/>
              <w:right w:val="single" w:color="auto" w:sz="4" w:space="0"/>
            </w:tcBorders>
            <w:vAlign w:val="center"/>
          </w:tcPr>
          <w:p w14:paraId="30D3D41D">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r>
      <w:tr w14:paraId="5A78C8AA">
        <w:tblPrEx>
          <w:tblCellMar>
            <w:top w:w="0" w:type="dxa"/>
            <w:left w:w="108" w:type="dxa"/>
            <w:bottom w:w="0" w:type="dxa"/>
            <w:right w:w="108" w:type="dxa"/>
          </w:tblCellMar>
        </w:tblPrEx>
        <w:trPr>
          <w:trHeight w:val="227" w:hRule="atLeast"/>
        </w:trPr>
        <w:tc>
          <w:tcPr>
            <w:tcW w:w="791" w:type="pct"/>
            <w:vMerge w:val="restart"/>
            <w:tcBorders>
              <w:left w:val="single" w:color="auto" w:sz="4" w:space="0"/>
              <w:bottom w:val="single" w:color="auto" w:sz="4" w:space="0"/>
              <w:right w:val="single" w:color="auto" w:sz="4" w:space="0"/>
            </w:tcBorders>
            <w:vAlign w:val="center"/>
          </w:tcPr>
          <w:p w14:paraId="5F772244">
            <w:pPr>
              <w:widowControl/>
              <w:adjustRightInd/>
              <w:spacing w:line="240" w:lineRule="auto"/>
              <w:textAlignment w:val="auto"/>
              <w:rPr>
                <w:rFonts w:ascii="Arial" w:hAnsi="Arial" w:cs="Arial"/>
                <w:sz w:val="16"/>
                <w:szCs w:val="18"/>
                <w:highlight w:val="none"/>
              </w:rPr>
            </w:pPr>
            <w:r>
              <w:rPr>
                <w:rFonts w:ascii="Arial" w:hAnsi="Arial" w:cs="Arial"/>
                <w:sz w:val="16"/>
                <w:szCs w:val="18"/>
                <w:highlight w:val="none"/>
              </w:rPr>
              <w:t>权益状况</w:t>
            </w:r>
          </w:p>
        </w:tc>
        <w:tc>
          <w:tcPr>
            <w:tcW w:w="1516" w:type="pct"/>
            <w:tcBorders>
              <w:top w:val="nil"/>
              <w:left w:val="nil"/>
              <w:bottom w:val="single" w:color="auto" w:sz="4" w:space="0"/>
              <w:right w:val="single" w:color="auto" w:sz="4" w:space="0"/>
            </w:tcBorders>
            <w:vAlign w:val="center"/>
          </w:tcPr>
          <w:p w14:paraId="786A7C97">
            <w:pPr>
              <w:widowControl/>
              <w:adjustRightInd/>
              <w:spacing w:line="240" w:lineRule="auto"/>
              <w:textAlignment w:val="auto"/>
              <w:rPr>
                <w:rFonts w:ascii="Arial" w:hAnsi="Arial" w:cs="Arial"/>
                <w:sz w:val="16"/>
                <w:szCs w:val="18"/>
                <w:highlight w:val="none"/>
              </w:rPr>
            </w:pPr>
            <w:r>
              <w:rPr>
                <w:rFonts w:ascii="Arial" w:hAnsi="Arial" w:cs="Arial"/>
                <w:sz w:val="16"/>
                <w:szCs w:val="18"/>
                <w:highlight w:val="none"/>
              </w:rPr>
              <w:t>服务及管理水平</w:t>
            </w:r>
          </w:p>
        </w:tc>
        <w:tc>
          <w:tcPr>
            <w:tcW w:w="897" w:type="pct"/>
            <w:tcBorders>
              <w:top w:val="nil"/>
              <w:left w:val="nil"/>
              <w:bottom w:val="single" w:color="auto" w:sz="4" w:space="0"/>
              <w:right w:val="single" w:color="auto" w:sz="4" w:space="0"/>
            </w:tcBorders>
            <w:vAlign w:val="center"/>
          </w:tcPr>
          <w:p w14:paraId="283AB0A8">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897" w:type="pct"/>
            <w:tcBorders>
              <w:top w:val="nil"/>
              <w:left w:val="nil"/>
              <w:bottom w:val="single" w:color="auto" w:sz="4" w:space="0"/>
              <w:right w:val="single" w:color="auto" w:sz="4" w:space="0"/>
            </w:tcBorders>
            <w:vAlign w:val="center"/>
          </w:tcPr>
          <w:p w14:paraId="6E97E3FC">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897" w:type="pct"/>
            <w:tcBorders>
              <w:top w:val="nil"/>
              <w:left w:val="nil"/>
              <w:bottom w:val="single" w:color="auto" w:sz="4" w:space="0"/>
              <w:right w:val="single" w:color="auto" w:sz="4" w:space="0"/>
            </w:tcBorders>
            <w:vAlign w:val="center"/>
          </w:tcPr>
          <w:p w14:paraId="54123B46">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r>
      <w:tr w14:paraId="032779EE">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66B71299">
            <w:pPr>
              <w:widowControl/>
              <w:adjustRightInd/>
              <w:spacing w:line="240" w:lineRule="auto"/>
              <w:textAlignment w:val="auto"/>
              <w:rPr>
                <w:rFonts w:ascii="Arial" w:hAnsi="Arial" w:cs="Arial"/>
                <w:sz w:val="16"/>
                <w:szCs w:val="18"/>
                <w:highlight w:val="none"/>
              </w:rPr>
            </w:pPr>
          </w:p>
        </w:tc>
        <w:tc>
          <w:tcPr>
            <w:tcW w:w="1516" w:type="pct"/>
            <w:tcBorders>
              <w:top w:val="nil"/>
              <w:left w:val="nil"/>
              <w:bottom w:val="single" w:color="auto" w:sz="4" w:space="0"/>
              <w:right w:val="single" w:color="auto" w:sz="4" w:space="0"/>
            </w:tcBorders>
            <w:vAlign w:val="center"/>
          </w:tcPr>
          <w:p w14:paraId="1851668E">
            <w:pPr>
              <w:widowControl/>
              <w:adjustRightInd/>
              <w:spacing w:line="240" w:lineRule="auto"/>
              <w:textAlignment w:val="auto"/>
              <w:rPr>
                <w:rFonts w:ascii="Arial" w:hAnsi="Arial" w:cs="Arial"/>
                <w:sz w:val="16"/>
                <w:szCs w:val="18"/>
                <w:highlight w:val="none"/>
              </w:rPr>
            </w:pPr>
            <w:r>
              <w:rPr>
                <w:rFonts w:ascii="Arial" w:hAnsi="Arial" w:cs="Arial"/>
                <w:sz w:val="16"/>
                <w:szCs w:val="18"/>
                <w:highlight w:val="none"/>
              </w:rPr>
              <w:t>水电气费执行标准</w:t>
            </w:r>
          </w:p>
        </w:tc>
        <w:tc>
          <w:tcPr>
            <w:tcW w:w="897" w:type="pct"/>
            <w:tcBorders>
              <w:top w:val="nil"/>
              <w:left w:val="nil"/>
              <w:bottom w:val="single" w:color="auto" w:sz="4" w:space="0"/>
              <w:right w:val="single" w:color="auto" w:sz="4" w:space="0"/>
            </w:tcBorders>
            <w:vAlign w:val="center"/>
          </w:tcPr>
          <w:p w14:paraId="05D80971">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897" w:type="pct"/>
            <w:tcBorders>
              <w:top w:val="nil"/>
              <w:left w:val="nil"/>
              <w:bottom w:val="single" w:color="auto" w:sz="4" w:space="0"/>
              <w:right w:val="single" w:color="auto" w:sz="4" w:space="0"/>
            </w:tcBorders>
            <w:vAlign w:val="center"/>
          </w:tcPr>
          <w:p w14:paraId="4BEEDBD6">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897" w:type="pct"/>
            <w:tcBorders>
              <w:top w:val="nil"/>
              <w:left w:val="nil"/>
              <w:bottom w:val="single" w:color="auto" w:sz="4" w:space="0"/>
              <w:right w:val="single" w:color="auto" w:sz="4" w:space="0"/>
            </w:tcBorders>
            <w:vAlign w:val="center"/>
          </w:tcPr>
          <w:p w14:paraId="25748BE4">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r>
      <w:tr w14:paraId="315F70E9">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1C7D599C">
            <w:pPr>
              <w:widowControl/>
              <w:adjustRightInd/>
              <w:spacing w:line="240" w:lineRule="auto"/>
              <w:textAlignment w:val="auto"/>
              <w:rPr>
                <w:rFonts w:ascii="Arial" w:hAnsi="Arial" w:cs="Arial"/>
                <w:sz w:val="16"/>
                <w:szCs w:val="18"/>
                <w:highlight w:val="none"/>
              </w:rPr>
            </w:pPr>
            <w:r>
              <w:rPr>
                <w:rFonts w:ascii="Arial" w:hAnsi="Arial" w:cs="Arial"/>
                <w:sz w:val="16"/>
                <w:szCs w:val="18"/>
                <w:highlight w:val="none"/>
              </w:rPr>
              <w:t>修正系数</w:t>
            </w:r>
          </w:p>
        </w:tc>
        <w:tc>
          <w:tcPr>
            <w:tcW w:w="897" w:type="pct"/>
            <w:tcBorders>
              <w:top w:val="single" w:color="auto" w:sz="4" w:space="0"/>
              <w:left w:val="nil"/>
              <w:bottom w:val="single" w:color="auto" w:sz="4" w:space="0"/>
              <w:right w:val="single" w:color="auto" w:sz="4" w:space="0"/>
            </w:tcBorders>
            <w:vAlign w:val="center"/>
          </w:tcPr>
          <w:p w14:paraId="0FE3675B">
            <w:pPr>
              <w:spacing w:line="240" w:lineRule="auto"/>
              <w:jc w:val="center"/>
              <w:rPr>
                <w:rFonts w:hint="default" w:ascii="Arial" w:hAnsi="Arial" w:eastAsia="宋体" w:cs="Arial"/>
                <w:sz w:val="16"/>
                <w:szCs w:val="18"/>
                <w:highlight w:val="none"/>
                <w:lang w:val="en-US" w:eastAsia="zh-CN"/>
              </w:rPr>
            </w:pPr>
            <w:r>
              <w:rPr>
                <w:rFonts w:hint="eastAsia" w:ascii="Arial" w:hAnsi="Arial" w:cs="Arial"/>
                <w:sz w:val="16"/>
                <w:szCs w:val="18"/>
                <w:highlight w:val="none"/>
                <w:lang w:val="en-US" w:eastAsia="zh-CN"/>
              </w:rPr>
              <w:t>0.9717</w:t>
            </w:r>
          </w:p>
        </w:tc>
        <w:tc>
          <w:tcPr>
            <w:tcW w:w="897" w:type="pct"/>
            <w:tcBorders>
              <w:top w:val="single" w:color="auto" w:sz="4" w:space="0"/>
              <w:left w:val="nil"/>
              <w:bottom w:val="single" w:color="auto" w:sz="4" w:space="0"/>
              <w:right w:val="single" w:color="auto" w:sz="4" w:space="0"/>
            </w:tcBorders>
            <w:vAlign w:val="center"/>
          </w:tcPr>
          <w:p w14:paraId="2200C296">
            <w:pPr>
              <w:spacing w:line="240" w:lineRule="auto"/>
              <w:jc w:val="center"/>
              <w:rPr>
                <w:rFonts w:hint="default" w:ascii="Arial" w:hAnsi="Arial" w:eastAsia="宋体" w:cs="Arial"/>
                <w:sz w:val="16"/>
                <w:szCs w:val="18"/>
                <w:highlight w:val="none"/>
                <w:lang w:val="en-US" w:eastAsia="zh-CN"/>
              </w:rPr>
            </w:pPr>
            <w:r>
              <w:rPr>
                <w:rFonts w:hint="eastAsia" w:ascii="Arial" w:hAnsi="Arial" w:cs="Arial"/>
                <w:sz w:val="16"/>
                <w:szCs w:val="18"/>
                <w:highlight w:val="none"/>
                <w:lang w:val="en-US" w:eastAsia="zh-CN"/>
              </w:rPr>
              <w:t>1.0518</w:t>
            </w:r>
          </w:p>
        </w:tc>
        <w:tc>
          <w:tcPr>
            <w:tcW w:w="897" w:type="pct"/>
            <w:tcBorders>
              <w:top w:val="single" w:color="auto" w:sz="4" w:space="0"/>
              <w:left w:val="nil"/>
              <w:bottom w:val="single" w:color="auto" w:sz="4" w:space="0"/>
              <w:right w:val="single" w:color="auto" w:sz="4" w:space="0"/>
            </w:tcBorders>
            <w:vAlign w:val="center"/>
          </w:tcPr>
          <w:p w14:paraId="1235B4A2">
            <w:pPr>
              <w:spacing w:line="240" w:lineRule="auto"/>
              <w:jc w:val="center"/>
              <w:rPr>
                <w:rFonts w:hint="default" w:ascii="Arial" w:hAnsi="Arial" w:eastAsia="宋体" w:cs="Arial"/>
                <w:sz w:val="16"/>
                <w:szCs w:val="18"/>
                <w:highlight w:val="none"/>
                <w:lang w:val="en-US" w:eastAsia="zh-CN"/>
              </w:rPr>
            </w:pPr>
            <w:r>
              <w:rPr>
                <w:rFonts w:hint="eastAsia" w:ascii="Arial" w:hAnsi="Arial" w:cs="Arial"/>
                <w:sz w:val="16"/>
                <w:szCs w:val="18"/>
                <w:highlight w:val="none"/>
                <w:lang w:val="en-US" w:eastAsia="zh-CN"/>
              </w:rPr>
              <w:t>1.0412</w:t>
            </w:r>
          </w:p>
        </w:tc>
      </w:tr>
      <w:tr w14:paraId="3014C992">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357B6E1E">
            <w:pPr>
              <w:widowControl/>
              <w:adjustRightInd/>
              <w:spacing w:line="240" w:lineRule="auto"/>
              <w:textAlignment w:val="auto"/>
              <w:rPr>
                <w:rFonts w:ascii="Arial" w:hAnsi="Arial" w:cs="Arial"/>
                <w:sz w:val="16"/>
                <w:szCs w:val="18"/>
                <w:highlight w:val="none"/>
              </w:rPr>
            </w:pPr>
            <w:r>
              <w:rPr>
                <w:rFonts w:ascii="Arial" w:hAnsi="Arial" w:cs="Arial"/>
                <w:sz w:val="16"/>
                <w:szCs w:val="18"/>
                <w:highlight w:val="none"/>
              </w:rPr>
              <w:t>比准价格（元/平方米·月）</w:t>
            </w:r>
          </w:p>
        </w:tc>
        <w:tc>
          <w:tcPr>
            <w:tcW w:w="897" w:type="pct"/>
            <w:tcBorders>
              <w:top w:val="single" w:color="auto" w:sz="4" w:space="0"/>
              <w:left w:val="nil"/>
              <w:bottom w:val="single" w:color="auto" w:sz="4" w:space="0"/>
              <w:right w:val="single" w:color="auto" w:sz="4" w:space="0"/>
            </w:tcBorders>
            <w:vAlign w:val="center"/>
          </w:tcPr>
          <w:p w14:paraId="5B3C35B6">
            <w:pPr>
              <w:spacing w:line="240" w:lineRule="auto"/>
              <w:jc w:val="center"/>
              <w:rPr>
                <w:rFonts w:hint="default" w:ascii="Arial" w:hAnsi="Arial" w:eastAsia="宋体" w:cs="Arial"/>
                <w:sz w:val="16"/>
                <w:szCs w:val="18"/>
                <w:highlight w:val="none"/>
                <w:lang w:val="en-US" w:eastAsia="zh-CN"/>
              </w:rPr>
            </w:pPr>
            <w:r>
              <w:rPr>
                <w:rFonts w:hint="eastAsia" w:ascii="Arial" w:hAnsi="Arial" w:cs="Arial"/>
                <w:sz w:val="16"/>
                <w:szCs w:val="18"/>
                <w:highlight w:val="none"/>
                <w:lang w:val="en-US" w:eastAsia="zh-CN"/>
              </w:rPr>
              <w:t>19.70</w:t>
            </w:r>
          </w:p>
        </w:tc>
        <w:tc>
          <w:tcPr>
            <w:tcW w:w="897" w:type="pct"/>
            <w:tcBorders>
              <w:top w:val="single" w:color="auto" w:sz="4" w:space="0"/>
              <w:left w:val="nil"/>
              <w:bottom w:val="single" w:color="auto" w:sz="4" w:space="0"/>
              <w:right w:val="single" w:color="auto" w:sz="4" w:space="0"/>
            </w:tcBorders>
            <w:vAlign w:val="center"/>
          </w:tcPr>
          <w:p w14:paraId="2FE56587">
            <w:pPr>
              <w:spacing w:line="240" w:lineRule="auto"/>
              <w:jc w:val="center"/>
              <w:rPr>
                <w:rFonts w:hint="default" w:ascii="Arial" w:hAnsi="Arial" w:eastAsia="宋体" w:cs="Arial"/>
                <w:sz w:val="16"/>
                <w:szCs w:val="18"/>
                <w:highlight w:val="none"/>
                <w:lang w:val="en-US" w:eastAsia="zh-CN"/>
              </w:rPr>
            </w:pPr>
            <w:r>
              <w:rPr>
                <w:rFonts w:hint="eastAsia" w:ascii="Arial" w:hAnsi="Arial" w:cs="Arial"/>
                <w:sz w:val="16"/>
                <w:szCs w:val="18"/>
                <w:highlight w:val="none"/>
                <w:lang w:val="en-US" w:eastAsia="zh-CN"/>
              </w:rPr>
              <w:t>20.38</w:t>
            </w:r>
          </w:p>
        </w:tc>
        <w:tc>
          <w:tcPr>
            <w:tcW w:w="897" w:type="pct"/>
            <w:tcBorders>
              <w:top w:val="single" w:color="auto" w:sz="4" w:space="0"/>
              <w:left w:val="nil"/>
              <w:bottom w:val="single" w:color="auto" w:sz="4" w:space="0"/>
              <w:right w:val="single" w:color="auto" w:sz="4" w:space="0"/>
            </w:tcBorders>
            <w:vAlign w:val="center"/>
          </w:tcPr>
          <w:p w14:paraId="0E74C0CA">
            <w:pPr>
              <w:spacing w:line="240" w:lineRule="auto"/>
              <w:jc w:val="center"/>
              <w:rPr>
                <w:rFonts w:hint="default" w:ascii="Arial" w:hAnsi="Arial" w:eastAsia="宋体" w:cs="Arial"/>
                <w:sz w:val="16"/>
                <w:szCs w:val="18"/>
                <w:highlight w:val="none"/>
                <w:lang w:val="en-US" w:eastAsia="zh-CN"/>
              </w:rPr>
            </w:pPr>
            <w:r>
              <w:rPr>
                <w:rFonts w:hint="eastAsia" w:ascii="Arial" w:hAnsi="Arial" w:cs="Arial"/>
                <w:sz w:val="16"/>
                <w:szCs w:val="18"/>
                <w:highlight w:val="none"/>
                <w:lang w:val="en-US" w:eastAsia="zh-CN"/>
              </w:rPr>
              <w:t>19.61</w:t>
            </w:r>
          </w:p>
        </w:tc>
      </w:tr>
    </w:tbl>
    <w:p w14:paraId="2885A4C1">
      <w:pPr>
        <w:wordWrap w:val="0"/>
        <w:overflowPunct w:val="0"/>
        <w:spacing w:before="240" w:beforeLines="100" w:line="480" w:lineRule="auto"/>
        <w:ind w:firstLine="420" w:firstLineChars="200"/>
        <w:rPr>
          <w:rFonts w:ascii="Arial" w:hAnsi="Arial"/>
          <w:sz w:val="21"/>
          <w:szCs w:val="21"/>
          <w:highlight w:val="none"/>
        </w:rPr>
      </w:pPr>
      <w:r>
        <w:rPr>
          <w:rFonts w:hint="eastAsia" w:ascii="Arial" w:hAnsi="Arial"/>
          <w:sz w:val="21"/>
          <w:szCs w:val="21"/>
          <w:highlight w:val="none"/>
        </w:rPr>
        <w:t>注：</w:t>
      </w:r>
      <w:r>
        <w:rPr>
          <w:rFonts w:ascii="Arial" w:hAnsi="Arial"/>
          <w:sz w:val="21"/>
          <w:szCs w:val="21"/>
          <w:highlight w:val="none"/>
        </w:rPr>
        <w:t>比准价格＝比较</w:t>
      </w:r>
      <w:r>
        <w:rPr>
          <w:rFonts w:hint="eastAsia" w:ascii="Arial" w:hAnsi="Arial"/>
          <w:sz w:val="21"/>
          <w:szCs w:val="21"/>
          <w:highlight w:val="none"/>
        </w:rPr>
        <w:t>实例</w:t>
      </w:r>
      <w:r>
        <w:rPr>
          <w:rFonts w:ascii="Arial" w:hAnsi="Arial"/>
          <w:sz w:val="21"/>
          <w:szCs w:val="21"/>
          <w:highlight w:val="none"/>
        </w:rPr>
        <w:t>平均租金×（待估房地产</w:t>
      </w:r>
      <w:r>
        <w:rPr>
          <w:rFonts w:hint="eastAsia" w:ascii="Arial" w:hAnsi="Arial"/>
          <w:sz w:val="21"/>
          <w:szCs w:val="21"/>
          <w:highlight w:val="none"/>
        </w:rPr>
        <w:t>交易时间</w:t>
      </w:r>
      <w:r>
        <w:rPr>
          <w:rFonts w:ascii="Arial" w:hAnsi="Arial"/>
          <w:sz w:val="21"/>
          <w:szCs w:val="21"/>
          <w:highlight w:val="none"/>
        </w:rPr>
        <w:t>房地产价租赁格指数/可比实例交易</w:t>
      </w:r>
      <w:r>
        <w:rPr>
          <w:rFonts w:hint="eastAsia" w:ascii="Arial" w:hAnsi="Arial"/>
          <w:sz w:val="21"/>
          <w:szCs w:val="21"/>
          <w:highlight w:val="none"/>
        </w:rPr>
        <w:t>时间</w:t>
      </w:r>
      <w:r>
        <w:rPr>
          <w:rFonts w:ascii="Arial" w:hAnsi="Arial"/>
          <w:sz w:val="21"/>
          <w:szCs w:val="21"/>
          <w:highlight w:val="none"/>
        </w:rPr>
        <w:t>房地产租赁价格指数）×（待估房地产交易情况指数/可比实例</w:t>
      </w:r>
      <w:r>
        <w:rPr>
          <w:rFonts w:hint="eastAsia" w:ascii="Arial" w:hAnsi="Arial"/>
          <w:sz w:val="21"/>
          <w:szCs w:val="21"/>
          <w:highlight w:val="none"/>
        </w:rPr>
        <w:t>交易情况</w:t>
      </w:r>
      <w:r>
        <w:rPr>
          <w:rFonts w:ascii="Arial" w:hAnsi="Arial"/>
          <w:sz w:val="21"/>
          <w:szCs w:val="21"/>
          <w:highlight w:val="none"/>
        </w:rPr>
        <w:t>指数）×（待估房地产</w:t>
      </w:r>
      <w:r>
        <w:rPr>
          <w:rFonts w:hint="eastAsia" w:ascii="Arial" w:hAnsi="Arial"/>
          <w:sz w:val="21"/>
          <w:szCs w:val="21"/>
          <w:highlight w:val="none"/>
        </w:rPr>
        <w:t>项目类型</w:t>
      </w:r>
      <w:r>
        <w:rPr>
          <w:rFonts w:ascii="Arial" w:hAnsi="Arial"/>
          <w:sz w:val="21"/>
          <w:szCs w:val="21"/>
          <w:highlight w:val="none"/>
        </w:rPr>
        <w:t>指数/可比实例</w:t>
      </w:r>
      <w:r>
        <w:rPr>
          <w:rFonts w:hint="eastAsia" w:ascii="Arial" w:hAnsi="Arial"/>
          <w:sz w:val="21"/>
          <w:szCs w:val="21"/>
          <w:highlight w:val="none"/>
        </w:rPr>
        <w:t>项目类型</w:t>
      </w:r>
      <w:r>
        <w:rPr>
          <w:rFonts w:ascii="Arial" w:hAnsi="Arial"/>
          <w:sz w:val="21"/>
          <w:szCs w:val="21"/>
          <w:highlight w:val="none"/>
        </w:rPr>
        <w:t>指数）×（待估房地产区域状况条件指数/可比实例房地产区域状况条件指数）×（待估房地产实物状况条件指数/可比实例房地产实物状况条件指数）×（待估房地产</w:t>
      </w:r>
      <w:r>
        <w:rPr>
          <w:rFonts w:hint="eastAsia" w:ascii="Arial" w:hAnsi="Arial"/>
          <w:sz w:val="21"/>
          <w:szCs w:val="21"/>
          <w:highlight w:val="none"/>
        </w:rPr>
        <w:t>权益</w:t>
      </w:r>
      <w:r>
        <w:rPr>
          <w:rFonts w:ascii="Arial" w:hAnsi="Arial"/>
          <w:sz w:val="21"/>
          <w:szCs w:val="21"/>
          <w:highlight w:val="none"/>
        </w:rPr>
        <w:t>状况条件指数/可比实例房地产</w:t>
      </w:r>
      <w:r>
        <w:rPr>
          <w:rFonts w:hint="eastAsia" w:ascii="Arial" w:hAnsi="Arial"/>
          <w:sz w:val="21"/>
          <w:szCs w:val="21"/>
          <w:highlight w:val="none"/>
        </w:rPr>
        <w:t>权益</w:t>
      </w:r>
      <w:r>
        <w:rPr>
          <w:rFonts w:ascii="Arial" w:hAnsi="Arial"/>
          <w:sz w:val="21"/>
          <w:szCs w:val="21"/>
          <w:highlight w:val="none"/>
        </w:rPr>
        <w:t>状况条件指数）</w:t>
      </w:r>
    </w:p>
    <w:p w14:paraId="2A0E5B3A">
      <w:pPr>
        <w:wordWrap w:val="0"/>
        <w:overflowPunct w:val="0"/>
        <w:spacing w:line="480" w:lineRule="auto"/>
        <w:ind w:firstLine="420" w:firstLineChars="200"/>
        <w:rPr>
          <w:rFonts w:ascii="Arial" w:hAnsi="Arial"/>
          <w:sz w:val="21"/>
          <w:szCs w:val="21"/>
          <w:highlight w:val="none"/>
        </w:rPr>
      </w:pPr>
      <w:r>
        <w:rPr>
          <w:rFonts w:hint="eastAsia" w:ascii="Arial" w:hAnsi="Arial"/>
          <w:sz w:val="21"/>
          <w:szCs w:val="21"/>
          <w:highlight w:val="none"/>
        </w:rPr>
        <w:t>（4）影响因素选择实例修正后的价值计算</w:t>
      </w:r>
      <w:r>
        <w:rPr>
          <w:rFonts w:ascii="Arial" w:hAnsi="Arial"/>
          <w:sz w:val="21"/>
          <w:szCs w:val="21"/>
          <w:highlight w:val="none"/>
        </w:rPr>
        <w:t xml:space="preserve"> </w:t>
      </w:r>
    </w:p>
    <w:p w14:paraId="03CE951E">
      <w:pPr>
        <w:overflowPunct w:val="0"/>
        <w:spacing w:line="480" w:lineRule="auto"/>
        <w:ind w:firstLine="420" w:firstLineChars="200"/>
        <w:jc w:val="both"/>
        <w:rPr>
          <w:rFonts w:ascii="Arial" w:hAnsi="Arial"/>
          <w:sz w:val="21"/>
          <w:szCs w:val="21"/>
          <w:highlight w:val="none"/>
        </w:rPr>
      </w:pPr>
      <w:r>
        <w:rPr>
          <w:rFonts w:ascii="Arial" w:hAnsi="Arial"/>
          <w:sz w:val="21"/>
          <w:szCs w:val="21"/>
          <w:highlight w:val="none"/>
        </w:rPr>
        <w:t>经过比较分析，采用各因素修正系数连乘法，求算各可比案例经因素修正后达到估价对象条件时的比准价格，虽然有一定的差距，但案例均选取真实，修正过程客观合理，修正后能反映客观水平，因此本次估价确定取以上</w:t>
      </w:r>
      <w:r>
        <w:rPr>
          <w:rFonts w:hint="eastAsia" w:ascii="Arial" w:hAnsi="Arial"/>
          <w:sz w:val="21"/>
          <w:szCs w:val="21"/>
          <w:highlight w:val="none"/>
        </w:rPr>
        <w:t>3</w:t>
      </w:r>
      <w:r>
        <w:rPr>
          <w:rFonts w:ascii="Arial" w:hAnsi="Arial"/>
          <w:sz w:val="21"/>
          <w:szCs w:val="21"/>
          <w:highlight w:val="none"/>
        </w:rPr>
        <w:t>个可比案例的比准价格的简单算术平均值作为项目</w:t>
      </w:r>
      <w:r>
        <w:rPr>
          <w:rFonts w:hint="eastAsia" w:ascii="Arial" w:hAnsi="Arial"/>
          <w:sz w:val="21"/>
          <w:szCs w:val="21"/>
          <w:highlight w:val="none"/>
        </w:rPr>
        <w:t>典型户型</w:t>
      </w:r>
      <w:r>
        <w:rPr>
          <w:rFonts w:ascii="Arial" w:hAnsi="Arial"/>
          <w:sz w:val="21"/>
          <w:szCs w:val="21"/>
          <w:highlight w:val="none"/>
        </w:rPr>
        <w:t>的评估价格</w:t>
      </w:r>
      <w:r>
        <w:rPr>
          <w:rFonts w:hint="eastAsia" w:ascii="Arial" w:hAnsi="Arial"/>
          <w:sz w:val="21"/>
          <w:szCs w:val="21"/>
          <w:highlight w:val="none"/>
        </w:rPr>
        <w:t>。</w:t>
      </w:r>
    </w:p>
    <w:p w14:paraId="273B5998">
      <w:pPr>
        <w:wordWrap w:val="0"/>
        <w:overflowPunct w:val="0"/>
        <w:spacing w:line="480" w:lineRule="auto"/>
        <w:ind w:firstLine="420" w:firstLineChars="200"/>
        <w:rPr>
          <w:rFonts w:hint="eastAsia" w:ascii="Arial" w:hAnsi="Arial"/>
          <w:sz w:val="21"/>
          <w:szCs w:val="21"/>
          <w:highlight w:val="none"/>
          <w:lang w:val="en-US" w:eastAsia="zh-CN"/>
        </w:rPr>
      </w:pPr>
      <w:r>
        <w:rPr>
          <w:rFonts w:hint="eastAsia" w:ascii="Arial" w:hAnsi="Arial"/>
          <w:sz w:val="21"/>
          <w:szCs w:val="21"/>
          <w:highlight w:val="none"/>
        </w:rPr>
        <w:t>即：标准房1</w:t>
      </w:r>
      <w:r>
        <w:rPr>
          <w:rFonts w:hint="eastAsia" w:ascii="Arial" w:hAnsi="Arial"/>
          <w:bCs/>
          <w:sz w:val="21"/>
          <w:highlight w:val="none"/>
        </w:rPr>
        <w:t>市场租赁住房租金</w:t>
      </w:r>
      <w:r>
        <w:rPr>
          <w:rFonts w:hint="eastAsia" w:ascii="Arial" w:hAnsi="Arial"/>
          <w:sz w:val="21"/>
          <w:szCs w:val="21"/>
          <w:highlight w:val="none"/>
        </w:rPr>
        <w:t>＝（</w:t>
      </w:r>
      <w:r>
        <w:rPr>
          <w:rFonts w:hint="eastAsia" w:ascii="Arial" w:hAnsi="Arial"/>
          <w:sz w:val="21"/>
          <w:szCs w:val="21"/>
          <w:highlight w:val="none"/>
          <w:lang w:val="en-US" w:eastAsia="zh-CN"/>
        </w:rPr>
        <w:t>19.70</w:t>
      </w:r>
      <w:r>
        <w:rPr>
          <w:rFonts w:hint="eastAsia" w:ascii="Arial" w:hAnsi="Arial"/>
          <w:sz w:val="21"/>
          <w:szCs w:val="21"/>
          <w:highlight w:val="none"/>
        </w:rPr>
        <w:t>+</w:t>
      </w:r>
      <w:r>
        <w:rPr>
          <w:rFonts w:hint="eastAsia" w:ascii="Arial" w:hAnsi="Arial"/>
          <w:sz w:val="21"/>
          <w:szCs w:val="21"/>
          <w:highlight w:val="none"/>
          <w:lang w:val="en-US" w:eastAsia="zh-CN"/>
        </w:rPr>
        <w:t>20.38</w:t>
      </w:r>
      <w:r>
        <w:rPr>
          <w:rFonts w:hint="eastAsia" w:ascii="Arial" w:hAnsi="Arial"/>
          <w:sz w:val="21"/>
          <w:szCs w:val="21"/>
          <w:highlight w:val="none"/>
        </w:rPr>
        <w:t>+</w:t>
      </w:r>
      <w:r>
        <w:rPr>
          <w:rFonts w:hint="eastAsia" w:ascii="Arial" w:hAnsi="Arial"/>
          <w:sz w:val="21"/>
          <w:szCs w:val="21"/>
          <w:highlight w:val="none"/>
          <w:lang w:val="en-US" w:eastAsia="zh-CN"/>
        </w:rPr>
        <w:t>19.61</w:t>
      </w:r>
      <w:r>
        <w:rPr>
          <w:rFonts w:hint="eastAsia" w:ascii="Arial" w:hAnsi="Arial"/>
          <w:sz w:val="21"/>
          <w:szCs w:val="21"/>
          <w:highlight w:val="none"/>
        </w:rPr>
        <w:t>）÷</w:t>
      </w:r>
      <w:r>
        <w:rPr>
          <w:rFonts w:ascii="Arial" w:hAnsi="Arial"/>
          <w:sz w:val="21"/>
          <w:szCs w:val="21"/>
          <w:highlight w:val="none"/>
        </w:rPr>
        <w:t>3</w:t>
      </w:r>
      <w:r>
        <w:rPr>
          <w:rFonts w:hint="eastAsia" w:ascii="Arial" w:hAnsi="Arial"/>
          <w:sz w:val="21"/>
          <w:szCs w:val="21"/>
          <w:highlight w:val="none"/>
          <w:lang w:val="en-US" w:eastAsia="zh-CN"/>
        </w:rPr>
        <w:t>+1.56</w:t>
      </w:r>
    </w:p>
    <w:p w14:paraId="1ECF6E36">
      <w:pPr>
        <w:wordWrap w:val="0"/>
        <w:overflowPunct w:val="0"/>
        <w:spacing w:line="480" w:lineRule="auto"/>
        <w:ind w:firstLine="3360" w:firstLineChars="1600"/>
        <w:rPr>
          <w:rFonts w:hint="default" w:ascii="Arial" w:hAnsi="Arial"/>
          <w:sz w:val="21"/>
          <w:szCs w:val="21"/>
          <w:highlight w:val="none"/>
          <w:lang w:val="en-US" w:eastAsia="zh-CN"/>
        </w:rPr>
      </w:pPr>
      <w:r>
        <w:rPr>
          <w:rFonts w:hint="eastAsia" w:ascii="Arial" w:hAnsi="Arial"/>
          <w:sz w:val="21"/>
          <w:szCs w:val="21"/>
          <w:highlight w:val="none"/>
        </w:rPr>
        <w:t>＝</w:t>
      </w:r>
      <w:r>
        <w:rPr>
          <w:rFonts w:hint="eastAsia" w:ascii="Arial" w:hAnsi="Arial"/>
          <w:sz w:val="21"/>
          <w:szCs w:val="21"/>
          <w:highlight w:val="none"/>
          <w:lang w:val="en-US" w:eastAsia="zh-CN"/>
        </w:rPr>
        <w:t>19.90+1.56</w:t>
      </w:r>
    </w:p>
    <w:p w14:paraId="2084BD17">
      <w:pPr>
        <w:wordWrap w:val="0"/>
        <w:overflowPunct w:val="0"/>
        <w:spacing w:line="480" w:lineRule="auto"/>
        <w:ind w:firstLine="420" w:firstLineChars="200"/>
        <w:rPr>
          <w:rFonts w:hint="default" w:ascii="宋体" w:hAnsi="宋体" w:eastAsia="宋体"/>
          <w:sz w:val="21"/>
          <w:szCs w:val="21"/>
          <w:highlight w:val="none"/>
          <w:lang w:val="en-US" w:eastAsia="zh-CN"/>
        </w:rPr>
      </w:pPr>
      <w:r>
        <w:rPr>
          <w:rFonts w:ascii="Arial" w:hAnsi="Arial"/>
          <w:sz w:val="21"/>
          <w:szCs w:val="21"/>
          <w:highlight w:val="none"/>
        </w:rPr>
        <w:t xml:space="preserve">                            </w:t>
      </w:r>
      <w:r>
        <w:rPr>
          <w:rFonts w:hint="eastAsia" w:ascii="Arial" w:hAnsi="Arial"/>
          <w:sz w:val="21"/>
          <w:szCs w:val="21"/>
          <w:highlight w:val="none"/>
        </w:rPr>
        <w:t>＝</w:t>
      </w:r>
      <w:r>
        <w:rPr>
          <w:rFonts w:hint="eastAsia" w:ascii="Arial" w:hAnsi="Arial"/>
          <w:sz w:val="21"/>
          <w:szCs w:val="21"/>
          <w:highlight w:val="none"/>
          <w:lang w:val="en-US" w:eastAsia="zh-CN"/>
        </w:rPr>
        <w:t>21.46</w:t>
      </w:r>
      <w:r>
        <w:rPr>
          <w:rFonts w:hint="eastAsia" w:ascii="Arial" w:hAnsi="Arial"/>
          <w:sz w:val="21"/>
          <w:szCs w:val="21"/>
          <w:highlight w:val="none"/>
        </w:rPr>
        <w:t>（元/平方米·月）</w:t>
      </w:r>
      <w:r>
        <w:rPr>
          <w:rFonts w:hint="eastAsia" w:ascii="宋体" w:hAnsi="宋体"/>
          <w:sz w:val="21"/>
          <w:szCs w:val="21"/>
          <w:highlight w:val="none"/>
        </w:rPr>
        <w:t>（含物业费、</w:t>
      </w:r>
      <w:r>
        <w:rPr>
          <w:rFonts w:hint="eastAsia" w:ascii="宋体" w:hAnsi="宋体"/>
          <w:sz w:val="21"/>
          <w:szCs w:val="21"/>
          <w:highlight w:val="none"/>
          <w:lang w:val="en-US" w:eastAsia="zh-CN"/>
        </w:rPr>
        <w:t>不含</w:t>
      </w:r>
      <w:r>
        <w:rPr>
          <w:rFonts w:hint="eastAsia" w:ascii="宋体" w:hAnsi="宋体"/>
          <w:sz w:val="21"/>
          <w:szCs w:val="21"/>
          <w:highlight w:val="none"/>
        </w:rPr>
        <w:t>取暖费）</w:t>
      </w:r>
    </w:p>
    <w:p w14:paraId="456B382D">
      <w:pPr>
        <w:wordWrap w:val="0"/>
        <w:overflowPunct w:val="0"/>
        <w:spacing w:line="480" w:lineRule="auto"/>
        <w:ind w:firstLine="422" w:firstLineChars="200"/>
        <w:rPr>
          <w:rFonts w:ascii="Arial" w:hAnsi="Arial" w:cs="Arial"/>
          <w:b/>
          <w:sz w:val="21"/>
          <w:szCs w:val="21"/>
          <w:highlight w:val="none"/>
        </w:rPr>
      </w:pPr>
      <w:r>
        <w:rPr>
          <w:rFonts w:hint="eastAsia" w:ascii="Arial" w:hAnsi="Arial" w:cs="Arial"/>
          <w:b/>
          <w:sz w:val="21"/>
          <w:szCs w:val="21"/>
          <w:highlight w:val="none"/>
        </w:rPr>
        <w:t>B.标准房</w:t>
      </w:r>
      <w:r>
        <w:rPr>
          <w:rFonts w:ascii="Arial" w:hAnsi="Arial" w:cs="Arial"/>
          <w:b/>
          <w:sz w:val="21"/>
          <w:szCs w:val="21"/>
          <w:highlight w:val="none"/>
        </w:rPr>
        <w:t>2</w:t>
      </w:r>
      <w:r>
        <w:rPr>
          <w:rFonts w:hint="eastAsia" w:ascii="Arial" w:hAnsi="Arial" w:cs="Arial"/>
          <w:b/>
          <w:sz w:val="21"/>
          <w:szCs w:val="21"/>
          <w:highlight w:val="none"/>
        </w:rPr>
        <w:t>（两</w:t>
      </w:r>
      <w:r>
        <w:rPr>
          <w:rFonts w:hint="eastAsia" w:ascii="宋体" w:hAnsi="宋体"/>
          <w:b/>
          <w:sz w:val="21"/>
          <w:szCs w:val="21"/>
          <w:highlight w:val="none"/>
        </w:rPr>
        <w:t>居</w:t>
      </w:r>
      <w:r>
        <w:rPr>
          <w:rFonts w:hint="eastAsia" w:ascii="宋体" w:hAnsi="宋体"/>
          <w:b/>
          <w:sz w:val="21"/>
          <w:szCs w:val="21"/>
          <w:highlight w:val="none"/>
          <w:lang w:val="en-US" w:eastAsia="zh-CN"/>
        </w:rPr>
        <w:t>室</w:t>
      </w:r>
      <w:r>
        <w:rPr>
          <w:rFonts w:hint="eastAsia" w:ascii="宋体" w:hAnsi="宋体"/>
          <w:b/>
          <w:sz w:val="21"/>
          <w:szCs w:val="21"/>
          <w:highlight w:val="none"/>
        </w:rPr>
        <w:t>标准房市场租金水平）</w:t>
      </w:r>
    </w:p>
    <w:p w14:paraId="3D56DD4E">
      <w:pPr>
        <w:wordWrap w:val="0"/>
        <w:overflowPunct w:val="0"/>
        <w:spacing w:line="480" w:lineRule="auto"/>
        <w:ind w:firstLine="420" w:firstLineChars="200"/>
        <w:rPr>
          <w:rFonts w:ascii="Arial" w:hAnsi="Arial" w:cs="Arial"/>
          <w:sz w:val="21"/>
          <w:szCs w:val="21"/>
          <w:highlight w:val="none"/>
        </w:rPr>
      </w:pPr>
      <w:r>
        <w:rPr>
          <w:rFonts w:ascii="Arial" w:hAnsi="Arial" w:cs="Arial"/>
          <w:sz w:val="21"/>
          <w:szCs w:val="21"/>
          <w:highlight w:val="none"/>
        </w:rPr>
        <w:t>1.选取案例并作因素条件说明</w:t>
      </w:r>
    </w:p>
    <w:p w14:paraId="1DA146E3">
      <w:pPr>
        <w:wordWrap w:val="0"/>
        <w:overflowPunct w:val="0"/>
        <w:spacing w:line="480" w:lineRule="auto"/>
        <w:ind w:firstLine="420" w:firstLineChars="200"/>
        <w:rPr>
          <w:rFonts w:ascii="Arial" w:hAnsi="Arial" w:cs="Arial"/>
          <w:sz w:val="21"/>
          <w:szCs w:val="21"/>
          <w:highlight w:val="none"/>
        </w:rPr>
      </w:pPr>
      <w:r>
        <w:rPr>
          <w:rFonts w:ascii="Arial" w:hAnsi="Arial" w:cs="Arial"/>
          <w:sz w:val="21"/>
          <w:szCs w:val="21"/>
          <w:highlight w:val="none"/>
        </w:rPr>
        <w:t>通过对北京市</w:t>
      </w:r>
      <w:r>
        <w:rPr>
          <w:rFonts w:hint="eastAsia" w:ascii="Arial" w:hAnsi="Arial" w:cs="Arial"/>
          <w:sz w:val="21"/>
          <w:szCs w:val="21"/>
          <w:highlight w:val="none"/>
        </w:rPr>
        <w:t>大兴</w:t>
      </w:r>
      <w:r>
        <w:rPr>
          <w:rFonts w:ascii="Arial" w:hAnsi="Arial" w:cs="Arial"/>
          <w:sz w:val="21"/>
          <w:szCs w:val="21"/>
          <w:highlight w:val="none"/>
        </w:rPr>
        <w:t>区</w:t>
      </w:r>
      <w:r>
        <w:rPr>
          <w:rFonts w:hint="eastAsia" w:ascii="Arial" w:hAnsi="Arial" w:cs="Arial"/>
          <w:sz w:val="21"/>
          <w:szCs w:val="21"/>
          <w:highlight w:val="none"/>
          <w:lang w:val="en-US" w:eastAsia="zh-CN"/>
        </w:rPr>
        <w:t>采育镇周边</w:t>
      </w:r>
      <w:r>
        <w:rPr>
          <w:rFonts w:hint="eastAsia" w:ascii="Arial" w:hAnsi="Arial" w:cs="Arial"/>
          <w:sz w:val="21"/>
          <w:szCs w:val="21"/>
          <w:highlight w:val="none"/>
        </w:rPr>
        <w:t>住宅</w:t>
      </w:r>
      <w:r>
        <w:rPr>
          <w:rFonts w:ascii="Arial" w:hAnsi="Arial" w:cs="Arial"/>
          <w:sz w:val="21"/>
          <w:szCs w:val="21"/>
          <w:highlight w:val="none"/>
        </w:rPr>
        <w:t>市场的调查，选取近期同一供需圈内邻近地区的三个租赁</w:t>
      </w:r>
      <w:r>
        <w:rPr>
          <w:rFonts w:hint="eastAsia" w:ascii="Arial" w:hAnsi="Arial" w:cs="Arial"/>
          <w:sz w:val="21"/>
          <w:szCs w:val="21"/>
          <w:highlight w:val="none"/>
        </w:rPr>
        <w:t>实例</w:t>
      </w:r>
      <w:r>
        <w:rPr>
          <w:rFonts w:ascii="Arial" w:hAnsi="Arial" w:cs="Arial"/>
          <w:sz w:val="21"/>
          <w:szCs w:val="21"/>
          <w:highlight w:val="none"/>
        </w:rPr>
        <w:t>进行比较。</w:t>
      </w:r>
    </w:p>
    <w:p w14:paraId="44EA561D">
      <w:pPr>
        <w:wordWrap w:val="0"/>
        <w:overflowPunct w:val="0"/>
        <w:spacing w:line="480" w:lineRule="auto"/>
        <w:ind w:firstLine="420" w:firstLineChars="200"/>
        <w:rPr>
          <w:rFonts w:ascii="Arial" w:hAnsi="Arial" w:cs="Arial"/>
          <w:sz w:val="21"/>
          <w:szCs w:val="21"/>
          <w:highlight w:val="none"/>
        </w:rPr>
      </w:pPr>
      <w:r>
        <w:rPr>
          <w:rFonts w:hint="eastAsia" w:ascii="Arial" w:hAnsi="Arial" w:cs="Arial"/>
          <w:sz w:val="21"/>
          <w:szCs w:val="21"/>
          <w:highlight w:val="none"/>
        </w:rPr>
        <w:t>可比实例</w:t>
      </w:r>
      <w:r>
        <w:rPr>
          <w:rFonts w:ascii="Arial" w:hAnsi="Arial" w:cs="Arial"/>
          <w:sz w:val="21"/>
          <w:szCs w:val="21"/>
          <w:highlight w:val="none"/>
        </w:rPr>
        <w:t>4：</w:t>
      </w:r>
    </w:p>
    <w:p w14:paraId="6CF67970">
      <w:pPr>
        <w:wordWrap w:val="0"/>
        <w:overflowPunct w:val="0"/>
        <w:spacing w:line="480" w:lineRule="auto"/>
        <w:ind w:firstLine="420" w:firstLineChars="200"/>
        <w:rPr>
          <w:rFonts w:hint="default" w:ascii="Arial" w:hAnsi="Arial" w:eastAsia="宋体" w:cs="Arial"/>
          <w:sz w:val="21"/>
          <w:szCs w:val="21"/>
          <w:highlight w:val="none"/>
          <w:lang w:val="en-US" w:eastAsia="zh-CN"/>
        </w:rPr>
      </w:pPr>
      <w:r>
        <w:rPr>
          <w:rFonts w:ascii="Arial" w:hAnsi="Arial" w:cs="Arial"/>
          <w:sz w:val="21"/>
          <w:szCs w:val="21"/>
          <w:highlight w:val="none"/>
        </w:rPr>
        <w:t>•项目名称：</w:t>
      </w:r>
      <w:r>
        <w:rPr>
          <w:rFonts w:hint="eastAsia" w:ascii="Arial" w:hAnsi="Arial" w:cs="Arial"/>
          <w:sz w:val="21"/>
          <w:szCs w:val="21"/>
          <w:highlight w:val="none"/>
          <w:lang w:val="en-US" w:eastAsia="zh-CN"/>
        </w:rPr>
        <w:t>当代采育满庭春MOMA</w:t>
      </w:r>
    </w:p>
    <w:p w14:paraId="469DB4E6">
      <w:pPr>
        <w:wordWrap w:val="0"/>
        <w:overflowPunct w:val="0"/>
        <w:spacing w:line="480" w:lineRule="auto"/>
        <w:ind w:firstLine="420" w:firstLineChars="200"/>
        <w:rPr>
          <w:rFonts w:ascii="Arial" w:hAnsi="Arial" w:cs="Arial"/>
          <w:sz w:val="21"/>
          <w:szCs w:val="21"/>
          <w:highlight w:val="none"/>
        </w:rPr>
      </w:pPr>
      <w:r>
        <w:rPr>
          <w:rFonts w:ascii="Arial" w:hAnsi="Arial" w:cs="Arial"/>
          <w:sz w:val="21"/>
          <w:szCs w:val="21"/>
          <w:highlight w:val="none"/>
        </w:rPr>
        <w:t>•项目坐落：</w:t>
      </w:r>
      <w:r>
        <w:rPr>
          <w:rFonts w:hint="eastAsia" w:ascii="Arial" w:hAnsi="Arial" w:cs="Arial"/>
          <w:sz w:val="21"/>
          <w:szCs w:val="21"/>
          <w:highlight w:val="none"/>
        </w:rPr>
        <w:t>大兴区采育镇育胜街36号</w:t>
      </w:r>
    </w:p>
    <w:p w14:paraId="2B31B518">
      <w:pPr>
        <w:wordWrap w:val="0"/>
        <w:overflowPunct w:val="0"/>
        <w:spacing w:line="480" w:lineRule="auto"/>
        <w:ind w:firstLine="420" w:firstLineChars="200"/>
        <w:rPr>
          <w:rFonts w:ascii="Arial" w:hAnsi="Arial" w:cs="Arial"/>
          <w:sz w:val="21"/>
          <w:szCs w:val="21"/>
          <w:highlight w:val="none"/>
        </w:rPr>
      </w:pPr>
      <w:r>
        <w:rPr>
          <w:rFonts w:ascii="Arial" w:hAnsi="Arial" w:cs="Arial"/>
          <w:sz w:val="21"/>
          <w:szCs w:val="21"/>
          <w:highlight w:val="none"/>
        </w:rPr>
        <w:t>•交易时间：202</w:t>
      </w:r>
      <w:r>
        <w:rPr>
          <w:rFonts w:hint="eastAsia" w:ascii="Arial" w:hAnsi="Arial" w:cs="Arial"/>
          <w:sz w:val="21"/>
          <w:szCs w:val="21"/>
          <w:highlight w:val="none"/>
          <w:lang w:val="en-US" w:eastAsia="zh-CN"/>
        </w:rPr>
        <w:t>5</w:t>
      </w:r>
      <w:r>
        <w:rPr>
          <w:rFonts w:ascii="Arial" w:hAnsi="Arial" w:cs="Arial"/>
          <w:sz w:val="21"/>
          <w:szCs w:val="21"/>
          <w:highlight w:val="none"/>
        </w:rPr>
        <w:t>年</w:t>
      </w:r>
      <w:r>
        <w:rPr>
          <w:rFonts w:hint="eastAsia" w:ascii="Arial" w:hAnsi="Arial" w:cs="Arial"/>
          <w:sz w:val="21"/>
          <w:szCs w:val="21"/>
          <w:highlight w:val="none"/>
          <w:lang w:val="en-US" w:eastAsia="zh-CN"/>
        </w:rPr>
        <w:t>12</w:t>
      </w:r>
      <w:r>
        <w:rPr>
          <w:rFonts w:ascii="Arial" w:hAnsi="Arial" w:cs="Arial"/>
          <w:sz w:val="21"/>
          <w:szCs w:val="21"/>
          <w:highlight w:val="none"/>
        </w:rPr>
        <w:t>月</w:t>
      </w:r>
    </w:p>
    <w:p w14:paraId="2CFD35E2">
      <w:pPr>
        <w:wordWrap w:val="0"/>
        <w:overflowPunct w:val="0"/>
        <w:spacing w:line="480" w:lineRule="auto"/>
        <w:ind w:firstLine="420" w:firstLineChars="200"/>
        <w:rPr>
          <w:rFonts w:ascii="Arial" w:hAnsi="Arial" w:cs="Arial"/>
          <w:sz w:val="21"/>
          <w:szCs w:val="21"/>
          <w:highlight w:val="none"/>
        </w:rPr>
      </w:pPr>
      <w:r>
        <w:rPr>
          <w:rFonts w:ascii="Arial" w:hAnsi="Arial" w:cs="Arial"/>
          <w:sz w:val="21"/>
          <w:szCs w:val="21"/>
          <w:highlight w:val="none"/>
        </w:rPr>
        <w:t>•交易情况：正常出租</w:t>
      </w:r>
    </w:p>
    <w:p w14:paraId="0908E29E">
      <w:pPr>
        <w:wordWrap w:val="0"/>
        <w:overflowPunct w:val="0"/>
        <w:spacing w:line="480" w:lineRule="auto"/>
        <w:ind w:firstLine="420" w:firstLineChars="200"/>
        <w:rPr>
          <w:rFonts w:ascii="Arial" w:hAnsi="Arial" w:cs="Arial"/>
          <w:sz w:val="21"/>
          <w:szCs w:val="21"/>
          <w:highlight w:val="none"/>
        </w:rPr>
      </w:pPr>
      <w:r>
        <w:rPr>
          <w:rFonts w:ascii="Arial" w:hAnsi="Arial" w:cs="Arial"/>
          <w:sz w:val="21"/>
          <w:szCs w:val="21"/>
          <w:highlight w:val="none"/>
        </w:rPr>
        <w:t xml:space="preserve">•用途：住宅  </w:t>
      </w:r>
    </w:p>
    <w:p w14:paraId="34EA6DC3">
      <w:pPr>
        <w:wordWrap w:val="0"/>
        <w:overflowPunct w:val="0"/>
        <w:spacing w:line="480" w:lineRule="auto"/>
        <w:ind w:firstLine="420" w:firstLineChars="200"/>
        <w:jc w:val="both"/>
        <w:rPr>
          <w:rFonts w:ascii="Arial" w:hAnsi="Arial" w:cs="Arial"/>
          <w:sz w:val="21"/>
          <w:szCs w:val="21"/>
          <w:highlight w:val="none"/>
        </w:rPr>
      </w:pPr>
      <w:r>
        <w:rPr>
          <w:rFonts w:hint="eastAsia" w:ascii="Arial" w:hAnsi="Arial" w:cs="Arial"/>
          <w:sz w:val="21"/>
          <w:szCs w:val="21"/>
          <w:highlight w:val="none"/>
        </w:rPr>
        <w:t>可比实例</w:t>
      </w:r>
      <w:r>
        <w:rPr>
          <w:rFonts w:ascii="Arial" w:hAnsi="Arial" w:cs="Arial"/>
          <w:sz w:val="21"/>
          <w:szCs w:val="21"/>
          <w:highlight w:val="none"/>
        </w:rPr>
        <w:t>4</w:t>
      </w:r>
      <w:r>
        <w:rPr>
          <w:rFonts w:hint="eastAsia" w:ascii="Arial" w:hAnsi="Arial" w:cs="Arial"/>
          <w:sz w:val="21"/>
          <w:szCs w:val="21"/>
          <w:highlight w:val="none"/>
        </w:rPr>
        <w:t>周边有</w:t>
      </w:r>
      <w:r>
        <w:rPr>
          <w:rFonts w:hint="eastAsia" w:ascii="Arial" w:hAnsi="Arial" w:cs="Arial"/>
          <w:kern w:val="2"/>
          <w:sz w:val="21"/>
          <w:szCs w:val="21"/>
          <w:highlight w:val="none"/>
        </w:rPr>
        <w:t>兴创荣墅、住总兴创如遇、</w:t>
      </w:r>
      <w:r>
        <w:rPr>
          <w:rFonts w:hint="eastAsia" w:ascii="Arial" w:hAnsi="Arial" w:cs="Arial"/>
          <w:kern w:val="2"/>
          <w:sz w:val="21"/>
          <w:szCs w:val="21"/>
          <w:highlight w:val="none"/>
          <w:lang w:val="en-US" w:eastAsia="zh-CN"/>
        </w:rPr>
        <w:t>阳光</w:t>
      </w:r>
      <w:r>
        <w:rPr>
          <w:rFonts w:hint="eastAsia" w:ascii="Arial" w:hAnsi="Arial" w:cs="Arial"/>
          <w:kern w:val="2"/>
          <w:sz w:val="21"/>
          <w:szCs w:val="21"/>
          <w:highlight w:val="none"/>
        </w:rPr>
        <w:t>波尔多</w:t>
      </w:r>
      <w:r>
        <w:rPr>
          <w:rFonts w:hint="eastAsia" w:ascii="Arial" w:hAnsi="Arial" w:cs="Arial"/>
          <w:kern w:val="2"/>
          <w:sz w:val="21"/>
          <w:szCs w:val="21"/>
          <w:highlight w:val="none"/>
          <w:lang w:eastAsia="zh-CN"/>
        </w:rPr>
        <w:t>、</w:t>
      </w:r>
      <w:r>
        <w:rPr>
          <w:rFonts w:hint="eastAsia" w:ascii="Arial" w:hAnsi="Arial" w:cs="Arial"/>
          <w:kern w:val="2"/>
          <w:sz w:val="21"/>
          <w:szCs w:val="21"/>
          <w:highlight w:val="none"/>
          <w:lang w:val="en-US" w:eastAsia="zh-CN"/>
        </w:rPr>
        <w:t>蓝天花园</w:t>
      </w:r>
      <w:r>
        <w:rPr>
          <w:rFonts w:hint="eastAsia" w:ascii="Arial" w:hAnsi="Arial" w:cs="Arial"/>
          <w:kern w:val="2"/>
          <w:sz w:val="21"/>
          <w:szCs w:val="21"/>
          <w:highlight w:val="none"/>
        </w:rPr>
        <w:t>、</w:t>
      </w:r>
      <w:r>
        <w:rPr>
          <w:rFonts w:hint="eastAsia" w:ascii="Arial" w:hAnsi="Arial" w:cs="Arial"/>
          <w:kern w:val="2"/>
          <w:sz w:val="21"/>
          <w:szCs w:val="21"/>
          <w:highlight w:val="none"/>
          <w:lang w:val="en-US" w:eastAsia="zh-CN"/>
        </w:rPr>
        <w:t>住总如院、</w:t>
      </w:r>
      <w:r>
        <w:rPr>
          <w:rFonts w:hint="eastAsia" w:ascii="Arial" w:hAnsi="Arial" w:cs="Arial"/>
          <w:kern w:val="2"/>
          <w:sz w:val="21"/>
          <w:szCs w:val="21"/>
          <w:highlight w:val="none"/>
        </w:rPr>
        <w:t>路劲御合院、北京城建宽院国誉府等</w:t>
      </w:r>
      <w:r>
        <w:rPr>
          <w:rFonts w:hint="eastAsia" w:ascii="Arial" w:hAnsi="Arial" w:cs="Arial"/>
          <w:kern w:val="2"/>
          <w:sz w:val="21"/>
          <w:szCs w:val="21"/>
          <w:highlight w:val="none"/>
          <w:lang w:eastAsia="zh-CN"/>
        </w:rPr>
        <w:t>，</w:t>
      </w:r>
      <w:r>
        <w:rPr>
          <w:rFonts w:hint="eastAsia" w:ascii="Arial" w:hAnsi="Arial" w:cs="Arial"/>
          <w:kern w:val="2"/>
          <w:sz w:val="21"/>
          <w:szCs w:val="21"/>
          <w:highlight w:val="none"/>
        </w:rPr>
        <w:t>居住小区规模一般，入住率一般，综合评价居住区成熟度一般</w:t>
      </w:r>
      <w:r>
        <w:rPr>
          <w:rFonts w:ascii="Arial" w:hAnsi="Arial" w:cs="Arial"/>
          <w:sz w:val="21"/>
          <w:szCs w:val="21"/>
          <w:highlight w:val="none"/>
        </w:rPr>
        <w:t>；</w:t>
      </w:r>
      <w:r>
        <w:rPr>
          <w:rFonts w:hint="eastAsia" w:ascii="Arial" w:hAnsi="Arial" w:cs="Arial"/>
          <w:sz w:val="21"/>
          <w:szCs w:val="21"/>
          <w:highlight w:val="none"/>
        </w:rPr>
        <w:t>西</w:t>
      </w:r>
      <w:r>
        <w:rPr>
          <w:rFonts w:ascii="Arial" w:hAnsi="Arial" w:cs="Arial"/>
          <w:sz w:val="21"/>
          <w:szCs w:val="21"/>
          <w:highlight w:val="none"/>
        </w:rPr>
        <w:t>侧紧邻城市</w:t>
      </w:r>
      <w:r>
        <w:rPr>
          <w:rFonts w:hint="eastAsia" w:ascii="Arial" w:hAnsi="Arial" w:cs="Arial"/>
          <w:sz w:val="21"/>
          <w:szCs w:val="21"/>
          <w:highlight w:val="none"/>
          <w:lang w:val="en-US" w:eastAsia="zh-CN"/>
        </w:rPr>
        <w:t>次</w:t>
      </w:r>
      <w:r>
        <w:rPr>
          <w:rFonts w:hint="eastAsia" w:ascii="Arial" w:hAnsi="Arial" w:cs="Arial"/>
          <w:sz w:val="21"/>
          <w:szCs w:val="21"/>
          <w:highlight w:val="none"/>
        </w:rPr>
        <w:t>干道</w:t>
      </w:r>
      <w:r>
        <w:rPr>
          <w:rFonts w:ascii="Arial" w:hAnsi="Arial" w:cs="Arial"/>
          <w:sz w:val="21"/>
          <w:szCs w:val="21"/>
          <w:highlight w:val="none"/>
        </w:rPr>
        <w:t>——</w:t>
      </w:r>
      <w:r>
        <w:rPr>
          <w:rFonts w:hint="eastAsia" w:ascii="Arial" w:hAnsi="Arial" w:cs="Arial"/>
          <w:sz w:val="21"/>
          <w:szCs w:val="21"/>
          <w:highlight w:val="none"/>
          <w:lang w:val="en-US" w:eastAsia="zh-CN"/>
        </w:rPr>
        <w:t>采凤</w:t>
      </w:r>
      <w:r>
        <w:rPr>
          <w:rFonts w:hint="eastAsia" w:ascii="Arial" w:hAnsi="Arial" w:cs="Arial"/>
          <w:sz w:val="21"/>
          <w:szCs w:val="21"/>
          <w:highlight w:val="none"/>
        </w:rPr>
        <w:t>路</w:t>
      </w:r>
      <w:r>
        <w:rPr>
          <w:rFonts w:ascii="Arial" w:hAnsi="Arial" w:cs="Arial"/>
          <w:sz w:val="21"/>
          <w:szCs w:val="21"/>
          <w:highlight w:val="none"/>
        </w:rPr>
        <w:t>，</w:t>
      </w:r>
      <w:r>
        <w:rPr>
          <w:rFonts w:hint="eastAsia" w:ascii="Arial" w:hAnsi="Arial" w:cs="Arial"/>
          <w:kern w:val="2"/>
          <w:sz w:val="21"/>
          <w:szCs w:val="21"/>
          <w:highlight w:val="none"/>
          <w:lang w:val="en-US" w:eastAsia="zh-CN"/>
        </w:rPr>
        <w:t>周边</w:t>
      </w:r>
      <w:r>
        <w:rPr>
          <w:rFonts w:hint="eastAsia" w:ascii="Arial" w:hAnsi="Arial" w:cs="Arial"/>
          <w:kern w:val="2"/>
          <w:sz w:val="21"/>
          <w:szCs w:val="21"/>
          <w:highlight w:val="none"/>
        </w:rPr>
        <w:t>2公里范围内无轨道交通站点，周边1公里内有926路、955路、兴20路、兴32路、兴43路、兴940路等公交线路途径并设立站点，综合评价交通便捷度</w:t>
      </w:r>
      <w:r>
        <w:rPr>
          <w:rFonts w:hint="eastAsia" w:ascii="Arial" w:hAnsi="Arial" w:cs="Arial"/>
          <w:kern w:val="2"/>
          <w:sz w:val="21"/>
          <w:szCs w:val="21"/>
          <w:highlight w:val="none"/>
          <w:lang w:val="en-US" w:eastAsia="zh-CN"/>
        </w:rPr>
        <w:t>一般；</w:t>
      </w:r>
      <w:r>
        <w:rPr>
          <w:rFonts w:ascii="Arial" w:hAnsi="Arial" w:cs="Arial"/>
          <w:sz w:val="21"/>
          <w:szCs w:val="21"/>
          <w:highlight w:val="none"/>
        </w:rPr>
        <w:t>周边有</w:t>
      </w:r>
      <w:r>
        <w:rPr>
          <w:rFonts w:hint="eastAsia" w:ascii="Arial" w:hAnsi="Arial" w:cs="Arial"/>
          <w:kern w:val="2"/>
          <w:sz w:val="21"/>
          <w:szCs w:val="21"/>
          <w:highlight w:val="none"/>
        </w:rPr>
        <w:t>采育公园、凤河</w:t>
      </w:r>
      <w:r>
        <w:rPr>
          <w:rFonts w:ascii="Arial" w:hAnsi="Arial" w:cs="Arial"/>
          <w:sz w:val="21"/>
          <w:szCs w:val="21"/>
          <w:highlight w:val="none"/>
        </w:rPr>
        <w:t>等自然景观，</w:t>
      </w:r>
      <w:r>
        <w:rPr>
          <w:rFonts w:hint="eastAsia" w:ascii="Arial" w:hAnsi="Arial" w:cs="Arial"/>
          <w:sz w:val="21"/>
          <w:szCs w:val="21"/>
          <w:highlight w:val="none"/>
        </w:rPr>
        <w:t>5公里范围内无污染源，</w:t>
      </w:r>
      <w:r>
        <w:rPr>
          <w:rFonts w:ascii="Arial" w:hAnsi="Arial" w:cs="Arial"/>
          <w:sz w:val="21"/>
          <w:szCs w:val="21"/>
          <w:highlight w:val="none"/>
        </w:rPr>
        <w:t>自然与人环境</w:t>
      </w:r>
      <w:r>
        <w:rPr>
          <w:rFonts w:hint="eastAsia" w:ascii="Arial" w:hAnsi="Arial" w:cs="Arial"/>
          <w:sz w:val="21"/>
          <w:szCs w:val="21"/>
          <w:highlight w:val="none"/>
          <w:lang w:val="en-US" w:eastAsia="zh-CN"/>
        </w:rPr>
        <w:t>一般</w:t>
      </w:r>
      <w:r>
        <w:rPr>
          <w:rFonts w:ascii="Arial" w:hAnsi="Arial" w:cs="Arial"/>
          <w:sz w:val="21"/>
          <w:szCs w:val="21"/>
          <w:highlight w:val="none"/>
        </w:rPr>
        <w:t>；周边</w:t>
      </w:r>
      <w:r>
        <w:rPr>
          <w:rFonts w:hint="eastAsia" w:ascii="Arial" w:hAnsi="Arial" w:cs="Arial"/>
          <w:kern w:val="2"/>
          <w:sz w:val="21"/>
          <w:szCs w:val="21"/>
          <w:highlight w:val="none"/>
        </w:rPr>
        <w:t>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r>
        <w:rPr>
          <w:rFonts w:ascii="Arial" w:hAnsi="Arial" w:cs="Arial"/>
          <w:sz w:val="21"/>
          <w:szCs w:val="21"/>
          <w:highlight w:val="none"/>
        </w:rPr>
        <w:t>；所在社区有专业物业公司，物业服务保障好</w:t>
      </w:r>
      <w:r>
        <w:rPr>
          <w:rFonts w:hint="eastAsia" w:ascii="Arial" w:hAnsi="Arial" w:cs="Arial"/>
          <w:sz w:val="21"/>
          <w:szCs w:val="21"/>
          <w:highlight w:val="none"/>
          <w:lang w:eastAsia="zh-CN"/>
        </w:rPr>
        <w:t>，</w:t>
      </w:r>
      <w:r>
        <w:rPr>
          <w:rFonts w:ascii="Arial" w:hAnsi="Arial" w:cs="Arial"/>
          <w:sz w:val="21"/>
          <w:szCs w:val="21"/>
          <w:highlight w:val="none"/>
        </w:rPr>
        <w:t>有一定规模的绿化，环境较好，区内未配有专属活动站；</w:t>
      </w:r>
      <w:r>
        <w:rPr>
          <w:rFonts w:hint="eastAsia" w:ascii="Arial" w:hAnsi="Arial" w:cs="Arial"/>
          <w:sz w:val="21"/>
          <w:szCs w:val="21"/>
          <w:highlight w:val="none"/>
          <w:lang w:val="en-US" w:eastAsia="zh-CN"/>
        </w:rPr>
        <w:t>社区</w:t>
      </w:r>
      <w:r>
        <w:rPr>
          <w:rFonts w:ascii="Arial" w:hAnsi="Arial" w:cs="Arial"/>
          <w:sz w:val="21"/>
          <w:szCs w:val="21"/>
          <w:highlight w:val="none"/>
        </w:rPr>
        <w:t>有一定数量的专业人员管理，居住管理一般；</w:t>
      </w:r>
      <w:r>
        <w:rPr>
          <w:rFonts w:hint="eastAsia" w:ascii="Arial" w:hAnsi="Arial" w:cs="Arial"/>
          <w:sz w:val="21"/>
          <w:szCs w:val="21"/>
          <w:highlight w:val="none"/>
        </w:rPr>
        <w:t>可比实例</w:t>
      </w:r>
      <w:r>
        <w:rPr>
          <w:rFonts w:ascii="Arial" w:hAnsi="Arial" w:cs="Arial"/>
          <w:sz w:val="21"/>
          <w:szCs w:val="21"/>
          <w:highlight w:val="none"/>
        </w:rPr>
        <w:t>4为</w:t>
      </w:r>
      <w:r>
        <w:rPr>
          <w:rFonts w:hint="eastAsia" w:ascii="Arial" w:hAnsi="Arial" w:cs="Arial"/>
          <w:sz w:val="21"/>
          <w:szCs w:val="21"/>
          <w:highlight w:val="none"/>
        </w:rPr>
        <w:t>两居室</w:t>
      </w:r>
      <w:r>
        <w:rPr>
          <w:rFonts w:ascii="Arial" w:hAnsi="Arial" w:cs="Arial"/>
          <w:sz w:val="21"/>
          <w:szCs w:val="21"/>
          <w:highlight w:val="none"/>
        </w:rPr>
        <w:t>户型，</w:t>
      </w:r>
      <w:r>
        <w:rPr>
          <w:rFonts w:hint="eastAsia" w:ascii="Arial" w:hAnsi="Arial" w:cs="Arial"/>
          <w:sz w:val="21"/>
          <w:szCs w:val="21"/>
          <w:highlight w:val="none"/>
          <w:lang w:val="en-US" w:eastAsia="zh-CN"/>
        </w:rPr>
        <w:t>低</w:t>
      </w:r>
      <w:r>
        <w:rPr>
          <w:rFonts w:ascii="Arial" w:hAnsi="Arial" w:cs="Arial"/>
          <w:sz w:val="21"/>
          <w:szCs w:val="21"/>
          <w:highlight w:val="none"/>
        </w:rPr>
        <w:t>楼层，</w:t>
      </w:r>
      <w:r>
        <w:rPr>
          <w:rFonts w:hint="eastAsia" w:ascii="Arial" w:hAnsi="Arial" w:cs="Arial"/>
          <w:sz w:val="21"/>
          <w:szCs w:val="21"/>
          <w:highlight w:val="none"/>
        </w:rPr>
        <w:t>南</w:t>
      </w:r>
      <w:r>
        <w:rPr>
          <w:rFonts w:ascii="Arial" w:hAnsi="Arial" w:cs="Arial"/>
          <w:sz w:val="21"/>
          <w:szCs w:val="21"/>
          <w:highlight w:val="none"/>
        </w:rPr>
        <w:t>朝向，建成年份为</w:t>
      </w:r>
      <w:r>
        <w:rPr>
          <w:rFonts w:hint="eastAsia" w:ascii="Arial" w:hAnsi="Arial" w:cs="Arial"/>
          <w:sz w:val="21"/>
          <w:szCs w:val="21"/>
          <w:highlight w:val="none"/>
        </w:rPr>
        <w:t>2</w:t>
      </w:r>
      <w:r>
        <w:rPr>
          <w:rFonts w:ascii="Arial" w:hAnsi="Arial" w:cs="Arial"/>
          <w:sz w:val="21"/>
          <w:szCs w:val="21"/>
          <w:highlight w:val="none"/>
        </w:rPr>
        <w:t>01</w:t>
      </w:r>
      <w:r>
        <w:rPr>
          <w:rFonts w:hint="eastAsia" w:ascii="Arial" w:hAnsi="Arial" w:cs="Arial"/>
          <w:sz w:val="21"/>
          <w:szCs w:val="21"/>
          <w:highlight w:val="none"/>
          <w:lang w:val="en-US" w:eastAsia="zh-CN"/>
        </w:rPr>
        <w:t>4</w:t>
      </w:r>
      <w:r>
        <w:rPr>
          <w:rFonts w:ascii="Arial" w:hAnsi="Arial" w:cs="Arial"/>
          <w:sz w:val="21"/>
          <w:szCs w:val="21"/>
          <w:highlight w:val="none"/>
        </w:rPr>
        <w:t>年，建筑结构为钢混结构，装修为精装修，建筑面积为</w:t>
      </w:r>
      <w:r>
        <w:rPr>
          <w:rFonts w:hint="eastAsia" w:ascii="Arial" w:hAnsi="Arial" w:cs="Arial"/>
          <w:sz w:val="21"/>
          <w:szCs w:val="21"/>
          <w:highlight w:val="none"/>
          <w:lang w:val="en-US" w:eastAsia="zh-CN"/>
        </w:rPr>
        <w:t>94.59</w:t>
      </w:r>
      <w:r>
        <w:rPr>
          <w:rFonts w:ascii="Arial" w:hAnsi="Arial" w:cs="Arial"/>
          <w:sz w:val="21"/>
          <w:szCs w:val="21"/>
          <w:highlight w:val="none"/>
        </w:rPr>
        <w:t>平方米，</w:t>
      </w:r>
      <w:r>
        <w:rPr>
          <w:rFonts w:hint="eastAsia" w:ascii="宋体" w:hAnsi="宋体"/>
          <w:sz w:val="21"/>
          <w:szCs w:val="21"/>
          <w:highlight w:val="none"/>
        </w:rPr>
        <w:t>配备家具、家电齐全，功能正常，质量有保证。交易价格</w:t>
      </w:r>
      <w:r>
        <w:rPr>
          <w:rFonts w:hint="eastAsia" w:ascii="Arial" w:hAnsi="Arial" w:cs="Arial"/>
          <w:sz w:val="21"/>
          <w:szCs w:val="21"/>
          <w:highlight w:val="none"/>
        </w:rPr>
        <w:t>为</w:t>
      </w:r>
      <w:r>
        <w:rPr>
          <w:rFonts w:hint="eastAsia" w:ascii="Arial" w:hAnsi="Arial" w:cs="Arial"/>
          <w:sz w:val="21"/>
          <w:szCs w:val="21"/>
          <w:highlight w:val="none"/>
          <w:lang w:val="en-US" w:eastAsia="zh-CN"/>
        </w:rPr>
        <w:t>20.09</w:t>
      </w:r>
      <w:r>
        <w:rPr>
          <w:rFonts w:hint="eastAsia" w:ascii="Arial" w:hAnsi="Arial" w:cs="Arial"/>
          <w:sz w:val="21"/>
          <w:szCs w:val="21"/>
          <w:highlight w:val="none"/>
        </w:rPr>
        <w:t>元/平方米·月（含物业费</w:t>
      </w:r>
      <w:r>
        <w:rPr>
          <w:rFonts w:hint="eastAsia" w:ascii="Arial" w:hAnsi="Arial" w:cs="Arial"/>
          <w:sz w:val="21"/>
          <w:szCs w:val="21"/>
          <w:highlight w:val="none"/>
          <w:lang w:val="en-US" w:eastAsia="zh-CN"/>
        </w:rPr>
        <w:t>2.66</w:t>
      </w:r>
      <w:r>
        <w:rPr>
          <w:rFonts w:hint="eastAsia" w:ascii="Arial" w:hAnsi="Arial" w:cs="Arial"/>
          <w:sz w:val="21"/>
          <w:szCs w:val="21"/>
          <w:highlight w:val="none"/>
        </w:rPr>
        <w:t>元/平方米·月、取暖费2.5元/平方米·月）。</w:t>
      </w:r>
    </w:p>
    <w:p w14:paraId="2081ABAE">
      <w:pPr>
        <w:wordWrap w:val="0"/>
        <w:overflowPunct w:val="0"/>
        <w:spacing w:line="480" w:lineRule="auto"/>
        <w:ind w:firstLine="420" w:firstLineChars="200"/>
        <w:rPr>
          <w:rFonts w:ascii="Arial" w:hAnsi="Arial" w:cs="Arial"/>
          <w:sz w:val="21"/>
          <w:szCs w:val="21"/>
          <w:highlight w:val="none"/>
        </w:rPr>
      </w:pPr>
      <w:r>
        <w:rPr>
          <w:rFonts w:hint="eastAsia" w:ascii="Arial" w:hAnsi="Arial" w:cs="Arial"/>
          <w:sz w:val="21"/>
          <w:szCs w:val="21"/>
          <w:highlight w:val="none"/>
        </w:rPr>
        <w:t>可比实例</w:t>
      </w:r>
      <w:r>
        <w:rPr>
          <w:rFonts w:ascii="Arial" w:hAnsi="Arial" w:cs="Arial"/>
          <w:sz w:val="21"/>
          <w:szCs w:val="21"/>
          <w:highlight w:val="none"/>
        </w:rPr>
        <w:t>5：</w:t>
      </w:r>
    </w:p>
    <w:p w14:paraId="5A11AD7E">
      <w:pPr>
        <w:wordWrap w:val="0"/>
        <w:overflowPunct w:val="0"/>
        <w:spacing w:line="480" w:lineRule="auto"/>
        <w:ind w:firstLine="420" w:firstLineChars="200"/>
        <w:rPr>
          <w:rFonts w:hint="default" w:ascii="Arial" w:hAnsi="Arial" w:eastAsia="宋体" w:cs="Arial"/>
          <w:sz w:val="21"/>
          <w:szCs w:val="21"/>
          <w:highlight w:val="none"/>
          <w:lang w:val="en-US" w:eastAsia="zh-CN"/>
        </w:rPr>
      </w:pPr>
      <w:r>
        <w:rPr>
          <w:rFonts w:ascii="Arial" w:hAnsi="Arial" w:cs="Arial"/>
          <w:sz w:val="21"/>
          <w:szCs w:val="21"/>
          <w:highlight w:val="none"/>
        </w:rPr>
        <w:t>•项目名称：</w:t>
      </w:r>
      <w:r>
        <w:rPr>
          <w:rFonts w:hint="eastAsia" w:ascii="Arial" w:hAnsi="Arial" w:cs="Arial"/>
          <w:sz w:val="21"/>
          <w:szCs w:val="21"/>
          <w:highlight w:val="none"/>
          <w:lang w:val="en-US" w:eastAsia="zh-CN"/>
        </w:rPr>
        <w:t>当代采育满庭春MOMA</w:t>
      </w:r>
    </w:p>
    <w:p w14:paraId="783E393B">
      <w:pPr>
        <w:wordWrap w:val="0"/>
        <w:overflowPunct w:val="0"/>
        <w:spacing w:line="480" w:lineRule="auto"/>
        <w:ind w:firstLine="420" w:firstLineChars="200"/>
        <w:rPr>
          <w:rFonts w:ascii="Arial" w:hAnsi="Arial" w:cs="Arial"/>
          <w:sz w:val="21"/>
          <w:szCs w:val="21"/>
          <w:highlight w:val="none"/>
        </w:rPr>
      </w:pPr>
      <w:r>
        <w:rPr>
          <w:rFonts w:ascii="Arial" w:hAnsi="Arial" w:cs="Arial"/>
          <w:sz w:val="21"/>
          <w:szCs w:val="21"/>
          <w:highlight w:val="none"/>
        </w:rPr>
        <w:t>•项目坐落：</w:t>
      </w:r>
      <w:r>
        <w:rPr>
          <w:rFonts w:hint="eastAsia" w:ascii="Arial" w:hAnsi="Arial" w:cs="Arial"/>
          <w:sz w:val="21"/>
          <w:szCs w:val="21"/>
          <w:highlight w:val="none"/>
        </w:rPr>
        <w:t>大兴区采育镇育胜街36号</w:t>
      </w:r>
    </w:p>
    <w:p w14:paraId="4BAF802D">
      <w:pPr>
        <w:wordWrap w:val="0"/>
        <w:overflowPunct w:val="0"/>
        <w:spacing w:line="480" w:lineRule="auto"/>
        <w:ind w:firstLine="420" w:firstLineChars="200"/>
        <w:rPr>
          <w:rFonts w:ascii="Arial" w:hAnsi="Arial" w:cs="Arial"/>
          <w:sz w:val="21"/>
          <w:szCs w:val="21"/>
          <w:highlight w:val="none"/>
        </w:rPr>
      </w:pPr>
      <w:r>
        <w:rPr>
          <w:rFonts w:ascii="Arial" w:hAnsi="Arial" w:cs="Arial"/>
          <w:sz w:val="21"/>
          <w:szCs w:val="21"/>
          <w:highlight w:val="none"/>
        </w:rPr>
        <w:t>•交易时间：202</w:t>
      </w:r>
      <w:r>
        <w:rPr>
          <w:rFonts w:hint="eastAsia" w:ascii="Arial" w:hAnsi="Arial" w:cs="Arial"/>
          <w:sz w:val="21"/>
          <w:szCs w:val="21"/>
          <w:highlight w:val="none"/>
          <w:lang w:val="en-US" w:eastAsia="zh-CN"/>
        </w:rPr>
        <w:t>5</w:t>
      </w:r>
      <w:r>
        <w:rPr>
          <w:rFonts w:ascii="Arial" w:hAnsi="Arial" w:cs="Arial"/>
          <w:sz w:val="21"/>
          <w:szCs w:val="21"/>
          <w:highlight w:val="none"/>
        </w:rPr>
        <w:t>年</w:t>
      </w:r>
      <w:r>
        <w:rPr>
          <w:rFonts w:hint="eastAsia" w:ascii="Arial" w:hAnsi="Arial" w:cs="Arial"/>
          <w:sz w:val="21"/>
          <w:szCs w:val="21"/>
          <w:highlight w:val="none"/>
          <w:lang w:val="en-US" w:eastAsia="zh-CN"/>
        </w:rPr>
        <w:t>12</w:t>
      </w:r>
      <w:r>
        <w:rPr>
          <w:rFonts w:ascii="Arial" w:hAnsi="Arial" w:cs="Arial"/>
          <w:sz w:val="21"/>
          <w:szCs w:val="21"/>
          <w:highlight w:val="none"/>
        </w:rPr>
        <w:t>月</w:t>
      </w:r>
    </w:p>
    <w:p w14:paraId="3A627023">
      <w:pPr>
        <w:wordWrap w:val="0"/>
        <w:overflowPunct w:val="0"/>
        <w:spacing w:line="480" w:lineRule="auto"/>
        <w:ind w:firstLine="420" w:firstLineChars="200"/>
        <w:rPr>
          <w:rFonts w:ascii="Arial" w:hAnsi="Arial" w:cs="Arial"/>
          <w:sz w:val="21"/>
          <w:szCs w:val="21"/>
          <w:highlight w:val="none"/>
        </w:rPr>
      </w:pPr>
      <w:r>
        <w:rPr>
          <w:rFonts w:ascii="Arial" w:hAnsi="Arial" w:cs="Arial"/>
          <w:sz w:val="21"/>
          <w:szCs w:val="21"/>
          <w:highlight w:val="none"/>
        </w:rPr>
        <w:t>•交易情况：正常出租</w:t>
      </w:r>
    </w:p>
    <w:p w14:paraId="46802660">
      <w:pPr>
        <w:wordWrap w:val="0"/>
        <w:overflowPunct w:val="0"/>
        <w:spacing w:line="480" w:lineRule="auto"/>
        <w:ind w:firstLine="420" w:firstLineChars="200"/>
        <w:rPr>
          <w:rFonts w:ascii="Arial" w:hAnsi="Arial" w:cs="Arial"/>
          <w:sz w:val="21"/>
          <w:szCs w:val="21"/>
          <w:highlight w:val="none"/>
        </w:rPr>
      </w:pPr>
      <w:r>
        <w:rPr>
          <w:rFonts w:ascii="Arial" w:hAnsi="Arial" w:cs="Arial"/>
          <w:sz w:val="21"/>
          <w:szCs w:val="21"/>
          <w:highlight w:val="none"/>
        </w:rPr>
        <w:t xml:space="preserve">•用途：住宅  </w:t>
      </w:r>
    </w:p>
    <w:p w14:paraId="4E078A14">
      <w:pPr>
        <w:wordWrap w:val="0"/>
        <w:overflowPunct w:val="0"/>
        <w:spacing w:line="480" w:lineRule="auto"/>
        <w:ind w:firstLine="420" w:firstLineChars="200"/>
        <w:jc w:val="both"/>
        <w:rPr>
          <w:rFonts w:ascii="Arial" w:hAnsi="Arial" w:cs="Arial"/>
          <w:sz w:val="21"/>
          <w:szCs w:val="21"/>
          <w:highlight w:val="none"/>
        </w:rPr>
      </w:pPr>
      <w:r>
        <w:rPr>
          <w:rFonts w:hint="eastAsia" w:ascii="Arial" w:hAnsi="Arial" w:cs="Arial"/>
          <w:sz w:val="21"/>
          <w:szCs w:val="21"/>
          <w:highlight w:val="none"/>
        </w:rPr>
        <w:t>可比实例</w:t>
      </w:r>
      <w:r>
        <w:rPr>
          <w:rFonts w:hint="eastAsia" w:ascii="Arial" w:hAnsi="Arial" w:cs="Arial"/>
          <w:sz w:val="21"/>
          <w:szCs w:val="21"/>
          <w:highlight w:val="none"/>
          <w:lang w:val="en-US" w:eastAsia="zh-CN"/>
        </w:rPr>
        <w:t>5</w:t>
      </w:r>
      <w:r>
        <w:rPr>
          <w:rFonts w:hint="eastAsia" w:ascii="Arial" w:hAnsi="Arial" w:cs="Arial"/>
          <w:sz w:val="21"/>
          <w:szCs w:val="21"/>
          <w:highlight w:val="none"/>
        </w:rPr>
        <w:t>周边有</w:t>
      </w:r>
      <w:r>
        <w:rPr>
          <w:rFonts w:hint="eastAsia" w:ascii="Arial" w:hAnsi="Arial" w:cs="Arial"/>
          <w:kern w:val="2"/>
          <w:sz w:val="21"/>
          <w:szCs w:val="21"/>
          <w:highlight w:val="none"/>
        </w:rPr>
        <w:t>兴创荣墅、住总兴创如遇、</w:t>
      </w:r>
      <w:r>
        <w:rPr>
          <w:rFonts w:hint="eastAsia" w:ascii="Arial" w:hAnsi="Arial" w:cs="Arial"/>
          <w:kern w:val="2"/>
          <w:sz w:val="21"/>
          <w:szCs w:val="21"/>
          <w:highlight w:val="none"/>
          <w:lang w:val="en-US" w:eastAsia="zh-CN"/>
        </w:rPr>
        <w:t>阳光</w:t>
      </w:r>
      <w:r>
        <w:rPr>
          <w:rFonts w:hint="eastAsia" w:ascii="Arial" w:hAnsi="Arial" w:cs="Arial"/>
          <w:kern w:val="2"/>
          <w:sz w:val="21"/>
          <w:szCs w:val="21"/>
          <w:highlight w:val="none"/>
        </w:rPr>
        <w:t>波尔多</w:t>
      </w:r>
      <w:r>
        <w:rPr>
          <w:rFonts w:hint="eastAsia" w:ascii="Arial" w:hAnsi="Arial" w:cs="Arial"/>
          <w:kern w:val="2"/>
          <w:sz w:val="21"/>
          <w:szCs w:val="21"/>
          <w:highlight w:val="none"/>
          <w:lang w:eastAsia="zh-CN"/>
        </w:rPr>
        <w:t>、</w:t>
      </w:r>
      <w:r>
        <w:rPr>
          <w:rFonts w:hint="eastAsia" w:ascii="Arial" w:hAnsi="Arial" w:cs="Arial"/>
          <w:kern w:val="2"/>
          <w:sz w:val="21"/>
          <w:szCs w:val="21"/>
          <w:highlight w:val="none"/>
          <w:lang w:val="en-US" w:eastAsia="zh-CN"/>
        </w:rPr>
        <w:t>蓝天花园</w:t>
      </w:r>
      <w:r>
        <w:rPr>
          <w:rFonts w:hint="eastAsia" w:ascii="Arial" w:hAnsi="Arial" w:cs="Arial"/>
          <w:kern w:val="2"/>
          <w:sz w:val="21"/>
          <w:szCs w:val="21"/>
          <w:highlight w:val="none"/>
        </w:rPr>
        <w:t>、</w:t>
      </w:r>
      <w:r>
        <w:rPr>
          <w:rFonts w:hint="eastAsia" w:ascii="Arial" w:hAnsi="Arial" w:cs="Arial"/>
          <w:kern w:val="2"/>
          <w:sz w:val="21"/>
          <w:szCs w:val="21"/>
          <w:highlight w:val="none"/>
          <w:lang w:val="en-US" w:eastAsia="zh-CN"/>
        </w:rPr>
        <w:t>住总如院、</w:t>
      </w:r>
      <w:r>
        <w:rPr>
          <w:rFonts w:hint="eastAsia" w:ascii="Arial" w:hAnsi="Arial" w:cs="Arial"/>
          <w:kern w:val="2"/>
          <w:sz w:val="21"/>
          <w:szCs w:val="21"/>
          <w:highlight w:val="none"/>
        </w:rPr>
        <w:t>路劲御合院、北京城建宽院国誉府等</w:t>
      </w:r>
      <w:r>
        <w:rPr>
          <w:rFonts w:hint="eastAsia" w:ascii="Arial" w:hAnsi="Arial" w:cs="Arial"/>
          <w:kern w:val="2"/>
          <w:sz w:val="21"/>
          <w:szCs w:val="21"/>
          <w:highlight w:val="none"/>
          <w:lang w:eastAsia="zh-CN"/>
        </w:rPr>
        <w:t>，</w:t>
      </w:r>
      <w:r>
        <w:rPr>
          <w:rFonts w:hint="eastAsia" w:ascii="Arial" w:hAnsi="Arial" w:cs="Arial"/>
          <w:kern w:val="2"/>
          <w:sz w:val="21"/>
          <w:szCs w:val="21"/>
          <w:highlight w:val="none"/>
        </w:rPr>
        <w:t>居住小区规模一般，入住率一般，综合评价居住区成熟度一般</w:t>
      </w:r>
      <w:r>
        <w:rPr>
          <w:rFonts w:ascii="Arial" w:hAnsi="Arial" w:cs="Arial"/>
          <w:sz w:val="21"/>
          <w:szCs w:val="21"/>
          <w:highlight w:val="none"/>
        </w:rPr>
        <w:t>；</w:t>
      </w:r>
      <w:r>
        <w:rPr>
          <w:rFonts w:hint="eastAsia" w:ascii="Arial" w:hAnsi="Arial" w:cs="Arial"/>
          <w:sz w:val="21"/>
          <w:szCs w:val="21"/>
          <w:highlight w:val="none"/>
        </w:rPr>
        <w:t>西</w:t>
      </w:r>
      <w:r>
        <w:rPr>
          <w:rFonts w:ascii="Arial" w:hAnsi="Arial" w:cs="Arial"/>
          <w:sz w:val="21"/>
          <w:szCs w:val="21"/>
          <w:highlight w:val="none"/>
        </w:rPr>
        <w:t>侧紧邻城市</w:t>
      </w:r>
      <w:r>
        <w:rPr>
          <w:rFonts w:hint="eastAsia" w:ascii="Arial" w:hAnsi="Arial" w:cs="Arial"/>
          <w:sz w:val="21"/>
          <w:szCs w:val="21"/>
          <w:highlight w:val="none"/>
          <w:lang w:val="en-US" w:eastAsia="zh-CN"/>
        </w:rPr>
        <w:t>次</w:t>
      </w:r>
      <w:r>
        <w:rPr>
          <w:rFonts w:hint="eastAsia" w:ascii="Arial" w:hAnsi="Arial" w:cs="Arial"/>
          <w:sz w:val="21"/>
          <w:szCs w:val="21"/>
          <w:highlight w:val="none"/>
        </w:rPr>
        <w:t>干道</w:t>
      </w:r>
      <w:r>
        <w:rPr>
          <w:rFonts w:ascii="Arial" w:hAnsi="Arial" w:cs="Arial"/>
          <w:sz w:val="21"/>
          <w:szCs w:val="21"/>
          <w:highlight w:val="none"/>
        </w:rPr>
        <w:t>——</w:t>
      </w:r>
      <w:r>
        <w:rPr>
          <w:rFonts w:hint="eastAsia" w:ascii="Arial" w:hAnsi="Arial" w:cs="Arial"/>
          <w:sz w:val="21"/>
          <w:szCs w:val="21"/>
          <w:highlight w:val="none"/>
          <w:lang w:val="en-US" w:eastAsia="zh-CN"/>
        </w:rPr>
        <w:t>采凤</w:t>
      </w:r>
      <w:r>
        <w:rPr>
          <w:rFonts w:hint="eastAsia" w:ascii="Arial" w:hAnsi="Arial" w:cs="Arial"/>
          <w:sz w:val="21"/>
          <w:szCs w:val="21"/>
          <w:highlight w:val="none"/>
        </w:rPr>
        <w:t>路</w:t>
      </w:r>
      <w:r>
        <w:rPr>
          <w:rFonts w:ascii="Arial" w:hAnsi="Arial" w:cs="Arial"/>
          <w:sz w:val="21"/>
          <w:szCs w:val="21"/>
          <w:highlight w:val="none"/>
        </w:rPr>
        <w:t>，</w:t>
      </w:r>
      <w:r>
        <w:rPr>
          <w:rFonts w:hint="eastAsia" w:ascii="Arial" w:hAnsi="Arial" w:cs="Arial"/>
          <w:kern w:val="2"/>
          <w:sz w:val="21"/>
          <w:szCs w:val="21"/>
          <w:highlight w:val="none"/>
          <w:lang w:val="en-US" w:eastAsia="zh-CN"/>
        </w:rPr>
        <w:t>周边</w:t>
      </w:r>
      <w:r>
        <w:rPr>
          <w:rFonts w:hint="eastAsia" w:ascii="Arial" w:hAnsi="Arial" w:cs="Arial"/>
          <w:kern w:val="2"/>
          <w:sz w:val="21"/>
          <w:szCs w:val="21"/>
          <w:highlight w:val="none"/>
        </w:rPr>
        <w:t>2公里范围内无轨道交通站点，周边1公里内有926路、955路、兴20路、兴32路、兴43路、兴940路等公交线路途径并设立站点，综合评价交通便捷度</w:t>
      </w:r>
      <w:r>
        <w:rPr>
          <w:rFonts w:hint="eastAsia" w:ascii="Arial" w:hAnsi="Arial" w:cs="Arial"/>
          <w:kern w:val="2"/>
          <w:sz w:val="21"/>
          <w:szCs w:val="21"/>
          <w:highlight w:val="none"/>
          <w:lang w:val="en-US" w:eastAsia="zh-CN"/>
        </w:rPr>
        <w:t>一般；</w:t>
      </w:r>
      <w:r>
        <w:rPr>
          <w:rFonts w:ascii="Arial" w:hAnsi="Arial" w:cs="Arial"/>
          <w:sz w:val="21"/>
          <w:szCs w:val="21"/>
          <w:highlight w:val="none"/>
        </w:rPr>
        <w:t>周边有</w:t>
      </w:r>
      <w:r>
        <w:rPr>
          <w:rFonts w:hint="eastAsia" w:ascii="Arial" w:hAnsi="Arial" w:cs="Arial"/>
          <w:kern w:val="2"/>
          <w:sz w:val="21"/>
          <w:szCs w:val="21"/>
          <w:highlight w:val="none"/>
        </w:rPr>
        <w:t>采育公园、凤河</w:t>
      </w:r>
      <w:r>
        <w:rPr>
          <w:rFonts w:ascii="Arial" w:hAnsi="Arial" w:cs="Arial"/>
          <w:sz w:val="21"/>
          <w:szCs w:val="21"/>
          <w:highlight w:val="none"/>
        </w:rPr>
        <w:t>等自然景观，</w:t>
      </w:r>
      <w:r>
        <w:rPr>
          <w:rFonts w:hint="eastAsia" w:ascii="Arial" w:hAnsi="Arial" w:cs="Arial"/>
          <w:sz w:val="21"/>
          <w:szCs w:val="21"/>
          <w:highlight w:val="none"/>
        </w:rPr>
        <w:t>5公里范围内无污染源，</w:t>
      </w:r>
      <w:r>
        <w:rPr>
          <w:rFonts w:ascii="Arial" w:hAnsi="Arial" w:cs="Arial"/>
          <w:sz w:val="21"/>
          <w:szCs w:val="21"/>
          <w:highlight w:val="none"/>
        </w:rPr>
        <w:t>自然与人环境</w:t>
      </w:r>
      <w:r>
        <w:rPr>
          <w:rFonts w:hint="eastAsia" w:ascii="Arial" w:hAnsi="Arial" w:cs="Arial"/>
          <w:sz w:val="21"/>
          <w:szCs w:val="21"/>
          <w:highlight w:val="none"/>
          <w:lang w:val="en-US" w:eastAsia="zh-CN"/>
        </w:rPr>
        <w:t>一般</w:t>
      </w:r>
      <w:r>
        <w:rPr>
          <w:rFonts w:ascii="Arial" w:hAnsi="Arial" w:cs="Arial"/>
          <w:sz w:val="21"/>
          <w:szCs w:val="21"/>
          <w:highlight w:val="none"/>
        </w:rPr>
        <w:t>；周边</w:t>
      </w:r>
      <w:r>
        <w:rPr>
          <w:rFonts w:hint="eastAsia" w:ascii="Arial" w:hAnsi="Arial" w:cs="Arial"/>
          <w:kern w:val="2"/>
          <w:sz w:val="21"/>
          <w:szCs w:val="21"/>
          <w:highlight w:val="none"/>
        </w:rPr>
        <w:t>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r>
        <w:rPr>
          <w:rFonts w:ascii="Arial" w:hAnsi="Arial" w:cs="Arial"/>
          <w:sz w:val="21"/>
          <w:szCs w:val="21"/>
          <w:highlight w:val="none"/>
        </w:rPr>
        <w:t>；所在社区有专业物业公司，物业服务保障好</w:t>
      </w:r>
      <w:r>
        <w:rPr>
          <w:rFonts w:hint="eastAsia" w:ascii="Arial" w:hAnsi="Arial" w:cs="Arial"/>
          <w:sz w:val="21"/>
          <w:szCs w:val="21"/>
          <w:highlight w:val="none"/>
          <w:lang w:eastAsia="zh-CN"/>
        </w:rPr>
        <w:t>，</w:t>
      </w:r>
      <w:r>
        <w:rPr>
          <w:rFonts w:ascii="Arial" w:hAnsi="Arial" w:cs="Arial"/>
          <w:sz w:val="21"/>
          <w:szCs w:val="21"/>
          <w:highlight w:val="none"/>
        </w:rPr>
        <w:t>有一定规模的绿化，环境较好，区内未配有专属活动站；</w:t>
      </w:r>
      <w:r>
        <w:rPr>
          <w:rFonts w:hint="eastAsia" w:ascii="Arial" w:hAnsi="Arial" w:cs="Arial"/>
          <w:sz w:val="21"/>
          <w:szCs w:val="21"/>
          <w:highlight w:val="none"/>
          <w:lang w:val="en-US" w:eastAsia="zh-CN"/>
        </w:rPr>
        <w:t>社区</w:t>
      </w:r>
      <w:r>
        <w:rPr>
          <w:rFonts w:ascii="Arial" w:hAnsi="Arial" w:cs="Arial"/>
          <w:sz w:val="21"/>
          <w:szCs w:val="21"/>
          <w:highlight w:val="none"/>
        </w:rPr>
        <w:t>有一定数量的专业人员管理，居住管理一般；</w:t>
      </w:r>
      <w:r>
        <w:rPr>
          <w:rFonts w:hint="eastAsia" w:ascii="Arial" w:hAnsi="Arial" w:cs="Arial"/>
          <w:sz w:val="21"/>
          <w:szCs w:val="21"/>
          <w:highlight w:val="none"/>
        </w:rPr>
        <w:t>可比实例</w:t>
      </w:r>
      <w:r>
        <w:rPr>
          <w:rFonts w:ascii="Arial" w:hAnsi="Arial" w:cs="Arial"/>
          <w:sz w:val="21"/>
          <w:szCs w:val="21"/>
          <w:highlight w:val="none"/>
        </w:rPr>
        <w:t>4为</w:t>
      </w:r>
      <w:r>
        <w:rPr>
          <w:rFonts w:hint="eastAsia" w:ascii="Arial" w:hAnsi="Arial" w:cs="Arial"/>
          <w:sz w:val="21"/>
          <w:szCs w:val="21"/>
          <w:highlight w:val="none"/>
        </w:rPr>
        <w:t>两居室</w:t>
      </w:r>
      <w:r>
        <w:rPr>
          <w:rFonts w:ascii="Arial" w:hAnsi="Arial" w:cs="Arial"/>
          <w:sz w:val="21"/>
          <w:szCs w:val="21"/>
          <w:highlight w:val="none"/>
        </w:rPr>
        <w:t>户型，</w:t>
      </w:r>
      <w:r>
        <w:rPr>
          <w:rFonts w:hint="eastAsia" w:ascii="Arial" w:hAnsi="Arial" w:cs="Arial"/>
          <w:sz w:val="21"/>
          <w:szCs w:val="21"/>
          <w:highlight w:val="none"/>
          <w:lang w:val="en-US" w:eastAsia="zh-CN"/>
        </w:rPr>
        <w:t>高</w:t>
      </w:r>
      <w:r>
        <w:rPr>
          <w:rFonts w:ascii="Arial" w:hAnsi="Arial" w:cs="Arial"/>
          <w:sz w:val="21"/>
          <w:szCs w:val="21"/>
          <w:highlight w:val="none"/>
        </w:rPr>
        <w:t>楼层，</w:t>
      </w:r>
      <w:r>
        <w:rPr>
          <w:rFonts w:hint="eastAsia" w:ascii="Arial" w:hAnsi="Arial" w:cs="Arial"/>
          <w:sz w:val="21"/>
          <w:szCs w:val="21"/>
          <w:highlight w:val="none"/>
        </w:rPr>
        <w:t>南</w:t>
      </w:r>
      <w:r>
        <w:rPr>
          <w:rFonts w:hint="eastAsia" w:ascii="Arial" w:hAnsi="Arial" w:cs="Arial"/>
          <w:sz w:val="21"/>
          <w:szCs w:val="21"/>
          <w:highlight w:val="none"/>
          <w:lang w:val="en-US" w:eastAsia="zh-CN"/>
        </w:rPr>
        <w:t>北</w:t>
      </w:r>
      <w:r>
        <w:rPr>
          <w:rFonts w:ascii="Arial" w:hAnsi="Arial" w:cs="Arial"/>
          <w:sz w:val="21"/>
          <w:szCs w:val="21"/>
          <w:highlight w:val="none"/>
        </w:rPr>
        <w:t>朝向，建成年份为</w:t>
      </w:r>
      <w:r>
        <w:rPr>
          <w:rFonts w:hint="eastAsia" w:ascii="Arial" w:hAnsi="Arial" w:cs="Arial"/>
          <w:sz w:val="21"/>
          <w:szCs w:val="21"/>
          <w:highlight w:val="none"/>
        </w:rPr>
        <w:t>2</w:t>
      </w:r>
      <w:r>
        <w:rPr>
          <w:rFonts w:ascii="Arial" w:hAnsi="Arial" w:cs="Arial"/>
          <w:sz w:val="21"/>
          <w:szCs w:val="21"/>
          <w:highlight w:val="none"/>
        </w:rPr>
        <w:t>01</w:t>
      </w:r>
      <w:r>
        <w:rPr>
          <w:rFonts w:hint="eastAsia" w:ascii="Arial" w:hAnsi="Arial" w:cs="Arial"/>
          <w:sz w:val="21"/>
          <w:szCs w:val="21"/>
          <w:highlight w:val="none"/>
          <w:lang w:val="en-US" w:eastAsia="zh-CN"/>
        </w:rPr>
        <w:t>4</w:t>
      </w:r>
      <w:r>
        <w:rPr>
          <w:rFonts w:ascii="Arial" w:hAnsi="Arial" w:cs="Arial"/>
          <w:sz w:val="21"/>
          <w:szCs w:val="21"/>
          <w:highlight w:val="none"/>
        </w:rPr>
        <w:t>年，建筑结构为钢混结构，装修为精装修，建筑面积为</w:t>
      </w:r>
      <w:r>
        <w:rPr>
          <w:rFonts w:hint="eastAsia" w:ascii="Arial" w:hAnsi="Arial" w:cs="Arial"/>
          <w:sz w:val="21"/>
          <w:szCs w:val="21"/>
          <w:highlight w:val="none"/>
          <w:lang w:val="en-US" w:eastAsia="zh-CN"/>
        </w:rPr>
        <w:t>83.03</w:t>
      </w:r>
      <w:r>
        <w:rPr>
          <w:rFonts w:ascii="Arial" w:hAnsi="Arial" w:cs="Arial"/>
          <w:sz w:val="21"/>
          <w:szCs w:val="21"/>
          <w:highlight w:val="none"/>
        </w:rPr>
        <w:t>平方米，</w:t>
      </w:r>
      <w:r>
        <w:rPr>
          <w:rFonts w:hint="eastAsia" w:ascii="宋体" w:hAnsi="宋体"/>
          <w:sz w:val="21"/>
          <w:szCs w:val="21"/>
          <w:highlight w:val="none"/>
        </w:rPr>
        <w:t>配备家具、家电齐全，功能正常，质量有保证。交易价格</w:t>
      </w:r>
      <w:r>
        <w:rPr>
          <w:rFonts w:hint="eastAsia" w:ascii="Arial" w:hAnsi="Arial" w:cs="Arial"/>
          <w:sz w:val="21"/>
          <w:szCs w:val="21"/>
          <w:highlight w:val="none"/>
        </w:rPr>
        <w:t>为</w:t>
      </w:r>
      <w:r>
        <w:rPr>
          <w:rFonts w:hint="eastAsia" w:ascii="Arial" w:hAnsi="Arial" w:cs="Arial"/>
          <w:sz w:val="21"/>
          <w:szCs w:val="21"/>
          <w:highlight w:val="none"/>
          <w:lang w:val="en-US" w:eastAsia="zh-CN"/>
        </w:rPr>
        <w:t>21.68</w:t>
      </w:r>
      <w:r>
        <w:rPr>
          <w:rFonts w:hint="eastAsia" w:ascii="Arial" w:hAnsi="Arial" w:cs="Arial"/>
          <w:sz w:val="21"/>
          <w:szCs w:val="21"/>
          <w:highlight w:val="none"/>
        </w:rPr>
        <w:t>元/平方米·月（含物业费</w:t>
      </w:r>
      <w:r>
        <w:rPr>
          <w:rFonts w:hint="eastAsia" w:ascii="Arial" w:hAnsi="Arial" w:cs="Arial"/>
          <w:sz w:val="21"/>
          <w:szCs w:val="21"/>
          <w:highlight w:val="none"/>
          <w:lang w:val="en-US" w:eastAsia="zh-CN"/>
        </w:rPr>
        <w:t>2.66</w:t>
      </w:r>
      <w:r>
        <w:rPr>
          <w:rFonts w:hint="eastAsia" w:ascii="Arial" w:hAnsi="Arial" w:cs="Arial"/>
          <w:sz w:val="21"/>
          <w:szCs w:val="21"/>
          <w:highlight w:val="none"/>
        </w:rPr>
        <w:t>元/平方米·月、取暖费2.5元/平方米·月）。</w:t>
      </w:r>
    </w:p>
    <w:p w14:paraId="2BD73E71">
      <w:pPr>
        <w:wordWrap w:val="0"/>
        <w:overflowPunct w:val="0"/>
        <w:spacing w:line="480" w:lineRule="auto"/>
        <w:ind w:firstLine="420" w:firstLineChars="200"/>
        <w:rPr>
          <w:rFonts w:ascii="Arial" w:hAnsi="Arial" w:cs="Arial"/>
          <w:sz w:val="21"/>
          <w:szCs w:val="21"/>
          <w:highlight w:val="none"/>
        </w:rPr>
      </w:pPr>
      <w:r>
        <w:rPr>
          <w:rFonts w:hint="eastAsia" w:ascii="Arial" w:hAnsi="Arial" w:cs="Arial"/>
          <w:sz w:val="21"/>
          <w:szCs w:val="21"/>
          <w:highlight w:val="none"/>
        </w:rPr>
        <w:t>可比实例</w:t>
      </w:r>
      <w:r>
        <w:rPr>
          <w:rFonts w:ascii="Arial" w:hAnsi="Arial" w:cs="Arial"/>
          <w:sz w:val="21"/>
          <w:szCs w:val="21"/>
          <w:highlight w:val="none"/>
        </w:rPr>
        <w:t>6：</w:t>
      </w:r>
    </w:p>
    <w:p w14:paraId="7B8346F2">
      <w:pPr>
        <w:wordWrap w:val="0"/>
        <w:overflowPunct w:val="0"/>
        <w:spacing w:line="480" w:lineRule="auto"/>
        <w:ind w:firstLine="420" w:firstLineChars="200"/>
        <w:rPr>
          <w:rFonts w:hint="default" w:ascii="Arial" w:hAnsi="Arial" w:eastAsia="宋体" w:cs="Arial"/>
          <w:sz w:val="21"/>
          <w:szCs w:val="21"/>
          <w:highlight w:val="none"/>
          <w:lang w:val="en-US" w:eastAsia="zh-CN"/>
        </w:rPr>
      </w:pPr>
      <w:r>
        <w:rPr>
          <w:rFonts w:ascii="Arial" w:hAnsi="Arial" w:cs="Arial"/>
          <w:sz w:val="21"/>
          <w:szCs w:val="21"/>
          <w:highlight w:val="none"/>
        </w:rPr>
        <w:t>•项目名称：</w:t>
      </w:r>
      <w:r>
        <w:rPr>
          <w:rFonts w:hint="eastAsia" w:ascii="Arial" w:hAnsi="Arial" w:cs="Arial"/>
          <w:sz w:val="21"/>
          <w:szCs w:val="21"/>
          <w:highlight w:val="none"/>
          <w:lang w:val="en-US" w:eastAsia="zh-CN"/>
        </w:rPr>
        <w:t>蓝天花园</w:t>
      </w:r>
    </w:p>
    <w:p w14:paraId="7645A035">
      <w:pPr>
        <w:wordWrap w:val="0"/>
        <w:overflowPunct w:val="0"/>
        <w:spacing w:line="480" w:lineRule="auto"/>
        <w:ind w:firstLine="420" w:firstLineChars="200"/>
        <w:rPr>
          <w:rFonts w:ascii="Arial" w:hAnsi="Arial" w:cs="Arial"/>
          <w:sz w:val="21"/>
          <w:szCs w:val="21"/>
          <w:highlight w:val="none"/>
        </w:rPr>
      </w:pPr>
      <w:r>
        <w:rPr>
          <w:rFonts w:ascii="Arial" w:hAnsi="Arial" w:cs="Arial"/>
          <w:sz w:val="21"/>
          <w:szCs w:val="21"/>
          <w:highlight w:val="none"/>
        </w:rPr>
        <w:t>•项目坐落：</w:t>
      </w:r>
      <w:r>
        <w:rPr>
          <w:rFonts w:hint="eastAsia" w:ascii="Arial" w:hAnsi="Arial" w:cs="Arial"/>
          <w:sz w:val="21"/>
          <w:szCs w:val="21"/>
          <w:highlight w:val="none"/>
        </w:rPr>
        <w:t>大兴区育镇街采育文化广场东侧</w:t>
      </w:r>
    </w:p>
    <w:p w14:paraId="681FF97A">
      <w:pPr>
        <w:wordWrap w:val="0"/>
        <w:overflowPunct w:val="0"/>
        <w:spacing w:line="480" w:lineRule="auto"/>
        <w:ind w:firstLine="420" w:firstLineChars="200"/>
        <w:rPr>
          <w:rFonts w:ascii="Arial" w:hAnsi="Arial" w:cs="Arial"/>
          <w:sz w:val="21"/>
          <w:szCs w:val="21"/>
          <w:highlight w:val="none"/>
        </w:rPr>
      </w:pPr>
      <w:r>
        <w:rPr>
          <w:rFonts w:ascii="Arial" w:hAnsi="Arial" w:cs="Arial"/>
          <w:sz w:val="21"/>
          <w:szCs w:val="21"/>
          <w:highlight w:val="none"/>
        </w:rPr>
        <w:t>•交易时间：202</w:t>
      </w:r>
      <w:r>
        <w:rPr>
          <w:rFonts w:hint="eastAsia" w:ascii="Arial" w:hAnsi="Arial" w:cs="Arial"/>
          <w:sz w:val="21"/>
          <w:szCs w:val="21"/>
          <w:highlight w:val="none"/>
          <w:lang w:val="en-US" w:eastAsia="zh-CN"/>
        </w:rPr>
        <w:t>5</w:t>
      </w:r>
      <w:r>
        <w:rPr>
          <w:rFonts w:ascii="Arial" w:hAnsi="Arial" w:cs="Arial"/>
          <w:sz w:val="21"/>
          <w:szCs w:val="21"/>
          <w:highlight w:val="none"/>
        </w:rPr>
        <w:t>年</w:t>
      </w:r>
      <w:r>
        <w:rPr>
          <w:rFonts w:hint="eastAsia" w:ascii="Arial" w:hAnsi="Arial" w:cs="Arial"/>
          <w:sz w:val="21"/>
          <w:szCs w:val="21"/>
          <w:highlight w:val="none"/>
          <w:lang w:val="en-US" w:eastAsia="zh-CN"/>
        </w:rPr>
        <w:t>12</w:t>
      </w:r>
      <w:r>
        <w:rPr>
          <w:rFonts w:ascii="Arial" w:hAnsi="Arial" w:cs="Arial"/>
          <w:sz w:val="21"/>
          <w:szCs w:val="21"/>
          <w:highlight w:val="none"/>
        </w:rPr>
        <w:t>月</w:t>
      </w:r>
    </w:p>
    <w:p w14:paraId="2DB2B0A3">
      <w:pPr>
        <w:wordWrap w:val="0"/>
        <w:overflowPunct w:val="0"/>
        <w:spacing w:line="480" w:lineRule="auto"/>
        <w:ind w:firstLine="420" w:firstLineChars="200"/>
        <w:rPr>
          <w:rFonts w:ascii="Arial" w:hAnsi="Arial" w:cs="Arial"/>
          <w:sz w:val="21"/>
          <w:szCs w:val="21"/>
          <w:highlight w:val="none"/>
        </w:rPr>
      </w:pPr>
      <w:r>
        <w:rPr>
          <w:rFonts w:ascii="Arial" w:hAnsi="Arial" w:cs="Arial"/>
          <w:sz w:val="21"/>
          <w:szCs w:val="21"/>
          <w:highlight w:val="none"/>
        </w:rPr>
        <w:t>•交易情况：正常出租</w:t>
      </w:r>
    </w:p>
    <w:p w14:paraId="3B2F2599">
      <w:pPr>
        <w:wordWrap w:val="0"/>
        <w:overflowPunct w:val="0"/>
        <w:spacing w:line="480" w:lineRule="auto"/>
        <w:ind w:firstLine="420" w:firstLineChars="200"/>
        <w:rPr>
          <w:rFonts w:ascii="Arial" w:hAnsi="Arial" w:cs="Arial"/>
          <w:sz w:val="21"/>
          <w:szCs w:val="21"/>
          <w:highlight w:val="none"/>
        </w:rPr>
      </w:pPr>
      <w:r>
        <w:rPr>
          <w:rFonts w:ascii="Arial" w:hAnsi="Arial" w:cs="Arial"/>
          <w:sz w:val="21"/>
          <w:szCs w:val="21"/>
          <w:highlight w:val="none"/>
        </w:rPr>
        <w:t>•用途：住宅</w:t>
      </w:r>
    </w:p>
    <w:p w14:paraId="1AC223E5">
      <w:pPr>
        <w:wordWrap w:val="0"/>
        <w:overflowPunct w:val="0"/>
        <w:spacing w:line="480" w:lineRule="auto"/>
        <w:ind w:firstLine="420" w:firstLineChars="200"/>
        <w:jc w:val="both"/>
        <w:rPr>
          <w:rFonts w:ascii="Arial" w:hAnsi="Arial" w:cs="Arial"/>
          <w:sz w:val="21"/>
          <w:szCs w:val="21"/>
          <w:highlight w:val="none"/>
        </w:rPr>
      </w:pPr>
      <w:r>
        <w:rPr>
          <w:rFonts w:hint="eastAsia" w:ascii="Arial" w:hAnsi="Arial" w:cs="Arial"/>
          <w:sz w:val="21"/>
          <w:szCs w:val="21"/>
          <w:highlight w:val="none"/>
        </w:rPr>
        <w:t>可比实例</w:t>
      </w:r>
      <w:r>
        <w:rPr>
          <w:rFonts w:ascii="Arial" w:hAnsi="Arial" w:cs="Arial"/>
          <w:sz w:val="21"/>
          <w:szCs w:val="21"/>
          <w:highlight w:val="none"/>
        </w:rPr>
        <w:t>6</w:t>
      </w:r>
      <w:r>
        <w:rPr>
          <w:rFonts w:hint="eastAsia" w:ascii="Arial" w:hAnsi="Arial" w:cs="Arial"/>
          <w:sz w:val="21"/>
          <w:szCs w:val="21"/>
          <w:highlight w:val="none"/>
        </w:rPr>
        <w:t>周边2公里内有</w:t>
      </w:r>
      <w:r>
        <w:rPr>
          <w:rFonts w:hint="eastAsia" w:ascii="Arial" w:hAnsi="Arial" w:cs="Arial"/>
          <w:kern w:val="2"/>
          <w:sz w:val="21"/>
          <w:szCs w:val="21"/>
          <w:highlight w:val="none"/>
        </w:rPr>
        <w:t>兴创荣墅、住总兴创如遇、</w:t>
      </w:r>
      <w:r>
        <w:rPr>
          <w:rFonts w:hint="eastAsia" w:ascii="Arial" w:hAnsi="Arial" w:cs="Arial"/>
          <w:kern w:val="2"/>
          <w:sz w:val="21"/>
          <w:szCs w:val="21"/>
          <w:highlight w:val="none"/>
          <w:lang w:val="en-US" w:eastAsia="zh-CN"/>
        </w:rPr>
        <w:t>阳光</w:t>
      </w:r>
      <w:r>
        <w:rPr>
          <w:rFonts w:hint="eastAsia" w:ascii="Arial" w:hAnsi="Arial" w:cs="Arial"/>
          <w:kern w:val="2"/>
          <w:sz w:val="21"/>
          <w:szCs w:val="21"/>
          <w:highlight w:val="none"/>
        </w:rPr>
        <w:t>波尔多</w:t>
      </w:r>
      <w:r>
        <w:rPr>
          <w:rFonts w:hint="eastAsia" w:ascii="Arial" w:hAnsi="Arial" w:cs="Arial"/>
          <w:kern w:val="2"/>
          <w:sz w:val="21"/>
          <w:szCs w:val="21"/>
          <w:highlight w:val="none"/>
          <w:lang w:eastAsia="zh-CN"/>
        </w:rPr>
        <w:t>、</w:t>
      </w:r>
      <w:r>
        <w:rPr>
          <w:rFonts w:hint="eastAsia" w:ascii="Arial" w:hAnsi="Arial" w:cs="Arial"/>
          <w:kern w:val="2"/>
          <w:sz w:val="21"/>
          <w:szCs w:val="21"/>
          <w:highlight w:val="none"/>
          <w:lang w:val="en-US" w:eastAsia="zh-CN"/>
        </w:rPr>
        <w:t>蓝天花园</w:t>
      </w:r>
      <w:r>
        <w:rPr>
          <w:rFonts w:hint="eastAsia" w:ascii="Arial" w:hAnsi="Arial" w:cs="Arial"/>
          <w:kern w:val="2"/>
          <w:sz w:val="21"/>
          <w:szCs w:val="21"/>
          <w:highlight w:val="none"/>
        </w:rPr>
        <w:t>、</w:t>
      </w:r>
      <w:r>
        <w:rPr>
          <w:rFonts w:hint="eastAsia" w:ascii="Arial" w:hAnsi="Arial" w:cs="Arial"/>
          <w:kern w:val="2"/>
          <w:sz w:val="21"/>
          <w:szCs w:val="21"/>
          <w:highlight w:val="none"/>
          <w:lang w:val="en-US" w:eastAsia="zh-CN"/>
        </w:rPr>
        <w:t>住总如院、</w:t>
      </w:r>
      <w:r>
        <w:rPr>
          <w:rFonts w:hint="eastAsia" w:ascii="Arial" w:hAnsi="Arial" w:cs="Arial"/>
          <w:kern w:val="2"/>
          <w:sz w:val="21"/>
          <w:szCs w:val="21"/>
          <w:highlight w:val="none"/>
        </w:rPr>
        <w:t>路劲御合院、北京城建宽院国誉府等</w:t>
      </w:r>
      <w:r>
        <w:rPr>
          <w:rFonts w:hint="eastAsia" w:ascii="Arial" w:hAnsi="Arial" w:cs="Arial"/>
          <w:kern w:val="2"/>
          <w:sz w:val="21"/>
          <w:szCs w:val="21"/>
          <w:highlight w:val="none"/>
          <w:lang w:eastAsia="zh-CN"/>
        </w:rPr>
        <w:t>，</w:t>
      </w:r>
      <w:r>
        <w:rPr>
          <w:rFonts w:hint="eastAsia" w:ascii="Arial" w:hAnsi="Arial" w:cs="Arial"/>
          <w:kern w:val="2"/>
          <w:sz w:val="21"/>
          <w:szCs w:val="21"/>
          <w:highlight w:val="none"/>
        </w:rPr>
        <w:t>居住小区规模一般，入住率一般，综合评价居住区成熟度一般</w:t>
      </w:r>
      <w:r>
        <w:rPr>
          <w:rFonts w:ascii="Arial" w:hAnsi="Arial" w:cs="Arial"/>
          <w:sz w:val="21"/>
          <w:szCs w:val="21"/>
          <w:highlight w:val="none"/>
        </w:rPr>
        <w:t>；</w:t>
      </w:r>
      <w:r>
        <w:rPr>
          <w:rFonts w:hint="eastAsia" w:ascii="Arial" w:hAnsi="Arial" w:cs="Arial"/>
          <w:sz w:val="21"/>
          <w:szCs w:val="21"/>
          <w:highlight w:val="none"/>
          <w:lang w:val="en-US" w:eastAsia="zh-CN"/>
        </w:rPr>
        <w:t>东</w:t>
      </w:r>
      <w:r>
        <w:rPr>
          <w:rFonts w:ascii="Arial" w:hAnsi="Arial" w:cs="Arial"/>
          <w:sz w:val="21"/>
          <w:szCs w:val="21"/>
          <w:highlight w:val="none"/>
        </w:rPr>
        <w:t>侧紧邻城市</w:t>
      </w:r>
      <w:r>
        <w:rPr>
          <w:rFonts w:hint="eastAsia" w:ascii="Arial" w:hAnsi="Arial" w:cs="Arial"/>
          <w:sz w:val="21"/>
          <w:szCs w:val="21"/>
          <w:highlight w:val="none"/>
          <w:lang w:val="en-US" w:eastAsia="zh-CN"/>
        </w:rPr>
        <w:t>次</w:t>
      </w:r>
      <w:r>
        <w:rPr>
          <w:rFonts w:hint="eastAsia" w:ascii="Arial" w:hAnsi="Arial" w:cs="Arial"/>
          <w:sz w:val="21"/>
          <w:szCs w:val="21"/>
          <w:highlight w:val="none"/>
        </w:rPr>
        <w:t>干道</w:t>
      </w:r>
      <w:r>
        <w:rPr>
          <w:rFonts w:ascii="Arial" w:hAnsi="Arial" w:cs="Arial"/>
          <w:sz w:val="21"/>
          <w:szCs w:val="21"/>
          <w:highlight w:val="none"/>
        </w:rPr>
        <w:t>——</w:t>
      </w:r>
      <w:r>
        <w:rPr>
          <w:rFonts w:hint="eastAsia" w:ascii="Arial" w:hAnsi="Arial" w:cs="Arial"/>
          <w:sz w:val="21"/>
          <w:szCs w:val="21"/>
          <w:highlight w:val="none"/>
          <w:lang w:val="en-US" w:eastAsia="zh-CN"/>
        </w:rPr>
        <w:t>福源路</w:t>
      </w:r>
      <w:r>
        <w:rPr>
          <w:rFonts w:ascii="Arial" w:hAnsi="Arial" w:cs="Arial"/>
          <w:sz w:val="21"/>
          <w:szCs w:val="21"/>
          <w:highlight w:val="none"/>
        </w:rPr>
        <w:t>，</w:t>
      </w:r>
      <w:r>
        <w:rPr>
          <w:rFonts w:hint="eastAsia" w:ascii="Arial" w:hAnsi="Arial" w:cs="Arial"/>
          <w:kern w:val="2"/>
          <w:sz w:val="21"/>
          <w:szCs w:val="21"/>
          <w:highlight w:val="none"/>
          <w:lang w:val="en-US" w:eastAsia="zh-CN"/>
        </w:rPr>
        <w:t>周边</w:t>
      </w:r>
      <w:r>
        <w:rPr>
          <w:rFonts w:hint="eastAsia" w:ascii="Arial" w:hAnsi="Arial" w:cs="Arial"/>
          <w:kern w:val="2"/>
          <w:sz w:val="21"/>
          <w:szCs w:val="21"/>
          <w:highlight w:val="none"/>
        </w:rPr>
        <w:t>2公里范围内无轨道交通站点，周边1公里内有926路、955路、兴20路、兴32路、兴43路、兴940路等公交线路途径并设立站点，综合评价交通便捷度</w:t>
      </w:r>
      <w:r>
        <w:rPr>
          <w:rFonts w:hint="eastAsia" w:ascii="Arial" w:hAnsi="Arial" w:cs="Arial"/>
          <w:kern w:val="2"/>
          <w:sz w:val="21"/>
          <w:szCs w:val="21"/>
          <w:highlight w:val="none"/>
          <w:lang w:val="en-US" w:eastAsia="zh-CN"/>
        </w:rPr>
        <w:t>一般；</w:t>
      </w:r>
      <w:r>
        <w:rPr>
          <w:rFonts w:ascii="Arial" w:hAnsi="Arial" w:cs="Arial"/>
          <w:sz w:val="21"/>
          <w:szCs w:val="21"/>
          <w:highlight w:val="none"/>
        </w:rPr>
        <w:t>周边有</w:t>
      </w:r>
      <w:r>
        <w:rPr>
          <w:rFonts w:hint="eastAsia" w:ascii="Arial" w:hAnsi="Arial" w:cs="Arial"/>
          <w:kern w:val="2"/>
          <w:sz w:val="21"/>
          <w:szCs w:val="21"/>
          <w:highlight w:val="none"/>
        </w:rPr>
        <w:t>采育公园、凤河</w:t>
      </w:r>
      <w:r>
        <w:rPr>
          <w:rFonts w:ascii="Arial" w:hAnsi="Arial" w:cs="Arial"/>
          <w:sz w:val="21"/>
          <w:szCs w:val="21"/>
          <w:highlight w:val="none"/>
        </w:rPr>
        <w:t>等自然景观，</w:t>
      </w:r>
      <w:r>
        <w:rPr>
          <w:rFonts w:hint="eastAsia" w:ascii="Arial" w:hAnsi="Arial" w:cs="Arial"/>
          <w:sz w:val="21"/>
          <w:szCs w:val="21"/>
          <w:highlight w:val="none"/>
        </w:rPr>
        <w:t>5公里范围内无污染源，</w:t>
      </w:r>
      <w:r>
        <w:rPr>
          <w:rFonts w:ascii="Arial" w:hAnsi="Arial" w:cs="Arial"/>
          <w:sz w:val="21"/>
          <w:szCs w:val="21"/>
          <w:highlight w:val="none"/>
        </w:rPr>
        <w:t>自然与人环境</w:t>
      </w:r>
      <w:r>
        <w:rPr>
          <w:rFonts w:hint="eastAsia" w:ascii="Arial" w:hAnsi="Arial" w:cs="Arial"/>
          <w:sz w:val="21"/>
          <w:szCs w:val="21"/>
          <w:highlight w:val="none"/>
          <w:lang w:val="en-US" w:eastAsia="zh-CN"/>
        </w:rPr>
        <w:t>一般</w:t>
      </w:r>
      <w:r>
        <w:rPr>
          <w:rFonts w:ascii="Arial" w:hAnsi="Arial" w:cs="Arial"/>
          <w:sz w:val="21"/>
          <w:szCs w:val="21"/>
          <w:highlight w:val="none"/>
        </w:rPr>
        <w:t>；周边</w:t>
      </w:r>
      <w:r>
        <w:rPr>
          <w:rFonts w:hint="eastAsia" w:ascii="Arial" w:hAnsi="Arial" w:cs="Arial"/>
          <w:kern w:val="2"/>
          <w:sz w:val="21"/>
          <w:szCs w:val="21"/>
          <w:highlight w:val="none"/>
        </w:rPr>
        <w:t>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r>
        <w:rPr>
          <w:rFonts w:ascii="Arial" w:hAnsi="Arial" w:cs="Arial"/>
          <w:sz w:val="21"/>
          <w:szCs w:val="21"/>
          <w:highlight w:val="none"/>
        </w:rPr>
        <w:t>；所在社区有专业物业公司，物业服务保障好</w:t>
      </w:r>
      <w:r>
        <w:rPr>
          <w:rFonts w:hint="eastAsia" w:ascii="Arial" w:hAnsi="Arial" w:cs="Arial"/>
          <w:sz w:val="21"/>
          <w:szCs w:val="21"/>
          <w:highlight w:val="none"/>
          <w:lang w:eastAsia="zh-CN"/>
        </w:rPr>
        <w:t>，</w:t>
      </w:r>
      <w:r>
        <w:rPr>
          <w:rFonts w:ascii="Arial" w:hAnsi="Arial" w:cs="Arial"/>
          <w:sz w:val="21"/>
          <w:szCs w:val="21"/>
          <w:highlight w:val="none"/>
        </w:rPr>
        <w:t>有一定规模的绿化，环境较好，区内未配有专属活动站；</w:t>
      </w:r>
      <w:r>
        <w:rPr>
          <w:rFonts w:hint="eastAsia" w:ascii="Arial" w:hAnsi="Arial" w:cs="Arial"/>
          <w:sz w:val="21"/>
          <w:szCs w:val="21"/>
          <w:highlight w:val="none"/>
          <w:lang w:val="en-US" w:eastAsia="zh-CN"/>
        </w:rPr>
        <w:t>社区</w:t>
      </w:r>
      <w:r>
        <w:rPr>
          <w:rFonts w:ascii="Arial" w:hAnsi="Arial" w:cs="Arial"/>
          <w:sz w:val="21"/>
          <w:szCs w:val="21"/>
          <w:highlight w:val="none"/>
        </w:rPr>
        <w:t>有一定数量的专业人员管理，居住管理一般；</w:t>
      </w:r>
      <w:r>
        <w:rPr>
          <w:rFonts w:hint="eastAsia" w:ascii="Arial" w:hAnsi="Arial" w:cs="Arial"/>
          <w:sz w:val="21"/>
          <w:szCs w:val="21"/>
          <w:highlight w:val="none"/>
        </w:rPr>
        <w:t>可比实例</w:t>
      </w:r>
      <w:r>
        <w:rPr>
          <w:rFonts w:hint="eastAsia" w:ascii="Arial" w:hAnsi="Arial" w:cs="Arial"/>
          <w:sz w:val="21"/>
          <w:szCs w:val="21"/>
          <w:highlight w:val="none"/>
          <w:lang w:val="en-US" w:eastAsia="zh-CN"/>
        </w:rPr>
        <w:t>6</w:t>
      </w:r>
      <w:r>
        <w:rPr>
          <w:rFonts w:ascii="Arial" w:hAnsi="Arial" w:cs="Arial"/>
          <w:sz w:val="21"/>
          <w:szCs w:val="21"/>
          <w:highlight w:val="none"/>
        </w:rPr>
        <w:t>为</w:t>
      </w:r>
      <w:r>
        <w:rPr>
          <w:rFonts w:hint="eastAsia" w:ascii="Arial" w:hAnsi="Arial" w:cs="Arial"/>
          <w:sz w:val="21"/>
          <w:szCs w:val="21"/>
          <w:highlight w:val="none"/>
          <w:lang w:val="en-US" w:eastAsia="zh-CN"/>
        </w:rPr>
        <w:t>两</w:t>
      </w:r>
      <w:r>
        <w:rPr>
          <w:rFonts w:ascii="Arial" w:hAnsi="Arial" w:cs="Arial"/>
          <w:sz w:val="21"/>
          <w:szCs w:val="21"/>
          <w:highlight w:val="none"/>
        </w:rPr>
        <w:t>居室户型，</w:t>
      </w:r>
      <w:r>
        <w:rPr>
          <w:rFonts w:hint="eastAsia" w:ascii="Arial" w:hAnsi="Arial" w:cs="Arial"/>
          <w:sz w:val="21"/>
          <w:szCs w:val="21"/>
          <w:highlight w:val="none"/>
          <w:lang w:val="en-US" w:eastAsia="zh-CN"/>
        </w:rPr>
        <w:t>中</w:t>
      </w:r>
      <w:r>
        <w:rPr>
          <w:rFonts w:ascii="Arial" w:hAnsi="Arial" w:cs="Arial"/>
          <w:sz w:val="21"/>
          <w:szCs w:val="21"/>
          <w:highlight w:val="none"/>
        </w:rPr>
        <w:t>楼层，</w:t>
      </w:r>
      <w:r>
        <w:rPr>
          <w:rFonts w:hint="eastAsia" w:ascii="Arial" w:hAnsi="Arial" w:cs="Arial"/>
          <w:sz w:val="21"/>
          <w:szCs w:val="21"/>
          <w:highlight w:val="none"/>
          <w:lang w:val="en-US" w:eastAsia="zh-CN"/>
        </w:rPr>
        <w:t>南北</w:t>
      </w:r>
      <w:r>
        <w:rPr>
          <w:rFonts w:ascii="Arial" w:hAnsi="Arial" w:cs="Arial"/>
          <w:sz w:val="21"/>
          <w:szCs w:val="21"/>
          <w:highlight w:val="none"/>
        </w:rPr>
        <w:t>朝向，建成年份为</w:t>
      </w:r>
      <w:r>
        <w:rPr>
          <w:rFonts w:hint="eastAsia" w:ascii="Arial" w:hAnsi="Arial" w:cs="Arial"/>
          <w:sz w:val="21"/>
          <w:szCs w:val="21"/>
          <w:highlight w:val="none"/>
        </w:rPr>
        <w:t>2</w:t>
      </w:r>
      <w:r>
        <w:rPr>
          <w:rFonts w:ascii="Arial" w:hAnsi="Arial" w:cs="Arial"/>
          <w:sz w:val="21"/>
          <w:szCs w:val="21"/>
          <w:highlight w:val="none"/>
        </w:rPr>
        <w:t>0</w:t>
      </w:r>
      <w:r>
        <w:rPr>
          <w:rFonts w:hint="eastAsia" w:ascii="Arial" w:hAnsi="Arial" w:cs="Arial"/>
          <w:sz w:val="21"/>
          <w:szCs w:val="21"/>
          <w:highlight w:val="none"/>
          <w:lang w:val="en-US" w:eastAsia="zh-CN"/>
        </w:rPr>
        <w:t>08</w:t>
      </w:r>
      <w:r>
        <w:rPr>
          <w:rFonts w:ascii="Arial" w:hAnsi="Arial" w:cs="Arial"/>
          <w:sz w:val="21"/>
          <w:szCs w:val="21"/>
          <w:highlight w:val="none"/>
        </w:rPr>
        <w:t>年，建筑结构为</w:t>
      </w:r>
      <w:r>
        <w:rPr>
          <w:rFonts w:hint="eastAsia" w:ascii="Arial" w:hAnsi="Arial" w:cs="Arial"/>
          <w:sz w:val="21"/>
          <w:szCs w:val="21"/>
          <w:highlight w:val="none"/>
          <w:lang w:val="en-US" w:eastAsia="zh-CN"/>
        </w:rPr>
        <w:t>混合</w:t>
      </w:r>
      <w:r>
        <w:rPr>
          <w:rFonts w:ascii="Arial" w:hAnsi="Arial" w:cs="Arial"/>
          <w:sz w:val="21"/>
          <w:szCs w:val="21"/>
          <w:highlight w:val="none"/>
        </w:rPr>
        <w:t>结构，装修为精装修，建筑面积为</w:t>
      </w:r>
      <w:r>
        <w:rPr>
          <w:rFonts w:hint="eastAsia" w:ascii="Arial" w:hAnsi="Arial" w:cs="Arial"/>
          <w:sz w:val="21"/>
          <w:szCs w:val="21"/>
          <w:highlight w:val="none"/>
          <w:lang w:val="en-US" w:eastAsia="zh-CN"/>
        </w:rPr>
        <w:t>90.79</w:t>
      </w:r>
      <w:r>
        <w:rPr>
          <w:rFonts w:ascii="Arial" w:hAnsi="Arial" w:cs="Arial"/>
          <w:sz w:val="21"/>
          <w:szCs w:val="21"/>
          <w:highlight w:val="none"/>
        </w:rPr>
        <w:t>平方米，</w:t>
      </w:r>
      <w:r>
        <w:rPr>
          <w:rFonts w:hint="eastAsia" w:ascii="宋体" w:hAnsi="宋体"/>
          <w:sz w:val="21"/>
          <w:szCs w:val="21"/>
          <w:highlight w:val="none"/>
        </w:rPr>
        <w:t>配备家具、家电齐全，功能正常，质量有保证。交易价格</w:t>
      </w:r>
      <w:r>
        <w:rPr>
          <w:rFonts w:hint="eastAsia" w:ascii="Arial" w:hAnsi="Arial" w:cs="Arial"/>
          <w:sz w:val="21"/>
          <w:szCs w:val="21"/>
          <w:highlight w:val="none"/>
        </w:rPr>
        <w:t>为</w:t>
      </w:r>
      <w:r>
        <w:rPr>
          <w:rFonts w:hint="eastAsia" w:ascii="Arial" w:hAnsi="Arial" w:cs="Arial"/>
          <w:sz w:val="21"/>
          <w:szCs w:val="21"/>
          <w:highlight w:val="none"/>
          <w:lang w:val="en-US" w:eastAsia="zh-CN"/>
        </w:rPr>
        <w:t>19.83</w:t>
      </w:r>
      <w:r>
        <w:rPr>
          <w:rFonts w:hint="eastAsia" w:ascii="Arial" w:hAnsi="Arial" w:cs="Arial"/>
          <w:sz w:val="21"/>
          <w:szCs w:val="21"/>
          <w:highlight w:val="none"/>
        </w:rPr>
        <w:t>元/平方米·月（含物业费</w:t>
      </w:r>
      <w:r>
        <w:rPr>
          <w:rFonts w:hint="eastAsia" w:ascii="Arial" w:hAnsi="Arial" w:cs="Arial"/>
          <w:sz w:val="21"/>
          <w:szCs w:val="21"/>
          <w:highlight w:val="none"/>
          <w:lang w:val="en-US" w:eastAsia="zh-CN"/>
        </w:rPr>
        <w:t>1.46</w:t>
      </w:r>
      <w:r>
        <w:rPr>
          <w:rFonts w:hint="eastAsia" w:ascii="Arial" w:hAnsi="Arial" w:cs="Arial"/>
          <w:sz w:val="21"/>
          <w:szCs w:val="21"/>
          <w:highlight w:val="none"/>
        </w:rPr>
        <w:t>元/平方米·月、取暖费2.5元/平方米·月）</w:t>
      </w:r>
      <w:r>
        <w:rPr>
          <w:rFonts w:ascii="Arial" w:hAnsi="Arial" w:cs="Arial"/>
          <w:sz w:val="21"/>
          <w:szCs w:val="21"/>
          <w:highlight w:val="none"/>
        </w:rPr>
        <w:t>。</w:t>
      </w:r>
    </w:p>
    <w:p w14:paraId="24E7BC58">
      <w:pPr>
        <w:wordWrap w:val="0"/>
        <w:overflowPunct w:val="0"/>
        <w:spacing w:line="480" w:lineRule="auto"/>
        <w:ind w:firstLine="420" w:firstLineChars="200"/>
        <w:rPr>
          <w:rFonts w:ascii="宋体" w:hAnsi="宋体"/>
          <w:sz w:val="21"/>
          <w:szCs w:val="21"/>
          <w:highlight w:val="none"/>
        </w:rPr>
      </w:pPr>
      <w:r>
        <w:rPr>
          <w:rFonts w:hint="eastAsia" w:ascii="宋体" w:hAnsi="宋体"/>
          <w:sz w:val="21"/>
          <w:szCs w:val="21"/>
          <w:highlight w:val="none"/>
        </w:rPr>
        <w:t>建立比较基础</w:t>
      </w:r>
    </w:p>
    <w:tbl>
      <w:tblPr>
        <w:tblStyle w:val="33"/>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2047"/>
        <w:gridCol w:w="1813"/>
        <w:gridCol w:w="1813"/>
        <w:gridCol w:w="1812"/>
        <w:gridCol w:w="1813"/>
      </w:tblGrid>
      <w:tr w14:paraId="26810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69313FA0">
            <w:pPr>
              <w:pStyle w:val="61"/>
              <w:autoSpaceDE w:val="0"/>
              <w:autoSpaceDN w:val="0"/>
              <w:spacing w:line="240" w:lineRule="exact"/>
              <w:textAlignment w:val="bottom"/>
              <w:rPr>
                <w:rFonts w:ascii="Arial" w:hAnsi="Arial" w:cs="Arial"/>
                <w:sz w:val="16"/>
                <w:szCs w:val="18"/>
                <w:highlight w:val="none"/>
              </w:rPr>
            </w:pPr>
            <w:r>
              <w:rPr>
                <w:rFonts w:ascii="Arial" w:hAnsi="Arial" w:cs="Arial"/>
                <w:sz w:val="16"/>
                <w:szCs w:val="18"/>
                <w:highlight w:val="none"/>
              </w:rPr>
              <w:t>交易案例</w:t>
            </w:r>
          </w:p>
        </w:tc>
        <w:tc>
          <w:tcPr>
            <w:tcW w:w="1813" w:type="dxa"/>
            <w:vAlign w:val="center"/>
          </w:tcPr>
          <w:p w14:paraId="2162DE27">
            <w:pPr>
              <w:pStyle w:val="61"/>
              <w:autoSpaceDE w:val="0"/>
              <w:autoSpaceDN w:val="0"/>
              <w:spacing w:line="240" w:lineRule="exact"/>
              <w:textAlignment w:val="bottom"/>
              <w:rPr>
                <w:rFonts w:ascii="Arial" w:hAnsi="Arial" w:cs="Arial"/>
                <w:sz w:val="16"/>
                <w:szCs w:val="18"/>
                <w:highlight w:val="none"/>
              </w:rPr>
            </w:pPr>
            <w:r>
              <w:rPr>
                <w:rFonts w:ascii="Arial" w:hAnsi="Arial" w:cs="Arial"/>
                <w:sz w:val="16"/>
                <w:szCs w:val="18"/>
                <w:highlight w:val="none"/>
              </w:rPr>
              <w:t>估价对象</w:t>
            </w:r>
          </w:p>
        </w:tc>
        <w:tc>
          <w:tcPr>
            <w:tcW w:w="1813" w:type="dxa"/>
            <w:vAlign w:val="center"/>
          </w:tcPr>
          <w:p w14:paraId="68F14FC3">
            <w:pPr>
              <w:pStyle w:val="61"/>
              <w:autoSpaceDE w:val="0"/>
              <w:autoSpaceDN w:val="0"/>
              <w:spacing w:line="240" w:lineRule="exact"/>
              <w:textAlignment w:val="bottom"/>
              <w:rPr>
                <w:rFonts w:ascii="Arial" w:hAnsi="Arial" w:cs="Arial"/>
                <w:sz w:val="16"/>
                <w:szCs w:val="18"/>
                <w:highlight w:val="none"/>
              </w:rPr>
            </w:pPr>
            <w:r>
              <w:rPr>
                <w:rFonts w:ascii="Arial" w:hAnsi="Arial" w:cs="Arial"/>
                <w:sz w:val="16"/>
                <w:szCs w:val="18"/>
                <w:highlight w:val="none"/>
              </w:rPr>
              <w:t>可比实例4</w:t>
            </w:r>
          </w:p>
        </w:tc>
        <w:tc>
          <w:tcPr>
            <w:tcW w:w="1812" w:type="dxa"/>
            <w:vAlign w:val="center"/>
          </w:tcPr>
          <w:p w14:paraId="0C8DE4A1">
            <w:pPr>
              <w:pStyle w:val="61"/>
              <w:autoSpaceDE w:val="0"/>
              <w:autoSpaceDN w:val="0"/>
              <w:spacing w:line="240" w:lineRule="exact"/>
              <w:textAlignment w:val="bottom"/>
              <w:rPr>
                <w:rFonts w:ascii="Arial" w:hAnsi="Arial" w:cs="Arial"/>
                <w:sz w:val="16"/>
                <w:szCs w:val="18"/>
                <w:highlight w:val="none"/>
              </w:rPr>
            </w:pPr>
            <w:r>
              <w:rPr>
                <w:rFonts w:ascii="Arial" w:hAnsi="Arial" w:cs="Arial"/>
                <w:sz w:val="16"/>
                <w:szCs w:val="18"/>
                <w:highlight w:val="none"/>
              </w:rPr>
              <w:t>可比实例5</w:t>
            </w:r>
          </w:p>
        </w:tc>
        <w:tc>
          <w:tcPr>
            <w:tcW w:w="1813" w:type="dxa"/>
            <w:vAlign w:val="center"/>
          </w:tcPr>
          <w:p w14:paraId="3A88A079">
            <w:pPr>
              <w:pStyle w:val="61"/>
              <w:autoSpaceDE w:val="0"/>
              <w:autoSpaceDN w:val="0"/>
              <w:spacing w:line="240" w:lineRule="exact"/>
              <w:textAlignment w:val="bottom"/>
              <w:rPr>
                <w:rFonts w:ascii="Arial" w:hAnsi="Arial" w:cs="Arial"/>
                <w:sz w:val="16"/>
                <w:szCs w:val="18"/>
                <w:highlight w:val="none"/>
              </w:rPr>
            </w:pPr>
            <w:r>
              <w:rPr>
                <w:rFonts w:ascii="Arial" w:hAnsi="Arial" w:cs="Arial"/>
                <w:sz w:val="16"/>
                <w:szCs w:val="18"/>
                <w:highlight w:val="none"/>
              </w:rPr>
              <w:t>可比实例6</w:t>
            </w:r>
          </w:p>
        </w:tc>
      </w:tr>
      <w:tr w14:paraId="79A4E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3FE96BBE">
            <w:pPr>
              <w:pStyle w:val="61"/>
              <w:autoSpaceDE w:val="0"/>
              <w:autoSpaceDN w:val="0"/>
              <w:spacing w:line="240" w:lineRule="exact"/>
              <w:textAlignment w:val="bottom"/>
              <w:rPr>
                <w:rFonts w:ascii="Arial" w:hAnsi="Arial" w:cs="Arial"/>
                <w:sz w:val="16"/>
                <w:szCs w:val="18"/>
                <w:highlight w:val="none"/>
              </w:rPr>
            </w:pPr>
            <w:r>
              <w:rPr>
                <w:rFonts w:ascii="Arial" w:hAnsi="Arial" w:cs="Arial"/>
                <w:sz w:val="16"/>
                <w:szCs w:val="18"/>
                <w:highlight w:val="none"/>
              </w:rPr>
              <w:t>项目名称</w:t>
            </w:r>
          </w:p>
        </w:tc>
        <w:tc>
          <w:tcPr>
            <w:tcW w:w="1813" w:type="dxa"/>
            <w:vAlign w:val="center"/>
          </w:tcPr>
          <w:p w14:paraId="78D72725">
            <w:pPr>
              <w:pStyle w:val="61"/>
              <w:autoSpaceDE w:val="0"/>
              <w:autoSpaceDN w:val="0"/>
              <w:spacing w:line="240" w:lineRule="exact"/>
              <w:textAlignment w:val="bottom"/>
              <w:rPr>
                <w:rFonts w:hint="eastAsia" w:ascii="Arial" w:hAnsi="Arial" w:eastAsia="宋体" w:cs="Arial"/>
                <w:sz w:val="16"/>
                <w:szCs w:val="18"/>
                <w:highlight w:val="none"/>
                <w:lang w:eastAsia="zh-CN"/>
              </w:rPr>
            </w:pPr>
            <w:r>
              <w:rPr>
                <w:rFonts w:hint="eastAsia" w:ascii="Arial" w:hAnsi="Arial" w:cs="Arial"/>
                <w:sz w:val="16"/>
                <w:szCs w:val="18"/>
                <w:highlight w:val="none"/>
                <w:lang w:eastAsia="zh-CN"/>
              </w:rPr>
              <w:t>育新花园</w:t>
            </w:r>
          </w:p>
        </w:tc>
        <w:tc>
          <w:tcPr>
            <w:tcW w:w="1813" w:type="dxa"/>
            <w:vAlign w:val="center"/>
          </w:tcPr>
          <w:p w14:paraId="7105AF73">
            <w:pPr>
              <w:widowControl/>
              <w:snapToGrid w:val="0"/>
              <w:spacing w:line="240" w:lineRule="exact"/>
              <w:jc w:val="center"/>
              <w:textAlignment w:val="center"/>
              <w:rPr>
                <w:rFonts w:ascii="Arial" w:hAnsi="Arial" w:cs="Arial"/>
                <w:sz w:val="16"/>
                <w:szCs w:val="18"/>
                <w:highlight w:val="none"/>
              </w:rPr>
            </w:pPr>
            <w:r>
              <w:rPr>
                <w:rFonts w:hint="eastAsia" w:ascii="Arial" w:hAnsi="Arial" w:cs="Arial"/>
                <w:sz w:val="16"/>
                <w:szCs w:val="18"/>
                <w:highlight w:val="none"/>
              </w:rPr>
              <w:t>当代采育满庭春MOMA</w:t>
            </w:r>
          </w:p>
        </w:tc>
        <w:tc>
          <w:tcPr>
            <w:tcW w:w="1812" w:type="dxa"/>
            <w:vAlign w:val="center"/>
          </w:tcPr>
          <w:p w14:paraId="0228B61C">
            <w:pPr>
              <w:widowControl/>
              <w:snapToGrid w:val="0"/>
              <w:spacing w:line="240" w:lineRule="exact"/>
              <w:jc w:val="center"/>
              <w:textAlignment w:val="center"/>
              <w:rPr>
                <w:rFonts w:ascii="Arial" w:hAnsi="Arial" w:cs="Arial"/>
                <w:sz w:val="16"/>
                <w:szCs w:val="18"/>
                <w:highlight w:val="none"/>
              </w:rPr>
            </w:pPr>
            <w:r>
              <w:rPr>
                <w:rFonts w:hint="eastAsia" w:ascii="Arial" w:hAnsi="Arial" w:cs="Arial"/>
                <w:sz w:val="16"/>
                <w:szCs w:val="18"/>
                <w:highlight w:val="none"/>
              </w:rPr>
              <w:t>当代采育满庭春MOMA</w:t>
            </w:r>
          </w:p>
        </w:tc>
        <w:tc>
          <w:tcPr>
            <w:tcW w:w="1813" w:type="dxa"/>
            <w:vAlign w:val="center"/>
          </w:tcPr>
          <w:p w14:paraId="6EDEEFDD">
            <w:pPr>
              <w:widowControl/>
              <w:snapToGrid w:val="0"/>
              <w:spacing w:line="240" w:lineRule="exact"/>
              <w:jc w:val="center"/>
              <w:textAlignment w:val="center"/>
              <w:rPr>
                <w:rFonts w:hint="default" w:ascii="Arial" w:hAnsi="Arial" w:eastAsia="宋体" w:cs="Arial"/>
                <w:sz w:val="16"/>
                <w:szCs w:val="18"/>
                <w:highlight w:val="none"/>
                <w:lang w:val="en-US" w:eastAsia="zh-CN"/>
              </w:rPr>
            </w:pPr>
            <w:r>
              <w:rPr>
                <w:rFonts w:hint="eastAsia" w:ascii="Arial" w:hAnsi="Arial" w:cs="Arial"/>
                <w:sz w:val="16"/>
                <w:szCs w:val="18"/>
                <w:highlight w:val="none"/>
                <w:lang w:val="en-US" w:eastAsia="zh-CN"/>
              </w:rPr>
              <w:t>蓝天花园</w:t>
            </w:r>
          </w:p>
        </w:tc>
      </w:tr>
      <w:tr w14:paraId="66DAB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46DCDC27">
            <w:pPr>
              <w:pStyle w:val="61"/>
              <w:autoSpaceDE w:val="0"/>
              <w:autoSpaceDN w:val="0"/>
              <w:spacing w:line="240" w:lineRule="exact"/>
              <w:textAlignment w:val="bottom"/>
              <w:rPr>
                <w:rFonts w:ascii="Arial" w:hAnsi="Arial" w:cs="Arial"/>
                <w:sz w:val="16"/>
                <w:szCs w:val="18"/>
                <w:highlight w:val="none"/>
              </w:rPr>
            </w:pPr>
            <w:r>
              <w:rPr>
                <w:rFonts w:ascii="Arial" w:hAnsi="Arial" w:cs="Arial"/>
                <w:sz w:val="16"/>
                <w:szCs w:val="18"/>
                <w:highlight w:val="none"/>
              </w:rPr>
              <w:t>租金价格（元/㎡·</w:t>
            </w:r>
            <w:r>
              <w:rPr>
                <w:rFonts w:hint="eastAsia" w:ascii="Arial" w:hAnsi="Arial" w:cs="Arial"/>
                <w:sz w:val="16"/>
                <w:szCs w:val="18"/>
                <w:highlight w:val="none"/>
              </w:rPr>
              <w:t>月</w:t>
            </w:r>
            <w:r>
              <w:rPr>
                <w:rFonts w:ascii="Arial" w:hAnsi="Arial" w:cs="Arial"/>
                <w:sz w:val="16"/>
                <w:szCs w:val="18"/>
                <w:highlight w:val="none"/>
              </w:rPr>
              <w:t>）</w:t>
            </w:r>
          </w:p>
        </w:tc>
        <w:tc>
          <w:tcPr>
            <w:tcW w:w="1813" w:type="dxa"/>
            <w:vAlign w:val="center"/>
          </w:tcPr>
          <w:p w14:paraId="21F6A08F">
            <w:pPr>
              <w:pStyle w:val="61"/>
              <w:autoSpaceDE w:val="0"/>
              <w:autoSpaceDN w:val="0"/>
              <w:spacing w:line="240" w:lineRule="exact"/>
              <w:textAlignment w:val="bottom"/>
              <w:rPr>
                <w:rFonts w:ascii="Arial" w:hAnsi="Arial" w:cs="Arial"/>
                <w:sz w:val="16"/>
                <w:szCs w:val="18"/>
                <w:highlight w:val="none"/>
              </w:rPr>
            </w:pPr>
            <w:r>
              <w:rPr>
                <w:rFonts w:ascii="Arial" w:hAnsi="Arial" w:cs="Arial"/>
                <w:sz w:val="16"/>
                <w:szCs w:val="18"/>
                <w:highlight w:val="none"/>
              </w:rPr>
              <w:t>待估</w:t>
            </w:r>
          </w:p>
        </w:tc>
        <w:tc>
          <w:tcPr>
            <w:tcW w:w="1813" w:type="dxa"/>
            <w:vAlign w:val="center"/>
          </w:tcPr>
          <w:p w14:paraId="0D7A4001">
            <w:pPr>
              <w:pStyle w:val="61"/>
              <w:autoSpaceDE w:val="0"/>
              <w:autoSpaceDN w:val="0"/>
              <w:snapToGrid w:val="0"/>
              <w:spacing w:line="240" w:lineRule="exact"/>
              <w:textAlignment w:val="bottom"/>
              <w:rPr>
                <w:rFonts w:hint="default" w:ascii="Arial" w:hAnsi="Arial" w:eastAsia="宋体" w:cs="Arial"/>
                <w:sz w:val="16"/>
                <w:szCs w:val="18"/>
                <w:highlight w:val="none"/>
                <w:lang w:val="en-US" w:eastAsia="zh-CN"/>
              </w:rPr>
            </w:pPr>
            <w:r>
              <w:rPr>
                <w:rFonts w:hint="eastAsia" w:ascii="Arial" w:hAnsi="Arial" w:cs="Arial"/>
                <w:sz w:val="16"/>
                <w:szCs w:val="18"/>
                <w:highlight w:val="none"/>
                <w:lang w:val="en-US" w:eastAsia="zh-CN"/>
              </w:rPr>
              <w:t>20.09</w:t>
            </w:r>
          </w:p>
        </w:tc>
        <w:tc>
          <w:tcPr>
            <w:tcW w:w="1812" w:type="dxa"/>
            <w:vAlign w:val="center"/>
          </w:tcPr>
          <w:p w14:paraId="25F626BB">
            <w:pPr>
              <w:pStyle w:val="61"/>
              <w:autoSpaceDE w:val="0"/>
              <w:autoSpaceDN w:val="0"/>
              <w:snapToGrid w:val="0"/>
              <w:spacing w:line="240" w:lineRule="exact"/>
              <w:textAlignment w:val="bottom"/>
              <w:rPr>
                <w:rFonts w:hint="default" w:ascii="Arial" w:hAnsi="Arial" w:eastAsia="宋体" w:cs="Arial"/>
                <w:sz w:val="16"/>
                <w:szCs w:val="18"/>
                <w:highlight w:val="none"/>
                <w:lang w:val="en-US" w:eastAsia="zh-CN"/>
              </w:rPr>
            </w:pPr>
            <w:r>
              <w:rPr>
                <w:rFonts w:hint="eastAsia" w:ascii="Arial" w:hAnsi="Arial" w:cs="Arial"/>
                <w:sz w:val="16"/>
                <w:szCs w:val="18"/>
                <w:highlight w:val="none"/>
                <w:lang w:val="en-US" w:eastAsia="zh-CN"/>
              </w:rPr>
              <w:t>21.68</w:t>
            </w:r>
          </w:p>
        </w:tc>
        <w:tc>
          <w:tcPr>
            <w:tcW w:w="1813" w:type="dxa"/>
            <w:vAlign w:val="center"/>
          </w:tcPr>
          <w:p w14:paraId="6F388888">
            <w:pPr>
              <w:pStyle w:val="61"/>
              <w:autoSpaceDE w:val="0"/>
              <w:autoSpaceDN w:val="0"/>
              <w:snapToGrid w:val="0"/>
              <w:spacing w:line="240" w:lineRule="exact"/>
              <w:textAlignment w:val="bottom"/>
              <w:rPr>
                <w:rFonts w:hint="default" w:ascii="Arial" w:hAnsi="Arial" w:eastAsia="宋体" w:cs="Arial"/>
                <w:sz w:val="16"/>
                <w:szCs w:val="18"/>
                <w:highlight w:val="none"/>
                <w:lang w:val="en-US" w:eastAsia="zh-CN"/>
              </w:rPr>
            </w:pPr>
            <w:r>
              <w:rPr>
                <w:rFonts w:hint="eastAsia" w:ascii="Arial" w:hAnsi="Arial" w:cs="Arial"/>
                <w:sz w:val="16"/>
                <w:szCs w:val="18"/>
                <w:highlight w:val="none"/>
                <w:lang w:val="en-US" w:eastAsia="zh-CN"/>
              </w:rPr>
              <w:t>19.83</w:t>
            </w:r>
          </w:p>
        </w:tc>
      </w:tr>
      <w:tr w14:paraId="1F33D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2" w:hRule="atLeast"/>
          <w:jc w:val="center"/>
        </w:trPr>
        <w:tc>
          <w:tcPr>
            <w:tcW w:w="2047" w:type="dxa"/>
            <w:vMerge w:val="restart"/>
            <w:vAlign w:val="center"/>
          </w:tcPr>
          <w:p w14:paraId="6FA697BF">
            <w:pPr>
              <w:pStyle w:val="61"/>
              <w:autoSpaceDE w:val="0"/>
              <w:autoSpaceDN w:val="0"/>
              <w:spacing w:line="240" w:lineRule="exact"/>
              <w:textAlignment w:val="bottom"/>
              <w:rPr>
                <w:rFonts w:ascii="Arial" w:hAnsi="Arial" w:cs="Arial"/>
                <w:sz w:val="16"/>
                <w:szCs w:val="18"/>
                <w:highlight w:val="none"/>
              </w:rPr>
            </w:pPr>
            <w:r>
              <w:rPr>
                <w:rFonts w:hint="eastAsia" w:ascii="Arial" w:hAnsi="Arial" w:cs="Arial"/>
                <w:sz w:val="16"/>
                <w:szCs w:val="18"/>
                <w:highlight w:val="none"/>
              </w:rPr>
              <w:t>统一</w:t>
            </w:r>
            <w:r>
              <w:rPr>
                <w:rFonts w:ascii="Arial" w:hAnsi="Arial" w:cs="Arial"/>
                <w:sz w:val="16"/>
                <w:szCs w:val="18"/>
                <w:highlight w:val="none"/>
              </w:rPr>
              <w:t>租金内涵</w:t>
            </w:r>
          </w:p>
        </w:tc>
        <w:tc>
          <w:tcPr>
            <w:tcW w:w="1813" w:type="dxa"/>
            <w:vAlign w:val="center"/>
          </w:tcPr>
          <w:p w14:paraId="65187B90">
            <w:pPr>
              <w:pStyle w:val="61"/>
              <w:autoSpaceDE w:val="0"/>
              <w:autoSpaceDN w:val="0"/>
              <w:spacing w:line="240" w:lineRule="exact"/>
              <w:textAlignment w:val="bottom"/>
              <w:rPr>
                <w:rFonts w:ascii="Arial" w:hAnsi="Arial" w:cs="Arial"/>
                <w:sz w:val="16"/>
                <w:szCs w:val="18"/>
                <w:highlight w:val="none"/>
              </w:rPr>
            </w:pPr>
            <w:r>
              <w:rPr>
                <w:rFonts w:hint="eastAsia" w:ascii="Arial" w:hAnsi="Arial" w:cs="Arial"/>
                <w:sz w:val="16"/>
                <w:szCs w:val="18"/>
                <w:highlight w:val="none"/>
              </w:rPr>
              <w:t>包含房屋、家具家电使用费、物业费及租赁税费，包含持有运营单位在住房租赁合同中明确约定由出租人承担的基础服务费（例如基础物业管理服务、公区保洁、公区维保等费用），不包含增值服务费（例如室内保洁、室内人为损坏维修、洗衣、送餐等费用）、能源费（包括公区能源费及室内能源费，例如水、电、气、暖、网络等费用）、车位使用费等费用</w:t>
            </w:r>
          </w:p>
        </w:tc>
        <w:tc>
          <w:tcPr>
            <w:tcW w:w="1813" w:type="dxa"/>
            <w:vAlign w:val="center"/>
          </w:tcPr>
          <w:p w14:paraId="774922D8">
            <w:pPr>
              <w:autoSpaceDE w:val="0"/>
              <w:autoSpaceDN w:val="0"/>
              <w:spacing w:line="240" w:lineRule="exact"/>
              <w:jc w:val="center"/>
              <w:textAlignment w:val="bottom"/>
              <w:rPr>
                <w:rFonts w:ascii="Arial" w:hAnsi="Arial" w:cs="Arial"/>
                <w:sz w:val="16"/>
                <w:szCs w:val="18"/>
                <w:highlight w:val="none"/>
              </w:rPr>
            </w:pPr>
            <w:r>
              <w:rPr>
                <w:rFonts w:hint="eastAsia" w:ascii="Arial" w:hAnsi="Arial" w:cs="Arial"/>
                <w:sz w:val="16"/>
                <w:szCs w:val="18"/>
                <w:highlight w:val="none"/>
              </w:rPr>
              <w:t>含房屋、家具家电使用费及租赁税费、物业费、供暖费</w:t>
            </w:r>
            <w:r>
              <w:rPr>
                <w:rFonts w:ascii="Arial" w:hAnsi="Arial" w:cs="Arial"/>
                <w:sz w:val="16"/>
                <w:szCs w:val="18"/>
                <w:highlight w:val="none"/>
              </w:rPr>
              <w:t>，不含</w:t>
            </w:r>
            <w:r>
              <w:rPr>
                <w:rFonts w:hint="eastAsia" w:ascii="Arial" w:hAnsi="Arial" w:cs="Arial"/>
                <w:sz w:val="16"/>
                <w:szCs w:val="18"/>
                <w:highlight w:val="none"/>
              </w:rPr>
              <w:t>增值服务费</w:t>
            </w:r>
            <w:r>
              <w:rPr>
                <w:rFonts w:ascii="Arial" w:hAnsi="Arial" w:cs="Arial"/>
                <w:sz w:val="16"/>
                <w:szCs w:val="18"/>
                <w:highlight w:val="none"/>
              </w:rPr>
              <w:t>、制冷费、水电费、天然气费、通信费、有线电视费及上网宽带费</w:t>
            </w:r>
            <w:r>
              <w:rPr>
                <w:rFonts w:hint="eastAsia" w:ascii="Arial" w:hAnsi="Arial" w:cs="Arial"/>
                <w:sz w:val="16"/>
                <w:szCs w:val="18"/>
                <w:highlight w:val="none"/>
              </w:rPr>
              <w:t>、车位使用费</w:t>
            </w:r>
            <w:r>
              <w:rPr>
                <w:rFonts w:ascii="Arial" w:hAnsi="Arial" w:cs="Arial"/>
                <w:sz w:val="16"/>
                <w:szCs w:val="18"/>
                <w:highlight w:val="none"/>
              </w:rPr>
              <w:t>等</w:t>
            </w:r>
          </w:p>
        </w:tc>
        <w:tc>
          <w:tcPr>
            <w:tcW w:w="1812" w:type="dxa"/>
            <w:vAlign w:val="center"/>
          </w:tcPr>
          <w:p w14:paraId="4BCAA903">
            <w:pPr>
              <w:spacing w:line="276" w:lineRule="auto"/>
              <w:rPr>
                <w:sz w:val="16"/>
                <w:highlight w:val="none"/>
              </w:rPr>
            </w:pPr>
            <w:r>
              <w:rPr>
                <w:rFonts w:hint="eastAsia" w:ascii="Arial" w:hAnsi="Arial" w:cs="Arial"/>
                <w:sz w:val="16"/>
                <w:szCs w:val="18"/>
                <w:highlight w:val="none"/>
              </w:rPr>
              <w:t>含房屋、家具家电使用费及租赁税费、物业费、供暖费</w:t>
            </w:r>
            <w:r>
              <w:rPr>
                <w:rFonts w:ascii="Arial" w:hAnsi="Arial" w:cs="Arial"/>
                <w:sz w:val="16"/>
                <w:szCs w:val="18"/>
                <w:highlight w:val="none"/>
              </w:rPr>
              <w:t>，不含</w:t>
            </w:r>
            <w:r>
              <w:rPr>
                <w:rFonts w:hint="eastAsia" w:ascii="Arial" w:hAnsi="Arial" w:cs="Arial"/>
                <w:sz w:val="16"/>
                <w:szCs w:val="18"/>
                <w:highlight w:val="none"/>
              </w:rPr>
              <w:t>增值服务费</w:t>
            </w:r>
            <w:r>
              <w:rPr>
                <w:rFonts w:ascii="Arial" w:hAnsi="Arial" w:cs="Arial"/>
                <w:sz w:val="16"/>
                <w:szCs w:val="18"/>
                <w:highlight w:val="none"/>
              </w:rPr>
              <w:t>、制冷费、水电费、天然气费、通信费、有线电视费及上网宽带费</w:t>
            </w:r>
            <w:r>
              <w:rPr>
                <w:rFonts w:hint="eastAsia" w:ascii="Arial" w:hAnsi="Arial" w:cs="Arial"/>
                <w:sz w:val="16"/>
                <w:szCs w:val="18"/>
                <w:highlight w:val="none"/>
              </w:rPr>
              <w:t>、车位使用费</w:t>
            </w:r>
            <w:r>
              <w:rPr>
                <w:rFonts w:ascii="Arial" w:hAnsi="Arial" w:cs="Arial"/>
                <w:sz w:val="16"/>
                <w:szCs w:val="18"/>
                <w:highlight w:val="none"/>
              </w:rPr>
              <w:t>等</w:t>
            </w:r>
          </w:p>
        </w:tc>
        <w:tc>
          <w:tcPr>
            <w:tcW w:w="1813" w:type="dxa"/>
            <w:vAlign w:val="center"/>
          </w:tcPr>
          <w:p w14:paraId="38C2AB56">
            <w:pPr>
              <w:spacing w:line="276" w:lineRule="auto"/>
              <w:rPr>
                <w:sz w:val="16"/>
                <w:highlight w:val="none"/>
              </w:rPr>
            </w:pPr>
            <w:r>
              <w:rPr>
                <w:rFonts w:hint="eastAsia" w:ascii="Arial" w:hAnsi="Arial" w:cs="Arial"/>
                <w:sz w:val="16"/>
                <w:szCs w:val="18"/>
                <w:highlight w:val="none"/>
              </w:rPr>
              <w:t>含房屋、家具家电使用费及租赁税费、物业费、供暖费</w:t>
            </w:r>
            <w:r>
              <w:rPr>
                <w:rFonts w:ascii="Arial" w:hAnsi="Arial" w:cs="Arial"/>
                <w:sz w:val="16"/>
                <w:szCs w:val="18"/>
                <w:highlight w:val="none"/>
              </w:rPr>
              <w:t>，不含</w:t>
            </w:r>
            <w:r>
              <w:rPr>
                <w:rFonts w:hint="eastAsia" w:ascii="Arial" w:hAnsi="Arial" w:cs="Arial"/>
                <w:sz w:val="16"/>
                <w:szCs w:val="18"/>
                <w:highlight w:val="none"/>
              </w:rPr>
              <w:t>增值服务费</w:t>
            </w:r>
            <w:r>
              <w:rPr>
                <w:rFonts w:ascii="Arial" w:hAnsi="Arial" w:cs="Arial"/>
                <w:sz w:val="16"/>
                <w:szCs w:val="18"/>
                <w:highlight w:val="none"/>
              </w:rPr>
              <w:t>、制冷费、水电费、天然气费、通信费、有线电视费及上网宽带费</w:t>
            </w:r>
            <w:r>
              <w:rPr>
                <w:rFonts w:hint="eastAsia" w:ascii="Arial" w:hAnsi="Arial" w:cs="Arial"/>
                <w:sz w:val="16"/>
                <w:szCs w:val="18"/>
                <w:highlight w:val="none"/>
              </w:rPr>
              <w:t>、车位使用费</w:t>
            </w:r>
            <w:r>
              <w:rPr>
                <w:rFonts w:ascii="Arial" w:hAnsi="Arial" w:cs="Arial"/>
                <w:sz w:val="16"/>
                <w:szCs w:val="18"/>
                <w:highlight w:val="none"/>
              </w:rPr>
              <w:t>等</w:t>
            </w:r>
          </w:p>
        </w:tc>
      </w:tr>
      <w:tr w14:paraId="5E6DC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226C905D">
            <w:pPr>
              <w:pStyle w:val="61"/>
              <w:autoSpaceDE w:val="0"/>
              <w:autoSpaceDN w:val="0"/>
              <w:spacing w:line="240" w:lineRule="exact"/>
              <w:textAlignment w:val="bottom"/>
              <w:rPr>
                <w:rFonts w:ascii="Arial" w:hAnsi="Arial" w:cs="Arial"/>
                <w:sz w:val="16"/>
                <w:szCs w:val="18"/>
                <w:highlight w:val="none"/>
              </w:rPr>
            </w:pPr>
          </w:p>
        </w:tc>
        <w:tc>
          <w:tcPr>
            <w:tcW w:w="1813" w:type="dxa"/>
            <w:vAlign w:val="center"/>
          </w:tcPr>
          <w:p w14:paraId="39EB1368">
            <w:pPr>
              <w:pStyle w:val="61"/>
              <w:autoSpaceDE w:val="0"/>
              <w:autoSpaceDN w:val="0"/>
              <w:spacing w:line="240" w:lineRule="exact"/>
              <w:textAlignment w:val="bottom"/>
              <w:rPr>
                <w:rFonts w:ascii="Arial" w:hAnsi="Arial" w:cs="Arial"/>
                <w:sz w:val="16"/>
                <w:szCs w:val="18"/>
                <w:highlight w:val="none"/>
              </w:rPr>
            </w:pPr>
            <w:r>
              <w:rPr>
                <w:rFonts w:hint="eastAsia" w:ascii="Arial" w:hAnsi="Arial" w:cs="Arial"/>
                <w:sz w:val="16"/>
                <w:szCs w:val="18"/>
                <w:highlight w:val="none"/>
              </w:rPr>
              <w:t>扣减物业费、供暖费</w:t>
            </w:r>
          </w:p>
        </w:tc>
        <w:tc>
          <w:tcPr>
            <w:tcW w:w="1813" w:type="dxa"/>
            <w:vAlign w:val="center"/>
          </w:tcPr>
          <w:p w14:paraId="0A544B89">
            <w:pPr>
              <w:autoSpaceDE w:val="0"/>
              <w:autoSpaceDN w:val="0"/>
              <w:spacing w:line="240" w:lineRule="exact"/>
              <w:jc w:val="center"/>
              <w:textAlignment w:val="bottom"/>
              <w:rPr>
                <w:rFonts w:hint="default" w:ascii="Arial" w:hAnsi="Arial" w:eastAsia="宋体" w:cs="Arial"/>
                <w:sz w:val="16"/>
                <w:szCs w:val="18"/>
                <w:highlight w:val="none"/>
                <w:lang w:val="en-US" w:eastAsia="zh-CN"/>
              </w:rPr>
            </w:pPr>
            <w:r>
              <w:rPr>
                <w:rFonts w:hint="eastAsia" w:ascii="Arial" w:hAnsi="Arial" w:cs="Arial"/>
                <w:sz w:val="16"/>
                <w:szCs w:val="18"/>
                <w:highlight w:val="none"/>
                <w:lang w:val="en-US" w:eastAsia="zh-CN"/>
              </w:rPr>
              <w:t>5.16</w:t>
            </w:r>
          </w:p>
        </w:tc>
        <w:tc>
          <w:tcPr>
            <w:tcW w:w="1812" w:type="dxa"/>
            <w:vAlign w:val="center"/>
          </w:tcPr>
          <w:p w14:paraId="5EE27692">
            <w:pPr>
              <w:autoSpaceDE w:val="0"/>
              <w:autoSpaceDN w:val="0"/>
              <w:spacing w:line="240" w:lineRule="exact"/>
              <w:jc w:val="center"/>
              <w:textAlignment w:val="bottom"/>
              <w:rPr>
                <w:rFonts w:hint="default" w:ascii="Arial" w:hAnsi="Arial" w:eastAsia="宋体" w:cs="Arial"/>
                <w:sz w:val="16"/>
                <w:szCs w:val="18"/>
                <w:highlight w:val="none"/>
                <w:lang w:val="en-US" w:eastAsia="zh-CN"/>
              </w:rPr>
            </w:pPr>
            <w:r>
              <w:rPr>
                <w:rFonts w:hint="eastAsia" w:ascii="Arial" w:hAnsi="Arial" w:cs="Arial"/>
                <w:sz w:val="16"/>
                <w:szCs w:val="18"/>
                <w:highlight w:val="none"/>
                <w:lang w:val="en-US" w:eastAsia="zh-CN"/>
              </w:rPr>
              <w:t>5.16</w:t>
            </w:r>
          </w:p>
        </w:tc>
        <w:tc>
          <w:tcPr>
            <w:tcW w:w="1813" w:type="dxa"/>
            <w:vAlign w:val="center"/>
          </w:tcPr>
          <w:p w14:paraId="30EBBAE6">
            <w:pPr>
              <w:autoSpaceDE w:val="0"/>
              <w:autoSpaceDN w:val="0"/>
              <w:spacing w:line="240" w:lineRule="exact"/>
              <w:jc w:val="center"/>
              <w:textAlignment w:val="bottom"/>
              <w:rPr>
                <w:rFonts w:hint="default" w:ascii="Arial" w:hAnsi="Arial" w:eastAsia="宋体" w:cs="Arial"/>
                <w:sz w:val="16"/>
                <w:szCs w:val="18"/>
                <w:highlight w:val="none"/>
                <w:lang w:val="en-US" w:eastAsia="zh-CN"/>
              </w:rPr>
            </w:pPr>
            <w:r>
              <w:rPr>
                <w:rFonts w:hint="eastAsia" w:ascii="Arial" w:hAnsi="Arial" w:cs="Arial"/>
                <w:sz w:val="16"/>
                <w:szCs w:val="18"/>
                <w:highlight w:val="none"/>
                <w:lang w:val="en-US" w:eastAsia="zh-CN"/>
              </w:rPr>
              <w:t>3.96</w:t>
            </w:r>
          </w:p>
        </w:tc>
      </w:tr>
      <w:tr w14:paraId="28BDD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346C7CE5">
            <w:pPr>
              <w:pStyle w:val="61"/>
              <w:autoSpaceDE w:val="0"/>
              <w:autoSpaceDN w:val="0"/>
              <w:spacing w:line="240" w:lineRule="exact"/>
              <w:textAlignment w:val="bottom"/>
              <w:rPr>
                <w:rFonts w:ascii="Arial" w:hAnsi="Arial" w:cs="Arial"/>
                <w:sz w:val="16"/>
                <w:szCs w:val="18"/>
                <w:highlight w:val="none"/>
              </w:rPr>
            </w:pPr>
          </w:p>
        </w:tc>
        <w:tc>
          <w:tcPr>
            <w:tcW w:w="1813" w:type="dxa"/>
            <w:vAlign w:val="center"/>
          </w:tcPr>
          <w:p w14:paraId="41003C0D">
            <w:pPr>
              <w:pStyle w:val="61"/>
              <w:autoSpaceDE w:val="0"/>
              <w:autoSpaceDN w:val="0"/>
              <w:spacing w:line="240" w:lineRule="exact"/>
              <w:textAlignment w:val="bottom"/>
              <w:rPr>
                <w:rFonts w:ascii="Arial" w:hAnsi="Arial" w:cs="Arial"/>
                <w:sz w:val="16"/>
                <w:szCs w:val="18"/>
                <w:highlight w:val="none"/>
              </w:rPr>
            </w:pPr>
            <w:r>
              <w:rPr>
                <w:rFonts w:hint="eastAsia" w:ascii="Arial" w:hAnsi="Arial" w:cs="Arial"/>
                <w:sz w:val="16"/>
                <w:szCs w:val="18"/>
                <w:highlight w:val="none"/>
              </w:rPr>
              <w:t>统一</w:t>
            </w:r>
            <w:r>
              <w:rPr>
                <w:rFonts w:ascii="Arial" w:hAnsi="Arial" w:cs="Arial"/>
                <w:sz w:val="16"/>
                <w:szCs w:val="18"/>
                <w:highlight w:val="none"/>
              </w:rPr>
              <w:t>租金内涵</w:t>
            </w:r>
            <w:r>
              <w:rPr>
                <w:rFonts w:hint="eastAsia" w:ascii="Arial" w:hAnsi="Arial" w:cs="Arial"/>
                <w:sz w:val="16"/>
                <w:szCs w:val="18"/>
                <w:highlight w:val="none"/>
              </w:rPr>
              <w:t>后价格</w:t>
            </w:r>
          </w:p>
        </w:tc>
        <w:tc>
          <w:tcPr>
            <w:tcW w:w="1813" w:type="dxa"/>
            <w:vAlign w:val="center"/>
          </w:tcPr>
          <w:p w14:paraId="410C96EA">
            <w:pPr>
              <w:autoSpaceDE w:val="0"/>
              <w:autoSpaceDN w:val="0"/>
              <w:spacing w:line="240" w:lineRule="exact"/>
              <w:jc w:val="center"/>
              <w:textAlignment w:val="bottom"/>
              <w:rPr>
                <w:rFonts w:hint="default" w:ascii="Arial" w:hAnsi="Arial" w:eastAsia="宋体" w:cs="Arial"/>
                <w:sz w:val="16"/>
                <w:szCs w:val="18"/>
                <w:highlight w:val="none"/>
                <w:lang w:val="en-US" w:eastAsia="zh-CN"/>
              </w:rPr>
            </w:pPr>
            <w:r>
              <w:rPr>
                <w:rFonts w:hint="eastAsia" w:ascii="Arial" w:hAnsi="Arial" w:cs="Arial"/>
                <w:sz w:val="16"/>
                <w:szCs w:val="18"/>
                <w:highlight w:val="none"/>
                <w:lang w:val="en-US" w:eastAsia="zh-CN"/>
              </w:rPr>
              <w:t>14.93</w:t>
            </w:r>
          </w:p>
        </w:tc>
        <w:tc>
          <w:tcPr>
            <w:tcW w:w="1812" w:type="dxa"/>
            <w:vAlign w:val="center"/>
          </w:tcPr>
          <w:p w14:paraId="1B0660D5">
            <w:pPr>
              <w:autoSpaceDE w:val="0"/>
              <w:autoSpaceDN w:val="0"/>
              <w:spacing w:line="240" w:lineRule="exact"/>
              <w:jc w:val="center"/>
              <w:textAlignment w:val="bottom"/>
              <w:rPr>
                <w:rFonts w:hint="default" w:ascii="Arial" w:hAnsi="Arial" w:eastAsia="宋体" w:cs="Arial"/>
                <w:sz w:val="16"/>
                <w:szCs w:val="18"/>
                <w:highlight w:val="none"/>
                <w:lang w:val="en-US" w:eastAsia="zh-CN"/>
              </w:rPr>
            </w:pPr>
            <w:r>
              <w:rPr>
                <w:rFonts w:hint="eastAsia" w:ascii="Arial" w:hAnsi="Arial" w:cs="Arial"/>
                <w:sz w:val="16"/>
                <w:szCs w:val="18"/>
                <w:highlight w:val="none"/>
                <w:lang w:val="en-US" w:eastAsia="zh-CN"/>
              </w:rPr>
              <w:t>16.52</w:t>
            </w:r>
          </w:p>
        </w:tc>
        <w:tc>
          <w:tcPr>
            <w:tcW w:w="1813" w:type="dxa"/>
            <w:vAlign w:val="center"/>
          </w:tcPr>
          <w:p w14:paraId="5EBD8C57">
            <w:pPr>
              <w:autoSpaceDE w:val="0"/>
              <w:autoSpaceDN w:val="0"/>
              <w:spacing w:line="240" w:lineRule="exact"/>
              <w:jc w:val="center"/>
              <w:textAlignment w:val="bottom"/>
              <w:rPr>
                <w:rFonts w:hint="default" w:ascii="Arial" w:hAnsi="Arial" w:eastAsia="宋体" w:cs="Arial"/>
                <w:sz w:val="16"/>
                <w:szCs w:val="18"/>
                <w:highlight w:val="none"/>
                <w:lang w:val="en-US" w:eastAsia="zh-CN"/>
              </w:rPr>
            </w:pPr>
            <w:r>
              <w:rPr>
                <w:rFonts w:hint="eastAsia" w:ascii="Arial" w:hAnsi="Arial" w:cs="Arial"/>
                <w:sz w:val="16"/>
                <w:szCs w:val="18"/>
                <w:highlight w:val="none"/>
                <w:lang w:val="en-US" w:eastAsia="zh-CN"/>
              </w:rPr>
              <w:t>15.87</w:t>
            </w:r>
          </w:p>
        </w:tc>
      </w:tr>
      <w:tr w14:paraId="6126C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restart"/>
            <w:vAlign w:val="center"/>
          </w:tcPr>
          <w:p w14:paraId="152C4A25">
            <w:pPr>
              <w:pStyle w:val="61"/>
              <w:autoSpaceDE w:val="0"/>
              <w:autoSpaceDN w:val="0"/>
              <w:spacing w:line="240" w:lineRule="exact"/>
              <w:textAlignment w:val="bottom"/>
              <w:rPr>
                <w:rFonts w:ascii="Arial" w:hAnsi="Arial" w:cs="Arial"/>
                <w:sz w:val="16"/>
                <w:szCs w:val="18"/>
                <w:highlight w:val="none"/>
              </w:rPr>
            </w:pPr>
            <w:r>
              <w:rPr>
                <w:rFonts w:hint="eastAsia" w:ascii="Arial" w:hAnsi="Arial" w:cs="Arial"/>
                <w:sz w:val="16"/>
                <w:szCs w:val="18"/>
                <w:highlight w:val="none"/>
              </w:rPr>
              <w:t>统一租赁行为条件</w:t>
            </w:r>
          </w:p>
        </w:tc>
        <w:tc>
          <w:tcPr>
            <w:tcW w:w="1813" w:type="dxa"/>
            <w:vAlign w:val="center"/>
          </w:tcPr>
          <w:p w14:paraId="5F253260">
            <w:pPr>
              <w:pStyle w:val="61"/>
              <w:autoSpaceDE w:val="0"/>
              <w:autoSpaceDN w:val="0"/>
              <w:spacing w:line="240" w:lineRule="exact"/>
              <w:textAlignment w:val="bottom"/>
              <w:rPr>
                <w:rFonts w:ascii="Arial" w:hAnsi="Arial" w:cs="Arial"/>
                <w:sz w:val="16"/>
                <w:szCs w:val="18"/>
                <w:highlight w:val="none"/>
              </w:rPr>
            </w:pPr>
            <w:r>
              <w:rPr>
                <w:rFonts w:hint="eastAsia" w:ascii="Arial" w:hAnsi="Arial" w:cs="Arial"/>
                <w:sz w:val="16"/>
                <w:szCs w:val="18"/>
                <w:highlight w:val="none"/>
              </w:rPr>
              <w:t>一年租期，月付，无免租期</w:t>
            </w:r>
          </w:p>
        </w:tc>
        <w:tc>
          <w:tcPr>
            <w:tcW w:w="1813" w:type="dxa"/>
          </w:tcPr>
          <w:p w14:paraId="310A6AE9">
            <w:pPr>
              <w:pStyle w:val="61"/>
              <w:autoSpaceDE w:val="0"/>
              <w:autoSpaceDN w:val="0"/>
              <w:spacing w:line="240" w:lineRule="exact"/>
              <w:textAlignment w:val="bottom"/>
              <w:rPr>
                <w:rFonts w:ascii="Arial" w:hAnsi="Arial" w:cs="Arial"/>
                <w:sz w:val="16"/>
                <w:szCs w:val="18"/>
                <w:highlight w:val="none"/>
              </w:rPr>
            </w:pPr>
            <w:r>
              <w:rPr>
                <w:rFonts w:hint="eastAsia" w:ascii="Arial" w:hAnsi="Arial" w:cs="Arial"/>
                <w:sz w:val="16"/>
                <w:szCs w:val="18"/>
                <w:highlight w:val="none"/>
              </w:rPr>
              <w:t>一年租期，月付，无免租期</w:t>
            </w:r>
          </w:p>
        </w:tc>
        <w:tc>
          <w:tcPr>
            <w:tcW w:w="1812" w:type="dxa"/>
          </w:tcPr>
          <w:p w14:paraId="77B444E8">
            <w:pPr>
              <w:pStyle w:val="61"/>
              <w:autoSpaceDE w:val="0"/>
              <w:autoSpaceDN w:val="0"/>
              <w:spacing w:line="240" w:lineRule="exact"/>
              <w:textAlignment w:val="bottom"/>
              <w:rPr>
                <w:rFonts w:ascii="Arial" w:hAnsi="Arial" w:cs="Arial"/>
                <w:sz w:val="16"/>
                <w:szCs w:val="18"/>
                <w:highlight w:val="none"/>
              </w:rPr>
            </w:pPr>
            <w:r>
              <w:rPr>
                <w:rFonts w:hint="eastAsia" w:ascii="Arial" w:hAnsi="Arial" w:cs="Arial"/>
                <w:sz w:val="16"/>
                <w:szCs w:val="18"/>
                <w:highlight w:val="none"/>
              </w:rPr>
              <w:t>一年租期，月付，无免租期</w:t>
            </w:r>
          </w:p>
        </w:tc>
        <w:tc>
          <w:tcPr>
            <w:tcW w:w="1813" w:type="dxa"/>
          </w:tcPr>
          <w:p w14:paraId="59C4776F">
            <w:pPr>
              <w:pStyle w:val="61"/>
              <w:autoSpaceDE w:val="0"/>
              <w:autoSpaceDN w:val="0"/>
              <w:spacing w:line="240" w:lineRule="exact"/>
              <w:textAlignment w:val="bottom"/>
              <w:rPr>
                <w:rFonts w:ascii="Arial" w:hAnsi="Arial" w:cs="Arial"/>
                <w:sz w:val="16"/>
                <w:szCs w:val="18"/>
                <w:highlight w:val="none"/>
              </w:rPr>
            </w:pPr>
            <w:r>
              <w:rPr>
                <w:rFonts w:hint="eastAsia" w:ascii="Arial" w:hAnsi="Arial" w:cs="Arial"/>
                <w:sz w:val="16"/>
                <w:szCs w:val="18"/>
                <w:highlight w:val="none"/>
              </w:rPr>
              <w:t>一年租期，月付，无免租期</w:t>
            </w:r>
          </w:p>
        </w:tc>
      </w:tr>
      <w:tr w14:paraId="2F027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26B7C7A3">
            <w:pPr>
              <w:pStyle w:val="61"/>
              <w:autoSpaceDE w:val="0"/>
              <w:autoSpaceDN w:val="0"/>
              <w:spacing w:line="240" w:lineRule="exact"/>
              <w:textAlignment w:val="bottom"/>
              <w:rPr>
                <w:rFonts w:ascii="Arial" w:hAnsi="Arial" w:cs="Arial"/>
                <w:sz w:val="16"/>
                <w:szCs w:val="18"/>
                <w:highlight w:val="none"/>
              </w:rPr>
            </w:pPr>
          </w:p>
        </w:tc>
        <w:tc>
          <w:tcPr>
            <w:tcW w:w="1813" w:type="dxa"/>
            <w:vAlign w:val="center"/>
          </w:tcPr>
          <w:p w14:paraId="73727D12">
            <w:pPr>
              <w:pStyle w:val="61"/>
              <w:autoSpaceDE w:val="0"/>
              <w:autoSpaceDN w:val="0"/>
              <w:spacing w:line="240" w:lineRule="exact"/>
              <w:textAlignment w:val="bottom"/>
              <w:rPr>
                <w:rFonts w:ascii="Arial" w:hAnsi="Arial" w:cs="Arial"/>
                <w:sz w:val="16"/>
                <w:szCs w:val="18"/>
                <w:highlight w:val="none"/>
              </w:rPr>
            </w:pPr>
            <w:r>
              <w:rPr>
                <w:rFonts w:ascii="Arial" w:hAnsi="Arial" w:cs="Arial"/>
                <w:sz w:val="16"/>
                <w:szCs w:val="18"/>
                <w:highlight w:val="none"/>
              </w:rPr>
              <w:t>修正系数</w:t>
            </w:r>
          </w:p>
        </w:tc>
        <w:tc>
          <w:tcPr>
            <w:tcW w:w="1813" w:type="dxa"/>
            <w:vAlign w:val="center"/>
          </w:tcPr>
          <w:p w14:paraId="0A3518F9">
            <w:pPr>
              <w:pStyle w:val="61"/>
              <w:autoSpaceDE w:val="0"/>
              <w:autoSpaceDN w:val="0"/>
              <w:spacing w:line="240" w:lineRule="exact"/>
              <w:textAlignment w:val="bottom"/>
              <w:rPr>
                <w:rFonts w:ascii="Arial" w:hAnsi="Arial" w:cs="Arial"/>
                <w:sz w:val="16"/>
                <w:szCs w:val="18"/>
                <w:highlight w:val="none"/>
              </w:rPr>
            </w:pPr>
            <w:r>
              <w:rPr>
                <w:rFonts w:ascii="Arial" w:hAnsi="Arial" w:cs="Arial"/>
                <w:sz w:val="16"/>
                <w:szCs w:val="18"/>
                <w:highlight w:val="none"/>
              </w:rPr>
              <w:t>1</w:t>
            </w:r>
          </w:p>
        </w:tc>
        <w:tc>
          <w:tcPr>
            <w:tcW w:w="1812" w:type="dxa"/>
            <w:vAlign w:val="center"/>
          </w:tcPr>
          <w:p w14:paraId="320BBEA2">
            <w:pPr>
              <w:pStyle w:val="61"/>
              <w:autoSpaceDE w:val="0"/>
              <w:autoSpaceDN w:val="0"/>
              <w:spacing w:line="240" w:lineRule="exact"/>
              <w:textAlignment w:val="bottom"/>
              <w:rPr>
                <w:rFonts w:ascii="Arial" w:hAnsi="Arial" w:cs="Arial"/>
                <w:sz w:val="16"/>
                <w:szCs w:val="18"/>
                <w:highlight w:val="none"/>
              </w:rPr>
            </w:pPr>
            <w:r>
              <w:rPr>
                <w:rFonts w:ascii="Arial" w:hAnsi="Arial" w:cs="Arial"/>
                <w:sz w:val="16"/>
                <w:szCs w:val="18"/>
                <w:highlight w:val="none"/>
              </w:rPr>
              <w:t>1</w:t>
            </w:r>
          </w:p>
        </w:tc>
        <w:tc>
          <w:tcPr>
            <w:tcW w:w="1813" w:type="dxa"/>
            <w:vAlign w:val="center"/>
          </w:tcPr>
          <w:p w14:paraId="079D0CD8">
            <w:pPr>
              <w:pStyle w:val="61"/>
              <w:autoSpaceDE w:val="0"/>
              <w:autoSpaceDN w:val="0"/>
              <w:spacing w:line="240" w:lineRule="exact"/>
              <w:textAlignment w:val="bottom"/>
              <w:rPr>
                <w:rFonts w:ascii="Arial" w:hAnsi="Arial" w:cs="Arial"/>
                <w:sz w:val="16"/>
                <w:szCs w:val="18"/>
                <w:highlight w:val="none"/>
              </w:rPr>
            </w:pPr>
            <w:r>
              <w:rPr>
                <w:rFonts w:ascii="Arial" w:hAnsi="Arial" w:cs="Arial"/>
                <w:sz w:val="16"/>
                <w:szCs w:val="18"/>
                <w:highlight w:val="none"/>
              </w:rPr>
              <w:t>1</w:t>
            </w:r>
          </w:p>
        </w:tc>
      </w:tr>
      <w:tr w14:paraId="03DCB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restart"/>
            <w:vAlign w:val="center"/>
          </w:tcPr>
          <w:p w14:paraId="0BF2E692">
            <w:pPr>
              <w:pStyle w:val="61"/>
              <w:autoSpaceDE w:val="0"/>
              <w:autoSpaceDN w:val="0"/>
              <w:spacing w:line="240" w:lineRule="exact"/>
              <w:textAlignment w:val="bottom"/>
              <w:rPr>
                <w:rFonts w:ascii="Arial" w:hAnsi="Arial" w:cs="Arial"/>
                <w:sz w:val="16"/>
                <w:szCs w:val="18"/>
                <w:highlight w:val="none"/>
              </w:rPr>
            </w:pPr>
            <w:r>
              <w:rPr>
                <w:rFonts w:ascii="Arial" w:hAnsi="Arial" w:cs="Arial"/>
                <w:sz w:val="16"/>
                <w:szCs w:val="18"/>
                <w:highlight w:val="none"/>
              </w:rPr>
              <w:t>统一计价单位</w:t>
            </w:r>
          </w:p>
        </w:tc>
        <w:tc>
          <w:tcPr>
            <w:tcW w:w="1813" w:type="dxa"/>
            <w:vAlign w:val="center"/>
          </w:tcPr>
          <w:p w14:paraId="00842F1B">
            <w:pPr>
              <w:pStyle w:val="61"/>
              <w:autoSpaceDE w:val="0"/>
              <w:autoSpaceDN w:val="0"/>
              <w:spacing w:line="240" w:lineRule="exact"/>
              <w:textAlignment w:val="bottom"/>
              <w:rPr>
                <w:rFonts w:ascii="Arial" w:hAnsi="Arial" w:cs="Arial"/>
                <w:sz w:val="16"/>
                <w:szCs w:val="18"/>
                <w:highlight w:val="none"/>
              </w:rPr>
            </w:pPr>
            <w:r>
              <w:rPr>
                <w:rFonts w:ascii="Arial" w:hAnsi="Arial" w:cs="Arial"/>
                <w:sz w:val="16"/>
                <w:szCs w:val="18"/>
                <w:highlight w:val="none"/>
              </w:rPr>
              <w:t>人民币，元/建筑平方米·</w:t>
            </w:r>
            <w:r>
              <w:rPr>
                <w:rFonts w:hint="eastAsia" w:ascii="Arial" w:hAnsi="Arial" w:cs="Arial"/>
                <w:sz w:val="16"/>
                <w:szCs w:val="18"/>
                <w:highlight w:val="none"/>
              </w:rPr>
              <w:t>月</w:t>
            </w:r>
          </w:p>
        </w:tc>
        <w:tc>
          <w:tcPr>
            <w:tcW w:w="1813" w:type="dxa"/>
            <w:vAlign w:val="center"/>
          </w:tcPr>
          <w:p w14:paraId="6A0FDDE5">
            <w:pPr>
              <w:pStyle w:val="61"/>
              <w:autoSpaceDE w:val="0"/>
              <w:autoSpaceDN w:val="0"/>
              <w:spacing w:line="240" w:lineRule="exact"/>
              <w:textAlignment w:val="bottom"/>
              <w:rPr>
                <w:rFonts w:ascii="Arial" w:hAnsi="Arial" w:cs="Arial"/>
                <w:sz w:val="16"/>
                <w:szCs w:val="18"/>
                <w:highlight w:val="none"/>
              </w:rPr>
            </w:pPr>
            <w:r>
              <w:rPr>
                <w:rFonts w:ascii="Arial" w:hAnsi="Arial" w:cs="Arial"/>
                <w:sz w:val="16"/>
                <w:szCs w:val="18"/>
                <w:highlight w:val="none"/>
              </w:rPr>
              <w:t>人民币，元/建筑平方米·</w:t>
            </w:r>
            <w:r>
              <w:rPr>
                <w:rFonts w:hint="eastAsia" w:ascii="Arial" w:hAnsi="Arial" w:cs="Arial"/>
                <w:sz w:val="16"/>
                <w:szCs w:val="18"/>
                <w:highlight w:val="none"/>
              </w:rPr>
              <w:t>月</w:t>
            </w:r>
          </w:p>
        </w:tc>
        <w:tc>
          <w:tcPr>
            <w:tcW w:w="1812" w:type="dxa"/>
            <w:vAlign w:val="center"/>
          </w:tcPr>
          <w:p w14:paraId="7DC09825">
            <w:pPr>
              <w:pStyle w:val="61"/>
              <w:autoSpaceDE w:val="0"/>
              <w:autoSpaceDN w:val="0"/>
              <w:spacing w:line="240" w:lineRule="exact"/>
              <w:textAlignment w:val="bottom"/>
              <w:rPr>
                <w:rFonts w:ascii="Arial" w:hAnsi="Arial" w:cs="Arial"/>
                <w:sz w:val="16"/>
                <w:szCs w:val="18"/>
                <w:highlight w:val="none"/>
              </w:rPr>
            </w:pPr>
            <w:r>
              <w:rPr>
                <w:rFonts w:ascii="Arial" w:hAnsi="Arial" w:cs="Arial"/>
                <w:sz w:val="16"/>
                <w:szCs w:val="18"/>
                <w:highlight w:val="none"/>
              </w:rPr>
              <w:t>人民币，元/建筑平方米·</w:t>
            </w:r>
            <w:r>
              <w:rPr>
                <w:rFonts w:hint="eastAsia" w:ascii="Arial" w:hAnsi="Arial" w:cs="Arial"/>
                <w:sz w:val="16"/>
                <w:szCs w:val="18"/>
                <w:highlight w:val="none"/>
              </w:rPr>
              <w:t>月</w:t>
            </w:r>
          </w:p>
        </w:tc>
        <w:tc>
          <w:tcPr>
            <w:tcW w:w="1813" w:type="dxa"/>
            <w:vAlign w:val="center"/>
          </w:tcPr>
          <w:p w14:paraId="6099B5B5">
            <w:pPr>
              <w:pStyle w:val="61"/>
              <w:autoSpaceDE w:val="0"/>
              <w:autoSpaceDN w:val="0"/>
              <w:spacing w:line="240" w:lineRule="exact"/>
              <w:textAlignment w:val="bottom"/>
              <w:rPr>
                <w:rFonts w:ascii="Arial" w:hAnsi="Arial" w:cs="Arial"/>
                <w:sz w:val="16"/>
                <w:szCs w:val="18"/>
                <w:highlight w:val="none"/>
              </w:rPr>
            </w:pPr>
            <w:r>
              <w:rPr>
                <w:rFonts w:ascii="Arial" w:hAnsi="Arial" w:cs="Arial"/>
                <w:sz w:val="16"/>
                <w:szCs w:val="18"/>
                <w:highlight w:val="none"/>
              </w:rPr>
              <w:t>人民币，元/建筑平方米·</w:t>
            </w:r>
            <w:r>
              <w:rPr>
                <w:rFonts w:hint="eastAsia" w:ascii="Arial" w:hAnsi="Arial" w:cs="Arial"/>
                <w:sz w:val="16"/>
                <w:szCs w:val="18"/>
                <w:highlight w:val="none"/>
              </w:rPr>
              <w:t>月</w:t>
            </w:r>
          </w:p>
        </w:tc>
      </w:tr>
      <w:tr w14:paraId="6B1E4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45F4EAA2">
            <w:pPr>
              <w:pStyle w:val="61"/>
              <w:autoSpaceDE w:val="0"/>
              <w:autoSpaceDN w:val="0"/>
              <w:spacing w:line="240" w:lineRule="exact"/>
              <w:textAlignment w:val="bottom"/>
              <w:rPr>
                <w:rFonts w:ascii="Arial" w:hAnsi="Arial" w:cs="Arial"/>
                <w:sz w:val="16"/>
                <w:szCs w:val="18"/>
                <w:highlight w:val="none"/>
              </w:rPr>
            </w:pPr>
          </w:p>
        </w:tc>
        <w:tc>
          <w:tcPr>
            <w:tcW w:w="1813" w:type="dxa"/>
            <w:vAlign w:val="center"/>
          </w:tcPr>
          <w:p w14:paraId="5FDA19FF">
            <w:pPr>
              <w:pStyle w:val="61"/>
              <w:autoSpaceDE w:val="0"/>
              <w:autoSpaceDN w:val="0"/>
              <w:spacing w:line="240" w:lineRule="exact"/>
              <w:textAlignment w:val="bottom"/>
              <w:rPr>
                <w:rFonts w:ascii="Arial" w:hAnsi="Arial" w:cs="Arial"/>
                <w:sz w:val="16"/>
                <w:szCs w:val="18"/>
                <w:highlight w:val="none"/>
              </w:rPr>
            </w:pPr>
            <w:r>
              <w:rPr>
                <w:rFonts w:ascii="Arial" w:hAnsi="Arial" w:cs="Arial"/>
                <w:sz w:val="16"/>
                <w:szCs w:val="18"/>
                <w:highlight w:val="none"/>
              </w:rPr>
              <w:t>修正系数</w:t>
            </w:r>
          </w:p>
        </w:tc>
        <w:tc>
          <w:tcPr>
            <w:tcW w:w="1813" w:type="dxa"/>
            <w:vAlign w:val="center"/>
          </w:tcPr>
          <w:p w14:paraId="4D2440F9">
            <w:pPr>
              <w:pStyle w:val="61"/>
              <w:autoSpaceDE w:val="0"/>
              <w:autoSpaceDN w:val="0"/>
              <w:spacing w:line="240" w:lineRule="exact"/>
              <w:textAlignment w:val="bottom"/>
              <w:rPr>
                <w:rFonts w:ascii="Arial" w:hAnsi="Arial" w:cs="Arial"/>
                <w:sz w:val="16"/>
                <w:szCs w:val="18"/>
                <w:highlight w:val="none"/>
              </w:rPr>
            </w:pPr>
            <w:r>
              <w:rPr>
                <w:rFonts w:ascii="Arial" w:hAnsi="Arial" w:cs="Arial"/>
                <w:sz w:val="16"/>
                <w:szCs w:val="18"/>
                <w:highlight w:val="none"/>
              </w:rPr>
              <w:t>1</w:t>
            </w:r>
          </w:p>
        </w:tc>
        <w:tc>
          <w:tcPr>
            <w:tcW w:w="1812" w:type="dxa"/>
            <w:vAlign w:val="center"/>
          </w:tcPr>
          <w:p w14:paraId="02DD7B89">
            <w:pPr>
              <w:pStyle w:val="61"/>
              <w:autoSpaceDE w:val="0"/>
              <w:autoSpaceDN w:val="0"/>
              <w:spacing w:line="240" w:lineRule="exact"/>
              <w:textAlignment w:val="bottom"/>
              <w:rPr>
                <w:rFonts w:ascii="Arial" w:hAnsi="Arial" w:cs="Arial"/>
                <w:sz w:val="16"/>
                <w:szCs w:val="18"/>
                <w:highlight w:val="none"/>
              </w:rPr>
            </w:pPr>
            <w:r>
              <w:rPr>
                <w:rFonts w:ascii="Arial" w:hAnsi="Arial" w:cs="Arial"/>
                <w:sz w:val="16"/>
                <w:szCs w:val="18"/>
                <w:highlight w:val="none"/>
              </w:rPr>
              <w:t>1</w:t>
            </w:r>
          </w:p>
        </w:tc>
        <w:tc>
          <w:tcPr>
            <w:tcW w:w="1813" w:type="dxa"/>
            <w:vAlign w:val="center"/>
          </w:tcPr>
          <w:p w14:paraId="05D8D98A">
            <w:pPr>
              <w:pStyle w:val="61"/>
              <w:autoSpaceDE w:val="0"/>
              <w:autoSpaceDN w:val="0"/>
              <w:spacing w:line="240" w:lineRule="exact"/>
              <w:textAlignment w:val="bottom"/>
              <w:rPr>
                <w:rFonts w:ascii="Arial" w:hAnsi="Arial" w:cs="Arial"/>
                <w:sz w:val="16"/>
                <w:szCs w:val="18"/>
                <w:highlight w:val="none"/>
              </w:rPr>
            </w:pPr>
            <w:r>
              <w:rPr>
                <w:rFonts w:ascii="Arial" w:hAnsi="Arial" w:cs="Arial"/>
                <w:sz w:val="16"/>
                <w:szCs w:val="18"/>
                <w:highlight w:val="none"/>
              </w:rPr>
              <w:t>1</w:t>
            </w:r>
          </w:p>
        </w:tc>
      </w:tr>
      <w:tr w14:paraId="65082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02BFD4B8">
            <w:pPr>
              <w:pStyle w:val="61"/>
              <w:autoSpaceDE w:val="0"/>
              <w:autoSpaceDN w:val="0"/>
              <w:spacing w:line="240" w:lineRule="exact"/>
              <w:textAlignment w:val="bottom"/>
              <w:rPr>
                <w:rFonts w:ascii="Arial" w:hAnsi="Arial" w:cs="Arial"/>
                <w:sz w:val="16"/>
                <w:szCs w:val="18"/>
                <w:highlight w:val="none"/>
              </w:rPr>
            </w:pPr>
            <w:r>
              <w:rPr>
                <w:rFonts w:ascii="Arial" w:hAnsi="Arial" w:cs="Arial"/>
                <w:sz w:val="16"/>
                <w:szCs w:val="18"/>
                <w:highlight w:val="none"/>
              </w:rPr>
              <w:t>价格（元/㎡·天）</w:t>
            </w:r>
          </w:p>
        </w:tc>
        <w:tc>
          <w:tcPr>
            <w:tcW w:w="1813" w:type="dxa"/>
            <w:vAlign w:val="center"/>
          </w:tcPr>
          <w:p w14:paraId="145045FA">
            <w:pPr>
              <w:pStyle w:val="61"/>
              <w:autoSpaceDE w:val="0"/>
              <w:autoSpaceDN w:val="0"/>
              <w:spacing w:line="240" w:lineRule="exact"/>
              <w:textAlignment w:val="bottom"/>
              <w:rPr>
                <w:rFonts w:ascii="Arial" w:hAnsi="Arial" w:cs="Arial"/>
                <w:sz w:val="16"/>
                <w:szCs w:val="18"/>
                <w:highlight w:val="none"/>
              </w:rPr>
            </w:pPr>
            <w:r>
              <w:rPr>
                <w:rFonts w:ascii="Arial" w:hAnsi="Arial" w:cs="Arial"/>
                <w:sz w:val="16"/>
                <w:szCs w:val="18"/>
                <w:highlight w:val="none"/>
              </w:rPr>
              <w:t>待估</w:t>
            </w:r>
          </w:p>
        </w:tc>
        <w:tc>
          <w:tcPr>
            <w:tcW w:w="1813" w:type="dxa"/>
            <w:vAlign w:val="center"/>
          </w:tcPr>
          <w:p w14:paraId="669944F6">
            <w:pPr>
              <w:autoSpaceDE w:val="0"/>
              <w:autoSpaceDN w:val="0"/>
              <w:spacing w:line="240" w:lineRule="exact"/>
              <w:jc w:val="center"/>
              <w:textAlignment w:val="bottom"/>
              <w:rPr>
                <w:rFonts w:ascii="Arial" w:hAnsi="Arial" w:cs="Arial"/>
                <w:sz w:val="16"/>
                <w:szCs w:val="18"/>
                <w:highlight w:val="none"/>
              </w:rPr>
            </w:pPr>
            <w:r>
              <w:rPr>
                <w:rFonts w:hint="eastAsia" w:ascii="Arial" w:hAnsi="Arial" w:cs="Arial"/>
                <w:sz w:val="16"/>
                <w:szCs w:val="18"/>
                <w:highlight w:val="none"/>
                <w:lang w:val="en-US" w:eastAsia="zh-CN"/>
              </w:rPr>
              <w:t>14.93</w:t>
            </w:r>
          </w:p>
        </w:tc>
        <w:tc>
          <w:tcPr>
            <w:tcW w:w="1812" w:type="dxa"/>
            <w:vAlign w:val="center"/>
          </w:tcPr>
          <w:p w14:paraId="20F78A9A">
            <w:pPr>
              <w:autoSpaceDE w:val="0"/>
              <w:autoSpaceDN w:val="0"/>
              <w:spacing w:line="240" w:lineRule="exact"/>
              <w:jc w:val="center"/>
              <w:textAlignment w:val="bottom"/>
              <w:rPr>
                <w:rFonts w:ascii="Arial" w:hAnsi="Arial" w:cs="Arial"/>
                <w:sz w:val="16"/>
                <w:szCs w:val="18"/>
                <w:highlight w:val="none"/>
              </w:rPr>
            </w:pPr>
            <w:r>
              <w:rPr>
                <w:rFonts w:hint="eastAsia" w:ascii="Arial" w:hAnsi="Arial" w:cs="Arial"/>
                <w:sz w:val="16"/>
                <w:szCs w:val="18"/>
                <w:highlight w:val="none"/>
                <w:lang w:val="en-US" w:eastAsia="zh-CN"/>
              </w:rPr>
              <w:t>16.52</w:t>
            </w:r>
          </w:p>
        </w:tc>
        <w:tc>
          <w:tcPr>
            <w:tcW w:w="1813" w:type="dxa"/>
            <w:vAlign w:val="center"/>
          </w:tcPr>
          <w:p w14:paraId="538D0BBD">
            <w:pPr>
              <w:autoSpaceDE w:val="0"/>
              <w:autoSpaceDN w:val="0"/>
              <w:spacing w:line="240" w:lineRule="exact"/>
              <w:jc w:val="center"/>
              <w:textAlignment w:val="bottom"/>
              <w:rPr>
                <w:rFonts w:ascii="Arial" w:hAnsi="Arial" w:cs="Arial"/>
                <w:sz w:val="16"/>
                <w:szCs w:val="18"/>
                <w:highlight w:val="none"/>
              </w:rPr>
            </w:pPr>
            <w:r>
              <w:rPr>
                <w:rFonts w:hint="eastAsia" w:ascii="Arial" w:hAnsi="Arial" w:cs="Arial"/>
                <w:sz w:val="16"/>
                <w:szCs w:val="18"/>
                <w:highlight w:val="none"/>
                <w:lang w:val="en-US" w:eastAsia="zh-CN"/>
              </w:rPr>
              <w:t>15.87</w:t>
            </w:r>
          </w:p>
        </w:tc>
      </w:tr>
    </w:tbl>
    <w:p w14:paraId="3A98FCF2">
      <w:pPr>
        <w:wordWrap w:val="0"/>
        <w:overflowPunct w:val="0"/>
        <w:spacing w:line="480" w:lineRule="auto"/>
        <w:rPr>
          <w:rFonts w:hint="eastAsia" w:ascii="宋体" w:hAnsi="宋体"/>
          <w:sz w:val="21"/>
          <w:szCs w:val="21"/>
          <w:highlight w:val="none"/>
        </w:rPr>
      </w:pPr>
    </w:p>
    <w:p w14:paraId="055A0099">
      <w:pPr>
        <w:wordWrap w:val="0"/>
        <w:overflowPunct w:val="0"/>
        <w:spacing w:line="480" w:lineRule="auto"/>
        <w:rPr>
          <w:rFonts w:ascii="宋体" w:hAnsi="宋体"/>
          <w:sz w:val="21"/>
          <w:szCs w:val="21"/>
          <w:highlight w:val="none"/>
        </w:rPr>
      </w:pPr>
      <w:r>
        <w:rPr>
          <w:rFonts w:hint="eastAsia" w:ascii="宋体" w:hAnsi="宋体"/>
          <w:sz w:val="21"/>
          <w:szCs w:val="21"/>
          <w:highlight w:val="none"/>
        </w:rPr>
        <w:t>各实例位置如下：</w:t>
      </w:r>
    </w:p>
    <w:tbl>
      <w:tblPr>
        <w:tblStyle w:val="33"/>
        <w:tblW w:w="9300" w:type="dxa"/>
        <w:jc w:val="center"/>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Layout w:type="fixed"/>
        <w:tblCellMar>
          <w:top w:w="28" w:type="dxa"/>
          <w:left w:w="28" w:type="dxa"/>
          <w:bottom w:w="28" w:type="dxa"/>
          <w:right w:w="28" w:type="dxa"/>
        </w:tblCellMar>
      </w:tblPr>
      <w:tblGrid>
        <w:gridCol w:w="9300"/>
      </w:tblGrid>
      <w:tr w14:paraId="678AA2DE">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28" w:type="dxa"/>
            <w:left w:w="28" w:type="dxa"/>
            <w:bottom w:w="28" w:type="dxa"/>
            <w:right w:w="28" w:type="dxa"/>
          </w:tblCellMar>
        </w:tblPrEx>
        <w:trPr>
          <w:cantSplit/>
          <w:jc w:val="center"/>
        </w:trPr>
        <w:tc>
          <w:tcPr>
            <w:tcW w:w="9300" w:type="dxa"/>
            <w:tcBorders>
              <w:top w:val="dotted" w:color="404040" w:sz="2" w:space="0"/>
              <w:left w:val="dotted" w:color="404040" w:sz="2" w:space="0"/>
              <w:bottom w:val="dotted" w:color="404040" w:sz="2" w:space="0"/>
              <w:right w:val="dotted" w:color="404040" w:sz="2" w:space="0"/>
            </w:tcBorders>
          </w:tcPr>
          <w:p w14:paraId="68D5A793">
            <w:pPr>
              <w:jc w:val="center"/>
              <w:rPr>
                <w:rFonts w:ascii="华文细黑" w:hAnsi="华文细黑" w:eastAsia="华文细黑"/>
                <w:highlight w:val="none"/>
              </w:rPr>
            </w:pPr>
            <w:r>
              <w:rPr>
                <w:rFonts w:hint="eastAsia" w:ascii="华文细黑" w:hAnsi="华文细黑" w:eastAsia="华文细黑"/>
                <w:highlight w:val="none"/>
              </w:rPr>
              <w:t>实例位置</w:t>
            </w:r>
          </w:p>
        </w:tc>
      </w:tr>
      <w:tr w14:paraId="5A795A88">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28" w:type="dxa"/>
            <w:left w:w="28" w:type="dxa"/>
            <w:bottom w:w="28" w:type="dxa"/>
            <w:right w:w="28" w:type="dxa"/>
          </w:tblCellMar>
        </w:tblPrEx>
        <w:trPr>
          <w:cantSplit/>
          <w:trHeight w:val="6166" w:hRule="atLeast"/>
          <w:jc w:val="center"/>
        </w:trPr>
        <w:tc>
          <w:tcPr>
            <w:tcW w:w="9300" w:type="dxa"/>
            <w:tcBorders>
              <w:top w:val="dotted" w:color="404040" w:sz="2" w:space="0"/>
              <w:left w:val="dotted" w:color="404040" w:sz="2" w:space="0"/>
              <w:bottom w:val="dotted" w:color="404040" w:sz="2" w:space="0"/>
              <w:right w:val="dotted" w:color="404040" w:sz="2" w:space="0"/>
            </w:tcBorders>
          </w:tcPr>
          <w:p w14:paraId="4C971123">
            <w:pPr>
              <w:jc w:val="center"/>
              <w:rPr>
                <w:rFonts w:ascii="Calibri" w:hAnsi="Calibri"/>
                <w:highlight w:val="none"/>
              </w:rPr>
            </w:pPr>
            <w:r>
              <w:drawing>
                <wp:inline distT="0" distB="0" distL="114300" distR="114300">
                  <wp:extent cx="5866130" cy="3993515"/>
                  <wp:effectExtent l="0" t="0" r="1270" b="14605"/>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43"/>
                          <a:stretch>
                            <a:fillRect/>
                          </a:stretch>
                        </pic:blipFill>
                        <pic:spPr>
                          <a:xfrm>
                            <a:off x="0" y="0"/>
                            <a:ext cx="5866130" cy="3993515"/>
                          </a:xfrm>
                          <a:prstGeom prst="rect">
                            <a:avLst/>
                          </a:prstGeom>
                          <a:noFill/>
                          <a:ln>
                            <a:noFill/>
                          </a:ln>
                        </pic:spPr>
                      </pic:pic>
                    </a:graphicData>
                  </a:graphic>
                </wp:inline>
              </w:drawing>
            </w:r>
          </w:p>
        </w:tc>
      </w:tr>
    </w:tbl>
    <w:p w14:paraId="7C93060B">
      <w:pPr>
        <w:rPr>
          <w:highlight w:val="none"/>
        </w:rPr>
      </w:pPr>
    </w:p>
    <w:p w14:paraId="2F5BD0C1">
      <w:pPr>
        <w:wordWrap w:val="0"/>
        <w:overflowPunct w:val="0"/>
        <w:spacing w:line="480" w:lineRule="auto"/>
        <w:ind w:firstLine="420" w:firstLineChars="200"/>
        <w:rPr>
          <w:rFonts w:ascii="Arial" w:hAnsi="Arial"/>
          <w:sz w:val="21"/>
          <w:szCs w:val="21"/>
          <w:highlight w:val="none"/>
        </w:rPr>
      </w:pPr>
      <w:r>
        <w:rPr>
          <w:rFonts w:ascii="Arial" w:hAnsi="Arial"/>
          <w:sz w:val="21"/>
          <w:szCs w:val="21"/>
          <w:highlight w:val="none"/>
        </w:rPr>
        <w:br w:type="page"/>
      </w:r>
      <w:r>
        <w:rPr>
          <w:rFonts w:hint="eastAsia" w:ascii="Arial" w:hAnsi="Arial"/>
          <w:sz w:val="21"/>
          <w:szCs w:val="21"/>
          <w:highlight w:val="none"/>
        </w:rPr>
        <w:t>（1）建立比较因素条件说明表</w:t>
      </w:r>
      <w:r>
        <w:rPr>
          <w:rFonts w:ascii="Arial" w:hAnsi="Arial"/>
          <w:sz w:val="21"/>
          <w:szCs w:val="21"/>
          <w:highlight w:val="none"/>
        </w:rPr>
        <w:t xml:space="preserve"> </w:t>
      </w:r>
    </w:p>
    <w:p w14:paraId="70644038">
      <w:pPr>
        <w:wordWrap w:val="0"/>
        <w:overflowPunct w:val="0"/>
        <w:spacing w:line="480" w:lineRule="auto"/>
        <w:ind w:firstLine="420" w:firstLineChars="200"/>
        <w:rPr>
          <w:rFonts w:ascii="Arial" w:hAnsi="Arial"/>
          <w:sz w:val="21"/>
          <w:szCs w:val="21"/>
          <w:highlight w:val="none"/>
        </w:rPr>
      </w:pPr>
      <w:r>
        <w:rPr>
          <w:rFonts w:ascii="Arial" w:hAnsi="Arial"/>
          <w:sz w:val="21"/>
          <w:szCs w:val="21"/>
          <w:highlight w:val="none"/>
        </w:rPr>
        <w:t>参与比较的因素条件应是对估价对象与可比实例小区之间的价格差异产生作用的因素，通过对估价对象各自特点的分析，本次估价选择了区域状况、实物状况进行比较，详见比较因素情况描述表</w:t>
      </w:r>
      <w:r>
        <w:rPr>
          <w:rFonts w:hint="eastAsia" w:ascii="Arial" w:hAnsi="Arial"/>
          <w:sz w:val="21"/>
          <w:szCs w:val="21"/>
          <w:highlight w:val="none"/>
        </w:rPr>
        <w:t>：</w:t>
      </w:r>
    </w:p>
    <w:p w14:paraId="5100A8D1">
      <w:pPr>
        <w:overflowPunct w:val="0"/>
        <w:spacing w:line="480" w:lineRule="auto"/>
        <w:ind w:firstLine="420" w:firstLineChars="200"/>
        <w:jc w:val="center"/>
        <w:rPr>
          <w:rFonts w:ascii="Arial" w:hAnsi="Arial"/>
          <w:sz w:val="21"/>
          <w:szCs w:val="21"/>
          <w:highlight w:val="none"/>
        </w:rPr>
      </w:pPr>
      <w:r>
        <w:rPr>
          <w:rFonts w:hint="eastAsia" w:ascii="Arial" w:hAnsi="Arial"/>
          <w:sz w:val="21"/>
          <w:szCs w:val="21"/>
          <w:highlight w:val="none"/>
        </w:rPr>
        <w:t>比较因素情况描述表</w:t>
      </w:r>
    </w:p>
    <w:tbl>
      <w:tblPr>
        <w:tblStyle w:val="33"/>
        <w:tblW w:w="5000" w:type="pct"/>
        <w:jc w:val="center"/>
        <w:tblLayout w:type="autofit"/>
        <w:tblCellMar>
          <w:top w:w="0" w:type="dxa"/>
          <w:left w:w="108" w:type="dxa"/>
          <w:bottom w:w="0" w:type="dxa"/>
          <w:right w:w="108" w:type="dxa"/>
        </w:tblCellMar>
      </w:tblPr>
      <w:tblGrid>
        <w:gridCol w:w="690"/>
        <w:gridCol w:w="1446"/>
        <w:gridCol w:w="1844"/>
        <w:gridCol w:w="1844"/>
        <w:gridCol w:w="1844"/>
        <w:gridCol w:w="1847"/>
      </w:tblGrid>
      <w:tr w14:paraId="7D360C9C">
        <w:tblPrEx>
          <w:tblCellMar>
            <w:top w:w="0" w:type="dxa"/>
            <w:left w:w="108" w:type="dxa"/>
            <w:bottom w:w="0" w:type="dxa"/>
            <w:right w:w="108" w:type="dxa"/>
          </w:tblCellMar>
        </w:tblPrEx>
        <w:trPr>
          <w:trHeight w:val="397" w:hRule="atLeast"/>
          <w:tblHeader/>
          <w:jc w:val="center"/>
        </w:trPr>
        <w:tc>
          <w:tcPr>
            <w:tcW w:w="1122" w:type="pct"/>
            <w:gridSpan w:val="2"/>
            <w:tcBorders>
              <w:top w:val="single" w:color="auto" w:sz="4" w:space="0"/>
              <w:left w:val="single" w:color="auto" w:sz="4" w:space="0"/>
              <w:bottom w:val="single" w:color="auto" w:sz="4" w:space="0"/>
              <w:right w:val="single" w:color="000000" w:sz="4" w:space="0"/>
            </w:tcBorders>
            <w:vAlign w:val="center"/>
          </w:tcPr>
          <w:p w14:paraId="21593929">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项目</w:t>
            </w:r>
          </w:p>
        </w:tc>
        <w:tc>
          <w:tcPr>
            <w:tcW w:w="968" w:type="pct"/>
            <w:tcBorders>
              <w:top w:val="single" w:color="auto" w:sz="4" w:space="0"/>
              <w:left w:val="nil"/>
              <w:bottom w:val="single" w:color="auto" w:sz="4" w:space="0"/>
              <w:right w:val="single" w:color="auto" w:sz="4" w:space="0"/>
            </w:tcBorders>
            <w:vAlign w:val="center"/>
          </w:tcPr>
          <w:p w14:paraId="76F2AE8F">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估价对象</w:t>
            </w:r>
          </w:p>
        </w:tc>
        <w:tc>
          <w:tcPr>
            <w:tcW w:w="968" w:type="pct"/>
            <w:tcBorders>
              <w:top w:val="single" w:color="auto" w:sz="4" w:space="0"/>
              <w:left w:val="nil"/>
              <w:bottom w:val="single" w:color="auto" w:sz="4" w:space="0"/>
              <w:right w:val="single" w:color="auto" w:sz="4" w:space="0"/>
            </w:tcBorders>
            <w:vAlign w:val="center"/>
          </w:tcPr>
          <w:p w14:paraId="571FADE4">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可比实例4</w:t>
            </w:r>
          </w:p>
        </w:tc>
        <w:tc>
          <w:tcPr>
            <w:tcW w:w="968" w:type="pct"/>
            <w:tcBorders>
              <w:top w:val="single" w:color="auto" w:sz="4" w:space="0"/>
              <w:left w:val="nil"/>
              <w:bottom w:val="single" w:color="auto" w:sz="4" w:space="0"/>
              <w:right w:val="single" w:color="auto" w:sz="4" w:space="0"/>
            </w:tcBorders>
            <w:vAlign w:val="center"/>
          </w:tcPr>
          <w:p w14:paraId="755EED19">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可比实例5</w:t>
            </w:r>
          </w:p>
        </w:tc>
        <w:tc>
          <w:tcPr>
            <w:tcW w:w="970" w:type="pct"/>
            <w:tcBorders>
              <w:top w:val="single" w:color="auto" w:sz="4" w:space="0"/>
              <w:left w:val="nil"/>
              <w:bottom w:val="single" w:color="auto" w:sz="4" w:space="0"/>
              <w:right w:val="single" w:color="auto" w:sz="4" w:space="0"/>
            </w:tcBorders>
            <w:vAlign w:val="center"/>
          </w:tcPr>
          <w:p w14:paraId="55BAE027">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可比案例6</w:t>
            </w:r>
          </w:p>
        </w:tc>
      </w:tr>
      <w:tr w14:paraId="37320E0F">
        <w:tblPrEx>
          <w:tblCellMar>
            <w:top w:w="0" w:type="dxa"/>
            <w:left w:w="108" w:type="dxa"/>
            <w:bottom w:w="0" w:type="dxa"/>
            <w:right w:w="108" w:type="dxa"/>
          </w:tblCellMar>
        </w:tblPrEx>
        <w:trPr>
          <w:trHeight w:val="397" w:hRule="atLeast"/>
          <w:tblHeader/>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1D8EB1B6">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小区名称</w:t>
            </w:r>
          </w:p>
        </w:tc>
        <w:tc>
          <w:tcPr>
            <w:tcW w:w="968" w:type="pct"/>
            <w:tcBorders>
              <w:top w:val="nil"/>
              <w:left w:val="nil"/>
              <w:bottom w:val="single" w:color="auto" w:sz="4" w:space="0"/>
              <w:right w:val="single" w:color="auto" w:sz="4" w:space="0"/>
            </w:tcBorders>
            <w:vAlign w:val="center"/>
          </w:tcPr>
          <w:p w14:paraId="06446278">
            <w:pPr>
              <w:pStyle w:val="61"/>
              <w:autoSpaceDE w:val="0"/>
              <w:autoSpaceDN w:val="0"/>
              <w:spacing w:line="240" w:lineRule="exact"/>
              <w:textAlignment w:val="bottom"/>
              <w:rPr>
                <w:rFonts w:hint="eastAsia" w:ascii="Arial" w:hAnsi="Arial" w:eastAsia="宋体" w:cs="Arial"/>
                <w:sz w:val="16"/>
                <w:szCs w:val="18"/>
                <w:highlight w:val="none"/>
                <w:lang w:eastAsia="zh-CN"/>
              </w:rPr>
            </w:pPr>
            <w:r>
              <w:rPr>
                <w:rFonts w:hint="eastAsia" w:ascii="Arial" w:hAnsi="Arial" w:cs="Arial"/>
                <w:sz w:val="16"/>
                <w:szCs w:val="18"/>
                <w:highlight w:val="none"/>
                <w:lang w:eastAsia="zh-CN"/>
              </w:rPr>
              <w:t>育新花园</w:t>
            </w:r>
          </w:p>
        </w:tc>
        <w:tc>
          <w:tcPr>
            <w:tcW w:w="968" w:type="pct"/>
            <w:tcBorders>
              <w:top w:val="nil"/>
              <w:left w:val="nil"/>
              <w:bottom w:val="single" w:color="auto" w:sz="4" w:space="0"/>
              <w:right w:val="single" w:color="auto" w:sz="4" w:space="0"/>
            </w:tcBorders>
            <w:vAlign w:val="center"/>
          </w:tcPr>
          <w:p w14:paraId="088256C9">
            <w:pPr>
              <w:widowControl/>
              <w:snapToGrid w:val="0"/>
              <w:spacing w:line="240" w:lineRule="exact"/>
              <w:jc w:val="center"/>
              <w:textAlignment w:val="center"/>
              <w:rPr>
                <w:rFonts w:ascii="Arial" w:hAnsi="Arial" w:cs="Arial"/>
                <w:sz w:val="16"/>
                <w:szCs w:val="18"/>
                <w:highlight w:val="none"/>
              </w:rPr>
            </w:pPr>
            <w:r>
              <w:rPr>
                <w:rFonts w:hint="eastAsia" w:ascii="Arial" w:hAnsi="Arial" w:cs="Arial"/>
                <w:sz w:val="16"/>
                <w:szCs w:val="18"/>
                <w:highlight w:val="none"/>
              </w:rPr>
              <w:t>当代采育满庭春MOMA</w:t>
            </w:r>
          </w:p>
        </w:tc>
        <w:tc>
          <w:tcPr>
            <w:tcW w:w="968" w:type="pct"/>
            <w:tcBorders>
              <w:top w:val="nil"/>
              <w:left w:val="nil"/>
              <w:bottom w:val="single" w:color="auto" w:sz="4" w:space="0"/>
              <w:right w:val="single" w:color="auto" w:sz="4" w:space="0"/>
            </w:tcBorders>
            <w:vAlign w:val="center"/>
          </w:tcPr>
          <w:p w14:paraId="0B48118C">
            <w:pPr>
              <w:widowControl/>
              <w:snapToGrid w:val="0"/>
              <w:spacing w:line="240" w:lineRule="exact"/>
              <w:jc w:val="center"/>
              <w:textAlignment w:val="center"/>
              <w:rPr>
                <w:rFonts w:ascii="Arial" w:hAnsi="Arial" w:cs="Arial"/>
                <w:sz w:val="16"/>
                <w:szCs w:val="18"/>
                <w:highlight w:val="none"/>
              </w:rPr>
            </w:pPr>
            <w:r>
              <w:rPr>
                <w:rFonts w:hint="eastAsia" w:ascii="Arial" w:hAnsi="Arial" w:cs="Arial"/>
                <w:sz w:val="16"/>
                <w:szCs w:val="18"/>
                <w:highlight w:val="none"/>
              </w:rPr>
              <w:t>当代采育满庭春MOMA</w:t>
            </w:r>
          </w:p>
        </w:tc>
        <w:tc>
          <w:tcPr>
            <w:tcW w:w="970" w:type="pct"/>
            <w:tcBorders>
              <w:top w:val="nil"/>
              <w:left w:val="nil"/>
              <w:bottom w:val="single" w:color="auto" w:sz="4" w:space="0"/>
              <w:right w:val="single" w:color="auto" w:sz="4" w:space="0"/>
            </w:tcBorders>
            <w:vAlign w:val="center"/>
          </w:tcPr>
          <w:p w14:paraId="66D5E7FF">
            <w:pPr>
              <w:widowControl/>
              <w:snapToGrid w:val="0"/>
              <w:spacing w:line="240" w:lineRule="exact"/>
              <w:jc w:val="center"/>
              <w:textAlignment w:val="center"/>
              <w:rPr>
                <w:rFonts w:ascii="Arial" w:hAnsi="Arial" w:cs="Arial"/>
                <w:sz w:val="16"/>
                <w:szCs w:val="18"/>
                <w:highlight w:val="none"/>
              </w:rPr>
            </w:pPr>
            <w:r>
              <w:rPr>
                <w:rFonts w:hint="eastAsia" w:ascii="Arial" w:hAnsi="Arial" w:cs="Arial"/>
                <w:sz w:val="16"/>
                <w:szCs w:val="18"/>
                <w:highlight w:val="none"/>
                <w:lang w:val="en-US" w:eastAsia="zh-CN"/>
              </w:rPr>
              <w:t>蓝天花园</w:t>
            </w:r>
          </w:p>
        </w:tc>
      </w:tr>
      <w:tr w14:paraId="4683DD77">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165228EC">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平均租金（元/平方米·月）</w:t>
            </w:r>
          </w:p>
        </w:tc>
        <w:tc>
          <w:tcPr>
            <w:tcW w:w="968" w:type="pct"/>
            <w:tcBorders>
              <w:top w:val="nil"/>
              <w:left w:val="nil"/>
              <w:bottom w:val="single" w:color="auto" w:sz="4" w:space="0"/>
              <w:right w:val="single" w:color="auto" w:sz="4" w:space="0"/>
            </w:tcBorders>
            <w:vAlign w:val="center"/>
          </w:tcPr>
          <w:p w14:paraId="68F8A68C">
            <w:pPr>
              <w:pStyle w:val="61"/>
              <w:autoSpaceDE w:val="0"/>
              <w:autoSpaceDN w:val="0"/>
              <w:spacing w:line="240" w:lineRule="exact"/>
              <w:textAlignment w:val="bottom"/>
              <w:rPr>
                <w:rFonts w:ascii="Arial" w:hAnsi="Arial" w:cs="Arial"/>
                <w:sz w:val="16"/>
                <w:szCs w:val="18"/>
                <w:highlight w:val="none"/>
              </w:rPr>
            </w:pPr>
            <w:r>
              <w:rPr>
                <w:rFonts w:ascii="Arial" w:hAnsi="Arial" w:cs="Arial"/>
                <w:sz w:val="16"/>
                <w:szCs w:val="18"/>
                <w:highlight w:val="none"/>
              </w:rPr>
              <w:t>待估</w:t>
            </w:r>
          </w:p>
        </w:tc>
        <w:tc>
          <w:tcPr>
            <w:tcW w:w="968" w:type="pct"/>
            <w:tcBorders>
              <w:top w:val="nil"/>
              <w:left w:val="nil"/>
              <w:bottom w:val="single" w:color="auto" w:sz="4" w:space="0"/>
              <w:right w:val="single" w:color="auto" w:sz="4" w:space="0"/>
            </w:tcBorders>
            <w:vAlign w:val="center"/>
          </w:tcPr>
          <w:p w14:paraId="261A2745">
            <w:pPr>
              <w:pStyle w:val="61"/>
              <w:autoSpaceDE w:val="0"/>
              <w:autoSpaceDN w:val="0"/>
              <w:snapToGrid w:val="0"/>
              <w:spacing w:line="240" w:lineRule="exact"/>
              <w:textAlignment w:val="bottom"/>
              <w:rPr>
                <w:rFonts w:ascii="Arial" w:hAnsi="Arial" w:cs="Arial"/>
                <w:sz w:val="16"/>
                <w:szCs w:val="18"/>
                <w:highlight w:val="none"/>
              </w:rPr>
            </w:pPr>
            <w:r>
              <w:rPr>
                <w:rFonts w:hint="eastAsia" w:ascii="Arial" w:hAnsi="Arial" w:cs="Arial"/>
                <w:sz w:val="16"/>
                <w:szCs w:val="18"/>
                <w:highlight w:val="none"/>
                <w:lang w:val="en-US" w:eastAsia="zh-CN"/>
              </w:rPr>
              <w:t>20.09</w:t>
            </w:r>
          </w:p>
        </w:tc>
        <w:tc>
          <w:tcPr>
            <w:tcW w:w="968" w:type="pct"/>
            <w:tcBorders>
              <w:top w:val="nil"/>
              <w:left w:val="nil"/>
              <w:bottom w:val="single" w:color="auto" w:sz="4" w:space="0"/>
              <w:right w:val="single" w:color="auto" w:sz="4" w:space="0"/>
            </w:tcBorders>
            <w:vAlign w:val="center"/>
          </w:tcPr>
          <w:p w14:paraId="546156CF">
            <w:pPr>
              <w:pStyle w:val="61"/>
              <w:autoSpaceDE w:val="0"/>
              <w:autoSpaceDN w:val="0"/>
              <w:snapToGrid w:val="0"/>
              <w:spacing w:line="240" w:lineRule="exact"/>
              <w:textAlignment w:val="bottom"/>
              <w:rPr>
                <w:rFonts w:ascii="Arial" w:hAnsi="Arial" w:cs="Arial"/>
                <w:sz w:val="16"/>
                <w:szCs w:val="18"/>
                <w:highlight w:val="none"/>
              </w:rPr>
            </w:pPr>
            <w:r>
              <w:rPr>
                <w:rFonts w:hint="eastAsia" w:ascii="Arial" w:hAnsi="Arial" w:cs="Arial"/>
                <w:sz w:val="16"/>
                <w:szCs w:val="18"/>
                <w:highlight w:val="none"/>
                <w:lang w:val="en-US" w:eastAsia="zh-CN"/>
              </w:rPr>
              <w:t>21.68</w:t>
            </w:r>
          </w:p>
        </w:tc>
        <w:tc>
          <w:tcPr>
            <w:tcW w:w="970" w:type="pct"/>
            <w:tcBorders>
              <w:top w:val="nil"/>
              <w:left w:val="nil"/>
              <w:bottom w:val="single" w:color="auto" w:sz="4" w:space="0"/>
              <w:right w:val="single" w:color="auto" w:sz="4" w:space="0"/>
            </w:tcBorders>
            <w:vAlign w:val="center"/>
          </w:tcPr>
          <w:p w14:paraId="354C2DC0">
            <w:pPr>
              <w:pStyle w:val="61"/>
              <w:autoSpaceDE w:val="0"/>
              <w:autoSpaceDN w:val="0"/>
              <w:snapToGrid w:val="0"/>
              <w:spacing w:line="240" w:lineRule="exact"/>
              <w:textAlignment w:val="bottom"/>
              <w:rPr>
                <w:rFonts w:ascii="Arial" w:hAnsi="Arial" w:cs="Arial"/>
                <w:sz w:val="16"/>
                <w:szCs w:val="18"/>
                <w:highlight w:val="none"/>
              </w:rPr>
            </w:pPr>
            <w:r>
              <w:rPr>
                <w:rFonts w:hint="eastAsia" w:ascii="Arial" w:hAnsi="Arial" w:cs="Arial"/>
                <w:sz w:val="16"/>
                <w:szCs w:val="18"/>
                <w:highlight w:val="none"/>
                <w:lang w:val="en-US" w:eastAsia="zh-CN"/>
              </w:rPr>
              <w:t>19.83</w:t>
            </w:r>
          </w:p>
        </w:tc>
      </w:tr>
      <w:tr w14:paraId="37CC4714">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4BD3F958">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交易时间</w:t>
            </w:r>
          </w:p>
        </w:tc>
        <w:tc>
          <w:tcPr>
            <w:tcW w:w="968" w:type="pct"/>
            <w:tcBorders>
              <w:top w:val="nil"/>
              <w:left w:val="nil"/>
              <w:bottom w:val="single" w:color="auto" w:sz="4" w:space="0"/>
              <w:right w:val="single" w:color="auto" w:sz="4" w:space="0"/>
            </w:tcBorders>
            <w:vAlign w:val="center"/>
          </w:tcPr>
          <w:p w14:paraId="1E117A04">
            <w:pPr>
              <w:widowControl/>
              <w:adjustRightInd/>
              <w:spacing w:line="240" w:lineRule="auto"/>
              <w:jc w:val="center"/>
              <w:textAlignment w:val="auto"/>
              <w:rPr>
                <w:rFonts w:hint="eastAsia" w:ascii="Arial" w:hAnsi="Arial" w:eastAsia="宋体" w:cs="Arial"/>
                <w:sz w:val="16"/>
                <w:szCs w:val="18"/>
                <w:highlight w:val="none"/>
                <w:lang w:eastAsia="zh-CN"/>
              </w:rPr>
            </w:pPr>
            <w:r>
              <w:rPr>
                <w:rFonts w:hint="eastAsia" w:ascii="Arial" w:hAnsi="Arial" w:cs="Arial"/>
                <w:sz w:val="16"/>
                <w:szCs w:val="18"/>
                <w:highlight w:val="none"/>
                <w:lang w:eastAsia="zh-CN"/>
              </w:rPr>
              <w:t>2025年12月26日</w:t>
            </w:r>
          </w:p>
        </w:tc>
        <w:tc>
          <w:tcPr>
            <w:tcW w:w="968" w:type="pct"/>
            <w:tcBorders>
              <w:top w:val="nil"/>
              <w:left w:val="nil"/>
              <w:bottom w:val="single" w:color="auto" w:sz="4" w:space="0"/>
              <w:right w:val="single" w:color="auto" w:sz="4" w:space="0"/>
            </w:tcBorders>
            <w:vAlign w:val="center"/>
          </w:tcPr>
          <w:p w14:paraId="1F82A526">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202</w:t>
            </w:r>
            <w:r>
              <w:rPr>
                <w:rFonts w:hint="eastAsia" w:ascii="Arial" w:hAnsi="Arial" w:cs="Arial"/>
                <w:sz w:val="16"/>
                <w:szCs w:val="18"/>
                <w:highlight w:val="none"/>
                <w:lang w:val="en-US" w:eastAsia="zh-CN"/>
              </w:rPr>
              <w:t>5</w:t>
            </w:r>
            <w:r>
              <w:rPr>
                <w:rFonts w:ascii="Arial" w:hAnsi="Arial" w:cs="Arial"/>
                <w:sz w:val="16"/>
                <w:szCs w:val="18"/>
                <w:highlight w:val="none"/>
              </w:rPr>
              <w:t>年</w:t>
            </w:r>
            <w:r>
              <w:rPr>
                <w:rFonts w:hint="eastAsia" w:ascii="Arial" w:hAnsi="Arial" w:cs="Arial"/>
                <w:sz w:val="16"/>
                <w:szCs w:val="18"/>
                <w:highlight w:val="none"/>
                <w:lang w:val="en-US" w:eastAsia="zh-CN"/>
              </w:rPr>
              <w:t>12</w:t>
            </w:r>
            <w:r>
              <w:rPr>
                <w:rFonts w:ascii="Arial" w:hAnsi="Arial" w:cs="Arial"/>
                <w:sz w:val="16"/>
                <w:szCs w:val="18"/>
                <w:highlight w:val="none"/>
              </w:rPr>
              <w:t>月</w:t>
            </w:r>
          </w:p>
        </w:tc>
        <w:tc>
          <w:tcPr>
            <w:tcW w:w="968" w:type="pct"/>
            <w:tcBorders>
              <w:top w:val="nil"/>
              <w:left w:val="nil"/>
              <w:bottom w:val="single" w:color="auto" w:sz="4" w:space="0"/>
              <w:right w:val="single" w:color="auto" w:sz="4" w:space="0"/>
            </w:tcBorders>
            <w:vAlign w:val="center"/>
          </w:tcPr>
          <w:p w14:paraId="72067765">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202</w:t>
            </w:r>
            <w:r>
              <w:rPr>
                <w:rFonts w:hint="eastAsia" w:ascii="Arial" w:hAnsi="Arial" w:cs="Arial"/>
                <w:sz w:val="16"/>
                <w:szCs w:val="18"/>
                <w:highlight w:val="none"/>
                <w:lang w:val="en-US" w:eastAsia="zh-CN"/>
              </w:rPr>
              <w:t>5</w:t>
            </w:r>
            <w:r>
              <w:rPr>
                <w:rFonts w:ascii="Arial" w:hAnsi="Arial" w:cs="Arial"/>
                <w:sz w:val="16"/>
                <w:szCs w:val="18"/>
                <w:highlight w:val="none"/>
              </w:rPr>
              <w:t>年</w:t>
            </w:r>
            <w:r>
              <w:rPr>
                <w:rFonts w:hint="eastAsia" w:ascii="Arial" w:hAnsi="Arial" w:cs="Arial"/>
                <w:sz w:val="16"/>
                <w:szCs w:val="18"/>
                <w:highlight w:val="none"/>
                <w:lang w:val="en-US" w:eastAsia="zh-CN"/>
              </w:rPr>
              <w:t>12</w:t>
            </w:r>
            <w:r>
              <w:rPr>
                <w:rFonts w:ascii="Arial" w:hAnsi="Arial" w:cs="Arial"/>
                <w:sz w:val="16"/>
                <w:szCs w:val="18"/>
                <w:highlight w:val="none"/>
              </w:rPr>
              <w:t>月</w:t>
            </w:r>
          </w:p>
        </w:tc>
        <w:tc>
          <w:tcPr>
            <w:tcW w:w="970" w:type="pct"/>
            <w:tcBorders>
              <w:top w:val="nil"/>
              <w:left w:val="nil"/>
              <w:bottom w:val="single" w:color="auto" w:sz="4" w:space="0"/>
              <w:right w:val="single" w:color="auto" w:sz="4" w:space="0"/>
            </w:tcBorders>
            <w:vAlign w:val="center"/>
          </w:tcPr>
          <w:p w14:paraId="7D1F60AA">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202</w:t>
            </w:r>
            <w:r>
              <w:rPr>
                <w:rFonts w:hint="eastAsia" w:ascii="Arial" w:hAnsi="Arial" w:cs="Arial"/>
                <w:sz w:val="16"/>
                <w:szCs w:val="18"/>
                <w:highlight w:val="none"/>
                <w:lang w:val="en-US" w:eastAsia="zh-CN"/>
              </w:rPr>
              <w:t>5</w:t>
            </w:r>
            <w:r>
              <w:rPr>
                <w:rFonts w:ascii="Arial" w:hAnsi="Arial" w:cs="Arial"/>
                <w:sz w:val="16"/>
                <w:szCs w:val="18"/>
                <w:highlight w:val="none"/>
              </w:rPr>
              <w:t>年</w:t>
            </w:r>
            <w:r>
              <w:rPr>
                <w:rFonts w:hint="eastAsia" w:ascii="Arial" w:hAnsi="Arial" w:cs="Arial"/>
                <w:sz w:val="16"/>
                <w:szCs w:val="18"/>
                <w:highlight w:val="none"/>
                <w:lang w:val="en-US" w:eastAsia="zh-CN"/>
              </w:rPr>
              <w:t>12</w:t>
            </w:r>
            <w:r>
              <w:rPr>
                <w:rFonts w:ascii="Arial" w:hAnsi="Arial" w:cs="Arial"/>
                <w:sz w:val="16"/>
                <w:szCs w:val="18"/>
                <w:highlight w:val="none"/>
              </w:rPr>
              <w:t>月</w:t>
            </w:r>
          </w:p>
        </w:tc>
      </w:tr>
      <w:tr w14:paraId="0CA6CD41">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32CFA4B5">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交易情况</w:t>
            </w:r>
          </w:p>
        </w:tc>
        <w:tc>
          <w:tcPr>
            <w:tcW w:w="968" w:type="pct"/>
            <w:tcBorders>
              <w:top w:val="nil"/>
              <w:left w:val="nil"/>
              <w:bottom w:val="single" w:color="auto" w:sz="4" w:space="0"/>
              <w:right w:val="single" w:color="auto" w:sz="4" w:space="0"/>
            </w:tcBorders>
            <w:vAlign w:val="center"/>
          </w:tcPr>
          <w:p w14:paraId="62EE7072">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正常</w:t>
            </w:r>
          </w:p>
        </w:tc>
        <w:tc>
          <w:tcPr>
            <w:tcW w:w="968" w:type="pct"/>
            <w:tcBorders>
              <w:top w:val="nil"/>
              <w:left w:val="nil"/>
              <w:bottom w:val="single" w:color="auto" w:sz="4" w:space="0"/>
              <w:right w:val="single" w:color="auto" w:sz="4" w:space="0"/>
            </w:tcBorders>
            <w:vAlign w:val="center"/>
          </w:tcPr>
          <w:p w14:paraId="705CA432">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正常</w:t>
            </w:r>
          </w:p>
        </w:tc>
        <w:tc>
          <w:tcPr>
            <w:tcW w:w="968" w:type="pct"/>
            <w:tcBorders>
              <w:top w:val="nil"/>
              <w:left w:val="nil"/>
              <w:bottom w:val="single" w:color="auto" w:sz="4" w:space="0"/>
              <w:right w:val="single" w:color="auto" w:sz="4" w:space="0"/>
            </w:tcBorders>
            <w:vAlign w:val="center"/>
          </w:tcPr>
          <w:p w14:paraId="2D1409C0">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正常</w:t>
            </w:r>
          </w:p>
        </w:tc>
        <w:tc>
          <w:tcPr>
            <w:tcW w:w="970" w:type="pct"/>
            <w:tcBorders>
              <w:top w:val="nil"/>
              <w:left w:val="nil"/>
              <w:bottom w:val="single" w:color="auto" w:sz="4" w:space="0"/>
              <w:right w:val="single" w:color="auto" w:sz="4" w:space="0"/>
            </w:tcBorders>
            <w:vAlign w:val="center"/>
          </w:tcPr>
          <w:p w14:paraId="74C6E0B1">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正常</w:t>
            </w:r>
          </w:p>
        </w:tc>
      </w:tr>
      <w:tr w14:paraId="21818D03">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761D0044">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项目类型</w:t>
            </w:r>
          </w:p>
        </w:tc>
        <w:tc>
          <w:tcPr>
            <w:tcW w:w="968" w:type="pct"/>
            <w:tcBorders>
              <w:top w:val="nil"/>
              <w:left w:val="nil"/>
              <w:bottom w:val="single" w:color="auto" w:sz="4" w:space="0"/>
              <w:right w:val="single" w:color="auto" w:sz="4" w:space="0"/>
            </w:tcBorders>
            <w:vAlign w:val="center"/>
          </w:tcPr>
          <w:p w14:paraId="51A01FBF">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住宅</w:t>
            </w:r>
          </w:p>
        </w:tc>
        <w:tc>
          <w:tcPr>
            <w:tcW w:w="968" w:type="pct"/>
            <w:tcBorders>
              <w:top w:val="nil"/>
              <w:left w:val="nil"/>
              <w:bottom w:val="single" w:color="auto" w:sz="4" w:space="0"/>
              <w:right w:val="single" w:color="auto" w:sz="4" w:space="0"/>
            </w:tcBorders>
            <w:vAlign w:val="center"/>
          </w:tcPr>
          <w:p w14:paraId="06EEC3B9">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住宅</w:t>
            </w:r>
          </w:p>
        </w:tc>
        <w:tc>
          <w:tcPr>
            <w:tcW w:w="968" w:type="pct"/>
            <w:tcBorders>
              <w:top w:val="nil"/>
              <w:left w:val="nil"/>
              <w:bottom w:val="single" w:color="auto" w:sz="4" w:space="0"/>
              <w:right w:val="single" w:color="auto" w:sz="4" w:space="0"/>
            </w:tcBorders>
            <w:vAlign w:val="center"/>
          </w:tcPr>
          <w:p w14:paraId="10D741D0">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住宅</w:t>
            </w:r>
          </w:p>
        </w:tc>
        <w:tc>
          <w:tcPr>
            <w:tcW w:w="970" w:type="pct"/>
            <w:tcBorders>
              <w:top w:val="nil"/>
              <w:left w:val="nil"/>
              <w:bottom w:val="single" w:color="auto" w:sz="4" w:space="0"/>
              <w:right w:val="single" w:color="auto" w:sz="4" w:space="0"/>
            </w:tcBorders>
            <w:vAlign w:val="center"/>
          </w:tcPr>
          <w:p w14:paraId="2D04857B">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住宅</w:t>
            </w:r>
          </w:p>
        </w:tc>
      </w:tr>
      <w:tr w14:paraId="54788DC1">
        <w:tblPrEx>
          <w:tblCellMar>
            <w:top w:w="0" w:type="dxa"/>
            <w:left w:w="108" w:type="dxa"/>
            <w:bottom w:w="0" w:type="dxa"/>
            <w:right w:w="108" w:type="dxa"/>
          </w:tblCellMar>
        </w:tblPrEx>
        <w:trPr>
          <w:trHeight w:val="397" w:hRule="atLeast"/>
          <w:jc w:val="center"/>
        </w:trPr>
        <w:tc>
          <w:tcPr>
            <w:tcW w:w="363" w:type="pct"/>
            <w:vMerge w:val="restart"/>
            <w:tcBorders>
              <w:top w:val="nil"/>
              <w:left w:val="single" w:color="auto" w:sz="4" w:space="0"/>
              <w:bottom w:val="single" w:color="000000" w:sz="4" w:space="0"/>
              <w:right w:val="single" w:color="auto" w:sz="4" w:space="0"/>
            </w:tcBorders>
            <w:vAlign w:val="center"/>
          </w:tcPr>
          <w:p w14:paraId="020B70F4">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区域状况</w:t>
            </w:r>
          </w:p>
        </w:tc>
        <w:tc>
          <w:tcPr>
            <w:tcW w:w="758" w:type="pct"/>
            <w:tcBorders>
              <w:top w:val="nil"/>
              <w:left w:val="nil"/>
              <w:bottom w:val="single" w:color="auto" w:sz="4" w:space="0"/>
              <w:right w:val="single" w:color="auto" w:sz="4" w:space="0"/>
            </w:tcBorders>
            <w:vAlign w:val="center"/>
          </w:tcPr>
          <w:p w14:paraId="0BF8F159">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居住区成熟度</w:t>
            </w:r>
          </w:p>
        </w:tc>
        <w:tc>
          <w:tcPr>
            <w:tcW w:w="968" w:type="pct"/>
            <w:tcBorders>
              <w:top w:val="nil"/>
              <w:left w:val="nil"/>
              <w:bottom w:val="single" w:color="auto" w:sz="4" w:space="0"/>
              <w:right w:val="single" w:color="auto" w:sz="4" w:space="0"/>
            </w:tcBorders>
            <w:vAlign w:val="center"/>
          </w:tcPr>
          <w:p w14:paraId="684F995B">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估价对象周边2公里内有兴创荣墅、住总兴创如遇、恒盛波尔多小镇、路劲御合院、阳光波尔多、北京城建宽院国誉府等，居住小区规模一般，入住率一般，综合评价居住区成熟度一般。</w:t>
            </w:r>
          </w:p>
        </w:tc>
        <w:tc>
          <w:tcPr>
            <w:tcW w:w="968" w:type="pct"/>
            <w:tcBorders>
              <w:top w:val="nil"/>
              <w:left w:val="nil"/>
              <w:bottom w:val="single" w:color="auto" w:sz="4" w:space="0"/>
              <w:right w:val="single" w:color="auto" w:sz="4" w:space="0"/>
            </w:tcBorders>
            <w:vAlign w:val="center"/>
          </w:tcPr>
          <w:p w14:paraId="50BB2778">
            <w:pPr>
              <w:widowControl/>
              <w:adjustRightInd/>
              <w:spacing w:line="240" w:lineRule="auto"/>
              <w:jc w:val="center"/>
              <w:textAlignment w:val="auto"/>
              <w:rPr>
                <w:rFonts w:hint="eastAsia" w:ascii="Arial" w:hAnsi="Arial" w:eastAsia="宋体" w:cs="Arial"/>
                <w:sz w:val="16"/>
                <w:szCs w:val="18"/>
                <w:highlight w:val="none"/>
                <w:lang w:val="en-US" w:eastAsia="zh-CN"/>
              </w:rPr>
            </w:pPr>
            <w:r>
              <w:rPr>
                <w:rFonts w:hint="eastAsia" w:ascii="Arial" w:hAnsi="Arial" w:cs="Arial"/>
                <w:sz w:val="16"/>
                <w:szCs w:val="18"/>
                <w:highlight w:val="none"/>
              </w:rPr>
              <w:t>周边2公里内有兴创荣墅、住总兴创如遇、恒盛波尔多小镇、路劲御合院、阳光波尔多、北京城建宽院国誉府等，居住小区规模一般，入住率一般，综合评价居住区成熟度一般</w:t>
            </w:r>
            <w:r>
              <w:rPr>
                <w:rFonts w:hint="eastAsia" w:ascii="Arial" w:hAnsi="Arial" w:cs="Arial"/>
                <w:sz w:val="16"/>
                <w:szCs w:val="18"/>
                <w:highlight w:val="none"/>
                <w:lang w:eastAsia="zh-CN"/>
              </w:rPr>
              <w:t>。</w:t>
            </w:r>
          </w:p>
        </w:tc>
        <w:tc>
          <w:tcPr>
            <w:tcW w:w="968" w:type="pct"/>
            <w:tcBorders>
              <w:top w:val="nil"/>
              <w:left w:val="nil"/>
              <w:bottom w:val="single" w:color="auto" w:sz="4" w:space="0"/>
              <w:right w:val="single" w:color="auto" w:sz="4" w:space="0"/>
            </w:tcBorders>
            <w:vAlign w:val="center"/>
          </w:tcPr>
          <w:p w14:paraId="36E5F4F8">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周边2公里内有兴创荣墅、住总兴创如遇、恒盛波尔多小镇、路劲御合院、阳光波尔多、北京城建宽院国誉府等，居住小区规模一般，入住率一般，综合评价居住区成熟度一般。</w:t>
            </w:r>
          </w:p>
        </w:tc>
        <w:tc>
          <w:tcPr>
            <w:tcW w:w="970" w:type="pct"/>
            <w:tcBorders>
              <w:top w:val="nil"/>
              <w:left w:val="nil"/>
              <w:bottom w:val="single" w:color="auto" w:sz="4" w:space="0"/>
              <w:right w:val="single" w:color="auto" w:sz="4" w:space="0"/>
            </w:tcBorders>
            <w:vAlign w:val="center"/>
          </w:tcPr>
          <w:p w14:paraId="2EF3A7C9">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周边2公里内有兴创荣墅、住总兴创如遇、恒盛波尔多小镇、路劲御合院、阳光波尔多、北京城建宽院国誉府等，居住小区规模一般，入住率一般，综合评价居住区成熟度一般</w:t>
            </w:r>
            <w:r>
              <w:rPr>
                <w:rFonts w:ascii="Arial" w:hAnsi="Arial" w:cs="Arial"/>
                <w:sz w:val="16"/>
                <w:szCs w:val="18"/>
                <w:highlight w:val="none"/>
              </w:rPr>
              <w:t>。</w:t>
            </w:r>
          </w:p>
        </w:tc>
      </w:tr>
      <w:tr w14:paraId="2D563E4A">
        <w:tblPrEx>
          <w:tblCellMar>
            <w:top w:w="0" w:type="dxa"/>
            <w:left w:w="108" w:type="dxa"/>
            <w:bottom w:w="0" w:type="dxa"/>
            <w:right w:w="108" w:type="dxa"/>
          </w:tblCellMar>
        </w:tblPrEx>
        <w:trPr>
          <w:trHeight w:val="90" w:hRule="atLeast"/>
          <w:jc w:val="center"/>
        </w:trPr>
        <w:tc>
          <w:tcPr>
            <w:tcW w:w="363" w:type="pct"/>
            <w:vMerge w:val="continue"/>
            <w:tcBorders>
              <w:top w:val="nil"/>
              <w:left w:val="single" w:color="auto" w:sz="4" w:space="0"/>
              <w:bottom w:val="single" w:color="000000" w:sz="4" w:space="0"/>
              <w:right w:val="single" w:color="auto" w:sz="4" w:space="0"/>
            </w:tcBorders>
            <w:vAlign w:val="center"/>
          </w:tcPr>
          <w:p w14:paraId="2FE306BF">
            <w:pPr>
              <w:widowControl/>
              <w:adjustRightInd/>
              <w:spacing w:line="240" w:lineRule="auto"/>
              <w:jc w:val="center"/>
              <w:textAlignment w:val="auto"/>
              <w:rPr>
                <w:rFonts w:ascii="Arial" w:hAnsi="Arial" w:cs="Arial"/>
                <w:sz w:val="16"/>
                <w:szCs w:val="18"/>
                <w:highlight w:val="none"/>
              </w:rPr>
            </w:pPr>
          </w:p>
        </w:tc>
        <w:tc>
          <w:tcPr>
            <w:tcW w:w="758" w:type="pct"/>
            <w:tcBorders>
              <w:top w:val="nil"/>
              <w:left w:val="nil"/>
              <w:bottom w:val="single" w:color="auto" w:sz="4" w:space="0"/>
              <w:right w:val="single" w:color="auto" w:sz="4" w:space="0"/>
            </w:tcBorders>
            <w:vAlign w:val="center"/>
          </w:tcPr>
          <w:p w14:paraId="33869ADD">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道路通达度</w:t>
            </w:r>
          </w:p>
        </w:tc>
        <w:tc>
          <w:tcPr>
            <w:tcW w:w="968" w:type="pct"/>
            <w:tcBorders>
              <w:top w:val="nil"/>
              <w:left w:val="nil"/>
              <w:bottom w:val="single" w:color="auto" w:sz="4" w:space="0"/>
              <w:right w:val="single" w:color="auto" w:sz="4" w:space="0"/>
            </w:tcBorders>
            <w:vAlign w:val="center"/>
          </w:tcPr>
          <w:p w14:paraId="4DEFE315">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周边500米内有城市次干道——福源路</w:t>
            </w:r>
          </w:p>
        </w:tc>
        <w:tc>
          <w:tcPr>
            <w:tcW w:w="1844" w:type="dxa"/>
            <w:tcBorders>
              <w:top w:val="nil"/>
              <w:left w:val="nil"/>
              <w:bottom w:val="single" w:color="auto" w:sz="4" w:space="0"/>
              <w:right w:val="single" w:color="auto" w:sz="4" w:space="0"/>
            </w:tcBorders>
            <w:vAlign w:val="center"/>
          </w:tcPr>
          <w:p w14:paraId="06E76B75">
            <w:pPr>
              <w:widowControl/>
              <w:adjustRightInd/>
              <w:spacing w:line="240" w:lineRule="auto"/>
              <w:jc w:val="center"/>
              <w:textAlignment w:val="auto"/>
              <w:rPr>
                <w:rFonts w:hint="default" w:ascii="Arial" w:hAnsi="Arial" w:eastAsia="宋体" w:cs="Arial"/>
                <w:sz w:val="16"/>
                <w:szCs w:val="18"/>
                <w:highlight w:val="none"/>
                <w:lang w:val="en-US" w:eastAsia="zh-CN"/>
              </w:rPr>
            </w:pPr>
            <w:r>
              <w:rPr>
                <w:rFonts w:hint="eastAsia" w:ascii="Arial" w:hAnsi="Arial" w:cs="Arial"/>
                <w:sz w:val="16"/>
                <w:szCs w:val="18"/>
                <w:highlight w:val="none"/>
              </w:rPr>
              <w:t>周边500米内有城市次干道——</w:t>
            </w:r>
            <w:r>
              <w:rPr>
                <w:rFonts w:hint="eastAsia" w:ascii="Arial" w:hAnsi="Arial" w:cs="Arial"/>
                <w:sz w:val="16"/>
                <w:szCs w:val="18"/>
                <w:highlight w:val="none"/>
                <w:lang w:val="en-US" w:eastAsia="zh-CN"/>
              </w:rPr>
              <w:t>采凤路</w:t>
            </w:r>
          </w:p>
        </w:tc>
        <w:tc>
          <w:tcPr>
            <w:tcW w:w="1844" w:type="dxa"/>
            <w:tcBorders>
              <w:top w:val="nil"/>
              <w:left w:val="nil"/>
              <w:bottom w:val="single" w:color="auto" w:sz="4" w:space="0"/>
              <w:right w:val="single" w:color="auto" w:sz="4" w:space="0"/>
            </w:tcBorders>
            <w:vAlign w:val="center"/>
          </w:tcPr>
          <w:p w14:paraId="77121E46">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周边500米内有城市次干道——</w:t>
            </w:r>
            <w:r>
              <w:rPr>
                <w:rFonts w:hint="eastAsia" w:ascii="Arial" w:hAnsi="Arial" w:cs="Arial"/>
                <w:sz w:val="16"/>
                <w:szCs w:val="18"/>
                <w:highlight w:val="none"/>
                <w:lang w:val="en-US" w:eastAsia="zh-CN"/>
              </w:rPr>
              <w:t>采凤路</w:t>
            </w:r>
          </w:p>
        </w:tc>
        <w:tc>
          <w:tcPr>
            <w:tcW w:w="1847" w:type="dxa"/>
            <w:tcBorders>
              <w:top w:val="nil"/>
              <w:left w:val="nil"/>
              <w:bottom w:val="single" w:color="auto" w:sz="4" w:space="0"/>
              <w:right w:val="single" w:color="auto" w:sz="4" w:space="0"/>
            </w:tcBorders>
            <w:vAlign w:val="center"/>
          </w:tcPr>
          <w:p w14:paraId="0D205B2B">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周边500米内有城市次干道——福源路</w:t>
            </w:r>
          </w:p>
        </w:tc>
      </w:tr>
      <w:tr w14:paraId="083071E5">
        <w:tblPrEx>
          <w:tblCellMar>
            <w:top w:w="0" w:type="dxa"/>
            <w:left w:w="108" w:type="dxa"/>
            <w:bottom w:w="0" w:type="dxa"/>
            <w:right w:w="108" w:type="dxa"/>
          </w:tblCellMar>
        </w:tblPrEx>
        <w:trPr>
          <w:trHeight w:val="397" w:hRule="atLeast"/>
          <w:jc w:val="center"/>
        </w:trPr>
        <w:tc>
          <w:tcPr>
            <w:tcW w:w="363" w:type="pct"/>
            <w:vMerge w:val="continue"/>
            <w:tcBorders>
              <w:top w:val="nil"/>
              <w:left w:val="single" w:color="auto" w:sz="4" w:space="0"/>
              <w:bottom w:val="single" w:color="000000" w:sz="4" w:space="0"/>
              <w:right w:val="single" w:color="auto" w:sz="4" w:space="0"/>
            </w:tcBorders>
            <w:vAlign w:val="center"/>
          </w:tcPr>
          <w:p w14:paraId="60A0632A">
            <w:pPr>
              <w:widowControl/>
              <w:adjustRightInd/>
              <w:spacing w:line="240" w:lineRule="auto"/>
              <w:jc w:val="center"/>
              <w:textAlignment w:val="auto"/>
              <w:rPr>
                <w:rFonts w:ascii="Arial" w:hAnsi="Arial" w:cs="Arial"/>
                <w:sz w:val="16"/>
                <w:szCs w:val="18"/>
                <w:highlight w:val="none"/>
              </w:rPr>
            </w:pPr>
          </w:p>
        </w:tc>
        <w:tc>
          <w:tcPr>
            <w:tcW w:w="758" w:type="pct"/>
            <w:tcBorders>
              <w:top w:val="nil"/>
              <w:left w:val="nil"/>
              <w:bottom w:val="single" w:color="auto" w:sz="4" w:space="0"/>
              <w:right w:val="single" w:color="auto" w:sz="4" w:space="0"/>
            </w:tcBorders>
            <w:vAlign w:val="center"/>
          </w:tcPr>
          <w:p w14:paraId="04092AA3">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距离轨道交通站点距离</w:t>
            </w:r>
          </w:p>
        </w:tc>
        <w:tc>
          <w:tcPr>
            <w:tcW w:w="968" w:type="pct"/>
            <w:tcBorders>
              <w:top w:val="nil"/>
              <w:left w:val="nil"/>
              <w:bottom w:val="single" w:color="auto" w:sz="4" w:space="0"/>
              <w:right w:val="single" w:color="auto" w:sz="4" w:space="0"/>
            </w:tcBorders>
            <w:vAlign w:val="center"/>
          </w:tcPr>
          <w:p w14:paraId="6EB563AA">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周边2公里范围内无轨道交通站点</w:t>
            </w:r>
          </w:p>
        </w:tc>
        <w:tc>
          <w:tcPr>
            <w:tcW w:w="1844" w:type="dxa"/>
            <w:tcBorders>
              <w:top w:val="nil"/>
              <w:left w:val="nil"/>
              <w:bottom w:val="single" w:color="auto" w:sz="4" w:space="0"/>
              <w:right w:val="single" w:color="auto" w:sz="4" w:space="0"/>
            </w:tcBorders>
            <w:vAlign w:val="center"/>
          </w:tcPr>
          <w:p w14:paraId="3FBD504B">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周边2公里范围内无轨道交通站点</w:t>
            </w:r>
          </w:p>
        </w:tc>
        <w:tc>
          <w:tcPr>
            <w:tcW w:w="1844" w:type="dxa"/>
            <w:tcBorders>
              <w:top w:val="nil"/>
              <w:left w:val="nil"/>
              <w:bottom w:val="single" w:color="auto" w:sz="4" w:space="0"/>
              <w:right w:val="single" w:color="auto" w:sz="4" w:space="0"/>
            </w:tcBorders>
            <w:vAlign w:val="center"/>
          </w:tcPr>
          <w:p w14:paraId="5CBE1780">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周边2公里范围内无轨道交通站点</w:t>
            </w:r>
          </w:p>
        </w:tc>
        <w:tc>
          <w:tcPr>
            <w:tcW w:w="1847" w:type="dxa"/>
            <w:tcBorders>
              <w:top w:val="nil"/>
              <w:left w:val="nil"/>
              <w:bottom w:val="single" w:color="auto" w:sz="4" w:space="0"/>
              <w:right w:val="single" w:color="auto" w:sz="4" w:space="0"/>
            </w:tcBorders>
            <w:vAlign w:val="center"/>
          </w:tcPr>
          <w:p w14:paraId="03986391">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周边2公里范围内无轨道交通站点</w:t>
            </w:r>
          </w:p>
        </w:tc>
      </w:tr>
      <w:tr w14:paraId="26A0F7F1">
        <w:tblPrEx>
          <w:tblCellMar>
            <w:top w:w="0" w:type="dxa"/>
            <w:left w:w="108" w:type="dxa"/>
            <w:bottom w:w="0" w:type="dxa"/>
            <w:right w:w="108" w:type="dxa"/>
          </w:tblCellMar>
        </w:tblPrEx>
        <w:trPr>
          <w:trHeight w:val="397" w:hRule="atLeast"/>
          <w:jc w:val="center"/>
        </w:trPr>
        <w:tc>
          <w:tcPr>
            <w:tcW w:w="363" w:type="pct"/>
            <w:vMerge w:val="continue"/>
            <w:tcBorders>
              <w:top w:val="nil"/>
              <w:left w:val="single" w:color="auto" w:sz="4" w:space="0"/>
              <w:bottom w:val="single" w:color="000000" w:sz="4" w:space="0"/>
              <w:right w:val="single" w:color="auto" w:sz="4" w:space="0"/>
            </w:tcBorders>
            <w:vAlign w:val="center"/>
          </w:tcPr>
          <w:p w14:paraId="458E04DB">
            <w:pPr>
              <w:widowControl/>
              <w:adjustRightInd/>
              <w:spacing w:line="240" w:lineRule="auto"/>
              <w:jc w:val="center"/>
              <w:textAlignment w:val="auto"/>
              <w:rPr>
                <w:rFonts w:ascii="Arial" w:hAnsi="Arial" w:cs="Arial"/>
                <w:sz w:val="16"/>
                <w:szCs w:val="18"/>
                <w:highlight w:val="none"/>
              </w:rPr>
            </w:pPr>
          </w:p>
        </w:tc>
        <w:tc>
          <w:tcPr>
            <w:tcW w:w="758" w:type="pct"/>
            <w:tcBorders>
              <w:top w:val="nil"/>
              <w:left w:val="nil"/>
              <w:bottom w:val="single" w:color="auto" w:sz="4" w:space="0"/>
              <w:right w:val="single" w:color="auto" w:sz="4" w:space="0"/>
            </w:tcBorders>
            <w:vAlign w:val="center"/>
          </w:tcPr>
          <w:p w14:paraId="745D14E8">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距离公交站点距离</w:t>
            </w:r>
          </w:p>
        </w:tc>
        <w:tc>
          <w:tcPr>
            <w:tcW w:w="968" w:type="pct"/>
            <w:tcBorders>
              <w:top w:val="nil"/>
              <w:left w:val="nil"/>
              <w:bottom w:val="single" w:color="auto" w:sz="4" w:space="0"/>
              <w:right w:val="single" w:color="auto" w:sz="4" w:space="0"/>
            </w:tcBorders>
            <w:vAlign w:val="center"/>
          </w:tcPr>
          <w:p w14:paraId="31F7EFD5">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周边1公里内有926路、955路、兴20路、兴32路、兴43路、兴940路等公交线路途径并设立站点，综合评价交通便捷度一般</w:t>
            </w:r>
          </w:p>
        </w:tc>
        <w:tc>
          <w:tcPr>
            <w:tcW w:w="1844" w:type="dxa"/>
            <w:tcBorders>
              <w:top w:val="nil"/>
              <w:left w:val="nil"/>
              <w:bottom w:val="single" w:color="auto" w:sz="4" w:space="0"/>
              <w:right w:val="single" w:color="auto" w:sz="4" w:space="0"/>
            </w:tcBorders>
            <w:vAlign w:val="center"/>
          </w:tcPr>
          <w:p w14:paraId="0FB8996C">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周边1公里内有926路、955路、兴20路、兴32路、兴43路、兴940路等公交线路途径并设立站点，综合评价交通便捷度一般</w:t>
            </w:r>
          </w:p>
        </w:tc>
        <w:tc>
          <w:tcPr>
            <w:tcW w:w="1844" w:type="dxa"/>
            <w:tcBorders>
              <w:top w:val="nil"/>
              <w:left w:val="nil"/>
              <w:bottom w:val="single" w:color="auto" w:sz="4" w:space="0"/>
              <w:right w:val="single" w:color="auto" w:sz="4" w:space="0"/>
            </w:tcBorders>
            <w:vAlign w:val="center"/>
          </w:tcPr>
          <w:p w14:paraId="37E26BF2">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周边1公里内有926路、955路、兴20路、兴32路、兴43路、兴940路等公交线路途径并设立站点，综合评价交通便捷度一般</w:t>
            </w:r>
          </w:p>
        </w:tc>
        <w:tc>
          <w:tcPr>
            <w:tcW w:w="1847" w:type="dxa"/>
            <w:tcBorders>
              <w:top w:val="nil"/>
              <w:left w:val="nil"/>
              <w:bottom w:val="single" w:color="auto" w:sz="4" w:space="0"/>
              <w:right w:val="single" w:color="auto" w:sz="4" w:space="0"/>
            </w:tcBorders>
            <w:vAlign w:val="center"/>
          </w:tcPr>
          <w:p w14:paraId="04540719">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周边1公里内有926路、955路、兴20路、兴32路、兴43路、兴940路等公交线路途径并设立站点，综合评价交通便捷度一般</w:t>
            </w:r>
          </w:p>
        </w:tc>
      </w:tr>
      <w:tr w14:paraId="644C71E7">
        <w:tblPrEx>
          <w:tblCellMar>
            <w:top w:w="0" w:type="dxa"/>
            <w:left w:w="108" w:type="dxa"/>
            <w:bottom w:w="0" w:type="dxa"/>
            <w:right w:w="108" w:type="dxa"/>
          </w:tblCellMar>
        </w:tblPrEx>
        <w:trPr>
          <w:trHeight w:val="397" w:hRule="atLeast"/>
          <w:jc w:val="center"/>
        </w:trPr>
        <w:tc>
          <w:tcPr>
            <w:tcW w:w="363" w:type="pct"/>
            <w:vMerge w:val="continue"/>
            <w:tcBorders>
              <w:top w:val="nil"/>
              <w:left w:val="single" w:color="auto" w:sz="4" w:space="0"/>
              <w:bottom w:val="single" w:color="000000" w:sz="4" w:space="0"/>
              <w:right w:val="single" w:color="auto" w:sz="4" w:space="0"/>
            </w:tcBorders>
            <w:vAlign w:val="center"/>
          </w:tcPr>
          <w:p w14:paraId="08549253">
            <w:pPr>
              <w:widowControl/>
              <w:adjustRightInd/>
              <w:spacing w:line="240" w:lineRule="auto"/>
              <w:jc w:val="center"/>
              <w:textAlignment w:val="auto"/>
              <w:rPr>
                <w:rFonts w:ascii="Arial" w:hAnsi="Arial" w:cs="Arial"/>
                <w:sz w:val="16"/>
                <w:szCs w:val="18"/>
                <w:highlight w:val="none"/>
              </w:rPr>
            </w:pPr>
          </w:p>
        </w:tc>
        <w:tc>
          <w:tcPr>
            <w:tcW w:w="758" w:type="pct"/>
            <w:tcBorders>
              <w:top w:val="nil"/>
              <w:left w:val="nil"/>
              <w:bottom w:val="single" w:color="auto" w:sz="4" w:space="0"/>
              <w:right w:val="single" w:color="auto" w:sz="4" w:space="0"/>
            </w:tcBorders>
            <w:vAlign w:val="center"/>
          </w:tcPr>
          <w:p w14:paraId="2F7E2F5A">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环境质量优劣度</w:t>
            </w:r>
          </w:p>
        </w:tc>
        <w:tc>
          <w:tcPr>
            <w:tcW w:w="968" w:type="pct"/>
            <w:tcBorders>
              <w:top w:val="nil"/>
              <w:left w:val="nil"/>
              <w:bottom w:val="single" w:color="auto" w:sz="4" w:space="0"/>
              <w:right w:val="single" w:color="auto" w:sz="4" w:space="0"/>
            </w:tcBorders>
            <w:vAlign w:val="center"/>
          </w:tcPr>
          <w:p w14:paraId="16EB6830">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周边5km内无污染源</w:t>
            </w:r>
          </w:p>
        </w:tc>
        <w:tc>
          <w:tcPr>
            <w:tcW w:w="968" w:type="pct"/>
            <w:tcBorders>
              <w:top w:val="nil"/>
              <w:left w:val="nil"/>
              <w:bottom w:val="single" w:color="auto" w:sz="4" w:space="0"/>
              <w:right w:val="single" w:color="auto" w:sz="4" w:space="0"/>
            </w:tcBorders>
            <w:vAlign w:val="center"/>
          </w:tcPr>
          <w:p w14:paraId="6008C0C5">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周边5km内无污染源</w:t>
            </w:r>
          </w:p>
        </w:tc>
        <w:tc>
          <w:tcPr>
            <w:tcW w:w="968" w:type="pct"/>
            <w:tcBorders>
              <w:top w:val="nil"/>
              <w:left w:val="nil"/>
              <w:bottom w:val="single" w:color="auto" w:sz="4" w:space="0"/>
              <w:right w:val="single" w:color="auto" w:sz="4" w:space="0"/>
            </w:tcBorders>
            <w:vAlign w:val="center"/>
          </w:tcPr>
          <w:p w14:paraId="4AD81C68">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周边5km内无污染源</w:t>
            </w:r>
          </w:p>
        </w:tc>
        <w:tc>
          <w:tcPr>
            <w:tcW w:w="970" w:type="pct"/>
            <w:tcBorders>
              <w:top w:val="nil"/>
              <w:left w:val="nil"/>
              <w:bottom w:val="single" w:color="auto" w:sz="4" w:space="0"/>
              <w:right w:val="single" w:color="auto" w:sz="4" w:space="0"/>
            </w:tcBorders>
            <w:vAlign w:val="center"/>
          </w:tcPr>
          <w:p w14:paraId="5FC6AFA0">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周边5km内无污染源</w:t>
            </w:r>
          </w:p>
        </w:tc>
      </w:tr>
      <w:tr w14:paraId="016B7772">
        <w:tblPrEx>
          <w:tblCellMar>
            <w:top w:w="0" w:type="dxa"/>
            <w:left w:w="108" w:type="dxa"/>
            <w:bottom w:w="0" w:type="dxa"/>
            <w:right w:w="108" w:type="dxa"/>
          </w:tblCellMar>
        </w:tblPrEx>
        <w:trPr>
          <w:trHeight w:val="397" w:hRule="atLeast"/>
          <w:jc w:val="center"/>
        </w:trPr>
        <w:tc>
          <w:tcPr>
            <w:tcW w:w="363" w:type="pct"/>
            <w:vMerge w:val="continue"/>
            <w:tcBorders>
              <w:top w:val="nil"/>
              <w:left w:val="single" w:color="auto" w:sz="4" w:space="0"/>
              <w:bottom w:val="single" w:color="000000" w:sz="4" w:space="0"/>
              <w:right w:val="single" w:color="auto" w:sz="4" w:space="0"/>
            </w:tcBorders>
            <w:vAlign w:val="center"/>
          </w:tcPr>
          <w:p w14:paraId="63BA9085">
            <w:pPr>
              <w:widowControl/>
              <w:adjustRightInd/>
              <w:spacing w:line="240" w:lineRule="auto"/>
              <w:jc w:val="center"/>
              <w:textAlignment w:val="auto"/>
              <w:rPr>
                <w:rFonts w:ascii="Arial" w:hAnsi="Arial" w:cs="Arial"/>
                <w:sz w:val="16"/>
                <w:szCs w:val="18"/>
                <w:highlight w:val="none"/>
              </w:rPr>
            </w:pPr>
          </w:p>
        </w:tc>
        <w:tc>
          <w:tcPr>
            <w:tcW w:w="758" w:type="pct"/>
            <w:tcBorders>
              <w:top w:val="nil"/>
              <w:left w:val="nil"/>
              <w:bottom w:val="single" w:color="auto" w:sz="4" w:space="0"/>
              <w:right w:val="single" w:color="auto" w:sz="4" w:space="0"/>
            </w:tcBorders>
            <w:vAlign w:val="center"/>
          </w:tcPr>
          <w:p w14:paraId="074723D9">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自然及人文环境</w:t>
            </w:r>
          </w:p>
        </w:tc>
        <w:tc>
          <w:tcPr>
            <w:tcW w:w="968" w:type="pct"/>
            <w:tcBorders>
              <w:top w:val="nil"/>
              <w:left w:val="nil"/>
              <w:bottom w:val="single" w:color="auto" w:sz="4" w:space="0"/>
              <w:right w:val="single" w:color="auto" w:sz="4" w:space="0"/>
            </w:tcBorders>
            <w:vAlign w:val="center"/>
          </w:tcPr>
          <w:p w14:paraId="4F36F407">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估价对象2公里周边有采育公园、凤河等自然景观，自然与人文环境</w:t>
            </w:r>
            <w:r>
              <w:rPr>
                <w:rFonts w:hint="eastAsia" w:ascii="Arial" w:hAnsi="Arial" w:cs="Arial"/>
                <w:sz w:val="16"/>
                <w:szCs w:val="18"/>
                <w:highlight w:val="none"/>
                <w:lang w:val="en-US" w:eastAsia="zh-CN"/>
              </w:rPr>
              <w:t>一般</w:t>
            </w:r>
            <w:r>
              <w:rPr>
                <w:rFonts w:hint="eastAsia" w:ascii="Arial" w:hAnsi="Arial" w:cs="Arial"/>
                <w:sz w:val="16"/>
                <w:szCs w:val="18"/>
                <w:highlight w:val="none"/>
              </w:rPr>
              <w:t>。</w:t>
            </w:r>
          </w:p>
        </w:tc>
        <w:tc>
          <w:tcPr>
            <w:tcW w:w="968" w:type="pct"/>
            <w:tcBorders>
              <w:top w:val="nil"/>
              <w:left w:val="nil"/>
              <w:bottom w:val="single" w:color="auto" w:sz="4" w:space="0"/>
              <w:right w:val="single" w:color="auto" w:sz="4" w:space="0"/>
            </w:tcBorders>
            <w:vAlign w:val="center"/>
          </w:tcPr>
          <w:p w14:paraId="0A3C933A">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周边有采育公园、凤河等自然景观，自然与人文环境</w:t>
            </w:r>
            <w:r>
              <w:rPr>
                <w:rFonts w:hint="eastAsia" w:ascii="Arial" w:hAnsi="Arial" w:cs="Arial"/>
                <w:sz w:val="16"/>
                <w:szCs w:val="18"/>
                <w:highlight w:val="none"/>
                <w:lang w:val="en-US" w:eastAsia="zh-CN"/>
              </w:rPr>
              <w:t>一般</w:t>
            </w:r>
            <w:r>
              <w:rPr>
                <w:rFonts w:hint="eastAsia" w:ascii="Arial" w:hAnsi="Arial" w:cs="Arial"/>
                <w:sz w:val="16"/>
                <w:szCs w:val="18"/>
                <w:highlight w:val="none"/>
              </w:rPr>
              <w:t>。</w:t>
            </w:r>
          </w:p>
        </w:tc>
        <w:tc>
          <w:tcPr>
            <w:tcW w:w="968" w:type="pct"/>
            <w:tcBorders>
              <w:top w:val="nil"/>
              <w:left w:val="nil"/>
              <w:bottom w:val="single" w:color="auto" w:sz="4" w:space="0"/>
              <w:right w:val="single" w:color="auto" w:sz="4" w:space="0"/>
            </w:tcBorders>
            <w:vAlign w:val="center"/>
          </w:tcPr>
          <w:p w14:paraId="50E8D403">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周边有采育公园、凤河等自然景观，自然与人文环境</w:t>
            </w:r>
            <w:r>
              <w:rPr>
                <w:rFonts w:hint="eastAsia" w:ascii="Arial" w:hAnsi="Arial" w:cs="Arial"/>
                <w:sz w:val="16"/>
                <w:szCs w:val="18"/>
                <w:highlight w:val="none"/>
                <w:lang w:val="en-US" w:eastAsia="zh-CN"/>
              </w:rPr>
              <w:t>一般</w:t>
            </w:r>
            <w:r>
              <w:rPr>
                <w:rFonts w:hint="eastAsia" w:ascii="Arial" w:hAnsi="Arial" w:cs="Arial"/>
                <w:sz w:val="16"/>
                <w:szCs w:val="18"/>
                <w:highlight w:val="none"/>
              </w:rPr>
              <w:t>。</w:t>
            </w:r>
          </w:p>
        </w:tc>
        <w:tc>
          <w:tcPr>
            <w:tcW w:w="970" w:type="pct"/>
            <w:tcBorders>
              <w:top w:val="nil"/>
              <w:left w:val="nil"/>
              <w:bottom w:val="single" w:color="auto" w:sz="4" w:space="0"/>
              <w:right w:val="single" w:color="auto" w:sz="4" w:space="0"/>
            </w:tcBorders>
            <w:vAlign w:val="center"/>
          </w:tcPr>
          <w:p w14:paraId="0F1A5CEC">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周边有采育公园、凤河等自然景观，自然与人文环境</w:t>
            </w:r>
            <w:r>
              <w:rPr>
                <w:rFonts w:hint="eastAsia" w:ascii="Arial" w:hAnsi="Arial" w:cs="Arial"/>
                <w:sz w:val="16"/>
                <w:szCs w:val="18"/>
                <w:highlight w:val="none"/>
                <w:lang w:val="en-US" w:eastAsia="zh-CN"/>
              </w:rPr>
              <w:t>一般</w:t>
            </w:r>
            <w:r>
              <w:rPr>
                <w:rFonts w:hint="eastAsia" w:ascii="Arial" w:hAnsi="Arial" w:cs="Arial"/>
                <w:sz w:val="16"/>
                <w:szCs w:val="18"/>
                <w:highlight w:val="none"/>
              </w:rPr>
              <w:t>。</w:t>
            </w:r>
          </w:p>
        </w:tc>
      </w:tr>
      <w:tr w14:paraId="4A20ACD5">
        <w:tblPrEx>
          <w:tblCellMar>
            <w:top w:w="0" w:type="dxa"/>
            <w:left w:w="108" w:type="dxa"/>
            <w:bottom w:w="0" w:type="dxa"/>
            <w:right w:w="108" w:type="dxa"/>
          </w:tblCellMar>
        </w:tblPrEx>
        <w:trPr>
          <w:trHeight w:val="397" w:hRule="atLeast"/>
          <w:jc w:val="center"/>
        </w:trPr>
        <w:tc>
          <w:tcPr>
            <w:tcW w:w="363" w:type="pct"/>
            <w:vMerge w:val="continue"/>
            <w:tcBorders>
              <w:top w:val="nil"/>
              <w:left w:val="single" w:color="auto" w:sz="4" w:space="0"/>
              <w:bottom w:val="single" w:color="000000" w:sz="4" w:space="0"/>
              <w:right w:val="single" w:color="auto" w:sz="4" w:space="0"/>
            </w:tcBorders>
            <w:vAlign w:val="center"/>
          </w:tcPr>
          <w:p w14:paraId="12D1FC40">
            <w:pPr>
              <w:widowControl/>
              <w:adjustRightInd/>
              <w:spacing w:line="240" w:lineRule="auto"/>
              <w:jc w:val="center"/>
              <w:textAlignment w:val="auto"/>
              <w:rPr>
                <w:rFonts w:ascii="Arial" w:hAnsi="Arial" w:cs="Arial"/>
                <w:sz w:val="16"/>
                <w:szCs w:val="18"/>
                <w:highlight w:val="none"/>
              </w:rPr>
            </w:pPr>
          </w:p>
        </w:tc>
        <w:tc>
          <w:tcPr>
            <w:tcW w:w="758" w:type="pct"/>
            <w:tcBorders>
              <w:top w:val="nil"/>
              <w:left w:val="nil"/>
              <w:bottom w:val="single" w:color="auto" w:sz="4" w:space="0"/>
              <w:right w:val="single" w:color="auto" w:sz="4" w:space="0"/>
            </w:tcBorders>
            <w:vAlign w:val="center"/>
          </w:tcPr>
          <w:p w14:paraId="1CC6E0B2">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小区环境</w:t>
            </w:r>
          </w:p>
        </w:tc>
        <w:tc>
          <w:tcPr>
            <w:tcW w:w="968" w:type="pct"/>
            <w:tcBorders>
              <w:top w:val="nil"/>
              <w:left w:val="nil"/>
              <w:bottom w:val="single" w:color="auto" w:sz="4" w:space="0"/>
              <w:right w:val="single" w:color="auto" w:sz="4" w:space="0"/>
            </w:tcBorders>
            <w:vAlign w:val="center"/>
          </w:tcPr>
          <w:p w14:paraId="14A6C98C">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小区道路整洁、绿化率高、有景观设计、人车分流</w:t>
            </w:r>
          </w:p>
        </w:tc>
        <w:tc>
          <w:tcPr>
            <w:tcW w:w="968" w:type="pct"/>
            <w:tcBorders>
              <w:top w:val="nil"/>
              <w:left w:val="nil"/>
              <w:bottom w:val="single" w:color="auto" w:sz="4" w:space="0"/>
              <w:right w:val="single" w:color="auto" w:sz="4" w:space="0"/>
            </w:tcBorders>
            <w:vAlign w:val="center"/>
          </w:tcPr>
          <w:p w14:paraId="5D8EB685">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小区道路整洁、绿化率高、有景观设计、人车分流</w:t>
            </w:r>
          </w:p>
        </w:tc>
        <w:tc>
          <w:tcPr>
            <w:tcW w:w="968" w:type="pct"/>
            <w:tcBorders>
              <w:top w:val="nil"/>
              <w:left w:val="nil"/>
              <w:bottom w:val="single" w:color="auto" w:sz="4" w:space="0"/>
              <w:right w:val="single" w:color="auto" w:sz="4" w:space="0"/>
            </w:tcBorders>
            <w:vAlign w:val="center"/>
          </w:tcPr>
          <w:p w14:paraId="46FCE66B">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小区道路整洁、绿化率高、有景观设计、人车分流</w:t>
            </w:r>
          </w:p>
        </w:tc>
        <w:tc>
          <w:tcPr>
            <w:tcW w:w="970" w:type="pct"/>
            <w:tcBorders>
              <w:top w:val="nil"/>
              <w:left w:val="nil"/>
              <w:bottom w:val="single" w:color="auto" w:sz="4" w:space="0"/>
              <w:right w:val="single" w:color="auto" w:sz="4" w:space="0"/>
            </w:tcBorders>
            <w:vAlign w:val="center"/>
          </w:tcPr>
          <w:p w14:paraId="6F206DC9">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小区道路整洁、绿化率高、有景观设计、人车分流</w:t>
            </w:r>
          </w:p>
        </w:tc>
      </w:tr>
      <w:tr w14:paraId="2EBEF4ED">
        <w:tblPrEx>
          <w:tblCellMar>
            <w:top w:w="0" w:type="dxa"/>
            <w:left w:w="108" w:type="dxa"/>
            <w:bottom w:w="0" w:type="dxa"/>
            <w:right w:w="108" w:type="dxa"/>
          </w:tblCellMar>
        </w:tblPrEx>
        <w:trPr>
          <w:trHeight w:val="397" w:hRule="atLeast"/>
          <w:jc w:val="center"/>
        </w:trPr>
        <w:tc>
          <w:tcPr>
            <w:tcW w:w="363" w:type="pct"/>
            <w:vMerge w:val="continue"/>
            <w:tcBorders>
              <w:top w:val="nil"/>
              <w:left w:val="single" w:color="auto" w:sz="4" w:space="0"/>
              <w:bottom w:val="single" w:color="000000" w:sz="4" w:space="0"/>
              <w:right w:val="single" w:color="auto" w:sz="4" w:space="0"/>
            </w:tcBorders>
            <w:vAlign w:val="center"/>
          </w:tcPr>
          <w:p w14:paraId="6293481C">
            <w:pPr>
              <w:widowControl/>
              <w:adjustRightInd/>
              <w:spacing w:line="240" w:lineRule="auto"/>
              <w:jc w:val="center"/>
              <w:textAlignment w:val="auto"/>
              <w:rPr>
                <w:rFonts w:ascii="Arial" w:hAnsi="Arial" w:cs="Arial"/>
                <w:sz w:val="16"/>
                <w:szCs w:val="18"/>
                <w:highlight w:val="none"/>
              </w:rPr>
            </w:pPr>
          </w:p>
        </w:tc>
        <w:tc>
          <w:tcPr>
            <w:tcW w:w="758" w:type="pct"/>
            <w:tcBorders>
              <w:top w:val="nil"/>
              <w:left w:val="nil"/>
              <w:bottom w:val="single" w:color="auto" w:sz="4" w:space="0"/>
              <w:right w:val="single" w:color="auto" w:sz="4" w:space="0"/>
            </w:tcBorders>
            <w:vAlign w:val="center"/>
          </w:tcPr>
          <w:p w14:paraId="4742471E">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公共服务设施状况</w:t>
            </w:r>
          </w:p>
        </w:tc>
        <w:tc>
          <w:tcPr>
            <w:tcW w:w="968" w:type="pct"/>
            <w:tcBorders>
              <w:top w:val="nil"/>
              <w:left w:val="nil"/>
              <w:bottom w:val="single" w:color="auto" w:sz="4" w:space="0"/>
              <w:right w:val="single" w:color="auto" w:sz="4" w:space="0"/>
            </w:tcBorders>
            <w:vAlign w:val="center"/>
          </w:tcPr>
          <w:p w14:paraId="54AF27C8">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周边2公里范围内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p>
        </w:tc>
        <w:tc>
          <w:tcPr>
            <w:tcW w:w="968" w:type="pct"/>
            <w:tcBorders>
              <w:top w:val="nil"/>
              <w:left w:val="nil"/>
              <w:bottom w:val="single" w:color="auto" w:sz="4" w:space="0"/>
              <w:right w:val="single" w:color="auto" w:sz="4" w:space="0"/>
            </w:tcBorders>
            <w:vAlign w:val="center"/>
          </w:tcPr>
          <w:p w14:paraId="5E961459">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周边2公里范围内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p>
        </w:tc>
        <w:tc>
          <w:tcPr>
            <w:tcW w:w="968" w:type="pct"/>
            <w:tcBorders>
              <w:top w:val="nil"/>
              <w:left w:val="nil"/>
              <w:bottom w:val="single" w:color="auto" w:sz="4" w:space="0"/>
              <w:right w:val="single" w:color="auto" w:sz="4" w:space="0"/>
            </w:tcBorders>
            <w:vAlign w:val="center"/>
          </w:tcPr>
          <w:p w14:paraId="3E977B5D">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周边2公里范围内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p>
        </w:tc>
        <w:tc>
          <w:tcPr>
            <w:tcW w:w="970" w:type="pct"/>
            <w:tcBorders>
              <w:top w:val="nil"/>
              <w:left w:val="nil"/>
              <w:bottom w:val="single" w:color="auto" w:sz="4" w:space="0"/>
              <w:right w:val="single" w:color="auto" w:sz="4" w:space="0"/>
            </w:tcBorders>
            <w:vAlign w:val="center"/>
          </w:tcPr>
          <w:p w14:paraId="5464813D">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周边2公里范围内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p>
        </w:tc>
      </w:tr>
      <w:tr w14:paraId="169AE4EB">
        <w:tblPrEx>
          <w:tblCellMar>
            <w:top w:w="0" w:type="dxa"/>
            <w:left w:w="108" w:type="dxa"/>
            <w:bottom w:w="0" w:type="dxa"/>
            <w:right w:w="108" w:type="dxa"/>
          </w:tblCellMar>
        </w:tblPrEx>
        <w:trPr>
          <w:trHeight w:val="397" w:hRule="atLeast"/>
          <w:jc w:val="center"/>
        </w:trPr>
        <w:tc>
          <w:tcPr>
            <w:tcW w:w="363" w:type="pct"/>
            <w:vMerge w:val="continue"/>
            <w:tcBorders>
              <w:top w:val="nil"/>
              <w:left w:val="single" w:color="auto" w:sz="4" w:space="0"/>
              <w:bottom w:val="single" w:color="000000" w:sz="4" w:space="0"/>
              <w:right w:val="single" w:color="auto" w:sz="4" w:space="0"/>
            </w:tcBorders>
            <w:vAlign w:val="center"/>
          </w:tcPr>
          <w:p w14:paraId="6EC6F3EC">
            <w:pPr>
              <w:widowControl/>
              <w:adjustRightInd/>
              <w:spacing w:line="240" w:lineRule="auto"/>
              <w:jc w:val="center"/>
              <w:textAlignment w:val="auto"/>
              <w:rPr>
                <w:rFonts w:ascii="Arial" w:hAnsi="Arial" w:cs="Arial"/>
                <w:sz w:val="16"/>
                <w:szCs w:val="18"/>
                <w:highlight w:val="none"/>
              </w:rPr>
            </w:pPr>
          </w:p>
        </w:tc>
        <w:tc>
          <w:tcPr>
            <w:tcW w:w="758" w:type="pct"/>
            <w:tcBorders>
              <w:top w:val="nil"/>
              <w:left w:val="nil"/>
              <w:bottom w:val="single" w:color="auto" w:sz="4" w:space="0"/>
              <w:right w:val="single" w:color="auto" w:sz="4" w:space="0"/>
            </w:tcBorders>
            <w:vAlign w:val="center"/>
          </w:tcPr>
          <w:p w14:paraId="733EAABD">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lang w:val="en-US" w:eastAsia="zh-CN"/>
              </w:rPr>
              <w:t>建筑类型</w:t>
            </w:r>
          </w:p>
        </w:tc>
        <w:tc>
          <w:tcPr>
            <w:tcW w:w="968" w:type="pct"/>
            <w:tcBorders>
              <w:top w:val="nil"/>
              <w:left w:val="nil"/>
              <w:bottom w:val="single" w:color="auto" w:sz="4" w:space="0"/>
              <w:right w:val="single" w:color="auto" w:sz="4" w:space="0"/>
            </w:tcBorders>
            <w:vAlign w:val="center"/>
          </w:tcPr>
          <w:p w14:paraId="16CF9A26">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lang w:val="en-US" w:eastAsia="zh-CN"/>
              </w:rPr>
              <w:t>高层板楼</w:t>
            </w:r>
          </w:p>
        </w:tc>
        <w:tc>
          <w:tcPr>
            <w:tcW w:w="968" w:type="pct"/>
            <w:tcBorders>
              <w:top w:val="nil"/>
              <w:left w:val="nil"/>
              <w:bottom w:val="single" w:color="auto" w:sz="4" w:space="0"/>
              <w:right w:val="single" w:color="auto" w:sz="4" w:space="0"/>
            </w:tcBorders>
            <w:vAlign w:val="center"/>
          </w:tcPr>
          <w:p w14:paraId="662AA308">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lang w:val="en-US" w:eastAsia="zh-CN"/>
              </w:rPr>
              <w:t>高层板楼</w:t>
            </w:r>
          </w:p>
        </w:tc>
        <w:tc>
          <w:tcPr>
            <w:tcW w:w="968" w:type="pct"/>
            <w:tcBorders>
              <w:top w:val="nil"/>
              <w:left w:val="nil"/>
              <w:bottom w:val="single" w:color="auto" w:sz="4" w:space="0"/>
              <w:right w:val="single" w:color="auto" w:sz="4" w:space="0"/>
            </w:tcBorders>
            <w:vAlign w:val="center"/>
          </w:tcPr>
          <w:p w14:paraId="2E355D8D">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lang w:val="en-US" w:eastAsia="zh-CN"/>
              </w:rPr>
              <w:t>高层板楼</w:t>
            </w:r>
          </w:p>
        </w:tc>
        <w:tc>
          <w:tcPr>
            <w:tcW w:w="970" w:type="pct"/>
            <w:tcBorders>
              <w:top w:val="nil"/>
              <w:left w:val="nil"/>
              <w:bottom w:val="single" w:color="auto" w:sz="4" w:space="0"/>
              <w:right w:val="single" w:color="auto" w:sz="4" w:space="0"/>
            </w:tcBorders>
            <w:vAlign w:val="center"/>
          </w:tcPr>
          <w:p w14:paraId="0A9E279F">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lang w:val="en-US" w:eastAsia="zh-CN"/>
              </w:rPr>
              <w:t>多层板楼</w:t>
            </w:r>
          </w:p>
        </w:tc>
      </w:tr>
      <w:tr w14:paraId="0EFDB32C">
        <w:tblPrEx>
          <w:tblCellMar>
            <w:top w:w="0" w:type="dxa"/>
            <w:left w:w="108" w:type="dxa"/>
            <w:bottom w:w="0" w:type="dxa"/>
            <w:right w:w="108" w:type="dxa"/>
          </w:tblCellMar>
        </w:tblPrEx>
        <w:trPr>
          <w:trHeight w:val="397" w:hRule="atLeast"/>
          <w:jc w:val="center"/>
        </w:trPr>
        <w:tc>
          <w:tcPr>
            <w:tcW w:w="363" w:type="pct"/>
            <w:vMerge w:val="continue"/>
            <w:tcBorders>
              <w:top w:val="nil"/>
              <w:left w:val="single" w:color="auto" w:sz="4" w:space="0"/>
              <w:bottom w:val="single" w:color="000000" w:sz="4" w:space="0"/>
              <w:right w:val="single" w:color="auto" w:sz="4" w:space="0"/>
            </w:tcBorders>
            <w:vAlign w:val="center"/>
          </w:tcPr>
          <w:p w14:paraId="051A3139">
            <w:pPr>
              <w:widowControl/>
              <w:adjustRightInd/>
              <w:spacing w:line="240" w:lineRule="auto"/>
              <w:jc w:val="center"/>
              <w:textAlignment w:val="auto"/>
              <w:rPr>
                <w:rFonts w:ascii="Arial" w:hAnsi="Arial" w:cs="Arial"/>
                <w:sz w:val="16"/>
                <w:szCs w:val="18"/>
                <w:highlight w:val="none"/>
              </w:rPr>
            </w:pPr>
          </w:p>
        </w:tc>
        <w:tc>
          <w:tcPr>
            <w:tcW w:w="758" w:type="pct"/>
            <w:tcBorders>
              <w:top w:val="nil"/>
              <w:left w:val="nil"/>
              <w:bottom w:val="single" w:color="auto" w:sz="4" w:space="0"/>
              <w:right w:val="single" w:color="auto" w:sz="4" w:space="0"/>
            </w:tcBorders>
            <w:vAlign w:val="center"/>
          </w:tcPr>
          <w:p w14:paraId="61889E0B">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楼层</w:t>
            </w:r>
          </w:p>
        </w:tc>
        <w:tc>
          <w:tcPr>
            <w:tcW w:w="968" w:type="pct"/>
            <w:tcBorders>
              <w:top w:val="nil"/>
              <w:left w:val="nil"/>
              <w:bottom w:val="single" w:color="auto" w:sz="4" w:space="0"/>
              <w:right w:val="single" w:color="auto" w:sz="4" w:space="0"/>
            </w:tcBorders>
            <w:vAlign w:val="center"/>
          </w:tcPr>
          <w:p w14:paraId="5123E8D5">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lang w:val="en-US" w:eastAsia="zh-CN"/>
              </w:rPr>
              <w:t>中</w:t>
            </w:r>
            <w:r>
              <w:rPr>
                <w:rFonts w:ascii="Arial" w:hAnsi="Arial" w:cs="Arial"/>
                <w:sz w:val="16"/>
                <w:szCs w:val="18"/>
                <w:highlight w:val="none"/>
              </w:rPr>
              <w:t>楼层</w:t>
            </w:r>
          </w:p>
        </w:tc>
        <w:tc>
          <w:tcPr>
            <w:tcW w:w="968" w:type="pct"/>
            <w:tcBorders>
              <w:top w:val="nil"/>
              <w:left w:val="nil"/>
              <w:bottom w:val="single" w:color="auto" w:sz="4" w:space="0"/>
              <w:right w:val="single" w:color="auto" w:sz="4" w:space="0"/>
            </w:tcBorders>
            <w:vAlign w:val="center"/>
          </w:tcPr>
          <w:p w14:paraId="69A80F3D">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lang w:val="en-US" w:eastAsia="zh-CN"/>
              </w:rPr>
              <w:t>低</w:t>
            </w:r>
            <w:r>
              <w:rPr>
                <w:rFonts w:ascii="Arial" w:hAnsi="Arial" w:cs="Arial"/>
                <w:sz w:val="16"/>
                <w:szCs w:val="18"/>
                <w:highlight w:val="none"/>
              </w:rPr>
              <w:t>楼层</w:t>
            </w:r>
          </w:p>
        </w:tc>
        <w:tc>
          <w:tcPr>
            <w:tcW w:w="968" w:type="pct"/>
            <w:tcBorders>
              <w:top w:val="nil"/>
              <w:left w:val="nil"/>
              <w:bottom w:val="single" w:color="auto" w:sz="4" w:space="0"/>
              <w:right w:val="single" w:color="auto" w:sz="4" w:space="0"/>
            </w:tcBorders>
            <w:vAlign w:val="center"/>
          </w:tcPr>
          <w:p w14:paraId="6F5D8B85">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lang w:val="en-US" w:eastAsia="zh-CN"/>
              </w:rPr>
              <w:t>高</w:t>
            </w:r>
            <w:r>
              <w:rPr>
                <w:rFonts w:ascii="Arial" w:hAnsi="Arial" w:cs="Arial"/>
                <w:sz w:val="16"/>
                <w:szCs w:val="18"/>
                <w:highlight w:val="none"/>
              </w:rPr>
              <w:t>楼层</w:t>
            </w:r>
          </w:p>
        </w:tc>
        <w:tc>
          <w:tcPr>
            <w:tcW w:w="970" w:type="pct"/>
            <w:tcBorders>
              <w:top w:val="nil"/>
              <w:left w:val="nil"/>
              <w:bottom w:val="single" w:color="auto" w:sz="4" w:space="0"/>
              <w:right w:val="single" w:color="auto" w:sz="4" w:space="0"/>
            </w:tcBorders>
            <w:vAlign w:val="center"/>
          </w:tcPr>
          <w:p w14:paraId="72BE70E3">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lang w:val="en-US" w:eastAsia="zh-CN"/>
              </w:rPr>
              <w:t>中</w:t>
            </w:r>
            <w:r>
              <w:rPr>
                <w:rFonts w:ascii="Arial" w:hAnsi="Arial" w:cs="Arial"/>
                <w:sz w:val="16"/>
                <w:szCs w:val="18"/>
                <w:highlight w:val="none"/>
              </w:rPr>
              <w:t>楼层</w:t>
            </w:r>
          </w:p>
        </w:tc>
      </w:tr>
      <w:tr w14:paraId="276EBC39">
        <w:tblPrEx>
          <w:tblCellMar>
            <w:top w:w="0" w:type="dxa"/>
            <w:left w:w="108" w:type="dxa"/>
            <w:bottom w:w="0" w:type="dxa"/>
            <w:right w:w="108" w:type="dxa"/>
          </w:tblCellMar>
        </w:tblPrEx>
        <w:trPr>
          <w:trHeight w:val="397" w:hRule="atLeast"/>
          <w:jc w:val="center"/>
        </w:trPr>
        <w:tc>
          <w:tcPr>
            <w:tcW w:w="363" w:type="pct"/>
            <w:vMerge w:val="continue"/>
            <w:tcBorders>
              <w:top w:val="nil"/>
              <w:left w:val="single" w:color="auto" w:sz="4" w:space="0"/>
              <w:bottom w:val="single" w:color="auto" w:sz="4" w:space="0"/>
              <w:right w:val="single" w:color="auto" w:sz="4" w:space="0"/>
            </w:tcBorders>
            <w:vAlign w:val="center"/>
          </w:tcPr>
          <w:p w14:paraId="35CF5875">
            <w:pPr>
              <w:widowControl/>
              <w:adjustRightInd/>
              <w:spacing w:line="240" w:lineRule="auto"/>
              <w:jc w:val="center"/>
              <w:textAlignment w:val="auto"/>
              <w:rPr>
                <w:rFonts w:ascii="Arial" w:hAnsi="Arial" w:cs="Arial"/>
                <w:sz w:val="16"/>
                <w:szCs w:val="18"/>
                <w:highlight w:val="none"/>
              </w:rPr>
            </w:pPr>
          </w:p>
        </w:tc>
        <w:tc>
          <w:tcPr>
            <w:tcW w:w="758" w:type="pct"/>
            <w:tcBorders>
              <w:top w:val="nil"/>
              <w:left w:val="nil"/>
              <w:bottom w:val="single" w:color="auto" w:sz="4" w:space="0"/>
              <w:right w:val="single" w:color="auto" w:sz="4" w:space="0"/>
            </w:tcBorders>
            <w:vAlign w:val="center"/>
          </w:tcPr>
          <w:p w14:paraId="6E814031">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朝向</w:t>
            </w:r>
          </w:p>
        </w:tc>
        <w:tc>
          <w:tcPr>
            <w:tcW w:w="968" w:type="pct"/>
            <w:tcBorders>
              <w:top w:val="nil"/>
              <w:left w:val="nil"/>
              <w:bottom w:val="single" w:color="auto" w:sz="4" w:space="0"/>
              <w:right w:val="single" w:color="auto" w:sz="4" w:space="0"/>
            </w:tcBorders>
            <w:vAlign w:val="center"/>
          </w:tcPr>
          <w:p w14:paraId="6F8880C6">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lang w:val="en-US" w:eastAsia="zh-CN"/>
              </w:rPr>
              <w:t>南北</w:t>
            </w:r>
          </w:p>
        </w:tc>
        <w:tc>
          <w:tcPr>
            <w:tcW w:w="968" w:type="pct"/>
            <w:tcBorders>
              <w:top w:val="nil"/>
              <w:left w:val="nil"/>
              <w:bottom w:val="single" w:color="auto" w:sz="4" w:space="0"/>
              <w:right w:val="single" w:color="auto" w:sz="4" w:space="0"/>
            </w:tcBorders>
            <w:vAlign w:val="center"/>
          </w:tcPr>
          <w:p w14:paraId="62C11833">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lang w:val="en-US" w:eastAsia="zh-CN"/>
              </w:rPr>
              <w:t>南</w:t>
            </w:r>
          </w:p>
        </w:tc>
        <w:tc>
          <w:tcPr>
            <w:tcW w:w="968" w:type="pct"/>
            <w:tcBorders>
              <w:top w:val="nil"/>
              <w:left w:val="nil"/>
              <w:bottom w:val="single" w:color="auto" w:sz="4" w:space="0"/>
              <w:right w:val="single" w:color="auto" w:sz="4" w:space="0"/>
            </w:tcBorders>
            <w:vAlign w:val="center"/>
          </w:tcPr>
          <w:p w14:paraId="24CA4880">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lang w:val="en-US" w:eastAsia="zh-CN"/>
              </w:rPr>
              <w:t>南北</w:t>
            </w:r>
          </w:p>
        </w:tc>
        <w:tc>
          <w:tcPr>
            <w:tcW w:w="970" w:type="pct"/>
            <w:tcBorders>
              <w:top w:val="nil"/>
              <w:left w:val="nil"/>
              <w:bottom w:val="single" w:color="auto" w:sz="4" w:space="0"/>
              <w:right w:val="single" w:color="auto" w:sz="4" w:space="0"/>
            </w:tcBorders>
            <w:vAlign w:val="center"/>
          </w:tcPr>
          <w:p w14:paraId="7F4C2685">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lang w:val="en-US" w:eastAsia="zh-CN"/>
              </w:rPr>
              <w:t>南北</w:t>
            </w:r>
          </w:p>
        </w:tc>
      </w:tr>
      <w:tr w14:paraId="2088BBEE">
        <w:tblPrEx>
          <w:tblCellMar>
            <w:top w:w="0" w:type="dxa"/>
            <w:left w:w="108" w:type="dxa"/>
            <w:bottom w:w="0" w:type="dxa"/>
            <w:right w:w="108" w:type="dxa"/>
          </w:tblCellMar>
        </w:tblPrEx>
        <w:trPr>
          <w:trHeight w:val="397" w:hRule="atLeast"/>
          <w:jc w:val="center"/>
        </w:trPr>
        <w:tc>
          <w:tcPr>
            <w:tcW w:w="363" w:type="pct"/>
            <w:vMerge w:val="restart"/>
            <w:tcBorders>
              <w:top w:val="single" w:color="auto" w:sz="4" w:space="0"/>
              <w:left w:val="single" w:color="auto" w:sz="4" w:space="0"/>
              <w:bottom w:val="single" w:color="auto" w:sz="4" w:space="0"/>
              <w:right w:val="single" w:color="auto" w:sz="4" w:space="0"/>
            </w:tcBorders>
            <w:vAlign w:val="center"/>
          </w:tcPr>
          <w:p w14:paraId="5E378C94">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实物状况</w:t>
            </w:r>
          </w:p>
        </w:tc>
        <w:tc>
          <w:tcPr>
            <w:tcW w:w="758" w:type="pct"/>
            <w:tcBorders>
              <w:top w:val="single" w:color="auto" w:sz="4" w:space="0"/>
              <w:left w:val="nil"/>
              <w:bottom w:val="single" w:color="auto" w:sz="4" w:space="0"/>
              <w:right w:val="single" w:color="auto" w:sz="4" w:space="0"/>
            </w:tcBorders>
            <w:vAlign w:val="center"/>
          </w:tcPr>
          <w:p w14:paraId="1418FA9C">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成新度</w:t>
            </w:r>
          </w:p>
        </w:tc>
        <w:tc>
          <w:tcPr>
            <w:tcW w:w="968" w:type="pct"/>
            <w:tcBorders>
              <w:top w:val="single" w:color="auto" w:sz="4" w:space="0"/>
              <w:left w:val="nil"/>
              <w:bottom w:val="single" w:color="auto" w:sz="4" w:space="0"/>
              <w:right w:val="single" w:color="auto" w:sz="4" w:space="0"/>
            </w:tcBorders>
            <w:vAlign w:val="center"/>
          </w:tcPr>
          <w:p w14:paraId="1D52FB48">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lang w:val="en-US" w:eastAsia="zh-CN"/>
              </w:rPr>
              <w:t>8</w:t>
            </w:r>
            <w:r>
              <w:rPr>
                <w:rFonts w:ascii="Arial" w:hAnsi="Arial" w:cs="Arial"/>
                <w:sz w:val="16"/>
                <w:szCs w:val="18"/>
                <w:highlight w:val="none"/>
              </w:rPr>
              <w:t>0-</w:t>
            </w:r>
            <w:r>
              <w:rPr>
                <w:rFonts w:hint="eastAsia" w:ascii="Arial" w:hAnsi="Arial" w:cs="Arial"/>
                <w:sz w:val="16"/>
                <w:szCs w:val="18"/>
                <w:highlight w:val="none"/>
                <w:lang w:val="en-US" w:eastAsia="zh-CN"/>
              </w:rPr>
              <w:t>9</w:t>
            </w:r>
            <w:r>
              <w:rPr>
                <w:rFonts w:hint="eastAsia" w:ascii="Arial" w:hAnsi="Arial" w:cs="Arial"/>
                <w:sz w:val="16"/>
                <w:szCs w:val="18"/>
                <w:highlight w:val="none"/>
              </w:rPr>
              <w:t>0</w:t>
            </w:r>
            <w:r>
              <w:rPr>
                <w:rFonts w:ascii="Arial" w:hAnsi="Arial" w:cs="Arial"/>
                <w:sz w:val="16"/>
                <w:szCs w:val="18"/>
                <w:highlight w:val="none"/>
              </w:rPr>
              <w:t>%</w:t>
            </w:r>
          </w:p>
        </w:tc>
        <w:tc>
          <w:tcPr>
            <w:tcW w:w="968" w:type="pct"/>
            <w:tcBorders>
              <w:top w:val="single" w:color="auto" w:sz="4" w:space="0"/>
              <w:left w:val="nil"/>
              <w:bottom w:val="single" w:color="auto" w:sz="4" w:space="0"/>
              <w:right w:val="single" w:color="auto" w:sz="4" w:space="0"/>
            </w:tcBorders>
            <w:vAlign w:val="center"/>
          </w:tcPr>
          <w:p w14:paraId="137EAD02">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lang w:val="en-US" w:eastAsia="zh-CN"/>
              </w:rPr>
              <w:t>8</w:t>
            </w:r>
            <w:r>
              <w:rPr>
                <w:rFonts w:ascii="Arial" w:hAnsi="Arial" w:cs="Arial"/>
                <w:sz w:val="16"/>
                <w:szCs w:val="18"/>
                <w:highlight w:val="none"/>
              </w:rPr>
              <w:t>0-</w:t>
            </w:r>
            <w:r>
              <w:rPr>
                <w:rFonts w:hint="eastAsia" w:ascii="Arial" w:hAnsi="Arial" w:cs="Arial"/>
                <w:sz w:val="16"/>
                <w:szCs w:val="18"/>
                <w:highlight w:val="none"/>
                <w:lang w:val="en-US" w:eastAsia="zh-CN"/>
              </w:rPr>
              <w:t>9</w:t>
            </w:r>
            <w:r>
              <w:rPr>
                <w:rFonts w:hint="eastAsia" w:ascii="Arial" w:hAnsi="Arial" w:cs="Arial"/>
                <w:sz w:val="16"/>
                <w:szCs w:val="18"/>
                <w:highlight w:val="none"/>
              </w:rPr>
              <w:t>0</w:t>
            </w:r>
            <w:r>
              <w:rPr>
                <w:rFonts w:ascii="Arial" w:hAnsi="Arial" w:cs="Arial"/>
                <w:sz w:val="16"/>
                <w:szCs w:val="18"/>
                <w:highlight w:val="none"/>
              </w:rPr>
              <w:t>%</w:t>
            </w:r>
          </w:p>
        </w:tc>
        <w:tc>
          <w:tcPr>
            <w:tcW w:w="968" w:type="pct"/>
            <w:tcBorders>
              <w:top w:val="single" w:color="auto" w:sz="4" w:space="0"/>
              <w:left w:val="nil"/>
              <w:bottom w:val="single" w:color="auto" w:sz="4" w:space="0"/>
              <w:right w:val="single" w:color="auto" w:sz="4" w:space="0"/>
            </w:tcBorders>
            <w:vAlign w:val="center"/>
          </w:tcPr>
          <w:p w14:paraId="7DBFF3E0">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lang w:val="en-US" w:eastAsia="zh-CN"/>
              </w:rPr>
              <w:t>8</w:t>
            </w:r>
            <w:r>
              <w:rPr>
                <w:rFonts w:ascii="Arial" w:hAnsi="Arial" w:cs="Arial"/>
                <w:sz w:val="16"/>
                <w:szCs w:val="18"/>
                <w:highlight w:val="none"/>
              </w:rPr>
              <w:t>0-</w:t>
            </w:r>
            <w:r>
              <w:rPr>
                <w:rFonts w:hint="eastAsia" w:ascii="Arial" w:hAnsi="Arial" w:cs="Arial"/>
                <w:sz w:val="16"/>
                <w:szCs w:val="18"/>
                <w:highlight w:val="none"/>
                <w:lang w:val="en-US" w:eastAsia="zh-CN"/>
              </w:rPr>
              <w:t>9</w:t>
            </w:r>
            <w:r>
              <w:rPr>
                <w:rFonts w:hint="eastAsia" w:ascii="Arial" w:hAnsi="Arial" w:cs="Arial"/>
                <w:sz w:val="16"/>
                <w:szCs w:val="18"/>
                <w:highlight w:val="none"/>
              </w:rPr>
              <w:t>0</w:t>
            </w:r>
            <w:r>
              <w:rPr>
                <w:rFonts w:ascii="Arial" w:hAnsi="Arial" w:cs="Arial"/>
                <w:sz w:val="16"/>
                <w:szCs w:val="18"/>
                <w:highlight w:val="none"/>
              </w:rPr>
              <w:t>%</w:t>
            </w:r>
          </w:p>
        </w:tc>
        <w:tc>
          <w:tcPr>
            <w:tcW w:w="970" w:type="pct"/>
            <w:tcBorders>
              <w:top w:val="single" w:color="auto" w:sz="4" w:space="0"/>
              <w:left w:val="nil"/>
              <w:bottom w:val="single" w:color="auto" w:sz="4" w:space="0"/>
              <w:right w:val="single" w:color="auto" w:sz="4" w:space="0"/>
            </w:tcBorders>
            <w:vAlign w:val="center"/>
          </w:tcPr>
          <w:p w14:paraId="47FBC386">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lang w:val="en-US" w:eastAsia="zh-CN"/>
              </w:rPr>
              <w:t>6</w:t>
            </w:r>
            <w:r>
              <w:rPr>
                <w:rFonts w:ascii="Arial" w:hAnsi="Arial" w:cs="Arial"/>
                <w:sz w:val="16"/>
                <w:szCs w:val="18"/>
                <w:highlight w:val="none"/>
              </w:rPr>
              <w:t>0-</w:t>
            </w:r>
            <w:r>
              <w:rPr>
                <w:rFonts w:hint="eastAsia" w:ascii="Arial" w:hAnsi="Arial" w:cs="Arial"/>
                <w:sz w:val="16"/>
                <w:szCs w:val="18"/>
                <w:highlight w:val="none"/>
                <w:lang w:val="en-US" w:eastAsia="zh-CN"/>
              </w:rPr>
              <w:t>7</w:t>
            </w:r>
            <w:r>
              <w:rPr>
                <w:rFonts w:ascii="Arial" w:hAnsi="Arial" w:cs="Arial"/>
                <w:sz w:val="16"/>
                <w:szCs w:val="18"/>
                <w:highlight w:val="none"/>
              </w:rPr>
              <w:t>0%</w:t>
            </w:r>
          </w:p>
        </w:tc>
      </w:tr>
      <w:tr w14:paraId="41C5F629">
        <w:tblPrEx>
          <w:tblCellMar>
            <w:top w:w="0" w:type="dxa"/>
            <w:left w:w="108" w:type="dxa"/>
            <w:bottom w:w="0" w:type="dxa"/>
            <w:right w:w="108" w:type="dxa"/>
          </w:tblCellMar>
        </w:tblPrEx>
        <w:trPr>
          <w:trHeight w:val="397" w:hRule="atLeast"/>
          <w:jc w:val="center"/>
        </w:trPr>
        <w:tc>
          <w:tcPr>
            <w:tcW w:w="363" w:type="pct"/>
            <w:vMerge w:val="continue"/>
            <w:tcBorders>
              <w:left w:val="single" w:color="auto" w:sz="4" w:space="0"/>
              <w:bottom w:val="single" w:color="auto" w:sz="4" w:space="0"/>
              <w:right w:val="single" w:color="auto" w:sz="4" w:space="0"/>
            </w:tcBorders>
            <w:vAlign w:val="center"/>
          </w:tcPr>
          <w:p w14:paraId="389E618B">
            <w:pPr>
              <w:widowControl/>
              <w:adjustRightInd/>
              <w:spacing w:line="240" w:lineRule="auto"/>
              <w:jc w:val="center"/>
              <w:textAlignment w:val="auto"/>
              <w:rPr>
                <w:rFonts w:ascii="Arial" w:hAnsi="Arial" w:cs="Arial"/>
                <w:sz w:val="16"/>
                <w:szCs w:val="18"/>
                <w:highlight w:val="none"/>
              </w:rPr>
            </w:pPr>
          </w:p>
        </w:tc>
        <w:tc>
          <w:tcPr>
            <w:tcW w:w="758" w:type="pct"/>
            <w:tcBorders>
              <w:top w:val="single" w:color="auto" w:sz="4" w:space="0"/>
              <w:left w:val="nil"/>
              <w:bottom w:val="single" w:color="auto" w:sz="4" w:space="0"/>
              <w:right w:val="single" w:color="auto" w:sz="4" w:space="0"/>
            </w:tcBorders>
            <w:vAlign w:val="center"/>
          </w:tcPr>
          <w:p w14:paraId="2F10E14C">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公共区域装修</w:t>
            </w:r>
          </w:p>
        </w:tc>
        <w:tc>
          <w:tcPr>
            <w:tcW w:w="968" w:type="pct"/>
            <w:tcBorders>
              <w:top w:val="single" w:color="auto" w:sz="4" w:space="0"/>
              <w:left w:val="nil"/>
              <w:bottom w:val="single" w:color="auto" w:sz="4" w:space="0"/>
              <w:right w:val="single" w:color="auto" w:sz="4" w:space="0"/>
            </w:tcBorders>
            <w:vAlign w:val="center"/>
          </w:tcPr>
          <w:p w14:paraId="359FE53F">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精装修</w:t>
            </w:r>
          </w:p>
        </w:tc>
        <w:tc>
          <w:tcPr>
            <w:tcW w:w="968" w:type="pct"/>
            <w:tcBorders>
              <w:top w:val="single" w:color="auto" w:sz="4" w:space="0"/>
              <w:left w:val="nil"/>
              <w:bottom w:val="single" w:color="auto" w:sz="4" w:space="0"/>
              <w:right w:val="single" w:color="auto" w:sz="4" w:space="0"/>
            </w:tcBorders>
            <w:vAlign w:val="center"/>
          </w:tcPr>
          <w:p w14:paraId="522A640C">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精装修</w:t>
            </w:r>
          </w:p>
        </w:tc>
        <w:tc>
          <w:tcPr>
            <w:tcW w:w="968" w:type="pct"/>
            <w:tcBorders>
              <w:top w:val="single" w:color="auto" w:sz="4" w:space="0"/>
              <w:left w:val="nil"/>
              <w:bottom w:val="single" w:color="auto" w:sz="4" w:space="0"/>
              <w:right w:val="single" w:color="auto" w:sz="4" w:space="0"/>
            </w:tcBorders>
            <w:vAlign w:val="center"/>
          </w:tcPr>
          <w:p w14:paraId="3F4D091C">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精装修</w:t>
            </w:r>
          </w:p>
        </w:tc>
        <w:tc>
          <w:tcPr>
            <w:tcW w:w="970" w:type="pct"/>
            <w:tcBorders>
              <w:top w:val="single" w:color="auto" w:sz="4" w:space="0"/>
              <w:left w:val="nil"/>
              <w:bottom w:val="single" w:color="auto" w:sz="4" w:space="0"/>
              <w:right w:val="single" w:color="auto" w:sz="4" w:space="0"/>
            </w:tcBorders>
            <w:vAlign w:val="center"/>
          </w:tcPr>
          <w:p w14:paraId="09634E78">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精装修</w:t>
            </w:r>
          </w:p>
        </w:tc>
      </w:tr>
      <w:tr w14:paraId="6C8FBA2F">
        <w:tblPrEx>
          <w:tblCellMar>
            <w:top w:w="0" w:type="dxa"/>
            <w:left w:w="108" w:type="dxa"/>
            <w:bottom w:w="0" w:type="dxa"/>
            <w:right w:w="108" w:type="dxa"/>
          </w:tblCellMar>
        </w:tblPrEx>
        <w:trPr>
          <w:trHeight w:val="397" w:hRule="atLeast"/>
          <w:jc w:val="center"/>
        </w:trPr>
        <w:tc>
          <w:tcPr>
            <w:tcW w:w="363" w:type="pct"/>
            <w:vMerge w:val="continue"/>
            <w:tcBorders>
              <w:left w:val="single" w:color="auto" w:sz="4" w:space="0"/>
              <w:bottom w:val="single" w:color="auto" w:sz="4" w:space="0"/>
              <w:right w:val="single" w:color="auto" w:sz="4" w:space="0"/>
            </w:tcBorders>
            <w:vAlign w:val="center"/>
          </w:tcPr>
          <w:p w14:paraId="62814EF2">
            <w:pPr>
              <w:widowControl/>
              <w:adjustRightInd/>
              <w:spacing w:line="240" w:lineRule="auto"/>
              <w:jc w:val="center"/>
              <w:textAlignment w:val="auto"/>
              <w:rPr>
                <w:rFonts w:ascii="Arial" w:hAnsi="Arial" w:cs="Arial"/>
                <w:sz w:val="16"/>
                <w:szCs w:val="18"/>
                <w:highlight w:val="none"/>
              </w:rPr>
            </w:pPr>
          </w:p>
        </w:tc>
        <w:tc>
          <w:tcPr>
            <w:tcW w:w="758" w:type="pct"/>
            <w:tcBorders>
              <w:top w:val="single" w:color="auto" w:sz="4" w:space="0"/>
              <w:left w:val="nil"/>
              <w:bottom w:val="single" w:color="auto" w:sz="4" w:space="0"/>
              <w:right w:val="single" w:color="auto" w:sz="4" w:space="0"/>
            </w:tcBorders>
            <w:vAlign w:val="center"/>
          </w:tcPr>
          <w:p w14:paraId="15BE81C5">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室内装饰装修</w:t>
            </w:r>
          </w:p>
        </w:tc>
        <w:tc>
          <w:tcPr>
            <w:tcW w:w="968" w:type="pct"/>
            <w:tcBorders>
              <w:top w:val="single" w:color="auto" w:sz="4" w:space="0"/>
              <w:left w:val="nil"/>
              <w:bottom w:val="single" w:color="auto" w:sz="4" w:space="0"/>
              <w:right w:val="single" w:color="auto" w:sz="4" w:space="0"/>
            </w:tcBorders>
            <w:vAlign w:val="center"/>
          </w:tcPr>
          <w:p w14:paraId="48850C9A">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精装修</w:t>
            </w:r>
          </w:p>
        </w:tc>
        <w:tc>
          <w:tcPr>
            <w:tcW w:w="968" w:type="pct"/>
            <w:tcBorders>
              <w:top w:val="single" w:color="auto" w:sz="4" w:space="0"/>
              <w:left w:val="nil"/>
              <w:bottom w:val="single" w:color="auto" w:sz="4" w:space="0"/>
              <w:right w:val="single" w:color="auto" w:sz="4" w:space="0"/>
            </w:tcBorders>
            <w:vAlign w:val="center"/>
          </w:tcPr>
          <w:p w14:paraId="334145F7">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精装修</w:t>
            </w:r>
          </w:p>
        </w:tc>
        <w:tc>
          <w:tcPr>
            <w:tcW w:w="968" w:type="pct"/>
            <w:tcBorders>
              <w:top w:val="single" w:color="auto" w:sz="4" w:space="0"/>
              <w:left w:val="nil"/>
              <w:bottom w:val="single" w:color="auto" w:sz="4" w:space="0"/>
              <w:right w:val="single" w:color="auto" w:sz="4" w:space="0"/>
            </w:tcBorders>
            <w:vAlign w:val="center"/>
          </w:tcPr>
          <w:p w14:paraId="6A25DC49">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精装修</w:t>
            </w:r>
          </w:p>
        </w:tc>
        <w:tc>
          <w:tcPr>
            <w:tcW w:w="970" w:type="pct"/>
            <w:tcBorders>
              <w:top w:val="single" w:color="auto" w:sz="4" w:space="0"/>
              <w:left w:val="nil"/>
              <w:bottom w:val="single" w:color="auto" w:sz="4" w:space="0"/>
              <w:right w:val="single" w:color="auto" w:sz="4" w:space="0"/>
            </w:tcBorders>
            <w:vAlign w:val="center"/>
          </w:tcPr>
          <w:p w14:paraId="4980C844">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精装修</w:t>
            </w:r>
          </w:p>
        </w:tc>
      </w:tr>
      <w:tr w14:paraId="0A919DF8">
        <w:tblPrEx>
          <w:tblCellMar>
            <w:top w:w="0" w:type="dxa"/>
            <w:left w:w="108" w:type="dxa"/>
            <w:bottom w:w="0" w:type="dxa"/>
            <w:right w:w="108" w:type="dxa"/>
          </w:tblCellMar>
        </w:tblPrEx>
        <w:trPr>
          <w:trHeight w:val="397" w:hRule="atLeast"/>
          <w:jc w:val="center"/>
        </w:trPr>
        <w:tc>
          <w:tcPr>
            <w:tcW w:w="363" w:type="pct"/>
            <w:vMerge w:val="continue"/>
            <w:tcBorders>
              <w:left w:val="single" w:color="auto" w:sz="4" w:space="0"/>
              <w:bottom w:val="single" w:color="auto" w:sz="4" w:space="0"/>
              <w:right w:val="single" w:color="auto" w:sz="4" w:space="0"/>
            </w:tcBorders>
            <w:vAlign w:val="center"/>
          </w:tcPr>
          <w:p w14:paraId="60E682FA">
            <w:pPr>
              <w:widowControl/>
              <w:adjustRightInd/>
              <w:spacing w:line="240" w:lineRule="auto"/>
              <w:jc w:val="center"/>
              <w:textAlignment w:val="auto"/>
              <w:rPr>
                <w:rFonts w:ascii="Arial" w:hAnsi="Arial" w:cs="Arial"/>
                <w:sz w:val="16"/>
                <w:szCs w:val="18"/>
                <w:highlight w:val="none"/>
              </w:rPr>
            </w:pPr>
          </w:p>
        </w:tc>
        <w:tc>
          <w:tcPr>
            <w:tcW w:w="758" w:type="pct"/>
            <w:tcBorders>
              <w:top w:val="single" w:color="auto" w:sz="4" w:space="0"/>
              <w:left w:val="nil"/>
              <w:bottom w:val="single" w:color="auto" w:sz="4" w:space="0"/>
              <w:right w:val="single" w:color="auto" w:sz="4" w:space="0"/>
            </w:tcBorders>
            <w:vAlign w:val="center"/>
          </w:tcPr>
          <w:p w14:paraId="063B8BDD">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设施设备</w:t>
            </w:r>
          </w:p>
        </w:tc>
        <w:tc>
          <w:tcPr>
            <w:tcW w:w="968" w:type="pct"/>
            <w:tcBorders>
              <w:top w:val="single" w:color="auto" w:sz="4" w:space="0"/>
              <w:left w:val="nil"/>
              <w:bottom w:val="single" w:color="auto" w:sz="4" w:space="0"/>
              <w:right w:val="single" w:color="auto" w:sz="4" w:space="0"/>
            </w:tcBorders>
            <w:vAlign w:val="center"/>
          </w:tcPr>
          <w:p w14:paraId="35714500">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较完善</w:t>
            </w:r>
          </w:p>
        </w:tc>
        <w:tc>
          <w:tcPr>
            <w:tcW w:w="968" w:type="pct"/>
            <w:tcBorders>
              <w:top w:val="single" w:color="auto" w:sz="4" w:space="0"/>
              <w:left w:val="nil"/>
              <w:bottom w:val="single" w:color="auto" w:sz="4" w:space="0"/>
              <w:right w:val="single" w:color="auto" w:sz="4" w:space="0"/>
            </w:tcBorders>
            <w:vAlign w:val="center"/>
          </w:tcPr>
          <w:p w14:paraId="5570CED1">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较完善</w:t>
            </w:r>
          </w:p>
        </w:tc>
        <w:tc>
          <w:tcPr>
            <w:tcW w:w="968" w:type="pct"/>
            <w:tcBorders>
              <w:top w:val="single" w:color="auto" w:sz="4" w:space="0"/>
              <w:left w:val="nil"/>
              <w:bottom w:val="single" w:color="auto" w:sz="4" w:space="0"/>
              <w:right w:val="single" w:color="auto" w:sz="4" w:space="0"/>
            </w:tcBorders>
            <w:vAlign w:val="center"/>
          </w:tcPr>
          <w:p w14:paraId="63BAFC25">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较完善</w:t>
            </w:r>
          </w:p>
        </w:tc>
        <w:tc>
          <w:tcPr>
            <w:tcW w:w="970" w:type="pct"/>
            <w:tcBorders>
              <w:top w:val="single" w:color="auto" w:sz="4" w:space="0"/>
              <w:left w:val="nil"/>
              <w:bottom w:val="single" w:color="auto" w:sz="4" w:space="0"/>
              <w:right w:val="single" w:color="auto" w:sz="4" w:space="0"/>
            </w:tcBorders>
            <w:vAlign w:val="center"/>
          </w:tcPr>
          <w:p w14:paraId="1767F794">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较完善</w:t>
            </w:r>
          </w:p>
        </w:tc>
      </w:tr>
      <w:tr w14:paraId="7281A9B8">
        <w:tblPrEx>
          <w:tblCellMar>
            <w:top w:w="0" w:type="dxa"/>
            <w:left w:w="108" w:type="dxa"/>
            <w:bottom w:w="0" w:type="dxa"/>
            <w:right w:w="108" w:type="dxa"/>
          </w:tblCellMar>
        </w:tblPrEx>
        <w:trPr>
          <w:trHeight w:val="397" w:hRule="atLeast"/>
          <w:jc w:val="center"/>
        </w:trPr>
        <w:tc>
          <w:tcPr>
            <w:tcW w:w="363" w:type="pct"/>
            <w:vMerge w:val="continue"/>
            <w:tcBorders>
              <w:left w:val="single" w:color="auto" w:sz="4" w:space="0"/>
              <w:bottom w:val="single" w:color="auto" w:sz="4" w:space="0"/>
              <w:right w:val="single" w:color="auto" w:sz="4" w:space="0"/>
            </w:tcBorders>
            <w:vAlign w:val="center"/>
          </w:tcPr>
          <w:p w14:paraId="0F65E539">
            <w:pPr>
              <w:widowControl/>
              <w:adjustRightInd/>
              <w:spacing w:line="240" w:lineRule="auto"/>
              <w:jc w:val="center"/>
              <w:textAlignment w:val="auto"/>
              <w:rPr>
                <w:rFonts w:ascii="Arial" w:hAnsi="Arial" w:cs="Arial"/>
                <w:sz w:val="16"/>
                <w:szCs w:val="18"/>
                <w:highlight w:val="none"/>
              </w:rPr>
            </w:pPr>
          </w:p>
        </w:tc>
        <w:tc>
          <w:tcPr>
            <w:tcW w:w="758" w:type="pct"/>
            <w:tcBorders>
              <w:top w:val="single" w:color="auto" w:sz="4" w:space="0"/>
              <w:left w:val="nil"/>
              <w:bottom w:val="single" w:color="auto" w:sz="4" w:space="0"/>
              <w:right w:val="single" w:color="auto" w:sz="4" w:space="0"/>
            </w:tcBorders>
            <w:vAlign w:val="center"/>
          </w:tcPr>
          <w:p w14:paraId="5317830A">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综合管理服务设施</w:t>
            </w:r>
          </w:p>
        </w:tc>
        <w:tc>
          <w:tcPr>
            <w:tcW w:w="968" w:type="pct"/>
            <w:tcBorders>
              <w:top w:val="single" w:color="auto" w:sz="4" w:space="0"/>
              <w:left w:val="nil"/>
              <w:bottom w:val="single" w:color="auto" w:sz="4" w:space="0"/>
              <w:right w:val="single" w:color="auto" w:sz="4" w:space="0"/>
            </w:tcBorders>
            <w:vAlign w:val="center"/>
          </w:tcPr>
          <w:p w14:paraId="480AED79">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有快递柜、垃圾分类收集点</w:t>
            </w:r>
          </w:p>
        </w:tc>
        <w:tc>
          <w:tcPr>
            <w:tcW w:w="968" w:type="pct"/>
            <w:tcBorders>
              <w:top w:val="single" w:color="auto" w:sz="4" w:space="0"/>
              <w:left w:val="nil"/>
              <w:bottom w:val="single" w:color="auto" w:sz="4" w:space="0"/>
              <w:right w:val="single" w:color="auto" w:sz="4" w:space="0"/>
            </w:tcBorders>
            <w:vAlign w:val="center"/>
          </w:tcPr>
          <w:p w14:paraId="664528CD">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快递柜、垃圾分类收集点</w:t>
            </w:r>
          </w:p>
        </w:tc>
        <w:tc>
          <w:tcPr>
            <w:tcW w:w="968" w:type="pct"/>
            <w:tcBorders>
              <w:top w:val="single" w:color="auto" w:sz="4" w:space="0"/>
              <w:left w:val="nil"/>
              <w:bottom w:val="single" w:color="auto" w:sz="4" w:space="0"/>
              <w:right w:val="single" w:color="auto" w:sz="4" w:space="0"/>
            </w:tcBorders>
            <w:vAlign w:val="center"/>
          </w:tcPr>
          <w:p w14:paraId="063B2541">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快递柜、垃圾分类收集点</w:t>
            </w:r>
          </w:p>
        </w:tc>
        <w:tc>
          <w:tcPr>
            <w:tcW w:w="970" w:type="pct"/>
            <w:tcBorders>
              <w:top w:val="single" w:color="auto" w:sz="4" w:space="0"/>
              <w:left w:val="nil"/>
              <w:bottom w:val="single" w:color="auto" w:sz="4" w:space="0"/>
              <w:right w:val="single" w:color="auto" w:sz="4" w:space="0"/>
            </w:tcBorders>
            <w:vAlign w:val="center"/>
          </w:tcPr>
          <w:p w14:paraId="2610EDDB">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快递柜、垃圾分类收集点</w:t>
            </w:r>
          </w:p>
        </w:tc>
      </w:tr>
      <w:tr w14:paraId="08D1A855">
        <w:tblPrEx>
          <w:tblCellMar>
            <w:top w:w="0" w:type="dxa"/>
            <w:left w:w="108" w:type="dxa"/>
            <w:bottom w:w="0" w:type="dxa"/>
            <w:right w:w="108" w:type="dxa"/>
          </w:tblCellMar>
        </w:tblPrEx>
        <w:trPr>
          <w:trHeight w:val="397" w:hRule="atLeast"/>
          <w:jc w:val="center"/>
        </w:trPr>
        <w:tc>
          <w:tcPr>
            <w:tcW w:w="363" w:type="pct"/>
            <w:vMerge w:val="continue"/>
            <w:tcBorders>
              <w:left w:val="single" w:color="auto" w:sz="4" w:space="0"/>
              <w:bottom w:val="single" w:color="auto" w:sz="4" w:space="0"/>
              <w:right w:val="single" w:color="auto" w:sz="4" w:space="0"/>
            </w:tcBorders>
            <w:vAlign w:val="center"/>
          </w:tcPr>
          <w:p w14:paraId="7358FCC4">
            <w:pPr>
              <w:widowControl/>
              <w:adjustRightInd/>
              <w:spacing w:line="240" w:lineRule="auto"/>
              <w:jc w:val="center"/>
              <w:textAlignment w:val="auto"/>
              <w:rPr>
                <w:rFonts w:ascii="Arial" w:hAnsi="Arial" w:cs="Arial"/>
                <w:sz w:val="16"/>
                <w:szCs w:val="18"/>
                <w:highlight w:val="none"/>
              </w:rPr>
            </w:pPr>
          </w:p>
        </w:tc>
        <w:tc>
          <w:tcPr>
            <w:tcW w:w="758" w:type="pct"/>
            <w:tcBorders>
              <w:top w:val="single" w:color="auto" w:sz="4" w:space="0"/>
              <w:left w:val="nil"/>
              <w:bottom w:val="single" w:color="auto" w:sz="4" w:space="0"/>
              <w:right w:val="single" w:color="auto" w:sz="4" w:space="0"/>
            </w:tcBorders>
            <w:vAlign w:val="center"/>
          </w:tcPr>
          <w:p w14:paraId="37E5CE09">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户型布局</w:t>
            </w:r>
          </w:p>
        </w:tc>
        <w:tc>
          <w:tcPr>
            <w:tcW w:w="968" w:type="pct"/>
            <w:tcBorders>
              <w:top w:val="single" w:color="auto" w:sz="4" w:space="0"/>
              <w:left w:val="nil"/>
              <w:bottom w:val="single" w:color="auto" w:sz="4" w:space="0"/>
              <w:right w:val="single" w:color="auto" w:sz="4" w:space="0"/>
            </w:tcBorders>
            <w:vAlign w:val="center"/>
          </w:tcPr>
          <w:p w14:paraId="061DF93A">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两居室</w:t>
            </w:r>
          </w:p>
        </w:tc>
        <w:tc>
          <w:tcPr>
            <w:tcW w:w="968" w:type="pct"/>
            <w:tcBorders>
              <w:top w:val="single" w:color="auto" w:sz="4" w:space="0"/>
              <w:left w:val="nil"/>
              <w:bottom w:val="single" w:color="auto" w:sz="4" w:space="0"/>
              <w:right w:val="single" w:color="auto" w:sz="4" w:space="0"/>
            </w:tcBorders>
            <w:vAlign w:val="center"/>
          </w:tcPr>
          <w:p w14:paraId="46EEE443">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两居室</w:t>
            </w:r>
          </w:p>
        </w:tc>
        <w:tc>
          <w:tcPr>
            <w:tcW w:w="968" w:type="pct"/>
            <w:tcBorders>
              <w:top w:val="single" w:color="auto" w:sz="4" w:space="0"/>
              <w:left w:val="nil"/>
              <w:bottom w:val="single" w:color="auto" w:sz="4" w:space="0"/>
              <w:right w:val="single" w:color="auto" w:sz="4" w:space="0"/>
            </w:tcBorders>
            <w:vAlign w:val="center"/>
          </w:tcPr>
          <w:p w14:paraId="55B7AF09">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两居室</w:t>
            </w:r>
          </w:p>
        </w:tc>
        <w:tc>
          <w:tcPr>
            <w:tcW w:w="970" w:type="pct"/>
            <w:tcBorders>
              <w:top w:val="single" w:color="auto" w:sz="4" w:space="0"/>
              <w:left w:val="nil"/>
              <w:bottom w:val="single" w:color="auto" w:sz="4" w:space="0"/>
              <w:right w:val="single" w:color="auto" w:sz="4" w:space="0"/>
            </w:tcBorders>
            <w:vAlign w:val="center"/>
          </w:tcPr>
          <w:p w14:paraId="02C2DE2A">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两居室</w:t>
            </w:r>
          </w:p>
        </w:tc>
      </w:tr>
      <w:tr w14:paraId="6643F306">
        <w:tblPrEx>
          <w:tblCellMar>
            <w:top w:w="0" w:type="dxa"/>
            <w:left w:w="108" w:type="dxa"/>
            <w:bottom w:w="0" w:type="dxa"/>
            <w:right w:w="108" w:type="dxa"/>
          </w:tblCellMar>
        </w:tblPrEx>
        <w:trPr>
          <w:trHeight w:val="397" w:hRule="atLeast"/>
          <w:jc w:val="center"/>
        </w:trPr>
        <w:tc>
          <w:tcPr>
            <w:tcW w:w="363" w:type="pct"/>
            <w:vMerge w:val="continue"/>
            <w:tcBorders>
              <w:left w:val="single" w:color="auto" w:sz="4" w:space="0"/>
              <w:bottom w:val="single" w:color="auto" w:sz="4" w:space="0"/>
              <w:right w:val="single" w:color="auto" w:sz="4" w:space="0"/>
            </w:tcBorders>
            <w:vAlign w:val="center"/>
          </w:tcPr>
          <w:p w14:paraId="6E338BC3">
            <w:pPr>
              <w:widowControl/>
              <w:adjustRightInd/>
              <w:spacing w:line="240" w:lineRule="auto"/>
              <w:jc w:val="center"/>
              <w:textAlignment w:val="auto"/>
              <w:rPr>
                <w:rFonts w:ascii="Arial" w:hAnsi="Arial" w:cs="Arial"/>
                <w:sz w:val="16"/>
                <w:szCs w:val="18"/>
                <w:highlight w:val="none"/>
              </w:rPr>
            </w:pPr>
          </w:p>
        </w:tc>
        <w:tc>
          <w:tcPr>
            <w:tcW w:w="758" w:type="pct"/>
            <w:tcBorders>
              <w:top w:val="single" w:color="auto" w:sz="4" w:space="0"/>
              <w:left w:val="nil"/>
              <w:bottom w:val="single" w:color="auto" w:sz="4" w:space="0"/>
              <w:right w:val="single" w:color="auto" w:sz="4" w:space="0"/>
            </w:tcBorders>
            <w:vAlign w:val="center"/>
          </w:tcPr>
          <w:p w14:paraId="4A85A23A">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户型结构</w:t>
            </w:r>
          </w:p>
        </w:tc>
        <w:tc>
          <w:tcPr>
            <w:tcW w:w="968" w:type="pct"/>
            <w:tcBorders>
              <w:top w:val="single" w:color="auto" w:sz="4" w:space="0"/>
              <w:left w:val="nil"/>
              <w:bottom w:val="single" w:color="auto" w:sz="4" w:space="0"/>
              <w:right w:val="single" w:color="auto" w:sz="4" w:space="0"/>
            </w:tcBorders>
            <w:vAlign w:val="center"/>
          </w:tcPr>
          <w:p w14:paraId="03AD7972">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平层</w:t>
            </w:r>
          </w:p>
        </w:tc>
        <w:tc>
          <w:tcPr>
            <w:tcW w:w="968" w:type="pct"/>
            <w:tcBorders>
              <w:top w:val="single" w:color="auto" w:sz="4" w:space="0"/>
              <w:left w:val="nil"/>
              <w:bottom w:val="single" w:color="auto" w:sz="4" w:space="0"/>
              <w:right w:val="single" w:color="auto" w:sz="4" w:space="0"/>
            </w:tcBorders>
            <w:vAlign w:val="center"/>
          </w:tcPr>
          <w:p w14:paraId="3118ACE2">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平层</w:t>
            </w:r>
          </w:p>
        </w:tc>
        <w:tc>
          <w:tcPr>
            <w:tcW w:w="968" w:type="pct"/>
            <w:tcBorders>
              <w:top w:val="single" w:color="auto" w:sz="4" w:space="0"/>
              <w:left w:val="nil"/>
              <w:bottom w:val="single" w:color="auto" w:sz="4" w:space="0"/>
              <w:right w:val="single" w:color="auto" w:sz="4" w:space="0"/>
            </w:tcBorders>
            <w:vAlign w:val="center"/>
          </w:tcPr>
          <w:p w14:paraId="1AAD22DC">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平层</w:t>
            </w:r>
          </w:p>
        </w:tc>
        <w:tc>
          <w:tcPr>
            <w:tcW w:w="970" w:type="pct"/>
            <w:tcBorders>
              <w:top w:val="single" w:color="auto" w:sz="4" w:space="0"/>
              <w:left w:val="nil"/>
              <w:bottom w:val="single" w:color="auto" w:sz="4" w:space="0"/>
              <w:right w:val="single" w:color="auto" w:sz="4" w:space="0"/>
            </w:tcBorders>
            <w:vAlign w:val="center"/>
          </w:tcPr>
          <w:p w14:paraId="7F1F13B5">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平层</w:t>
            </w:r>
          </w:p>
        </w:tc>
      </w:tr>
      <w:tr w14:paraId="6FF84CFB">
        <w:tblPrEx>
          <w:tblCellMar>
            <w:top w:w="0" w:type="dxa"/>
            <w:left w:w="108" w:type="dxa"/>
            <w:bottom w:w="0" w:type="dxa"/>
            <w:right w:w="108" w:type="dxa"/>
          </w:tblCellMar>
        </w:tblPrEx>
        <w:trPr>
          <w:trHeight w:val="397" w:hRule="atLeast"/>
          <w:jc w:val="center"/>
        </w:trPr>
        <w:tc>
          <w:tcPr>
            <w:tcW w:w="363" w:type="pct"/>
            <w:vMerge w:val="continue"/>
            <w:tcBorders>
              <w:left w:val="single" w:color="auto" w:sz="4" w:space="0"/>
              <w:bottom w:val="single" w:color="auto" w:sz="4" w:space="0"/>
              <w:right w:val="single" w:color="auto" w:sz="4" w:space="0"/>
            </w:tcBorders>
            <w:vAlign w:val="center"/>
          </w:tcPr>
          <w:p w14:paraId="57CF1926">
            <w:pPr>
              <w:widowControl/>
              <w:adjustRightInd/>
              <w:spacing w:line="240" w:lineRule="auto"/>
              <w:jc w:val="center"/>
              <w:textAlignment w:val="auto"/>
              <w:rPr>
                <w:rFonts w:ascii="Arial" w:hAnsi="Arial" w:cs="Arial"/>
                <w:sz w:val="16"/>
                <w:szCs w:val="18"/>
                <w:highlight w:val="none"/>
              </w:rPr>
            </w:pPr>
          </w:p>
        </w:tc>
        <w:tc>
          <w:tcPr>
            <w:tcW w:w="758" w:type="pct"/>
            <w:tcBorders>
              <w:top w:val="single" w:color="auto" w:sz="4" w:space="0"/>
              <w:left w:val="nil"/>
              <w:bottom w:val="single" w:color="auto" w:sz="4" w:space="0"/>
              <w:right w:val="single" w:color="auto" w:sz="4" w:space="0"/>
            </w:tcBorders>
            <w:vAlign w:val="center"/>
          </w:tcPr>
          <w:p w14:paraId="3F04BD31">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建筑面积（㎡）</w:t>
            </w:r>
          </w:p>
        </w:tc>
        <w:tc>
          <w:tcPr>
            <w:tcW w:w="968" w:type="pct"/>
            <w:tcBorders>
              <w:top w:val="single" w:color="auto" w:sz="4" w:space="0"/>
              <w:left w:val="nil"/>
              <w:bottom w:val="single" w:color="auto" w:sz="4" w:space="0"/>
              <w:right w:val="single" w:color="auto" w:sz="4" w:space="0"/>
            </w:tcBorders>
            <w:vAlign w:val="center"/>
          </w:tcPr>
          <w:p w14:paraId="33DADA57">
            <w:pPr>
              <w:widowControl/>
              <w:adjustRightInd/>
              <w:spacing w:line="240" w:lineRule="auto"/>
              <w:jc w:val="center"/>
              <w:textAlignment w:val="auto"/>
              <w:rPr>
                <w:rFonts w:hint="default" w:ascii="Arial" w:hAnsi="Arial" w:cs="Arial"/>
                <w:sz w:val="16"/>
                <w:szCs w:val="18"/>
                <w:highlight w:val="none"/>
                <w:lang w:val="en-US"/>
              </w:rPr>
            </w:pPr>
            <w:r>
              <w:rPr>
                <w:rFonts w:hint="eastAsia" w:ascii="Arial" w:hAnsi="Arial" w:cs="Arial"/>
                <w:sz w:val="16"/>
                <w:szCs w:val="18"/>
                <w:highlight w:val="none"/>
                <w:lang w:val="en-US" w:eastAsia="zh-CN"/>
              </w:rPr>
              <w:t>87.36</w:t>
            </w:r>
          </w:p>
        </w:tc>
        <w:tc>
          <w:tcPr>
            <w:tcW w:w="968" w:type="pct"/>
            <w:tcBorders>
              <w:top w:val="single" w:color="auto" w:sz="4" w:space="0"/>
              <w:left w:val="nil"/>
              <w:bottom w:val="single" w:color="auto" w:sz="4" w:space="0"/>
              <w:right w:val="single" w:color="auto" w:sz="4" w:space="0"/>
            </w:tcBorders>
            <w:vAlign w:val="center"/>
          </w:tcPr>
          <w:p w14:paraId="6DF717C4">
            <w:pPr>
              <w:widowControl/>
              <w:adjustRightInd/>
              <w:spacing w:line="240" w:lineRule="auto"/>
              <w:jc w:val="center"/>
              <w:textAlignment w:val="auto"/>
              <w:rPr>
                <w:rFonts w:hint="default" w:ascii="Arial" w:hAnsi="Arial" w:eastAsia="宋体" w:cs="Arial"/>
                <w:sz w:val="16"/>
                <w:szCs w:val="18"/>
                <w:highlight w:val="none"/>
                <w:lang w:val="en-US" w:eastAsia="zh-CN"/>
              </w:rPr>
            </w:pPr>
            <w:r>
              <w:rPr>
                <w:rFonts w:hint="eastAsia" w:ascii="Arial" w:hAnsi="Arial" w:cs="Arial"/>
                <w:sz w:val="16"/>
                <w:szCs w:val="18"/>
                <w:highlight w:val="none"/>
                <w:lang w:val="en-US" w:eastAsia="zh-CN"/>
              </w:rPr>
              <w:t>94.59</w:t>
            </w:r>
          </w:p>
        </w:tc>
        <w:tc>
          <w:tcPr>
            <w:tcW w:w="968" w:type="pct"/>
            <w:tcBorders>
              <w:top w:val="single" w:color="auto" w:sz="4" w:space="0"/>
              <w:left w:val="nil"/>
              <w:bottom w:val="single" w:color="auto" w:sz="4" w:space="0"/>
              <w:right w:val="single" w:color="auto" w:sz="4" w:space="0"/>
            </w:tcBorders>
            <w:vAlign w:val="center"/>
          </w:tcPr>
          <w:p w14:paraId="3B57A414">
            <w:pPr>
              <w:widowControl/>
              <w:adjustRightInd/>
              <w:spacing w:line="240" w:lineRule="auto"/>
              <w:jc w:val="center"/>
              <w:textAlignment w:val="auto"/>
              <w:rPr>
                <w:rFonts w:hint="default" w:ascii="Arial" w:hAnsi="Arial" w:eastAsia="宋体" w:cs="Arial"/>
                <w:sz w:val="16"/>
                <w:szCs w:val="18"/>
                <w:highlight w:val="none"/>
                <w:lang w:val="en-US" w:eastAsia="zh-CN"/>
              </w:rPr>
            </w:pPr>
            <w:r>
              <w:rPr>
                <w:rFonts w:hint="eastAsia" w:ascii="Arial" w:hAnsi="Arial" w:cs="Arial"/>
                <w:sz w:val="16"/>
                <w:szCs w:val="18"/>
                <w:highlight w:val="none"/>
                <w:lang w:val="en-US" w:eastAsia="zh-CN"/>
              </w:rPr>
              <w:t>83.03</w:t>
            </w:r>
          </w:p>
        </w:tc>
        <w:tc>
          <w:tcPr>
            <w:tcW w:w="970" w:type="pct"/>
            <w:tcBorders>
              <w:top w:val="single" w:color="auto" w:sz="4" w:space="0"/>
              <w:left w:val="nil"/>
              <w:bottom w:val="single" w:color="auto" w:sz="4" w:space="0"/>
              <w:right w:val="single" w:color="auto" w:sz="4" w:space="0"/>
            </w:tcBorders>
            <w:vAlign w:val="center"/>
          </w:tcPr>
          <w:p w14:paraId="2C3E6012">
            <w:pPr>
              <w:widowControl/>
              <w:adjustRightInd/>
              <w:spacing w:line="240" w:lineRule="auto"/>
              <w:jc w:val="center"/>
              <w:textAlignment w:val="auto"/>
              <w:rPr>
                <w:rFonts w:hint="default" w:ascii="Arial" w:hAnsi="Arial" w:eastAsia="宋体" w:cs="Arial"/>
                <w:sz w:val="16"/>
                <w:szCs w:val="18"/>
                <w:highlight w:val="none"/>
                <w:lang w:val="en-US" w:eastAsia="zh-CN"/>
              </w:rPr>
            </w:pPr>
            <w:r>
              <w:rPr>
                <w:rFonts w:hint="eastAsia" w:ascii="Arial" w:hAnsi="Arial" w:cs="Arial"/>
                <w:sz w:val="16"/>
                <w:szCs w:val="18"/>
                <w:highlight w:val="none"/>
                <w:lang w:val="en-US" w:eastAsia="zh-CN"/>
              </w:rPr>
              <w:t>90.79</w:t>
            </w:r>
          </w:p>
        </w:tc>
      </w:tr>
      <w:tr w14:paraId="6099DCE5">
        <w:tblPrEx>
          <w:tblCellMar>
            <w:top w:w="0" w:type="dxa"/>
            <w:left w:w="108" w:type="dxa"/>
            <w:bottom w:w="0" w:type="dxa"/>
            <w:right w:w="108" w:type="dxa"/>
          </w:tblCellMar>
        </w:tblPrEx>
        <w:trPr>
          <w:trHeight w:val="397" w:hRule="atLeast"/>
          <w:jc w:val="center"/>
        </w:trPr>
        <w:tc>
          <w:tcPr>
            <w:tcW w:w="363" w:type="pct"/>
            <w:vMerge w:val="continue"/>
            <w:tcBorders>
              <w:left w:val="single" w:color="auto" w:sz="4" w:space="0"/>
              <w:bottom w:val="single" w:color="auto" w:sz="4" w:space="0"/>
              <w:right w:val="single" w:color="auto" w:sz="4" w:space="0"/>
            </w:tcBorders>
            <w:vAlign w:val="center"/>
          </w:tcPr>
          <w:p w14:paraId="23AE2D1A">
            <w:pPr>
              <w:widowControl/>
              <w:adjustRightInd/>
              <w:spacing w:line="240" w:lineRule="auto"/>
              <w:jc w:val="center"/>
              <w:textAlignment w:val="auto"/>
              <w:rPr>
                <w:rFonts w:ascii="Arial" w:hAnsi="Arial" w:cs="Arial"/>
                <w:sz w:val="16"/>
                <w:szCs w:val="18"/>
                <w:highlight w:val="none"/>
              </w:rPr>
            </w:pPr>
          </w:p>
        </w:tc>
        <w:tc>
          <w:tcPr>
            <w:tcW w:w="758" w:type="pct"/>
            <w:tcBorders>
              <w:top w:val="single" w:color="auto" w:sz="4" w:space="0"/>
              <w:left w:val="nil"/>
              <w:bottom w:val="single" w:color="auto" w:sz="4" w:space="0"/>
              <w:right w:val="single" w:color="auto" w:sz="4" w:space="0"/>
            </w:tcBorders>
            <w:vAlign w:val="center"/>
          </w:tcPr>
          <w:p w14:paraId="6C04F1EB">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家具家电</w:t>
            </w:r>
          </w:p>
        </w:tc>
        <w:tc>
          <w:tcPr>
            <w:tcW w:w="968" w:type="pct"/>
            <w:tcBorders>
              <w:top w:val="single" w:color="auto" w:sz="4" w:space="0"/>
              <w:left w:val="nil"/>
              <w:bottom w:val="single" w:color="auto" w:sz="4" w:space="0"/>
              <w:right w:val="single" w:color="auto" w:sz="4" w:space="0"/>
            </w:tcBorders>
            <w:vAlign w:val="center"/>
          </w:tcPr>
          <w:p w14:paraId="14C1BC69">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配备家具、家电齐全；功能正常，质量有保证，好</w:t>
            </w:r>
          </w:p>
        </w:tc>
        <w:tc>
          <w:tcPr>
            <w:tcW w:w="968" w:type="pct"/>
            <w:tcBorders>
              <w:top w:val="single" w:color="auto" w:sz="4" w:space="0"/>
              <w:left w:val="nil"/>
              <w:bottom w:val="single" w:color="auto" w:sz="4" w:space="0"/>
              <w:right w:val="single" w:color="auto" w:sz="4" w:space="0"/>
            </w:tcBorders>
            <w:vAlign w:val="center"/>
          </w:tcPr>
          <w:p w14:paraId="6765BB52">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配备家具、家电齐全；功能正常，质量有保证，好</w:t>
            </w:r>
          </w:p>
        </w:tc>
        <w:tc>
          <w:tcPr>
            <w:tcW w:w="968" w:type="pct"/>
            <w:tcBorders>
              <w:top w:val="single" w:color="auto" w:sz="4" w:space="0"/>
              <w:left w:val="nil"/>
              <w:bottom w:val="single" w:color="auto" w:sz="4" w:space="0"/>
              <w:right w:val="single" w:color="auto" w:sz="4" w:space="0"/>
            </w:tcBorders>
            <w:vAlign w:val="center"/>
          </w:tcPr>
          <w:p w14:paraId="44D014F3">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配备家具、家电齐全；功能正常，质量有保证，好</w:t>
            </w:r>
          </w:p>
        </w:tc>
        <w:tc>
          <w:tcPr>
            <w:tcW w:w="970" w:type="pct"/>
            <w:tcBorders>
              <w:top w:val="single" w:color="auto" w:sz="4" w:space="0"/>
              <w:left w:val="nil"/>
              <w:bottom w:val="single" w:color="auto" w:sz="4" w:space="0"/>
              <w:right w:val="single" w:color="auto" w:sz="4" w:space="0"/>
            </w:tcBorders>
            <w:vAlign w:val="center"/>
          </w:tcPr>
          <w:p w14:paraId="7DC09826">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配备家具、家电齐全；功能正常，质量有保证，好</w:t>
            </w:r>
          </w:p>
        </w:tc>
      </w:tr>
      <w:tr w14:paraId="490FC807">
        <w:tblPrEx>
          <w:tblCellMar>
            <w:top w:w="0" w:type="dxa"/>
            <w:left w:w="108" w:type="dxa"/>
            <w:bottom w:w="0" w:type="dxa"/>
            <w:right w:w="108" w:type="dxa"/>
          </w:tblCellMar>
        </w:tblPrEx>
        <w:trPr>
          <w:trHeight w:val="397" w:hRule="atLeast"/>
          <w:jc w:val="center"/>
        </w:trPr>
        <w:tc>
          <w:tcPr>
            <w:tcW w:w="363" w:type="pct"/>
            <w:vMerge w:val="restart"/>
            <w:tcBorders>
              <w:left w:val="single" w:color="auto" w:sz="4" w:space="0"/>
              <w:bottom w:val="single" w:color="auto" w:sz="4" w:space="0"/>
              <w:right w:val="single" w:color="auto" w:sz="4" w:space="0"/>
            </w:tcBorders>
            <w:vAlign w:val="center"/>
          </w:tcPr>
          <w:p w14:paraId="09BC1709">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权益状况</w:t>
            </w:r>
          </w:p>
        </w:tc>
        <w:tc>
          <w:tcPr>
            <w:tcW w:w="758" w:type="pct"/>
            <w:tcBorders>
              <w:top w:val="single" w:color="auto" w:sz="4" w:space="0"/>
              <w:left w:val="nil"/>
              <w:bottom w:val="single" w:color="auto" w:sz="4" w:space="0"/>
              <w:right w:val="single" w:color="auto" w:sz="4" w:space="0"/>
            </w:tcBorders>
            <w:vAlign w:val="center"/>
          </w:tcPr>
          <w:p w14:paraId="0FCC5F95">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服务及管理水平</w:t>
            </w:r>
          </w:p>
        </w:tc>
        <w:tc>
          <w:tcPr>
            <w:tcW w:w="968" w:type="pct"/>
            <w:tcBorders>
              <w:top w:val="single" w:color="auto" w:sz="4" w:space="0"/>
              <w:left w:val="nil"/>
              <w:bottom w:val="single" w:color="auto" w:sz="4" w:space="0"/>
              <w:right w:val="single" w:color="auto" w:sz="4" w:space="0"/>
            </w:tcBorders>
            <w:vAlign w:val="center"/>
          </w:tcPr>
          <w:p w14:paraId="2E7B8A28">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普通物业管理，封闭式管理</w:t>
            </w:r>
          </w:p>
        </w:tc>
        <w:tc>
          <w:tcPr>
            <w:tcW w:w="968" w:type="pct"/>
            <w:tcBorders>
              <w:top w:val="single" w:color="auto" w:sz="4" w:space="0"/>
              <w:left w:val="nil"/>
              <w:bottom w:val="single" w:color="auto" w:sz="4" w:space="0"/>
              <w:right w:val="single" w:color="auto" w:sz="4" w:space="0"/>
            </w:tcBorders>
            <w:vAlign w:val="center"/>
          </w:tcPr>
          <w:p w14:paraId="546FEEC1">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普通物业管理，封闭式管理</w:t>
            </w:r>
          </w:p>
        </w:tc>
        <w:tc>
          <w:tcPr>
            <w:tcW w:w="968" w:type="pct"/>
            <w:tcBorders>
              <w:top w:val="single" w:color="auto" w:sz="4" w:space="0"/>
              <w:left w:val="nil"/>
              <w:bottom w:val="single" w:color="auto" w:sz="4" w:space="0"/>
              <w:right w:val="single" w:color="auto" w:sz="4" w:space="0"/>
            </w:tcBorders>
            <w:vAlign w:val="center"/>
          </w:tcPr>
          <w:p w14:paraId="6527543A">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普通物业管理，封闭式管理</w:t>
            </w:r>
          </w:p>
        </w:tc>
        <w:tc>
          <w:tcPr>
            <w:tcW w:w="970" w:type="pct"/>
            <w:tcBorders>
              <w:top w:val="single" w:color="auto" w:sz="4" w:space="0"/>
              <w:left w:val="nil"/>
              <w:bottom w:val="single" w:color="auto" w:sz="4" w:space="0"/>
              <w:right w:val="single" w:color="auto" w:sz="4" w:space="0"/>
            </w:tcBorders>
            <w:vAlign w:val="center"/>
          </w:tcPr>
          <w:p w14:paraId="30D7276A">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普通物业管理，封闭式管理</w:t>
            </w:r>
          </w:p>
        </w:tc>
      </w:tr>
      <w:tr w14:paraId="252B1C38">
        <w:tblPrEx>
          <w:tblCellMar>
            <w:top w:w="0" w:type="dxa"/>
            <w:left w:w="108" w:type="dxa"/>
            <w:bottom w:w="0" w:type="dxa"/>
            <w:right w:w="108" w:type="dxa"/>
          </w:tblCellMar>
        </w:tblPrEx>
        <w:trPr>
          <w:trHeight w:val="397" w:hRule="atLeast"/>
          <w:jc w:val="center"/>
        </w:trPr>
        <w:tc>
          <w:tcPr>
            <w:tcW w:w="363" w:type="pct"/>
            <w:vMerge w:val="continue"/>
            <w:tcBorders>
              <w:left w:val="single" w:color="auto" w:sz="4" w:space="0"/>
              <w:bottom w:val="single" w:color="auto" w:sz="4" w:space="0"/>
              <w:right w:val="single" w:color="auto" w:sz="4" w:space="0"/>
            </w:tcBorders>
            <w:vAlign w:val="center"/>
          </w:tcPr>
          <w:p w14:paraId="7D79890F">
            <w:pPr>
              <w:widowControl/>
              <w:adjustRightInd/>
              <w:spacing w:line="240" w:lineRule="auto"/>
              <w:jc w:val="center"/>
              <w:textAlignment w:val="auto"/>
              <w:rPr>
                <w:rFonts w:ascii="Arial" w:hAnsi="Arial" w:cs="Arial"/>
                <w:sz w:val="16"/>
                <w:szCs w:val="18"/>
                <w:highlight w:val="none"/>
              </w:rPr>
            </w:pPr>
          </w:p>
        </w:tc>
        <w:tc>
          <w:tcPr>
            <w:tcW w:w="758" w:type="pct"/>
            <w:tcBorders>
              <w:top w:val="single" w:color="auto" w:sz="4" w:space="0"/>
              <w:left w:val="nil"/>
              <w:bottom w:val="single" w:color="auto" w:sz="4" w:space="0"/>
              <w:right w:val="single" w:color="auto" w:sz="4" w:space="0"/>
            </w:tcBorders>
            <w:vAlign w:val="center"/>
          </w:tcPr>
          <w:p w14:paraId="3A8C0075">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水电气费执行标准</w:t>
            </w:r>
          </w:p>
        </w:tc>
        <w:tc>
          <w:tcPr>
            <w:tcW w:w="968" w:type="pct"/>
            <w:tcBorders>
              <w:top w:val="single" w:color="auto" w:sz="4" w:space="0"/>
              <w:left w:val="nil"/>
              <w:bottom w:val="single" w:color="auto" w:sz="4" w:space="0"/>
              <w:right w:val="single" w:color="auto" w:sz="4" w:space="0"/>
            </w:tcBorders>
            <w:vAlign w:val="center"/>
          </w:tcPr>
          <w:p w14:paraId="27FA53A9">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民水民电</w:t>
            </w:r>
          </w:p>
        </w:tc>
        <w:tc>
          <w:tcPr>
            <w:tcW w:w="968" w:type="pct"/>
            <w:tcBorders>
              <w:top w:val="single" w:color="auto" w:sz="4" w:space="0"/>
              <w:left w:val="nil"/>
              <w:bottom w:val="single" w:color="auto" w:sz="4" w:space="0"/>
              <w:right w:val="single" w:color="auto" w:sz="4" w:space="0"/>
            </w:tcBorders>
            <w:vAlign w:val="center"/>
          </w:tcPr>
          <w:p w14:paraId="496834FD">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民水民电</w:t>
            </w:r>
          </w:p>
        </w:tc>
        <w:tc>
          <w:tcPr>
            <w:tcW w:w="968" w:type="pct"/>
            <w:tcBorders>
              <w:top w:val="single" w:color="auto" w:sz="4" w:space="0"/>
              <w:left w:val="nil"/>
              <w:bottom w:val="single" w:color="auto" w:sz="4" w:space="0"/>
              <w:right w:val="single" w:color="auto" w:sz="4" w:space="0"/>
            </w:tcBorders>
            <w:vAlign w:val="center"/>
          </w:tcPr>
          <w:p w14:paraId="3DC5A966">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民水民电</w:t>
            </w:r>
          </w:p>
        </w:tc>
        <w:tc>
          <w:tcPr>
            <w:tcW w:w="970" w:type="pct"/>
            <w:tcBorders>
              <w:top w:val="single" w:color="auto" w:sz="4" w:space="0"/>
              <w:left w:val="nil"/>
              <w:bottom w:val="single" w:color="auto" w:sz="4" w:space="0"/>
              <w:right w:val="single" w:color="auto" w:sz="4" w:space="0"/>
            </w:tcBorders>
            <w:vAlign w:val="center"/>
          </w:tcPr>
          <w:p w14:paraId="63007F93">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民水民电</w:t>
            </w:r>
          </w:p>
        </w:tc>
      </w:tr>
    </w:tbl>
    <w:p w14:paraId="4F79E6F1">
      <w:pPr>
        <w:overflowPunct w:val="0"/>
        <w:spacing w:line="480" w:lineRule="auto"/>
        <w:ind w:firstLine="420" w:firstLineChars="200"/>
        <w:jc w:val="center"/>
        <w:rPr>
          <w:rFonts w:ascii="Arial" w:hAnsi="Arial"/>
          <w:sz w:val="21"/>
          <w:szCs w:val="21"/>
          <w:highlight w:val="none"/>
        </w:rPr>
      </w:pPr>
    </w:p>
    <w:p w14:paraId="7F030490">
      <w:pPr>
        <w:overflowPunct w:val="0"/>
        <w:spacing w:line="480" w:lineRule="auto"/>
        <w:ind w:firstLine="420" w:firstLineChars="200"/>
        <w:jc w:val="center"/>
        <w:rPr>
          <w:rFonts w:ascii="Arial" w:hAnsi="Arial"/>
          <w:sz w:val="21"/>
          <w:szCs w:val="21"/>
          <w:highlight w:val="none"/>
        </w:rPr>
      </w:pPr>
    </w:p>
    <w:p w14:paraId="31D301B3">
      <w:pPr>
        <w:overflowPunct w:val="0"/>
        <w:spacing w:line="480" w:lineRule="auto"/>
        <w:ind w:firstLine="420" w:firstLineChars="200"/>
        <w:jc w:val="center"/>
        <w:rPr>
          <w:rFonts w:ascii="Arial" w:hAnsi="Arial"/>
          <w:sz w:val="21"/>
          <w:szCs w:val="21"/>
          <w:highlight w:val="none"/>
        </w:rPr>
      </w:pPr>
    </w:p>
    <w:p w14:paraId="06F5047A">
      <w:pPr>
        <w:overflowPunct w:val="0"/>
        <w:spacing w:line="480" w:lineRule="auto"/>
        <w:ind w:firstLine="420" w:firstLineChars="200"/>
        <w:jc w:val="center"/>
        <w:rPr>
          <w:rFonts w:ascii="Arial" w:hAnsi="Arial"/>
          <w:sz w:val="21"/>
          <w:szCs w:val="21"/>
          <w:highlight w:val="none"/>
        </w:rPr>
      </w:pPr>
    </w:p>
    <w:p w14:paraId="00B964A3">
      <w:pPr>
        <w:overflowPunct w:val="0"/>
        <w:spacing w:line="480" w:lineRule="auto"/>
        <w:ind w:firstLine="420" w:firstLineChars="200"/>
        <w:jc w:val="center"/>
        <w:rPr>
          <w:rFonts w:ascii="Arial" w:hAnsi="Arial"/>
          <w:sz w:val="21"/>
          <w:szCs w:val="21"/>
          <w:highlight w:val="none"/>
        </w:rPr>
      </w:pPr>
    </w:p>
    <w:p w14:paraId="63566A0D">
      <w:pPr>
        <w:overflowPunct w:val="0"/>
        <w:spacing w:line="480" w:lineRule="auto"/>
        <w:ind w:firstLine="420" w:firstLineChars="200"/>
        <w:jc w:val="center"/>
        <w:rPr>
          <w:rFonts w:ascii="Arial" w:hAnsi="Arial"/>
          <w:sz w:val="21"/>
          <w:szCs w:val="21"/>
          <w:highlight w:val="none"/>
        </w:rPr>
      </w:pPr>
    </w:p>
    <w:p w14:paraId="052F4E58">
      <w:pPr>
        <w:overflowPunct w:val="0"/>
        <w:spacing w:line="480" w:lineRule="auto"/>
        <w:ind w:firstLine="420" w:firstLineChars="200"/>
        <w:jc w:val="center"/>
        <w:rPr>
          <w:rFonts w:ascii="Arial" w:hAnsi="Arial"/>
          <w:sz w:val="21"/>
          <w:szCs w:val="21"/>
          <w:highlight w:val="none"/>
        </w:rPr>
      </w:pPr>
    </w:p>
    <w:p w14:paraId="02DD27D7">
      <w:pPr>
        <w:overflowPunct w:val="0"/>
        <w:spacing w:line="480" w:lineRule="auto"/>
        <w:ind w:firstLine="420" w:firstLineChars="200"/>
        <w:jc w:val="center"/>
        <w:rPr>
          <w:rFonts w:ascii="Arial" w:hAnsi="Arial"/>
          <w:sz w:val="21"/>
          <w:szCs w:val="21"/>
          <w:highlight w:val="none"/>
        </w:rPr>
      </w:pPr>
    </w:p>
    <w:p w14:paraId="794E1A79">
      <w:pPr>
        <w:overflowPunct w:val="0"/>
        <w:spacing w:line="480" w:lineRule="auto"/>
        <w:ind w:firstLine="420" w:firstLineChars="200"/>
        <w:jc w:val="center"/>
        <w:rPr>
          <w:rFonts w:ascii="Arial" w:hAnsi="Arial"/>
          <w:sz w:val="21"/>
          <w:szCs w:val="21"/>
          <w:highlight w:val="none"/>
        </w:rPr>
      </w:pPr>
    </w:p>
    <w:p w14:paraId="445A9D14">
      <w:pPr>
        <w:wordWrap w:val="0"/>
        <w:overflowPunct w:val="0"/>
        <w:spacing w:line="480" w:lineRule="auto"/>
        <w:rPr>
          <w:rFonts w:ascii="Arial" w:hAnsi="Arial"/>
          <w:sz w:val="21"/>
          <w:szCs w:val="21"/>
          <w:highlight w:val="none"/>
        </w:rPr>
      </w:pPr>
    </w:p>
    <w:p w14:paraId="6348E241">
      <w:pPr>
        <w:wordWrap w:val="0"/>
        <w:overflowPunct w:val="0"/>
        <w:spacing w:line="480" w:lineRule="auto"/>
        <w:ind w:firstLine="420" w:firstLineChars="200"/>
        <w:rPr>
          <w:rFonts w:ascii="Arial" w:hAnsi="Arial"/>
          <w:sz w:val="21"/>
          <w:szCs w:val="21"/>
          <w:highlight w:val="none"/>
        </w:rPr>
      </w:pPr>
      <w:r>
        <w:rPr>
          <w:rFonts w:ascii="Arial" w:hAnsi="Arial"/>
          <w:sz w:val="21"/>
          <w:szCs w:val="21"/>
          <w:highlight w:val="none"/>
        </w:rPr>
        <w:br w:type="page"/>
      </w:r>
      <w:r>
        <w:rPr>
          <w:rFonts w:hint="eastAsia" w:ascii="Arial" w:hAnsi="Arial"/>
          <w:sz w:val="21"/>
          <w:szCs w:val="21"/>
          <w:highlight w:val="none"/>
        </w:rPr>
        <w:t>（2）</w:t>
      </w:r>
      <w:r>
        <w:rPr>
          <w:rFonts w:ascii="Arial" w:hAnsi="Arial"/>
          <w:sz w:val="21"/>
          <w:szCs w:val="21"/>
          <w:highlight w:val="none"/>
        </w:rPr>
        <w:t xml:space="preserve"> </w:t>
      </w:r>
      <w:r>
        <w:rPr>
          <w:rFonts w:hint="eastAsia" w:ascii="Arial" w:hAnsi="Arial"/>
          <w:sz w:val="21"/>
          <w:szCs w:val="21"/>
          <w:highlight w:val="none"/>
        </w:rPr>
        <w:t>建立比较因素条件指数表和因素比较修正系数表</w:t>
      </w:r>
      <w:r>
        <w:rPr>
          <w:rFonts w:ascii="Arial" w:hAnsi="Arial"/>
          <w:sz w:val="21"/>
          <w:szCs w:val="21"/>
          <w:highlight w:val="none"/>
        </w:rPr>
        <w:t xml:space="preserve"> </w:t>
      </w:r>
    </w:p>
    <w:p w14:paraId="7E1CB738">
      <w:pPr>
        <w:wordWrap w:val="0"/>
        <w:overflowPunct w:val="0"/>
        <w:spacing w:line="480" w:lineRule="auto"/>
        <w:ind w:firstLine="420" w:firstLineChars="200"/>
        <w:rPr>
          <w:rFonts w:ascii="Arial" w:hAnsi="Arial"/>
          <w:sz w:val="21"/>
          <w:szCs w:val="21"/>
          <w:highlight w:val="none"/>
        </w:rPr>
      </w:pPr>
      <w:r>
        <w:rPr>
          <w:rFonts w:ascii="Arial" w:hAnsi="Arial"/>
          <w:sz w:val="21"/>
          <w:szCs w:val="21"/>
          <w:highlight w:val="none"/>
        </w:rPr>
        <w:t>根据对估价对象和可比案例情况的分析，把各可比案例的自身状况按照参比因素分别与估价对象的相应状况进行比较，编制比较因素条件指数表。具体如下</w:t>
      </w:r>
      <w:r>
        <w:rPr>
          <w:rFonts w:hint="eastAsia" w:ascii="Arial" w:hAnsi="Arial"/>
          <w:sz w:val="21"/>
          <w:szCs w:val="21"/>
          <w:highlight w:val="none"/>
        </w:rPr>
        <w:t>：</w:t>
      </w:r>
    </w:p>
    <w:p w14:paraId="2EADD6DB">
      <w:pPr>
        <w:overflowPunct w:val="0"/>
        <w:spacing w:line="480" w:lineRule="auto"/>
        <w:ind w:firstLine="420" w:firstLineChars="200"/>
        <w:jc w:val="center"/>
        <w:rPr>
          <w:rFonts w:ascii="Arial" w:hAnsi="Arial"/>
          <w:sz w:val="21"/>
          <w:szCs w:val="21"/>
          <w:highlight w:val="none"/>
        </w:rPr>
      </w:pPr>
      <w:r>
        <w:rPr>
          <w:rFonts w:hint="eastAsia" w:ascii="Arial" w:hAnsi="Arial"/>
          <w:sz w:val="21"/>
          <w:szCs w:val="21"/>
          <w:highlight w:val="none"/>
          <w:lang w:eastAsia="zh-CN"/>
        </w:rPr>
        <w:t>育新花园</w:t>
      </w:r>
      <w:r>
        <w:rPr>
          <w:rFonts w:ascii="Arial" w:hAnsi="Arial"/>
          <w:sz w:val="21"/>
          <w:szCs w:val="21"/>
          <w:highlight w:val="none"/>
        </w:rPr>
        <w:t>比较因素条件指数表</w:t>
      </w:r>
    </w:p>
    <w:tbl>
      <w:tblPr>
        <w:tblStyle w:val="33"/>
        <w:tblW w:w="4936" w:type="pct"/>
        <w:jc w:val="center"/>
        <w:tblLayout w:type="autofit"/>
        <w:tblCellMar>
          <w:top w:w="57" w:type="dxa"/>
          <w:left w:w="57" w:type="dxa"/>
          <w:bottom w:w="57" w:type="dxa"/>
          <w:right w:w="57" w:type="dxa"/>
        </w:tblCellMar>
      </w:tblPr>
      <w:tblGrid>
        <w:gridCol w:w="566"/>
        <w:gridCol w:w="996"/>
        <w:gridCol w:w="988"/>
        <w:gridCol w:w="988"/>
        <w:gridCol w:w="988"/>
        <w:gridCol w:w="988"/>
        <w:gridCol w:w="3779"/>
      </w:tblGrid>
      <w:tr w14:paraId="7F8F53F4">
        <w:tblPrEx>
          <w:tblCellMar>
            <w:top w:w="57" w:type="dxa"/>
            <w:left w:w="57" w:type="dxa"/>
            <w:bottom w:w="57" w:type="dxa"/>
            <w:right w:w="57" w:type="dxa"/>
          </w:tblCellMar>
        </w:tblPrEx>
        <w:trPr>
          <w:trHeight w:val="20" w:hRule="atLeast"/>
          <w:tblHeader/>
          <w:jc w:val="center"/>
        </w:trPr>
        <w:tc>
          <w:tcPr>
            <w:tcW w:w="841" w:type="pct"/>
            <w:gridSpan w:val="2"/>
            <w:vMerge w:val="restart"/>
            <w:tcBorders>
              <w:top w:val="single" w:color="auto" w:sz="4" w:space="0"/>
              <w:left w:val="single" w:color="auto" w:sz="4" w:space="0"/>
              <w:bottom w:val="single" w:color="000000" w:sz="4" w:space="0"/>
              <w:right w:val="single" w:color="000000" w:sz="4" w:space="0"/>
              <w:tl2br w:val="single" w:color="auto" w:sz="4" w:space="0"/>
            </w:tcBorders>
            <w:vAlign w:val="center"/>
          </w:tcPr>
          <w:p w14:paraId="3858B2EA">
            <w:pPr>
              <w:snapToGrid w:val="0"/>
              <w:spacing w:line="240" w:lineRule="exact"/>
              <w:jc w:val="right"/>
              <w:rPr>
                <w:rFonts w:ascii="宋体" w:hAnsi="宋体" w:cs="Arial"/>
                <w:sz w:val="16"/>
                <w:szCs w:val="18"/>
                <w:highlight w:val="none"/>
              </w:rPr>
            </w:pPr>
            <w:r>
              <w:rPr>
                <w:rFonts w:ascii="宋体" w:hAnsi="宋体" w:cs="Arial"/>
                <w:sz w:val="16"/>
                <w:szCs w:val="18"/>
                <w:highlight w:val="none"/>
              </w:rPr>
              <w:t>估价对象及</w:t>
            </w:r>
          </w:p>
          <w:p w14:paraId="4A40AFDD">
            <w:pPr>
              <w:snapToGrid w:val="0"/>
              <w:spacing w:line="240" w:lineRule="exact"/>
              <w:jc w:val="right"/>
              <w:rPr>
                <w:rFonts w:ascii="宋体" w:hAnsi="宋体" w:cs="Arial"/>
                <w:sz w:val="16"/>
                <w:szCs w:val="18"/>
                <w:highlight w:val="none"/>
              </w:rPr>
            </w:pPr>
            <w:r>
              <w:rPr>
                <w:rFonts w:ascii="宋体" w:hAnsi="宋体" w:cs="Arial"/>
                <w:sz w:val="16"/>
                <w:szCs w:val="18"/>
                <w:highlight w:val="none"/>
              </w:rPr>
              <w:t>可比实例</w:t>
            </w:r>
          </w:p>
          <w:p w14:paraId="26CA2451">
            <w:pPr>
              <w:snapToGrid w:val="0"/>
              <w:spacing w:line="240" w:lineRule="exact"/>
              <w:jc w:val="both"/>
              <w:rPr>
                <w:rFonts w:ascii="宋体" w:hAnsi="宋体" w:cs="Arial"/>
                <w:sz w:val="16"/>
                <w:szCs w:val="18"/>
                <w:highlight w:val="none"/>
              </w:rPr>
            </w:pPr>
          </w:p>
          <w:p w14:paraId="24E73021">
            <w:pPr>
              <w:snapToGrid w:val="0"/>
              <w:spacing w:line="240" w:lineRule="exact"/>
              <w:jc w:val="both"/>
              <w:rPr>
                <w:rFonts w:ascii="宋体" w:hAnsi="宋体" w:cs="Arial"/>
                <w:sz w:val="16"/>
                <w:szCs w:val="18"/>
                <w:highlight w:val="none"/>
              </w:rPr>
            </w:pPr>
          </w:p>
          <w:p w14:paraId="596E39F7">
            <w:pPr>
              <w:snapToGrid w:val="0"/>
              <w:spacing w:line="240" w:lineRule="exact"/>
              <w:jc w:val="both"/>
              <w:rPr>
                <w:rFonts w:ascii="宋体" w:hAnsi="宋体" w:cs="Arial"/>
                <w:sz w:val="16"/>
                <w:szCs w:val="18"/>
                <w:highlight w:val="none"/>
              </w:rPr>
            </w:pPr>
            <w:r>
              <w:rPr>
                <w:rFonts w:ascii="宋体" w:hAnsi="宋体" w:cs="Arial"/>
                <w:sz w:val="16"/>
                <w:szCs w:val="18"/>
                <w:highlight w:val="none"/>
              </w:rPr>
              <w:t>比较因素</w:t>
            </w:r>
          </w:p>
        </w:tc>
        <w:tc>
          <w:tcPr>
            <w:tcW w:w="531" w:type="pct"/>
            <w:tcBorders>
              <w:top w:val="single" w:color="auto" w:sz="4" w:space="0"/>
              <w:left w:val="nil"/>
              <w:bottom w:val="single" w:color="auto" w:sz="4" w:space="0"/>
              <w:right w:val="single" w:color="auto" w:sz="4" w:space="0"/>
            </w:tcBorders>
            <w:vAlign w:val="center"/>
          </w:tcPr>
          <w:p w14:paraId="7BD14F04">
            <w:pPr>
              <w:snapToGrid w:val="0"/>
              <w:spacing w:line="240" w:lineRule="exact"/>
              <w:jc w:val="both"/>
              <w:rPr>
                <w:rFonts w:ascii="宋体" w:hAnsi="宋体" w:cs="Arial"/>
                <w:sz w:val="16"/>
                <w:szCs w:val="18"/>
                <w:highlight w:val="none"/>
              </w:rPr>
            </w:pPr>
            <w:r>
              <w:rPr>
                <w:rFonts w:ascii="宋体" w:hAnsi="宋体" w:cs="Arial"/>
                <w:sz w:val="16"/>
                <w:szCs w:val="18"/>
                <w:highlight w:val="none"/>
              </w:rPr>
              <w:t>估价对象</w:t>
            </w:r>
          </w:p>
        </w:tc>
        <w:tc>
          <w:tcPr>
            <w:tcW w:w="531" w:type="pct"/>
            <w:tcBorders>
              <w:top w:val="single" w:color="auto" w:sz="4" w:space="0"/>
              <w:left w:val="nil"/>
              <w:bottom w:val="single" w:color="auto" w:sz="4" w:space="0"/>
              <w:right w:val="single" w:color="auto" w:sz="4" w:space="0"/>
            </w:tcBorders>
            <w:vAlign w:val="center"/>
          </w:tcPr>
          <w:p w14:paraId="1B2E29C9">
            <w:pPr>
              <w:snapToGrid w:val="0"/>
              <w:spacing w:line="240" w:lineRule="exact"/>
              <w:jc w:val="both"/>
              <w:rPr>
                <w:rFonts w:hint="eastAsia" w:ascii="宋体" w:hAnsi="宋体" w:eastAsia="宋体" w:cs="Arial"/>
                <w:sz w:val="16"/>
                <w:szCs w:val="18"/>
                <w:highlight w:val="none"/>
                <w:lang w:val="en-US" w:eastAsia="zh-CN"/>
              </w:rPr>
            </w:pPr>
            <w:r>
              <w:rPr>
                <w:rFonts w:ascii="宋体" w:hAnsi="宋体" w:cs="Arial"/>
                <w:sz w:val="16"/>
                <w:szCs w:val="18"/>
                <w:highlight w:val="none"/>
              </w:rPr>
              <w:t>可比实例</w:t>
            </w:r>
            <w:r>
              <w:rPr>
                <w:rFonts w:hint="eastAsia" w:ascii="宋体" w:hAnsi="宋体" w:cs="Arial"/>
                <w:sz w:val="16"/>
                <w:szCs w:val="18"/>
                <w:highlight w:val="none"/>
                <w:lang w:val="en-US" w:eastAsia="zh-CN"/>
              </w:rPr>
              <w:t>4</w:t>
            </w:r>
          </w:p>
        </w:tc>
        <w:tc>
          <w:tcPr>
            <w:tcW w:w="531" w:type="pct"/>
            <w:tcBorders>
              <w:top w:val="single" w:color="auto" w:sz="4" w:space="0"/>
              <w:left w:val="nil"/>
              <w:bottom w:val="single" w:color="auto" w:sz="4" w:space="0"/>
              <w:right w:val="single" w:color="auto" w:sz="4" w:space="0"/>
            </w:tcBorders>
            <w:vAlign w:val="center"/>
          </w:tcPr>
          <w:p w14:paraId="41F64203">
            <w:pPr>
              <w:snapToGrid w:val="0"/>
              <w:spacing w:line="240" w:lineRule="exact"/>
              <w:jc w:val="both"/>
              <w:rPr>
                <w:rFonts w:hint="eastAsia" w:ascii="宋体" w:hAnsi="宋体" w:eastAsia="宋体" w:cs="Arial"/>
                <w:sz w:val="16"/>
                <w:szCs w:val="18"/>
                <w:highlight w:val="none"/>
                <w:lang w:val="en-US" w:eastAsia="zh-CN"/>
              </w:rPr>
            </w:pPr>
            <w:r>
              <w:rPr>
                <w:rFonts w:ascii="宋体" w:hAnsi="宋体" w:cs="Arial"/>
                <w:sz w:val="16"/>
                <w:szCs w:val="18"/>
                <w:highlight w:val="none"/>
              </w:rPr>
              <w:t>可比实例</w:t>
            </w:r>
            <w:r>
              <w:rPr>
                <w:rFonts w:hint="eastAsia" w:ascii="宋体" w:hAnsi="宋体" w:cs="Arial"/>
                <w:sz w:val="16"/>
                <w:szCs w:val="18"/>
                <w:highlight w:val="none"/>
                <w:lang w:val="en-US" w:eastAsia="zh-CN"/>
              </w:rPr>
              <w:t>5</w:t>
            </w:r>
          </w:p>
        </w:tc>
        <w:tc>
          <w:tcPr>
            <w:tcW w:w="531" w:type="pct"/>
            <w:tcBorders>
              <w:top w:val="single" w:color="auto" w:sz="4" w:space="0"/>
              <w:left w:val="nil"/>
              <w:bottom w:val="single" w:color="auto" w:sz="4" w:space="0"/>
              <w:right w:val="single" w:color="auto" w:sz="4" w:space="0"/>
            </w:tcBorders>
            <w:vAlign w:val="center"/>
          </w:tcPr>
          <w:p w14:paraId="7A362379">
            <w:pPr>
              <w:snapToGrid w:val="0"/>
              <w:spacing w:line="240" w:lineRule="exact"/>
              <w:jc w:val="both"/>
              <w:rPr>
                <w:rFonts w:hint="eastAsia" w:ascii="宋体" w:hAnsi="宋体" w:eastAsia="宋体" w:cs="Arial"/>
                <w:sz w:val="16"/>
                <w:szCs w:val="18"/>
                <w:highlight w:val="none"/>
                <w:lang w:val="en-US" w:eastAsia="zh-CN"/>
              </w:rPr>
            </w:pPr>
            <w:r>
              <w:rPr>
                <w:rFonts w:ascii="宋体" w:hAnsi="宋体" w:cs="Arial"/>
                <w:sz w:val="16"/>
                <w:szCs w:val="18"/>
                <w:highlight w:val="none"/>
              </w:rPr>
              <w:t>可比实例</w:t>
            </w:r>
            <w:r>
              <w:rPr>
                <w:rFonts w:hint="eastAsia" w:ascii="宋体" w:hAnsi="宋体" w:cs="Arial"/>
                <w:sz w:val="16"/>
                <w:szCs w:val="18"/>
                <w:highlight w:val="none"/>
                <w:lang w:val="en-US" w:eastAsia="zh-CN"/>
              </w:rPr>
              <w:t>6</w:t>
            </w:r>
          </w:p>
        </w:tc>
        <w:tc>
          <w:tcPr>
            <w:tcW w:w="2032" w:type="pct"/>
            <w:tcBorders>
              <w:top w:val="single" w:color="auto" w:sz="4" w:space="0"/>
              <w:left w:val="nil"/>
              <w:bottom w:val="single" w:color="auto" w:sz="4" w:space="0"/>
              <w:right w:val="single" w:color="auto" w:sz="4" w:space="0"/>
            </w:tcBorders>
            <w:vAlign w:val="center"/>
          </w:tcPr>
          <w:p w14:paraId="1C27F229">
            <w:pPr>
              <w:snapToGrid w:val="0"/>
              <w:spacing w:line="240" w:lineRule="exact"/>
              <w:jc w:val="both"/>
              <w:rPr>
                <w:rFonts w:ascii="宋体" w:hAnsi="宋体" w:cs="Arial"/>
                <w:sz w:val="16"/>
                <w:szCs w:val="18"/>
                <w:highlight w:val="none"/>
              </w:rPr>
            </w:pPr>
            <w:r>
              <w:rPr>
                <w:rFonts w:ascii="宋体" w:hAnsi="宋体" w:cs="Arial"/>
                <w:sz w:val="16"/>
                <w:szCs w:val="18"/>
                <w:highlight w:val="none"/>
              </w:rPr>
              <w:t>比较因素调整说明</w:t>
            </w:r>
          </w:p>
        </w:tc>
      </w:tr>
      <w:tr w14:paraId="44590211">
        <w:tblPrEx>
          <w:tblCellMar>
            <w:top w:w="57" w:type="dxa"/>
            <w:left w:w="57" w:type="dxa"/>
            <w:bottom w:w="57" w:type="dxa"/>
            <w:right w:w="57" w:type="dxa"/>
          </w:tblCellMar>
        </w:tblPrEx>
        <w:trPr>
          <w:trHeight w:val="20" w:hRule="atLeast"/>
          <w:tblHeader/>
          <w:jc w:val="center"/>
        </w:trPr>
        <w:tc>
          <w:tcPr>
            <w:tcW w:w="841" w:type="pct"/>
            <w:gridSpan w:val="2"/>
            <w:vMerge w:val="continue"/>
            <w:tcBorders>
              <w:top w:val="single" w:color="auto" w:sz="4" w:space="0"/>
              <w:left w:val="single" w:color="auto" w:sz="4" w:space="0"/>
              <w:bottom w:val="single" w:color="000000" w:sz="4" w:space="0"/>
              <w:right w:val="single" w:color="000000" w:sz="4" w:space="0"/>
            </w:tcBorders>
            <w:vAlign w:val="center"/>
          </w:tcPr>
          <w:p w14:paraId="7D70BA75">
            <w:pPr>
              <w:snapToGrid w:val="0"/>
              <w:spacing w:line="240" w:lineRule="exact"/>
              <w:jc w:val="both"/>
              <w:rPr>
                <w:rFonts w:ascii="宋体" w:hAnsi="宋体" w:cs="Arial"/>
                <w:sz w:val="16"/>
                <w:szCs w:val="18"/>
                <w:highlight w:val="none"/>
              </w:rPr>
            </w:pPr>
          </w:p>
        </w:tc>
        <w:tc>
          <w:tcPr>
            <w:tcW w:w="531" w:type="pct"/>
            <w:tcBorders>
              <w:top w:val="nil"/>
              <w:left w:val="nil"/>
              <w:bottom w:val="single" w:color="auto" w:sz="4" w:space="0"/>
              <w:right w:val="single" w:color="auto" w:sz="4" w:space="0"/>
            </w:tcBorders>
            <w:vAlign w:val="center"/>
          </w:tcPr>
          <w:p w14:paraId="1D164731">
            <w:pPr>
              <w:pStyle w:val="61"/>
              <w:autoSpaceDE w:val="0"/>
              <w:autoSpaceDN w:val="0"/>
              <w:spacing w:line="240" w:lineRule="exact"/>
              <w:textAlignment w:val="bottom"/>
              <w:rPr>
                <w:rFonts w:hint="eastAsia" w:ascii="Arial" w:hAnsi="Arial" w:eastAsia="宋体" w:cs="Arial"/>
                <w:sz w:val="16"/>
                <w:szCs w:val="18"/>
                <w:highlight w:val="none"/>
                <w:lang w:eastAsia="zh-CN"/>
              </w:rPr>
            </w:pPr>
            <w:r>
              <w:rPr>
                <w:rFonts w:hint="eastAsia" w:ascii="Arial" w:hAnsi="Arial" w:cs="Arial"/>
                <w:sz w:val="16"/>
                <w:szCs w:val="18"/>
                <w:highlight w:val="none"/>
                <w:lang w:eastAsia="zh-CN"/>
              </w:rPr>
              <w:t>育新花园</w:t>
            </w:r>
          </w:p>
        </w:tc>
        <w:tc>
          <w:tcPr>
            <w:tcW w:w="531" w:type="pct"/>
            <w:tcBorders>
              <w:top w:val="nil"/>
              <w:left w:val="nil"/>
              <w:bottom w:val="single" w:color="auto" w:sz="4" w:space="0"/>
              <w:right w:val="single" w:color="auto" w:sz="4" w:space="0"/>
            </w:tcBorders>
            <w:vAlign w:val="center"/>
          </w:tcPr>
          <w:p w14:paraId="1276736B">
            <w:pPr>
              <w:widowControl/>
              <w:snapToGrid w:val="0"/>
              <w:spacing w:line="240" w:lineRule="exact"/>
              <w:jc w:val="center"/>
              <w:textAlignment w:val="center"/>
              <w:rPr>
                <w:rFonts w:ascii="Arial" w:hAnsi="Arial" w:cs="Arial"/>
                <w:sz w:val="16"/>
                <w:szCs w:val="18"/>
                <w:highlight w:val="none"/>
              </w:rPr>
            </w:pPr>
            <w:r>
              <w:rPr>
                <w:rFonts w:hint="eastAsia" w:ascii="Arial" w:hAnsi="Arial" w:cs="Arial"/>
                <w:sz w:val="16"/>
                <w:szCs w:val="18"/>
                <w:highlight w:val="none"/>
              </w:rPr>
              <w:t>当代采育满庭春MOMA</w:t>
            </w:r>
          </w:p>
        </w:tc>
        <w:tc>
          <w:tcPr>
            <w:tcW w:w="531" w:type="pct"/>
            <w:tcBorders>
              <w:top w:val="nil"/>
              <w:left w:val="nil"/>
              <w:bottom w:val="single" w:color="auto" w:sz="4" w:space="0"/>
              <w:right w:val="single" w:color="auto" w:sz="4" w:space="0"/>
            </w:tcBorders>
            <w:vAlign w:val="center"/>
          </w:tcPr>
          <w:p w14:paraId="4C769AF9">
            <w:pPr>
              <w:widowControl/>
              <w:snapToGrid w:val="0"/>
              <w:spacing w:line="240" w:lineRule="exact"/>
              <w:jc w:val="center"/>
              <w:textAlignment w:val="center"/>
              <w:rPr>
                <w:rFonts w:ascii="Arial" w:hAnsi="Arial" w:cs="Arial"/>
                <w:sz w:val="16"/>
                <w:szCs w:val="18"/>
                <w:highlight w:val="none"/>
              </w:rPr>
            </w:pPr>
            <w:r>
              <w:rPr>
                <w:rFonts w:hint="eastAsia" w:ascii="Arial" w:hAnsi="Arial" w:cs="Arial"/>
                <w:sz w:val="16"/>
                <w:szCs w:val="18"/>
                <w:highlight w:val="none"/>
              </w:rPr>
              <w:t>当代采育满庭春MOMA</w:t>
            </w:r>
          </w:p>
        </w:tc>
        <w:tc>
          <w:tcPr>
            <w:tcW w:w="531" w:type="pct"/>
            <w:tcBorders>
              <w:top w:val="nil"/>
              <w:left w:val="nil"/>
              <w:bottom w:val="single" w:color="auto" w:sz="4" w:space="0"/>
              <w:right w:val="single" w:color="auto" w:sz="4" w:space="0"/>
            </w:tcBorders>
            <w:vAlign w:val="center"/>
          </w:tcPr>
          <w:p w14:paraId="1486881A">
            <w:pPr>
              <w:widowControl/>
              <w:snapToGrid w:val="0"/>
              <w:spacing w:line="240" w:lineRule="exact"/>
              <w:jc w:val="center"/>
              <w:textAlignment w:val="center"/>
              <w:rPr>
                <w:rFonts w:ascii="Arial" w:hAnsi="Arial" w:cs="Arial"/>
                <w:sz w:val="16"/>
                <w:szCs w:val="18"/>
                <w:highlight w:val="none"/>
              </w:rPr>
            </w:pPr>
            <w:r>
              <w:rPr>
                <w:rFonts w:hint="eastAsia" w:ascii="Arial" w:hAnsi="Arial" w:cs="Arial"/>
                <w:sz w:val="16"/>
                <w:szCs w:val="18"/>
                <w:highlight w:val="none"/>
                <w:lang w:val="en-US" w:eastAsia="zh-CN"/>
              </w:rPr>
              <w:t>蓝天花园</w:t>
            </w:r>
          </w:p>
        </w:tc>
        <w:tc>
          <w:tcPr>
            <w:tcW w:w="2032" w:type="pct"/>
            <w:tcBorders>
              <w:top w:val="nil"/>
              <w:left w:val="nil"/>
              <w:bottom w:val="single" w:color="auto" w:sz="4" w:space="0"/>
              <w:right w:val="single" w:color="auto" w:sz="4" w:space="0"/>
            </w:tcBorders>
            <w:vAlign w:val="center"/>
          </w:tcPr>
          <w:p w14:paraId="6126F5A5">
            <w:pPr>
              <w:snapToGrid w:val="0"/>
              <w:spacing w:line="240" w:lineRule="exact"/>
              <w:jc w:val="both"/>
              <w:rPr>
                <w:rFonts w:ascii="宋体" w:hAnsi="宋体" w:cs="Arial"/>
                <w:sz w:val="16"/>
                <w:szCs w:val="18"/>
                <w:highlight w:val="none"/>
              </w:rPr>
            </w:pPr>
            <w:r>
              <w:rPr>
                <w:rFonts w:ascii="宋体" w:hAnsi="宋体" w:cs="Arial"/>
                <w:sz w:val="16"/>
                <w:szCs w:val="18"/>
                <w:highlight w:val="none"/>
              </w:rPr>
              <w:t>——</w:t>
            </w:r>
          </w:p>
        </w:tc>
      </w:tr>
      <w:tr w14:paraId="2E0B58AC">
        <w:tblPrEx>
          <w:tblCellMar>
            <w:top w:w="57" w:type="dxa"/>
            <w:left w:w="57" w:type="dxa"/>
            <w:bottom w:w="57" w:type="dxa"/>
            <w:right w:w="57" w:type="dxa"/>
          </w:tblCellMar>
        </w:tblPrEx>
        <w:trPr>
          <w:trHeight w:val="20" w:hRule="atLeast"/>
          <w:jc w:val="center"/>
        </w:trPr>
        <w:tc>
          <w:tcPr>
            <w:tcW w:w="841" w:type="pct"/>
            <w:gridSpan w:val="2"/>
            <w:tcBorders>
              <w:top w:val="single" w:color="auto" w:sz="4" w:space="0"/>
              <w:left w:val="single" w:color="auto" w:sz="4" w:space="0"/>
              <w:bottom w:val="single" w:color="auto" w:sz="4" w:space="0"/>
              <w:right w:val="single" w:color="000000" w:sz="4" w:space="0"/>
            </w:tcBorders>
            <w:vAlign w:val="center"/>
          </w:tcPr>
          <w:p w14:paraId="00867329">
            <w:pPr>
              <w:snapToGrid w:val="0"/>
              <w:spacing w:line="240" w:lineRule="exact"/>
              <w:jc w:val="both"/>
              <w:rPr>
                <w:rFonts w:ascii="宋体" w:hAnsi="宋体" w:cs="Arial"/>
                <w:sz w:val="16"/>
                <w:szCs w:val="18"/>
                <w:highlight w:val="none"/>
              </w:rPr>
            </w:pPr>
            <w:r>
              <w:rPr>
                <w:rFonts w:ascii="宋体" w:hAnsi="宋体" w:cs="Arial"/>
                <w:sz w:val="16"/>
                <w:szCs w:val="18"/>
                <w:highlight w:val="none"/>
              </w:rPr>
              <w:t>确定的租金价格（元/平方米·天）</w:t>
            </w:r>
          </w:p>
        </w:tc>
        <w:tc>
          <w:tcPr>
            <w:tcW w:w="531" w:type="pct"/>
            <w:tcBorders>
              <w:top w:val="nil"/>
              <w:left w:val="nil"/>
              <w:bottom w:val="single" w:color="auto" w:sz="4" w:space="0"/>
              <w:right w:val="single" w:color="auto" w:sz="4" w:space="0"/>
            </w:tcBorders>
            <w:noWrap/>
            <w:vAlign w:val="center"/>
          </w:tcPr>
          <w:p w14:paraId="52D9507A">
            <w:pPr>
              <w:pStyle w:val="61"/>
              <w:autoSpaceDE w:val="0"/>
              <w:autoSpaceDN w:val="0"/>
              <w:spacing w:line="240" w:lineRule="exact"/>
              <w:jc w:val="left"/>
              <w:textAlignment w:val="bottom"/>
              <w:rPr>
                <w:rFonts w:hAnsi="宋体" w:cs="Arial"/>
                <w:sz w:val="16"/>
                <w:szCs w:val="18"/>
                <w:highlight w:val="none"/>
              </w:rPr>
            </w:pPr>
            <w:r>
              <w:rPr>
                <w:rFonts w:ascii="Arial" w:hAnsi="Arial" w:cs="Arial"/>
                <w:sz w:val="16"/>
                <w:szCs w:val="18"/>
                <w:highlight w:val="none"/>
              </w:rPr>
              <w:t>待估</w:t>
            </w:r>
          </w:p>
        </w:tc>
        <w:tc>
          <w:tcPr>
            <w:tcW w:w="531" w:type="pct"/>
            <w:tcBorders>
              <w:top w:val="nil"/>
              <w:left w:val="nil"/>
              <w:bottom w:val="single" w:color="auto" w:sz="4" w:space="0"/>
              <w:right w:val="single" w:color="auto" w:sz="4" w:space="0"/>
            </w:tcBorders>
            <w:noWrap/>
            <w:vAlign w:val="center"/>
          </w:tcPr>
          <w:p w14:paraId="7A8777C9">
            <w:pPr>
              <w:autoSpaceDE w:val="0"/>
              <w:autoSpaceDN w:val="0"/>
              <w:spacing w:line="240" w:lineRule="exact"/>
              <w:jc w:val="left"/>
              <w:textAlignment w:val="bottom"/>
              <w:rPr>
                <w:rFonts w:ascii="Arial" w:hAnsi="Arial" w:cs="Arial"/>
                <w:sz w:val="16"/>
                <w:szCs w:val="18"/>
                <w:highlight w:val="none"/>
              </w:rPr>
            </w:pPr>
            <w:r>
              <w:rPr>
                <w:rFonts w:hint="eastAsia" w:ascii="Arial" w:hAnsi="Arial" w:cs="Arial"/>
                <w:sz w:val="16"/>
                <w:szCs w:val="18"/>
                <w:highlight w:val="none"/>
                <w:lang w:val="en-US" w:eastAsia="zh-CN"/>
              </w:rPr>
              <w:t>14.93</w:t>
            </w:r>
          </w:p>
        </w:tc>
        <w:tc>
          <w:tcPr>
            <w:tcW w:w="531" w:type="pct"/>
            <w:tcBorders>
              <w:top w:val="nil"/>
              <w:left w:val="nil"/>
              <w:bottom w:val="single" w:color="auto" w:sz="4" w:space="0"/>
              <w:right w:val="single" w:color="auto" w:sz="4" w:space="0"/>
            </w:tcBorders>
            <w:noWrap/>
            <w:vAlign w:val="center"/>
          </w:tcPr>
          <w:p w14:paraId="62E9A153">
            <w:pPr>
              <w:autoSpaceDE w:val="0"/>
              <w:autoSpaceDN w:val="0"/>
              <w:spacing w:line="240" w:lineRule="exact"/>
              <w:jc w:val="left"/>
              <w:textAlignment w:val="bottom"/>
              <w:rPr>
                <w:rFonts w:ascii="Arial" w:hAnsi="Arial" w:cs="Arial"/>
                <w:sz w:val="16"/>
                <w:szCs w:val="18"/>
                <w:highlight w:val="none"/>
              </w:rPr>
            </w:pPr>
            <w:r>
              <w:rPr>
                <w:rFonts w:hint="eastAsia" w:ascii="Arial" w:hAnsi="Arial" w:cs="Arial"/>
                <w:sz w:val="16"/>
                <w:szCs w:val="18"/>
                <w:highlight w:val="none"/>
                <w:lang w:val="en-US" w:eastAsia="zh-CN"/>
              </w:rPr>
              <w:t>16.52</w:t>
            </w:r>
          </w:p>
        </w:tc>
        <w:tc>
          <w:tcPr>
            <w:tcW w:w="531" w:type="pct"/>
            <w:tcBorders>
              <w:top w:val="nil"/>
              <w:left w:val="nil"/>
              <w:bottom w:val="single" w:color="auto" w:sz="4" w:space="0"/>
              <w:right w:val="single" w:color="auto" w:sz="4" w:space="0"/>
            </w:tcBorders>
            <w:noWrap/>
            <w:vAlign w:val="center"/>
          </w:tcPr>
          <w:p w14:paraId="6A28DC4A">
            <w:pPr>
              <w:autoSpaceDE w:val="0"/>
              <w:autoSpaceDN w:val="0"/>
              <w:spacing w:line="240" w:lineRule="exact"/>
              <w:jc w:val="left"/>
              <w:textAlignment w:val="bottom"/>
              <w:rPr>
                <w:rFonts w:ascii="Arial" w:hAnsi="Arial" w:cs="Arial"/>
                <w:sz w:val="16"/>
                <w:szCs w:val="18"/>
                <w:highlight w:val="none"/>
              </w:rPr>
            </w:pPr>
            <w:r>
              <w:rPr>
                <w:rFonts w:hint="eastAsia" w:ascii="Arial" w:hAnsi="Arial" w:cs="Arial"/>
                <w:sz w:val="16"/>
                <w:szCs w:val="18"/>
                <w:highlight w:val="none"/>
                <w:lang w:val="en-US" w:eastAsia="zh-CN"/>
              </w:rPr>
              <w:t>15.87</w:t>
            </w:r>
          </w:p>
        </w:tc>
        <w:tc>
          <w:tcPr>
            <w:tcW w:w="2032" w:type="pct"/>
            <w:tcBorders>
              <w:top w:val="nil"/>
              <w:left w:val="nil"/>
              <w:bottom w:val="single" w:color="auto" w:sz="4" w:space="0"/>
              <w:right w:val="single" w:color="auto" w:sz="4" w:space="0"/>
            </w:tcBorders>
            <w:vAlign w:val="center"/>
          </w:tcPr>
          <w:p w14:paraId="622F33B3">
            <w:pPr>
              <w:snapToGrid w:val="0"/>
              <w:spacing w:line="240" w:lineRule="exact"/>
              <w:jc w:val="both"/>
              <w:rPr>
                <w:rFonts w:ascii="宋体" w:hAnsi="宋体" w:cs="Arial"/>
                <w:sz w:val="16"/>
                <w:szCs w:val="18"/>
                <w:highlight w:val="none"/>
              </w:rPr>
            </w:pPr>
            <w:r>
              <w:rPr>
                <w:rFonts w:ascii="宋体" w:hAnsi="宋体" w:cs="Arial"/>
                <w:sz w:val="16"/>
                <w:szCs w:val="18"/>
                <w:highlight w:val="none"/>
              </w:rPr>
              <w:t>——</w:t>
            </w:r>
          </w:p>
        </w:tc>
      </w:tr>
      <w:tr w14:paraId="1E0D5C79">
        <w:tblPrEx>
          <w:tblCellMar>
            <w:top w:w="57" w:type="dxa"/>
            <w:left w:w="57" w:type="dxa"/>
            <w:bottom w:w="57" w:type="dxa"/>
            <w:right w:w="57" w:type="dxa"/>
          </w:tblCellMar>
        </w:tblPrEx>
        <w:trPr>
          <w:trHeight w:val="20" w:hRule="atLeast"/>
          <w:jc w:val="center"/>
        </w:trPr>
        <w:tc>
          <w:tcPr>
            <w:tcW w:w="841" w:type="pct"/>
            <w:gridSpan w:val="2"/>
            <w:tcBorders>
              <w:top w:val="single" w:color="auto" w:sz="4" w:space="0"/>
              <w:left w:val="single" w:color="auto" w:sz="4" w:space="0"/>
              <w:bottom w:val="single" w:color="auto" w:sz="4" w:space="0"/>
              <w:right w:val="single" w:color="auto" w:sz="4" w:space="0"/>
            </w:tcBorders>
            <w:vAlign w:val="center"/>
          </w:tcPr>
          <w:p w14:paraId="566099E8">
            <w:pPr>
              <w:snapToGrid w:val="0"/>
              <w:spacing w:line="240" w:lineRule="exact"/>
              <w:jc w:val="both"/>
              <w:rPr>
                <w:rFonts w:ascii="宋体" w:hAnsi="宋体" w:cs="Arial"/>
                <w:sz w:val="16"/>
                <w:szCs w:val="18"/>
                <w:highlight w:val="none"/>
              </w:rPr>
            </w:pPr>
            <w:r>
              <w:rPr>
                <w:rFonts w:ascii="宋体" w:hAnsi="宋体" w:cs="Arial"/>
                <w:sz w:val="16"/>
                <w:szCs w:val="18"/>
                <w:highlight w:val="none"/>
              </w:rPr>
              <w:t>交易时间</w:t>
            </w:r>
          </w:p>
        </w:tc>
        <w:tc>
          <w:tcPr>
            <w:tcW w:w="531" w:type="pct"/>
            <w:tcBorders>
              <w:top w:val="nil"/>
              <w:left w:val="nil"/>
              <w:bottom w:val="single" w:color="auto" w:sz="4" w:space="0"/>
              <w:right w:val="single" w:color="auto" w:sz="4" w:space="0"/>
            </w:tcBorders>
            <w:noWrap/>
            <w:vAlign w:val="center"/>
          </w:tcPr>
          <w:p w14:paraId="1C41B364">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0B521364">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177105C8">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74877346">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2032" w:type="pct"/>
            <w:tcBorders>
              <w:top w:val="nil"/>
              <w:left w:val="nil"/>
              <w:bottom w:val="single" w:color="auto" w:sz="4" w:space="0"/>
              <w:right w:val="single" w:color="auto" w:sz="4" w:space="0"/>
            </w:tcBorders>
            <w:vAlign w:val="center"/>
          </w:tcPr>
          <w:p w14:paraId="22BD847D">
            <w:pPr>
              <w:snapToGrid w:val="0"/>
              <w:spacing w:line="240" w:lineRule="exact"/>
              <w:jc w:val="both"/>
              <w:rPr>
                <w:rFonts w:ascii="Arial" w:hAnsi="Arial" w:cs="Arial"/>
                <w:sz w:val="16"/>
                <w:szCs w:val="18"/>
                <w:highlight w:val="none"/>
              </w:rPr>
            </w:pPr>
            <w:r>
              <w:rPr>
                <w:rFonts w:ascii="Arial" w:hAnsi="Arial" w:cs="Arial"/>
                <w:sz w:val="16"/>
                <w:szCs w:val="18"/>
                <w:highlight w:val="none"/>
              </w:rPr>
              <w:t>估价对象与可比实例的交易时间一致，因此确定估价对象与可比实例该因素指数均为100；</w:t>
            </w:r>
          </w:p>
        </w:tc>
      </w:tr>
      <w:tr w14:paraId="5092DB78">
        <w:tblPrEx>
          <w:tblCellMar>
            <w:top w:w="57" w:type="dxa"/>
            <w:left w:w="57" w:type="dxa"/>
            <w:bottom w:w="57" w:type="dxa"/>
            <w:right w:w="57" w:type="dxa"/>
          </w:tblCellMar>
        </w:tblPrEx>
        <w:trPr>
          <w:trHeight w:val="20" w:hRule="atLeast"/>
          <w:jc w:val="center"/>
        </w:trPr>
        <w:tc>
          <w:tcPr>
            <w:tcW w:w="841" w:type="pct"/>
            <w:gridSpan w:val="2"/>
            <w:tcBorders>
              <w:top w:val="single" w:color="auto" w:sz="4" w:space="0"/>
              <w:left w:val="single" w:color="auto" w:sz="4" w:space="0"/>
              <w:bottom w:val="single" w:color="auto" w:sz="4" w:space="0"/>
              <w:right w:val="single" w:color="auto" w:sz="4" w:space="0"/>
            </w:tcBorders>
            <w:vAlign w:val="center"/>
          </w:tcPr>
          <w:p w14:paraId="067E116B">
            <w:pPr>
              <w:snapToGrid w:val="0"/>
              <w:spacing w:line="240" w:lineRule="exact"/>
              <w:jc w:val="both"/>
              <w:rPr>
                <w:rFonts w:ascii="宋体" w:hAnsi="宋体" w:cs="Arial"/>
                <w:sz w:val="16"/>
                <w:szCs w:val="18"/>
                <w:highlight w:val="none"/>
              </w:rPr>
            </w:pPr>
            <w:r>
              <w:rPr>
                <w:rFonts w:ascii="宋体" w:hAnsi="宋体" w:cs="Arial"/>
                <w:sz w:val="16"/>
                <w:szCs w:val="18"/>
                <w:highlight w:val="none"/>
              </w:rPr>
              <w:t>交易情况</w:t>
            </w:r>
          </w:p>
        </w:tc>
        <w:tc>
          <w:tcPr>
            <w:tcW w:w="531" w:type="pct"/>
            <w:tcBorders>
              <w:top w:val="nil"/>
              <w:left w:val="nil"/>
              <w:bottom w:val="single" w:color="auto" w:sz="4" w:space="0"/>
              <w:right w:val="single" w:color="auto" w:sz="4" w:space="0"/>
            </w:tcBorders>
            <w:noWrap/>
            <w:vAlign w:val="center"/>
          </w:tcPr>
          <w:p w14:paraId="0D86F236">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242E5660">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4036F46D">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209AEDCF">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2032" w:type="pct"/>
            <w:tcBorders>
              <w:top w:val="nil"/>
              <w:left w:val="nil"/>
              <w:bottom w:val="single" w:color="auto" w:sz="4" w:space="0"/>
              <w:right w:val="single" w:color="auto" w:sz="4" w:space="0"/>
            </w:tcBorders>
            <w:vAlign w:val="center"/>
          </w:tcPr>
          <w:p w14:paraId="69533233">
            <w:pPr>
              <w:snapToGrid w:val="0"/>
              <w:spacing w:line="240" w:lineRule="exact"/>
              <w:jc w:val="both"/>
              <w:rPr>
                <w:rFonts w:ascii="Arial" w:hAnsi="Arial" w:cs="Arial"/>
                <w:sz w:val="16"/>
                <w:szCs w:val="18"/>
                <w:highlight w:val="none"/>
              </w:rPr>
            </w:pPr>
            <w:r>
              <w:rPr>
                <w:rFonts w:ascii="Arial" w:hAnsi="Arial" w:cs="Arial"/>
                <w:sz w:val="16"/>
                <w:szCs w:val="18"/>
                <w:highlight w:val="none"/>
              </w:rPr>
              <w:t>可比实例均为正常交易或已修正为正常交易，故不予修正，交易情况指数均100；</w:t>
            </w:r>
          </w:p>
        </w:tc>
      </w:tr>
      <w:tr w14:paraId="21C37860">
        <w:tblPrEx>
          <w:tblCellMar>
            <w:top w:w="57" w:type="dxa"/>
            <w:left w:w="57" w:type="dxa"/>
            <w:bottom w:w="57" w:type="dxa"/>
            <w:right w:w="57" w:type="dxa"/>
          </w:tblCellMar>
        </w:tblPrEx>
        <w:trPr>
          <w:trHeight w:val="20" w:hRule="atLeast"/>
          <w:jc w:val="center"/>
        </w:trPr>
        <w:tc>
          <w:tcPr>
            <w:tcW w:w="841" w:type="pct"/>
            <w:gridSpan w:val="2"/>
            <w:tcBorders>
              <w:top w:val="single" w:color="auto" w:sz="4" w:space="0"/>
              <w:left w:val="single" w:color="auto" w:sz="4" w:space="0"/>
              <w:bottom w:val="single" w:color="auto" w:sz="4" w:space="0"/>
              <w:right w:val="single" w:color="auto" w:sz="4" w:space="0"/>
            </w:tcBorders>
            <w:vAlign w:val="center"/>
          </w:tcPr>
          <w:p w14:paraId="04AE8BE3">
            <w:pPr>
              <w:snapToGrid w:val="0"/>
              <w:spacing w:line="240" w:lineRule="exact"/>
              <w:jc w:val="both"/>
              <w:rPr>
                <w:rFonts w:ascii="宋体" w:hAnsi="宋体" w:cs="Arial"/>
                <w:sz w:val="16"/>
                <w:szCs w:val="18"/>
                <w:highlight w:val="none"/>
              </w:rPr>
            </w:pPr>
            <w:r>
              <w:rPr>
                <w:rFonts w:ascii="宋体" w:hAnsi="宋体" w:cs="Arial"/>
                <w:sz w:val="16"/>
                <w:szCs w:val="18"/>
                <w:highlight w:val="none"/>
              </w:rPr>
              <w:t>项目类型</w:t>
            </w:r>
          </w:p>
        </w:tc>
        <w:tc>
          <w:tcPr>
            <w:tcW w:w="531" w:type="pct"/>
            <w:tcBorders>
              <w:top w:val="nil"/>
              <w:left w:val="nil"/>
              <w:bottom w:val="single" w:color="auto" w:sz="4" w:space="0"/>
              <w:right w:val="single" w:color="auto" w:sz="4" w:space="0"/>
            </w:tcBorders>
            <w:noWrap/>
            <w:vAlign w:val="center"/>
          </w:tcPr>
          <w:p w14:paraId="4C39E3E7">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701E04DF">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00C063A9">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092BC681">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2032" w:type="pct"/>
            <w:tcBorders>
              <w:top w:val="nil"/>
              <w:left w:val="nil"/>
              <w:bottom w:val="single" w:color="auto" w:sz="4" w:space="0"/>
              <w:right w:val="single" w:color="auto" w:sz="4" w:space="0"/>
            </w:tcBorders>
            <w:vAlign w:val="center"/>
          </w:tcPr>
          <w:p w14:paraId="434C5AE4">
            <w:pPr>
              <w:snapToGrid w:val="0"/>
              <w:spacing w:line="240" w:lineRule="exact"/>
              <w:jc w:val="both"/>
              <w:rPr>
                <w:rFonts w:ascii="Arial" w:hAnsi="Arial" w:cs="Arial"/>
                <w:sz w:val="16"/>
                <w:szCs w:val="18"/>
                <w:highlight w:val="none"/>
              </w:rPr>
            </w:pPr>
            <w:r>
              <w:rPr>
                <w:rFonts w:ascii="Arial" w:hAnsi="Arial" w:cs="Arial"/>
                <w:sz w:val="16"/>
                <w:szCs w:val="18"/>
                <w:highlight w:val="none"/>
              </w:rPr>
              <w:t>可比实例均为</w:t>
            </w:r>
            <w:r>
              <w:rPr>
                <w:rFonts w:hint="eastAsia" w:ascii="Arial" w:hAnsi="Arial" w:cs="Arial"/>
                <w:sz w:val="16"/>
                <w:szCs w:val="18"/>
                <w:highlight w:val="none"/>
                <w:lang w:val="en-US" w:eastAsia="zh-CN"/>
              </w:rPr>
              <w:t>住宅</w:t>
            </w:r>
            <w:r>
              <w:rPr>
                <w:rFonts w:ascii="Arial" w:hAnsi="Arial" w:cs="Arial"/>
                <w:sz w:val="16"/>
                <w:szCs w:val="18"/>
                <w:highlight w:val="none"/>
              </w:rPr>
              <w:t>，故不予修正，交易情况指数均100；</w:t>
            </w:r>
          </w:p>
        </w:tc>
      </w:tr>
      <w:tr w14:paraId="21E51D0D">
        <w:tblPrEx>
          <w:tblCellMar>
            <w:top w:w="57" w:type="dxa"/>
            <w:left w:w="57" w:type="dxa"/>
            <w:bottom w:w="57" w:type="dxa"/>
            <w:right w:w="57" w:type="dxa"/>
          </w:tblCellMar>
        </w:tblPrEx>
        <w:trPr>
          <w:trHeight w:val="20" w:hRule="atLeast"/>
          <w:jc w:val="center"/>
        </w:trPr>
        <w:tc>
          <w:tcPr>
            <w:tcW w:w="305" w:type="pct"/>
            <w:vMerge w:val="restart"/>
            <w:tcBorders>
              <w:top w:val="single" w:color="auto" w:sz="4" w:space="0"/>
              <w:left w:val="single" w:color="auto" w:sz="4" w:space="0"/>
              <w:bottom w:val="single" w:color="auto" w:sz="4" w:space="0"/>
              <w:right w:val="single" w:color="auto" w:sz="4" w:space="0"/>
            </w:tcBorders>
            <w:noWrap/>
            <w:vAlign w:val="center"/>
          </w:tcPr>
          <w:p w14:paraId="6D7203FF">
            <w:pPr>
              <w:snapToGrid w:val="0"/>
              <w:spacing w:line="240" w:lineRule="exact"/>
              <w:jc w:val="both"/>
              <w:rPr>
                <w:rFonts w:ascii="宋体" w:hAnsi="宋体" w:cs="Arial"/>
                <w:sz w:val="16"/>
                <w:szCs w:val="18"/>
                <w:highlight w:val="none"/>
              </w:rPr>
            </w:pPr>
            <w:r>
              <w:rPr>
                <w:rFonts w:ascii="宋体" w:hAnsi="宋体" w:cs="Arial"/>
                <w:sz w:val="16"/>
                <w:szCs w:val="18"/>
                <w:highlight w:val="none"/>
              </w:rPr>
              <w:t>区域</w:t>
            </w:r>
          </w:p>
          <w:p w14:paraId="44670853">
            <w:pPr>
              <w:snapToGrid w:val="0"/>
              <w:spacing w:line="240" w:lineRule="exact"/>
              <w:jc w:val="both"/>
              <w:rPr>
                <w:rFonts w:ascii="宋体" w:hAnsi="宋体" w:cs="Arial"/>
                <w:sz w:val="16"/>
                <w:szCs w:val="18"/>
                <w:highlight w:val="none"/>
              </w:rPr>
            </w:pPr>
            <w:r>
              <w:rPr>
                <w:rFonts w:ascii="宋体" w:hAnsi="宋体" w:cs="Arial"/>
                <w:sz w:val="16"/>
                <w:szCs w:val="18"/>
                <w:highlight w:val="none"/>
              </w:rPr>
              <w:t>状况</w:t>
            </w:r>
          </w:p>
        </w:tc>
        <w:tc>
          <w:tcPr>
            <w:tcW w:w="535" w:type="pct"/>
            <w:tcBorders>
              <w:top w:val="nil"/>
              <w:left w:val="nil"/>
              <w:bottom w:val="single" w:color="auto" w:sz="4" w:space="0"/>
              <w:right w:val="single" w:color="auto" w:sz="4" w:space="0"/>
            </w:tcBorders>
            <w:vAlign w:val="center"/>
          </w:tcPr>
          <w:p w14:paraId="3259F43C">
            <w:pPr>
              <w:widowControl/>
              <w:adjustRightInd/>
              <w:spacing w:line="240" w:lineRule="auto"/>
              <w:jc w:val="center"/>
              <w:textAlignment w:val="auto"/>
              <w:rPr>
                <w:rFonts w:ascii="宋体" w:hAnsi="宋体" w:cs="Arial"/>
                <w:sz w:val="16"/>
                <w:szCs w:val="18"/>
                <w:highlight w:val="none"/>
              </w:rPr>
            </w:pPr>
            <w:r>
              <w:rPr>
                <w:rFonts w:ascii="宋体" w:hAnsi="宋体" w:cs="Arial"/>
                <w:sz w:val="16"/>
                <w:szCs w:val="18"/>
                <w:highlight w:val="none"/>
              </w:rPr>
              <w:t>居住区成熟度</w:t>
            </w:r>
          </w:p>
        </w:tc>
        <w:tc>
          <w:tcPr>
            <w:tcW w:w="531" w:type="pct"/>
            <w:tcBorders>
              <w:top w:val="nil"/>
              <w:left w:val="nil"/>
              <w:bottom w:val="single" w:color="auto" w:sz="4" w:space="0"/>
              <w:right w:val="single" w:color="auto" w:sz="4" w:space="0"/>
            </w:tcBorders>
            <w:noWrap/>
            <w:vAlign w:val="center"/>
          </w:tcPr>
          <w:p w14:paraId="4156F6BC">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5E668D64">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151DFDF1">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0F5DD3F4">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2032" w:type="pct"/>
            <w:tcBorders>
              <w:top w:val="nil"/>
              <w:left w:val="nil"/>
              <w:bottom w:val="single" w:color="auto" w:sz="4" w:space="0"/>
              <w:right w:val="single" w:color="auto" w:sz="4" w:space="0"/>
            </w:tcBorders>
            <w:vAlign w:val="center"/>
          </w:tcPr>
          <w:p w14:paraId="05252223">
            <w:pPr>
              <w:snapToGrid w:val="0"/>
              <w:spacing w:line="240" w:lineRule="exact"/>
              <w:jc w:val="both"/>
              <w:rPr>
                <w:rFonts w:ascii="Arial" w:hAnsi="Arial" w:cs="Arial"/>
                <w:sz w:val="16"/>
                <w:szCs w:val="18"/>
                <w:highlight w:val="none"/>
              </w:rPr>
            </w:pPr>
            <w:r>
              <w:rPr>
                <w:rFonts w:ascii="Arial" w:hAnsi="Arial" w:cs="Arial"/>
                <w:sz w:val="16"/>
                <w:szCs w:val="18"/>
                <w:highlight w:val="none"/>
              </w:rPr>
              <w:t>从好到差划分为优、较优、一般、较劣、劣五个等级，每个等级相差5分，确定可比实例1、2、3该因素指数分别为100、100、100；</w:t>
            </w:r>
          </w:p>
        </w:tc>
      </w:tr>
      <w:tr w14:paraId="5573C24B">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794500FA">
            <w:pPr>
              <w:snapToGrid w:val="0"/>
              <w:spacing w:line="240" w:lineRule="exact"/>
              <w:jc w:val="both"/>
              <w:rPr>
                <w:rFonts w:ascii="宋体" w:hAnsi="宋体" w:cs="Arial"/>
                <w:sz w:val="16"/>
                <w:szCs w:val="18"/>
                <w:highlight w:val="none"/>
              </w:rPr>
            </w:pPr>
          </w:p>
        </w:tc>
        <w:tc>
          <w:tcPr>
            <w:tcW w:w="535" w:type="pct"/>
            <w:tcBorders>
              <w:top w:val="nil"/>
              <w:left w:val="nil"/>
              <w:bottom w:val="single" w:color="auto" w:sz="4" w:space="0"/>
              <w:right w:val="single" w:color="auto" w:sz="4" w:space="0"/>
            </w:tcBorders>
            <w:vAlign w:val="center"/>
          </w:tcPr>
          <w:p w14:paraId="40302D2A">
            <w:pPr>
              <w:widowControl/>
              <w:adjustRightInd/>
              <w:spacing w:line="240" w:lineRule="auto"/>
              <w:jc w:val="center"/>
              <w:textAlignment w:val="auto"/>
              <w:rPr>
                <w:rFonts w:ascii="宋体" w:hAnsi="宋体" w:cs="Arial"/>
                <w:sz w:val="16"/>
                <w:szCs w:val="18"/>
                <w:highlight w:val="none"/>
              </w:rPr>
            </w:pPr>
            <w:r>
              <w:rPr>
                <w:rFonts w:ascii="宋体" w:hAnsi="宋体" w:cs="Arial"/>
                <w:sz w:val="16"/>
                <w:szCs w:val="18"/>
                <w:highlight w:val="none"/>
              </w:rPr>
              <w:t>道路通达度</w:t>
            </w:r>
          </w:p>
        </w:tc>
        <w:tc>
          <w:tcPr>
            <w:tcW w:w="531" w:type="pct"/>
            <w:tcBorders>
              <w:top w:val="nil"/>
              <w:left w:val="nil"/>
              <w:bottom w:val="single" w:color="auto" w:sz="4" w:space="0"/>
              <w:right w:val="single" w:color="auto" w:sz="4" w:space="0"/>
            </w:tcBorders>
            <w:noWrap/>
            <w:vAlign w:val="center"/>
          </w:tcPr>
          <w:p w14:paraId="5815D204">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28E1DF64">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2A6BFAB8">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41EDE1F9">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2032" w:type="pct"/>
            <w:tcBorders>
              <w:top w:val="nil"/>
              <w:left w:val="nil"/>
              <w:bottom w:val="single" w:color="auto" w:sz="4" w:space="0"/>
              <w:right w:val="single" w:color="auto" w:sz="4" w:space="0"/>
            </w:tcBorders>
            <w:vAlign w:val="center"/>
          </w:tcPr>
          <w:p w14:paraId="7A0BC039">
            <w:pPr>
              <w:snapToGrid w:val="0"/>
              <w:spacing w:line="240" w:lineRule="exact"/>
              <w:jc w:val="both"/>
              <w:rPr>
                <w:rFonts w:ascii="Arial" w:hAnsi="Arial" w:cs="Arial"/>
                <w:sz w:val="16"/>
                <w:szCs w:val="18"/>
                <w:highlight w:val="none"/>
              </w:rPr>
            </w:pPr>
            <w:r>
              <w:rPr>
                <w:rFonts w:ascii="Arial" w:hAnsi="Arial" w:cs="Arial"/>
                <w:sz w:val="16"/>
                <w:szCs w:val="18"/>
                <w:highlight w:val="none"/>
              </w:rPr>
              <w:t>按照距离干道的距离和干道等级分为优、较优、一般、较劣、劣五个等级，每个等级相差2分，确定可比实例1、2、3该因素指数分别为100、100、100；</w:t>
            </w:r>
          </w:p>
        </w:tc>
      </w:tr>
      <w:tr w14:paraId="6CB0962F">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103012D8">
            <w:pPr>
              <w:snapToGrid w:val="0"/>
              <w:spacing w:line="240" w:lineRule="exact"/>
              <w:jc w:val="both"/>
              <w:rPr>
                <w:rFonts w:ascii="宋体" w:hAnsi="宋体" w:cs="Arial"/>
                <w:sz w:val="16"/>
                <w:szCs w:val="18"/>
                <w:highlight w:val="none"/>
              </w:rPr>
            </w:pPr>
          </w:p>
        </w:tc>
        <w:tc>
          <w:tcPr>
            <w:tcW w:w="535" w:type="pct"/>
            <w:tcBorders>
              <w:top w:val="nil"/>
              <w:left w:val="nil"/>
              <w:bottom w:val="single" w:color="auto" w:sz="4" w:space="0"/>
              <w:right w:val="single" w:color="auto" w:sz="4" w:space="0"/>
            </w:tcBorders>
            <w:vAlign w:val="center"/>
          </w:tcPr>
          <w:p w14:paraId="026644F2">
            <w:pPr>
              <w:widowControl/>
              <w:adjustRightInd/>
              <w:spacing w:line="240" w:lineRule="auto"/>
              <w:jc w:val="center"/>
              <w:textAlignment w:val="auto"/>
              <w:rPr>
                <w:rFonts w:ascii="宋体" w:hAnsi="宋体" w:cs="Arial"/>
                <w:sz w:val="16"/>
                <w:szCs w:val="18"/>
                <w:highlight w:val="none"/>
              </w:rPr>
            </w:pPr>
            <w:r>
              <w:rPr>
                <w:rFonts w:ascii="宋体" w:hAnsi="宋体" w:cs="Arial"/>
                <w:sz w:val="16"/>
                <w:szCs w:val="18"/>
                <w:highlight w:val="none"/>
              </w:rPr>
              <w:t>距离轨道交通站点距离</w:t>
            </w:r>
          </w:p>
        </w:tc>
        <w:tc>
          <w:tcPr>
            <w:tcW w:w="531" w:type="pct"/>
            <w:tcBorders>
              <w:top w:val="nil"/>
              <w:left w:val="nil"/>
              <w:bottom w:val="single" w:color="auto" w:sz="4" w:space="0"/>
              <w:right w:val="single" w:color="auto" w:sz="4" w:space="0"/>
            </w:tcBorders>
            <w:noWrap/>
            <w:vAlign w:val="center"/>
          </w:tcPr>
          <w:p w14:paraId="300563C6">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3B8A71DB">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0ABC8415">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716BBDA9">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2032" w:type="pct"/>
            <w:tcBorders>
              <w:top w:val="nil"/>
              <w:left w:val="nil"/>
              <w:bottom w:val="single" w:color="auto" w:sz="4" w:space="0"/>
              <w:right w:val="single" w:color="auto" w:sz="4" w:space="0"/>
            </w:tcBorders>
            <w:vAlign w:val="center"/>
          </w:tcPr>
          <w:p w14:paraId="5F15EF25">
            <w:pPr>
              <w:snapToGrid w:val="0"/>
              <w:spacing w:line="240" w:lineRule="exact"/>
              <w:jc w:val="both"/>
              <w:rPr>
                <w:rFonts w:ascii="Arial" w:hAnsi="Arial" w:cs="Arial"/>
                <w:sz w:val="16"/>
                <w:szCs w:val="18"/>
                <w:highlight w:val="none"/>
              </w:rPr>
            </w:pPr>
            <w:r>
              <w:rPr>
                <w:rFonts w:ascii="Arial" w:hAnsi="Arial" w:cs="Arial"/>
                <w:sz w:val="16"/>
                <w:szCs w:val="18"/>
                <w:highlight w:val="none"/>
              </w:rPr>
              <w:t>按照距离轨道交通的距离，0.5km为一档，每个等级相差</w:t>
            </w:r>
            <w:r>
              <w:rPr>
                <w:rFonts w:hint="eastAsia" w:ascii="Arial" w:hAnsi="Arial" w:cs="Arial"/>
                <w:sz w:val="16"/>
                <w:szCs w:val="18"/>
                <w:highlight w:val="none"/>
              </w:rPr>
              <w:t>1</w:t>
            </w:r>
            <w:r>
              <w:rPr>
                <w:rFonts w:ascii="Arial" w:hAnsi="Arial" w:cs="Arial"/>
                <w:sz w:val="16"/>
                <w:szCs w:val="18"/>
                <w:highlight w:val="none"/>
              </w:rPr>
              <w:t>分，确定可比实例1、2、3该因素指数分别为100、100、100；</w:t>
            </w:r>
          </w:p>
        </w:tc>
      </w:tr>
      <w:tr w14:paraId="0793BBD9">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4546C90E">
            <w:pPr>
              <w:snapToGrid w:val="0"/>
              <w:spacing w:line="240" w:lineRule="exact"/>
              <w:jc w:val="both"/>
              <w:rPr>
                <w:rFonts w:ascii="宋体" w:hAnsi="宋体" w:cs="Arial"/>
                <w:sz w:val="16"/>
                <w:szCs w:val="18"/>
                <w:highlight w:val="none"/>
              </w:rPr>
            </w:pPr>
          </w:p>
        </w:tc>
        <w:tc>
          <w:tcPr>
            <w:tcW w:w="535" w:type="pct"/>
            <w:tcBorders>
              <w:top w:val="nil"/>
              <w:left w:val="nil"/>
              <w:bottom w:val="single" w:color="auto" w:sz="4" w:space="0"/>
              <w:right w:val="single" w:color="auto" w:sz="4" w:space="0"/>
            </w:tcBorders>
            <w:vAlign w:val="center"/>
          </w:tcPr>
          <w:p w14:paraId="2F12AE4C">
            <w:pPr>
              <w:widowControl/>
              <w:adjustRightInd/>
              <w:spacing w:line="240" w:lineRule="auto"/>
              <w:jc w:val="center"/>
              <w:textAlignment w:val="auto"/>
              <w:rPr>
                <w:rFonts w:ascii="宋体" w:hAnsi="宋体" w:cs="Arial"/>
                <w:sz w:val="16"/>
                <w:szCs w:val="18"/>
                <w:highlight w:val="none"/>
              </w:rPr>
            </w:pPr>
            <w:r>
              <w:rPr>
                <w:rFonts w:ascii="宋体" w:hAnsi="宋体" w:cs="Arial"/>
                <w:sz w:val="16"/>
                <w:szCs w:val="18"/>
                <w:highlight w:val="none"/>
              </w:rPr>
              <w:t>距离公交站点距离</w:t>
            </w:r>
          </w:p>
        </w:tc>
        <w:tc>
          <w:tcPr>
            <w:tcW w:w="531" w:type="pct"/>
            <w:tcBorders>
              <w:top w:val="nil"/>
              <w:left w:val="nil"/>
              <w:bottom w:val="single" w:color="auto" w:sz="4" w:space="0"/>
              <w:right w:val="single" w:color="auto" w:sz="4" w:space="0"/>
            </w:tcBorders>
            <w:noWrap/>
            <w:vAlign w:val="center"/>
          </w:tcPr>
          <w:p w14:paraId="7E9D5B7D">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61C37FD3">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7249E9D1">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57B9363D">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2032" w:type="pct"/>
            <w:tcBorders>
              <w:top w:val="nil"/>
              <w:left w:val="nil"/>
              <w:bottom w:val="single" w:color="auto" w:sz="4" w:space="0"/>
              <w:right w:val="single" w:color="auto" w:sz="4" w:space="0"/>
            </w:tcBorders>
            <w:vAlign w:val="center"/>
          </w:tcPr>
          <w:p w14:paraId="67A16E0A">
            <w:pPr>
              <w:snapToGrid w:val="0"/>
              <w:spacing w:line="240" w:lineRule="exact"/>
              <w:jc w:val="both"/>
              <w:rPr>
                <w:rFonts w:ascii="Arial" w:hAnsi="Arial" w:cs="Arial"/>
                <w:sz w:val="16"/>
                <w:szCs w:val="18"/>
                <w:highlight w:val="none"/>
              </w:rPr>
            </w:pPr>
            <w:r>
              <w:rPr>
                <w:rFonts w:ascii="Arial" w:hAnsi="Arial" w:cs="Arial"/>
                <w:sz w:val="16"/>
                <w:szCs w:val="18"/>
                <w:highlight w:val="none"/>
              </w:rPr>
              <w:t>按照距离公交站点的距离，0.5km为一档，每个等级相差2分，确定可比实例1、2、3该因素指数分别为100、100、100；</w:t>
            </w:r>
          </w:p>
        </w:tc>
      </w:tr>
      <w:tr w14:paraId="35F1919F">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579AA9E4">
            <w:pPr>
              <w:snapToGrid w:val="0"/>
              <w:spacing w:line="240" w:lineRule="exact"/>
              <w:jc w:val="both"/>
              <w:rPr>
                <w:rFonts w:ascii="宋体" w:hAnsi="宋体" w:cs="Arial"/>
                <w:sz w:val="16"/>
                <w:szCs w:val="18"/>
                <w:highlight w:val="none"/>
              </w:rPr>
            </w:pPr>
          </w:p>
        </w:tc>
        <w:tc>
          <w:tcPr>
            <w:tcW w:w="535" w:type="pct"/>
            <w:tcBorders>
              <w:top w:val="nil"/>
              <w:left w:val="nil"/>
              <w:bottom w:val="single" w:color="auto" w:sz="4" w:space="0"/>
              <w:right w:val="single" w:color="auto" w:sz="4" w:space="0"/>
            </w:tcBorders>
            <w:vAlign w:val="center"/>
          </w:tcPr>
          <w:p w14:paraId="7513D828">
            <w:pPr>
              <w:widowControl/>
              <w:adjustRightInd/>
              <w:spacing w:line="240" w:lineRule="auto"/>
              <w:jc w:val="center"/>
              <w:textAlignment w:val="auto"/>
              <w:rPr>
                <w:rFonts w:ascii="宋体" w:hAnsi="宋体" w:cs="Arial"/>
                <w:sz w:val="16"/>
                <w:szCs w:val="18"/>
                <w:highlight w:val="none"/>
              </w:rPr>
            </w:pPr>
            <w:r>
              <w:rPr>
                <w:rFonts w:hint="eastAsia" w:ascii="宋体" w:hAnsi="宋体" w:cs="Arial"/>
                <w:sz w:val="16"/>
                <w:szCs w:val="18"/>
                <w:highlight w:val="none"/>
              </w:rPr>
              <w:t>环境质量优劣度</w:t>
            </w:r>
          </w:p>
        </w:tc>
        <w:tc>
          <w:tcPr>
            <w:tcW w:w="531" w:type="pct"/>
            <w:tcBorders>
              <w:top w:val="nil"/>
              <w:left w:val="nil"/>
              <w:bottom w:val="single" w:color="auto" w:sz="4" w:space="0"/>
              <w:right w:val="single" w:color="auto" w:sz="4" w:space="0"/>
            </w:tcBorders>
            <w:noWrap/>
            <w:vAlign w:val="center"/>
          </w:tcPr>
          <w:p w14:paraId="4D750B31">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3CF7876E">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5C82B577">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21A88942">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2032" w:type="pct"/>
            <w:tcBorders>
              <w:top w:val="nil"/>
              <w:left w:val="nil"/>
              <w:bottom w:val="single" w:color="auto" w:sz="4" w:space="0"/>
              <w:right w:val="single" w:color="auto" w:sz="4" w:space="0"/>
            </w:tcBorders>
            <w:vAlign w:val="center"/>
          </w:tcPr>
          <w:p w14:paraId="21CBF65D">
            <w:pPr>
              <w:snapToGrid w:val="0"/>
              <w:spacing w:line="240" w:lineRule="exact"/>
              <w:jc w:val="both"/>
              <w:rPr>
                <w:rFonts w:ascii="Arial" w:hAnsi="Arial" w:cs="Arial"/>
                <w:sz w:val="16"/>
                <w:szCs w:val="18"/>
                <w:highlight w:val="none"/>
              </w:rPr>
            </w:pPr>
            <w:r>
              <w:rPr>
                <w:rFonts w:hint="eastAsia" w:ascii="Arial" w:hAnsi="Arial" w:cs="Arial"/>
                <w:sz w:val="16"/>
                <w:szCs w:val="18"/>
                <w:highlight w:val="none"/>
              </w:rPr>
              <w:t>根据周边污染源的范围，判断优劣，每档相差2分</w:t>
            </w:r>
            <w:r>
              <w:rPr>
                <w:rFonts w:ascii="Arial" w:hAnsi="Arial" w:cs="Arial"/>
                <w:sz w:val="16"/>
                <w:szCs w:val="18"/>
                <w:highlight w:val="none"/>
              </w:rPr>
              <w:t>，确定可比实例1、2、3该因素指数分别为100、100、100</w:t>
            </w:r>
            <w:r>
              <w:rPr>
                <w:rFonts w:hint="eastAsia" w:ascii="Arial" w:hAnsi="Arial" w:cs="Arial"/>
                <w:sz w:val="16"/>
                <w:szCs w:val="18"/>
                <w:highlight w:val="none"/>
              </w:rPr>
              <w:t>；</w:t>
            </w:r>
          </w:p>
        </w:tc>
      </w:tr>
      <w:tr w14:paraId="24AA7FD9">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6B5A3165">
            <w:pPr>
              <w:snapToGrid w:val="0"/>
              <w:spacing w:line="240" w:lineRule="exact"/>
              <w:jc w:val="both"/>
              <w:rPr>
                <w:rFonts w:ascii="宋体" w:hAnsi="宋体" w:cs="Arial"/>
                <w:sz w:val="16"/>
                <w:szCs w:val="18"/>
                <w:highlight w:val="none"/>
              </w:rPr>
            </w:pPr>
          </w:p>
        </w:tc>
        <w:tc>
          <w:tcPr>
            <w:tcW w:w="535" w:type="pct"/>
            <w:tcBorders>
              <w:top w:val="nil"/>
              <w:left w:val="nil"/>
              <w:bottom w:val="single" w:color="auto" w:sz="4" w:space="0"/>
              <w:right w:val="single" w:color="auto" w:sz="4" w:space="0"/>
            </w:tcBorders>
            <w:vAlign w:val="center"/>
          </w:tcPr>
          <w:p w14:paraId="21125008">
            <w:pPr>
              <w:widowControl/>
              <w:adjustRightInd/>
              <w:spacing w:line="240" w:lineRule="auto"/>
              <w:jc w:val="center"/>
              <w:textAlignment w:val="auto"/>
              <w:rPr>
                <w:rFonts w:ascii="宋体" w:hAnsi="宋体" w:cs="Arial"/>
                <w:sz w:val="16"/>
                <w:szCs w:val="18"/>
                <w:highlight w:val="none"/>
              </w:rPr>
            </w:pPr>
            <w:r>
              <w:rPr>
                <w:rFonts w:ascii="宋体" w:hAnsi="宋体" w:cs="Arial"/>
                <w:sz w:val="16"/>
                <w:szCs w:val="18"/>
                <w:highlight w:val="none"/>
              </w:rPr>
              <w:t>自然环境</w:t>
            </w:r>
          </w:p>
        </w:tc>
        <w:tc>
          <w:tcPr>
            <w:tcW w:w="531" w:type="pct"/>
            <w:tcBorders>
              <w:top w:val="nil"/>
              <w:left w:val="nil"/>
              <w:bottom w:val="single" w:color="auto" w:sz="4" w:space="0"/>
              <w:right w:val="single" w:color="auto" w:sz="4" w:space="0"/>
            </w:tcBorders>
            <w:noWrap/>
            <w:vAlign w:val="center"/>
          </w:tcPr>
          <w:p w14:paraId="5FFC6889">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2AF74477">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5CC7EA2B">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1E99E791">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2032" w:type="pct"/>
            <w:tcBorders>
              <w:top w:val="nil"/>
              <w:left w:val="nil"/>
              <w:bottom w:val="single" w:color="auto" w:sz="4" w:space="0"/>
              <w:right w:val="single" w:color="auto" w:sz="4" w:space="0"/>
            </w:tcBorders>
            <w:vAlign w:val="center"/>
          </w:tcPr>
          <w:p w14:paraId="488177A2">
            <w:pPr>
              <w:snapToGrid w:val="0"/>
              <w:spacing w:line="240" w:lineRule="exact"/>
              <w:jc w:val="both"/>
              <w:rPr>
                <w:rFonts w:ascii="Arial" w:hAnsi="Arial" w:cs="Arial"/>
                <w:sz w:val="16"/>
                <w:szCs w:val="18"/>
                <w:highlight w:val="none"/>
              </w:rPr>
            </w:pPr>
            <w:r>
              <w:rPr>
                <w:rFonts w:ascii="Arial" w:hAnsi="Arial" w:cs="Arial"/>
                <w:sz w:val="16"/>
                <w:szCs w:val="18"/>
                <w:highlight w:val="none"/>
              </w:rPr>
              <w:t>从好到差划分为好、较好、一般、较差、差五个等级，每个等级相差2分，确定可比实例1、2、3该因素指数分别为100、100、100；</w:t>
            </w:r>
          </w:p>
        </w:tc>
      </w:tr>
      <w:tr w14:paraId="6E675F83">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178531CA">
            <w:pPr>
              <w:snapToGrid w:val="0"/>
              <w:spacing w:line="240" w:lineRule="exact"/>
              <w:jc w:val="both"/>
              <w:rPr>
                <w:rFonts w:ascii="宋体" w:hAnsi="宋体" w:cs="Arial"/>
                <w:sz w:val="16"/>
                <w:szCs w:val="18"/>
                <w:highlight w:val="none"/>
              </w:rPr>
            </w:pPr>
          </w:p>
        </w:tc>
        <w:tc>
          <w:tcPr>
            <w:tcW w:w="535" w:type="pct"/>
            <w:tcBorders>
              <w:top w:val="nil"/>
              <w:left w:val="nil"/>
              <w:bottom w:val="single" w:color="auto" w:sz="4" w:space="0"/>
              <w:right w:val="single" w:color="auto" w:sz="4" w:space="0"/>
            </w:tcBorders>
            <w:vAlign w:val="center"/>
          </w:tcPr>
          <w:p w14:paraId="41E11E70">
            <w:pPr>
              <w:widowControl/>
              <w:adjustRightInd/>
              <w:spacing w:line="240" w:lineRule="auto"/>
              <w:jc w:val="center"/>
              <w:textAlignment w:val="auto"/>
              <w:rPr>
                <w:rFonts w:ascii="宋体" w:hAnsi="宋体" w:cs="Arial"/>
                <w:sz w:val="16"/>
                <w:szCs w:val="18"/>
                <w:highlight w:val="none"/>
              </w:rPr>
            </w:pPr>
            <w:r>
              <w:rPr>
                <w:rFonts w:hint="eastAsia" w:ascii="宋体" w:hAnsi="宋体" w:cs="Arial"/>
                <w:sz w:val="16"/>
                <w:szCs w:val="18"/>
                <w:highlight w:val="none"/>
              </w:rPr>
              <w:t>小区环境</w:t>
            </w:r>
          </w:p>
        </w:tc>
        <w:tc>
          <w:tcPr>
            <w:tcW w:w="531" w:type="pct"/>
            <w:tcBorders>
              <w:top w:val="nil"/>
              <w:left w:val="nil"/>
              <w:bottom w:val="single" w:color="auto" w:sz="4" w:space="0"/>
              <w:right w:val="single" w:color="auto" w:sz="4" w:space="0"/>
            </w:tcBorders>
            <w:noWrap/>
            <w:vAlign w:val="center"/>
          </w:tcPr>
          <w:p w14:paraId="14139FCC">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16F3ADB4">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6DC930A7">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46E83081">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2032" w:type="pct"/>
            <w:tcBorders>
              <w:top w:val="nil"/>
              <w:left w:val="nil"/>
              <w:bottom w:val="single" w:color="auto" w:sz="4" w:space="0"/>
              <w:right w:val="single" w:color="auto" w:sz="4" w:space="0"/>
            </w:tcBorders>
            <w:vAlign w:val="center"/>
          </w:tcPr>
          <w:p w14:paraId="23A1CFAF">
            <w:pPr>
              <w:snapToGrid w:val="0"/>
              <w:spacing w:line="240" w:lineRule="exact"/>
              <w:jc w:val="both"/>
              <w:rPr>
                <w:rFonts w:ascii="Arial" w:hAnsi="Arial" w:cs="Arial"/>
                <w:sz w:val="16"/>
                <w:szCs w:val="18"/>
                <w:highlight w:val="none"/>
              </w:rPr>
            </w:pPr>
            <w:r>
              <w:rPr>
                <w:rFonts w:hint="eastAsia" w:ascii="Arial" w:hAnsi="Arial" w:cs="Arial"/>
                <w:sz w:val="16"/>
                <w:szCs w:val="18"/>
                <w:highlight w:val="none"/>
              </w:rPr>
              <w:t>根据小区道路、绿化率、景观设计及人车分流情况分为一档，每级相差1分，</w:t>
            </w:r>
            <w:r>
              <w:rPr>
                <w:rFonts w:ascii="Arial" w:hAnsi="Arial" w:cs="Arial"/>
                <w:sz w:val="16"/>
                <w:szCs w:val="18"/>
                <w:highlight w:val="none"/>
              </w:rPr>
              <w:t>确定可比实例1、2、3该因素指数分别为100、100、100；</w:t>
            </w:r>
          </w:p>
        </w:tc>
      </w:tr>
      <w:tr w14:paraId="1FE4DCBC">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1E461B9E">
            <w:pPr>
              <w:snapToGrid w:val="0"/>
              <w:spacing w:line="240" w:lineRule="exact"/>
              <w:jc w:val="both"/>
              <w:rPr>
                <w:rFonts w:ascii="宋体" w:hAnsi="宋体" w:cs="Arial"/>
                <w:sz w:val="16"/>
                <w:szCs w:val="18"/>
                <w:highlight w:val="none"/>
              </w:rPr>
            </w:pPr>
          </w:p>
        </w:tc>
        <w:tc>
          <w:tcPr>
            <w:tcW w:w="535" w:type="pct"/>
            <w:tcBorders>
              <w:top w:val="nil"/>
              <w:left w:val="nil"/>
              <w:bottom w:val="single" w:color="auto" w:sz="4" w:space="0"/>
              <w:right w:val="single" w:color="auto" w:sz="4" w:space="0"/>
            </w:tcBorders>
            <w:vAlign w:val="center"/>
          </w:tcPr>
          <w:p w14:paraId="680E5590">
            <w:pPr>
              <w:widowControl/>
              <w:adjustRightInd/>
              <w:spacing w:line="240" w:lineRule="auto"/>
              <w:jc w:val="center"/>
              <w:textAlignment w:val="auto"/>
              <w:rPr>
                <w:rFonts w:ascii="宋体" w:hAnsi="宋体" w:cs="Arial"/>
                <w:sz w:val="16"/>
                <w:szCs w:val="18"/>
                <w:highlight w:val="none"/>
              </w:rPr>
            </w:pPr>
            <w:r>
              <w:rPr>
                <w:rFonts w:hint="eastAsia" w:ascii="宋体" w:hAnsi="宋体" w:cs="Arial"/>
                <w:sz w:val="16"/>
                <w:szCs w:val="18"/>
                <w:highlight w:val="none"/>
              </w:rPr>
              <w:t>公共服务设施状况</w:t>
            </w:r>
          </w:p>
        </w:tc>
        <w:tc>
          <w:tcPr>
            <w:tcW w:w="531" w:type="pct"/>
            <w:tcBorders>
              <w:top w:val="nil"/>
              <w:left w:val="nil"/>
              <w:bottom w:val="single" w:color="auto" w:sz="4" w:space="0"/>
              <w:right w:val="single" w:color="auto" w:sz="4" w:space="0"/>
            </w:tcBorders>
            <w:noWrap/>
            <w:vAlign w:val="center"/>
          </w:tcPr>
          <w:p w14:paraId="565D9A2E">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43762CCE">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615A6807">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6BC312DD">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2032" w:type="pct"/>
            <w:tcBorders>
              <w:top w:val="nil"/>
              <w:left w:val="nil"/>
              <w:bottom w:val="single" w:color="auto" w:sz="4" w:space="0"/>
              <w:right w:val="single" w:color="auto" w:sz="4" w:space="0"/>
            </w:tcBorders>
            <w:vAlign w:val="center"/>
          </w:tcPr>
          <w:p w14:paraId="03DCEC57">
            <w:pPr>
              <w:snapToGrid w:val="0"/>
              <w:spacing w:line="240" w:lineRule="exact"/>
              <w:jc w:val="both"/>
              <w:rPr>
                <w:rFonts w:ascii="Arial" w:hAnsi="Arial" w:cs="Arial"/>
                <w:sz w:val="16"/>
                <w:szCs w:val="18"/>
                <w:highlight w:val="none"/>
              </w:rPr>
            </w:pPr>
            <w:r>
              <w:rPr>
                <w:rFonts w:ascii="Arial" w:hAnsi="Arial" w:cs="Arial"/>
                <w:sz w:val="16"/>
                <w:szCs w:val="18"/>
                <w:highlight w:val="none"/>
              </w:rPr>
              <w:t>从好到差划分为齐全、较齐全、一般、较不齐全、不齐全五个等级，每个等级相差5分，确定可比实例1、2、3该因素指数分别为100、100、100；</w:t>
            </w:r>
          </w:p>
        </w:tc>
      </w:tr>
      <w:tr w14:paraId="7C503CCA">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372EAC61">
            <w:pPr>
              <w:snapToGrid w:val="0"/>
              <w:spacing w:line="240" w:lineRule="exact"/>
              <w:jc w:val="both"/>
              <w:rPr>
                <w:rFonts w:ascii="宋体" w:hAnsi="宋体" w:cs="Arial"/>
                <w:sz w:val="16"/>
                <w:szCs w:val="18"/>
                <w:highlight w:val="none"/>
              </w:rPr>
            </w:pPr>
          </w:p>
        </w:tc>
        <w:tc>
          <w:tcPr>
            <w:tcW w:w="535" w:type="pct"/>
            <w:tcBorders>
              <w:top w:val="nil"/>
              <w:left w:val="nil"/>
              <w:bottom w:val="single" w:color="auto" w:sz="4" w:space="0"/>
              <w:right w:val="single" w:color="auto" w:sz="4" w:space="0"/>
            </w:tcBorders>
            <w:vAlign w:val="center"/>
          </w:tcPr>
          <w:p w14:paraId="73880B33">
            <w:pPr>
              <w:widowControl/>
              <w:adjustRightInd/>
              <w:spacing w:line="240" w:lineRule="auto"/>
              <w:jc w:val="center"/>
              <w:textAlignment w:val="auto"/>
              <w:rPr>
                <w:rFonts w:hint="default" w:ascii="宋体" w:hAnsi="宋体" w:eastAsia="宋体" w:cs="Arial"/>
                <w:sz w:val="16"/>
                <w:szCs w:val="18"/>
                <w:highlight w:val="none"/>
                <w:lang w:val="en-US" w:eastAsia="zh-CN"/>
              </w:rPr>
            </w:pPr>
            <w:r>
              <w:rPr>
                <w:rFonts w:hint="eastAsia" w:ascii="宋体" w:hAnsi="宋体" w:cs="Arial"/>
                <w:sz w:val="16"/>
                <w:szCs w:val="18"/>
                <w:highlight w:val="none"/>
                <w:lang w:val="en-US" w:eastAsia="zh-CN"/>
              </w:rPr>
              <w:t>建筑类型</w:t>
            </w:r>
          </w:p>
        </w:tc>
        <w:tc>
          <w:tcPr>
            <w:tcW w:w="531" w:type="pct"/>
            <w:tcBorders>
              <w:top w:val="nil"/>
              <w:left w:val="nil"/>
              <w:bottom w:val="single" w:color="auto" w:sz="4" w:space="0"/>
              <w:right w:val="single" w:color="auto" w:sz="4" w:space="0"/>
            </w:tcBorders>
            <w:shd w:val="clear" w:color="auto" w:fill="auto"/>
            <w:noWrap/>
            <w:vAlign w:val="center"/>
          </w:tcPr>
          <w:p w14:paraId="49864A72">
            <w:pPr>
              <w:snapToGrid w:val="0"/>
              <w:spacing w:line="240" w:lineRule="exact"/>
              <w:jc w:val="both"/>
              <w:rPr>
                <w:rFonts w:ascii="Arial" w:hAnsi="Arial" w:eastAsia="宋体" w:cs="Arial"/>
                <w:sz w:val="16"/>
                <w:szCs w:val="18"/>
                <w:highlight w:val="none"/>
                <w:lang w:val="en-US" w:eastAsia="zh-CN" w:bidi="ar-SA"/>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shd w:val="clear" w:color="auto" w:fill="auto"/>
            <w:noWrap/>
            <w:vAlign w:val="center"/>
          </w:tcPr>
          <w:p w14:paraId="6367E647">
            <w:pPr>
              <w:snapToGrid w:val="0"/>
              <w:spacing w:line="240" w:lineRule="exact"/>
              <w:jc w:val="both"/>
              <w:rPr>
                <w:rFonts w:hint="default" w:ascii="Arial" w:hAnsi="Arial" w:eastAsia="宋体" w:cs="Arial"/>
                <w:sz w:val="16"/>
                <w:szCs w:val="18"/>
                <w:highlight w:val="none"/>
                <w:lang w:val="en-US" w:eastAsia="zh-CN" w:bidi="ar-SA"/>
              </w:rPr>
            </w:pPr>
            <w:r>
              <w:rPr>
                <w:rFonts w:ascii="Arial" w:hAnsi="Arial" w:cs="Arial"/>
                <w:sz w:val="16"/>
                <w:szCs w:val="18"/>
                <w:highlight w:val="none"/>
              </w:rPr>
              <w:t>1</w:t>
            </w:r>
            <w:r>
              <w:rPr>
                <w:rFonts w:hint="eastAsia" w:ascii="Arial" w:hAnsi="Arial" w:cs="Arial"/>
                <w:sz w:val="16"/>
                <w:szCs w:val="18"/>
                <w:highlight w:val="none"/>
                <w:lang w:val="en-US" w:eastAsia="zh-CN"/>
              </w:rPr>
              <w:t>00</w:t>
            </w:r>
          </w:p>
        </w:tc>
        <w:tc>
          <w:tcPr>
            <w:tcW w:w="531" w:type="pct"/>
            <w:tcBorders>
              <w:top w:val="nil"/>
              <w:left w:val="nil"/>
              <w:bottom w:val="single" w:color="auto" w:sz="4" w:space="0"/>
              <w:right w:val="single" w:color="auto" w:sz="4" w:space="0"/>
            </w:tcBorders>
            <w:shd w:val="clear" w:color="auto" w:fill="auto"/>
            <w:noWrap/>
            <w:vAlign w:val="center"/>
          </w:tcPr>
          <w:p w14:paraId="7DE90FC8">
            <w:pPr>
              <w:snapToGrid w:val="0"/>
              <w:spacing w:line="240" w:lineRule="exact"/>
              <w:jc w:val="both"/>
              <w:rPr>
                <w:rFonts w:hint="eastAsia" w:ascii="Arial" w:hAnsi="Arial" w:eastAsia="宋体" w:cs="Arial"/>
                <w:sz w:val="16"/>
                <w:szCs w:val="18"/>
                <w:highlight w:val="none"/>
                <w:lang w:val="en-US" w:eastAsia="zh-CN" w:bidi="ar-SA"/>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shd w:val="clear" w:color="auto" w:fill="auto"/>
            <w:noWrap/>
            <w:vAlign w:val="center"/>
          </w:tcPr>
          <w:p w14:paraId="78FE3065">
            <w:pPr>
              <w:snapToGrid w:val="0"/>
              <w:spacing w:line="240" w:lineRule="exact"/>
              <w:jc w:val="both"/>
              <w:rPr>
                <w:rFonts w:hint="eastAsia" w:ascii="Arial" w:hAnsi="Arial" w:eastAsia="宋体" w:cs="Arial"/>
                <w:sz w:val="16"/>
                <w:szCs w:val="18"/>
                <w:highlight w:val="none"/>
                <w:lang w:val="en-US" w:eastAsia="zh-CN" w:bidi="ar-SA"/>
              </w:rPr>
            </w:pPr>
            <w:r>
              <w:rPr>
                <w:rFonts w:ascii="Arial" w:hAnsi="Arial" w:cs="Arial"/>
                <w:sz w:val="16"/>
                <w:szCs w:val="18"/>
                <w:highlight w:val="none"/>
              </w:rPr>
              <w:t>10</w:t>
            </w:r>
            <w:r>
              <w:rPr>
                <w:rFonts w:hint="eastAsia" w:ascii="Arial" w:hAnsi="Arial" w:cs="Arial"/>
                <w:sz w:val="16"/>
                <w:szCs w:val="18"/>
                <w:highlight w:val="none"/>
                <w:lang w:val="en-US" w:eastAsia="zh-CN"/>
              </w:rPr>
              <w:t>5</w:t>
            </w:r>
          </w:p>
        </w:tc>
        <w:tc>
          <w:tcPr>
            <w:tcW w:w="2032" w:type="pct"/>
            <w:tcBorders>
              <w:top w:val="nil"/>
              <w:left w:val="nil"/>
              <w:bottom w:val="single" w:color="auto" w:sz="4" w:space="0"/>
              <w:right w:val="single" w:color="auto" w:sz="4" w:space="0"/>
            </w:tcBorders>
            <w:shd w:val="clear" w:color="auto" w:fill="auto"/>
            <w:vAlign w:val="center"/>
          </w:tcPr>
          <w:p w14:paraId="6E34B947">
            <w:pPr>
              <w:snapToGrid w:val="0"/>
              <w:spacing w:line="240" w:lineRule="exact"/>
              <w:jc w:val="both"/>
              <w:rPr>
                <w:rFonts w:ascii="Arial" w:hAnsi="Arial" w:eastAsia="宋体" w:cs="Arial"/>
                <w:sz w:val="16"/>
                <w:szCs w:val="18"/>
                <w:highlight w:val="none"/>
                <w:lang w:val="en-US" w:eastAsia="zh-CN" w:bidi="ar-SA"/>
              </w:rPr>
            </w:pPr>
            <w:r>
              <w:rPr>
                <w:rFonts w:ascii="Arial" w:hAnsi="Arial" w:cs="Arial"/>
                <w:sz w:val="16"/>
                <w:szCs w:val="18"/>
                <w:highlight w:val="none"/>
              </w:rPr>
              <w:t>分为</w:t>
            </w:r>
            <w:r>
              <w:rPr>
                <w:rFonts w:hint="eastAsia" w:ascii="Arial" w:hAnsi="Arial" w:cs="Arial"/>
                <w:sz w:val="16"/>
                <w:szCs w:val="18"/>
                <w:highlight w:val="none"/>
                <w:lang w:val="en-US" w:eastAsia="zh-CN"/>
              </w:rPr>
              <w:t>多层板楼、高层板楼、板塔结合、塔楼四</w:t>
            </w:r>
            <w:r>
              <w:rPr>
                <w:rFonts w:ascii="Arial" w:hAnsi="Arial" w:cs="Arial"/>
                <w:sz w:val="16"/>
                <w:szCs w:val="18"/>
                <w:highlight w:val="none"/>
              </w:rPr>
              <w:t>个等级，以估价对象指数为 100，每相差一个等级，每级相差</w:t>
            </w:r>
            <w:r>
              <w:rPr>
                <w:rFonts w:hint="eastAsia" w:ascii="Arial" w:hAnsi="Arial" w:cs="Arial"/>
                <w:sz w:val="16"/>
                <w:szCs w:val="18"/>
                <w:highlight w:val="none"/>
                <w:lang w:val="en-US" w:eastAsia="zh-CN"/>
              </w:rPr>
              <w:t>5</w:t>
            </w:r>
            <w:r>
              <w:rPr>
                <w:rFonts w:ascii="Arial" w:hAnsi="Arial" w:cs="Arial"/>
                <w:sz w:val="16"/>
                <w:szCs w:val="18"/>
                <w:highlight w:val="none"/>
              </w:rPr>
              <w:t>分，确定可比实例1、2、3该因素指数分别为</w:t>
            </w:r>
            <w:r>
              <w:rPr>
                <w:rFonts w:hint="eastAsia" w:ascii="Arial" w:hAnsi="Arial" w:cs="Arial"/>
                <w:sz w:val="16"/>
                <w:szCs w:val="18"/>
                <w:highlight w:val="none"/>
                <w:lang w:val="en-US" w:eastAsia="zh-CN"/>
              </w:rPr>
              <w:t>100</w:t>
            </w:r>
            <w:r>
              <w:rPr>
                <w:rFonts w:ascii="Arial" w:hAnsi="Arial" w:cs="Arial"/>
                <w:sz w:val="16"/>
                <w:szCs w:val="18"/>
                <w:highlight w:val="none"/>
              </w:rPr>
              <w:t>、</w:t>
            </w:r>
            <w:r>
              <w:rPr>
                <w:rFonts w:hint="eastAsia" w:ascii="Arial" w:hAnsi="Arial" w:cs="Arial"/>
                <w:sz w:val="16"/>
                <w:szCs w:val="18"/>
                <w:highlight w:val="none"/>
              </w:rPr>
              <w:t>100</w:t>
            </w:r>
            <w:r>
              <w:rPr>
                <w:rFonts w:ascii="Arial" w:hAnsi="Arial" w:cs="Arial"/>
                <w:sz w:val="16"/>
                <w:szCs w:val="18"/>
                <w:highlight w:val="none"/>
              </w:rPr>
              <w:t>、10</w:t>
            </w:r>
            <w:r>
              <w:rPr>
                <w:rFonts w:hint="eastAsia" w:ascii="Arial" w:hAnsi="Arial" w:cs="Arial"/>
                <w:sz w:val="16"/>
                <w:szCs w:val="18"/>
                <w:highlight w:val="none"/>
                <w:lang w:val="en-US" w:eastAsia="zh-CN"/>
              </w:rPr>
              <w:t>5</w:t>
            </w:r>
            <w:r>
              <w:rPr>
                <w:rFonts w:ascii="Arial" w:hAnsi="Arial" w:cs="Arial"/>
                <w:sz w:val="16"/>
                <w:szCs w:val="18"/>
                <w:highlight w:val="none"/>
              </w:rPr>
              <w:t>；</w:t>
            </w:r>
          </w:p>
        </w:tc>
      </w:tr>
      <w:tr w14:paraId="2D294854">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674FF7BE">
            <w:pPr>
              <w:snapToGrid w:val="0"/>
              <w:spacing w:line="240" w:lineRule="exact"/>
              <w:jc w:val="both"/>
              <w:rPr>
                <w:rFonts w:ascii="宋体" w:hAnsi="宋体" w:cs="Arial"/>
                <w:sz w:val="16"/>
                <w:szCs w:val="18"/>
                <w:highlight w:val="none"/>
              </w:rPr>
            </w:pPr>
          </w:p>
        </w:tc>
        <w:tc>
          <w:tcPr>
            <w:tcW w:w="535" w:type="pct"/>
            <w:tcBorders>
              <w:top w:val="nil"/>
              <w:left w:val="nil"/>
              <w:bottom w:val="single" w:color="auto" w:sz="4" w:space="0"/>
              <w:right w:val="single" w:color="auto" w:sz="4" w:space="0"/>
            </w:tcBorders>
            <w:vAlign w:val="center"/>
          </w:tcPr>
          <w:p w14:paraId="1E9463F8">
            <w:pPr>
              <w:widowControl/>
              <w:adjustRightInd/>
              <w:spacing w:line="240" w:lineRule="auto"/>
              <w:jc w:val="center"/>
              <w:textAlignment w:val="auto"/>
              <w:rPr>
                <w:rFonts w:ascii="宋体" w:hAnsi="宋体" w:cs="Arial"/>
                <w:sz w:val="16"/>
                <w:szCs w:val="18"/>
                <w:highlight w:val="none"/>
              </w:rPr>
            </w:pPr>
            <w:r>
              <w:rPr>
                <w:rFonts w:ascii="宋体" w:hAnsi="宋体" w:cs="Arial"/>
                <w:sz w:val="16"/>
                <w:szCs w:val="18"/>
                <w:highlight w:val="none"/>
              </w:rPr>
              <w:t>楼层</w:t>
            </w:r>
          </w:p>
        </w:tc>
        <w:tc>
          <w:tcPr>
            <w:tcW w:w="531" w:type="pct"/>
            <w:tcBorders>
              <w:top w:val="nil"/>
              <w:left w:val="nil"/>
              <w:bottom w:val="single" w:color="auto" w:sz="4" w:space="0"/>
              <w:right w:val="single" w:color="auto" w:sz="4" w:space="0"/>
            </w:tcBorders>
            <w:noWrap/>
            <w:vAlign w:val="center"/>
          </w:tcPr>
          <w:p w14:paraId="273B5F06">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29A084DD">
            <w:pPr>
              <w:snapToGrid w:val="0"/>
              <w:spacing w:line="240" w:lineRule="exact"/>
              <w:jc w:val="both"/>
              <w:rPr>
                <w:rFonts w:hint="default" w:ascii="Arial" w:hAnsi="Arial" w:eastAsia="宋体" w:cs="Arial"/>
                <w:sz w:val="16"/>
                <w:szCs w:val="18"/>
                <w:highlight w:val="none"/>
                <w:lang w:val="en-US" w:eastAsia="zh-CN"/>
              </w:rPr>
            </w:pPr>
            <w:r>
              <w:rPr>
                <w:rFonts w:hint="eastAsia" w:ascii="Arial" w:hAnsi="Arial" w:cs="Arial"/>
                <w:sz w:val="16"/>
                <w:szCs w:val="18"/>
                <w:highlight w:val="none"/>
                <w:lang w:val="en-US" w:eastAsia="zh-CN"/>
              </w:rPr>
              <w:t>99</w:t>
            </w:r>
          </w:p>
        </w:tc>
        <w:tc>
          <w:tcPr>
            <w:tcW w:w="531" w:type="pct"/>
            <w:tcBorders>
              <w:top w:val="nil"/>
              <w:left w:val="nil"/>
              <w:bottom w:val="single" w:color="auto" w:sz="4" w:space="0"/>
              <w:right w:val="single" w:color="auto" w:sz="4" w:space="0"/>
            </w:tcBorders>
            <w:noWrap/>
            <w:vAlign w:val="center"/>
          </w:tcPr>
          <w:p w14:paraId="7980E7B2">
            <w:pPr>
              <w:snapToGrid w:val="0"/>
              <w:spacing w:line="240" w:lineRule="exact"/>
              <w:jc w:val="both"/>
              <w:rPr>
                <w:rFonts w:hint="default" w:ascii="Arial" w:hAnsi="Arial" w:eastAsia="宋体" w:cs="Arial"/>
                <w:sz w:val="16"/>
                <w:szCs w:val="18"/>
                <w:highlight w:val="none"/>
                <w:lang w:val="en-US" w:eastAsia="zh-CN"/>
              </w:rPr>
            </w:pPr>
            <w:r>
              <w:rPr>
                <w:rFonts w:hint="eastAsia" w:ascii="Arial" w:hAnsi="Arial" w:cs="Arial"/>
                <w:sz w:val="16"/>
                <w:szCs w:val="18"/>
                <w:highlight w:val="none"/>
                <w:lang w:val="en-US" w:eastAsia="zh-CN"/>
              </w:rPr>
              <w:t>101</w:t>
            </w:r>
          </w:p>
        </w:tc>
        <w:tc>
          <w:tcPr>
            <w:tcW w:w="531" w:type="pct"/>
            <w:tcBorders>
              <w:top w:val="nil"/>
              <w:left w:val="nil"/>
              <w:bottom w:val="single" w:color="auto" w:sz="4" w:space="0"/>
              <w:right w:val="single" w:color="auto" w:sz="4" w:space="0"/>
            </w:tcBorders>
            <w:noWrap/>
            <w:vAlign w:val="center"/>
          </w:tcPr>
          <w:p w14:paraId="4893470D">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2032" w:type="pct"/>
            <w:tcBorders>
              <w:top w:val="nil"/>
              <w:left w:val="nil"/>
              <w:bottom w:val="single" w:color="auto" w:sz="4" w:space="0"/>
              <w:right w:val="single" w:color="auto" w:sz="4" w:space="0"/>
            </w:tcBorders>
            <w:vAlign w:val="center"/>
          </w:tcPr>
          <w:p w14:paraId="799AB69A">
            <w:pPr>
              <w:snapToGrid w:val="0"/>
              <w:spacing w:line="240" w:lineRule="exact"/>
              <w:jc w:val="both"/>
              <w:rPr>
                <w:rFonts w:ascii="Arial" w:hAnsi="Arial" w:cs="Arial"/>
                <w:sz w:val="16"/>
                <w:szCs w:val="18"/>
                <w:highlight w:val="none"/>
              </w:rPr>
            </w:pPr>
            <w:r>
              <w:rPr>
                <w:rFonts w:ascii="Arial" w:hAnsi="Arial" w:cs="Arial"/>
                <w:sz w:val="16"/>
                <w:szCs w:val="18"/>
                <w:highlight w:val="none"/>
              </w:rPr>
              <w:t>分为高楼层、中楼层、低楼层两个等级，以估价对象指数为 100，每相差一个等级，每级相差</w:t>
            </w:r>
            <w:r>
              <w:rPr>
                <w:rFonts w:hint="eastAsia" w:ascii="Arial" w:hAnsi="Arial" w:cs="Arial"/>
                <w:sz w:val="16"/>
                <w:szCs w:val="18"/>
                <w:highlight w:val="none"/>
                <w:lang w:val="en-US" w:eastAsia="zh-CN"/>
              </w:rPr>
              <w:t>1</w:t>
            </w:r>
            <w:r>
              <w:rPr>
                <w:rFonts w:ascii="Arial" w:hAnsi="Arial" w:cs="Arial"/>
                <w:sz w:val="16"/>
                <w:szCs w:val="18"/>
                <w:highlight w:val="none"/>
              </w:rPr>
              <w:t>分，确定可比实例1、2、3该因素指数分别为</w:t>
            </w:r>
            <w:r>
              <w:rPr>
                <w:rFonts w:hint="eastAsia" w:ascii="Arial" w:hAnsi="Arial" w:cs="Arial"/>
                <w:sz w:val="16"/>
                <w:szCs w:val="18"/>
                <w:highlight w:val="none"/>
                <w:lang w:val="en-US" w:eastAsia="zh-CN"/>
              </w:rPr>
              <w:t>99</w:t>
            </w:r>
            <w:r>
              <w:rPr>
                <w:rFonts w:ascii="Arial" w:hAnsi="Arial" w:cs="Arial"/>
                <w:sz w:val="16"/>
                <w:szCs w:val="18"/>
                <w:highlight w:val="none"/>
              </w:rPr>
              <w:t>、</w:t>
            </w:r>
            <w:r>
              <w:rPr>
                <w:rFonts w:hint="eastAsia" w:ascii="Arial" w:hAnsi="Arial" w:cs="Arial"/>
                <w:sz w:val="16"/>
                <w:szCs w:val="18"/>
                <w:highlight w:val="none"/>
                <w:lang w:val="en-US" w:eastAsia="zh-CN"/>
              </w:rPr>
              <w:t>101</w:t>
            </w:r>
            <w:r>
              <w:rPr>
                <w:rFonts w:ascii="Arial" w:hAnsi="Arial" w:cs="Arial"/>
                <w:sz w:val="16"/>
                <w:szCs w:val="18"/>
                <w:highlight w:val="none"/>
              </w:rPr>
              <w:t>、100；</w:t>
            </w:r>
          </w:p>
        </w:tc>
      </w:tr>
      <w:tr w14:paraId="67BA4044">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0EBBF833">
            <w:pPr>
              <w:snapToGrid w:val="0"/>
              <w:spacing w:line="240" w:lineRule="exact"/>
              <w:jc w:val="both"/>
              <w:rPr>
                <w:rFonts w:ascii="宋体" w:hAnsi="宋体" w:cs="Arial"/>
                <w:sz w:val="16"/>
                <w:szCs w:val="18"/>
                <w:highlight w:val="none"/>
              </w:rPr>
            </w:pPr>
          </w:p>
        </w:tc>
        <w:tc>
          <w:tcPr>
            <w:tcW w:w="535" w:type="pct"/>
            <w:tcBorders>
              <w:top w:val="nil"/>
              <w:left w:val="nil"/>
              <w:bottom w:val="single" w:color="auto" w:sz="4" w:space="0"/>
              <w:right w:val="single" w:color="auto" w:sz="4" w:space="0"/>
            </w:tcBorders>
            <w:vAlign w:val="center"/>
          </w:tcPr>
          <w:p w14:paraId="5BB7BE55">
            <w:pPr>
              <w:widowControl/>
              <w:adjustRightInd/>
              <w:spacing w:line="240" w:lineRule="auto"/>
              <w:jc w:val="center"/>
              <w:textAlignment w:val="auto"/>
              <w:rPr>
                <w:rFonts w:ascii="宋体" w:hAnsi="宋体" w:cs="Arial"/>
                <w:sz w:val="16"/>
                <w:szCs w:val="18"/>
                <w:highlight w:val="none"/>
              </w:rPr>
            </w:pPr>
            <w:r>
              <w:rPr>
                <w:rFonts w:ascii="宋体" w:hAnsi="宋体" w:cs="Arial"/>
                <w:sz w:val="16"/>
                <w:szCs w:val="18"/>
                <w:highlight w:val="none"/>
              </w:rPr>
              <w:t>朝向</w:t>
            </w:r>
          </w:p>
        </w:tc>
        <w:tc>
          <w:tcPr>
            <w:tcW w:w="531" w:type="pct"/>
            <w:tcBorders>
              <w:top w:val="nil"/>
              <w:left w:val="nil"/>
              <w:bottom w:val="single" w:color="auto" w:sz="4" w:space="0"/>
              <w:right w:val="single" w:color="auto" w:sz="4" w:space="0"/>
            </w:tcBorders>
            <w:noWrap/>
            <w:vAlign w:val="center"/>
          </w:tcPr>
          <w:p w14:paraId="0DADF9B8">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16C8D572">
            <w:pPr>
              <w:snapToGrid w:val="0"/>
              <w:spacing w:line="240" w:lineRule="exact"/>
              <w:jc w:val="both"/>
              <w:rPr>
                <w:rFonts w:hint="default" w:ascii="Arial" w:hAnsi="Arial" w:eastAsia="宋体" w:cs="Arial"/>
                <w:sz w:val="16"/>
                <w:szCs w:val="18"/>
                <w:highlight w:val="none"/>
                <w:lang w:val="en-US" w:eastAsia="zh-CN"/>
              </w:rPr>
            </w:pPr>
            <w:r>
              <w:rPr>
                <w:rFonts w:hint="eastAsia" w:ascii="Arial" w:hAnsi="Arial" w:cs="Arial"/>
                <w:sz w:val="16"/>
                <w:szCs w:val="18"/>
                <w:highlight w:val="none"/>
                <w:lang w:val="en-US" w:eastAsia="zh-CN"/>
              </w:rPr>
              <w:t>99</w:t>
            </w:r>
          </w:p>
        </w:tc>
        <w:tc>
          <w:tcPr>
            <w:tcW w:w="531" w:type="pct"/>
            <w:tcBorders>
              <w:top w:val="nil"/>
              <w:left w:val="nil"/>
              <w:bottom w:val="single" w:color="auto" w:sz="4" w:space="0"/>
              <w:right w:val="single" w:color="auto" w:sz="4" w:space="0"/>
            </w:tcBorders>
            <w:noWrap/>
            <w:vAlign w:val="center"/>
          </w:tcPr>
          <w:p w14:paraId="789021C6">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6E31D5EE">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2032" w:type="pct"/>
            <w:tcBorders>
              <w:top w:val="nil"/>
              <w:left w:val="nil"/>
              <w:bottom w:val="single" w:color="auto" w:sz="4" w:space="0"/>
              <w:right w:val="single" w:color="auto" w:sz="4" w:space="0"/>
            </w:tcBorders>
            <w:vAlign w:val="center"/>
          </w:tcPr>
          <w:p w14:paraId="10DDEAFF">
            <w:pPr>
              <w:snapToGrid w:val="0"/>
              <w:spacing w:line="240" w:lineRule="exact"/>
              <w:jc w:val="both"/>
              <w:rPr>
                <w:rFonts w:ascii="Arial" w:hAnsi="Arial" w:cs="Arial"/>
                <w:sz w:val="16"/>
                <w:szCs w:val="18"/>
                <w:highlight w:val="none"/>
              </w:rPr>
            </w:pPr>
            <w:r>
              <w:rPr>
                <w:rFonts w:ascii="Arial" w:hAnsi="Arial" w:cs="Arial"/>
                <w:sz w:val="16"/>
                <w:szCs w:val="18"/>
                <w:highlight w:val="none"/>
              </w:rPr>
              <w:t>从优到劣依次为：为南北向；南向；东、南；西、南；东、西；东；西；东、北；西、北；北。每档相差</w:t>
            </w:r>
            <w:r>
              <w:rPr>
                <w:rFonts w:hint="eastAsia" w:ascii="Arial" w:hAnsi="Arial" w:cs="Arial"/>
                <w:sz w:val="16"/>
                <w:szCs w:val="18"/>
                <w:highlight w:val="none"/>
                <w:lang w:val="en-US" w:eastAsia="zh-CN"/>
              </w:rPr>
              <w:t>1</w:t>
            </w:r>
            <w:r>
              <w:rPr>
                <w:rFonts w:ascii="Arial" w:hAnsi="Arial" w:cs="Arial"/>
                <w:sz w:val="16"/>
                <w:szCs w:val="18"/>
                <w:highlight w:val="none"/>
              </w:rPr>
              <w:t>分，确定可比实例1、2、3该因素指数分别为</w:t>
            </w:r>
            <w:r>
              <w:rPr>
                <w:rFonts w:hint="eastAsia" w:ascii="Arial" w:hAnsi="Arial" w:cs="Arial"/>
                <w:sz w:val="16"/>
                <w:szCs w:val="18"/>
                <w:highlight w:val="none"/>
                <w:lang w:val="en-US" w:eastAsia="zh-CN"/>
              </w:rPr>
              <w:t>99</w:t>
            </w:r>
            <w:r>
              <w:rPr>
                <w:rFonts w:hint="eastAsia" w:ascii="Arial" w:hAnsi="Arial" w:cs="Arial"/>
                <w:sz w:val="16"/>
                <w:szCs w:val="18"/>
                <w:highlight w:val="none"/>
              </w:rPr>
              <w:t>、</w:t>
            </w:r>
            <w:r>
              <w:rPr>
                <w:rFonts w:hint="eastAsia" w:ascii="Arial" w:hAnsi="Arial" w:cs="Arial"/>
                <w:sz w:val="16"/>
                <w:szCs w:val="18"/>
                <w:highlight w:val="none"/>
                <w:lang w:val="en-US" w:eastAsia="zh-CN"/>
              </w:rPr>
              <w:t>100</w:t>
            </w:r>
            <w:r>
              <w:rPr>
                <w:rFonts w:hint="eastAsia" w:ascii="Arial" w:hAnsi="Arial" w:cs="Arial"/>
                <w:sz w:val="16"/>
                <w:szCs w:val="18"/>
                <w:highlight w:val="none"/>
              </w:rPr>
              <w:t>、</w:t>
            </w:r>
            <w:r>
              <w:rPr>
                <w:rFonts w:ascii="Arial" w:hAnsi="Arial" w:cs="Arial"/>
                <w:sz w:val="16"/>
                <w:szCs w:val="18"/>
                <w:highlight w:val="none"/>
              </w:rPr>
              <w:t>1</w:t>
            </w:r>
            <w:r>
              <w:rPr>
                <w:rFonts w:hint="eastAsia" w:ascii="Arial" w:hAnsi="Arial" w:cs="Arial"/>
                <w:sz w:val="16"/>
                <w:szCs w:val="18"/>
                <w:highlight w:val="none"/>
                <w:lang w:val="en-US" w:eastAsia="zh-CN"/>
              </w:rPr>
              <w:t>00</w:t>
            </w:r>
            <w:r>
              <w:rPr>
                <w:rFonts w:ascii="Arial" w:hAnsi="Arial" w:cs="Arial"/>
                <w:sz w:val="16"/>
                <w:szCs w:val="18"/>
                <w:highlight w:val="none"/>
              </w:rPr>
              <w:t>；</w:t>
            </w:r>
          </w:p>
        </w:tc>
      </w:tr>
      <w:tr w14:paraId="4D34DCE4">
        <w:tblPrEx>
          <w:tblCellMar>
            <w:top w:w="57" w:type="dxa"/>
            <w:left w:w="57" w:type="dxa"/>
            <w:bottom w:w="57" w:type="dxa"/>
            <w:right w:w="57" w:type="dxa"/>
          </w:tblCellMar>
        </w:tblPrEx>
        <w:trPr>
          <w:trHeight w:val="20" w:hRule="atLeast"/>
          <w:jc w:val="center"/>
        </w:trPr>
        <w:tc>
          <w:tcPr>
            <w:tcW w:w="305" w:type="pct"/>
            <w:vMerge w:val="restart"/>
            <w:tcBorders>
              <w:top w:val="single" w:color="auto" w:sz="4" w:space="0"/>
              <w:left w:val="single" w:color="auto" w:sz="4" w:space="0"/>
              <w:bottom w:val="single" w:color="auto" w:sz="4" w:space="0"/>
              <w:right w:val="single" w:color="auto" w:sz="4" w:space="0"/>
            </w:tcBorders>
            <w:noWrap/>
            <w:vAlign w:val="center"/>
          </w:tcPr>
          <w:p w14:paraId="50E1FFAB">
            <w:pPr>
              <w:snapToGrid w:val="0"/>
              <w:spacing w:line="240" w:lineRule="exact"/>
              <w:jc w:val="both"/>
              <w:rPr>
                <w:rFonts w:ascii="宋体" w:hAnsi="宋体" w:cs="Arial"/>
                <w:sz w:val="16"/>
                <w:szCs w:val="18"/>
                <w:highlight w:val="none"/>
              </w:rPr>
            </w:pPr>
            <w:r>
              <w:rPr>
                <w:rFonts w:ascii="宋体" w:hAnsi="宋体" w:cs="Arial"/>
                <w:sz w:val="16"/>
                <w:szCs w:val="18"/>
                <w:highlight w:val="none"/>
              </w:rPr>
              <w:t>实物</w:t>
            </w:r>
          </w:p>
          <w:p w14:paraId="442AFEF6">
            <w:pPr>
              <w:snapToGrid w:val="0"/>
              <w:spacing w:line="240" w:lineRule="exact"/>
              <w:jc w:val="both"/>
              <w:rPr>
                <w:rFonts w:ascii="宋体" w:hAnsi="宋体" w:cs="Arial"/>
                <w:sz w:val="16"/>
                <w:szCs w:val="18"/>
                <w:highlight w:val="none"/>
              </w:rPr>
            </w:pPr>
            <w:r>
              <w:rPr>
                <w:rFonts w:ascii="宋体" w:hAnsi="宋体" w:cs="Arial"/>
                <w:sz w:val="16"/>
                <w:szCs w:val="18"/>
                <w:highlight w:val="none"/>
              </w:rPr>
              <w:t>状况</w:t>
            </w:r>
          </w:p>
        </w:tc>
        <w:tc>
          <w:tcPr>
            <w:tcW w:w="535" w:type="pct"/>
            <w:tcBorders>
              <w:top w:val="nil"/>
              <w:left w:val="nil"/>
              <w:bottom w:val="single" w:color="auto" w:sz="4" w:space="0"/>
              <w:right w:val="single" w:color="auto" w:sz="4" w:space="0"/>
            </w:tcBorders>
            <w:vAlign w:val="center"/>
          </w:tcPr>
          <w:p w14:paraId="585465B2">
            <w:pPr>
              <w:widowControl/>
              <w:adjustRightInd/>
              <w:spacing w:line="240" w:lineRule="auto"/>
              <w:jc w:val="center"/>
              <w:textAlignment w:val="auto"/>
              <w:rPr>
                <w:rFonts w:ascii="宋体" w:hAnsi="宋体" w:cs="Arial"/>
                <w:sz w:val="16"/>
                <w:szCs w:val="18"/>
                <w:highlight w:val="none"/>
              </w:rPr>
            </w:pPr>
            <w:r>
              <w:rPr>
                <w:rFonts w:ascii="宋体" w:hAnsi="宋体" w:cs="Arial"/>
                <w:sz w:val="16"/>
                <w:szCs w:val="18"/>
                <w:highlight w:val="none"/>
              </w:rPr>
              <w:t>成新度</w:t>
            </w:r>
          </w:p>
        </w:tc>
        <w:tc>
          <w:tcPr>
            <w:tcW w:w="531" w:type="pct"/>
            <w:tcBorders>
              <w:top w:val="nil"/>
              <w:left w:val="nil"/>
              <w:bottom w:val="single" w:color="auto" w:sz="4" w:space="0"/>
              <w:right w:val="single" w:color="auto" w:sz="4" w:space="0"/>
            </w:tcBorders>
            <w:noWrap/>
            <w:vAlign w:val="center"/>
          </w:tcPr>
          <w:p w14:paraId="2BD6746A">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4C85447B">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77561978">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66A2621B">
            <w:pPr>
              <w:snapToGrid w:val="0"/>
              <w:spacing w:line="240" w:lineRule="exact"/>
              <w:jc w:val="both"/>
              <w:rPr>
                <w:rFonts w:hint="default" w:ascii="Arial" w:hAnsi="Arial" w:eastAsia="宋体" w:cs="Arial"/>
                <w:sz w:val="16"/>
                <w:szCs w:val="18"/>
                <w:highlight w:val="none"/>
                <w:lang w:val="en-US" w:eastAsia="zh-CN"/>
              </w:rPr>
            </w:pPr>
            <w:r>
              <w:rPr>
                <w:rFonts w:hint="eastAsia" w:ascii="Arial" w:hAnsi="Arial" w:cs="Arial"/>
                <w:sz w:val="16"/>
                <w:szCs w:val="18"/>
                <w:highlight w:val="none"/>
                <w:lang w:val="en-US" w:eastAsia="zh-CN"/>
              </w:rPr>
              <w:t>99</w:t>
            </w:r>
          </w:p>
        </w:tc>
        <w:tc>
          <w:tcPr>
            <w:tcW w:w="2032" w:type="pct"/>
            <w:tcBorders>
              <w:top w:val="nil"/>
              <w:left w:val="nil"/>
              <w:bottom w:val="single" w:color="auto" w:sz="4" w:space="0"/>
              <w:right w:val="single" w:color="auto" w:sz="4" w:space="0"/>
            </w:tcBorders>
            <w:vAlign w:val="center"/>
          </w:tcPr>
          <w:p w14:paraId="2846EFA5">
            <w:pPr>
              <w:snapToGrid w:val="0"/>
              <w:spacing w:line="240" w:lineRule="exact"/>
              <w:jc w:val="both"/>
              <w:rPr>
                <w:rFonts w:ascii="Arial" w:hAnsi="Arial" w:cs="Arial"/>
                <w:sz w:val="16"/>
                <w:szCs w:val="18"/>
                <w:highlight w:val="none"/>
              </w:rPr>
            </w:pPr>
            <w:r>
              <w:rPr>
                <w:rFonts w:ascii="Arial" w:hAnsi="Arial" w:cs="Arial"/>
                <w:sz w:val="16"/>
                <w:szCs w:val="18"/>
                <w:highlight w:val="none"/>
              </w:rPr>
              <w:t>根据90%（含）-100%、80%（含）-90%、70%（含）-80%、60%（含）-70%、60%以下分为五个等级，每级相差</w:t>
            </w:r>
            <w:r>
              <w:rPr>
                <w:rFonts w:hint="eastAsia" w:ascii="Arial" w:hAnsi="Arial" w:cs="Arial"/>
                <w:sz w:val="16"/>
                <w:szCs w:val="18"/>
                <w:highlight w:val="none"/>
                <w:lang w:val="en-US" w:eastAsia="zh-CN"/>
              </w:rPr>
              <w:t>1</w:t>
            </w:r>
            <w:r>
              <w:rPr>
                <w:rFonts w:ascii="Arial" w:hAnsi="Arial" w:cs="Arial"/>
                <w:sz w:val="16"/>
                <w:szCs w:val="18"/>
                <w:highlight w:val="none"/>
              </w:rPr>
              <w:t>分，确定可比实例1、2、3该因素指数分别为</w:t>
            </w:r>
            <w:r>
              <w:rPr>
                <w:rFonts w:hint="eastAsia" w:ascii="Arial" w:hAnsi="Arial" w:cs="Arial"/>
                <w:sz w:val="16"/>
                <w:szCs w:val="18"/>
                <w:highlight w:val="none"/>
                <w:lang w:val="en-US" w:eastAsia="zh-CN"/>
              </w:rPr>
              <w:t>100</w:t>
            </w:r>
            <w:r>
              <w:rPr>
                <w:rFonts w:hint="eastAsia" w:ascii="Arial" w:hAnsi="Arial" w:cs="Arial"/>
                <w:sz w:val="16"/>
                <w:szCs w:val="18"/>
                <w:highlight w:val="none"/>
              </w:rPr>
              <w:t>、</w:t>
            </w:r>
            <w:r>
              <w:rPr>
                <w:rFonts w:hint="eastAsia" w:ascii="Arial" w:hAnsi="Arial" w:cs="Arial"/>
                <w:sz w:val="16"/>
                <w:szCs w:val="18"/>
                <w:highlight w:val="none"/>
                <w:lang w:val="en-US" w:eastAsia="zh-CN"/>
              </w:rPr>
              <w:t>100</w:t>
            </w:r>
            <w:r>
              <w:rPr>
                <w:rFonts w:hint="eastAsia" w:ascii="Arial" w:hAnsi="Arial" w:cs="Arial"/>
                <w:sz w:val="16"/>
                <w:szCs w:val="18"/>
                <w:highlight w:val="none"/>
              </w:rPr>
              <w:t>、</w:t>
            </w:r>
            <w:r>
              <w:rPr>
                <w:rFonts w:hint="eastAsia" w:ascii="Arial" w:hAnsi="Arial" w:cs="Arial"/>
                <w:sz w:val="16"/>
                <w:szCs w:val="18"/>
                <w:highlight w:val="none"/>
                <w:lang w:val="en-US" w:eastAsia="zh-CN"/>
              </w:rPr>
              <w:t>99</w:t>
            </w:r>
            <w:r>
              <w:rPr>
                <w:rFonts w:ascii="Arial" w:hAnsi="Arial" w:cs="Arial"/>
                <w:sz w:val="16"/>
                <w:szCs w:val="18"/>
                <w:highlight w:val="none"/>
              </w:rPr>
              <w:t>；</w:t>
            </w:r>
          </w:p>
        </w:tc>
      </w:tr>
      <w:tr w14:paraId="3F45E1FC">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265C27E2">
            <w:pPr>
              <w:snapToGrid w:val="0"/>
              <w:spacing w:line="240" w:lineRule="exact"/>
              <w:jc w:val="both"/>
              <w:rPr>
                <w:rFonts w:ascii="宋体" w:hAnsi="宋体" w:cs="Arial"/>
                <w:sz w:val="16"/>
                <w:szCs w:val="18"/>
                <w:highlight w:val="none"/>
              </w:rPr>
            </w:pPr>
          </w:p>
        </w:tc>
        <w:tc>
          <w:tcPr>
            <w:tcW w:w="535" w:type="pct"/>
            <w:tcBorders>
              <w:top w:val="nil"/>
              <w:left w:val="nil"/>
              <w:bottom w:val="single" w:color="auto" w:sz="4" w:space="0"/>
              <w:right w:val="single" w:color="auto" w:sz="4" w:space="0"/>
            </w:tcBorders>
            <w:vAlign w:val="center"/>
          </w:tcPr>
          <w:p w14:paraId="23520FF1">
            <w:pPr>
              <w:widowControl/>
              <w:adjustRightInd/>
              <w:spacing w:line="240" w:lineRule="auto"/>
              <w:jc w:val="center"/>
              <w:textAlignment w:val="auto"/>
              <w:rPr>
                <w:rFonts w:ascii="宋体" w:hAnsi="宋体" w:cs="Arial"/>
                <w:sz w:val="16"/>
                <w:szCs w:val="18"/>
                <w:highlight w:val="none"/>
              </w:rPr>
            </w:pPr>
            <w:r>
              <w:rPr>
                <w:rFonts w:ascii="宋体" w:hAnsi="宋体" w:cs="Arial"/>
                <w:sz w:val="16"/>
                <w:szCs w:val="18"/>
                <w:highlight w:val="none"/>
              </w:rPr>
              <w:t>公共区域装修</w:t>
            </w:r>
          </w:p>
        </w:tc>
        <w:tc>
          <w:tcPr>
            <w:tcW w:w="531" w:type="pct"/>
            <w:tcBorders>
              <w:top w:val="nil"/>
              <w:left w:val="nil"/>
              <w:bottom w:val="single" w:color="auto" w:sz="4" w:space="0"/>
              <w:right w:val="single" w:color="auto" w:sz="4" w:space="0"/>
            </w:tcBorders>
            <w:noWrap/>
            <w:vAlign w:val="center"/>
          </w:tcPr>
          <w:p w14:paraId="25775B7E">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38CC5FA0">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41FC7F15">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28C4C256">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2032" w:type="pct"/>
            <w:tcBorders>
              <w:top w:val="nil"/>
              <w:left w:val="nil"/>
              <w:bottom w:val="single" w:color="auto" w:sz="4" w:space="0"/>
              <w:right w:val="single" w:color="auto" w:sz="4" w:space="0"/>
            </w:tcBorders>
            <w:vAlign w:val="center"/>
          </w:tcPr>
          <w:p w14:paraId="289556D7">
            <w:pPr>
              <w:snapToGrid w:val="0"/>
              <w:spacing w:line="240" w:lineRule="exact"/>
              <w:jc w:val="both"/>
              <w:rPr>
                <w:rFonts w:ascii="Arial" w:hAnsi="Arial" w:cs="Arial"/>
                <w:sz w:val="16"/>
                <w:szCs w:val="18"/>
                <w:highlight w:val="none"/>
              </w:rPr>
            </w:pPr>
            <w:r>
              <w:rPr>
                <w:rFonts w:ascii="Arial" w:hAnsi="Arial" w:cs="Arial"/>
                <w:sz w:val="16"/>
                <w:szCs w:val="18"/>
                <w:highlight w:val="none"/>
              </w:rPr>
              <w:t>分为精装修、普通装修、简单装修、毛坯等，以估价对象指数为 100，每级相差2分，确定可比实例1、2、3该因素指数分别为100、100、100；</w:t>
            </w:r>
          </w:p>
        </w:tc>
      </w:tr>
      <w:tr w14:paraId="0EBA65D4">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3B60B379">
            <w:pPr>
              <w:snapToGrid w:val="0"/>
              <w:spacing w:line="240" w:lineRule="exact"/>
              <w:jc w:val="both"/>
              <w:rPr>
                <w:rFonts w:ascii="宋体" w:hAnsi="宋体" w:cs="Arial"/>
                <w:sz w:val="16"/>
                <w:szCs w:val="18"/>
                <w:highlight w:val="none"/>
              </w:rPr>
            </w:pPr>
          </w:p>
        </w:tc>
        <w:tc>
          <w:tcPr>
            <w:tcW w:w="535" w:type="pct"/>
            <w:tcBorders>
              <w:top w:val="nil"/>
              <w:left w:val="nil"/>
              <w:bottom w:val="single" w:color="auto" w:sz="4" w:space="0"/>
              <w:right w:val="single" w:color="auto" w:sz="4" w:space="0"/>
            </w:tcBorders>
            <w:vAlign w:val="center"/>
          </w:tcPr>
          <w:p w14:paraId="2F592D6E">
            <w:pPr>
              <w:widowControl/>
              <w:adjustRightInd/>
              <w:spacing w:line="240" w:lineRule="auto"/>
              <w:jc w:val="center"/>
              <w:textAlignment w:val="auto"/>
              <w:rPr>
                <w:rFonts w:ascii="宋体" w:hAnsi="宋体" w:cs="Arial"/>
                <w:sz w:val="16"/>
                <w:szCs w:val="18"/>
                <w:highlight w:val="none"/>
              </w:rPr>
            </w:pPr>
            <w:r>
              <w:rPr>
                <w:rFonts w:ascii="宋体" w:hAnsi="宋体" w:cs="Arial"/>
                <w:sz w:val="16"/>
                <w:szCs w:val="18"/>
                <w:highlight w:val="none"/>
              </w:rPr>
              <w:t>室内装饰装修</w:t>
            </w:r>
          </w:p>
        </w:tc>
        <w:tc>
          <w:tcPr>
            <w:tcW w:w="531" w:type="pct"/>
            <w:tcBorders>
              <w:top w:val="nil"/>
              <w:left w:val="nil"/>
              <w:bottom w:val="single" w:color="auto" w:sz="4" w:space="0"/>
              <w:right w:val="single" w:color="auto" w:sz="4" w:space="0"/>
            </w:tcBorders>
            <w:noWrap/>
            <w:vAlign w:val="center"/>
          </w:tcPr>
          <w:p w14:paraId="513CAE82">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1BE72707">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04E4CCDE">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4B2E9B8B">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2032" w:type="pct"/>
            <w:tcBorders>
              <w:top w:val="nil"/>
              <w:left w:val="nil"/>
              <w:bottom w:val="single" w:color="auto" w:sz="4" w:space="0"/>
              <w:right w:val="single" w:color="auto" w:sz="4" w:space="0"/>
            </w:tcBorders>
            <w:vAlign w:val="center"/>
          </w:tcPr>
          <w:p w14:paraId="0B890BC2">
            <w:pPr>
              <w:snapToGrid w:val="0"/>
              <w:spacing w:line="240" w:lineRule="exact"/>
              <w:jc w:val="both"/>
              <w:rPr>
                <w:rFonts w:ascii="Arial" w:hAnsi="Arial" w:cs="Arial"/>
                <w:sz w:val="16"/>
                <w:szCs w:val="18"/>
                <w:highlight w:val="none"/>
              </w:rPr>
            </w:pPr>
            <w:r>
              <w:rPr>
                <w:rFonts w:ascii="Arial" w:hAnsi="Arial" w:cs="Arial"/>
                <w:sz w:val="16"/>
                <w:szCs w:val="18"/>
                <w:highlight w:val="none"/>
              </w:rPr>
              <w:t>分为精装修、普通装修、简单装修、毛坯等，以估价对象指数为 100，每级相差3分，确定可比实例1、2、3该因素指数分别为</w:t>
            </w:r>
            <w:r>
              <w:rPr>
                <w:rFonts w:hint="eastAsia" w:ascii="Arial" w:hAnsi="Arial" w:cs="Arial"/>
                <w:sz w:val="16"/>
                <w:szCs w:val="18"/>
                <w:highlight w:val="none"/>
              </w:rPr>
              <w:t>100、100、100</w:t>
            </w:r>
            <w:r>
              <w:rPr>
                <w:rFonts w:ascii="Arial" w:hAnsi="Arial" w:cs="Arial"/>
                <w:sz w:val="16"/>
                <w:szCs w:val="18"/>
                <w:highlight w:val="none"/>
              </w:rPr>
              <w:t>；</w:t>
            </w:r>
          </w:p>
        </w:tc>
      </w:tr>
      <w:tr w14:paraId="2421C785">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1385573A">
            <w:pPr>
              <w:snapToGrid w:val="0"/>
              <w:spacing w:line="240" w:lineRule="exact"/>
              <w:jc w:val="both"/>
              <w:rPr>
                <w:rFonts w:ascii="宋体" w:hAnsi="宋体" w:cs="Arial"/>
                <w:sz w:val="16"/>
                <w:szCs w:val="18"/>
                <w:highlight w:val="none"/>
              </w:rPr>
            </w:pPr>
          </w:p>
        </w:tc>
        <w:tc>
          <w:tcPr>
            <w:tcW w:w="535" w:type="pct"/>
            <w:tcBorders>
              <w:top w:val="nil"/>
              <w:left w:val="nil"/>
              <w:bottom w:val="single" w:color="auto" w:sz="4" w:space="0"/>
              <w:right w:val="single" w:color="auto" w:sz="4" w:space="0"/>
            </w:tcBorders>
            <w:vAlign w:val="center"/>
          </w:tcPr>
          <w:p w14:paraId="518EBE9A">
            <w:pPr>
              <w:widowControl/>
              <w:adjustRightInd/>
              <w:spacing w:line="240" w:lineRule="auto"/>
              <w:jc w:val="center"/>
              <w:textAlignment w:val="auto"/>
              <w:rPr>
                <w:rFonts w:ascii="宋体" w:hAnsi="宋体" w:cs="Arial"/>
                <w:sz w:val="16"/>
                <w:szCs w:val="18"/>
                <w:highlight w:val="none"/>
              </w:rPr>
            </w:pPr>
            <w:r>
              <w:rPr>
                <w:rFonts w:ascii="宋体" w:hAnsi="宋体" w:cs="Arial"/>
                <w:sz w:val="16"/>
                <w:szCs w:val="18"/>
                <w:highlight w:val="none"/>
              </w:rPr>
              <w:t>设施设备</w:t>
            </w:r>
          </w:p>
        </w:tc>
        <w:tc>
          <w:tcPr>
            <w:tcW w:w="531" w:type="pct"/>
            <w:tcBorders>
              <w:top w:val="nil"/>
              <w:left w:val="nil"/>
              <w:bottom w:val="single" w:color="auto" w:sz="4" w:space="0"/>
              <w:right w:val="single" w:color="auto" w:sz="4" w:space="0"/>
            </w:tcBorders>
            <w:noWrap/>
            <w:vAlign w:val="center"/>
          </w:tcPr>
          <w:p w14:paraId="287CCDED">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77AC3F56">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4B6E3F0B">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28A0E2AD">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2032" w:type="pct"/>
            <w:tcBorders>
              <w:top w:val="nil"/>
              <w:left w:val="nil"/>
              <w:bottom w:val="single" w:color="auto" w:sz="4" w:space="0"/>
              <w:right w:val="single" w:color="auto" w:sz="4" w:space="0"/>
            </w:tcBorders>
            <w:vAlign w:val="center"/>
          </w:tcPr>
          <w:p w14:paraId="13D5E6BF">
            <w:pPr>
              <w:snapToGrid w:val="0"/>
              <w:spacing w:line="240" w:lineRule="exact"/>
              <w:jc w:val="both"/>
              <w:rPr>
                <w:rFonts w:ascii="Arial" w:hAnsi="Arial" w:cs="Arial"/>
                <w:sz w:val="16"/>
                <w:szCs w:val="18"/>
                <w:highlight w:val="none"/>
              </w:rPr>
            </w:pPr>
            <w:r>
              <w:rPr>
                <w:rFonts w:ascii="Arial" w:hAnsi="Arial" w:cs="Arial"/>
                <w:sz w:val="16"/>
                <w:szCs w:val="18"/>
                <w:highlight w:val="none"/>
              </w:rPr>
              <w:t>根据实际配备情况，分为完善、较完善、一般、较不完善、不完善五个等级，每级相差</w:t>
            </w:r>
            <w:r>
              <w:rPr>
                <w:rFonts w:hint="eastAsia" w:ascii="Arial" w:hAnsi="Arial" w:cs="Arial"/>
                <w:sz w:val="16"/>
                <w:szCs w:val="18"/>
                <w:highlight w:val="none"/>
              </w:rPr>
              <w:t>3</w:t>
            </w:r>
            <w:r>
              <w:rPr>
                <w:rFonts w:ascii="Arial" w:hAnsi="Arial" w:cs="Arial"/>
                <w:sz w:val="16"/>
                <w:szCs w:val="18"/>
                <w:highlight w:val="none"/>
              </w:rPr>
              <w:t>分，确定可比实例1、2、3该因素指数分别为</w:t>
            </w:r>
            <w:r>
              <w:rPr>
                <w:rFonts w:hint="eastAsia" w:ascii="Arial" w:hAnsi="Arial" w:cs="Arial"/>
                <w:sz w:val="16"/>
                <w:szCs w:val="18"/>
                <w:highlight w:val="none"/>
              </w:rPr>
              <w:t>10</w:t>
            </w:r>
            <w:r>
              <w:rPr>
                <w:rFonts w:hint="eastAsia" w:ascii="Arial" w:hAnsi="Arial" w:cs="Arial"/>
                <w:sz w:val="16"/>
                <w:szCs w:val="18"/>
                <w:highlight w:val="none"/>
                <w:lang w:val="en-US" w:eastAsia="zh-CN"/>
              </w:rPr>
              <w:t>0</w:t>
            </w:r>
            <w:r>
              <w:rPr>
                <w:rFonts w:hint="eastAsia" w:ascii="Arial" w:hAnsi="Arial" w:cs="Arial"/>
                <w:sz w:val="16"/>
                <w:szCs w:val="18"/>
                <w:highlight w:val="none"/>
              </w:rPr>
              <w:t>、100、100</w:t>
            </w:r>
            <w:r>
              <w:rPr>
                <w:rFonts w:ascii="Arial" w:hAnsi="Arial" w:cs="Arial"/>
                <w:sz w:val="16"/>
                <w:szCs w:val="18"/>
                <w:highlight w:val="none"/>
              </w:rPr>
              <w:t>；</w:t>
            </w:r>
          </w:p>
        </w:tc>
      </w:tr>
      <w:tr w14:paraId="1FE2A5A7">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7CC722D9">
            <w:pPr>
              <w:snapToGrid w:val="0"/>
              <w:spacing w:line="240" w:lineRule="exact"/>
              <w:jc w:val="both"/>
              <w:rPr>
                <w:rFonts w:ascii="宋体" w:hAnsi="宋体" w:cs="Arial"/>
                <w:sz w:val="16"/>
                <w:szCs w:val="18"/>
                <w:highlight w:val="none"/>
              </w:rPr>
            </w:pPr>
          </w:p>
        </w:tc>
        <w:tc>
          <w:tcPr>
            <w:tcW w:w="535" w:type="pct"/>
            <w:tcBorders>
              <w:top w:val="nil"/>
              <w:left w:val="nil"/>
              <w:bottom w:val="single" w:color="auto" w:sz="4" w:space="0"/>
              <w:right w:val="single" w:color="auto" w:sz="4" w:space="0"/>
            </w:tcBorders>
            <w:vAlign w:val="center"/>
          </w:tcPr>
          <w:p w14:paraId="5A60381D">
            <w:pPr>
              <w:widowControl/>
              <w:adjustRightInd/>
              <w:spacing w:line="240" w:lineRule="auto"/>
              <w:jc w:val="center"/>
              <w:textAlignment w:val="auto"/>
              <w:rPr>
                <w:rFonts w:ascii="宋体" w:hAnsi="宋体" w:cs="Arial"/>
                <w:sz w:val="16"/>
                <w:szCs w:val="18"/>
                <w:highlight w:val="none"/>
              </w:rPr>
            </w:pPr>
            <w:r>
              <w:rPr>
                <w:rFonts w:ascii="宋体" w:hAnsi="宋体" w:cs="Arial"/>
                <w:sz w:val="16"/>
                <w:szCs w:val="18"/>
                <w:highlight w:val="none"/>
              </w:rPr>
              <w:t>综合管理服务设施</w:t>
            </w:r>
          </w:p>
        </w:tc>
        <w:tc>
          <w:tcPr>
            <w:tcW w:w="531" w:type="pct"/>
            <w:tcBorders>
              <w:top w:val="nil"/>
              <w:left w:val="nil"/>
              <w:bottom w:val="single" w:color="auto" w:sz="4" w:space="0"/>
              <w:right w:val="single" w:color="auto" w:sz="4" w:space="0"/>
            </w:tcBorders>
            <w:noWrap/>
            <w:vAlign w:val="center"/>
          </w:tcPr>
          <w:p w14:paraId="2AC30A62">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2DE59516">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3CC3C407">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4B0EF418">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2032" w:type="pct"/>
            <w:tcBorders>
              <w:top w:val="nil"/>
              <w:left w:val="nil"/>
              <w:bottom w:val="single" w:color="auto" w:sz="4" w:space="0"/>
              <w:right w:val="single" w:color="auto" w:sz="4" w:space="0"/>
            </w:tcBorders>
            <w:vAlign w:val="center"/>
          </w:tcPr>
          <w:p w14:paraId="1DBDE14C">
            <w:pPr>
              <w:snapToGrid w:val="0"/>
              <w:spacing w:line="240" w:lineRule="exact"/>
              <w:jc w:val="both"/>
              <w:rPr>
                <w:rFonts w:ascii="Arial" w:hAnsi="Arial" w:cs="Arial"/>
                <w:sz w:val="16"/>
                <w:szCs w:val="18"/>
                <w:highlight w:val="none"/>
              </w:rPr>
            </w:pPr>
            <w:r>
              <w:rPr>
                <w:rFonts w:ascii="Arial" w:hAnsi="Arial" w:cs="Arial"/>
                <w:sz w:val="16"/>
                <w:szCs w:val="18"/>
                <w:highlight w:val="none"/>
              </w:rPr>
              <w:t>根据实际管理服务，确定可比实例1、2、3该因素指数分别为100、100、100；</w:t>
            </w:r>
          </w:p>
        </w:tc>
      </w:tr>
      <w:tr w14:paraId="4250B6F6">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07C8A012">
            <w:pPr>
              <w:snapToGrid w:val="0"/>
              <w:spacing w:line="240" w:lineRule="exact"/>
              <w:jc w:val="both"/>
              <w:rPr>
                <w:rFonts w:ascii="宋体" w:hAnsi="宋体" w:cs="Arial"/>
                <w:sz w:val="16"/>
                <w:szCs w:val="18"/>
                <w:highlight w:val="none"/>
              </w:rPr>
            </w:pPr>
          </w:p>
        </w:tc>
        <w:tc>
          <w:tcPr>
            <w:tcW w:w="535" w:type="pct"/>
            <w:tcBorders>
              <w:top w:val="nil"/>
              <w:left w:val="nil"/>
              <w:bottom w:val="single" w:color="auto" w:sz="4" w:space="0"/>
              <w:right w:val="single" w:color="auto" w:sz="4" w:space="0"/>
            </w:tcBorders>
            <w:vAlign w:val="center"/>
          </w:tcPr>
          <w:p w14:paraId="50ACEDE3">
            <w:pPr>
              <w:widowControl/>
              <w:adjustRightInd/>
              <w:spacing w:line="240" w:lineRule="auto"/>
              <w:jc w:val="center"/>
              <w:textAlignment w:val="auto"/>
              <w:rPr>
                <w:rFonts w:ascii="宋体" w:hAnsi="宋体" w:cs="Arial"/>
                <w:sz w:val="16"/>
                <w:szCs w:val="18"/>
                <w:highlight w:val="none"/>
              </w:rPr>
            </w:pPr>
            <w:r>
              <w:rPr>
                <w:rFonts w:ascii="宋体" w:hAnsi="宋体" w:cs="Arial"/>
                <w:sz w:val="16"/>
                <w:szCs w:val="18"/>
                <w:highlight w:val="none"/>
              </w:rPr>
              <w:t>户型布局</w:t>
            </w:r>
          </w:p>
        </w:tc>
        <w:tc>
          <w:tcPr>
            <w:tcW w:w="531" w:type="pct"/>
            <w:tcBorders>
              <w:top w:val="nil"/>
              <w:left w:val="nil"/>
              <w:bottom w:val="single" w:color="auto" w:sz="4" w:space="0"/>
              <w:right w:val="single" w:color="auto" w:sz="4" w:space="0"/>
            </w:tcBorders>
            <w:noWrap/>
            <w:vAlign w:val="center"/>
          </w:tcPr>
          <w:p w14:paraId="3A7995BF">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988" w:type="dxa"/>
            <w:tcBorders>
              <w:top w:val="nil"/>
              <w:left w:val="nil"/>
              <w:bottom w:val="single" w:color="auto" w:sz="4" w:space="0"/>
              <w:right w:val="single" w:color="auto" w:sz="4" w:space="0"/>
            </w:tcBorders>
            <w:noWrap/>
            <w:vAlign w:val="center"/>
          </w:tcPr>
          <w:p w14:paraId="2EBD249E">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988" w:type="dxa"/>
            <w:tcBorders>
              <w:top w:val="nil"/>
              <w:left w:val="nil"/>
              <w:bottom w:val="single" w:color="auto" w:sz="4" w:space="0"/>
              <w:right w:val="single" w:color="auto" w:sz="4" w:space="0"/>
            </w:tcBorders>
            <w:noWrap/>
            <w:vAlign w:val="center"/>
          </w:tcPr>
          <w:p w14:paraId="6BFFCA15">
            <w:pPr>
              <w:snapToGrid w:val="0"/>
              <w:spacing w:line="240" w:lineRule="exact"/>
              <w:jc w:val="both"/>
              <w:rPr>
                <w:rFonts w:hint="default" w:ascii="Arial" w:hAnsi="Arial" w:eastAsia="宋体" w:cs="Arial"/>
                <w:sz w:val="16"/>
                <w:szCs w:val="18"/>
                <w:highlight w:val="none"/>
                <w:lang w:val="en-US" w:eastAsia="zh-CN"/>
              </w:rPr>
            </w:pPr>
            <w:r>
              <w:rPr>
                <w:rFonts w:ascii="Arial" w:hAnsi="Arial" w:cs="Arial"/>
                <w:sz w:val="16"/>
                <w:szCs w:val="18"/>
                <w:highlight w:val="none"/>
              </w:rPr>
              <w:t>100</w:t>
            </w:r>
          </w:p>
        </w:tc>
        <w:tc>
          <w:tcPr>
            <w:tcW w:w="988" w:type="dxa"/>
            <w:tcBorders>
              <w:top w:val="nil"/>
              <w:left w:val="nil"/>
              <w:bottom w:val="single" w:color="auto" w:sz="4" w:space="0"/>
              <w:right w:val="single" w:color="auto" w:sz="4" w:space="0"/>
            </w:tcBorders>
            <w:noWrap/>
            <w:vAlign w:val="center"/>
          </w:tcPr>
          <w:p w14:paraId="3BA44C71">
            <w:pPr>
              <w:snapToGrid w:val="0"/>
              <w:spacing w:line="240" w:lineRule="exact"/>
              <w:jc w:val="both"/>
              <w:rPr>
                <w:rFonts w:hint="default" w:ascii="Arial" w:hAnsi="Arial" w:eastAsia="宋体" w:cs="Arial"/>
                <w:sz w:val="16"/>
                <w:szCs w:val="18"/>
                <w:highlight w:val="none"/>
                <w:lang w:val="en-US" w:eastAsia="zh-CN"/>
              </w:rPr>
            </w:pPr>
            <w:r>
              <w:rPr>
                <w:rFonts w:ascii="Arial" w:hAnsi="Arial" w:cs="Arial"/>
                <w:sz w:val="16"/>
                <w:szCs w:val="18"/>
                <w:highlight w:val="none"/>
              </w:rPr>
              <w:t>100</w:t>
            </w:r>
          </w:p>
        </w:tc>
        <w:tc>
          <w:tcPr>
            <w:tcW w:w="2032" w:type="pct"/>
            <w:tcBorders>
              <w:top w:val="nil"/>
              <w:left w:val="nil"/>
              <w:bottom w:val="single" w:color="auto" w:sz="4" w:space="0"/>
              <w:right w:val="single" w:color="auto" w:sz="4" w:space="0"/>
            </w:tcBorders>
            <w:vAlign w:val="center"/>
          </w:tcPr>
          <w:p w14:paraId="30F47C21">
            <w:pPr>
              <w:snapToGrid w:val="0"/>
              <w:spacing w:line="240" w:lineRule="exact"/>
              <w:jc w:val="both"/>
              <w:rPr>
                <w:rFonts w:ascii="Arial" w:hAnsi="Arial" w:cs="Arial"/>
                <w:sz w:val="16"/>
                <w:szCs w:val="18"/>
                <w:highlight w:val="none"/>
              </w:rPr>
            </w:pPr>
            <w:r>
              <w:rPr>
                <w:rFonts w:ascii="Arial" w:hAnsi="Arial" w:cs="Arial"/>
                <w:sz w:val="16"/>
                <w:szCs w:val="18"/>
                <w:highlight w:val="none"/>
              </w:rPr>
              <w:t>根据布局对于使用率的影响，确定可比实例1、2、3该因素指数分别为</w:t>
            </w:r>
            <w:r>
              <w:rPr>
                <w:rFonts w:hint="eastAsia" w:ascii="Arial" w:hAnsi="Arial" w:cs="Arial"/>
                <w:sz w:val="16"/>
                <w:szCs w:val="18"/>
                <w:highlight w:val="none"/>
                <w:lang w:val="en-US" w:eastAsia="zh-CN"/>
              </w:rPr>
              <w:t>100</w:t>
            </w:r>
            <w:r>
              <w:rPr>
                <w:rFonts w:hint="eastAsia" w:ascii="Arial" w:hAnsi="Arial" w:cs="Arial"/>
                <w:sz w:val="16"/>
                <w:szCs w:val="18"/>
                <w:highlight w:val="none"/>
              </w:rPr>
              <w:t>、</w:t>
            </w:r>
            <w:r>
              <w:rPr>
                <w:rFonts w:hint="eastAsia" w:ascii="Arial" w:hAnsi="Arial" w:cs="Arial"/>
                <w:sz w:val="16"/>
                <w:szCs w:val="18"/>
                <w:highlight w:val="none"/>
                <w:lang w:val="en-US" w:eastAsia="zh-CN"/>
              </w:rPr>
              <w:t>100</w:t>
            </w:r>
            <w:r>
              <w:rPr>
                <w:rFonts w:hint="eastAsia" w:ascii="Arial" w:hAnsi="Arial" w:cs="Arial"/>
                <w:sz w:val="16"/>
                <w:szCs w:val="18"/>
                <w:highlight w:val="none"/>
              </w:rPr>
              <w:t>、</w:t>
            </w:r>
            <w:r>
              <w:rPr>
                <w:rFonts w:hint="eastAsia" w:ascii="Arial" w:hAnsi="Arial" w:cs="Arial"/>
                <w:sz w:val="16"/>
                <w:szCs w:val="18"/>
                <w:highlight w:val="none"/>
                <w:lang w:val="en-US" w:eastAsia="zh-CN"/>
              </w:rPr>
              <w:t>100</w:t>
            </w:r>
            <w:r>
              <w:rPr>
                <w:rFonts w:ascii="Arial" w:hAnsi="Arial" w:cs="Arial"/>
                <w:sz w:val="16"/>
                <w:szCs w:val="18"/>
                <w:highlight w:val="none"/>
              </w:rPr>
              <w:t>；</w:t>
            </w:r>
          </w:p>
        </w:tc>
      </w:tr>
      <w:tr w14:paraId="5FEEDAA3">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65FD533B">
            <w:pPr>
              <w:snapToGrid w:val="0"/>
              <w:spacing w:line="240" w:lineRule="exact"/>
              <w:jc w:val="both"/>
              <w:rPr>
                <w:rFonts w:ascii="宋体" w:hAnsi="宋体" w:cs="Arial"/>
                <w:sz w:val="16"/>
                <w:szCs w:val="18"/>
                <w:highlight w:val="none"/>
              </w:rPr>
            </w:pPr>
          </w:p>
        </w:tc>
        <w:tc>
          <w:tcPr>
            <w:tcW w:w="535" w:type="pct"/>
            <w:tcBorders>
              <w:top w:val="nil"/>
              <w:left w:val="nil"/>
              <w:bottom w:val="single" w:color="auto" w:sz="4" w:space="0"/>
              <w:right w:val="single" w:color="auto" w:sz="4" w:space="0"/>
            </w:tcBorders>
            <w:vAlign w:val="center"/>
          </w:tcPr>
          <w:p w14:paraId="391F4EF7">
            <w:pPr>
              <w:widowControl/>
              <w:adjustRightInd/>
              <w:spacing w:line="240" w:lineRule="auto"/>
              <w:jc w:val="center"/>
              <w:textAlignment w:val="auto"/>
              <w:rPr>
                <w:rFonts w:ascii="宋体" w:hAnsi="宋体" w:cs="Arial"/>
                <w:sz w:val="16"/>
                <w:szCs w:val="18"/>
                <w:highlight w:val="none"/>
              </w:rPr>
            </w:pPr>
            <w:r>
              <w:rPr>
                <w:rFonts w:ascii="宋体" w:hAnsi="宋体" w:cs="Arial"/>
                <w:sz w:val="16"/>
                <w:szCs w:val="18"/>
                <w:highlight w:val="none"/>
              </w:rPr>
              <w:t>户型结构</w:t>
            </w:r>
          </w:p>
        </w:tc>
        <w:tc>
          <w:tcPr>
            <w:tcW w:w="531" w:type="pct"/>
            <w:tcBorders>
              <w:top w:val="nil"/>
              <w:left w:val="nil"/>
              <w:bottom w:val="single" w:color="auto" w:sz="4" w:space="0"/>
              <w:right w:val="single" w:color="auto" w:sz="4" w:space="0"/>
            </w:tcBorders>
            <w:noWrap/>
            <w:vAlign w:val="center"/>
          </w:tcPr>
          <w:p w14:paraId="0504A4B1">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44B18DB0">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34843A10">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49C7E8CD">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2032" w:type="pct"/>
            <w:tcBorders>
              <w:top w:val="nil"/>
              <w:left w:val="nil"/>
              <w:bottom w:val="single" w:color="auto" w:sz="4" w:space="0"/>
              <w:right w:val="single" w:color="auto" w:sz="4" w:space="0"/>
            </w:tcBorders>
            <w:vAlign w:val="center"/>
          </w:tcPr>
          <w:p w14:paraId="74D10EC7">
            <w:pPr>
              <w:snapToGrid w:val="0"/>
              <w:spacing w:line="240" w:lineRule="exact"/>
              <w:jc w:val="both"/>
              <w:rPr>
                <w:rFonts w:ascii="Arial" w:hAnsi="Arial" w:cs="Arial"/>
                <w:sz w:val="16"/>
                <w:szCs w:val="18"/>
                <w:highlight w:val="none"/>
              </w:rPr>
            </w:pPr>
            <w:r>
              <w:rPr>
                <w:rFonts w:ascii="Arial" w:hAnsi="Arial" w:cs="Arial"/>
                <w:sz w:val="16"/>
                <w:szCs w:val="18"/>
                <w:highlight w:val="none"/>
              </w:rPr>
              <w:t>估价对象与案例均为</w:t>
            </w:r>
            <w:r>
              <w:rPr>
                <w:rFonts w:hint="eastAsia" w:ascii="Arial" w:hAnsi="Arial" w:cs="Arial"/>
                <w:sz w:val="16"/>
                <w:szCs w:val="18"/>
                <w:highlight w:val="none"/>
              </w:rPr>
              <w:t>平层，</w:t>
            </w:r>
            <w:r>
              <w:rPr>
                <w:rFonts w:ascii="Arial" w:hAnsi="Arial" w:cs="Arial"/>
                <w:sz w:val="16"/>
                <w:szCs w:val="18"/>
                <w:highlight w:val="none"/>
              </w:rPr>
              <w:t>确定可比实例1、2、3该因素指数分别为100、100、100；</w:t>
            </w:r>
          </w:p>
        </w:tc>
      </w:tr>
      <w:tr w14:paraId="5DCA219F">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2FF2BB6B">
            <w:pPr>
              <w:snapToGrid w:val="0"/>
              <w:spacing w:line="240" w:lineRule="exact"/>
              <w:jc w:val="both"/>
              <w:rPr>
                <w:rFonts w:ascii="宋体" w:hAnsi="宋体" w:cs="Arial"/>
                <w:sz w:val="16"/>
                <w:szCs w:val="18"/>
                <w:highlight w:val="none"/>
              </w:rPr>
            </w:pPr>
          </w:p>
        </w:tc>
        <w:tc>
          <w:tcPr>
            <w:tcW w:w="535" w:type="pct"/>
            <w:tcBorders>
              <w:top w:val="nil"/>
              <w:left w:val="nil"/>
              <w:bottom w:val="single" w:color="auto" w:sz="4" w:space="0"/>
              <w:right w:val="single" w:color="auto" w:sz="4" w:space="0"/>
            </w:tcBorders>
            <w:vAlign w:val="center"/>
          </w:tcPr>
          <w:p w14:paraId="5940AEC3">
            <w:pPr>
              <w:widowControl/>
              <w:adjustRightInd/>
              <w:spacing w:line="240" w:lineRule="auto"/>
              <w:jc w:val="center"/>
              <w:textAlignment w:val="auto"/>
              <w:rPr>
                <w:rFonts w:ascii="宋体" w:hAnsi="宋体" w:cs="Arial"/>
                <w:sz w:val="16"/>
                <w:szCs w:val="18"/>
                <w:highlight w:val="none"/>
              </w:rPr>
            </w:pPr>
            <w:r>
              <w:rPr>
                <w:rFonts w:ascii="宋体" w:hAnsi="宋体" w:cs="Arial"/>
                <w:sz w:val="16"/>
                <w:szCs w:val="18"/>
                <w:highlight w:val="none"/>
              </w:rPr>
              <w:t>建筑面积</w:t>
            </w:r>
          </w:p>
        </w:tc>
        <w:tc>
          <w:tcPr>
            <w:tcW w:w="531" w:type="pct"/>
            <w:tcBorders>
              <w:top w:val="nil"/>
              <w:left w:val="nil"/>
              <w:bottom w:val="single" w:color="auto" w:sz="4" w:space="0"/>
              <w:right w:val="single" w:color="auto" w:sz="4" w:space="0"/>
            </w:tcBorders>
            <w:noWrap/>
            <w:vAlign w:val="center"/>
          </w:tcPr>
          <w:p w14:paraId="512BFB66">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1DA67A57">
            <w:pPr>
              <w:snapToGrid w:val="0"/>
              <w:spacing w:line="240" w:lineRule="exact"/>
              <w:jc w:val="both"/>
              <w:rPr>
                <w:rFonts w:hint="default" w:ascii="Arial" w:hAnsi="Arial" w:eastAsia="宋体" w:cs="Arial"/>
                <w:sz w:val="16"/>
                <w:szCs w:val="18"/>
                <w:highlight w:val="none"/>
                <w:lang w:val="en-US" w:eastAsia="zh-CN"/>
              </w:rPr>
            </w:pPr>
            <w:r>
              <w:rPr>
                <w:rFonts w:hint="eastAsia" w:ascii="Arial" w:hAnsi="Arial" w:cs="Arial"/>
                <w:sz w:val="16"/>
                <w:szCs w:val="18"/>
                <w:highlight w:val="none"/>
                <w:lang w:val="en-US" w:eastAsia="zh-CN"/>
              </w:rPr>
              <w:t>99</w:t>
            </w:r>
          </w:p>
        </w:tc>
        <w:tc>
          <w:tcPr>
            <w:tcW w:w="531" w:type="pct"/>
            <w:tcBorders>
              <w:top w:val="nil"/>
              <w:left w:val="nil"/>
              <w:bottom w:val="single" w:color="auto" w:sz="4" w:space="0"/>
              <w:right w:val="single" w:color="auto" w:sz="4" w:space="0"/>
            </w:tcBorders>
            <w:noWrap/>
            <w:vAlign w:val="center"/>
          </w:tcPr>
          <w:p w14:paraId="0E701AD7">
            <w:pPr>
              <w:snapToGrid w:val="0"/>
              <w:spacing w:line="240" w:lineRule="exact"/>
              <w:jc w:val="both"/>
              <w:rPr>
                <w:rFonts w:hint="default" w:ascii="Arial" w:hAnsi="Arial" w:eastAsia="宋体" w:cs="Arial"/>
                <w:sz w:val="16"/>
                <w:szCs w:val="18"/>
                <w:highlight w:val="none"/>
                <w:lang w:val="en-US" w:eastAsia="zh-CN"/>
              </w:rPr>
            </w:pPr>
            <w:r>
              <w:rPr>
                <w:rFonts w:hint="eastAsia" w:ascii="Arial" w:hAnsi="Arial" w:cs="Arial"/>
                <w:sz w:val="16"/>
                <w:szCs w:val="18"/>
                <w:highlight w:val="none"/>
                <w:lang w:val="en-US" w:eastAsia="zh-CN"/>
              </w:rPr>
              <w:t>100</w:t>
            </w:r>
          </w:p>
        </w:tc>
        <w:tc>
          <w:tcPr>
            <w:tcW w:w="531" w:type="pct"/>
            <w:tcBorders>
              <w:top w:val="nil"/>
              <w:left w:val="nil"/>
              <w:bottom w:val="single" w:color="auto" w:sz="4" w:space="0"/>
              <w:right w:val="single" w:color="auto" w:sz="4" w:space="0"/>
            </w:tcBorders>
            <w:noWrap/>
            <w:vAlign w:val="center"/>
          </w:tcPr>
          <w:p w14:paraId="41A61E43">
            <w:pPr>
              <w:snapToGrid w:val="0"/>
              <w:spacing w:line="240" w:lineRule="exact"/>
              <w:jc w:val="both"/>
              <w:rPr>
                <w:rFonts w:hint="default" w:ascii="Arial" w:hAnsi="Arial" w:eastAsia="宋体" w:cs="Arial"/>
                <w:sz w:val="16"/>
                <w:szCs w:val="18"/>
                <w:highlight w:val="none"/>
                <w:lang w:val="en-US" w:eastAsia="zh-CN"/>
              </w:rPr>
            </w:pPr>
            <w:r>
              <w:rPr>
                <w:rFonts w:hint="eastAsia" w:ascii="Arial" w:hAnsi="Arial" w:cs="Arial"/>
                <w:sz w:val="16"/>
                <w:szCs w:val="18"/>
                <w:highlight w:val="none"/>
                <w:lang w:val="en-US" w:eastAsia="zh-CN"/>
              </w:rPr>
              <w:t>99</w:t>
            </w:r>
          </w:p>
        </w:tc>
        <w:tc>
          <w:tcPr>
            <w:tcW w:w="2032" w:type="pct"/>
            <w:tcBorders>
              <w:top w:val="nil"/>
              <w:left w:val="nil"/>
              <w:bottom w:val="single" w:color="auto" w:sz="4" w:space="0"/>
              <w:right w:val="single" w:color="auto" w:sz="4" w:space="0"/>
            </w:tcBorders>
            <w:vAlign w:val="center"/>
          </w:tcPr>
          <w:p w14:paraId="0B23F754">
            <w:pPr>
              <w:snapToGrid w:val="0"/>
              <w:spacing w:line="240" w:lineRule="exact"/>
              <w:jc w:val="both"/>
              <w:rPr>
                <w:rFonts w:ascii="Arial" w:hAnsi="Arial"/>
                <w:highlight w:val="none"/>
              </w:rPr>
            </w:pPr>
            <w:r>
              <w:rPr>
                <w:rFonts w:ascii="Arial" w:hAnsi="Arial" w:cs="Arial"/>
                <w:sz w:val="16"/>
                <w:szCs w:val="18"/>
                <w:highlight w:val="none"/>
              </w:rPr>
              <w:t>根据建筑面积对其价值的影响，从好到差划分为</w:t>
            </w:r>
            <w:r>
              <w:rPr>
                <w:rFonts w:hint="eastAsia" w:ascii="Arial" w:hAnsi="Arial" w:cs="Arial"/>
                <w:sz w:val="16"/>
                <w:szCs w:val="18"/>
                <w:highlight w:val="none"/>
                <w:lang w:val="en-US" w:eastAsia="zh-CN"/>
              </w:rPr>
              <w:t>6</w:t>
            </w:r>
            <w:r>
              <w:rPr>
                <w:rFonts w:hint="eastAsia" w:ascii="Arial" w:hAnsi="Arial" w:cs="Arial"/>
                <w:sz w:val="16"/>
                <w:szCs w:val="18"/>
                <w:highlight w:val="none"/>
              </w:rPr>
              <w:t>0</w:t>
            </w:r>
            <w:r>
              <w:rPr>
                <w:rFonts w:ascii="Arial" w:hAnsi="Arial" w:cs="Arial"/>
                <w:sz w:val="16"/>
                <w:szCs w:val="18"/>
                <w:highlight w:val="none"/>
              </w:rPr>
              <w:t>（含）平方米及以下、</w:t>
            </w:r>
            <w:r>
              <w:rPr>
                <w:rFonts w:hint="eastAsia" w:ascii="Arial" w:hAnsi="Arial" w:cs="Arial"/>
                <w:sz w:val="16"/>
                <w:szCs w:val="18"/>
                <w:highlight w:val="none"/>
                <w:lang w:val="en-US" w:eastAsia="zh-CN"/>
              </w:rPr>
              <w:t>6</w:t>
            </w:r>
            <w:r>
              <w:rPr>
                <w:rFonts w:hint="eastAsia" w:ascii="Arial" w:hAnsi="Arial" w:cs="Arial"/>
                <w:sz w:val="16"/>
                <w:szCs w:val="18"/>
                <w:highlight w:val="none"/>
              </w:rPr>
              <w:t>0</w:t>
            </w:r>
            <w:r>
              <w:rPr>
                <w:rFonts w:ascii="Arial" w:hAnsi="Arial" w:cs="Arial"/>
                <w:sz w:val="16"/>
                <w:szCs w:val="18"/>
                <w:highlight w:val="none"/>
              </w:rPr>
              <w:t>-</w:t>
            </w:r>
            <w:r>
              <w:rPr>
                <w:rFonts w:hint="eastAsia" w:ascii="Arial" w:hAnsi="Arial" w:cs="Arial"/>
                <w:sz w:val="16"/>
                <w:szCs w:val="18"/>
                <w:highlight w:val="none"/>
                <w:lang w:val="en-US" w:eastAsia="zh-CN"/>
              </w:rPr>
              <w:t>7</w:t>
            </w:r>
            <w:r>
              <w:rPr>
                <w:rFonts w:ascii="Arial" w:hAnsi="Arial" w:cs="Arial"/>
                <w:sz w:val="16"/>
                <w:szCs w:val="18"/>
                <w:highlight w:val="none"/>
              </w:rPr>
              <w:t>0（含）平方米、</w:t>
            </w:r>
            <w:r>
              <w:rPr>
                <w:rFonts w:hint="eastAsia" w:ascii="Arial" w:hAnsi="Arial" w:cs="Arial"/>
                <w:sz w:val="16"/>
                <w:szCs w:val="18"/>
                <w:highlight w:val="none"/>
                <w:lang w:val="en-US" w:eastAsia="zh-CN"/>
              </w:rPr>
              <w:t>7</w:t>
            </w:r>
            <w:r>
              <w:rPr>
                <w:rFonts w:ascii="Arial" w:hAnsi="Arial" w:cs="Arial"/>
                <w:sz w:val="16"/>
                <w:szCs w:val="18"/>
                <w:highlight w:val="none"/>
              </w:rPr>
              <w:t>0-</w:t>
            </w:r>
            <w:r>
              <w:rPr>
                <w:rFonts w:hint="eastAsia" w:ascii="Arial" w:hAnsi="Arial" w:cs="Arial"/>
                <w:sz w:val="16"/>
                <w:szCs w:val="18"/>
                <w:highlight w:val="none"/>
                <w:lang w:val="en-US" w:eastAsia="zh-CN"/>
              </w:rPr>
              <w:t>8</w:t>
            </w:r>
            <w:r>
              <w:rPr>
                <w:rFonts w:ascii="Arial" w:hAnsi="Arial" w:cs="Arial"/>
                <w:sz w:val="16"/>
                <w:szCs w:val="18"/>
                <w:highlight w:val="none"/>
              </w:rPr>
              <w:t>0（含）</w:t>
            </w:r>
            <w:r>
              <w:rPr>
                <w:rFonts w:hint="eastAsia" w:ascii="Arial" w:hAnsi="Arial" w:cs="Arial"/>
                <w:sz w:val="16"/>
                <w:szCs w:val="18"/>
                <w:highlight w:val="none"/>
                <w:lang w:eastAsia="zh-CN"/>
              </w:rPr>
              <w:t>、</w:t>
            </w:r>
            <w:r>
              <w:rPr>
                <w:rFonts w:hint="eastAsia" w:ascii="Arial" w:hAnsi="Arial" w:cs="Arial"/>
                <w:sz w:val="16"/>
                <w:szCs w:val="18"/>
                <w:highlight w:val="none"/>
                <w:lang w:val="en-US" w:eastAsia="zh-CN"/>
              </w:rPr>
              <w:t>8</w:t>
            </w:r>
            <w:r>
              <w:rPr>
                <w:rFonts w:ascii="Arial" w:hAnsi="Arial" w:cs="Arial"/>
                <w:sz w:val="16"/>
                <w:szCs w:val="18"/>
                <w:highlight w:val="none"/>
              </w:rPr>
              <w:t>0-</w:t>
            </w:r>
            <w:r>
              <w:rPr>
                <w:rFonts w:hint="eastAsia" w:ascii="Arial" w:hAnsi="Arial" w:cs="Arial"/>
                <w:sz w:val="16"/>
                <w:szCs w:val="18"/>
                <w:highlight w:val="none"/>
                <w:lang w:val="en-US" w:eastAsia="zh-CN"/>
              </w:rPr>
              <w:t>9</w:t>
            </w:r>
            <w:r>
              <w:rPr>
                <w:rFonts w:ascii="Arial" w:hAnsi="Arial" w:cs="Arial"/>
                <w:sz w:val="16"/>
                <w:szCs w:val="18"/>
                <w:highlight w:val="none"/>
              </w:rPr>
              <w:t>0（含）</w:t>
            </w:r>
            <w:r>
              <w:rPr>
                <w:rFonts w:hint="eastAsia" w:ascii="Arial" w:hAnsi="Arial" w:cs="Arial"/>
                <w:sz w:val="16"/>
                <w:szCs w:val="18"/>
                <w:highlight w:val="none"/>
                <w:lang w:eastAsia="zh-CN"/>
              </w:rPr>
              <w:t>、</w:t>
            </w:r>
            <w:r>
              <w:rPr>
                <w:rFonts w:hint="eastAsia" w:ascii="Arial" w:hAnsi="Arial" w:cs="Arial"/>
                <w:sz w:val="16"/>
                <w:szCs w:val="18"/>
                <w:highlight w:val="none"/>
                <w:lang w:val="en-US" w:eastAsia="zh-CN"/>
              </w:rPr>
              <w:t>90</w:t>
            </w:r>
            <w:r>
              <w:rPr>
                <w:rFonts w:ascii="Arial" w:hAnsi="Arial" w:cs="Arial"/>
                <w:sz w:val="16"/>
                <w:szCs w:val="18"/>
                <w:highlight w:val="none"/>
              </w:rPr>
              <w:t>-</w:t>
            </w:r>
            <w:r>
              <w:rPr>
                <w:rFonts w:hint="eastAsia" w:ascii="Arial" w:hAnsi="Arial" w:cs="Arial"/>
                <w:sz w:val="16"/>
                <w:szCs w:val="18"/>
                <w:highlight w:val="none"/>
                <w:lang w:val="en-US" w:eastAsia="zh-CN"/>
              </w:rPr>
              <w:t>10</w:t>
            </w:r>
            <w:r>
              <w:rPr>
                <w:rFonts w:ascii="Arial" w:hAnsi="Arial" w:cs="Arial"/>
                <w:sz w:val="16"/>
                <w:szCs w:val="18"/>
                <w:highlight w:val="none"/>
              </w:rPr>
              <w:t>0（含）</w:t>
            </w:r>
            <w:r>
              <w:rPr>
                <w:rFonts w:hint="eastAsia" w:ascii="Arial" w:hAnsi="Arial" w:cs="Arial"/>
                <w:sz w:val="16"/>
                <w:szCs w:val="18"/>
                <w:highlight w:val="none"/>
                <w:lang w:eastAsia="zh-CN"/>
              </w:rPr>
              <w:t>、</w:t>
            </w:r>
            <w:r>
              <w:rPr>
                <w:rFonts w:hint="eastAsia" w:ascii="Arial" w:hAnsi="Arial" w:cs="Arial"/>
                <w:sz w:val="16"/>
                <w:szCs w:val="18"/>
                <w:highlight w:val="none"/>
                <w:lang w:val="en-US" w:eastAsia="zh-CN"/>
              </w:rPr>
              <w:t>100</w:t>
            </w:r>
            <w:r>
              <w:rPr>
                <w:rFonts w:ascii="Arial" w:hAnsi="Arial" w:cs="Arial"/>
                <w:sz w:val="16"/>
                <w:szCs w:val="18"/>
                <w:highlight w:val="none"/>
              </w:rPr>
              <w:t>-</w:t>
            </w:r>
            <w:r>
              <w:rPr>
                <w:rFonts w:hint="eastAsia" w:ascii="Arial" w:hAnsi="Arial" w:cs="Arial"/>
                <w:sz w:val="16"/>
                <w:szCs w:val="18"/>
                <w:highlight w:val="none"/>
                <w:lang w:val="en-US" w:eastAsia="zh-CN"/>
              </w:rPr>
              <w:t>11</w:t>
            </w:r>
            <w:r>
              <w:rPr>
                <w:rFonts w:ascii="Arial" w:hAnsi="Arial" w:cs="Arial"/>
                <w:sz w:val="16"/>
                <w:szCs w:val="18"/>
                <w:highlight w:val="none"/>
              </w:rPr>
              <w:t>0（含）</w:t>
            </w:r>
            <w:r>
              <w:rPr>
                <w:rFonts w:hint="eastAsia" w:ascii="Arial" w:hAnsi="Arial" w:cs="Arial"/>
                <w:sz w:val="16"/>
                <w:szCs w:val="18"/>
                <w:highlight w:val="none"/>
                <w:lang w:eastAsia="zh-CN"/>
              </w:rPr>
              <w:t>、</w:t>
            </w:r>
            <w:r>
              <w:rPr>
                <w:rFonts w:hint="eastAsia" w:ascii="Arial" w:hAnsi="Arial" w:cs="Arial"/>
                <w:sz w:val="16"/>
                <w:szCs w:val="18"/>
                <w:highlight w:val="none"/>
                <w:lang w:val="en-US" w:eastAsia="zh-CN"/>
              </w:rPr>
              <w:t>110</w:t>
            </w:r>
            <w:r>
              <w:rPr>
                <w:rFonts w:ascii="Arial" w:hAnsi="Arial" w:cs="Arial"/>
                <w:sz w:val="16"/>
                <w:szCs w:val="18"/>
                <w:highlight w:val="none"/>
              </w:rPr>
              <w:t>-</w:t>
            </w:r>
            <w:r>
              <w:rPr>
                <w:rFonts w:hint="eastAsia" w:ascii="Arial" w:hAnsi="Arial" w:cs="Arial"/>
                <w:sz w:val="16"/>
                <w:szCs w:val="18"/>
                <w:highlight w:val="none"/>
                <w:lang w:val="en-US" w:eastAsia="zh-CN"/>
              </w:rPr>
              <w:t>12</w:t>
            </w:r>
            <w:r>
              <w:rPr>
                <w:rFonts w:ascii="Arial" w:hAnsi="Arial" w:cs="Arial"/>
                <w:sz w:val="16"/>
                <w:szCs w:val="18"/>
                <w:highlight w:val="none"/>
              </w:rPr>
              <w:t>0（含）</w:t>
            </w:r>
            <w:r>
              <w:rPr>
                <w:rFonts w:hint="eastAsia" w:ascii="Arial" w:hAnsi="Arial" w:cs="Arial"/>
                <w:sz w:val="16"/>
                <w:szCs w:val="18"/>
                <w:highlight w:val="none"/>
                <w:lang w:eastAsia="zh-CN"/>
              </w:rPr>
              <w:t>、</w:t>
            </w:r>
            <w:r>
              <w:rPr>
                <w:rFonts w:hint="eastAsia" w:ascii="Arial" w:hAnsi="Arial" w:cs="Arial"/>
                <w:sz w:val="16"/>
                <w:szCs w:val="18"/>
                <w:highlight w:val="none"/>
                <w:lang w:val="en-US" w:eastAsia="zh-CN"/>
              </w:rPr>
              <w:t>120</w:t>
            </w:r>
            <w:r>
              <w:rPr>
                <w:rFonts w:ascii="Arial" w:hAnsi="Arial" w:cs="Arial"/>
                <w:sz w:val="16"/>
                <w:szCs w:val="18"/>
                <w:highlight w:val="none"/>
              </w:rPr>
              <w:t>-</w:t>
            </w:r>
            <w:r>
              <w:rPr>
                <w:rFonts w:hint="eastAsia" w:ascii="Arial" w:hAnsi="Arial" w:cs="Arial"/>
                <w:sz w:val="16"/>
                <w:szCs w:val="18"/>
                <w:highlight w:val="none"/>
                <w:lang w:val="en-US" w:eastAsia="zh-CN"/>
              </w:rPr>
              <w:t>13</w:t>
            </w:r>
            <w:r>
              <w:rPr>
                <w:rFonts w:ascii="Arial" w:hAnsi="Arial" w:cs="Arial"/>
                <w:sz w:val="16"/>
                <w:szCs w:val="18"/>
                <w:highlight w:val="none"/>
              </w:rPr>
              <w:t>0（含）</w:t>
            </w:r>
            <w:r>
              <w:rPr>
                <w:rFonts w:hint="eastAsia" w:ascii="Arial" w:hAnsi="Arial" w:cs="Arial"/>
                <w:sz w:val="16"/>
                <w:szCs w:val="18"/>
                <w:highlight w:val="none"/>
                <w:lang w:eastAsia="zh-CN"/>
              </w:rPr>
              <w:t>、</w:t>
            </w:r>
            <w:r>
              <w:rPr>
                <w:rFonts w:hint="eastAsia" w:ascii="Arial" w:hAnsi="Arial" w:cs="Arial"/>
                <w:sz w:val="16"/>
                <w:szCs w:val="18"/>
                <w:highlight w:val="none"/>
                <w:lang w:val="en-US" w:eastAsia="zh-CN"/>
              </w:rPr>
              <w:t>130</w:t>
            </w:r>
            <w:r>
              <w:rPr>
                <w:rFonts w:ascii="Arial" w:hAnsi="Arial" w:cs="Arial"/>
                <w:sz w:val="16"/>
                <w:szCs w:val="18"/>
                <w:highlight w:val="none"/>
              </w:rPr>
              <w:t>-</w:t>
            </w:r>
            <w:r>
              <w:rPr>
                <w:rFonts w:hint="eastAsia" w:ascii="Arial" w:hAnsi="Arial" w:cs="Arial"/>
                <w:sz w:val="16"/>
                <w:szCs w:val="18"/>
                <w:highlight w:val="none"/>
                <w:lang w:val="en-US" w:eastAsia="zh-CN"/>
              </w:rPr>
              <w:t>14</w:t>
            </w:r>
            <w:r>
              <w:rPr>
                <w:rFonts w:ascii="Arial" w:hAnsi="Arial" w:cs="Arial"/>
                <w:sz w:val="16"/>
                <w:szCs w:val="18"/>
                <w:highlight w:val="none"/>
              </w:rPr>
              <w:t>0（含）平方米及以上。以估价对象该因素指数为100，各可比实例与之相比，确定可比实例1、2、3该因素指数分别为</w:t>
            </w:r>
            <w:r>
              <w:rPr>
                <w:rFonts w:hint="eastAsia" w:ascii="Arial" w:hAnsi="Arial" w:cs="Arial"/>
                <w:sz w:val="16"/>
                <w:szCs w:val="18"/>
                <w:highlight w:val="none"/>
                <w:lang w:val="en-US" w:eastAsia="zh-CN"/>
              </w:rPr>
              <w:t>99</w:t>
            </w:r>
            <w:r>
              <w:rPr>
                <w:rFonts w:hint="eastAsia" w:ascii="Arial" w:hAnsi="Arial" w:cs="Arial"/>
                <w:sz w:val="16"/>
                <w:szCs w:val="18"/>
                <w:highlight w:val="none"/>
              </w:rPr>
              <w:t>、</w:t>
            </w:r>
            <w:r>
              <w:rPr>
                <w:rFonts w:hint="eastAsia" w:ascii="Arial" w:hAnsi="Arial" w:cs="Arial"/>
                <w:sz w:val="16"/>
                <w:szCs w:val="18"/>
                <w:highlight w:val="none"/>
                <w:lang w:val="en-US" w:eastAsia="zh-CN"/>
              </w:rPr>
              <w:t>100</w:t>
            </w:r>
            <w:r>
              <w:rPr>
                <w:rFonts w:hint="eastAsia" w:ascii="Arial" w:hAnsi="Arial" w:cs="Arial"/>
                <w:sz w:val="16"/>
                <w:szCs w:val="18"/>
                <w:highlight w:val="none"/>
              </w:rPr>
              <w:t>、</w:t>
            </w:r>
            <w:r>
              <w:rPr>
                <w:rFonts w:hint="eastAsia" w:ascii="Arial" w:hAnsi="Arial" w:cs="Arial"/>
                <w:sz w:val="16"/>
                <w:szCs w:val="18"/>
                <w:highlight w:val="none"/>
                <w:lang w:val="en-US" w:eastAsia="zh-CN"/>
              </w:rPr>
              <w:t>99</w:t>
            </w:r>
            <w:r>
              <w:rPr>
                <w:rFonts w:ascii="Arial" w:hAnsi="Arial" w:cs="Arial"/>
                <w:sz w:val="16"/>
                <w:szCs w:val="18"/>
                <w:highlight w:val="none"/>
              </w:rPr>
              <w:t>；</w:t>
            </w:r>
          </w:p>
        </w:tc>
      </w:tr>
      <w:tr w14:paraId="0100A167">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3124B4F2">
            <w:pPr>
              <w:snapToGrid w:val="0"/>
              <w:spacing w:line="240" w:lineRule="exact"/>
              <w:jc w:val="both"/>
              <w:rPr>
                <w:rFonts w:ascii="宋体" w:hAnsi="宋体" w:cs="Arial"/>
                <w:sz w:val="16"/>
                <w:szCs w:val="18"/>
                <w:highlight w:val="none"/>
              </w:rPr>
            </w:pPr>
          </w:p>
        </w:tc>
        <w:tc>
          <w:tcPr>
            <w:tcW w:w="535" w:type="pct"/>
            <w:tcBorders>
              <w:top w:val="nil"/>
              <w:left w:val="nil"/>
              <w:bottom w:val="single" w:color="auto" w:sz="4" w:space="0"/>
              <w:right w:val="single" w:color="auto" w:sz="4" w:space="0"/>
            </w:tcBorders>
            <w:vAlign w:val="center"/>
          </w:tcPr>
          <w:p w14:paraId="6897D718">
            <w:pPr>
              <w:widowControl/>
              <w:adjustRightInd/>
              <w:spacing w:line="240" w:lineRule="auto"/>
              <w:jc w:val="center"/>
              <w:textAlignment w:val="auto"/>
              <w:rPr>
                <w:rFonts w:ascii="宋体" w:hAnsi="宋体" w:cs="Arial"/>
                <w:sz w:val="16"/>
                <w:szCs w:val="18"/>
                <w:highlight w:val="none"/>
              </w:rPr>
            </w:pPr>
            <w:r>
              <w:rPr>
                <w:rFonts w:ascii="宋体" w:hAnsi="宋体" w:cs="Arial"/>
                <w:sz w:val="16"/>
                <w:szCs w:val="18"/>
                <w:highlight w:val="none"/>
              </w:rPr>
              <w:t>家具家电</w:t>
            </w:r>
          </w:p>
        </w:tc>
        <w:tc>
          <w:tcPr>
            <w:tcW w:w="531" w:type="pct"/>
            <w:tcBorders>
              <w:top w:val="nil"/>
              <w:left w:val="nil"/>
              <w:bottom w:val="single" w:color="auto" w:sz="4" w:space="0"/>
              <w:right w:val="single" w:color="auto" w:sz="4" w:space="0"/>
            </w:tcBorders>
            <w:noWrap/>
            <w:vAlign w:val="center"/>
          </w:tcPr>
          <w:p w14:paraId="22D2AB78">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0A7CAD5E">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45CB100F">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27E4B5B6">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2032" w:type="pct"/>
            <w:tcBorders>
              <w:top w:val="nil"/>
              <w:left w:val="nil"/>
              <w:bottom w:val="single" w:color="auto" w:sz="4" w:space="0"/>
              <w:right w:val="single" w:color="auto" w:sz="4" w:space="0"/>
            </w:tcBorders>
            <w:vAlign w:val="center"/>
          </w:tcPr>
          <w:p w14:paraId="5F067ABF">
            <w:pPr>
              <w:widowControl/>
              <w:adjustRightInd/>
              <w:spacing w:line="240" w:lineRule="auto"/>
              <w:textAlignment w:val="auto"/>
              <w:rPr>
                <w:rFonts w:ascii="Arial" w:hAnsi="Arial"/>
                <w:highlight w:val="none"/>
              </w:rPr>
            </w:pPr>
            <w:r>
              <w:rPr>
                <w:rFonts w:ascii="Arial" w:hAnsi="Arial" w:cs="Arial"/>
                <w:sz w:val="16"/>
                <w:szCs w:val="18"/>
                <w:highlight w:val="none"/>
              </w:rPr>
              <w:t>根据家具家电配备齐全程度，以估价对象该因素指数为100，各可比实例与之相比，确定可比实例1、2、3该因素指数分别为</w:t>
            </w:r>
            <w:r>
              <w:rPr>
                <w:rFonts w:hint="eastAsia" w:ascii="Arial" w:hAnsi="Arial" w:cs="Arial"/>
                <w:sz w:val="16"/>
                <w:szCs w:val="18"/>
                <w:highlight w:val="none"/>
              </w:rPr>
              <w:t>10</w:t>
            </w:r>
            <w:r>
              <w:rPr>
                <w:rFonts w:ascii="Arial" w:hAnsi="Arial" w:cs="Arial"/>
                <w:sz w:val="16"/>
                <w:szCs w:val="18"/>
                <w:highlight w:val="none"/>
              </w:rPr>
              <w:t>0</w:t>
            </w:r>
            <w:r>
              <w:rPr>
                <w:rFonts w:hint="eastAsia" w:ascii="Arial" w:hAnsi="Arial" w:cs="Arial"/>
                <w:sz w:val="16"/>
                <w:szCs w:val="18"/>
                <w:highlight w:val="none"/>
              </w:rPr>
              <w:t>、10</w:t>
            </w:r>
            <w:r>
              <w:rPr>
                <w:rFonts w:ascii="Arial" w:hAnsi="Arial" w:cs="Arial"/>
                <w:sz w:val="16"/>
                <w:szCs w:val="18"/>
                <w:highlight w:val="none"/>
              </w:rPr>
              <w:t>0</w:t>
            </w:r>
            <w:r>
              <w:rPr>
                <w:rFonts w:hint="eastAsia" w:ascii="Arial" w:hAnsi="Arial" w:cs="Arial"/>
                <w:sz w:val="16"/>
                <w:szCs w:val="18"/>
                <w:highlight w:val="none"/>
              </w:rPr>
              <w:t>、10</w:t>
            </w:r>
            <w:r>
              <w:rPr>
                <w:rFonts w:ascii="Arial" w:hAnsi="Arial" w:cs="Arial"/>
                <w:sz w:val="16"/>
                <w:szCs w:val="18"/>
                <w:highlight w:val="none"/>
              </w:rPr>
              <w:t>0</w:t>
            </w:r>
          </w:p>
        </w:tc>
      </w:tr>
      <w:tr w14:paraId="0C0AEF94">
        <w:tblPrEx>
          <w:tblCellMar>
            <w:top w:w="57" w:type="dxa"/>
            <w:left w:w="57" w:type="dxa"/>
            <w:bottom w:w="57" w:type="dxa"/>
            <w:right w:w="57" w:type="dxa"/>
          </w:tblCellMar>
        </w:tblPrEx>
        <w:trPr>
          <w:trHeight w:val="20" w:hRule="atLeast"/>
          <w:jc w:val="center"/>
        </w:trPr>
        <w:tc>
          <w:tcPr>
            <w:tcW w:w="305" w:type="pct"/>
            <w:vMerge w:val="restart"/>
            <w:tcBorders>
              <w:top w:val="single" w:color="auto" w:sz="4" w:space="0"/>
              <w:left w:val="single" w:color="auto" w:sz="4" w:space="0"/>
              <w:bottom w:val="single" w:color="auto" w:sz="4" w:space="0"/>
              <w:right w:val="single" w:color="auto" w:sz="4" w:space="0"/>
            </w:tcBorders>
            <w:vAlign w:val="center"/>
          </w:tcPr>
          <w:p w14:paraId="343755D8">
            <w:pPr>
              <w:snapToGrid w:val="0"/>
              <w:spacing w:line="240" w:lineRule="exact"/>
              <w:jc w:val="both"/>
              <w:rPr>
                <w:rFonts w:ascii="宋体" w:hAnsi="宋体" w:cs="Arial"/>
                <w:sz w:val="16"/>
                <w:szCs w:val="18"/>
                <w:highlight w:val="none"/>
              </w:rPr>
            </w:pPr>
            <w:r>
              <w:rPr>
                <w:rFonts w:ascii="宋体" w:hAnsi="宋体" w:cs="Arial"/>
                <w:sz w:val="16"/>
                <w:szCs w:val="18"/>
                <w:highlight w:val="none"/>
              </w:rPr>
              <w:t>权益状况</w:t>
            </w:r>
          </w:p>
        </w:tc>
        <w:tc>
          <w:tcPr>
            <w:tcW w:w="535" w:type="pct"/>
            <w:tcBorders>
              <w:top w:val="single" w:color="auto" w:sz="4" w:space="0"/>
              <w:left w:val="nil"/>
              <w:bottom w:val="single" w:color="auto" w:sz="4" w:space="0"/>
              <w:right w:val="single" w:color="auto" w:sz="4" w:space="0"/>
            </w:tcBorders>
            <w:vAlign w:val="center"/>
          </w:tcPr>
          <w:p w14:paraId="48040D64">
            <w:pPr>
              <w:snapToGrid w:val="0"/>
              <w:spacing w:line="240" w:lineRule="exact"/>
              <w:jc w:val="both"/>
              <w:rPr>
                <w:rFonts w:ascii="宋体" w:hAnsi="宋体" w:cs="Arial"/>
                <w:sz w:val="16"/>
                <w:szCs w:val="18"/>
                <w:highlight w:val="none"/>
              </w:rPr>
            </w:pPr>
            <w:r>
              <w:rPr>
                <w:rFonts w:ascii="宋体" w:hAnsi="宋体" w:cs="Arial"/>
                <w:sz w:val="16"/>
                <w:szCs w:val="18"/>
                <w:highlight w:val="none"/>
              </w:rPr>
              <w:t>服务及管理水平</w:t>
            </w:r>
          </w:p>
        </w:tc>
        <w:tc>
          <w:tcPr>
            <w:tcW w:w="531" w:type="pct"/>
            <w:tcBorders>
              <w:top w:val="nil"/>
              <w:left w:val="nil"/>
              <w:bottom w:val="single" w:color="auto" w:sz="4" w:space="0"/>
              <w:right w:val="single" w:color="auto" w:sz="4" w:space="0"/>
            </w:tcBorders>
            <w:noWrap/>
            <w:vAlign w:val="center"/>
          </w:tcPr>
          <w:p w14:paraId="269FB864">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7DEE5D41">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081CB652">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40672B75">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2032" w:type="pct"/>
            <w:tcBorders>
              <w:top w:val="nil"/>
              <w:left w:val="nil"/>
              <w:bottom w:val="single" w:color="auto" w:sz="4" w:space="0"/>
              <w:right w:val="single" w:color="auto" w:sz="4" w:space="0"/>
            </w:tcBorders>
            <w:vAlign w:val="center"/>
          </w:tcPr>
          <w:p w14:paraId="76D1D904">
            <w:pPr>
              <w:widowControl/>
              <w:adjustRightInd/>
              <w:spacing w:line="240" w:lineRule="auto"/>
              <w:textAlignment w:val="auto"/>
              <w:rPr>
                <w:rFonts w:ascii="Arial" w:hAnsi="Arial" w:cs="Arial"/>
                <w:sz w:val="16"/>
                <w:szCs w:val="18"/>
                <w:highlight w:val="none"/>
              </w:rPr>
            </w:pPr>
            <w:r>
              <w:rPr>
                <w:rFonts w:ascii="Arial" w:hAnsi="Arial" w:cs="Arial"/>
                <w:sz w:val="16"/>
                <w:szCs w:val="18"/>
                <w:highlight w:val="none"/>
              </w:rPr>
              <w:t>根据是否配置服务管家、是否封闭式管理，以估价对象该因素指数为100，各可比实例与之相比，确定可比实例1、2、3该因素指数分别为</w:t>
            </w:r>
            <w:r>
              <w:rPr>
                <w:rFonts w:hint="eastAsia" w:ascii="Arial" w:hAnsi="Arial" w:cs="Arial"/>
                <w:sz w:val="16"/>
                <w:szCs w:val="18"/>
                <w:highlight w:val="none"/>
                <w:lang w:val="en-US" w:eastAsia="zh-CN"/>
              </w:rPr>
              <w:t>100</w:t>
            </w:r>
            <w:r>
              <w:rPr>
                <w:rFonts w:hint="eastAsia" w:ascii="Arial" w:hAnsi="Arial" w:cs="Arial"/>
                <w:sz w:val="16"/>
                <w:szCs w:val="18"/>
                <w:highlight w:val="none"/>
              </w:rPr>
              <w:t>、</w:t>
            </w:r>
            <w:r>
              <w:rPr>
                <w:rFonts w:hint="eastAsia" w:ascii="Arial" w:hAnsi="Arial" w:cs="Arial"/>
                <w:sz w:val="16"/>
                <w:szCs w:val="18"/>
                <w:highlight w:val="none"/>
                <w:lang w:val="en-US" w:eastAsia="zh-CN"/>
              </w:rPr>
              <w:t>100</w:t>
            </w:r>
            <w:r>
              <w:rPr>
                <w:rFonts w:hint="eastAsia" w:ascii="Arial" w:hAnsi="Arial" w:cs="Arial"/>
                <w:sz w:val="16"/>
                <w:szCs w:val="18"/>
                <w:highlight w:val="none"/>
              </w:rPr>
              <w:t>、</w:t>
            </w:r>
            <w:r>
              <w:rPr>
                <w:rFonts w:hint="eastAsia" w:ascii="Arial" w:hAnsi="Arial" w:cs="Arial"/>
                <w:sz w:val="16"/>
                <w:szCs w:val="18"/>
                <w:highlight w:val="none"/>
                <w:lang w:val="en-US" w:eastAsia="zh-CN"/>
              </w:rPr>
              <w:t>100</w:t>
            </w:r>
            <w:r>
              <w:rPr>
                <w:rFonts w:ascii="Arial" w:hAnsi="Arial" w:cs="Arial"/>
                <w:sz w:val="16"/>
                <w:szCs w:val="18"/>
                <w:highlight w:val="none"/>
              </w:rPr>
              <w:t>。</w:t>
            </w:r>
          </w:p>
        </w:tc>
      </w:tr>
      <w:tr w14:paraId="5259DB58">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349522E4">
            <w:pPr>
              <w:snapToGrid w:val="0"/>
              <w:spacing w:line="240" w:lineRule="exact"/>
              <w:jc w:val="both"/>
              <w:rPr>
                <w:rFonts w:ascii="宋体" w:hAnsi="宋体" w:cs="Arial"/>
                <w:sz w:val="16"/>
                <w:szCs w:val="18"/>
                <w:highlight w:val="none"/>
              </w:rPr>
            </w:pPr>
          </w:p>
        </w:tc>
        <w:tc>
          <w:tcPr>
            <w:tcW w:w="535" w:type="pct"/>
            <w:tcBorders>
              <w:top w:val="nil"/>
              <w:left w:val="nil"/>
              <w:bottom w:val="single" w:color="auto" w:sz="4" w:space="0"/>
              <w:right w:val="single" w:color="auto" w:sz="4" w:space="0"/>
            </w:tcBorders>
            <w:vAlign w:val="center"/>
          </w:tcPr>
          <w:p w14:paraId="14A2A912">
            <w:pPr>
              <w:snapToGrid w:val="0"/>
              <w:spacing w:line="240" w:lineRule="exact"/>
              <w:jc w:val="both"/>
              <w:rPr>
                <w:rFonts w:ascii="宋体" w:hAnsi="宋体" w:cs="Arial"/>
                <w:sz w:val="16"/>
                <w:szCs w:val="18"/>
                <w:highlight w:val="none"/>
              </w:rPr>
            </w:pPr>
            <w:r>
              <w:rPr>
                <w:rFonts w:ascii="宋体" w:hAnsi="宋体" w:cs="Arial"/>
                <w:sz w:val="16"/>
                <w:szCs w:val="18"/>
                <w:highlight w:val="none"/>
              </w:rPr>
              <w:t>水电气费执行标准</w:t>
            </w:r>
          </w:p>
        </w:tc>
        <w:tc>
          <w:tcPr>
            <w:tcW w:w="531" w:type="pct"/>
            <w:tcBorders>
              <w:top w:val="nil"/>
              <w:left w:val="nil"/>
              <w:bottom w:val="single" w:color="auto" w:sz="4" w:space="0"/>
              <w:right w:val="single" w:color="auto" w:sz="4" w:space="0"/>
            </w:tcBorders>
            <w:noWrap/>
            <w:vAlign w:val="center"/>
          </w:tcPr>
          <w:p w14:paraId="7A110D39">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682A2FE2">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4C68D9BF">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295BABC1">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2032" w:type="pct"/>
            <w:tcBorders>
              <w:top w:val="nil"/>
              <w:left w:val="nil"/>
              <w:bottom w:val="single" w:color="auto" w:sz="4" w:space="0"/>
              <w:right w:val="single" w:color="auto" w:sz="4" w:space="0"/>
            </w:tcBorders>
            <w:vAlign w:val="center"/>
          </w:tcPr>
          <w:p w14:paraId="3DD9639F">
            <w:pPr>
              <w:widowControl/>
              <w:adjustRightInd/>
              <w:spacing w:line="240" w:lineRule="auto"/>
              <w:textAlignment w:val="auto"/>
              <w:rPr>
                <w:rFonts w:ascii="Arial" w:hAnsi="Arial" w:cs="Arial"/>
                <w:sz w:val="16"/>
                <w:szCs w:val="18"/>
                <w:highlight w:val="none"/>
              </w:rPr>
            </w:pPr>
            <w:r>
              <w:rPr>
                <w:rFonts w:ascii="Arial" w:hAnsi="Arial" w:cs="Arial"/>
                <w:sz w:val="16"/>
                <w:szCs w:val="18"/>
                <w:highlight w:val="none"/>
              </w:rPr>
              <w:t>估价对象与案例均采用民水民电，确定可比实例1、2、3该因素指数分别为100、100、100。</w:t>
            </w:r>
          </w:p>
        </w:tc>
      </w:tr>
    </w:tbl>
    <w:p w14:paraId="686DEB19">
      <w:pPr>
        <w:wordWrap w:val="0"/>
        <w:overflowPunct w:val="0"/>
        <w:spacing w:line="480" w:lineRule="auto"/>
        <w:rPr>
          <w:rFonts w:ascii="Arial" w:hAnsi="Arial"/>
          <w:sz w:val="21"/>
          <w:szCs w:val="21"/>
          <w:highlight w:val="none"/>
        </w:rPr>
      </w:pPr>
    </w:p>
    <w:p w14:paraId="1DCC3499">
      <w:pPr>
        <w:wordWrap w:val="0"/>
        <w:overflowPunct w:val="0"/>
        <w:spacing w:line="480" w:lineRule="auto"/>
        <w:rPr>
          <w:rFonts w:ascii="Arial" w:hAnsi="Arial"/>
          <w:sz w:val="21"/>
          <w:szCs w:val="21"/>
          <w:highlight w:val="none"/>
        </w:rPr>
      </w:pPr>
    </w:p>
    <w:p w14:paraId="0A2F7CA3">
      <w:pPr>
        <w:wordWrap w:val="0"/>
        <w:overflowPunct w:val="0"/>
        <w:spacing w:line="480" w:lineRule="auto"/>
        <w:rPr>
          <w:rFonts w:ascii="Arial" w:hAnsi="Arial"/>
          <w:sz w:val="21"/>
          <w:szCs w:val="21"/>
          <w:highlight w:val="none"/>
        </w:rPr>
      </w:pPr>
    </w:p>
    <w:p w14:paraId="5ACD371B">
      <w:pPr>
        <w:wordWrap w:val="0"/>
        <w:overflowPunct w:val="0"/>
        <w:spacing w:line="480" w:lineRule="auto"/>
        <w:ind w:firstLine="420" w:firstLineChars="200"/>
        <w:rPr>
          <w:rFonts w:ascii="Arial" w:hAnsi="Arial"/>
          <w:sz w:val="21"/>
          <w:szCs w:val="21"/>
          <w:highlight w:val="none"/>
        </w:rPr>
      </w:pPr>
      <w:r>
        <w:rPr>
          <w:rFonts w:hint="eastAsia" w:ascii="Arial" w:hAnsi="Arial"/>
          <w:sz w:val="21"/>
          <w:szCs w:val="21"/>
          <w:highlight w:val="none"/>
        </w:rPr>
        <w:t>（3）编制因素比较修正系数表</w:t>
      </w:r>
      <w:r>
        <w:rPr>
          <w:rFonts w:ascii="Arial" w:hAnsi="Arial"/>
          <w:sz w:val="21"/>
          <w:szCs w:val="21"/>
          <w:highlight w:val="none"/>
        </w:rPr>
        <w:t xml:space="preserve"> </w:t>
      </w:r>
    </w:p>
    <w:p w14:paraId="0DC7E200">
      <w:pPr>
        <w:wordWrap w:val="0"/>
        <w:overflowPunct w:val="0"/>
        <w:spacing w:line="480" w:lineRule="auto"/>
        <w:ind w:firstLine="420" w:firstLineChars="200"/>
        <w:rPr>
          <w:rFonts w:ascii="Arial" w:hAnsi="Arial"/>
          <w:sz w:val="21"/>
          <w:szCs w:val="21"/>
          <w:highlight w:val="none"/>
        </w:rPr>
      </w:pPr>
      <w:r>
        <w:rPr>
          <w:rFonts w:hint="eastAsia" w:ascii="Arial" w:hAnsi="Arial"/>
          <w:sz w:val="21"/>
          <w:szCs w:val="21"/>
          <w:highlight w:val="none"/>
        </w:rPr>
        <w:t>根据比较因素条件指数表，编制因素各项目比较修正系数表，详见下表：</w:t>
      </w:r>
    </w:p>
    <w:p w14:paraId="4835CFA6">
      <w:pPr>
        <w:overflowPunct w:val="0"/>
        <w:spacing w:line="480" w:lineRule="auto"/>
        <w:ind w:firstLine="420" w:firstLineChars="200"/>
        <w:jc w:val="center"/>
        <w:rPr>
          <w:rFonts w:ascii="Arial" w:hAnsi="Arial"/>
          <w:sz w:val="21"/>
          <w:szCs w:val="21"/>
          <w:highlight w:val="none"/>
        </w:rPr>
      </w:pPr>
      <w:r>
        <w:rPr>
          <w:rFonts w:hint="eastAsia" w:ascii="Arial" w:hAnsi="Arial"/>
          <w:sz w:val="21"/>
          <w:szCs w:val="21"/>
          <w:highlight w:val="none"/>
        </w:rPr>
        <w:t>因素比较修正系数表</w:t>
      </w:r>
    </w:p>
    <w:tbl>
      <w:tblPr>
        <w:tblStyle w:val="33"/>
        <w:tblW w:w="5000" w:type="pct"/>
        <w:tblInd w:w="0" w:type="dxa"/>
        <w:tblLayout w:type="autofit"/>
        <w:tblCellMar>
          <w:top w:w="0" w:type="dxa"/>
          <w:left w:w="108" w:type="dxa"/>
          <w:bottom w:w="0" w:type="dxa"/>
          <w:right w:w="108" w:type="dxa"/>
        </w:tblCellMar>
      </w:tblPr>
      <w:tblGrid>
        <w:gridCol w:w="1506"/>
        <w:gridCol w:w="2887"/>
        <w:gridCol w:w="1707"/>
        <w:gridCol w:w="1707"/>
        <w:gridCol w:w="1708"/>
      </w:tblGrid>
      <w:tr w14:paraId="64CBAAA6">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3858C7C5">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项目</w:t>
            </w:r>
          </w:p>
        </w:tc>
        <w:tc>
          <w:tcPr>
            <w:tcW w:w="897" w:type="pct"/>
            <w:tcBorders>
              <w:top w:val="single" w:color="auto" w:sz="4" w:space="0"/>
              <w:left w:val="nil"/>
              <w:bottom w:val="single" w:color="auto" w:sz="4" w:space="0"/>
              <w:right w:val="single" w:color="auto" w:sz="4" w:space="0"/>
            </w:tcBorders>
            <w:vAlign w:val="center"/>
          </w:tcPr>
          <w:p w14:paraId="54F6DBF5">
            <w:pPr>
              <w:widowControl/>
              <w:adjustRightInd/>
              <w:spacing w:line="240" w:lineRule="auto"/>
              <w:jc w:val="center"/>
              <w:textAlignment w:val="auto"/>
              <w:rPr>
                <w:rFonts w:hint="eastAsia" w:ascii="Arial" w:hAnsi="Arial" w:eastAsia="宋体" w:cs="Arial"/>
                <w:sz w:val="16"/>
                <w:szCs w:val="18"/>
                <w:highlight w:val="none"/>
                <w:lang w:val="en-US" w:eastAsia="zh-CN"/>
              </w:rPr>
            </w:pPr>
            <w:r>
              <w:rPr>
                <w:rFonts w:ascii="Arial" w:hAnsi="Arial" w:cs="Arial"/>
                <w:sz w:val="16"/>
                <w:szCs w:val="18"/>
                <w:highlight w:val="none"/>
              </w:rPr>
              <w:t>可比实例</w:t>
            </w:r>
            <w:r>
              <w:rPr>
                <w:rFonts w:hint="eastAsia" w:ascii="Arial" w:hAnsi="Arial" w:cs="Arial"/>
                <w:sz w:val="16"/>
                <w:szCs w:val="18"/>
                <w:highlight w:val="none"/>
                <w:lang w:val="en-US" w:eastAsia="zh-CN"/>
              </w:rPr>
              <w:t>4</w:t>
            </w:r>
          </w:p>
        </w:tc>
        <w:tc>
          <w:tcPr>
            <w:tcW w:w="897" w:type="pct"/>
            <w:tcBorders>
              <w:top w:val="single" w:color="auto" w:sz="4" w:space="0"/>
              <w:left w:val="nil"/>
              <w:bottom w:val="single" w:color="auto" w:sz="4" w:space="0"/>
              <w:right w:val="single" w:color="auto" w:sz="4" w:space="0"/>
            </w:tcBorders>
            <w:vAlign w:val="center"/>
          </w:tcPr>
          <w:p w14:paraId="4D1210A9">
            <w:pPr>
              <w:widowControl/>
              <w:adjustRightInd/>
              <w:spacing w:line="240" w:lineRule="auto"/>
              <w:jc w:val="center"/>
              <w:textAlignment w:val="auto"/>
              <w:rPr>
                <w:rFonts w:hint="eastAsia" w:ascii="Arial" w:hAnsi="Arial" w:eastAsia="宋体" w:cs="Arial"/>
                <w:sz w:val="16"/>
                <w:szCs w:val="18"/>
                <w:highlight w:val="none"/>
                <w:lang w:val="en-US" w:eastAsia="zh-CN"/>
              </w:rPr>
            </w:pPr>
            <w:r>
              <w:rPr>
                <w:rFonts w:ascii="Arial" w:hAnsi="Arial" w:cs="Arial"/>
                <w:sz w:val="16"/>
                <w:szCs w:val="18"/>
                <w:highlight w:val="none"/>
              </w:rPr>
              <w:t>可比实例</w:t>
            </w:r>
            <w:r>
              <w:rPr>
                <w:rFonts w:hint="eastAsia" w:ascii="Arial" w:hAnsi="Arial" w:cs="Arial"/>
                <w:sz w:val="16"/>
                <w:szCs w:val="18"/>
                <w:highlight w:val="none"/>
                <w:lang w:val="en-US" w:eastAsia="zh-CN"/>
              </w:rPr>
              <w:t>5</w:t>
            </w:r>
          </w:p>
        </w:tc>
        <w:tc>
          <w:tcPr>
            <w:tcW w:w="897" w:type="pct"/>
            <w:tcBorders>
              <w:top w:val="single" w:color="auto" w:sz="4" w:space="0"/>
              <w:left w:val="nil"/>
              <w:bottom w:val="single" w:color="auto" w:sz="4" w:space="0"/>
              <w:right w:val="single" w:color="auto" w:sz="4" w:space="0"/>
            </w:tcBorders>
            <w:vAlign w:val="center"/>
          </w:tcPr>
          <w:p w14:paraId="09BEADB4">
            <w:pPr>
              <w:widowControl/>
              <w:adjustRightInd/>
              <w:spacing w:line="240" w:lineRule="auto"/>
              <w:jc w:val="center"/>
              <w:textAlignment w:val="auto"/>
              <w:rPr>
                <w:rFonts w:hint="eastAsia" w:ascii="Arial" w:hAnsi="Arial" w:eastAsia="宋体" w:cs="Arial"/>
                <w:sz w:val="16"/>
                <w:szCs w:val="18"/>
                <w:highlight w:val="none"/>
                <w:lang w:val="en-US" w:eastAsia="zh-CN"/>
              </w:rPr>
            </w:pPr>
            <w:r>
              <w:rPr>
                <w:rFonts w:ascii="Arial" w:hAnsi="Arial" w:cs="Arial"/>
                <w:sz w:val="16"/>
                <w:szCs w:val="18"/>
                <w:highlight w:val="none"/>
              </w:rPr>
              <w:t>可比实例</w:t>
            </w:r>
            <w:r>
              <w:rPr>
                <w:rFonts w:hint="eastAsia" w:ascii="Arial" w:hAnsi="Arial" w:cs="Arial"/>
                <w:sz w:val="16"/>
                <w:szCs w:val="18"/>
                <w:highlight w:val="none"/>
                <w:lang w:val="en-US" w:eastAsia="zh-CN"/>
              </w:rPr>
              <w:t>6</w:t>
            </w:r>
          </w:p>
        </w:tc>
      </w:tr>
      <w:tr w14:paraId="7325837E">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52F14DE6">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小区名称</w:t>
            </w:r>
          </w:p>
        </w:tc>
        <w:tc>
          <w:tcPr>
            <w:tcW w:w="1707" w:type="dxa"/>
            <w:tcBorders>
              <w:top w:val="nil"/>
              <w:left w:val="nil"/>
              <w:bottom w:val="single" w:color="auto" w:sz="4" w:space="0"/>
              <w:right w:val="single" w:color="auto" w:sz="4" w:space="0"/>
            </w:tcBorders>
            <w:vAlign w:val="center"/>
          </w:tcPr>
          <w:p w14:paraId="17FBC54B">
            <w:pPr>
              <w:widowControl/>
              <w:snapToGrid w:val="0"/>
              <w:spacing w:line="240" w:lineRule="exact"/>
              <w:jc w:val="center"/>
              <w:textAlignment w:val="center"/>
              <w:rPr>
                <w:rFonts w:ascii="Arial" w:hAnsi="Arial" w:cs="Arial"/>
                <w:sz w:val="16"/>
                <w:szCs w:val="18"/>
                <w:highlight w:val="none"/>
              </w:rPr>
            </w:pPr>
            <w:r>
              <w:rPr>
                <w:rFonts w:hint="eastAsia" w:ascii="Arial" w:hAnsi="Arial" w:cs="Arial"/>
                <w:sz w:val="16"/>
                <w:szCs w:val="18"/>
                <w:highlight w:val="none"/>
              </w:rPr>
              <w:t>当代采育满庭春MOMA</w:t>
            </w:r>
          </w:p>
        </w:tc>
        <w:tc>
          <w:tcPr>
            <w:tcW w:w="1707" w:type="dxa"/>
            <w:tcBorders>
              <w:top w:val="nil"/>
              <w:left w:val="nil"/>
              <w:bottom w:val="single" w:color="auto" w:sz="4" w:space="0"/>
              <w:right w:val="single" w:color="auto" w:sz="4" w:space="0"/>
            </w:tcBorders>
            <w:vAlign w:val="center"/>
          </w:tcPr>
          <w:p w14:paraId="5B8D7153">
            <w:pPr>
              <w:widowControl/>
              <w:snapToGrid w:val="0"/>
              <w:spacing w:line="240" w:lineRule="exact"/>
              <w:jc w:val="center"/>
              <w:textAlignment w:val="center"/>
              <w:rPr>
                <w:rFonts w:ascii="Arial" w:hAnsi="Arial" w:cs="Arial"/>
                <w:sz w:val="16"/>
                <w:szCs w:val="18"/>
                <w:highlight w:val="none"/>
              </w:rPr>
            </w:pPr>
            <w:r>
              <w:rPr>
                <w:rFonts w:hint="eastAsia" w:ascii="Arial" w:hAnsi="Arial" w:cs="Arial"/>
                <w:sz w:val="16"/>
                <w:szCs w:val="18"/>
                <w:highlight w:val="none"/>
              </w:rPr>
              <w:t>当代采育满庭春MOMA</w:t>
            </w:r>
          </w:p>
        </w:tc>
        <w:tc>
          <w:tcPr>
            <w:tcW w:w="1708" w:type="dxa"/>
            <w:tcBorders>
              <w:top w:val="nil"/>
              <w:left w:val="nil"/>
              <w:bottom w:val="single" w:color="auto" w:sz="4" w:space="0"/>
              <w:right w:val="single" w:color="auto" w:sz="4" w:space="0"/>
            </w:tcBorders>
            <w:vAlign w:val="center"/>
          </w:tcPr>
          <w:p w14:paraId="17B2A4DE">
            <w:pPr>
              <w:widowControl/>
              <w:snapToGrid w:val="0"/>
              <w:spacing w:line="240" w:lineRule="exact"/>
              <w:jc w:val="center"/>
              <w:textAlignment w:val="center"/>
              <w:rPr>
                <w:rFonts w:ascii="Arial" w:hAnsi="Arial" w:cs="Arial"/>
                <w:sz w:val="16"/>
                <w:szCs w:val="18"/>
                <w:highlight w:val="none"/>
              </w:rPr>
            </w:pPr>
            <w:r>
              <w:rPr>
                <w:rFonts w:hint="eastAsia" w:ascii="Arial" w:hAnsi="Arial" w:cs="Arial"/>
                <w:sz w:val="16"/>
                <w:szCs w:val="18"/>
                <w:highlight w:val="none"/>
                <w:lang w:val="en-US" w:eastAsia="zh-CN"/>
              </w:rPr>
              <w:t>蓝天花园</w:t>
            </w:r>
          </w:p>
        </w:tc>
      </w:tr>
      <w:tr w14:paraId="76C29149">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2684E8BA">
            <w:pPr>
              <w:widowControl/>
              <w:adjustRightInd/>
              <w:spacing w:line="240" w:lineRule="auto"/>
              <w:textAlignment w:val="auto"/>
              <w:rPr>
                <w:rFonts w:ascii="Arial" w:hAnsi="Arial" w:cs="Arial"/>
                <w:sz w:val="16"/>
                <w:szCs w:val="18"/>
                <w:highlight w:val="none"/>
              </w:rPr>
            </w:pPr>
            <w:r>
              <w:rPr>
                <w:rFonts w:ascii="Arial" w:hAnsi="Arial" w:cs="Arial"/>
                <w:sz w:val="16"/>
                <w:szCs w:val="18"/>
                <w:highlight w:val="none"/>
              </w:rPr>
              <w:t>平均租金（元/平方米·月）</w:t>
            </w:r>
          </w:p>
        </w:tc>
        <w:tc>
          <w:tcPr>
            <w:tcW w:w="1707" w:type="dxa"/>
            <w:tcBorders>
              <w:top w:val="nil"/>
              <w:left w:val="nil"/>
              <w:bottom w:val="single" w:color="auto" w:sz="4" w:space="0"/>
              <w:right w:val="single" w:color="auto" w:sz="4" w:space="0"/>
            </w:tcBorders>
            <w:vAlign w:val="center"/>
          </w:tcPr>
          <w:p w14:paraId="3A583A7D">
            <w:pPr>
              <w:autoSpaceDE w:val="0"/>
              <w:autoSpaceDN w:val="0"/>
              <w:spacing w:line="240" w:lineRule="exact"/>
              <w:jc w:val="center"/>
              <w:textAlignment w:val="bottom"/>
              <w:rPr>
                <w:rFonts w:ascii="Arial" w:hAnsi="Arial" w:cs="Arial"/>
                <w:sz w:val="16"/>
                <w:szCs w:val="18"/>
                <w:highlight w:val="none"/>
              </w:rPr>
            </w:pPr>
            <w:r>
              <w:rPr>
                <w:rFonts w:hint="eastAsia" w:ascii="Arial" w:hAnsi="Arial" w:cs="Arial"/>
                <w:sz w:val="16"/>
                <w:szCs w:val="18"/>
                <w:highlight w:val="none"/>
                <w:lang w:val="en-US" w:eastAsia="zh-CN"/>
              </w:rPr>
              <w:t>14.93</w:t>
            </w:r>
          </w:p>
        </w:tc>
        <w:tc>
          <w:tcPr>
            <w:tcW w:w="1707" w:type="dxa"/>
            <w:tcBorders>
              <w:top w:val="nil"/>
              <w:left w:val="nil"/>
              <w:bottom w:val="single" w:color="auto" w:sz="4" w:space="0"/>
              <w:right w:val="single" w:color="auto" w:sz="4" w:space="0"/>
            </w:tcBorders>
            <w:vAlign w:val="center"/>
          </w:tcPr>
          <w:p w14:paraId="553B6B54">
            <w:pPr>
              <w:autoSpaceDE w:val="0"/>
              <w:autoSpaceDN w:val="0"/>
              <w:spacing w:line="240" w:lineRule="exact"/>
              <w:jc w:val="center"/>
              <w:textAlignment w:val="bottom"/>
              <w:rPr>
                <w:rFonts w:ascii="Arial" w:hAnsi="Arial" w:cs="Arial"/>
                <w:sz w:val="16"/>
                <w:szCs w:val="18"/>
                <w:highlight w:val="none"/>
              </w:rPr>
            </w:pPr>
            <w:r>
              <w:rPr>
                <w:rFonts w:hint="eastAsia" w:ascii="Arial" w:hAnsi="Arial" w:cs="Arial"/>
                <w:sz w:val="16"/>
                <w:szCs w:val="18"/>
                <w:highlight w:val="none"/>
                <w:lang w:val="en-US" w:eastAsia="zh-CN"/>
              </w:rPr>
              <w:t>16.52</w:t>
            </w:r>
          </w:p>
        </w:tc>
        <w:tc>
          <w:tcPr>
            <w:tcW w:w="1708" w:type="dxa"/>
            <w:tcBorders>
              <w:top w:val="nil"/>
              <w:left w:val="nil"/>
              <w:bottom w:val="single" w:color="auto" w:sz="4" w:space="0"/>
              <w:right w:val="single" w:color="auto" w:sz="4" w:space="0"/>
            </w:tcBorders>
            <w:vAlign w:val="center"/>
          </w:tcPr>
          <w:p w14:paraId="50CE67DF">
            <w:pPr>
              <w:autoSpaceDE w:val="0"/>
              <w:autoSpaceDN w:val="0"/>
              <w:spacing w:line="240" w:lineRule="exact"/>
              <w:jc w:val="center"/>
              <w:textAlignment w:val="bottom"/>
              <w:rPr>
                <w:rFonts w:ascii="Arial" w:hAnsi="Arial" w:cs="Arial"/>
                <w:sz w:val="16"/>
                <w:szCs w:val="18"/>
                <w:highlight w:val="none"/>
              </w:rPr>
            </w:pPr>
            <w:r>
              <w:rPr>
                <w:rFonts w:hint="eastAsia" w:ascii="Arial" w:hAnsi="Arial" w:cs="Arial"/>
                <w:sz w:val="16"/>
                <w:szCs w:val="18"/>
                <w:highlight w:val="none"/>
                <w:lang w:val="en-US" w:eastAsia="zh-CN"/>
              </w:rPr>
              <w:t>15.87</w:t>
            </w:r>
          </w:p>
        </w:tc>
      </w:tr>
      <w:tr w14:paraId="2338670D">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36CBD50E">
            <w:pPr>
              <w:widowControl/>
              <w:adjustRightInd/>
              <w:spacing w:line="240" w:lineRule="auto"/>
              <w:textAlignment w:val="auto"/>
              <w:rPr>
                <w:rFonts w:ascii="Arial" w:hAnsi="Arial" w:cs="Arial"/>
                <w:sz w:val="16"/>
                <w:szCs w:val="18"/>
                <w:highlight w:val="none"/>
              </w:rPr>
            </w:pPr>
            <w:r>
              <w:rPr>
                <w:rFonts w:ascii="Arial" w:hAnsi="Arial" w:cs="Arial"/>
                <w:sz w:val="16"/>
                <w:szCs w:val="18"/>
                <w:highlight w:val="none"/>
              </w:rPr>
              <w:t>交易时间</w:t>
            </w:r>
          </w:p>
        </w:tc>
        <w:tc>
          <w:tcPr>
            <w:tcW w:w="897" w:type="pct"/>
            <w:tcBorders>
              <w:top w:val="nil"/>
              <w:left w:val="nil"/>
              <w:bottom w:val="single" w:color="auto" w:sz="4" w:space="0"/>
              <w:right w:val="single" w:color="auto" w:sz="4" w:space="0"/>
            </w:tcBorders>
            <w:vAlign w:val="center"/>
          </w:tcPr>
          <w:p w14:paraId="027CDD78">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897" w:type="pct"/>
            <w:tcBorders>
              <w:top w:val="nil"/>
              <w:left w:val="nil"/>
              <w:bottom w:val="single" w:color="auto" w:sz="4" w:space="0"/>
              <w:right w:val="single" w:color="auto" w:sz="4" w:space="0"/>
            </w:tcBorders>
            <w:vAlign w:val="center"/>
          </w:tcPr>
          <w:p w14:paraId="54D93304">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897" w:type="pct"/>
            <w:tcBorders>
              <w:top w:val="nil"/>
              <w:left w:val="nil"/>
              <w:bottom w:val="single" w:color="auto" w:sz="4" w:space="0"/>
              <w:right w:val="single" w:color="auto" w:sz="4" w:space="0"/>
            </w:tcBorders>
            <w:vAlign w:val="center"/>
          </w:tcPr>
          <w:p w14:paraId="6248E1F6">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r>
      <w:tr w14:paraId="3E455D8C">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7666BC69">
            <w:pPr>
              <w:widowControl/>
              <w:adjustRightInd/>
              <w:spacing w:line="240" w:lineRule="auto"/>
              <w:textAlignment w:val="auto"/>
              <w:rPr>
                <w:rFonts w:ascii="Arial" w:hAnsi="Arial" w:cs="Arial"/>
                <w:sz w:val="16"/>
                <w:szCs w:val="18"/>
                <w:highlight w:val="none"/>
              </w:rPr>
            </w:pPr>
            <w:r>
              <w:rPr>
                <w:rFonts w:ascii="Arial" w:hAnsi="Arial" w:cs="Arial"/>
                <w:sz w:val="16"/>
                <w:szCs w:val="18"/>
                <w:highlight w:val="none"/>
              </w:rPr>
              <w:t>交易情况</w:t>
            </w:r>
          </w:p>
        </w:tc>
        <w:tc>
          <w:tcPr>
            <w:tcW w:w="897" w:type="pct"/>
            <w:tcBorders>
              <w:top w:val="nil"/>
              <w:left w:val="nil"/>
              <w:bottom w:val="single" w:color="auto" w:sz="4" w:space="0"/>
              <w:right w:val="single" w:color="auto" w:sz="4" w:space="0"/>
            </w:tcBorders>
            <w:vAlign w:val="center"/>
          </w:tcPr>
          <w:p w14:paraId="4787ADC2">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897" w:type="pct"/>
            <w:tcBorders>
              <w:top w:val="nil"/>
              <w:left w:val="nil"/>
              <w:bottom w:val="single" w:color="auto" w:sz="4" w:space="0"/>
              <w:right w:val="single" w:color="auto" w:sz="4" w:space="0"/>
            </w:tcBorders>
            <w:vAlign w:val="center"/>
          </w:tcPr>
          <w:p w14:paraId="36FC730B">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897" w:type="pct"/>
            <w:tcBorders>
              <w:top w:val="nil"/>
              <w:left w:val="nil"/>
              <w:bottom w:val="single" w:color="auto" w:sz="4" w:space="0"/>
              <w:right w:val="single" w:color="auto" w:sz="4" w:space="0"/>
            </w:tcBorders>
            <w:vAlign w:val="center"/>
          </w:tcPr>
          <w:p w14:paraId="58C09391">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r>
      <w:tr w14:paraId="721C3137">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1EEAB222">
            <w:pPr>
              <w:widowControl/>
              <w:adjustRightInd/>
              <w:spacing w:line="240" w:lineRule="auto"/>
              <w:textAlignment w:val="auto"/>
              <w:rPr>
                <w:rFonts w:ascii="Arial" w:hAnsi="Arial" w:cs="Arial"/>
                <w:sz w:val="16"/>
                <w:szCs w:val="18"/>
                <w:highlight w:val="none"/>
              </w:rPr>
            </w:pPr>
            <w:r>
              <w:rPr>
                <w:rFonts w:ascii="Arial" w:hAnsi="Arial" w:cs="Arial"/>
                <w:sz w:val="16"/>
                <w:szCs w:val="18"/>
                <w:highlight w:val="none"/>
              </w:rPr>
              <w:t>项目类型</w:t>
            </w:r>
          </w:p>
        </w:tc>
        <w:tc>
          <w:tcPr>
            <w:tcW w:w="897" w:type="pct"/>
            <w:tcBorders>
              <w:top w:val="nil"/>
              <w:left w:val="nil"/>
              <w:bottom w:val="single" w:color="auto" w:sz="4" w:space="0"/>
              <w:right w:val="single" w:color="auto" w:sz="4" w:space="0"/>
            </w:tcBorders>
            <w:vAlign w:val="center"/>
          </w:tcPr>
          <w:p w14:paraId="5B7D79A9">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897" w:type="pct"/>
            <w:tcBorders>
              <w:top w:val="nil"/>
              <w:left w:val="nil"/>
              <w:bottom w:val="single" w:color="auto" w:sz="4" w:space="0"/>
              <w:right w:val="single" w:color="auto" w:sz="4" w:space="0"/>
            </w:tcBorders>
            <w:vAlign w:val="center"/>
          </w:tcPr>
          <w:p w14:paraId="6F6591BE">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897" w:type="pct"/>
            <w:tcBorders>
              <w:top w:val="nil"/>
              <w:left w:val="nil"/>
              <w:bottom w:val="single" w:color="auto" w:sz="4" w:space="0"/>
              <w:right w:val="single" w:color="auto" w:sz="4" w:space="0"/>
            </w:tcBorders>
            <w:vAlign w:val="center"/>
          </w:tcPr>
          <w:p w14:paraId="48BA69A8">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r>
      <w:tr w14:paraId="5A63293A">
        <w:tblPrEx>
          <w:tblCellMar>
            <w:top w:w="0" w:type="dxa"/>
            <w:left w:w="108" w:type="dxa"/>
            <w:bottom w:w="0" w:type="dxa"/>
            <w:right w:w="108" w:type="dxa"/>
          </w:tblCellMar>
        </w:tblPrEx>
        <w:trPr>
          <w:trHeight w:val="227" w:hRule="atLeast"/>
        </w:trPr>
        <w:tc>
          <w:tcPr>
            <w:tcW w:w="791" w:type="pct"/>
            <w:vMerge w:val="restart"/>
            <w:tcBorders>
              <w:top w:val="nil"/>
              <w:left w:val="single" w:color="auto" w:sz="4" w:space="0"/>
              <w:bottom w:val="single" w:color="auto" w:sz="4" w:space="0"/>
              <w:right w:val="single" w:color="auto" w:sz="4" w:space="0"/>
            </w:tcBorders>
            <w:vAlign w:val="center"/>
          </w:tcPr>
          <w:p w14:paraId="21534313">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区域状况</w:t>
            </w:r>
          </w:p>
        </w:tc>
        <w:tc>
          <w:tcPr>
            <w:tcW w:w="1516" w:type="pct"/>
            <w:tcBorders>
              <w:top w:val="nil"/>
              <w:left w:val="nil"/>
              <w:bottom w:val="single" w:color="auto" w:sz="4" w:space="0"/>
              <w:right w:val="single" w:color="auto" w:sz="4" w:space="0"/>
            </w:tcBorders>
            <w:vAlign w:val="center"/>
          </w:tcPr>
          <w:p w14:paraId="21D7038E">
            <w:pPr>
              <w:widowControl/>
              <w:adjustRightInd/>
              <w:spacing w:line="240" w:lineRule="auto"/>
              <w:textAlignment w:val="auto"/>
              <w:rPr>
                <w:rFonts w:ascii="Arial" w:hAnsi="Arial" w:cs="Arial"/>
                <w:sz w:val="16"/>
                <w:szCs w:val="18"/>
                <w:highlight w:val="none"/>
              </w:rPr>
            </w:pPr>
            <w:r>
              <w:rPr>
                <w:rFonts w:ascii="Arial" w:hAnsi="Arial" w:cs="Arial"/>
                <w:sz w:val="16"/>
                <w:szCs w:val="18"/>
                <w:highlight w:val="none"/>
              </w:rPr>
              <w:t>居住区成熟度</w:t>
            </w:r>
          </w:p>
        </w:tc>
        <w:tc>
          <w:tcPr>
            <w:tcW w:w="897" w:type="pct"/>
            <w:tcBorders>
              <w:top w:val="nil"/>
              <w:left w:val="nil"/>
              <w:bottom w:val="single" w:color="auto" w:sz="4" w:space="0"/>
              <w:right w:val="single" w:color="auto" w:sz="4" w:space="0"/>
            </w:tcBorders>
            <w:vAlign w:val="center"/>
          </w:tcPr>
          <w:p w14:paraId="2FA35295">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897" w:type="pct"/>
            <w:tcBorders>
              <w:top w:val="nil"/>
              <w:left w:val="nil"/>
              <w:bottom w:val="single" w:color="auto" w:sz="4" w:space="0"/>
              <w:right w:val="single" w:color="auto" w:sz="4" w:space="0"/>
            </w:tcBorders>
            <w:vAlign w:val="center"/>
          </w:tcPr>
          <w:p w14:paraId="75269E79">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897" w:type="pct"/>
            <w:tcBorders>
              <w:top w:val="nil"/>
              <w:left w:val="nil"/>
              <w:bottom w:val="single" w:color="auto" w:sz="4" w:space="0"/>
              <w:right w:val="single" w:color="auto" w:sz="4" w:space="0"/>
            </w:tcBorders>
            <w:vAlign w:val="center"/>
          </w:tcPr>
          <w:p w14:paraId="6667AF00">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r>
      <w:tr w14:paraId="771B64ED">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5F1D2BBD">
            <w:pPr>
              <w:widowControl/>
              <w:adjustRightInd/>
              <w:spacing w:line="240" w:lineRule="auto"/>
              <w:textAlignment w:val="auto"/>
              <w:rPr>
                <w:rFonts w:ascii="Arial" w:hAnsi="Arial" w:cs="Arial"/>
                <w:sz w:val="16"/>
                <w:szCs w:val="18"/>
                <w:highlight w:val="none"/>
              </w:rPr>
            </w:pPr>
          </w:p>
        </w:tc>
        <w:tc>
          <w:tcPr>
            <w:tcW w:w="1516" w:type="pct"/>
            <w:tcBorders>
              <w:top w:val="nil"/>
              <w:left w:val="nil"/>
              <w:bottom w:val="single" w:color="auto" w:sz="4" w:space="0"/>
              <w:right w:val="single" w:color="auto" w:sz="4" w:space="0"/>
            </w:tcBorders>
            <w:vAlign w:val="center"/>
          </w:tcPr>
          <w:p w14:paraId="1A0433A9">
            <w:pPr>
              <w:widowControl/>
              <w:adjustRightInd/>
              <w:spacing w:line="240" w:lineRule="auto"/>
              <w:textAlignment w:val="auto"/>
              <w:rPr>
                <w:rFonts w:ascii="Arial" w:hAnsi="Arial" w:cs="Arial"/>
                <w:sz w:val="16"/>
                <w:szCs w:val="18"/>
                <w:highlight w:val="none"/>
              </w:rPr>
            </w:pPr>
            <w:r>
              <w:rPr>
                <w:rFonts w:ascii="Arial" w:hAnsi="Arial" w:cs="Arial"/>
                <w:sz w:val="16"/>
                <w:szCs w:val="18"/>
                <w:highlight w:val="none"/>
              </w:rPr>
              <w:t>道路通达度</w:t>
            </w:r>
          </w:p>
        </w:tc>
        <w:tc>
          <w:tcPr>
            <w:tcW w:w="897" w:type="pct"/>
            <w:tcBorders>
              <w:top w:val="nil"/>
              <w:left w:val="nil"/>
              <w:bottom w:val="single" w:color="auto" w:sz="4" w:space="0"/>
              <w:right w:val="single" w:color="auto" w:sz="4" w:space="0"/>
            </w:tcBorders>
            <w:vAlign w:val="center"/>
          </w:tcPr>
          <w:p w14:paraId="11CA07A2">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897" w:type="pct"/>
            <w:tcBorders>
              <w:top w:val="nil"/>
              <w:left w:val="nil"/>
              <w:bottom w:val="single" w:color="auto" w:sz="4" w:space="0"/>
              <w:right w:val="single" w:color="auto" w:sz="4" w:space="0"/>
            </w:tcBorders>
            <w:vAlign w:val="center"/>
          </w:tcPr>
          <w:p w14:paraId="35D23FF0">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897" w:type="pct"/>
            <w:tcBorders>
              <w:top w:val="nil"/>
              <w:left w:val="nil"/>
              <w:bottom w:val="single" w:color="auto" w:sz="4" w:space="0"/>
              <w:right w:val="single" w:color="auto" w:sz="4" w:space="0"/>
            </w:tcBorders>
            <w:vAlign w:val="center"/>
          </w:tcPr>
          <w:p w14:paraId="0EA76D34">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r>
      <w:tr w14:paraId="3538CC3A">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7A3022E0">
            <w:pPr>
              <w:widowControl/>
              <w:adjustRightInd/>
              <w:spacing w:line="240" w:lineRule="auto"/>
              <w:textAlignment w:val="auto"/>
              <w:rPr>
                <w:rFonts w:ascii="Arial" w:hAnsi="Arial" w:cs="Arial"/>
                <w:sz w:val="16"/>
                <w:szCs w:val="18"/>
                <w:highlight w:val="none"/>
              </w:rPr>
            </w:pPr>
          </w:p>
        </w:tc>
        <w:tc>
          <w:tcPr>
            <w:tcW w:w="1516" w:type="pct"/>
            <w:tcBorders>
              <w:top w:val="nil"/>
              <w:left w:val="nil"/>
              <w:bottom w:val="single" w:color="auto" w:sz="4" w:space="0"/>
              <w:right w:val="single" w:color="auto" w:sz="4" w:space="0"/>
            </w:tcBorders>
            <w:vAlign w:val="center"/>
          </w:tcPr>
          <w:p w14:paraId="424B2607">
            <w:pPr>
              <w:widowControl/>
              <w:adjustRightInd/>
              <w:spacing w:line="240" w:lineRule="auto"/>
              <w:textAlignment w:val="auto"/>
              <w:rPr>
                <w:rFonts w:ascii="Arial" w:hAnsi="Arial" w:cs="Arial"/>
                <w:sz w:val="16"/>
                <w:szCs w:val="18"/>
                <w:highlight w:val="none"/>
              </w:rPr>
            </w:pPr>
            <w:r>
              <w:rPr>
                <w:rFonts w:ascii="Arial" w:hAnsi="Arial" w:cs="Arial"/>
                <w:sz w:val="16"/>
                <w:szCs w:val="18"/>
                <w:highlight w:val="none"/>
              </w:rPr>
              <w:t>距离轨道交通站点距离</w:t>
            </w:r>
          </w:p>
        </w:tc>
        <w:tc>
          <w:tcPr>
            <w:tcW w:w="897" w:type="pct"/>
            <w:tcBorders>
              <w:top w:val="nil"/>
              <w:left w:val="nil"/>
              <w:bottom w:val="single" w:color="auto" w:sz="4" w:space="0"/>
              <w:right w:val="single" w:color="auto" w:sz="4" w:space="0"/>
            </w:tcBorders>
            <w:vAlign w:val="center"/>
          </w:tcPr>
          <w:p w14:paraId="5C11C1EE">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897" w:type="pct"/>
            <w:tcBorders>
              <w:top w:val="nil"/>
              <w:left w:val="nil"/>
              <w:bottom w:val="single" w:color="auto" w:sz="4" w:space="0"/>
              <w:right w:val="single" w:color="auto" w:sz="4" w:space="0"/>
            </w:tcBorders>
            <w:vAlign w:val="center"/>
          </w:tcPr>
          <w:p w14:paraId="73AE94C0">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897" w:type="pct"/>
            <w:tcBorders>
              <w:top w:val="nil"/>
              <w:left w:val="nil"/>
              <w:bottom w:val="single" w:color="auto" w:sz="4" w:space="0"/>
              <w:right w:val="single" w:color="auto" w:sz="4" w:space="0"/>
            </w:tcBorders>
            <w:vAlign w:val="center"/>
          </w:tcPr>
          <w:p w14:paraId="3FAF40F8">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r>
      <w:tr w14:paraId="5F7038D4">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36EA2209">
            <w:pPr>
              <w:widowControl/>
              <w:adjustRightInd/>
              <w:spacing w:line="240" w:lineRule="auto"/>
              <w:textAlignment w:val="auto"/>
              <w:rPr>
                <w:rFonts w:ascii="Arial" w:hAnsi="Arial" w:cs="Arial"/>
                <w:sz w:val="16"/>
                <w:szCs w:val="18"/>
                <w:highlight w:val="none"/>
              </w:rPr>
            </w:pPr>
          </w:p>
        </w:tc>
        <w:tc>
          <w:tcPr>
            <w:tcW w:w="1516" w:type="pct"/>
            <w:tcBorders>
              <w:top w:val="nil"/>
              <w:left w:val="nil"/>
              <w:bottom w:val="single" w:color="auto" w:sz="4" w:space="0"/>
              <w:right w:val="single" w:color="auto" w:sz="4" w:space="0"/>
            </w:tcBorders>
            <w:vAlign w:val="center"/>
          </w:tcPr>
          <w:p w14:paraId="01B16FEA">
            <w:pPr>
              <w:widowControl/>
              <w:adjustRightInd/>
              <w:spacing w:line="240" w:lineRule="auto"/>
              <w:textAlignment w:val="auto"/>
              <w:rPr>
                <w:rFonts w:ascii="Arial" w:hAnsi="Arial" w:cs="Arial"/>
                <w:sz w:val="16"/>
                <w:szCs w:val="18"/>
                <w:highlight w:val="none"/>
              </w:rPr>
            </w:pPr>
            <w:r>
              <w:rPr>
                <w:rFonts w:ascii="Arial" w:hAnsi="Arial" w:cs="Arial"/>
                <w:sz w:val="16"/>
                <w:szCs w:val="18"/>
                <w:highlight w:val="none"/>
              </w:rPr>
              <w:t>距离公交站点距离</w:t>
            </w:r>
          </w:p>
        </w:tc>
        <w:tc>
          <w:tcPr>
            <w:tcW w:w="1707" w:type="dxa"/>
            <w:tcBorders>
              <w:top w:val="nil"/>
              <w:left w:val="nil"/>
              <w:bottom w:val="single" w:color="auto" w:sz="4" w:space="0"/>
              <w:right w:val="single" w:color="auto" w:sz="4" w:space="0"/>
            </w:tcBorders>
            <w:vAlign w:val="center"/>
          </w:tcPr>
          <w:p w14:paraId="2ACF245E">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1707" w:type="dxa"/>
            <w:tcBorders>
              <w:top w:val="nil"/>
              <w:left w:val="nil"/>
              <w:bottom w:val="single" w:color="auto" w:sz="4" w:space="0"/>
              <w:right w:val="single" w:color="auto" w:sz="4" w:space="0"/>
            </w:tcBorders>
            <w:vAlign w:val="center"/>
          </w:tcPr>
          <w:p w14:paraId="6B37A2B6">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1708" w:type="dxa"/>
            <w:tcBorders>
              <w:top w:val="nil"/>
              <w:left w:val="nil"/>
              <w:bottom w:val="single" w:color="auto" w:sz="4" w:space="0"/>
              <w:right w:val="single" w:color="auto" w:sz="4" w:space="0"/>
            </w:tcBorders>
            <w:vAlign w:val="center"/>
          </w:tcPr>
          <w:p w14:paraId="7DA39948">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r>
      <w:tr w14:paraId="3915D99D">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4FF24353">
            <w:pPr>
              <w:widowControl/>
              <w:adjustRightInd/>
              <w:spacing w:line="240" w:lineRule="auto"/>
              <w:textAlignment w:val="auto"/>
              <w:rPr>
                <w:rFonts w:ascii="Arial" w:hAnsi="Arial" w:cs="Arial"/>
                <w:sz w:val="16"/>
                <w:szCs w:val="18"/>
                <w:highlight w:val="none"/>
              </w:rPr>
            </w:pPr>
          </w:p>
        </w:tc>
        <w:tc>
          <w:tcPr>
            <w:tcW w:w="1516" w:type="pct"/>
            <w:tcBorders>
              <w:top w:val="nil"/>
              <w:left w:val="nil"/>
              <w:bottom w:val="single" w:color="auto" w:sz="4" w:space="0"/>
              <w:right w:val="single" w:color="auto" w:sz="4" w:space="0"/>
            </w:tcBorders>
            <w:vAlign w:val="center"/>
          </w:tcPr>
          <w:p w14:paraId="75A5DF8C">
            <w:pPr>
              <w:widowControl/>
              <w:adjustRightInd/>
              <w:spacing w:line="240" w:lineRule="auto"/>
              <w:textAlignment w:val="auto"/>
              <w:rPr>
                <w:rFonts w:ascii="Arial" w:hAnsi="Arial" w:cs="Arial"/>
                <w:sz w:val="16"/>
                <w:szCs w:val="18"/>
                <w:highlight w:val="none"/>
              </w:rPr>
            </w:pPr>
            <w:r>
              <w:rPr>
                <w:rFonts w:hint="eastAsia" w:ascii="Arial" w:hAnsi="Arial" w:cs="Arial"/>
                <w:sz w:val="16"/>
                <w:szCs w:val="18"/>
                <w:highlight w:val="none"/>
              </w:rPr>
              <w:t>环境质量优劣度</w:t>
            </w:r>
          </w:p>
        </w:tc>
        <w:tc>
          <w:tcPr>
            <w:tcW w:w="1707" w:type="dxa"/>
            <w:tcBorders>
              <w:top w:val="nil"/>
              <w:left w:val="nil"/>
              <w:bottom w:val="single" w:color="auto" w:sz="4" w:space="0"/>
              <w:right w:val="single" w:color="auto" w:sz="4" w:space="0"/>
            </w:tcBorders>
            <w:vAlign w:val="center"/>
          </w:tcPr>
          <w:p w14:paraId="270EBA15">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1707" w:type="dxa"/>
            <w:tcBorders>
              <w:top w:val="nil"/>
              <w:left w:val="nil"/>
              <w:bottom w:val="single" w:color="auto" w:sz="4" w:space="0"/>
              <w:right w:val="single" w:color="auto" w:sz="4" w:space="0"/>
            </w:tcBorders>
            <w:vAlign w:val="center"/>
          </w:tcPr>
          <w:p w14:paraId="0D374903">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1708" w:type="dxa"/>
            <w:tcBorders>
              <w:top w:val="nil"/>
              <w:left w:val="nil"/>
              <w:bottom w:val="single" w:color="auto" w:sz="4" w:space="0"/>
              <w:right w:val="single" w:color="auto" w:sz="4" w:space="0"/>
            </w:tcBorders>
            <w:vAlign w:val="center"/>
          </w:tcPr>
          <w:p w14:paraId="7ED2DFF2">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r>
      <w:tr w14:paraId="2A0D5A7F">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695C9798">
            <w:pPr>
              <w:widowControl/>
              <w:adjustRightInd/>
              <w:spacing w:line="240" w:lineRule="auto"/>
              <w:textAlignment w:val="auto"/>
              <w:rPr>
                <w:rFonts w:ascii="Arial" w:hAnsi="Arial" w:cs="Arial"/>
                <w:sz w:val="16"/>
                <w:szCs w:val="18"/>
                <w:highlight w:val="none"/>
              </w:rPr>
            </w:pPr>
          </w:p>
        </w:tc>
        <w:tc>
          <w:tcPr>
            <w:tcW w:w="1516" w:type="pct"/>
            <w:tcBorders>
              <w:top w:val="nil"/>
              <w:left w:val="nil"/>
              <w:bottom w:val="single" w:color="auto" w:sz="4" w:space="0"/>
              <w:right w:val="single" w:color="auto" w:sz="4" w:space="0"/>
            </w:tcBorders>
            <w:vAlign w:val="center"/>
          </w:tcPr>
          <w:p w14:paraId="38148408">
            <w:pPr>
              <w:widowControl/>
              <w:adjustRightInd/>
              <w:spacing w:line="240" w:lineRule="auto"/>
              <w:textAlignment w:val="auto"/>
              <w:rPr>
                <w:rFonts w:ascii="Arial" w:hAnsi="Arial" w:cs="Arial"/>
                <w:sz w:val="16"/>
                <w:szCs w:val="18"/>
                <w:highlight w:val="none"/>
              </w:rPr>
            </w:pPr>
            <w:r>
              <w:rPr>
                <w:rFonts w:ascii="Arial" w:hAnsi="Arial" w:cs="Arial"/>
                <w:sz w:val="16"/>
                <w:szCs w:val="18"/>
                <w:highlight w:val="none"/>
              </w:rPr>
              <w:t>自然环境</w:t>
            </w:r>
          </w:p>
        </w:tc>
        <w:tc>
          <w:tcPr>
            <w:tcW w:w="1707" w:type="dxa"/>
            <w:tcBorders>
              <w:top w:val="nil"/>
              <w:left w:val="nil"/>
              <w:bottom w:val="single" w:color="auto" w:sz="4" w:space="0"/>
              <w:right w:val="single" w:color="auto" w:sz="4" w:space="0"/>
            </w:tcBorders>
            <w:vAlign w:val="center"/>
          </w:tcPr>
          <w:p w14:paraId="78B21E65">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1707" w:type="dxa"/>
            <w:tcBorders>
              <w:top w:val="nil"/>
              <w:left w:val="nil"/>
              <w:bottom w:val="single" w:color="auto" w:sz="4" w:space="0"/>
              <w:right w:val="single" w:color="auto" w:sz="4" w:space="0"/>
            </w:tcBorders>
            <w:vAlign w:val="center"/>
          </w:tcPr>
          <w:p w14:paraId="2010FED0">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1708" w:type="dxa"/>
            <w:tcBorders>
              <w:top w:val="nil"/>
              <w:left w:val="nil"/>
              <w:bottom w:val="single" w:color="auto" w:sz="4" w:space="0"/>
              <w:right w:val="single" w:color="auto" w:sz="4" w:space="0"/>
            </w:tcBorders>
            <w:vAlign w:val="center"/>
          </w:tcPr>
          <w:p w14:paraId="72203DCB">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r>
      <w:tr w14:paraId="11A6622C">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278C9C33">
            <w:pPr>
              <w:widowControl/>
              <w:adjustRightInd/>
              <w:spacing w:line="240" w:lineRule="auto"/>
              <w:textAlignment w:val="auto"/>
              <w:rPr>
                <w:rFonts w:ascii="Arial" w:hAnsi="Arial" w:cs="Arial"/>
                <w:sz w:val="16"/>
                <w:szCs w:val="18"/>
                <w:highlight w:val="none"/>
              </w:rPr>
            </w:pPr>
          </w:p>
        </w:tc>
        <w:tc>
          <w:tcPr>
            <w:tcW w:w="1516" w:type="pct"/>
            <w:tcBorders>
              <w:top w:val="nil"/>
              <w:left w:val="nil"/>
              <w:bottom w:val="single" w:color="auto" w:sz="4" w:space="0"/>
              <w:right w:val="single" w:color="auto" w:sz="4" w:space="0"/>
            </w:tcBorders>
            <w:vAlign w:val="center"/>
          </w:tcPr>
          <w:p w14:paraId="33C7399C">
            <w:pPr>
              <w:widowControl/>
              <w:adjustRightInd/>
              <w:spacing w:line="240" w:lineRule="auto"/>
              <w:textAlignment w:val="auto"/>
              <w:rPr>
                <w:rFonts w:ascii="Arial" w:hAnsi="Arial" w:cs="Arial"/>
                <w:sz w:val="16"/>
                <w:szCs w:val="18"/>
                <w:highlight w:val="none"/>
              </w:rPr>
            </w:pPr>
            <w:r>
              <w:rPr>
                <w:rFonts w:hint="eastAsia" w:ascii="Arial" w:hAnsi="Arial" w:cs="Arial"/>
                <w:sz w:val="16"/>
                <w:szCs w:val="18"/>
                <w:highlight w:val="none"/>
              </w:rPr>
              <w:t>小区环境</w:t>
            </w:r>
          </w:p>
        </w:tc>
        <w:tc>
          <w:tcPr>
            <w:tcW w:w="1707" w:type="dxa"/>
            <w:tcBorders>
              <w:top w:val="nil"/>
              <w:left w:val="nil"/>
              <w:bottom w:val="single" w:color="auto" w:sz="4" w:space="0"/>
              <w:right w:val="single" w:color="auto" w:sz="4" w:space="0"/>
            </w:tcBorders>
            <w:vAlign w:val="center"/>
          </w:tcPr>
          <w:p w14:paraId="390BADC3">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1707" w:type="dxa"/>
            <w:tcBorders>
              <w:top w:val="nil"/>
              <w:left w:val="nil"/>
              <w:bottom w:val="single" w:color="auto" w:sz="4" w:space="0"/>
              <w:right w:val="single" w:color="auto" w:sz="4" w:space="0"/>
            </w:tcBorders>
            <w:vAlign w:val="center"/>
          </w:tcPr>
          <w:p w14:paraId="06382EA9">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1708" w:type="dxa"/>
            <w:tcBorders>
              <w:top w:val="nil"/>
              <w:left w:val="nil"/>
              <w:bottom w:val="single" w:color="auto" w:sz="4" w:space="0"/>
              <w:right w:val="single" w:color="auto" w:sz="4" w:space="0"/>
            </w:tcBorders>
            <w:vAlign w:val="center"/>
          </w:tcPr>
          <w:p w14:paraId="1A70C29C">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r>
      <w:tr w14:paraId="585FF564">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3E6A2E42">
            <w:pPr>
              <w:widowControl/>
              <w:adjustRightInd/>
              <w:spacing w:line="240" w:lineRule="auto"/>
              <w:textAlignment w:val="auto"/>
              <w:rPr>
                <w:rFonts w:ascii="Arial" w:hAnsi="Arial" w:cs="Arial"/>
                <w:sz w:val="16"/>
                <w:szCs w:val="18"/>
                <w:highlight w:val="none"/>
              </w:rPr>
            </w:pPr>
          </w:p>
        </w:tc>
        <w:tc>
          <w:tcPr>
            <w:tcW w:w="1516" w:type="pct"/>
            <w:tcBorders>
              <w:top w:val="nil"/>
              <w:left w:val="nil"/>
              <w:bottom w:val="single" w:color="auto" w:sz="4" w:space="0"/>
              <w:right w:val="single" w:color="auto" w:sz="4" w:space="0"/>
            </w:tcBorders>
            <w:vAlign w:val="center"/>
          </w:tcPr>
          <w:p w14:paraId="285D2951">
            <w:pPr>
              <w:widowControl/>
              <w:adjustRightInd/>
              <w:spacing w:line="240" w:lineRule="auto"/>
              <w:textAlignment w:val="auto"/>
              <w:rPr>
                <w:rFonts w:ascii="Arial" w:hAnsi="Arial" w:cs="Arial"/>
                <w:sz w:val="16"/>
                <w:szCs w:val="18"/>
                <w:highlight w:val="none"/>
              </w:rPr>
            </w:pPr>
            <w:r>
              <w:rPr>
                <w:rFonts w:hint="eastAsia" w:ascii="Arial" w:hAnsi="Arial" w:cs="Arial"/>
                <w:sz w:val="16"/>
                <w:szCs w:val="18"/>
                <w:highlight w:val="none"/>
              </w:rPr>
              <w:t>公共服务设施状况</w:t>
            </w:r>
          </w:p>
        </w:tc>
        <w:tc>
          <w:tcPr>
            <w:tcW w:w="1707" w:type="dxa"/>
            <w:tcBorders>
              <w:top w:val="nil"/>
              <w:left w:val="nil"/>
              <w:bottom w:val="single" w:color="auto" w:sz="4" w:space="0"/>
              <w:right w:val="single" w:color="auto" w:sz="4" w:space="0"/>
            </w:tcBorders>
            <w:vAlign w:val="center"/>
          </w:tcPr>
          <w:p w14:paraId="0FACF756">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1707" w:type="dxa"/>
            <w:tcBorders>
              <w:top w:val="nil"/>
              <w:left w:val="nil"/>
              <w:bottom w:val="single" w:color="auto" w:sz="4" w:space="0"/>
              <w:right w:val="single" w:color="auto" w:sz="4" w:space="0"/>
            </w:tcBorders>
            <w:vAlign w:val="center"/>
          </w:tcPr>
          <w:p w14:paraId="36F0DEBB">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1708" w:type="dxa"/>
            <w:tcBorders>
              <w:top w:val="nil"/>
              <w:left w:val="nil"/>
              <w:bottom w:val="single" w:color="auto" w:sz="4" w:space="0"/>
              <w:right w:val="single" w:color="auto" w:sz="4" w:space="0"/>
            </w:tcBorders>
            <w:vAlign w:val="center"/>
          </w:tcPr>
          <w:p w14:paraId="2CC95F18">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r>
      <w:tr w14:paraId="0DA8D7C6">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2293DFBB">
            <w:pPr>
              <w:widowControl/>
              <w:adjustRightInd/>
              <w:spacing w:line="240" w:lineRule="auto"/>
              <w:textAlignment w:val="auto"/>
              <w:rPr>
                <w:rFonts w:ascii="Arial" w:hAnsi="Arial" w:cs="Arial"/>
                <w:sz w:val="16"/>
                <w:szCs w:val="18"/>
                <w:highlight w:val="none"/>
              </w:rPr>
            </w:pPr>
          </w:p>
        </w:tc>
        <w:tc>
          <w:tcPr>
            <w:tcW w:w="1516" w:type="pct"/>
            <w:tcBorders>
              <w:top w:val="nil"/>
              <w:left w:val="nil"/>
              <w:bottom w:val="single" w:color="auto" w:sz="4" w:space="0"/>
              <w:right w:val="single" w:color="auto" w:sz="4" w:space="0"/>
            </w:tcBorders>
            <w:vAlign w:val="center"/>
          </w:tcPr>
          <w:p w14:paraId="1234EB15">
            <w:pPr>
              <w:widowControl/>
              <w:adjustRightInd/>
              <w:spacing w:line="240" w:lineRule="auto"/>
              <w:textAlignment w:val="auto"/>
              <w:rPr>
                <w:rFonts w:hint="default" w:ascii="Arial" w:hAnsi="Arial" w:eastAsia="宋体" w:cs="Arial"/>
                <w:sz w:val="16"/>
                <w:szCs w:val="18"/>
                <w:highlight w:val="none"/>
                <w:lang w:val="en-US" w:eastAsia="zh-CN"/>
              </w:rPr>
            </w:pPr>
            <w:r>
              <w:rPr>
                <w:rFonts w:hint="eastAsia" w:ascii="Arial" w:hAnsi="Arial" w:cs="Arial"/>
                <w:sz w:val="16"/>
                <w:szCs w:val="18"/>
                <w:highlight w:val="none"/>
                <w:lang w:val="en-US" w:eastAsia="zh-CN"/>
              </w:rPr>
              <w:t>建筑类型</w:t>
            </w:r>
          </w:p>
        </w:tc>
        <w:tc>
          <w:tcPr>
            <w:tcW w:w="1707" w:type="dxa"/>
            <w:tcBorders>
              <w:top w:val="nil"/>
              <w:left w:val="nil"/>
              <w:bottom w:val="single" w:color="auto" w:sz="4" w:space="0"/>
              <w:right w:val="single" w:color="auto" w:sz="4" w:space="0"/>
            </w:tcBorders>
            <w:shd w:val="clear" w:color="auto" w:fill="auto"/>
            <w:vAlign w:val="center"/>
          </w:tcPr>
          <w:p w14:paraId="10BE19C6">
            <w:pPr>
              <w:widowControl/>
              <w:adjustRightInd/>
              <w:spacing w:line="240" w:lineRule="auto"/>
              <w:jc w:val="center"/>
              <w:textAlignment w:val="auto"/>
              <w:rPr>
                <w:rFonts w:hint="eastAsia" w:ascii="Arial" w:hAnsi="Arial" w:eastAsia="宋体" w:cs="Arial"/>
                <w:sz w:val="16"/>
                <w:szCs w:val="18"/>
                <w:highlight w:val="none"/>
                <w:lang w:val="en-US" w:eastAsia="zh-CN" w:bidi="ar-SA"/>
              </w:rPr>
            </w:pPr>
            <w:r>
              <w:rPr>
                <w:rFonts w:ascii="Arial" w:hAnsi="Arial" w:cs="Arial"/>
                <w:sz w:val="16"/>
                <w:szCs w:val="18"/>
                <w:highlight w:val="none"/>
              </w:rPr>
              <w:t>100/100</w:t>
            </w:r>
          </w:p>
        </w:tc>
        <w:tc>
          <w:tcPr>
            <w:tcW w:w="1707" w:type="dxa"/>
            <w:tcBorders>
              <w:top w:val="nil"/>
              <w:left w:val="nil"/>
              <w:bottom w:val="single" w:color="auto" w:sz="4" w:space="0"/>
              <w:right w:val="single" w:color="auto" w:sz="4" w:space="0"/>
            </w:tcBorders>
            <w:shd w:val="clear" w:color="auto" w:fill="auto"/>
            <w:vAlign w:val="center"/>
          </w:tcPr>
          <w:p w14:paraId="40507D45">
            <w:pPr>
              <w:widowControl/>
              <w:adjustRightInd/>
              <w:spacing w:line="240" w:lineRule="auto"/>
              <w:jc w:val="center"/>
              <w:textAlignment w:val="auto"/>
              <w:rPr>
                <w:rFonts w:ascii="Arial" w:hAnsi="Arial" w:eastAsia="宋体" w:cs="Arial"/>
                <w:sz w:val="16"/>
                <w:szCs w:val="18"/>
                <w:highlight w:val="none"/>
                <w:lang w:val="en-US" w:eastAsia="zh-CN" w:bidi="ar-SA"/>
              </w:rPr>
            </w:pPr>
            <w:r>
              <w:rPr>
                <w:rFonts w:ascii="Arial" w:hAnsi="Arial" w:cs="Arial"/>
                <w:sz w:val="16"/>
                <w:szCs w:val="18"/>
                <w:highlight w:val="none"/>
              </w:rPr>
              <w:t>100/100</w:t>
            </w:r>
          </w:p>
        </w:tc>
        <w:tc>
          <w:tcPr>
            <w:tcW w:w="1708" w:type="dxa"/>
            <w:tcBorders>
              <w:top w:val="nil"/>
              <w:left w:val="nil"/>
              <w:bottom w:val="single" w:color="auto" w:sz="4" w:space="0"/>
              <w:right w:val="single" w:color="auto" w:sz="4" w:space="0"/>
            </w:tcBorders>
            <w:shd w:val="clear" w:color="auto" w:fill="auto"/>
            <w:vAlign w:val="center"/>
          </w:tcPr>
          <w:p w14:paraId="2D02340D">
            <w:pPr>
              <w:widowControl/>
              <w:adjustRightInd/>
              <w:spacing w:line="240" w:lineRule="auto"/>
              <w:jc w:val="center"/>
              <w:textAlignment w:val="auto"/>
              <w:rPr>
                <w:rFonts w:hint="eastAsia" w:ascii="Arial" w:hAnsi="Arial" w:eastAsia="宋体" w:cs="Arial"/>
                <w:sz w:val="16"/>
                <w:szCs w:val="18"/>
                <w:highlight w:val="none"/>
                <w:lang w:val="en-US" w:eastAsia="zh-CN" w:bidi="ar-SA"/>
              </w:rPr>
            </w:pPr>
            <w:r>
              <w:rPr>
                <w:rFonts w:ascii="Arial" w:hAnsi="Arial" w:cs="Arial"/>
                <w:sz w:val="16"/>
                <w:szCs w:val="18"/>
                <w:highlight w:val="none"/>
              </w:rPr>
              <w:t>100/10</w:t>
            </w:r>
            <w:r>
              <w:rPr>
                <w:rFonts w:hint="eastAsia" w:ascii="Arial" w:hAnsi="Arial" w:cs="Arial"/>
                <w:sz w:val="16"/>
                <w:szCs w:val="18"/>
                <w:highlight w:val="none"/>
                <w:lang w:val="en-US" w:eastAsia="zh-CN"/>
              </w:rPr>
              <w:t>5</w:t>
            </w:r>
          </w:p>
        </w:tc>
      </w:tr>
      <w:tr w14:paraId="33BA3ECF">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5F75C743">
            <w:pPr>
              <w:widowControl/>
              <w:adjustRightInd/>
              <w:spacing w:line="240" w:lineRule="auto"/>
              <w:textAlignment w:val="auto"/>
              <w:rPr>
                <w:rFonts w:ascii="Arial" w:hAnsi="Arial" w:cs="Arial"/>
                <w:sz w:val="16"/>
                <w:szCs w:val="18"/>
                <w:highlight w:val="none"/>
              </w:rPr>
            </w:pPr>
          </w:p>
        </w:tc>
        <w:tc>
          <w:tcPr>
            <w:tcW w:w="1516" w:type="pct"/>
            <w:tcBorders>
              <w:top w:val="nil"/>
              <w:left w:val="nil"/>
              <w:bottom w:val="single" w:color="auto" w:sz="4" w:space="0"/>
              <w:right w:val="single" w:color="auto" w:sz="4" w:space="0"/>
            </w:tcBorders>
            <w:vAlign w:val="center"/>
          </w:tcPr>
          <w:p w14:paraId="246BC26F">
            <w:pPr>
              <w:widowControl/>
              <w:adjustRightInd/>
              <w:spacing w:line="240" w:lineRule="auto"/>
              <w:textAlignment w:val="auto"/>
              <w:rPr>
                <w:rFonts w:ascii="Arial" w:hAnsi="Arial" w:cs="Arial"/>
                <w:sz w:val="16"/>
                <w:szCs w:val="18"/>
                <w:highlight w:val="none"/>
              </w:rPr>
            </w:pPr>
            <w:r>
              <w:rPr>
                <w:rFonts w:ascii="Arial" w:hAnsi="Arial" w:cs="Arial"/>
                <w:sz w:val="16"/>
                <w:szCs w:val="18"/>
                <w:highlight w:val="none"/>
              </w:rPr>
              <w:t>楼层</w:t>
            </w:r>
          </w:p>
        </w:tc>
        <w:tc>
          <w:tcPr>
            <w:tcW w:w="1707" w:type="dxa"/>
            <w:tcBorders>
              <w:top w:val="nil"/>
              <w:left w:val="nil"/>
              <w:bottom w:val="single" w:color="auto" w:sz="4" w:space="0"/>
              <w:right w:val="single" w:color="auto" w:sz="4" w:space="0"/>
            </w:tcBorders>
            <w:vAlign w:val="center"/>
          </w:tcPr>
          <w:p w14:paraId="7D7C3A7E">
            <w:pPr>
              <w:widowControl/>
              <w:adjustRightInd/>
              <w:spacing w:line="240" w:lineRule="auto"/>
              <w:jc w:val="center"/>
              <w:textAlignment w:val="auto"/>
              <w:rPr>
                <w:rFonts w:hint="default" w:ascii="Arial" w:hAnsi="Arial" w:eastAsia="宋体" w:cs="Arial"/>
                <w:sz w:val="16"/>
                <w:szCs w:val="18"/>
                <w:highlight w:val="none"/>
                <w:lang w:val="en-US" w:eastAsia="zh-CN"/>
              </w:rPr>
            </w:pPr>
            <w:r>
              <w:rPr>
                <w:rFonts w:ascii="Arial" w:hAnsi="Arial" w:cs="Arial"/>
                <w:sz w:val="16"/>
                <w:szCs w:val="18"/>
                <w:highlight w:val="none"/>
              </w:rPr>
              <w:t>100/</w:t>
            </w:r>
            <w:r>
              <w:rPr>
                <w:rFonts w:hint="eastAsia" w:ascii="Arial" w:hAnsi="Arial" w:cs="Arial"/>
                <w:sz w:val="16"/>
                <w:szCs w:val="18"/>
                <w:highlight w:val="none"/>
                <w:lang w:val="en-US" w:eastAsia="zh-CN"/>
              </w:rPr>
              <w:t>99</w:t>
            </w:r>
          </w:p>
        </w:tc>
        <w:tc>
          <w:tcPr>
            <w:tcW w:w="1707" w:type="dxa"/>
            <w:tcBorders>
              <w:top w:val="nil"/>
              <w:left w:val="nil"/>
              <w:bottom w:val="single" w:color="auto" w:sz="4" w:space="0"/>
              <w:right w:val="single" w:color="auto" w:sz="4" w:space="0"/>
            </w:tcBorders>
            <w:vAlign w:val="center"/>
          </w:tcPr>
          <w:p w14:paraId="1402E35C">
            <w:pPr>
              <w:widowControl/>
              <w:adjustRightInd/>
              <w:spacing w:line="240" w:lineRule="auto"/>
              <w:jc w:val="center"/>
              <w:textAlignment w:val="auto"/>
              <w:rPr>
                <w:rFonts w:hint="eastAsia" w:ascii="Arial" w:hAnsi="Arial" w:eastAsia="宋体" w:cs="Arial"/>
                <w:sz w:val="16"/>
                <w:szCs w:val="18"/>
                <w:highlight w:val="none"/>
                <w:lang w:val="en-US" w:eastAsia="zh-CN"/>
              </w:rPr>
            </w:pPr>
            <w:r>
              <w:rPr>
                <w:rFonts w:ascii="Arial" w:hAnsi="Arial" w:cs="Arial"/>
                <w:sz w:val="16"/>
                <w:szCs w:val="18"/>
                <w:highlight w:val="none"/>
              </w:rPr>
              <w:t>100/10</w:t>
            </w:r>
            <w:r>
              <w:rPr>
                <w:rFonts w:hint="eastAsia" w:ascii="Arial" w:hAnsi="Arial" w:cs="Arial"/>
                <w:sz w:val="16"/>
                <w:szCs w:val="18"/>
                <w:highlight w:val="none"/>
                <w:lang w:val="en-US" w:eastAsia="zh-CN"/>
              </w:rPr>
              <w:t>1</w:t>
            </w:r>
          </w:p>
        </w:tc>
        <w:tc>
          <w:tcPr>
            <w:tcW w:w="1708" w:type="dxa"/>
            <w:tcBorders>
              <w:top w:val="nil"/>
              <w:left w:val="nil"/>
              <w:bottom w:val="single" w:color="auto" w:sz="4" w:space="0"/>
              <w:right w:val="single" w:color="auto" w:sz="4" w:space="0"/>
            </w:tcBorders>
            <w:vAlign w:val="center"/>
          </w:tcPr>
          <w:p w14:paraId="5C1D3402">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r>
      <w:tr w14:paraId="6F6C943A">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42E7D102">
            <w:pPr>
              <w:widowControl/>
              <w:adjustRightInd/>
              <w:spacing w:line="240" w:lineRule="auto"/>
              <w:textAlignment w:val="auto"/>
              <w:rPr>
                <w:rFonts w:ascii="Arial" w:hAnsi="Arial" w:cs="Arial"/>
                <w:sz w:val="16"/>
                <w:szCs w:val="18"/>
                <w:highlight w:val="none"/>
              </w:rPr>
            </w:pPr>
          </w:p>
        </w:tc>
        <w:tc>
          <w:tcPr>
            <w:tcW w:w="1516" w:type="pct"/>
            <w:tcBorders>
              <w:top w:val="nil"/>
              <w:left w:val="nil"/>
              <w:bottom w:val="single" w:color="auto" w:sz="4" w:space="0"/>
              <w:right w:val="single" w:color="auto" w:sz="4" w:space="0"/>
            </w:tcBorders>
            <w:vAlign w:val="center"/>
          </w:tcPr>
          <w:p w14:paraId="269CE779">
            <w:pPr>
              <w:widowControl/>
              <w:adjustRightInd/>
              <w:spacing w:line="240" w:lineRule="auto"/>
              <w:textAlignment w:val="auto"/>
              <w:rPr>
                <w:rFonts w:ascii="Arial" w:hAnsi="Arial" w:cs="Arial"/>
                <w:sz w:val="16"/>
                <w:szCs w:val="18"/>
                <w:highlight w:val="none"/>
              </w:rPr>
            </w:pPr>
            <w:r>
              <w:rPr>
                <w:rFonts w:ascii="Arial" w:hAnsi="Arial" w:cs="Arial"/>
                <w:sz w:val="16"/>
                <w:szCs w:val="18"/>
                <w:highlight w:val="none"/>
              </w:rPr>
              <w:t>朝向</w:t>
            </w:r>
          </w:p>
        </w:tc>
        <w:tc>
          <w:tcPr>
            <w:tcW w:w="1707" w:type="dxa"/>
            <w:tcBorders>
              <w:top w:val="nil"/>
              <w:left w:val="nil"/>
              <w:bottom w:val="single" w:color="auto" w:sz="4" w:space="0"/>
              <w:right w:val="single" w:color="auto" w:sz="4" w:space="0"/>
            </w:tcBorders>
            <w:vAlign w:val="center"/>
          </w:tcPr>
          <w:p w14:paraId="75AA4E34">
            <w:pPr>
              <w:widowControl/>
              <w:adjustRightInd/>
              <w:spacing w:line="240" w:lineRule="auto"/>
              <w:jc w:val="center"/>
              <w:textAlignment w:val="auto"/>
              <w:rPr>
                <w:rFonts w:hint="default" w:ascii="Arial" w:hAnsi="Arial" w:eastAsia="宋体" w:cs="Arial"/>
                <w:sz w:val="16"/>
                <w:szCs w:val="18"/>
                <w:highlight w:val="none"/>
                <w:lang w:val="en-US" w:eastAsia="zh-CN"/>
              </w:rPr>
            </w:pPr>
            <w:r>
              <w:rPr>
                <w:rFonts w:ascii="Arial" w:hAnsi="Arial" w:cs="Arial"/>
                <w:sz w:val="16"/>
                <w:szCs w:val="18"/>
                <w:highlight w:val="none"/>
              </w:rPr>
              <w:t>100/</w:t>
            </w:r>
            <w:r>
              <w:rPr>
                <w:rFonts w:hint="eastAsia" w:ascii="Arial" w:hAnsi="Arial" w:cs="Arial"/>
                <w:sz w:val="16"/>
                <w:szCs w:val="18"/>
                <w:highlight w:val="none"/>
                <w:lang w:val="en-US" w:eastAsia="zh-CN"/>
              </w:rPr>
              <w:t>99</w:t>
            </w:r>
          </w:p>
        </w:tc>
        <w:tc>
          <w:tcPr>
            <w:tcW w:w="1707" w:type="dxa"/>
            <w:tcBorders>
              <w:top w:val="nil"/>
              <w:left w:val="nil"/>
              <w:bottom w:val="single" w:color="auto" w:sz="4" w:space="0"/>
              <w:right w:val="single" w:color="auto" w:sz="4" w:space="0"/>
            </w:tcBorders>
            <w:vAlign w:val="center"/>
          </w:tcPr>
          <w:p w14:paraId="753FDDC8">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1708" w:type="dxa"/>
            <w:tcBorders>
              <w:top w:val="nil"/>
              <w:left w:val="nil"/>
              <w:bottom w:val="single" w:color="auto" w:sz="4" w:space="0"/>
              <w:right w:val="single" w:color="auto" w:sz="4" w:space="0"/>
            </w:tcBorders>
            <w:vAlign w:val="center"/>
          </w:tcPr>
          <w:p w14:paraId="02DF6B9F">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r>
      <w:tr w14:paraId="685B6346">
        <w:tblPrEx>
          <w:tblCellMar>
            <w:top w:w="0" w:type="dxa"/>
            <w:left w:w="108" w:type="dxa"/>
            <w:bottom w:w="0" w:type="dxa"/>
            <w:right w:w="108" w:type="dxa"/>
          </w:tblCellMar>
        </w:tblPrEx>
        <w:trPr>
          <w:trHeight w:val="227" w:hRule="atLeast"/>
        </w:trPr>
        <w:tc>
          <w:tcPr>
            <w:tcW w:w="791" w:type="pct"/>
            <w:vMerge w:val="restart"/>
            <w:tcBorders>
              <w:top w:val="single" w:color="auto" w:sz="4" w:space="0"/>
              <w:left w:val="single" w:color="auto" w:sz="4" w:space="0"/>
              <w:bottom w:val="single" w:color="auto" w:sz="4" w:space="0"/>
              <w:right w:val="single" w:color="auto" w:sz="4" w:space="0"/>
            </w:tcBorders>
            <w:vAlign w:val="center"/>
          </w:tcPr>
          <w:p w14:paraId="1653162F">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实物状况</w:t>
            </w:r>
          </w:p>
        </w:tc>
        <w:tc>
          <w:tcPr>
            <w:tcW w:w="1516" w:type="pct"/>
            <w:tcBorders>
              <w:top w:val="nil"/>
              <w:left w:val="nil"/>
              <w:bottom w:val="single" w:color="auto" w:sz="4" w:space="0"/>
              <w:right w:val="single" w:color="auto" w:sz="4" w:space="0"/>
            </w:tcBorders>
            <w:vAlign w:val="center"/>
          </w:tcPr>
          <w:p w14:paraId="087664B0">
            <w:pPr>
              <w:widowControl/>
              <w:adjustRightInd/>
              <w:spacing w:line="240" w:lineRule="auto"/>
              <w:textAlignment w:val="auto"/>
              <w:rPr>
                <w:rFonts w:ascii="Arial" w:hAnsi="Arial" w:cs="Arial"/>
                <w:sz w:val="16"/>
                <w:szCs w:val="18"/>
                <w:highlight w:val="none"/>
              </w:rPr>
            </w:pPr>
            <w:r>
              <w:rPr>
                <w:rFonts w:ascii="Arial" w:hAnsi="Arial" w:cs="Arial"/>
                <w:sz w:val="16"/>
                <w:szCs w:val="18"/>
                <w:highlight w:val="none"/>
              </w:rPr>
              <w:t>成新度</w:t>
            </w:r>
          </w:p>
        </w:tc>
        <w:tc>
          <w:tcPr>
            <w:tcW w:w="1707" w:type="dxa"/>
            <w:tcBorders>
              <w:top w:val="nil"/>
              <w:left w:val="nil"/>
              <w:bottom w:val="single" w:color="auto" w:sz="4" w:space="0"/>
              <w:right w:val="single" w:color="auto" w:sz="4" w:space="0"/>
            </w:tcBorders>
            <w:vAlign w:val="center"/>
          </w:tcPr>
          <w:p w14:paraId="4DDE7D04">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1707" w:type="dxa"/>
            <w:tcBorders>
              <w:top w:val="nil"/>
              <w:left w:val="nil"/>
              <w:bottom w:val="single" w:color="auto" w:sz="4" w:space="0"/>
              <w:right w:val="single" w:color="auto" w:sz="4" w:space="0"/>
            </w:tcBorders>
            <w:vAlign w:val="center"/>
          </w:tcPr>
          <w:p w14:paraId="2DEEA542">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1708" w:type="dxa"/>
            <w:tcBorders>
              <w:top w:val="nil"/>
              <w:left w:val="nil"/>
              <w:bottom w:val="single" w:color="auto" w:sz="4" w:space="0"/>
              <w:right w:val="single" w:color="auto" w:sz="4" w:space="0"/>
            </w:tcBorders>
            <w:vAlign w:val="center"/>
          </w:tcPr>
          <w:p w14:paraId="591C265C">
            <w:pPr>
              <w:widowControl/>
              <w:adjustRightInd/>
              <w:spacing w:line="240" w:lineRule="auto"/>
              <w:jc w:val="center"/>
              <w:textAlignment w:val="auto"/>
              <w:rPr>
                <w:rFonts w:hint="default" w:ascii="Arial" w:hAnsi="Arial" w:eastAsia="宋体" w:cs="Arial"/>
                <w:sz w:val="16"/>
                <w:szCs w:val="18"/>
                <w:highlight w:val="none"/>
                <w:lang w:val="en-US" w:eastAsia="zh-CN"/>
              </w:rPr>
            </w:pPr>
            <w:r>
              <w:rPr>
                <w:rFonts w:ascii="Arial" w:hAnsi="Arial" w:cs="Arial"/>
                <w:sz w:val="16"/>
                <w:szCs w:val="18"/>
                <w:highlight w:val="none"/>
              </w:rPr>
              <w:t>100/</w:t>
            </w:r>
            <w:r>
              <w:rPr>
                <w:rFonts w:hint="eastAsia" w:ascii="Arial" w:hAnsi="Arial" w:cs="Arial"/>
                <w:sz w:val="16"/>
                <w:szCs w:val="18"/>
                <w:highlight w:val="none"/>
                <w:lang w:val="en-US" w:eastAsia="zh-CN"/>
              </w:rPr>
              <w:t>99</w:t>
            </w:r>
          </w:p>
        </w:tc>
      </w:tr>
      <w:tr w14:paraId="5CF6ED45">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12A4EE9E">
            <w:pPr>
              <w:widowControl/>
              <w:adjustRightInd/>
              <w:spacing w:line="240" w:lineRule="auto"/>
              <w:textAlignment w:val="auto"/>
              <w:rPr>
                <w:rFonts w:ascii="Arial" w:hAnsi="Arial" w:cs="Arial"/>
                <w:sz w:val="16"/>
                <w:szCs w:val="18"/>
                <w:highlight w:val="none"/>
              </w:rPr>
            </w:pPr>
          </w:p>
        </w:tc>
        <w:tc>
          <w:tcPr>
            <w:tcW w:w="1516" w:type="pct"/>
            <w:tcBorders>
              <w:top w:val="nil"/>
              <w:left w:val="nil"/>
              <w:bottom w:val="single" w:color="auto" w:sz="4" w:space="0"/>
              <w:right w:val="single" w:color="auto" w:sz="4" w:space="0"/>
            </w:tcBorders>
            <w:vAlign w:val="center"/>
          </w:tcPr>
          <w:p w14:paraId="1CE29848">
            <w:pPr>
              <w:widowControl/>
              <w:adjustRightInd/>
              <w:spacing w:line="240" w:lineRule="auto"/>
              <w:textAlignment w:val="auto"/>
              <w:rPr>
                <w:rFonts w:ascii="Arial" w:hAnsi="Arial" w:cs="Arial"/>
                <w:sz w:val="16"/>
                <w:szCs w:val="18"/>
                <w:highlight w:val="none"/>
              </w:rPr>
            </w:pPr>
            <w:r>
              <w:rPr>
                <w:rFonts w:ascii="Arial" w:hAnsi="Arial" w:cs="Arial"/>
                <w:sz w:val="16"/>
                <w:szCs w:val="18"/>
                <w:highlight w:val="none"/>
              </w:rPr>
              <w:t>公共区域装修</w:t>
            </w:r>
          </w:p>
        </w:tc>
        <w:tc>
          <w:tcPr>
            <w:tcW w:w="1707" w:type="dxa"/>
            <w:tcBorders>
              <w:top w:val="nil"/>
              <w:left w:val="nil"/>
              <w:bottom w:val="single" w:color="auto" w:sz="4" w:space="0"/>
              <w:right w:val="single" w:color="auto" w:sz="4" w:space="0"/>
            </w:tcBorders>
            <w:vAlign w:val="center"/>
          </w:tcPr>
          <w:p w14:paraId="2134BFAF">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1707" w:type="dxa"/>
            <w:tcBorders>
              <w:top w:val="nil"/>
              <w:left w:val="nil"/>
              <w:bottom w:val="single" w:color="auto" w:sz="4" w:space="0"/>
              <w:right w:val="single" w:color="auto" w:sz="4" w:space="0"/>
            </w:tcBorders>
            <w:vAlign w:val="center"/>
          </w:tcPr>
          <w:p w14:paraId="0B057A7A">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1708" w:type="dxa"/>
            <w:tcBorders>
              <w:top w:val="nil"/>
              <w:left w:val="nil"/>
              <w:bottom w:val="single" w:color="auto" w:sz="4" w:space="0"/>
              <w:right w:val="single" w:color="auto" w:sz="4" w:space="0"/>
            </w:tcBorders>
            <w:vAlign w:val="center"/>
          </w:tcPr>
          <w:p w14:paraId="4C9EF76E">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r>
      <w:tr w14:paraId="45A448A1">
        <w:tblPrEx>
          <w:tblCellMar>
            <w:top w:w="0" w:type="dxa"/>
            <w:left w:w="108" w:type="dxa"/>
            <w:bottom w:w="0" w:type="dxa"/>
            <w:right w:w="108" w:type="dxa"/>
          </w:tblCellMar>
        </w:tblPrEx>
        <w:trPr>
          <w:trHeight w:val="215" w:hRule="atLeast"/>
        </w:trPr>
        <w:tc>
          <w:tcPr>
            <w:tcW w:w="791" w:type="pct"/>
            <w:vMerge w:val="continue"/>
            <w:tcBorders>
              <w:left w:val="single" w:color="auto" w:sz="4" w:space="0"/>
              <w:bottom w:val="single" w:color="auto" w:sz="4" w:space="0"/>
              <w:right w:val="single" w:color="auto" w:sz="4" w:space="0"/>
            </w:tcBorders>
            <w:vAlign w:val="center"/>
          </w:tcPr>
          <w:p w14:paraId="1D1E1470">
            <w:pPr>
              <w:widowControl/>
              <w:adjustRightInd/>
              <w:spacing w:line="240" w:lineRule="auto"/>
              <w:textAlignment w:val="auto"/>
              <w:rPr>
                <w:rFonts w:ascii="Arial" w:hAnsi="Arial" w:cs="Arial"/>
                <w:sz w:val="16"/>
                <w:szCs w:val="18"/>
                <w:highlight w:val="none"/>
              </w:rPr>
            </w:pPr>
          </w:p>
        </w:tc>
        <w:tc>
          <w:tcPr>
            <w:tcW w:w="1516" w:type="pct"/>
            <w:tcBorders>
              <w:top w:val="nil"/>
              <w:left w:val="nil"/>
              <w:bottom w:val="single" w:color="auto" w:sz="4" w:space="0"/>
              <w:right w:val="single" w:color="auto" w:sz="4" w:space="0"/>
            </w:tcBorders>
            <w:vAlign w:val="center"/>
          </w:tcPr>
          <w:p w14:paraId="070FE1C7">
            <w:pPr>
              <w:widowControl/>
              <w:adjustRightInd/>
              <w:spacing w:line="240" w:lineRule="auto"/>
              <w:textAlignment w:val="auto"/>
              <w:rPr>
                <w:rFonts w:ascii="Arial" w:hAnsi="Arial" w:cs="Arial"/>
                <w:sz w:val="16"/>
                <w:szCs w:val="18"/>
                <w:highlight w:val="none"/>
              </w:rPr>
            </w:pPr>
            <w:r>
              <w:rPr>
                <w:rFonts w:ascii="Arial" w:hAnsi="Arial" w:cs="Arial"/>
                <w:sz w:val="16"/>
                <w:szCs w:val="18"/>
                <w:highlight w:val="none"/>
              </w:rPr>
              <w:t>室内装饰装修</w:t>
            </w:r>
          </w:p>
        </w:tc>
        <w:tc>
          <w:tcPr>
            <w:tcW w:w="1707" w:type="dxa"/>
            <w:tcBorders>
              <w:top w:val="nil"/>
              <w:left w:val="nil"/>
              <w:bottom w:val="single" w:color="auto" w:sz="4" w:space="0"/>
              <w:right w:val="single" w:color="auto" w:sz="4" w:space="0"/>
            </w:tcBorders>
            <w:vAlign w:val="center"/>
          </w:tcPr>
          <w:p w14:paraId="7A07AD36">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1707" w:type="dxa"/>
            <w:tcBorders>
              <w:top w:val="nil"/>
              <w:left w:val="nil"/>
              <w:bottom w:val="single" w:color="auto" w:sz="4" w:space="0"/>
              <w:right w:val="single" w:color="auto" w:sz="4" w:space="0"/>
            </w:tcBorders>
            <w:vAlign w:val="center"/>
          </w:tcPr>
          <w:p w14:paraId="23854773">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1708" w:type="dxa"/>
            <w:tcBorders>
              <w:top w:val="nil"/>
              <w:left w:val="nil"/>
              <w:bottom w:val="single" w:color="auto" w:sz="4" w:space="0"/>
              <w:right w:val="single" w:color="auto" w:sz="4" w:space="0"/>
            </w:tcBorders>
            <w:vAlign w:val="center"/>
          </w:tcPr>
          <w:p w14:paraId="309A09EE">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r>
      <w:tr w14:paraId="2BF60C73">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56BBC1D6">
            <w:pPr>
              <w:widowControl/>
              <w:adjustRightInd/>
              <w:spacing w:line="240" w:lineRule="auto"/>
              <w:textAlignment w:val="auto"/>
              <w:rPr>
                <w:rFonts w:ascii="Arial" w:hAnsi="Arial" w:cs="Arial"/>
                <w:sz w:val="16"/>
                <w:szCs w:val="18"/>
                <w:highlight w:val="none"/>
              </w:rPr>
            </w:pPr>
          </w:p>
        </w:tc>
        <w:tc>
          <w:tcPr>
            <w:tcW w:w="1516" w:type="pct"/>
            <w:tcBorders>
              <w:top w:val="nil"/>
              <w:left w:val="nil"/>
              <w:bottom w:val="single" w:color="auto" w:sz="4" w:space="0"/>
              <w:right w:val="single" w:color="auto" w:sz="4" w:space="0"/>
            </w:tcBorders>
            <w:vAlign w:val="center"/>
          </w:tcPr>
          <w:p w14:paraId="6AE7000D">
            <w:pPr>
              <w:widowControl/>
              <w:adjustRightInd/>
              <w:spacing w:line="240" w:lineRule="auto"/>
              <w:textAlignment w:val="auto"/>
              <w:rPr>
                <w:rFonts w:ascii="Arial" w:hAnsi="Arial" w:cs="Arial"/>
                <w:sz w:val="16"/>
                <w:szCs w:val="18"/>
                <w:highlight w:val="none"/>
              </w:rPr>
            </w:pPr>
            <w:r>
              <w:rPr>
                <w:rFonts w:ascii="Arial" w:hAnsi="Arial" w:cs="Arial"/>
                <w:sz w:val="16"/>
                <w:szCs w:val="18"/>
                <w:highlight w:val="none"/>
              </w:rPr>
              <w:t>设施设备</w:t>
            </w:r>
          </w:p>
        </w:tc>
        <w:tc>
          <w:tcPr>
            <w:tcW w:w="1707" w:type="dxa"/>
            <w:tcBorders>
              <w:top w:val="nil"/>
              <w:left w:val="nil"/>
              <w:bottom w:val="single" w:color="auto" w:sz="4" w:space="0"/>
              <w:right w:val="single" w:color="auto" w:sz="4" w:space="0"/>
            </w:tcBorders>
            <w:vAlign w:val="center"/>
          </w:tcPr>
          <w:p w14:paraId="098F62F8">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1707" w:type="dxa"/>
            <w:tcBorders>
              <w:top w:val="nil"/>
              <w:left w:val="nil"/>
              <w:bottom w:val="single" w:color="auto" w:sz="4" w:space="0"/>
              <w:right w:val="single" w:color="auto" w:sz="4" w:space="0"/>
            </w:tcBorders>
            <w:vAlign w:val="center"/>
          </w:tcPr>
          <w:p w14:paraId="70156A84">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1708" w:type="dxa"/>
            <w:tcBorders>
              <w:top w:val="nil"/>
              <w:left w:val="nil"/>
              <w:bottom w:val="single" w:color="auto" w:sz="4" w:space="0"/>
              <w:right w:val="single" w:color="auto" w:sz="4" w:space="0"/>
            </w:tcBorders>
            <w:vAlign w:val="center"/>
          </w:tcPr>
          <w:p w14:paraId="250F68BF">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r>
      <w:tr w14:paraId="609A1351">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2B13FB39">
            <w:pPr>
              <w:widowControl/>
              <w:adjustRightInd/>
              <w:spacing w:line="240" w:lineRule="auto"/>
              <w:textAlignment w:val="auto"/>
              <w:rPr>
                <w:rFonts w:ascii="Arial" w:hAnsi="Arial" w:cs="Arial"/>
                <w:sz w:val="16"/>
                <w:szCs w:val="18"/>
                <w:highlight w:val="none"/>
              </w:rPr>
            </w:pPr>
          </w:p>
        </w:tc>
        <w:tc>
          <w:tcPr>
            <w:tcW w:w="1516" w:type="pct"/>
            <w:tcBorders>
              <w:top w:val="nil"/>
              <w:left w:val="nil"/>
              <w:bottom w:val="single" w:color="auto" w:sz="4" w:space="0"/>
              <w:right w:val="single" w:color="auto" w:sz="4" w:space="0"/>
            </w:tcBorders>
            <w:vAlign w:val="center"/>
          </w:tcPr>
          <w:p w14:paraId="33F858A7">
            <w:pPr>
              <w:widowControl/>
              <w:adjustRightInd/>
              <w:spacing w:line="240" w:lineRule="auto"/>
              <w:textAlignment w:val="auto"/>
              <w:rPr>
                <w:rFonts w:ascii="Arial" w:hAnsi="Arial" w:cs="Arial"/>
                <w:sz w:val="16"/>
                <w:szCs w:val="18"/>
                <w:highlight w:val="none"/>
              </w:rPr>
            </w:pPr>
            <w:r>
              <w:rPr>
                <w:rFonts w:ascii="Arial" w:hAnsi="Arial" w:cs="Arial"/>
                <w:sz w:val="16"/>
                <w:szCs w:val="18"/>
                <w:highlight w:val="none"/>
              </w:rPr>
              <w:t>综合管理服务设施</w:t>
            </w:r>
          </w:p>
        </w:tc>
        <w:tc>
          <w:tcPr>
            <w:tcW w:w="1707" w:type="dxa"/>
            <w:tcBorders>
              <w:top w:val="nil"/>
              <w:left w:val="nil"/>
              <w:bottom w:val="single" w:color="auto" w:sz="4" w:space="0"/>
              <w:right w:val="single" w:color="auto" w:sz="4" w:space="0"/>
            </w:tcBorders>
            <w:vAlign w:val="center"/>
          </w:tcPr>
          <w:p w14:paraId="7654111C">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1707" w:type="dxa"/>
            <w:tcBorders>
              <w:top w:val="nil"/>
              <w:left w:val="nil"/>
              <w:bottom w:val="single" w:color="auto" w:sz="4" w:space="0"/>
              <w:right w:val="single" w:color="auto" w:sz="4" w:space="0"/>
            </w:tcBorders>
            <w:vAlign w:val="center"/>
          </w:tcPr>
          <w:p w14:paraId="7F5E41CA">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1708" w:type="dxa"/>
            <w:tcBorders>
              <w:top w:val="nil"/>
              <w:left w:val="nil"/>
              <w:bottom w:val="single" w:color="auto" w:sz="4" w:space="0"/>
              <w:right w:val="single" w:color="auto" w:sz="4" w:space="0"/>
            </w:tcBorders>
            <w:vAlign w:val="center"/>
          </w:tcPr>
          <w:p w14:paraId="4C599FDE">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r>
      <w:tr w14:paraId="7CD6BB84">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62F585AC">
            <w:pPr>
              <w:widowControl/>
              <w:adjustRightInd/>
              <w:spacing w:line="240" w:lineRule="auto"/>
              <w:textAlignment w:val="auto"/>
              <w:rPr>
                <w:rFonts w:ascii="Arial" w:hAnsi="Arial" w:cs="Arial"/>
                <w:sz w:val="16"/>
                <w:szCs w:val="18"/>
                <w:highlight w:val="none"/>
              </w:rPr>
            </w:pPr>
          </w:p>
        </w:tc>
        <w:tc>
          <w:tcPr>
            <w:tcW w:w="1516" w:type="pct"/>
            <w:tcBorders>
              <w:top w:val="nil"/>
              <w:left w:val="nil"/>
              <w:bottom w:val="single" w:color="auto" w:sz="4" w:space="0"/>
              <w:right w:val="single" w:color="auto" w:sz="4" w:space="0"/>
            </w:tcBorders>
            <w:vAlign w:val="center"/>
          </w:tcPr>
          <w:p w14:paraId="7BB8DE2F">
            <w:pPr>
              <w:widowControl/>
              <w:adjustRightInd/>
              <w:spacing w:line="240" w:lineRule="auto"/>
              <w:textAlignment w:val="auto"/>
              <w:rPr>
                <w:rFonts w:ascii="Arial" w:hAnsi="Arial" w:cs="Arial"/>
                <w:sz w:val="16"/>
                <w:szCs w:val="18"/>
                <w:highlight w:val="none"/>
              </w:rPr>
            </w:pPr>
            <w:r>
              <w:rPr>
                <w:rFonts w:ascii="Arial" w:hAnsi="Arial" w:cs="Arial"/>
                <w:sz w:val="16"/>
                <w:szCs w:val="18"/>
                <w:highlight w:val="none"/>
              </w:rPr>
              <w:t>户型布局</w:t>
            </w:r>
          </w:p>
        </w:tc>
        <w:tc>
          <w:tcPr>
            <w:tcW w:w="1707" w:type="dxa"/>
            <w:tcBorders>
              <w:top w:val="nil"/>
              <w:left w:val="nil"/>
              <w:bottom w:val="single" w:color="auto" w:sz="4" w:space="0"/>
              <w:right w:val="single" w:color="auto" w:sz="4" w:space="0"/>
            </w:tcBorders>
            <w:vAlign w:val="center"/>
          </w:tcPr>
          <w:p w14:paraId="4265D362">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1707" w:type="dxa"/>
            <w:tcBorders>
              <w:top w:val="nil"/>
              <w:left w:val="nil"/>
              <w:bottom w:val="single" w:color="auto" w:sz="4" w:space="0"/>
              <w:right w:val="single" w:color="auto" w:sz="4" w:space="0"/>
            </w:tcBorders>
            <w:vAlign w:val="center"/>
          </w:tcPr>
          <w:p w14:paraId="1E90C495">
            <w:pPr>
              <w:widowControl/>
              <w:adjustRightInd/>
              <w:spacing w:line="240" w:lineRule="auto"/>
              <w:jc w:val="center"/>
              <w:textAlignment w:val="auto"/>
              <w:rPr>
                <w:rFonts w:hint="default" w:ascii="Arial" w:hAnsi="Arial" w:eastAsia="宋体" w:cs="Arial"/>
                <w:sz w:val="16"/>
                <w:szCs w:val="18"/>
                <w:highlight w:val="none"/>
                <w:lang w:val="en-US" w:eastAsia="zh-CN"/>
              </w:rPr>
            </w:pPr>
            <w:r>
              <w:rPr>
                <w:rFonts w:ascii="Arial" w:hAnsi="Arial" w:cs="Arial"/>
                <w:sz w:val="16"/>
                <w:szCs w:val="18"/>
                <w:highlight w:val="none"/>
              </w:rPr>
              <w:t>100/100</w:t>
            </w:r>
          </w:p>
        </w:tc>
        <w:tc>
          <w:tcPr>
            <w:tcW w:w="1708" w:type="dxa"/>
            <w:tcBorders>
              <w:top w:val="nil"/>
              <w:left w:val="nil"/>
              <w:bottom w:val="single" w:color="auto" w:sz="4" w:space="0"/>
              <w:right w:val="single" w:color="auto" w:sz="4" w:space="0"/>
            </w:tcBorders>
            <w:vAlign w:val="center"/>
          </w:tcPr>
          <w:p w14:paraId="19B91E47">
            <w:pPr>
              <w:widowControl/>
              <w:adjustRightInd/>
              <w:spacing w:line="240" w:lineRule="auto"/>
              <w:jc w:val="center"/>
              <w:textAlignment w:val="auto"/>
              <w:rPr>
                <w:rFonts w:hint="default" w:ascii="Arial" w:hAnsi="Arial" w:eastAsia="宋体" w:cs="Arial"/>
                <w:sz w:val="16"/>
                <w:szCs w:val="18"/>
                <w:highlight w:val="none"/>
                <w:lang w:val="en-US" w:eastAsia="zh-CN"/>
              </w:rPr>
            </w:pPr>
            <w:r>
              <w:rPr>
                <w:rFonts w:ascii="Arial" w:hAnsi="Arial" w:cs="Arial"/>
                <w:sz w:val="16"/>
                <w:szCs w:val="18"/>
                <w:highlight w:val="none"/>
              </w:rPr>
              <w:t>100/100</w:t>
            </w:r>
          </w:p>
        </w:tc>
      </w:tr>
      <w:tr w14:paraId="297A4EDE">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4E6D0ABF">
            <w:pPr>
              <w:widowControl/>
              <w:adjustRightInd/>
              <w:spacing w:line="240" w:lineRule="auto"/>
              <w:textAlignment w:val="auto"/>
              <w:rPr>
                <w:rFonts w:ascii="Arial" w:hAnsi="Arial" w:cs="Arial"/>
                <w:sz w:val="16"/>
                <w:szCs w:val="18"/>
                <w:highlight w:val="none"/>
              </w:rPr>
            </w:pPr>
          </w:p>
        </w:tc>
        <w:tc>
          <w:tcPr>
            <w:tcW w:w="1516" w:type="pct"/>
            <w:tcBorders>
              <w:top w:val="nil"/>
              <w:left w:val="nil"/>
              <w:bottom w:val="single" w:color="auto" w:sz="4" w:space="0"/>
              <w:right w:val="single" w:color="auto" w:sz="4" w:space="0"/>
            </w:tcBorders>
            <w:vAlign w:val="center"/>
          </w:tcPr>
          <w:p w14:paraId="73E01501">
            <w:pPr>
              <w:widowControl/>
              <w:adjustRightInd/>
              <w:spacing w:line="240" w:lineRule="auto"/>
              <w:textAlignment w:val="auto"/>
              <w:rPr>
                <w:rFonts w:ascii="Arial" w:hAnsi="Arial" w:cs="Arial"/>
                <w:sz w:val="16"/>
                <w:szCs w:val="18"/>
                <w:highlight w:val="none"/>
              </w:rPr>
            </w:pPr>
            <w:r>
              <w:rPr>
                <w:rFonts w:ascii="Arial" w:hAnsi="Arial" w:cs="Arial"/>
                <w:sz w:val="16"/>
                <w:szCs w:val="18"/>
                <w:highlight w:val="none"/>
              </w:rPr>
              <w:t>户型结构</w:t>
            </w:r>
          </w:p>
        </w:tc>
        <w:tc>
          <w:tcPr>
            <w:tcW w:w="1707" w:type="dxa"/>
            <w:tcBorders>
              <w:top w:val="nil"/>
              <w:left w:val="nil"/>
              <w:bottom w:val="single" w:color="auto" w:sz="4" w:space="0"/>
              <w:right w:val="single" w:color="auto" w:sz="4" w:space="0"/>
            </w:tcBorders>
            <w:vAlign w:val="center"/>
          </w:tcPr>
          <w:p w14:paraId="4C411EC9">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1707" w:type="dxa"/>
            <w:tcBorders>
              <w:top w:val="nil"/>
              <w:left w:val="nil"/>
              <w:bottom w:val="single" w:color="auto" w:sz="4" w:space="0"/>
              <w:right w:val="single" w:color="auto" w:sz="4" w:space="0"/>
            </w:tcBorders>
            <w:vAlign w:val="center"/>
          </w:tcPr>
          <w:p w14:paraId="692ED2DE">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1708" w:type="dxa"/>
            <w:tcBorders>
              <w:top w:val="nil"/>
              <w:left w:val="nil"/>
              <w:bottom w:val="single" w:color="auto" w:sz="4" w:space="0"/>
              <w:right w:val="single" w:color="auto" w:sz="4" w:space="0"/>
            </w:tcBorders>
            <w:vAlign w:val="center"/>
          </w:tcPr>
          <w:p w14:paraId="7C0F5FC7">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r>
      <w:tr w14:paraId="65176AAC">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0056946E">
            <w:pPr>
              <w:widowControl/>
              <w:adjustRightInd/>
              <w:spacing w:line="240" w:lineRule="auto"/>
              <w:textAlignment w:val="auto"/>
              <w:rPr>
                <w:rFonts w:ascii="Arial" w:hAnsi="Arial" w:cs="Arial"/>
                <w:sz w:val="16"/>
                <w:szCs w:val="18"/>
                <w:highlight w:val="none"/>
              </w:rPr>
            </w:pPr>
          </w:p>
        </w:tc>
        <w:tc>
          <w:tcPr>
            <w:tcW w:w="1516" w:type="pct"/>
            <w:tcBorders>
              <w:top w:val="nil"/>
              <w:left w:val="nil"/>
              <w:bottom w:val="single" w:color="auto" w:sz="4" w:space="0"/>
              <w:right w:val="single" w:color="auto" w:sz="4" w:space="0"/>
            </w:tcBorders>
            <w:vAlign w:val="center"/>
          </w:tcPr>
          <w:p w14:paraId="5AD7F8B7">
            <w:pPr>
              <w:widowControl/>
              <w:adjustRightInd/>
              <w:spacing w:line="240" w:lineRule="auto"/>
              <w:textAlignment w:val="auto"/>
              <w:rPr>
                <w:rFonts w:ascii="Arial" w:hAnsi="Arial" w:cs="Arial"/>
                <w:sz w:val="16"/>
                <w:szCs w:val="18"/>
                <w:highlight w:val="none"/>
              </w:rPr>
            </w:pPr>
            <w:r>
              <w:rPr>
                <w:rFonts w:ascii="Arial" w:hAnsi="Arial" w:cs="Arial"/>
                <w:sz w:val="16"/>
                <w:szCs w:val="18"/>
                <w:highlight w:val="none"/>
              </w:rPr>
              <w:t>建筑面积</w:t>
            </w:r>
          </w:p>
        </w:tc>
        <w:tc>
          <w:tcPr>
            <w:tcW w:w="1707" w:type="dxa"/>
            <w:tcBorders>
              <w:top w:val="nil"/>
              <w:left w:val="nil"/>
              <w:bottom w:val="single" w:color="auto" w:sz="4" w:space="0"/>
              <w:right w:val="single" w:color="auto" w:sz="4" w:space="0"/>
            </w:tcBorders>
            <w:vAlign w:val="center"/>
          </w:tcPr>
          <w:p w14:paraId="5DF578F4">
            <w:pPr>
              <w:widowControl/>
              <w:adjustRightInd/>
              <w:spacing w:line="240" w:lineRule="auto"/>
              <w:jc w:val="center"/>
              <w:textAlignment w:val="auto"/>
              <w:rPr>
                <w:rFonts w:hint="default" w:ascii="Arial" w:hAnsi="Arial" w:eastAsia="宋体" w:cs="Arial"/>
                <w:sz w:val="16"/>
                <w:szCs w:val="18"/>
                <w:highlight w:val="none"/>
                <w:lang w:val="en-US" w:eastAsia="zh-CN"/>
              </w:rPr>
            </w:pPr>
            <w:r>
              <w:rPr>
                <w:rFonts w:ascii="Arial" w:hAnsi="Arial" w:cs="Arial"/>
                <w:sz w:val="16"/>
                <w:szCs w:val="18"/>
                <w:highlight w:val="none"/>
              </w:rPr>
              <w:t>100/</w:t>
            </w:r>
            <w:r>
              <w:rPr>
                <w:rFonts w:hint="eastAsia" w:ascii="Arial" w:hAnsi="Arial" w:cs="Arial"/>
                <w:sz w:val="16"/>
                <w:szCs w:val="18"/>
                <w:highlight w:val="none"/>
                <w:lang w:val="en-US" w:eastAsia="zh-CN"/>
              </w:rPr>
              <w:t>99</w:t>
            </w:r>
          </w:p>
        </w:tc>
        <w:tc>
          <w:tcPr>
            <w:tcW w:w="1707" w:type="dxa"/>
            <w:tcBorders>
              <w:top w:val="nil"/>
              <w:left w:val="nil"/>
              <w:bottom w:val="single" w:color="auto" w:sz="4" w:space="0"/>
              <w:right w:val="single" w:color="auto" w:sz="4" w:space="0"/>
            </w:tcBorders>
            <w:vAlign w:val="center"/>
          </w:tcPr>
          <w:p w14:paraId="25E182F5">
            <w:pPr>
              <w:widowControl/>
              <w:adjustRightInd/>
              <w:spacing w:line="240" w:lineRule="auto"/>
              <w:jc w:val="center"/>
              <w:textAlignment w:val="auto"/>
              <w:rPr>
                <w:rFonts w:hint="default" w:ascii="Arial" w:hAnsi="Arial" w:eastAsia="宋体" w:cs="Arial"/>
                <w:sz w:val="16"/>
                <w:szCs w:val="18"/>
                <w:highlight w:val="none"/>
                <w:lang w:val="en-US" w:eastAsia="zh-CN"/>
              </w:rPr>
            </w:pPr>
            <w:r>
              <w:rPr>
                <w:rFonts w:ascii="Arial" w:hAnsi="Arial" w:cs="Arial"/>
                <w:sz w:val="16"/>
                <w:szCs w:val="18"/>
                <w:highlight w:val="none"/>
              </w:rPr>
              <w:t>100/100</w:t>
            </w:r>
          </w:p>
        </w:tc>
        <w:tc>
          <w:tcPr>
            <w:tcW w:w="1708" w:type="dxa"/>
            <w:tcBorders>
              <w:top w:val="nil"/>
              <w:left w:val="nil"/>
              <w:bottom w:val="single" w:color="auto" w:sz="4" w:space="0"/>
              <w:right w:val="single" w:color="auto" w:sz="4" w:space="0"/>
            </w:tcBorders>
            <w:vAlign w:val="center"/>
          </w:tcPr>
          <w:p w14:paraId="50A0FA6C">
            <w:pPr>
              <w:widowControl/>
              <w:adjustRightInd/>
              <w:spacing w:line="240" w:lineRule="auto"/>
              <w:jc w:val="center"/>
              <w:textAlignment w:val="auto"/>
              <w:rPr>
                <w:rFonts w:hint="default" w:ascii="Arial" w:hAnsi="Arial" w:eastAsia="宋体" w:cs="Arial"/>
                <w:sz w:val="16"/>
                <w:szCs w:val="18"/>
                <w:highlight w:val="none"/>
                <w:lang w:val="en-US" w:eastAsia="zh-CN"/>
              </w:rPr>
            </w:pPr>
            <w:r>
              <w:rPr>
                <w:rFonts w:ascii="Arial" w:hAnsi="Arial" w:cs="Arial"/>
                <w:sz w:val="16"/>
                <w:szCs w:val="18"/>
                <w:highlight w:val="none"/>
              </w:rPr>
              <w:t>100/</w:t>
            </w:r>
            <w:r>
              <w:rPr>
                <w:rFonts w:hint="eastAsia" w:ascii="Arial" w:hAnsi="Arial" w:cs="Arial"/>
                <w:sz w:val="16"/>
                <w:szCs w:val="18"/>
                <w:highlight w:val="none"/>
                <w:lang w:val="en-US" w:eastAsia="zh-CN"/>
              </w:rPr>
              <w:t>99</w:t>
            </w:r>
          </w:p>
        </w:tc>
      </w:tr>
      <w:tr w14:paraId="562B4474">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14F2F7B6">
            <w:pPr>
              <w:widowControl/>
              <w:adjustRightInd/>
              <w:spacing w:line="240" w:lineRule="auto"/>
              <w:textAlignment w:val="auto"/>
              <w:rPr>
                <w:rFonts w:ascii="Arial" w:hAnsi="Arial" w:cs="Arial"/>
                <w:sz w:val="16"/>
                <w:szCs w:val="18"/>
                <w:highlight w:val="none"/>
              </w:rPr>
            </w:pPr>
          </w:p>
        </w:tc>
        <w:tc>
          <w:tcPr>
            <w:tcW w:w="1516" w:type="pct"/>
            <w:tcBorders>
              <w:top w:val="nil"/>
              <w:left w:val="nil"/>
              <w:bottom w:val="single" w:color="auto" w:sz="4" w:space="0"/>
              <w:right w:val="single" w:color="auto" w:sz="4" w:space="0"/>
            </w:tcBorders>
            <w:vAlign w:val="center"/>
          </w:tcPr>
          <w:p w14:paraId="3E50E713">
            <w:pPr>
              <w:widowControl/>
              <w:adjustRightInd/>
              <w:spacing w:line="240" w:lineRule="auto"/>
              <w:textAlignment w:val="auto"/>
              <w:rPr>
                <w:rFonts w:ascii="Arial" w:hAnsi="Arial" w:cs="Arial"/>
                <w:sz w:val="16"/>
                <w:szCs w:val="18"/>
                <w:highlight w:val="none"/>
              </w:rPr>
            </w:pPr>
            <w:r>
              <w:rPr>
                <w:rFonts w:ascii="Arial" w:hAnsi="Arial" w:cs="Arial"/>
                <w:sz w:val="16"/>
                <w:szCs w:val="18"/>
                <w:highlight w:val="none"/>
              </w:rPr>
              <w:t>家具家电</w:t>
            </w:r>
          </w:p>
        </w:tc>
        <w:tc>
          <w:tcPr>
            <w:tcW w:w="897" w:type="pct"/>
            <w:tcBorders>
              <w:top w:val="nil"/>
              <w:left w:val="nil"/>
              <w:bottom w:val="single" w:color="auto" w:sz="4" w:space="0"/>
              <w:right w:val="single" w:color="auto" w:sz="4" w:space="0"/>
            </w:tcBorders>
            <w:vAlign w:val="center"/>
          </w:tcPr>
          <w:p w14:paraId="79239F92">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897" w:type="pct"/>
            <w:tcBorders>
              <w:top w:val="nil"/>
              <w:left w:val="nil"/>
              <w:bottom w:val="single" w:color="auto" w:sz="4" w:space="0"/>
              <w:right w:val="single" w:color="auto" w:sz="4" w:space="0"/>
            </w:tcBorders>
            <w:vAlign w:val="center"/>
          </w:tcPr>
          <w:p w14:paraId="646D4F7C">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897" w:type="pct"/>
            <w:tcBorders>
              <w:top w:val="nil"/>
              <w:left w:val="nil"/>
              <w:bottom w:val="single" w:color="auto" w:sz="4" w:space="0"/>
              <w:right w:val="single" w:color="auto" w:sz="4" w:space="0"/>
            </w:tcBorders>
            <w:vAlign w:val="center"/>
          </w:tcPr>
          <w:p w14:paraId="278098DB">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r>
      <w:tr w14:paraId="6731D3A1">
        <w:tblPrEx>
          <w:tblCellMar>
            <w:top w:w="0" w:type="dxa"/>
            <w:left w:w="108" w:type="dxa"/>
            <w:bottom w:w="0" w:type="dxa"/>
            <w:right w:w="108" w:type="dxa"/>
          </w:tblCellMar>
        </w:tblPrEx>
        <w:trPr>
          <w:trHeight w:val="227" w:hRule="atLeast"/>
        </w:trPr>
        <w:tc>
          <w:tcPr>
            <w:tcW w:w="791" w:type="pct"/>
            <w:vMerge w:val="restart"/>
            <w:tcBorders>
              <w:left w:val="single" w:color="auto" w:sz="4" w:space="0"/>
              <w:bottom w:val="single" w:color="auto" w:sz="4" w:space="0"/>
              <w:right w:val="single" w:color="auto" w:sz="4" w:space="0"/>
            </w:tcBorders>
            <w:vAlign w:val="center"/>
          </w:tcPr>
          <w:p w14:paraId="7EC06F5F">
            <w:pPr>
              <w:widowControl/>
              <w:adjustRightInd/>
              <w:spacing w:line="240" w:lineRule="auto"/>
              <w:textAlignment w:val="auto"/>
              <w:rPr>
                <w:rFonts w:ascii="Arial" w:hAnsi="Arial" w:cs="Arial"/>
                <w:sz w:val="16"/>
                <w:szCs w:val="18"/>
                <w:highlight w:val="none"/>
              </w:rPr>
            </w:pPr>
            <w:r>
              <w:rPr>
                <w:rFonts w:ascii="Arial" w:hAnsi="Arial" w:cs="Arial"/>
                <w:sz w:val="16"/>
                <w:szCs w:val="18"/>
                <w:highlight w:val="none"/>
              </w:rPr>
              <w:t>权益状况</w:t>
            </w:r>
          </w:p>
        </w:tc>
        <w:tc>
          <w:tcPr>
            <w:tcW w:w="1516" w:type="pct"/>
            <w:tcBorders>
              <w:top w:val="nil"/>
              <w:left w:val="nil"/>
              <w:bottom w:val="single" w:color="auto" w:sz="4" w:space="0"/>
              <w:right w:val="single" w:color="auto" w:sz="4" w:space="0"/>
            </w:tcBorders>
            <w:vAlign w:val="center"/>
          </w:tcPr>
          <w:p w14:paraId="04DF90D5">
            <w:pPr>
              <w:widowControl/>
              <w:adjustRightInd/>
              <w:spacing w:line="240" w:lineRule="auto"/>
              <w:textAlignment w:val="auto"/>
              <w:rPr>
                <w:rFonts w:ascii="Arial" w:hAnsi="Arial" w:cs="Arial"/>
                <w:sz w:val="16"/>
                <w:szCs w:val="18"/>
                <w:highlight w:val="none"/>
              </w:rPr>
            </w:pPr>
            <w:r>
              <w:rPr>
                <w:rFonts w:ascii="Arial" w:hAnsi="Arial" w:cs="Arial"/>
                <w:sz w:val="16"/>
                <w:szCs w:val="18"/>
                <w:highlight w:val="none"/>
              </w:rPr>
              <w:t>服务及管理水平</w:t>
            </w:r>
          </w:p>
        </w:tc>
        <w:tc>
          <w:tcPr>
            <w:tcW w:w="897" w:type="pct"/>
            <w:tcBorders>
              <w:top w:val="nil"/>
              <w:left w:val="nil"/>
              <w:bottom w:val="single" w:color="auto" w:sz="4" w:space="0"/>
              <w:right w:val="single" w:color="auto" w:sz="4" w:space="0"/>
            </w:tcBorders>
            <w:vAlign w:val="center"/>
          </w:tcPr>
          <w:p w14:paraId="16F574FD">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897" w:type="pct"/>
            <w:tcBorders>
              <w:top w:val="nil"/>
              <w:left w:val="nil"/>
              <w:bottom w:val="single" w:color="auto" w:sz="4" w:space="0"/>
              <w:right w:val="single" w:color="auto" w:sz="4" w:space="0"/>
            </w:tcBorders>
            <w:vAlign w:val="center"/>
          </w:tcPr>
          <w:p w14:paraId="3DF694B5">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897" w:type="pct"/>
            <w:tcBorders>
              <w:top w:val="nil"/>
              <w:left w:val="nil"/>
              <w:bottom w:val="single" w:color="auto" w:sz="4" w:space="0"/>
              <w:right w:val="single" w:color="auto" w:sz="4" w:space="0"/>
            </w:tcBorders>
            <w:vAlign w:val="center"/>
          </w:tcPr>
          <w:p w14:paraId="6E5322EA">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r>
      <w:tr w14:paraId="5092636B">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305C8C81">
            <w:pPr>
              <w:widowControl/>
              <w:adjustRightInd/>
              <w:spacing w:line="240" w:lineRule="auto"/>
              <w:textAlignment w:val="auto"/>
              <w:rPr>
                <w:rFonts w:ascii="Arial" w:hAnsi="Arial" w:cs="Arial"/>
                <w:sz w:val="16"/>
                <w:szCs w:val="18"/>
                <w:highlight w:val="none"/>
              </w:rPr>
            </w:pPr>
          </w:p>
        </w:tc>
        <w:tc>
          <w:tcPr>
            <w:tcW w:w="1516" w:type="pct"/>
            <w:tcBorders>
              <w:top w:val="nil"/>
              <w:left w:val="nil"/>
              <w:bottom w:val="single" w:color="auto" w:sz="4" w:space="0"/>
              <w:right w:val="single" w:color="auto" w:sz="4" w:space="0"/>
            </w:tcBorders>
            <w:vAlign w:val="center"/>
          </w:tcPr>
          <w:p w14:paraId="40E01D8E">
            <w:pPr>
              <w:widowControl/>
              <w:adjustRightInd/>
              <w:spacing w:line="240" w:lineRule="auto"/>
              <w:textAlignment w:val="auto"/>
              <w:rPr>
                <w:rFonts w:ascii="Arial" w:hAnsi="Arial" w:cs="Arial"/>
                <w:sz w:val="16"/>
                <w:szCs w:val="18"/>
                <w:highlight w:val="none"/>
              </w:rPr>
            </w:pPr>
            <w:r>
              <w:rPr>
                <w:rFonts w:ascii="Arial" w:hAnsi="Arial" w:cs="Arial"/>
                <w:sz w:val="16"/>
                <w:szCs w:val="18"/>
                <w:highlight w:val="none"/>
              </w:rPr>
              <w:t>水电气费执行标准</w:t>
            </w:r>
          </w:p>
        </w:tc>
        <w:tc>
          <w:tcPr>
            <w:tcW w:w="897" w:type="pct"/>
            <w:tcBorders>
              <w:top w:val="nil"/>
              <w:left w:val="nil"/>
              <w:bottom w:val="single" w:color="auto" w:sz="4" w:space="0"/>
              <w:right w:val="single" w:color="auto" w:sz="4" w:space="0"/>
            </w:tcBorders>
            <w:vAlign w:val="center"/>
          </w:tcPr>
          <w:p w14:paraId="08721017">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897" w:type="pct"/>
            <w:tcBorders>
              <w:top w:val="nil"/>
              <w:left w:val="nil"/>
              <w:bottom w:val="single" w:color="auto" w:sz="4" w:space="0"/>
              <w:right w:val="single" w:color="auto" w:sz="4" w:space="0"/>
            </w:tcBorders>
            <w:vAlign w:val="center"/>
          </w:tcPr>
          <w:p w14:paraId="1C273644">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897" w:type="pct"/>
            <w:tcBorders>
              <w:top w:val="nil"/>
              <w:left w:val="nil"/>
              <w:bottom w:val="single" w:color="auto" w:sz="4" w:space="0"/>
              <w:right w:val="single" w:color="auto" w:sz="4" w:space="0"/>
            </w:tcBorders>
            <w:vAlign w:val="center"/>
          </w:tcPr>
          <w:p w14:paraId="759984F3">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r>
      <w:tr w14:paraId="34AC618E">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7EC8FF7A">
            <w:pPr>
              <w:widowControl/>
              <w:adjustRightInd/>
              <w:spacing w:line="240" w:lineRule="auto"/>
              <w:textAlignment w:val="auto"/>
              <w:rPr>
                <w:rFonts w:ascii="Arial" w:hAnsi="Arial" w:cs="Arial"/>
                <w:sz w:val="16"/>
                <w:szCs w:val="18"/>
                <w:highlight w:val="none"/>
              </w:rPr>
            </w:pPr>
            <w:r>
              <w:rPr>
                <w:rFonts w:ascii="Arial" w:hAnsi="Arial" w:cs="Arial"/>
                <w:sz w:val="16"/>
                <w:szCs w:val="18"/>
                <w:highlight w:val="none"/>
              </w:rPr>
              <w:t>修正系数</w:t>
            </w:r>
          </w:p>
        </w:tc>
        <w:tc>
          <w:tcPr>
            <w:tcW w:w="897" w:type="pct"/>
            <w:tcBorders>
              <w:top w:val="single" w:color="auto" w:sz="4" w:space="0"/>
              <w:left w:val="nil"/>
              <w:bottom w:val="single" w:color="auto" w:sz="4" w:space="0"/>
              <w:right w:val="single" w:color="auto" w:sz="4" w:space="0"/>
            </w:tcBorders>
            <w:vAlign w:val="center"/>
          </w:tcPr>
          <w:p w14:paraId="446C61C7">
            <w:pPr>
              <w:spacing w:line="240" w:lineRule="auto"/>
              <w:jc w:val="center"/>
              <w:rPr>
                <w:rFonts w:hint="default" w:ascii="Arial" w:hAnsi="Arial" w:eastAsia="宋体" w:cs="Arial"/>
                <w:sz w:val="16"/>
                <w:szCs w:val="18"/>
                <w:highlight w:val="none"/>
                <w:lang w:val="en-US" w:eastAsia="zh-CN"/>
              </w:rPr>
            </w:pPr>
            <w:r>
              <w:rPr>
                <w:rFonts w:hint="eastAsia" w:ascii="Arial" w:hAnsi="Arial" w:cs="Arial"/>
                <w:sz w:val="16"/>
                <w:szCs w:val="18"/>
                <w:highlight w:val="none"/>
                <w:lang w:val="en-US" w:eastAsia="zh-CN"/>
              </w:rPr>
              <w:t>1.0306</w:t>
            </w:r>
          </w:p>
        </w:tc>
        <w:tc>
          <w:tcPr>
            <w:tcW w:w="897" w:type="pct"/>
            <w:tcBorders>
              <w:top w:val="single" w:color="auto" w:sz="4" w:space="0"/>
              <w:left w:val="nil"/>
              <w:bottom w:val="single" w:color="auto" w:sz="4" w:space="0"/>
              <w:right w:val="single" w:color="auto" w:sz="4" w:space="0"/>
            </w:tcBorders>
            <w:vAlign w:val="center"/>
          </w:tcPr>
          <w:p w14:paraId="79B8AC1C">
            <w:pPr>
              <w:spacing w:line="240" w:lineRule="auto"/>
              <w:jc w:val="center"/>
              <w:rPr>
                <w:rFonts w:hint="default" w:ascii="Arial" w:hAnsi="Arial" w:eastAsia="宋体" w:cs="Arial"/>
                <w:sz w:val="16"/>
                <w:szCs w:val="18"/>
                <w:highlight w:val="none"/>
                <w:lang w:val="en-US" w:eastAsia="zh-CN"/>
              </w:rPr>
            </w:pPr>
            <w:r>
              <w:rPr>
                <w:rFonts w:hint="eastAsia" w:ascii="Arial" w:hAnsi="Arial" w:cs="Arial"/>
                <w:sz w:val="16"/>
                <w:szCs w:val="18"/>
                <w:highlight w:val="none"/>
                <w:lang w:val="en-US" w:eastAsia="zh-CN"/>
              </w:rPr>
              <w:t>0.9901</w:t>
            </w:r>
          </w:p>
        </w:tc>
        <w:tc>
          <w:tcPr>
            <w:tcW w:w="897" w:type="pct"/>
            <w:tcBorders>
              <w:top w:val="single" w:color="auto" w:sz="4" w:space="0"/>
              <w:left w:val="nil"/>
              <w:bottom w:val="single" w:color="auto" w:sz="4" w:space="0"/>
              <w:right w:val="single" w:color="auto" w:sz="4" w:space="0"/>
            </w:tcBorders>
            <w:vAlign w:val="center"/>
          </w:tcPr>
          <w:p w14:paraId="18F95A29">
            <w:pPr>
              <w:spacing w:line="240" w:lineRule="auto"/>
              <w:jc w:val="center"/>
              <w:rPr>
                <w:rFonts w:hint="default" w:ascii="Arial" w:hAnsi="Arial" w:eastAsia="宋体" w:cs="Arial"/>
                <w:sz w:val="16"/>
                <w:szCs w:val="18"/>
                <w:highlight w:val="none"/>
                <w:lang w:val="en-US" w:eastAsia="zh-CN"/>
              </w:rPr>
            </w:pPr>
            <w:r>
              <w:rPr>
                <w:rFonts w:hint="eastAsia" w:ascii="Arial" w:hAnsi="Arial" w:cs="Arial"/>
                <w:sz w:val="16"/>
                <w:szCs w:val="18"/>
                <w:highlight w:val="none"/>
                <w:lang w:val="en-US" w:eastAsia="zh-CN"/>
              </w:rPr>
              <w:t>0.9717</w:t>
            </w:r>
          </w:p>
        </w:tc>
      </w:tr>
      <w:tr w14:paraId="4A286D31">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517D3DCD">
            <w:pPr>
              <w:widowControl/>
              <w:adjustRightInd/>
              <w:spacing w:line="240" w:lineRule="auto"/>
              <w:textAlignment w:val="auto"/>
              <w:rPr>
                <w:rFonts w:ascii="Arial" w:hAnsi="Arial" w:cs="Arial"/>
                <w:sz w:val="16"/>
                <w:szCs w:val="18"/>
                <w:highlight w:val="none"/>
              </w:rPr>
            </w:pPr>
            <w:r>
              <w:rPr>
                <w:rFonts w:ascii="Arial" w:hAnsi="Arial" w:cs="Arial"/>
                <w:sz w:val="16"/>
                <w:szCs w:val="18"/>
                <w:highlight w:val="none"/>
              </w:rPr>
              <w:t>比准价格（元/平方米·月）</w:t>
            </w:r>
          </w:p>
        </w:tc>
        <w:tc>
          <w:tcPr>
            <w:tcW w:w="897" w:type="pct"/>
            <w:tcBorders>
              <w:top w:val="single" w:color="auto" w:sz="4" w:space="0"/>
              <w:left w:val="nil"/>
              <w:bottom w:val="single" w:color="auto" w:sz="4" w:space="0"/>
              <w:right w:val="single" w:color="auto" w:sz="4" w:space="0"/>
            </w:tcBorders>
            <w:vAlign w:val="center"/>
          </w:tcPr>
          <w:p w14:paraId="5307EFF1">
            <w:pPr>
              <w:spacing w:line="240" w:lineRule="auto"/>
              <w:jc w:val="center"/>
              <w:rPr>
                <w:rFonts w:hint="default" w:ascii="Arial" w:hAnsi="Arial" w:eastAsia="宋体" w:cs="Arial"/>
                <w:sz w:val="16"/>
                <w:szCs w:val="18"/>
                <w:highlight w:val="none"/>
                <w:lang w:val="en-US" w:eastAsia="zh-CN"/>
              </w:rPr>
            </w:pPr>
            <w:r>
              <w:rPr>
                <w:rFonts w:hint="eastAsia" w:ascii="Arial" w:hAnsi="Arial" w:cs="Arial"/>
                <w:sz w:val="16"/>
                <w:szCs w:val="18"/>
                <w:highlight w:val="none"/>
                <w:lang w:val="en-US" w:eastAsia="zh-CN"/>
              </w:rPr>
              <w:t>15.39</w:t>
            </w:r>
          </w:p>
        </w:tc>
        <w:tc>
          <w:tcPr>
            <w:tcW w:w="897" w:type="pct"/>
            <w:tcBorders>
              <w:top w:val="single" w:color="auto" w:sz="4" w:space="0"/>
              <w:left w:val="nil"/>
              <w:bottom w:val="single" w:color="auto" w:sz="4" w:space="0"/>
              <w:right w:val="single" w:color="auto" w:sz="4" w:space="0"/>
            </w:tcBorders>
            <w:vAlign w:val="center"/>
          </w:tcPr>
          <w:p w14:paraId="23148B74">
            <w:pPr>
              <w:spacing w:line="240" w:lineRule="auto"/>
              <w:jc w:val="center"/>
              <w:rPr>
                <w:rFonts w:hint="default" w:ascii="Arial" w:hAnsi="Arial" w:eastAsia="宋体" w:cs="Arial"/>
                <w:sz w:val="16"/>
                <w:szCs w:val="18"/>
                <w:highlight w:val="none"/>
                <w:lang w:val="en-US" w:eastAsia="zh-CN"/>
              </w:rPr>
            </w:pPr>
            <w:r>
              <w:rPr>
                <w:rFonts w:hint="eastAsia" w:ascii="Arial" w:hAnsi="Arial" w:cs="Arial"/>
                <w:sz w:val="16"/>
                <w:szCs w:val="18"/>
                <w:highlight w:val="none"/>
                <w:lang w:val="en-US" w:eastAsia="zh-CN"/>
              </w:rPr>
              <w:t>16.36</w:t>
            </w:r>
          </w:p>
        </w:tc>
        <w:tc>
          <w:tcPr>
            <w:tcW w:w="897" w:type="pct"/>
            <w:tcBorders>
              <w:top w:val="single" w:color="auto" w:sz="4" w:space="0"/>
              <w:left w:val="nil"/>
              <w:bottom w:val="single" w:color="auto" w:sz="4" w:space="0"/>
              <w:right w:val="single" w:color="auto" w:sz="4" w:space="0"/>
            </w:tcBorders>
            <w:vAlign w:val="center"/>
          </w:tcPr>
          <w:p w14:paraId="1AEB2BA9">
            <w:pPr>
              <w:spacing w:line="240" w:lineRule="auto"/>
              <w:jc w:val="center"/>
              <w:rPr>
                <w:rFonts w:hint="default" w:ascii="Arial" w:hAnsi="Arial" w:eastAsia="宋体" w:cs="Arial"/>
                <w:sz w:val="16"/>
                <w:szCs w:val="18"/>
                <w:highlight w:val="none"/>
                <w:lang w:val="en-US" w:eastAsia="zh-CN"/>
              </w:rPr>
            </w:pPr>
            <w:r>
              <w:rPr>
                <w:rFonts w:hint="eastAsia" w:ascii="Arial" w:hAnsi="Arial" w:cs="Arial"/>
                <w:sz w:val="16"/>
                <w:szCs w:val="18"/>
                <w:highlight w:val="none"/>
                <w:lang w:val="en-US" w:eastAsia="zh-CN"/>
              </w:rPr>
              <w:t>15.42</w:t>
            </w:r>
          </w:p>
        </w:tc>
      </w:tr>
    </w:tbl>
    <w:p w14:paraId="24C1F5C7">
      <w:pPr>
        <w:wordWrap w:val="0"/>
        <w:overflowPunct w:val="0"/>
        <w:spacing w:before="240" w:beforeLines="100" w:line="480" w:lineRule="auto"/>
        <w:ind w:firstLine="420" w:firstLineChars="200"/>
        <w:rPr>
          <w:rFonts w:ascii="Arial" w:hAnsi="Arial"/>
          <w:sz w:val="21"/>
          <w:szCs w:val="21"/>
          <w:highlight w:val="none"/>
        </w:rPr>
      </w:pPr>
      <w:r>
        <w:rPr>
          <w:rFonts w:hint="eastAsia" w:ascii="Arial" w:hAnsi="Arial"/>
          <w:sz w:val="21"/>
          <w:szCs w:val="21"/>
          <w:highlight w:val="none"/>
        </w:rPr>
        <w:t>注：</w:t>
      </w:r>
      <w:r>
        <w:rPr>
          <w:rFonts w:ascii="Arial" w:hAnsi="Arial"/>
          <w:sz w:val="21"/>
          <w:szCs w:val="21"/>
          <w:highlight w:val="none"/>
        </w:rPr>
        <w:t>比准价格＝比较</w:t>
      </w:r>
      <w:r>
        <w:rPr>
          <w:rFonts w:hint="eastAsia" w:ascii="Arial" w:hAnsi="Arial"/>
          <w:sz w:val="21"/>
          <w:szCs w:val="21"/>
          <w:highlight w:val="none"/>
        </w:rPr>
        <w:t>实例</w:t>
      </w:r>
      <w:r>
        <w:rPr>
          <w:rFonts w:ascii="Arial" w:hAnsi="Arial"/>
          <w:sz w:val="21"/>
          <w:szCs w:val="21"/>
          <w:highlight w:val="none"/>
        </w:rPr>
        <w:t>平均租金×（待估房地产</w:t>
      </w:r>
      <w:r>
        <w:rPr>
          <w:rFonts w:hint="eastAsia" w:ascii="Arial" w:hAnsi="Arial"/>
          <w:sz w:val="21"/>
          <w:szCs w:val="21"/>
          <w:highlight w:val="none"/>
        </w:rPr>
        <w:t>交易时间</w:t>
      </w:r>
      <w:r>
        <w:rPr>
          <w:rFonts w:ascii="Arial" w:hAnsi="Arial"/>
          <w:sz w:val="21"/>
          <w:szCs w:val="21"/>
          <w:highlight w:val="none"/>
        </w:rPr>
        <w:t>房地产价租赁格指数/可比实例交易</w:t>
      </w:r>
      <w:r>
        <w:rPr>
          <w:rFonts w:hint="eastAsia" w:ascii="Arial" w:hAnsi="Arial"/>
          <w:sz w:val="21"/>
          <w:szCs w:val="21"/>
          <w:highlight w:val="none"/>
        </w:rPr>
        <w:t>时间</w:t>
      </w:r>
      <w:r>
        <w:rPr>
          <w:rFonts w:ascii="Arial" w:hAnsi="Arial"/>
          <w:sz w:val="21"/>
          <w:szCs w:val="21"/>
          <w:highlight w:val="none"/>
        </w:rPr>
        <w:t>房地产租赁价格指数）×（待估房地产交易情况指数/可比实例</w:t>
      </w:r>
      <w:r>
        <w:rPr>
          <w:rFonts w:hint="eastAsia" w:ascii="Arial" w:hAnsi="Arial"/>
          <w:sz w:val="21"/>
          <w:szCs w:val="21"/>
          <w:highlight w:val="none"/>
        </w:rPr>
        <w:t>交易情况</w:t>
      </w:r>
      <w:r>
        <w:rPr>
          <w:rFonts w:ascii="Arial" w:hAnsi="Arial"/>
          <w:sz w:val="21"/>
          <w:szCs w:val="21"/>
          <w:highlight w:val="none"/>
        </w:rPr>
        <w:t>指数）×（待估房地产</w:t>
      </w:r>
      <w:r>
        <w:rPr>
          <w:rFonts w:hint="eastAsia" w:ascii="Arial" w:hAnsi="Arial"/>
          <w:sz w:val="21"/>
          <w:szCs w:val="21"/>
          <w:highlight w:val="none"/>
        </w:rPr>
        <w:t>项目类型</w:t>
      </w:r>
      <w:r>
        <w:rPr>
          <w:rFonts w:ascii="Arial" w:hAnsi="Arial"/>
          <w:sz w:val="21"/>
          <w:szCs w:val="21"/>
          <w:highlight w:val="none"/>
        </w:rPr>
        <w:t>指数/可比实例</w:t>
      </w:r>
      <w:r>
        <w:rPr>
          <w:rFonts w:hint="eastAsia" w:ascii="Arial" w:hAnsi="Arial"/>
          <w:sz w:val="21"/>
          <w:szCs w:val="21"/>
          <w:highlight w:val="none"/>
        </w:rPr>
        <w:t>项目类型</w:t>
      </w:r>
      <w:r>
        <w:rPr>
          <w:rFonts w:ascii="Arial" w:hAnsi="Arial"/>
          <w:sz w:val="21"/>
          <w:szCs w:val="21"/>
          <w:highlight w:val="none"/>
        </w:rPr>
        <w:t>指数）×（待估房地产区域状况条件指数/可比实例房地产区域状况条件指数）×（待估房地产实物状况条件指数/可比实例房地产实物状况条件指数）×（待估房地产</w:t>
      </w:r>
      <w:r>
        <w:rPr>
          <w:rFonts w:hint="eastAsia" w:ascii="Arial" w:hAnsi="Arial"/>
          <w:sz w:val="21"/>
          <w:szCs w:val="21"/>
          <w:highlight w:val="none"/>
        </w:rPr>
        <w:t>权益</w:t>
      </w:r>
      <w:r>
        <w:rPr>
          <w:rFonts w:ascii="Arial" w:hAnsi="Arial"/>
          <w:sz w:val="21"/>
          <w:szCs w:val="21"/>
          <w:highlight w:val="none"/>
        </w:rPr>
        <w:t>状况条件指数/可比实例房地产</w:t>
      </w:r>
      <w:r>
        <w:rPr>
          <w:rFonts w:hint="eastAsia" w:ascii="Arial" w:hAnsi="Arial"/>
          <w:sz w:val="21"/>
          <w:szCs w:val="21"/>
          <w:highlight w:val="none"/>
        </w:rPr>
        <w:t>权益</w:t>
      </w:r>
      <w:r>
        <w:rPr>
          <w:rFonts w:ascii="Arial" w:hAnsi="Arial"/>
          <w:sz w:val="21"/>
          <w:szCs w:val="21"/>
          <w:highlight w:val="none"/>
        </w:rPr>
        <w:t>状况条件指数）</w:t>
      </w:r>
    </w:p>
    <w:p w14:paraId="3FFE959B">
      <w:pPr>
        <w:wordWrap w:val="0"/>
        <w:overflowPunct w:val="0"/>
        <w:spacing w:line="480" w:lineRule="auto"/>
        <w:ind w:firstLine="420" w:firstLineChars="200"/>
        <w:rPr>
          <w:rFonts w:ascii="Arial" w:hAnsi="Arial"/>
          <w:sz w:val="21"/>
          <w:szCs w:val="21"/>
          <w:highlight w:val="none"/>
        </w:rPr>
      </w:pPr>
      <w:r>
        <w:rPr>
          <w:rFonts w:hint="eastAsia" w:ascii="Arial" w:hAnsi="Arial"/>
          <w:sz w:val="21"/>
          <w:szCs w:val="21"/>
          <w:highlight w:val="none"/>
        </w:rPr>
        <w:t>（4）影响因素选择实例修正后的价值计算</w:t>
      </w:r>
      <w:r>
        <w:rPr>
          <w:rFonts w:ascii="Arial" w:hAnsi="Arial"/>
          <w:sz w:val="21"/>
          <w:szCs w:val="21"/>
          <w:highlight w:val="none"/>
        </w:rPr>
        <w:t xml:space="preserve"> </w:t>
      </w:r>
    </w:p>
    <w:p w14:paraId="24BE2BA2">
      <w:pPr>
        <w:overflowPunct w:val="0"/>
        <w:spacing w:line="480" w:lineRule="auto"/>
        <w:ind w:firstLine="420" w:firstLineChars="200"/>
        <w:jc w:val="both"/>
        <w:rPr>
          <w:rFonts w:ascii="Arial" w:hAnsi="Arial"/>
          <w:sz w:val="21"/>
          <w:szCs w:val="21"/>
          <w:highlight w:val="none"/>
        </w:rPr>
      </w:pPr>
      <w:r>
        <w:rPr>
          <w:rFonts w:ascii="Arial" w:hAnsi="Arial"/>
          <w:sz w:val="21"/>
          <w:szCs w:val="21"/>
          <w:highlight w:val="none"/>
        </w:rPr>
        <w:t>经过比较分析，采用各因素修正系数连乘法，求算各可比案例经因素修正后达到估价对象条件时的比准价格，虽然有一定的差距，但案例均选取真实，修正过程客观合理，修正后能反映客观水平，因此本次估价确定取以上</w:t>
      </w:r>
      <w:r>
        <w:rPr>
          <w:rFonts w:hint="eastAsia" w:ascii="Arial" w:hAnsi="Arial"/>
          <w:sz w:val="21"/>
          <w:szCs w:val="21"/>
          <w:highlight w:val="none"/>
        </w:rPr>
        <w:t>3</w:t>
      </w:r>
      <w:r>
        <w:rPr>
          <w:rFonts w:ascii="Arial" w:hAnsi="Arial"/>
          <w:sz w:val="21"/>
          <w:szCs w:val="21"/>
          <w:highlight w:val="none"/>
        </w:rPr>
        <w:t>个可比案例的比准价格的简单算术平均值作为项目</w:t>
      </w:r>
      <w:r>
        <w:rPr>
          <w:rFonts w:hint="eastAsia" w:ascii="Arial" w:hAnsi="Arial"/>
          <w:sz w:val="21"/>
          <w:szCs w:val="21"/>
          <w:highlight w:val="none"/>
        </w:rPr>
        <w:t>典型户型</w:t>
      </w:r>
      <w:r>
        <w:rPr>
          <w:rFonts w:ascii="Arial" w:hAnsi="Arial"/>
          <w:sz w:val="21"/>
          <w:szCs w:val="21"/>
          <w:highlight w:val="none"/>
        </w:rPr>
        <w:t>的评估价格</w:t>
      </w:r>
      <w:r>
        <w:rPr>
          <w:rFonts w:hint="eastAsia" w:ascii="Arial" w:hAnsi="Arial"/>
          <w:sz w:val="21"/>
          <w:szCs w:val="21"/>
          <w:highlight w:val="none"/>
        </w:rPr>
        <w:t>。</w:t>
      </w:r>
    </w:p>
    <w:p w14:paraId="2E9CB4E7">
      <w:pPr>
        <w:wordWrap w:val="0"/>
        <w:overflowPunct w:val="0"/>
        <w:spacing w:line="480" w:lineRule="auto"/>
        <w:ind w:firstLine="420" w:firstLineChars="200"/>
        <w:rPr>
          <w:rFonts w:ascii="Arial" w:hAnsi="Arial"/>
          <w:sz w:val="21"/>
          <w:szCs w:val="21"/>
          <w:highlight w:val="none"/>
        </w:rPr>
      </w:pPr>
      <w:r>
        <w:rPr>
          <w:rFonts w:hint="eastAsia" w:ascii="Arial" w:hAnsi="Arial"/>
          <w:sz w:val="21"/>
          <w:szCs w:val="21"/>
          <w:highlight w:val="none"/>
        </w:rPr>
        <w:t>即：标准房</w:t>
      </w:r>
      <w:r>
        <w:rPr>
          <w:rFonts w:ascii="Arial" w:hAnsi="Arial"/>
          <w:sz w:val="21"/>
          <w:szCs w:val="21"/>
          <w:highlight w:val="none"/>
        </w:rPr>
        <w:t>2</w:t>
      </w:r>
      <w:r>
        <w:rPr>
          <w:rFonts w:hint="eastAsia" w:ascii="Arial" w:hAnsi="Arial"/>
          <w:bCs/>
          <w:sz w:val="21"/>
          <w:highlight w:val="none"/>
        </w:rPr>
        <w:t>市场租赁住房租金</w:t>
      </w:r>
      <w:r>
        <w:rPr>
          <w:rFonts w:hint="eastAsia" w:ascii="Arial" w:hAnsi="Arial"/>
          <w:sz w:val="21"/>
          <w:szCs w:val="21"/>
          <w:highlight w:val="none"/>
        </w:rPr>
        <w:t>＝（</w:t>
      </w:r>
      <w:r>
        <w:rPr>
          <w:rFonts w:hint="eastAsia" w:ascii="Arial" w:hAnsi="Arial"/>
          <w:sz w:val="21"/>
          <w:szCs w:val="21"/>
          <w:highlight w:val="none"/>
          <w:lang w:val="en-US" w:eastAsia="zh-CN"/>
        </w:rPr>
        <w:t>15.39</w:t>
      </w:r>
      <w:r>
        <w:rPr>
          <w:rFonts w:hint="eastAsia" w:ascii="Arial" w:hAnsi="Arial"/>
          <w:sz w:val="21"/>
          <w:szCs w:val="21"/>
          <w:highlight w:val="none"/>
        </w:rPr>
        <w:t>+</w:t>
      </w:r>
      <w:r>
        <w:rPr>
          <w:rFonts w:hint="eastAsia" w:ascii="Arial" w:hAnsi="Arial"/>
          <w:sz w:val="21"/>
          <w:szCs w:val="21"/>
          <w:highlight w:val="none"/>
          <w:lang w:val="en-US" w:eastAsia="zh-CN"/>
        </w:rPr>
        <w:t>16.36</w:t>
      </w:r>
      <w:r>
        <w:rPr>
          <w:rFonts w:hint="eastAsia" w:ascii="Arial" w:hAnsi="Arial"/>
          <w:sz w:val="21"/>
          <w:szCs w:val="21"/>
          <w:highlight w:val="none"/>
        </w:rPr>
        <w:t>+</w:t>
      </w:r>
      <w:r>
        <w:rPr>
          <w:rFonts w:hint="eastAsia" w:ascii="Arial" w:hAnsi="Arial"/>
          <w:sz w:val="21"/>
          <w:szCs w:val="21"/>
          <w:highlight w:val="none"/>
          <w:lang w:val="en-US" w:eastAsia="zh-CN"/>
        </w:rPr>
        <w:t>15.42</w:t>
      </w:r>
      <w:r>
        <w:rPr>
          <w:rFonts w:hint="eastAsia" w:ascii="Arial" w:hAnsi="Arial"/>
          <w:sz w:val="21"/>
          <w:szCs w:val="21"/>
          <w:highlight w:val="none"/>
        </w:rPr>
        <w:t>）÷</w:t>
      </w:r>
      <w:r>
        <w:rPr>
          <w:rFonts w:ascii="Arial" w:hAnsi="Arial"/>
          <w:sz w:val="21"/>
          <w:szCs w:val="21"/>
          <w:highlight w:val="none"/>
        </w:rPr>
        <w:t>3</w:t>
      </w:r>
      <w:r>
        <w:rPr>
          <w:rFonts w:hint="eastAsia" w:ascii="Arial" w:hAnsi="Arial"/>
          <w:sz w:val="21"/>
          <w:szCs w:val="21"/>
          <w:highlight w:val="none"/>
          <w:lang w:val="en-US" w:eastAsia="zh-CN"/>
        </w:rPr>
        <w:t>+1.56</w:t>
      </w:r>
    </w:p>
    <w:p w14:paraId="5F2EDBDB">
      <w:pPr>
        <w:wordWrap w:val="0"/>
        <w:overflowPunct w:val="0"/>
        <w:spacing w:line="480" w:lineRule="auto"/>
        <w:ind w:firstLine="420" w:firstLineChars="200"/>
        <w:rPr>
          <w:rFonts w:hint="eastAsia" w:ascii="Arial" w:hAnsi="Arial"/>
          <w:sz w:val="21"/>
          <w:szCs w:val="21"/>
          <w:highlight w:val="none"/>
          <w:lang w:val="en-US" w:eastAsia="zh-CN"/>
        </w:rPr>
      </w:pPr>
      <w:r>
        <w:rPr>
          <w:rFonts w:ascii="Arial" w:hAnsi="Arial"/>
          <w:sz w:val="21"/>
          <w:szCs w:val="21"/>
          <w:highlight w:val="none"/>
        </w:rPr>
        <w:t xml:space="preserve">                            </w:t>
      </w:r>
      <w:r>
        <w:rPr>
          <w:rFonts w:hint="eastAsia" w:ascii="Arial" w:hAnsi="Arial"/>
          <w:sz w:val="21"/>
          <w:szCs w:val="21"/>
          <w:highlight w:val="none"/>
        </w:rPr>
        <w:t>＝</w:t>
      </w:r>
      <w:r>
        <w:rPr>
          <w:rFonts w:hint="eastAsia" w:ascii="Arial" w:hAnsi="Arial"/>
          <w:sz w:val="21"/>
          <w:szCs w:val="21"/>
          <w:highlight w:val="none"/>
          <w:lang w:val="en-US" w:eastAsia="zh-CN"/>
        </w:rPr>
        <w:t>15.72+1.56</w:t>
      </w:r>
    </w:p>
    <w:p w14:paraId="4CD4CD98">
      <w:pPr>
        <w:wordWrap w:val="0"/>
        <w:overflowPunct w:val="0"/>
        <w:spacing w:line="480" w:lineRule="auto"/>
        <w:ind w:firstLine="3360" w:firstLineChars="1600"/>
        <w:rPr>
          <w:rFonts w:ascii="宋体" w:hAnsi="宋体"/>
          <w:sz w:val="21"/>
          <w:szCs w:val="21"/>
          <w:highlight w:val="none"/>
        </w:rPr>
      </w:pPr>
      <w:r>
        <w:rPr>
          <w:rFonts w:hint="eastAsia" w:ascii="Arial" w:hAnsi="Arial"/>
          <w:sz w:val="21"/>
          <w:szCs w:val="21"/>
          <w:highlight w:val="none"/>
        </w:rPr>
        <w:t>＝</w:t>
      </w:r>
      <w:r>
        <w:rPr>
          <w:rFonts w:hint="eastAsia" w:ascii="Arial" w:hAnsi="Arial"/>
          <w:sz w:val="21"/>
          <w:szCs w:val="21"/>
          <w:highlight w:val="none"/>
          <w:lang w:val="en-US" w:eastAsia="zh-CN"/>
        </w:rPr>
        <w:t>17.28</w:t>
      </w:r>
      <w:r>
        <w:rPr>
          <w:rFonts w:hint="eastAsia" w:ascii="Arial" w:hAnsi="Arial"/>
          <w:sz w:val="21"/>
          <w:szCs w:val="21"/>
          <w:highlight w:val="none"/>
        </w:rPr>
        <w:t>（元/平方米·月）</w:t>
      </w:r>
      <w:r>
        <w:rPr>
          <w:rFonts w:hint="eastAsia" w:ascii="宋体" w:hAnsi="宋体"/>
          <w:sz w:val="21"/>
          <w:szCs w:val="21"/>
          <w:highlight w:val="none"/>
        </w:rPr>
        <w:t>（含物业费、</w:t>
      </w:r>
      <w:r>
        <w:rPr>
          <w:rFonts w:hint="eastAsia" w:ascii="宋体" w:hAnsi="宋体"/>
          <w:sz w:val="21"/>
          <w:szCs w:val="21"/>
          <w:highlight w:val="none"/>
          <w:lang w:val="en-US" w:eastAsia="zh-CN"/>
        </w:rPr>
        <w:t>不含</w:t>
      </w:r>
      <w:r>
        <w:rPr>
          <w:rFonts w:hint="eastAsia" w:ascii="宋体" w:hAnsi="宋体"/>
          <w:sz w:val="21"/>
          <w:szCs w:val="21"/>
          <w:highlight w:val="none"/>
        </w:rPr>
        <w:t>取暖费）</w:t>
      </w:r>
    </w:p>
    <w:p w14:paraId="1AE02B98">
      <w:pPr>
        <w:wordWrap w:val="0"/>
        <w:overflowPunct w:val="0"/>
        <w:spacing w:line="480" w:lineRule="auto"/>
        <w:ind w:firstLine="422" w:firstLineChars="200"/>
        <w:rPr>
          <w:rFonts w:ascii="Arial" w:hAnsi="Arial" w:cs="Arial"/>
          <w:b/>
          <w:sz w:val="21"/>
          <w:szCs w:val="21"/>
          <w:highlight w:val="none"/>
        </w:rPr>
      </w:pPr>
      <w:r>
        <w:rPr>
          <w:rFonts w:hint="eastAsia" w:ascii="Arial" w:hAnsi="Arial" w:cs="Arial"/>
          <w:b/>
          <w:sz w:val="21"/>
          <w:szCs w:val="21"/>
          <w:highlight w:val="none"/>
        </w:rPr>
        <w:t>C.标准房</w:t>
      </w:r>
      <w:r>
        <w:rPr>
          <w:rFonts w:ascii="Arial" w:hAnsi="Arial" w:cs="Arial"/>
          <w:b/>
          <w:sz w:val="21"/>
          <w:szCs w:val="21"/>
          <w:highlight w:val="none"/>
        </w:rPr>
        <w:t>3</w:t>
      </w:r>
      <w:r>
        <w:rPr>
          <w:rFonts w:hint="eastAsia" w:ascii="Arial" w:hAnsi="Arial" w:cs="Arial"/>
          <w:b/>
          <w:sz w:val="21"/>
          <w:szCs w:val="21"/>
          <w:highlight w:val="none"/>
        </w:rPr>
        <w:t>（</w:t>
      </w:r>
      <w:r>
        <w:rPr>
          <w:rFonts w:hint="eastAsia" w:ascii="Arial" w:hAnsi="Arial" w:cs="Arial"/>
          <w:b/>
          <w:sz w:val="21"/>
          <w:szCs w:val="21"/>
          <w:highlight w:val="none"/>
          <w:lang w:val="en-US" w:eastAsia="zh-CN"/>
        </w:rPr>
        <w:t>三</w:t>
      </w:r>
      <w:r>
        <w:rPr>
          <w:rFonts w:hint="eastAsia" w:ascii="宋体" w:hAnsi="宋体"/>
          <w:b/>
          <w:sz w:val="21"/>
          <w:szCs w:val="21"/>
          <w:highlight w:val="none"/>
        </w:rPr>
        <w:t>居室标准房市场租金水平）</w:t>
      </w:r>
    </w:p>
    <w:p w14:paraId="24F524DC">
      <w:pPr>
        <w:wordWrap w:val="0"/>
        <w:overflowPunct w:val="0"/>
        <w:spacing w:line="480" w:lineRule="auto"/>
        <w:ind w:firstLine="420" w:firstLineChars="200"/>
        <w:rPr>
          <w:rFonts w:ascii="Arial" w:hAnsi="Arial" w:cs="Arial"/>
          <w:sz w:val="21"/>
          <w:szCs w:val="21"/>
          <w:highlight w:val="none"/>
        </w:rPr>
      </w:pPr>
      <w:r>
        <w:rPr>
          <w:rFonts w:ascii="Arial" w:hAnsi="Arial" w:cs="Arial"/>
          <w:sz w:val="21"/>
          <w:szCs w:val="21"/>
          <w:highlight w:val="none"/>
        </w:rPr>
        <w:t>1.选取案例并作因素条件说明</w:t>
      </w:r>
    </w:p>
    <w:p w14:paraId="6B93E010">
      <w:pPr>
        <w:wordWrap w:val="0"/>
        <w:overflowPunct w:val="0"/>
        <w:spacing w:line="480" w:lineRule="auto"/>
        <w:ind w:firstLine="420" w:firstLineChars="200"/>
        <w:rPr>
          <w:rFonts w:ascii="Arial" w:hAnsi="Arial" w:cs="Arial"/>
          <w:sz w:val="21"/>
          <w:szCs w:val="21"/>
          <w:highlight w:val="none"/>
        </w:rPr>
      </w:pPr>
      <w:r>
        <w:rPr>
          <w:rFonts w:ascii="Arial" w:hAnsi="Arial" w:cs="Arial"/>
          <w:sz w:val="21"/>
          <w:szCs w:val="21"/>
          <w:highlight w:val="none"/>
        </w:rPr>
        <w:t>通过对北京市</w:t>
      </w:r>
      <w:r>
        <w:rPr>
          <w:rFonts w:hint="eastAsia" w:ascii="Arial" w:hAnsi="Arial" w:cs="Arial"/>
          <w:sz w:val="21"/>
          <w:szCs w:val="21"/>
          <w:highlight w:val="none"/>
        </w:rPr>
        <w:t>大兴</w:t>
      </w:r>
      <w:r>
        <w:rPr>
          <w:rFonts w:ascii="Arial" w:hAnsi="Arial" w:cs="Arial"/>
          <w:sz w:val="21"/>
          <w:szCs w:val="21"/>
          <w:highlight w:val="none"/>
        </w:rPr>
        <w:t>区及其周边</w:t>
      </w:r>
      <w:r>
        <w:rPr>
          <w:rFonts w:hint="eastAsia" w:ascii="Arial" w:hAnsi="Arial" w:cs="Arial"/>
          <w:sz w:val="21"/>
          <w:szCs w:val="21"/>
          <w:highlight w:val="none"/>
        </w:rPr>
        <w:t>住宅</w:t>
      </w:r>
      <w:r>
        <w:rPr>
          <w:rFonts w:ascii="Arial" w:hAnsi="Arial" w:cs="Arial"/>
          <w:sz w:val="21"/>
          <w:szCs w:val="21"/>
          <w:highlight w:val="none"/>
        </w:rPr>
        <w:t>市场的调查，选取近期同一供需圈内邻近地区的三个租赁</w:t>
      </w:r>
      <w:r>
        <w:rPr>
          <w:rFonts w:hint="eastAsia" w:ascii="Arial" w:hAnsi="Arial" w:cs="Arial"/>
          <w:sz w:val="21"/>
          <w:szCs w:val="21"/>
          <w:highlight w:val="none"/>
        </w:rPr>
        <w:t>实例</w:t>
      </w:r>
      <w:r>
        <w:rPr>
          <w:rFonts w:ascii="Arial" w:hAnsi="Arial" w:cs="Arial"/>
          <w:sz w:val="21"/>
          <w:szCs w:val="21"/>
          <w:highlight w:val="none"/>
        </w:rPr>
        <w:t>进行比较。</w:t>
      </w:r>
    </w:p>
    <w:p w14:paraId="2307C558">
      <w:pPr>
        <w:wordWrap w:val="0"/>
        <w:overflowPunct w:val="0"/>
        <w:spacing w:line="480" w:lineRule="auto"/>
        <w:ind w:firstLine="420" w:firstLineChars="200"/>
        <w:rPr>
          <w:rFonts w:ascii="Arial" w:hAnsi="Arial" w:cs="Arial"/>
          <w:sz w:val="21"/>
          <w:szCs w:val="21"/>
          <w:highlight w:val="none"/>
        </w:rPr>
      </w:pPr>
      <w:r>
        <w:rPr>
          <w:rFonts w:hint="eastAsia" w:ascii="Arial" w:hAnsi="Arial" w:cs="Arial"/>
          <w:sz w:val="21"/>
          <w:szCs w:val="21"/>
          <w:highlight w:val="none"/>
        </w:rPr>
        <w:t>可比实例</w:t>
      </w:r>
      <w:r>
        <w:rPr>
          <w:rFonts w:ascii="Arial" w:hAnsi="Arial" w:cs="Arial"/>
          <w:sz w:val="21"/>
          <w:szCs w:val="21"/>
          <w:highlight w:val="none"/>
        </w:rPr>
        <w:t>7：</w:t>
      </w:r>
    </w:p>
    <w:p w14:paraId="7C2A7A6F">
      <w:pPr>
        <w:wordWrap w:val="0"/>
        <w:overflowPunct w:val="0"/>
        <w:spacing w:line="480" w:lineRule="auto"/>
        <w:ind w:firstLine="420" w:firstLineChars="200"/>
        <w:rPr>
          <w:rFonts w:hint="default" w:ascii="Arial" w:hAnsi="Arial" w:eastAsia="宋体" w:cs="Arial"/>
          <w:sz w:val="21"/>
          <w:szCs w:val="21"/>
          <w:highlight w:val="none"/>
          <w:lang w:val="en-US" w:eastAsia="zh-CN"/>
        </w:rPr>
      </w:pPr>
      <w:r>
        <w:rPr>
          <w:rFonts w:ascii="Arial" w:hAnsi="Arial" w:cs="Arial"/>
          <w:sz w:val="21"/>
          <w:szCs w:val="21"/>
          <w:highlight w:val="none"/>
        </w:rPr>
        <w:t>•项目名称：</w:t>
      </w:r>
      <w:r>
        <w:rPr>
          <w:rFonts w:hint="eastAsia" w:ascii="Arial" w:hAnsi="Arial" w:cs="Arial"/>
          <w:sz w:val="21"/>
          <w:szCs w:val="21"/>
          <w:highlight w:val="none"/>
          <w:lang w:val="en-US" w:eastAsia="zh-CN"/>
        </w:rPr>
        <w:t>北京城建宽院国誉府</w:t>
      </w:r>
    </w:p>
    <w:p w14:paraId="04A800BE">
      <w:pPr>
        <w:wordWrap w:val="0"/>
        <w:overflowPunct w:val="0"/>
        <w:spacing w:line="480" w:lineRule="auto"/>
        <w:ind w:firstLine="420" w:firstLineChars="200"/>
        <w:rPr>
          <w:rFonts w:ascii="Arial" w:hAnsi="Arial" w:cs="Arial"/>
          <w:sz w:val="21"/>
          <w:szCs w:val="21"/>
          <w:highlight w:val="none"/>
        </w:rPr>
      </w:pPr>
      <w:r>
        <w:rPr>
          <w:rFonts w:ascii="Arial" w:hAnsi="Arial" w:cs="Arial"/>
          <w:sz w:val="21"/>
          <w:szCs w:val="21"/>
          <w:highlight w:val="none"/>
        </w:rPr>
        <w:t>•项目坐落：</w:t>
      </w:r>
      <w:r>
        <w:rPr>
          <w:rFonts w:hint="eastAsia" w:ascii="Arial" w:hAnsi="Arial" w:cs="Arial"/>
          <w:sz w:val="21"/>
          <w:szCs w:val="21"/>
          <w:highlight w:val="none"/>
        </w:rPr>
        <w:t>大兴区采文路与育仁街交叉路口往东南约100米</w:t>
      </w:r>
    </w:p>
    <w:p w14:paraId="0E204863">
      <w:pPr>
        <w:wordWrap w:val="0"/>
        <w:overflowPunct w:val="0"/>
        <w:spacing w:line="480" w:lineRule="auto"/>
        <w:ind w:firstLine="420" w:firstLineChars="200"/>
        <w:rPr>
          <w:rFonts w:ascii="Arial" w:hAnsi="Arial" w:cs="Arial"/>
          <w:sz w:val="21"/>
          <w:szCs w:val="21"/>
          <w:highlight w:val="none"/>
        </w:rPr>
      </w:pPr>
      <w:r>
        <w:rPr>
          <w:rFonts w:ascii="Arial" w:hAnsi="Arial" w:cs="Arial"/>
          <w:sz w:val="21"/>
          <w:szCs w:val="21"/>
          <w:highlight w:val="none"/>
        </w:rPr>
        <w:t>•交易时间：202</w:t>
      </w:r>
      <w:r>
        <w:rPr>
          <w:rFonts w:hint="eastAsia" w:ascii="Arial" w:hAnsi="Arial" w:cs="Arial"/>
          <w:sz w:val="21"/>
          <w:szCs w:val="21"/>
          <w:highlight w:val="none"/>
          <w:lang w:val="en-US" w:eastAsia="zh-CN"/>
        </w:rPr>
        <w:t>5</w:t>
      </w:r>
      <w:r>
        <w:rPr>
          <w:rFonts w:ascii="Arial" w:hAnsi="Arial" w:cs="Arial"/>
          <w:sz w:val="21"/>
          <w:szCs w:val="21"/>
          <w:highlight w:val="none"/>
        </w:rPr>
        <w:t>年</w:t>
      </w:r>
      <w:r>
        <w:rPr>
          <w:rFonts w:hint="eastAsia" w:ascii="Arial" w:hAnsi="Arial" w:cs="Arial"/>
          <w:sz w:val="21"/>
          <w:szCs w:val="21"/>
          <w:highlight w:val="none"/>
          <w:lang w:val="en-US" w:eastAsia="zh-CN"/>
        </w:rPr>
        <w:t>12</w:t>
      </w:r>
      <w:r>
        <w:rPr>
          <w:rFonts w:ascii="Arial" w:hAnsi="Arial" w:cs="Arial"/>
          <w:sz w:val="21"/>
          <w:szCs w:val="21"/>
          <w:highlight w:val="none"/>
        </w:rPr>
        <w:t>月</w:t>
      </w:r>
    </w:p>
    <w:p w14:paraId="77B30CC1">
      <w:pPr>
        <w:wordWrap w:val="0"/>
        <w:overflowPunct w:val="0"/>
        <w:spacing w:line="480" w:lineRule="auto"/>
        <w:ind w:firstLine="420" w:firstLineChars="200"/>
        <w:rPr>
          <w:rFonts w:ascii="Arial" w:hAnsi="Arial" w:cs="Arial"/>
          <w:sz w:val="21"/>
          <w:szCs w:val="21"/>
          <w:highlight w:val="none"/>
        </w:rPr>
      </w:pPr>
      <w:r>
        <w:rPr>
          <w:rFonts w:ascii="Arial" w:hAnsi="Arial" w:cs="Arial"/>
          <w:sz w:val="21"/>
          <w:szCs w:val="21"/>
          <w:highlight w:val="none"/>
        </w:rPr>
        <w:t>•交易情况：正常出租</w:t>
      </w:r>
    </w:p>
    <w:p w14:paraId="231F8154">
      <w:pPr>
        <w:wordWrap w:val="0"/>
        <w:overflowPunct w:val="0"/>
        <w:spacing w:line="480" w:lineRule="auto"/>
        <w:ind w:firstLine="420" w:firstLineChars="200"/>
        <w:rPr>
          <w:rFonts w:ascii="Arial" w:hAnsi="Arial" w:cs="Arial"/>
          <w:sz w:val="21"/>
          <w:szCs w:val="21"/>
          <w:highlight w:val="none"/>
        </w:rPr>
      </w:pPr>
      <w:r>
        <w:rPr>
          <w:rFonts w:ascii="Arial" w:hAnsi="Arial" w:cs="Arial"/>
          <w:sz w:val="21"/>
          <w:szCs w:val="21"/>
          <w:highlight w:val="none"/>
        </w:rPr>
        <w:t>•用途：住宅</w:t>
      </w:r>
    </w:p>
    <w:p w14:paraId="3C370377">
      <w:pPr>
        <w:wordWrap w:val="0"/>
        <w:overflowPunct w:val="0"/>
        <w:spacing w:line="480" w:lineRule="auto"/>
        <w:ind w:firstLine="420" w:firstLineChars="200"/>
        <w:jc w:val="both"/>
        <w:rPr>
          <w:rFonts w:ascii="Arial" w:hAnsi="Arial" w:cs="Arial"/>
          <w:sz w:val="21"/>
          <w:szCs w:val="21"/>
          <w:highlight w:val="none"/>
        </w:rPr>
      </w:pPr>
      <w:r>
        <w:rPr>
          <w:rFonts w:hint="eastAsia" w:ascii="Arial" w:hAnsi="Arial" w:cs="Arial"/>
          <w:sz w:val="21"/>
          <w:szCs w:val="21"/>
          <w:highlight w:val="none"/>
        </w:rPr>
        <w:t>可比实例</w:t>
      </w:r>
      <w:r>
        <w:rPr>
          <w:rFonts w:hint="eastAsia" w:ascii="Arial" w:hAnsi="Arial" w:cs="Arial"/>
          <w:sz w:val="21"/>
          <w:szCs w:val="21"/>
          <w:highlight w:val="none"/>
          <w:lang w:val="en-US" w:eastAsia="zh-CN"/>
        </w:rPr>
        <w:t>7</w:t>
      </w:r>
      <w:r>
        <w:rPr>
          <w:rFonts w:hint="eastAsia" w:ascii="Arial" w:hAnsi="Arial" w:cs="Arial"/>
          <w:sz w:val="21"/>
          <w:szCs w:val="21"/>
          <w:highlight w:val="none"/>
        </w:rPr>
        <w:t>周边2公里内有</w:t>
      </w:r>
      <w:r>
        <w:rPr>
          <w:rFonts w:hint="eastAsia" w:ascii="Arial" w:hAnsi="Arial" w:cs="Arial"/>
          <w:kern w:val="2"/>
          <w:sz w:val="21"/>
          <w:szCs w:val="21"/>
          <w:highlight w:val="none"/>
        </w:rPr>
        <w:t>兴创荣墅、住总兴创如遇、</w:t>
      </w:r>
      <w:r>
        <w:rPr>
          <w:rFonts w:hint="eastAsia" w:ascii="Arial" w:hAnsi="Arial" w:cs="Arial"/>
          <w:kern w:val="2"/>
          <w:sz w:val="21"/>
          <w:szCs w:val="21"/>
          <w:highlight w:val="none"/>
          <w:lang w:val="en-US" w:eastAsia="zh-CN"/>
        </w:rPr>
        <w:t>阳光</w:t>
      </w:r>
      <w:r>
        <w:rPr>
          <w:rFonts w:hint="eastAsia" w:ascii="Arial" w:hAnsi="Arial" w:cs="Arial"/>
          <w:kern w:val="2"/>
          <w:sz w:val="21"/>
          <w:szCs w:val="21"/>
          <w:highlight w:val="none"/>
        </w:rPr>
        <w:t>波尔多</w:t>
      </w:r>
      <w:r>
        <w:rPr>
          <w:rFonts w:hint="eastAsia" w:ascii="Arial" w:hAnsi="Arial" w:cs="Arial"/>
          <w:kern w:val="2"/>
          <w:sz w:val="21"/>
          <w:szCs w:val="21"/>
          <w:highlight w:val="none"/>
          <w:lang w:eastAsia="zh-CN"/>
        </w:rPr>
        <w:t>、</w:t>
      </w:r>
      <w:r>
        <w:rPr>
          <w:rFonts w:hint="eastAsia" w:ascii="Arial" w:hAnsi="Arial" w:cs="Arial"/>
          <w:kern w:val="2"/>
          <w:sz w:val="21"/>
          <w:szCs w:val="21"/>
          <w:highlight w:val="none"/>
          <w:lang w:val="en-US" w:eastAsia="zh-CN"/>
        </w:rPr>
        <w:t>蓝天花园</w:t>
      </w:r>
      <w:r>
        <w:rPr>
          <w:rFonts w:hint="eastAsia" w:ascii="Arial" w:hAnsi="Arial" w:cs="Arial"/>
          <w:kern w:val="2"/>
          <w:sz w:val="21"/>
          <w:szCs w:val="21"/>
          <w:highlight w:val="none"/>
        </w:rPr>
        <w:t>、</w:t>
      </w:r>
      <w:r>
        <w:rPr>
          <w:rFonts w:hint="eastAsia" w:ascii="Arial" w:hAnsi="Arial" w:cs="Arial"/>
          <w:kern w:val="2"/>
          <w:sz w:val="21"/>
          <w:szCs w:val="21"/>
          <w:highlight w:val="none"/>
          <w:lang w:val="en-US" w:eastAsia="zh-CN"/>
        </w:rPr>
        <w:t>住总如院、</w:t>
      </w:r>
      <w:r>
        <w:rPr>
          <w:rFonts w:hint="eastAsia" w:ascii="Arial" w:hAnsi="Arial" w:cs="Arial"/>
          <w:kern w:val="2"/>
          <w:sz w:val="21"/>
          <w:szCs w:val="21"/>
          <w:highlight w:val="none"/>
        </w:rPr>
        <w:t>路劲御合院、北京城建宽院国誉府等</w:t>
      </w:r>
      <w:r>
        <w:rPr>
          <w:rFonts w:hint="eastAsia" w:ascii="Arial" w:hAnsi="Arial" w:cs="Arial"/>
          <w:kern w:val="2"/>
          <w:sz w:val="21"/>
          <w:szCs w:val="21"/>
          <w:highlight w:val="none"/>
          <w:lang w:eastAsia="zh-CN"/>
        </w:rPr>
        <w:t>，</w:t>
      </w:r>
      <w:r>
        <w:rPr>
          <w:rFonts w:hint="eastAsia" w:ascii="Arial" w:hAnsi="Arial" w:cs="Arial"/>
          <w:kern w:val="2"/>
          <w:sz w:val="21"/>
          <w:szCs w:val="21"/>
          <w:highlight w:val="none"/>
        </w:rPr>
        <w:t>居住小区规模一般，入住率一般，综合评价居住区成熟度一般</w:t>
      </w:r>
      <w:r>
        <w:rPr>
          <w:rFonts w:ascii="Arial" w:hAnsi="Arial" w:cs="Arial"/>
          <w:sz w:val="21"/>
          <w:szCs w:val="21"/>
          <w:highlight w:val="none"/>
        </w:rPr>
        <w:t>；</w:t>
      </w:r>
      <w:r>
        <w:rPr>
          <w:rFonts w:hint="eastAsia" w:ascii="Arial" w:hAnsi="Arial" w:cs="Arial"/>
          <w:sz w:val="21"/>
          <w:szCs w:val="21"/>
          <w:highlight w:val="none"/>
          <w:lang w:val="en-US" w:eastAsia="zh-CN"/>
        </w:rPr>
        <w:t>东</w:t>
      </w:r>
      <w:r>
        <w:rPr>
          <w:rFonts w:ascii="Arial" w:hAnsi="Arial" w:cs="Arial"/>
          <w:sz w:val="21"/>
          <w:szCs w:val="21"/>
          <w:highlight w:val="none"/>
        </w:rPr>
        <w:t>侧紧邻城市</w:t>
      </w:r>
      <w:r>
        <w:rPr>
          <w:rFonts w:hint="eastAsia" w:ascii="Arial" w:hAnsi="Arial" w:cs="Arial"/>
          <w:sz w:val="21"/>
          <w:szCs w:val="21"/>
          <w:highlight w:val="none"/>
          <w:lang w:val="en-US" w:eastAsia="zh-CN"/>
        </w:rPr>
        <w:t>次</w:t>
      </w:r>
      <w:r>
        <w:rPr>
          <w:rFonts w:hint="eastAsia" w:ascii="Arial" w:hAnsi="Arial" w:cs="Arial"/>
          <w:sz w:val="21"/>
          <w:szCs w:val="21"/>
          <w:highlight w:val="none"/>
        </w:rPr>
        <w:t>干道</w:t>
      </w:r>
      <w:r>
        <w:rPr>
          <w:rFonts w:ascii="Arial" w:hAnsi="Arial" w:cs="Arial"/>
          <w:sz w:val="21"/>
          <w:szCs w:val="21"/>
          <w:highlight w:val="none"/>
        </w:rPr>
        <w:t>——</w:t>
      </w:r>
      <w:r>
        <w:rPr>
          <w:rFonts w:hint="eastAsia" w:ascii="Arial" w:hAnsi="Arial" w:cs="Arial"/>
          <w:sz w:val="21"/>
          <w:szCs w:val="21"/>
          <w:highlight w:val="none"/>
          <w:lang w:val="en-US" w:eastAsia="zh-CN"/>
        </w:rPr>
        <w:t>采风路</w:t>
      </w:r>
      <w:r>
        <w:rPr>
          <w:rFonts w:ascii="Arial" w:hAnsi="Arial" w:cs="Arial"/>
          <w:sz w:val="21"/>
          <w:szCs w:val="21"/>
          <w:highlight w:val="none"/>
        </w:rPr>
        <w:t>，</w:t>
      </w:r>
      <w:r>
        <w:rPr>
          <w:rFonts w:hint="eastAsia" w:ascii="Arial" w:hAnsi="Arial" w:cs="Arial"/>
          <w:kern w:val="2"/>
          <w:sz w:val="21"/>
          <w:szCs w:val="21"/>
          <w:highlight w:val="none"/>
          <w:lang w:val="en-US" w:eastAsia="zh-CN"/>
        </w:rPr>
        <w:t>周边</w:t>
      </w:r>
      <w:r>
        <w:rPr>
          <w:rFonts w:hint="eastAsia" w:ascii="Arial" w:hAnsi="Arial" w:cs="Arial"/>
          <w:kern w:val="2"/>
          <w:sz w:val="21"/>
          <w:szCs w:val="21"/>
          <w:highlight w:val="none"/>
        </w:rPr>
        <w:t>2公里范围内无轨道交通站点，周边1公里内有926路、955路、兴20路、兴32路、兴43路、兴940路等公交线路途径并设立站点，综合评价交通便捷度</w:t>
      </w:r>
      <w:r>
        <w:rPr>
          <w:rFonts w:hint="eastAsia" w:ascii="Arial" w:hAnsi="Arial" w:cs="Arial"/>
          <w:kern w:val="2"/>
          <w:sz w:val="21"/>
          <w:szCs w:val="21"/>
          <w:highlight w:val="none"/>
          <w:lang w:val="en-US" w:eastAsia="zh-CN"/>
        </w:rPr>
        <w:t>一般；</w:t>
      </w:r>
      <w:r>
        <w:rPr>
          <w:rFonts w:ascii="Arial" w:hAnsi="Arial" w:cs="Arial"/>
          <w:sz w:val="21"/>
          <w:szCs w:val="21"/>
          <w:highlight w:val="none"/>
        </w:rPr>
        <w:t>周边有</w:t>
      </w:r>
      <w:r>
        <w:rPr>
          <w:rFonts w:hint="eastAsia" w:ascii="Arial" w:hAnsi="Arial" w:cs="Arial"/>
          <w:kern w:val="2"/>
          <w:sz w:val="21"/>
          <w:szCs w:val="21"/>
          <w:highlight w:val="none"/>
        </w:rPr>
        <w:t>采育公园、凤河</w:t>
      </w:r>
      <w:r>
        <w:rPr>
          <w:rFonts w:ascii="Arial" w:hAnsi="Arial" w:cs="Arial"/>
          <w:sz w:val="21"/>
          <w:szCs w:val="21"/>
          <w:highlight w:val="none"/>
        </w:rPr>
        <w:t>等自然景观，</w:t>
      </w:r>
      <w:r>
        <w:rPr>
          <w:rFonts w:hint="eastAsia" w:ascii="Arial" w:hAnsi="Arial" w:cs="Arial"/>
          <w:sz w:val="21"/>
          <w:szCs w:val="21"/>
          <w:highlight w:val="none"/>
        </w:rPr>
        <w:t>5公里范围内无污染源，</w:t>
      </w:r>
      <w:r>
        <w:rPr>
          <w:rFonts w:ascii="Arial" w:hAnsi="Arial" w:cs="Arial"/>
          <w:sz w:val="21"/>
          <w:szCs w:val="21"/>
          <w:highlight w:val="none"/>
        </w:rPr>
        <w:t>自然与人环境</w:t>
      </w:r>
      <w:r>
        <w:rPr>
          <w:rFonts w:hint="eastAsia" w:ascii="Arial" w:hAnsi="Arial" w:cs="Arial"/>
          <w:sz w:val="21"/>
          <w:szCs w:val="21"/>
          <w:highlight w:val="none"/>
          <w:lang w:val="en-US" w:eastAsia="zh-CN"/>
        </w:rPr>
        <w:t>一般</w:t>
      </w:r>
      <w:r>
        <w:rPr>
          <w:rFonts w:ascii="Arial" w:hAnsi="Arial" w:cs="Arial"/>
          <w:sz w:val="21"/>
          <w:szCs w:val="21"/>
          <w:highlight w:val="none"/>
        </w:rPr>
        <w:t>；周边</w:t>
      </w:r>
      <w:r>
        <w:rPr>
          <w:rFonts w:hint="eastAsia" w:ascii="Arial" w:hAnsi="Arial" w:cs="Arial"/>
          <w:kern w:val="2"/>
          <w:sz w:val="21"/>
          <w:szCs w:val="21"/>
          <w:highlight w:val="none"/>
        </w:rPr>
        <w:t>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r>
        <w:rPr>
          <w:rFonts w:ascii="Arial" w:hAnsi="Arial" w:cs="Arial"/>
          <w:sz w:val="21"/>
          <w:szCs w:val="21"/>
          <w:highlight w:val="none"/>
        </w:rPr>
        <w:t>；所在社区有专业物业公司，物业服务保障好</w:t>
      </w:r>
      <w:r>
        <w:rPr>
          <w:rFonts w:hint="eastAsia" w:ascii="Arial" w:hAnsi="Arial" w:cs="Arial"/>
          <w:sz w:val="21"/>
          <w:szCs w:val="21"/>
          <w:highlight w:val="none"/>
          <w:lang w:eastAsia="zh-CN"/>
        </w:rPr>
        <w:t>，</w:t>
      </w:r>
      <w:r>
        <w:rPr>
          <w:rFonts w:ascii="Arial" w:hAnsi="Arial" w:cs="Arial"/>
          <w:sz w:val="21"/>
          <w:szCs w:val="21"/>
          <w:highlight w:val="none"/>
        </w:rPr>
        <w:t>有一定规模的绿化，环境较好，区内未配有专属活动站；</w:t>
      </w:r>
      <w:r>
        <w:rPr>
          <w:rFonts w:hint="eastAsia" w:ascii="Arial" w:hAnsi="Arial" w:cs="Arial"/>
          <w:sz w:val="21"/>
          <w:szCs w:val="21"/>
          <w:highlight w:val="none"/>
          <w:lang w:val="en-US" w:eastAsia="zh-CN"/>
        </w:rPr>
        <w:t>社区</w:t>
      </w:r>
      <w:r>
        <w:rPr>
          <w:rFonts w:ascii="Arial" w:hAnsi="Arial" w:cs="Arial"/>
          <w:sz w:val="21"/>
          <w:szCs w:val="21"/>
          <w:highlight w:val="none"/>
        </w:rPr>
        <w:t>有一定数量的专业人员管理，居住管理一般；</w:t>
      </w:r>
      <w:r>
        <w:rPr>
          <w:rFonts w:hint="eastAsia" w:ascii="Arial" w:hAnsi="Arial" w:cs="Arial"/>
          <w:sz w:val="21"/>
          <w:szCs w:val="21"/>
          <w:highlight w:val="none"/>
        </w:rPr>
        <w:t>可比实例</w:t>
      </w:r>
      <w:r>
        <w:rPr>
          <w:rFonts w:hint="eastAsia" w:ascii="Arial" w:hAnsi="Arial" w:cs="Arial"/>
          <w:sz w:val="21"/>
          <w:szCs w:val="21"/>
          <w:highlight w:val="none"/>
          <w:lang w:val="en-US" w:eastAsia="zh-CN"/>
        </w:rPr>
        <w:t>7</w:t>
      </w:r>
      <w:r>
        <w:rPr>
          <w:rFonts w:ascii="Arial" w:hAnsi="Arial" w:cs="Arial"/>
          <w:sz w:val="21"/>
          <w:szCs w:val="21"/>
          <w:highlight w:val="none"/>
        </w:rPr>
        <w:t>为</w:t>
      </w:r>
      <w:r>
        <w:rPr>
          <w:rFonts w:hint="eastAsia" w:ascii="Arial" w:hAnsi="Arial" w:cs="Arial"/>
          <w:sz w:val="21"/>
          <w:szCs w:val="21"/>
          <w:highlight w:val="none"/>
          <w:lang w:val="en-US" w:eastAsia="zh-CN"/>
        </w:rPr>
        <w:t>四</w:t>
      </w:r>
      <w:r>
        <w:rPr>
          <w:rFonts w:ascii="Arial" w:hAnsi="Arial" w:cs="Arial"/>
          <w:sz w:val="21"/>
          <w:szCs w:val="21"/>
          <w:highlight w:val="none"/>
        </w:rPr>
        <w:t>居室户型，</w:t>
      </w:r>
      <w:r>
        <w:rPr>
          <w:rFonts w:hint="eastAsia" w:ascii="Arial" w:hAnsi="Arial" w:cs="Arial"/>
          <w:sz w:val="21"/>
          <w:szCs w:val="21"/>
          <w:highlight w:val="none"/>
          <w:lang w:val="en-US" w:eastAsia="zh-CN"/>
        </w:rPr>
        <w:t>低</w:t>
      </w:r>
      <w:r>
        <w:rPr>
          <w:rFonts w:ascii="Arial" w:hAnsi="Arial" w:cs="Arial"/>
          <w:sz w:val="21"/>
          <w:szCs w:val="21"/>
          <w:highlight w:val="none"/>
        </w:rPr>
        <w:t>楼层，</w:t>
      </w:r>
      <w:r>
        <w:rPr>
          <w:rFonts w:hint="eastAsia" w:ascii="Arial" w:hAnsi="Arial" w:cs="Arial"/>
          <w:sz w:val="21"/>
          <w:szCs w:val="21"/>
          <w:highlight w:val="none"/>
          <w:lang w:val="en-US" w:eastAsia="zh-CN"/>
        </w:rPr>
        <w:t>南北</w:t>
      </w:r>
      <w:r>
        <w:rPr>
          <w:rFonts w:ascii="Arial" w:hAnsi="Arial" w:cs="Arial"/>
          <w:sz w:val="21"/>
          <w:szCs w:val="21"/>
          <w:highlight w:val="none"/>
        </w:rPr>
        <w:t>朝向，建成年份为</w:t>
      </w:r>
      <w:r>
        <w:rPr>
          <w:rFonts w:hint="eastAsia" w:ascii="Arial" w:hAnsi="Arial" w:cs="Arial"/>
          <w:sz w:val="21"/>
          <w:szCs w:val="21"/>
          <w:highlight w:val="none"/>
        </w:rPr>
        <w:t>2</w:t>
      </w:r>
      <w:r>
        <w:rPr>
          <w:rFonts w:hint="eastAsia" w:ascii="Arial" w:hAnsi="Arial" w:cs="Arial"/>
          <w:sz w:val="21"/>
          <w:szCs w:val="21"/>
          <w:highlight w:val="none"/>
          <w:lang w:val="en-US" w:eastAsia="zh-CN"/>
        </w:rPr>
        <w:t>021</w:t>
      </w:r>
      <w:r>
        <w:rPr>
          <w:rFonts w:ascii="Arial" w:hAnsi="Arial" w:cs="Arial"/>
          <w:sz w:val="21"/>
          <w:szCs w:val="21"/>
          <w:highlight w:val="none"/>
        </w:rPr>
        <w:t>年，建筑结构为</w:t>
      </w:r>
      <w:r>
        <w:rPr>
          <w:rFonts w:hint="eastAsia" w:ascii="Arial" w:hAnsi="Arial" w:cs="Arial"/>
          <w:sz w:val="21"/>
          <w:szCs w:val="21"/>
          <w:highlight w:val="none"/>
          <w:lang w:val="en-US" w:eastAsia="zh-CN"/>
        </w:rPr>
        <w:t>混合</w:t>
      </w:r>
      <w:r>
        <w:rPr>
          <w:rFonts w:ascii="Arial" w:hAnsi="Arial" w:cs="Arial"/>
          <w:sz w:val="21"/>
          <w:szCs w:val="21"/>
          <w:highlight w:val="none"/>
        </w:rPr>
        <w:t>结构，装修为精装修，建筑面积为</w:t>
      </w:r>
      <w:r>
        <w:rPr>
          <w:rFonts w:hint="eastAsia" w:ascii="Arial" w:hAnsi="Arial" w:cs="Arial"/>
          <w:sz w:val="21"/>
          <w:szCs w:val="21"/>
          <w:highlight w:val="none"/>
          <w:lang w:val="en-US" w:eastAsia="zh-CN"/>
        </w:rPr>
        <w:t>130.96</w:t>
      </w:r>
      <w:r>
        <w:rPr>
          <w:rFonts w:ascii="Arial" w:hAnsi="Arial" w:cs="Arial"/>
          <w:sz w:val="21"/>
          <w:szCs w:val="21"/>
          <w:highlight w:val="none"/>
        </w:rPr>
        <w:t>平方米，</w:t>
      </w:r>
      <w:r>
        <w:rPr>
          <w:rFonts w:hint="eastAsia" w:ascii="宋体" w:hAnsi="宋体"/>
          <w:sz w:val="21"/>
          <w:szCs w:val="21"/>
          <w:highlight w:val="none"/>
        </w:rPr>
        <w:t>配备家具、家电齐全，功能正常，质量有保证。交易价格</w:t>
      </w:r>
      <w:r>
        <w:rPr>
          <w:rFonts w:hint="eastAsia" w:ascii="Arial" w:hAnsi="Arial" w:cs="Arial"/>
          <w:sz w:val="21"/>
          <w:szCs w:val="21"/>
          <w:highlight w:val="none"/>
        </w:rPr>
        <w:t>为</w:t>
      </w:r>
      <w:r>
        <w:rPr>
          <w:rFonts w:hint="eastAsia" w:ascii="Arial" w:hAnsi="Arial" w:cs="Arial"/>
          <w:sz w:val="21"/>
          <w:szCs w:val="21"/>
          <w:highlight w:val="none"/>
          <w:lang w:val="en-US" w:eastAsia="zh-CN"/>
        </w:rPr>
        <w:t>19.09</w:t>
      </w:r>
      <w:r>
        <w:rPr>
          <w:rFonts w:hint="eastAsia" w:ascii="Arial" w:hAnsi="Arial" w:cs="Arial"/>
          <w:sz w:val="21"/>
          <w:szCs w:val="21"/>
          <w:highlight w:val="none"/>
        </w:rPr>
        <w:t>元/平方米·月（含物业费</w:t>
      </w:r>
      <w:r>
        <w:rPr>
          <w:rFonts w:hint="eastAsia" w:ascii="Arial" w:hAnsi="Arial" w:cs="Arial"/>
          <w:sz w:val="21"/>
          <w:szCs w:val="21"/>
          <w:highlight w:val="none"/>
          <w:lang w:val="en-US" w:eastAsia="zh-CN"/>
        </w:rPr>
        <w:t>4.38</w:t>
      </w:r>
      <w:r>
        <w:rPr>
          <w:rFonts w:hint="eastAsia" w:ascii="Arial" w:hAnsi="Arial" w:cs="Arial"/>
          <w:sz w:val="21"/>
          <w:szCs w:val="21"/>
          <w:highlight w:val="none"/>
        </w:rPr>
        <w:t>元/平方米·月、取暖费2.5元/平方米·月）。</w:t>
      </w:r>
    </w:p>
    <w:p w14:paraId="258CC27A">
      <w:pPr>
        <w:wordWrap w:val="0"/>
        <w:overflowPunct w:val="0"/>
        <w:spacing w:line="480" w:lineRule="auto"/>
        <w:ind w:firstLine="420" w:firstLineChars="200"/>
        <w:rPr>
          <w:rFonts w:ascii="Arial" w:hAnsi="Arial" w:cs="Arial"/>
          <w:sz w:val="21"/>
          <w:szCs w:val="21"/>
          <w:highlight w:val="none"/>
        </w:rPr>
      </w:pPr>
      <w:r>
        <w:rPr>
          <w:rFonts w:hint="eastAsia" w:ascii="Arial" w:hAnsi="Arial" w:cs="Arial"/>
          <w:sz w:val="21"/>
          <w:szCs w:val="21"/>
          <w:highlight w:val="none"/>
        </w:rPr>
        <w:t>可比实例</w:t>
      </w:r>
      <w:r>
        <w:rPr>
          <w:rFonts w:ascii="Arial" w:hAnsi="Arial" w:cs="Arial"/>
          <w:sz w:val="21"/>
          <w:szCs w:val="21"/>
          <w:highlight w:val="none"/>
        </w:rPr>
        <w:t>8：</w:t>
      </w:r>
    </w:p>
    <w:p w14:paraId="16155348">
      <w:pPr>
        <w:wordWrap w:val="0"/>
        <w:overflowPunct w:val="0"/>
        <w:spacing w:line="480" w:lineRule="auto"/>
        <w:ind w:firstLine="420" w:firstLineChars="200"/>
        <w:rPr>
          <w:rFonts w:ascii="Arial" w:hAnsi="Arial" w:cs="Arial"/>
          <w:sz w:val="21"/>
          <w:szCs w:val="21"/>
          <w:highlight w:val="none"/>
        </w:rPr>
      </w:pPr>
      <w:r>
        <w:rPr>
          <w:rFonts w:ascii="Arial" w:hAnsi="Arial" w:cs="Arial"/>
          <w:sz w:val="21"/>
          <w:szCs w:val="21"/>
          <w:highlight w:val="none"/>
        </w:rPr>
        <w:t>•项目名称：</w:t>
      </w:r>
      <w:r>
        <w:rPr>
          <w:rFonts w:hint="eastAsia" w:ascii="Arial" w:hAnsi="Arial" w:cs="Arial"/>
          <w:sz w:val="21"/>
          <w:szCs w:val="21"/>
          <w:highlight w:val="none"/>
        </w:rPr>
        <w:t>恒盛波尔多小镇南区</w:t>
      </w:r>
    </w:p>
    <w:p w14:paraId="2C8642E3">
      <w:pPr>
        <w:wordWrap w:val="0"/>
        <w:overflowPunct w:val="0"/>
        <w:spacing w:line="480" w:lineRule="auto"/>
        <w:ind w:firstLine="420" w:firstLineChars="200"/>
        <w:rPr>
          <w:rFonts w:hint="eastAsia" w:ascii="Arial" w:hAnsi="Arial" w:cs="Arial"/>
          <w:sz w:val="21"/>
          <w:szCs w:val="21"/>
          <w:highlight w:val="none"/>
        </w:rPr>
      </w:pPr>
      <w:r>
        <w:rPr>
          <w:rFonts w:ascii="Arial" w:hAnsi="Arial" w:cs="Arial"/>
          <w:sz w:val="21"/>
          <w:szCs w:val="21"/>
          <w:highlight w:val="none"/>
        </w:rPr>
        <w:t>•项目坐落：</w:t>
      </w:r>
      <w:r>
        <w:rPr>
          <w:rFonts w:hint="eastAsia" w:ascii="Arial" w:hAnsi="Arial" w:cs="Arial"/>
          <w:sz w:val="21"/>
          <w:szCs w:val="21"/>
          <w:highlight w:val="none"/>
        </w:rPr>
        <w:t>大兴区</w:t>
      </w:r>
      <w:r>
        <w:rPr>
          <w:rFonts w:hint="eastAsia" w:ascii="Arial" w:hAnsi="Arial" w:cs="Arial"/>
          <w:sz w:val="21"/>
          <w:szCs w:val="21"/>
          <w:highlight w:val="none"/>
          <w:lang w:val="en-US" w:eastAsia="zh-CN"/>
        </w:rPr>
        <w:t>采育镇</w:t>
      </w:r>
      <w:r>
        <w:rPr>
          <w:rFonts w:hint="eastAsia" w:ascii="Arial" w:hAnsi="Arial" w:cs="Arial"/>
          <w:sz w:val="21"/>
          <w:szCs w:val="21"/>
          <w:highlight w:val="none"/>
        </w:rPr>
        <w:t>育镇街32号</w:t>
      </w:r>
    </w:p>
    <w:p w14:paraId="7E9531BB">
      <w:pPr>
        <w:wordWrap w:val="0"/>
        <w:overflowPunct w:val="0"/>
        <w:spacing w:line="480" w:lineRule="auto"/>
        <w:ind w:firstLine="420" w:firstLineChars="200"/>
        <w:rPr>
          <w:rFonts w:ascii="Arial" w:hAnsi="Arial" w:cs="Arial"/>
          <w:sz w:val="21"/>
          <w:szCs w:val="21"/>
          <w:highlight w:val="none"/>
        </w:rPr>
      </w:pPr>
      <w:r>
        <w:rPr>
          <w:rFonts w:ascii="Arial" w:hAnsi="Arial" w:cs="Arial"/>
          <w:sz w:val="21"/>
          <w:szCs w:val="21"/>
          <w:highlight w:val="none"/>
        </w:rPr>
        <w:t>•交易时间：202</w:t>
      </w:r>
      <w:r>
        <w:rPr>
          <w:rFonts w:hint="eastAsia" w:ascii="Arial" w:hAnsi="Arial" w:cs="Arial"/>
          <w:sz w:val="21"/>
          <w:szCs w:val="21"/>
          <w:highlight w:val="none"/>
          <w:lang w:val="en-US" w:eastAsia="zh-CN"/>
        </w:rPr>
        <w:t>5</w:t>
      </w:r>
      <w:r>
        <w:rPr>
          <w:rFonts w:ascii="Arial" w:hAnsi="Arial" w:cs="Arial"/>
          <w:sz w:val="21"/>
          <w:szCs w:val="21"/>
          <w:highlight w:val="none"/>
        </w:rPr>
        <w:t>年</w:t>
      </w:r>
      <w:r>
        <w:rPr>
          <w:rFonts w:hint="eastAsia" w:ascii="Arial" w:hAnsi="Arial" w:cs="Arial"/>
          <w:sz w:val="21"/>
          <w:szCs w:val="21"/>
          <w:highlight w:val="none"/>
          <w:lang w:val="en-US" w:eastAsia="zh-CN"/>
        </w:rPr>
        <w:t>12</w:t>
      </w:r>
      <w:r>
        <w:rPr>
          <w:rFonts w:ascii="Arial" w:hAnsi="Arial" w:cs="Arial"/>
          <w:sz w:val="21"/>
          <w:szCs w:val="21"/>
          <w:highlight w:val="none"/>
        </w:rPr>
        <w:t>月</w:t>
      </w:r>
    </w:p>
    <w:p w14:paraId="4895CE86">
      <w:pPr>
        <w:wordWrap w:val="0"/>
        <w:overflowPunct w:val="0"/>
        <w:spacing w:line="480" w:lineRule="auto"/>
        <w:ind w:firstLine="420" w:firstLineChars="200"/>
        <w:rPr>
          <w:rFonts w:ascii="Arial" w:hAnsi="Arial" w:cs="Arial"/>
          <w:sz w:val="21"/>
          <w:szCs w:val="21"/>
          <w:highlight w:val="none"/>
        </w:rPr>
      </w:pPr>
      <w:r>
        <w:rPr>
          <w:rFonts w:ascii="Arial" w:hAnsi="Arial" w:cs="Arial"/>
          <w:sz w:val="21"/>
          <w:szCs w:val="21"/>
          <w:highlight w:val="none"/>
        </w:rPr>
        <w:t>•交易情况：正常出租</w:t>
      </w:r>
    </w:p>
    <w:p w14:paraId="24AC0C35">
      <w:pPr>
        <w:wordWrap w:val="0"/>
        <w:overflowPunct w:val="0"/>
        <w:spacing w:line="480" w:lineRule="auto"/>
        <w:ind w:firstLine="420" w:firstLineChars="200"/>
        <w:rPr>
          <w:rFonts w:ascii="Arial" w:hAnsi="Arial" w:cs="Arial"/>
          <w:sz w:val="21"/>
          <w:szCs w:val="21"/>
          <w:highlight w:val="none"/>
        </w:rPr>
      </w:pPr>
      <w:r>
        <w:rPr>
          <w:rFonts w:ascii="Arial" w:hAnsi="Arial" w:cs="Arial"/>
          <w:sz w:val="21"/>
          <w:szCs w:val="21"/>
          <w:highlight w:val="none"/>
        </w:rPr>
        <w:t>•用途：住宅</w:t>
      </w:r>
    </w:p>
    <w:p w14:paraId="69C582CA">
      <w:pPr>
        <w:wordWrap w:val="0"/>
        <w:overflowPunct w:val="0"/>
        <w:spacing w:line="480" w:lineRule="auto"/>
        <w:ind w:firstLine="420" w:firstLineChars="200"/>
        <w:rPr>
          <w:rFonts w:ascii="Arial" w:hAnsi="Arial" w:cs="Arial"/>
          <w:sz w:val="21"/>
          <w:szCs w:val="21"/>
          <w:highlight w:val="none"/>
        </w:rPr>
      </w:pPr>
      <w:r>
        <w:rPr>
          <w:rFonts w:hint="eastAsia" w:ascii="Arial" w:hAnsi="Arial" w:cs="Arial"/>
          <w:sz w:val="21"/>
          <w:szCs w:val="21"/>
          <w:highlight w:val="none"/>
        </w:rPr>
        <w:t>可比实例</w:t>
      </w:r>
      <w:r>
        <w:rPr>
          <w:rFonts w:hint="eastAsia" w:ascii="Arial" w:hAnsi="Arial" w:cs="Arial"/>
          <w:sz w:val="21"/>
          <w:szCs w:val="21"/>
          <w:highlight w:val="none"/>
          <w:lang w:val="en-US" w:eastAsia="zh-CN"/>
        </w:rPr>
        <w:t>8</w:t>
      </w:r>
      <w:r>
        <w:rPr>
          <w:rFonts w:hint="eastAsia" w:ascii="Arial" w:hAnsi="Arial" w:cs="Arial"/>
          <w:sz w:val="21"/>
          <w:szCs w:val="21"/>
          <w:highlight w:val="none"/>
        </w:rPr>
        <w:t>周边有</w:t>
      </w:r>
      <w:r>
        <w:rPr>
          <w:rFonts w:hint="eastAsia" w:ascii="Arial" w:hAnsi="Arial" w:cs="Arial"/>
          <w:kern w:val="2"/>
          <w:sz w:val="21"/>
          <w:szCs w:val="21"/>
          <w:highlight w:val="none"/>
        </w:rPr>
        <w:t>兴创荣墅、住总兴创如遇、</w:t>
      </w:r>
      <w:r>
        <w:rPr>
          <w:rFonts w:hint="eastAsia" w:ascii="Arial" w:hAnsi="Arial" w:cs="Arial"/>
          <w:kern w:val="2"/>
          <w:sz w:val="21"/>
          <w:szCs w:val="21"/>
          <w:highlight w:val="none"/>
          <w:lang w:val="en-US" w:eastAsia="zh-CN"/>
        </w:rPr>
        <w:t>阳光</w:t>
      </w:r>
      <w:r>
        <w:rPr>
          <w:rFonts w:hint="eastAsia" w:ascii="Arial" w:hAnsi="Arial" w:cs="Arial"/>
          <w:kern w:val="2"/>
          <w:sz w:val="21"/>
          <w:szCs w:val="21"/>
          <w:highlight w:val="none"/>
        </w:rPr>
        <w:t>波尔多</w:t>
      </w:r>
      <w:r>
        <w:rPr>
          <w:rFonts w:hint="eastAsia" w:ascii="Arial" w:hAnsi="Arial" w:cs="Arial"/>
          <w:kern w:val="2"/>
          <w:sz w:val="21"/>
          <w:szCs w:val="21"/>
          <w:highlight w:val="none"/>
          <w:lang w:eastAsia="zh-CN"/>
        </w:rPr>
        <w:t>、</w:t>
      </w:r>
      <w:r>
        <w:rPr>
          <w:rFonts w:hint="eastAsia" w:ascii="Arial" w:hAnsi="Arial" w:cs="Arial"/>
          <w:kern w:val="2"/>
          <w:sz w:val="21"/>
          <w:szCs w:val="21"/>
          <w:highlight w:val="none"/>
          <w:lang w:val="en-US" w:eastAsia="zh-CN"/>
        </w:rPr>
        <w:t>蓝天花园</w:t>
      </w:r>
      <w:r>
        <w:rPr>
          <w:rFonts w:hint="eastAsia" w:ascii="Arial" w:hAnsi="Arial" w:cs="Arial"/>
          <w:kern w:val="2"/>
          <w:sz w:val="21"/>
          <w:szCs w:val="21"/>
          <w:highlight w:val="none"/>
        </w:rPr>
        <w:t>、</w:t>
      </w:r>
      <w:r>
        <w:rPr>
          <w:rFonts w:hint="eastAsia" w:ascii="Arial" w:hAnsi="Arial" w:cs="Arial"/>
          <w:kern w:val="2"/>
          <w:sz w:val="21"/>
          <w:szCs w:val="21"/>
          <w:highlight w:val="none"/>
          <w:lang w:val="en-US" w:eastAsia="zh-CN"/>
        </w:rPr>
        <w:t>住总如院、</w:t>
      </w:r>
      <w:r>
        <w:rPr>
          <w:rFonts w:hint="eastAsia" w:ascii="Arial" w:hAnsi="Arial" w:cs="Arial"/>
          <w:kern w:val="2"/>
          <w:sz w:val="21"/>
          <w:szCs w:val="21"/>
          <w:highlight w:val="none"/>
        </w:rPr>
        <w:t>路劲御合院、北京城建宽院国誉府等</w:t>
      </w:r>
      <w:r>
        <w:rPr>
          <w:rFonts w:hint="eastAsia" w:ascii="Arial" w:hAnsi="Arial" w:cs="Arial"/>
          <w:kern w:val="2"/>
          <w:sz w:val="21"/>
          <w:szCs w:val="21"/>
          <w:highlight w:val="none"/>
          <w:lang w:eastAsia="zh-CN"/>
        </w:rPr>
        <w:t>，</w:t>
      </w:r>
      <w:r>
        <w:rPr>
          <w:rFonts w:hint="eastAsia" w:ascii="Arial" w:hAnsi="Arial" w:cs="Arial"/>
          <w:kern w:val="2"/>
          <w:sz w:val="21"/>
          <w:szCs w:val="21"/>
          <w:highlight w:val="none"/>
        </w:rPr>
        <w:t>居住小区规模一般，入住率一般，综合评价居住区成熟度一般</w:t>
      </w:r>
      <w:r>
        <w:rPr>
          <w:rFonts w:ascii="Arial" w:hAnsi="Arial" w:cs="Arial"/>
          <w:sz w:val="21"/>
          <w:szCs w:val="21"/>
          <w:highlight w:val="none"/>
        </w:rPr>
        <w:t>；</w:t>
      </w:r>
      <w:r>
        <w:rPr>
          <w:rFonts w:hint="eastAsia" w:ascii="Arial" w:hAnsi="Arial" w:cs="Arial"/>
          <w:sz w:val="21"/>
          <w:szCs w:val="21"/>
          <w:highlight w:val="none"/>
          <w:lang w:val="en-US" w:eastAsia="zh-CN"/>
        </w:rPr>
        <w:t>东</w:t>
      </w:r>
      <w:r>
        <w:rPr>
          <w:rFonts w:ascii="Arial" w:hAnsi="Arial" w:cs="Arial"/>
          <w:sz w:val="21"/>
          <w:szCs w:val="21"/>
          <w:highlight w:val="none"/>
        </w:rPr>
        <w:t>侧紧邻城市</w:t>
      </w:r>
      <w:r>
        <w:rPr>
          <w:rFonts w:hint="eastAsia" w:ascii="Arial" w:hAnsi="Arial" w:cs="Arial"/>
          <w:sz w:val="21"/>
          <w:szCs w:val="21"/>
          <w:highlight w:val="none"/>
          <w:lang w:val="en-US" w:eastAsia="zh-CN"/>
        </w:rPr>
        <w:t>次</w:t>
      </w:r>
      <w:r>
        <w:rPr>
          <w:rFonts w:hint="eastAsia" w:ascii="Arial" w:hAnsi="Arial" w:cs="Arial"/>
          <w:sz w:val="21"/>
          <w:szCs w:val="21"/>
          <w:highlight w:val="none"/>
        </w:rPr>
        <w:t>干道</w:t>
      </w:r>
      <w:r>
        <w:rPr>
          <w:rFonts w:ascii="Arial" w:hAnsi="Arial" w:cs="Arial"/>
          <w:sz w:val="21"/>
          <w:szCs w:val="21"/>
          <w:highlight w:val="none"/>
        </w:rPr>
        <w:t>——</w:t>
      </w:r>
      <w:r>
        <w:rPr>
          <w:rFonts w:hint="eastAsia" w:ascii="Arial" w:hAnsi="Arial" w:cs="Arial"/>
          <w:sz w:val="21"/>
          <w:szCs w:val="21"/>
          <w:highlight w:val="none"/>
          <w:lang w:val="en-US" w:eastAsia="zh-CN"/>
        </w:rPr>
        <w:t>福源路</w:t>
      </w:r>
      <w:r>
        <w:rPr>
          <w:rFonts w:ascii="Arial" w:hAnsi="Arial" w:cs="Arial"/>
          <w:sz w:val="21"/>
          <w:szCs w:val="21"/>
          <w:highlight w:val="none"/>
        </w:rPr>
        <w:t>，</w:t>
      </w:r>
      <w:r>
        <w:rPr>
          <w:rFonts w:hint="eastAsia" w:ascii="Arial" w:hAnsi="Arial" w:cs="Arial"/>
          <w:kern w:val="2"/>
          <w:sz w:val="21"/>
          <w:szCs w:val="21"/>
          <w:highlight w:val="none"/>
          <w:lang w:val="en-US" w:eastAsia="zh-CN"/>
        </w:rPr>
        <w:t>周边</w:t>
      </w:r>
      <w:r>
        <w:rPr>
          <w:rFonts w:hint="eastAsia" w:ascii="Arial" w:hAnsi="Arial" w:cs="Arial"/>
          <w:kern w:val="2"/>
          <w:sz w:val="21"/>
          <w:szCs w:val="21"/>
          <w:highlight w:val="none"/>
        </w:rPr>
        <w:t>2公里范围内无轨道交通站点，周边1公里内有926路、955路、兴20路、兴32路、兴43路、兴940路等公交线路途径并设立站点，综合评价交通便捷度</w:t>
      </w:r>
      <w:r>
        <w:rPr>
          <w:rFonts w:hint="eastAsia" w:ascii="Arial" w:hAnsi="Arial" w:cs="Arial"/>
          <w:kern w:val="2"/>
          <w:sz w:val="21"/>
          <w:szCs w:val="21"/>
          <w:highlight w:val="none"/>
          <w:lang w:val="en-US" w:eastAsia="zh-CN"/>
        </w:rPr>
        <w:t>一般；</w:t>
      </w:r>
      <w:r>
        <w:rPr>
          <w:rFonts w:ascii="Arial" w:hAnsi="Arial" w:cs="Arial"/>
          <w:sz w:val="21"/>
          <w:szCs w:val="21"/>
          <w:highlight w:val="none"/>
        </w:rPr>
        <w:t>周边有</w:t>
      </w:r>
      <w:r>
        <w:rPr>
          <w:rFonts w:hint="eastAsia" w:ascii="Arial" w:hAnsi="Arial" w:cs="Arial"/>
          <w:kern w:val="2"/>
          <w:sz w:val="21"/>
          <w:szCs w:val="21"/>
          <w:highlight w:val="none"/>
        </w:rPr>
        <w:t>采育公园、凤河</w:t>
      </w:r>
      <w:r>
        <w:rPr>
          <w:rFonts w:ascii="Arial" w:hAnsi="Arial" w:cs="Arial"/>
          <w:sz w:val="21"/>
          <w:szCs w:val="21"/>
          <w:highlight w:val="none"/>
        </w:rPr>
        <w:t>等自然景观，</w:t>
      </w:r>
      <w:r>
        <w:rPr>
          <w:rFonts w:hint="eastAsia" w:ascii="Arial" w:hAnsi="Arial" w:cs="Arial"/>
          <w:sz w:val="21"/>
          <w:szCs w:val="21"/>
          <w:highlight w:val="none"/>
        </w:rPr>
        <w:t>5公里范围内无污染源，</w:t>
      </w:r>
      <w:r>
        <w:rPr>
          <w:rFonts w:ascii="Arial" w:hAnsi="Arial" w:cs="Arial"/>
          <w:sz w:val="21"/>
          <w:szCs w:val="21"/>
          <w:highlight w:val="none"/>
        </w:rPr>
        <w:t>自然与人环境</w:t>
      </w:r>
      <w:r>
        <w:rPr>
          <w:rFonts w:hint="eastAsia" w:ascii="Arial" w:hAnsi="Arial" w:cs="Arial"/>
          <w:sz w:val="21"/>
          <w:szCs w:val="21"/>
          <w:highlight w:val="none"/>
          <w:lang w:val="en-US" w:eastAsia="zh-CN"/>
        </w:rPr>
        <w:t>一般</w:t>
      </w:r>
      <w:r>
        <w:rPr>
          <w:rFonts w:ascii="Arial" w:hAnsi="Arial" w:cs="Arial"/>
          <w:sz w:val="21"/>
          <w:szCs w:val="21"/>
          <w:highlight w:val="none"/>
        </w:rPr>
        <w:t>；周边</w:t>
      </w:r>
      <w:r>
        <w:rPr>
          <w:rFonts w:hint="eastAsia" w:ascii="Arial" w:hAnsi="Arial" w:cs="Arial"/>
          <w:kern w:val="2"/>
          <w:sz w:val="21"/>
          <w:szCs w:val="21"/>
          <w:highlight w:val="none"/>
        </w:rPr>
        <w:t>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r>
        <w:rPr>
          <w:rFonts w:ascii="Arial" w:hAnsi="Arial" w:cs="Arial"/>
          <w:sz w:val="21"/>
          <w:szCs w:val="21"/>
          <w:highlight w:val="none"/>
        </w:rPr>
        <w:t>；所在社区有专业物业公司，物业服务保障好</w:t>
      </w:r>
      <w:r>
        <w:rPr>
          <w:rFonts w:hint="eastAsia" w:ascii="Arial" w:hAnsi="Arial" w:cs="Arial"/>
          <w:sz w:val="21"/>
          <w:szCs w:val="21"/>
          <w:highlight w:val="none"/>
          <w:lang w:eastAsia="zh-CN"/>
        </w:rPr>
        <w:t>，</w:t>
      </w:r>
      <w:r>
        <w:rPr>
          <w:rFonts w:ascii="Arial" w:hAnsi="Arial" w:cs="Arial"/>
          <w:sz w:val="21"/>
          <w:szCs w:val="21"/>
          <w:highlight w:val="none"/>
        </w:rPr>
        <w:t>有一定规模的绿化，环境较好，区内未配有专属活动站；</w:t>
      </w:r>
      <w:r>
        <w:rPr>
          <w:rFonts w:hint="eastAsia" w:ascii="Arial" w:hAnsi="Arial" w:cs="Arial"/>
          <w:sz w:val="21"/>
          <w:szCs w:val="21"/>
          <w:highlight w:val="none"/>
          <w:lang w:val="en-US" w:eastAsia="zh-CN"/>
        </w:rPr>
        <w:t>社区</w:t>
      </w:r>
      <w:r>
        <w:rPr>
          <w:rFonts w:ascii="Arial" w:hAnsi="Arial" w:cs="Arial"/>
          <w:sz w:val="21"/>
          <w:szCs w:val="21"/>
          <w:highlight w:val="none"/>
        </w:rPr>
        <w:t>有一定数量的专业人员管理，居住管理一般；</w:t>
      </w:r>
      <w:r>
        <w:rPr>
          <w:rFonts w:hint="eastAsia" w:ascii="Arial" w:hAnsi="Arial" w:cs="Arial"/>
          <w:sz w:val="21"/>
          <w:szCs w:val="21"/>
          <w:highlight w:val="none"/>
        </w:rPr>
        <w:t>可比实例</w:t>
      </w:r>
      <w:r>
        <w:rPr>
          <w:rFonts w:hint="eastAsia" w:ascii="Arial" w:hAnsi="Arial" w:cs="Arial"/>
          <w:sz w:val="21"/>
          <w:szCs w:val="21"/>
          <w:highlight w:val="none"/>
          <w:lang w:val="en-US" w:eastAsia="zh-CN"/>
        </w:rPr>
        <w:t>8</w:t>
      </w:r>
      <w:r>
        <w:rPr>
          <w:rFonts w:ascii="Arial" w:hAnsi="Arial" w:cs="Arial"/>
          <w:sz w:val="21"/>
          <w:szCs w:val="21"/>
          <w:highlight w:val="none"/>
        </w:rPr>
        <w:t>为</w:t>
      </w:r>
      <w:r>
        <w:rPr>
          <w:rFonts w:hint="eastAsia" w:ascii="Arial" w:hAnsi="Arial" w:cs="Arial"/>
          <w:sz w:val="21"/>
          <w:szCs w:val="21"/>
          <w:highlight w:val="none"/>
          <w:lang w:val="en-US" w:eastAsia="zh-CN"/>
        </w:rPr>
        <w:t>三</w:t>
      </w:r>
      <w:r>
        <w:rPr>
          <w:rFonts w:ascii="Arial" w:hAnsi="Arial" w:cs="Arial"/>
          <w:sz w:val="21"/>
          <w:szCs w:val="21"/>
          <w:highlight w:val="none"/>
        </w:rPr>
        <w:t>居室户型，</w:t>
      </w:r>
      <w:r>
        <w:rPr>
          <w:rFonts w:hint="eastAsia" w:ascii="Arial" w:hAnsi="Arial" w:cs="Arial"/>
          <w:sz w:val="21"/>
          <w:szCs w:val="21"/>
          <w:highlight w:val="none"/>
          <w:lang w:val="en-US" w:eastAsia="zh-CN"/>
        </w:rPr>
        <w:t>中</w:t>
      </w:r>
      <w:r>
        <w:rPr>
          <w:rFonts w:ascii="Arial" w:hAnsi="Arial" w:cs="Arial"/>
          <w:sz w:val="21"/>
          <w:szCs w:val="21"/>
          <w:highlight w:val="none"/>
        </w:rPr>
        <w:t>楼层，</w:t>
      </w:r>
      <w:r>
        <w:rPr>
          <w:rFonts w:hint="eastAsia" w:ascii="Arial" w:hAnsi="Arial" w:cs="Arial"/>
          <w:sz w:val="21"/>
          <w:szCs w:val="21"/>
          <w:highlight w:val="none"/>
          <w:lang w:val="en-US" w:eastAsia="zh-CN"/>
        </w:rPr>
        <w:t>南北</w:t>
      </w:r>
      <w:r>
        <w:rPr>
          <w:rFonts w:ascii="Arial" w:hAnsi="Arial" w:cs="Arial"/>
          <w:sz w:val="21"/>
          <w:szCs w:val="21"/>
          <w:highlight w:val="none"/>
        </w:rPr>
        <w:t>朝向，建成年份为</w:t>
      </w:r>
      <w:r>
        <w:rPr>
          <w:rFonts w:hint="eastAsia" w:ascii="Arial" w:hAnsi="Arial" w:cs="Arial"/>
          <w:sz w:val="21"/>
          <w:szCs w:val="21"/>
          <w:highlight w:val="none"/>
        </w:rPr>
        <w:t>2</w:t>
      </w:r>
      <w:r>
        <w:rPr>
          <w:rFonts w:ascii="Arial" w:hAnsi="Arial" w:cs="Arial"/>
          <w:sz w:val="21"/>
          <w:szCs w:val="21"/>
          <w:highlight w:val="none"/>
        </w:rPr>
        <w:t>01</w:t>
      </w:r>
      <w:r>
        <w:rPr>
          <w:rFonts w:hint="eastAsia" w:ascii="Arial" w:hAnsi="Arial" w:cs="Arial"/>
          <w:sz w:val="21"/>
          <w:szCs w:val="21"/>
          <w:highlight w:val="none"/>
          <w:lang w:val="en-US" w:eastAsia="zh-CN"/>
        </w:rPr>
        <w:t>3</w:t>
      </w:r>
      <w:r>
        <w:rPr>
          <w:rFonts w:ascii="Arial" w:hAnsi="Arial" w:cs="Arial"/>
          <w:sz w:val="21"/>
          <w:szCs w:val="21"/>
          <w:highlight w:val="none"/>
        </w:rPr>
        <w:t>年，建筑结构为</w:t>
      </w:r>
      <w:r>
        <w:rPr>
          <w:rFonts w:hint="eastAsia" w:ascii="Arial" w:hAnsi="Arial" w:cs="Arial"/>
          <w:sz w:val="21"/>
          <w:szCs w:val="21"/>
          <w:highlight w:val="none"/>
          <w:lang w:val="en-US" w:eastAsia="zh-CN"/>
        </w:rPr>
        <w:t>混合</w:t>
      </w:r>
      <w:r>
        <w:rPr>
          <w:rFonts w:ascii="Arial" w:hAnsi="Arial" w:cs="Arial"/>
          <w:sz w:val="21"/>
          <w:szCs w:val="21"/>
          <w:highlight w:val="none"/>
        </w:rPr>
        <w:t>结构，装修为精装修，建筑面积为</w:t>
      </w:r>
      <w:r>
        <w:rPr>
          <w:rFonts w:hint="eastAsia" w:ascii="Arial" w:hAnsi="Arial" w:cs="Arial"/>
          <w:sz w:val="21"/>
          <w:szCs w:val="21"/>
          <w:highlight w:val="none"/>
          <w:lang w:val="en-US" w:eastAsia="zh-CN"/>
        </w:rPr>
        <w:t>102.42</w:t>
      </w:r>
      <w:r>
        <w:rPr>
          <w:rFonts w:ascii="Arial" w:hAnsi="Arial" w:cs="Arial"/>
          <w:sz w:val="21"/>
          <w:szCs w:val="21"/>
          <w:highlight w:val="none"/>
        </w:rPr>
        <w:t>平方米，</w:t>
      </w:r>
      <w:r>
        <w:rPr>
          <w:rFonts w:hint="eastAsia" w:ascii="宋体" w:hAnsi="宋体"/>
          <w:sz w:val="21"/>
          <w:szCs w:val="21"/>
          <w:highlight w:val="none"/>
        </w:rPr>
        <w:t>配备家具、家电齐全，功能正常，质量有保证。交易价格</w:t>
      </w:r>
      <w:r>
        <w:rPr>
          <w:rFonts w:hint="eastAsia" w:ascii="Arial" w:hAnsi="Arial" w:cs="Arial"/>
          <w:sz w:val="21"/>
          <w:szCs w:val="21"/>
          <w:highlight w:val="none"/>
        </w:rPr>
        <w:t>为</w:t>
      </w:r>
      <w:r>
        <w:rPr>
          <w:rFonts w:hint="eastAsia" w:ascii="Arial" w:hAnsi="Arial" w:cs="Arial"/>
          <w:sz w:val="21"/>
          <w:szCs w:val="21"/>
          <w:highlight w:val="none"/>
          <w:lang w:val="en-US" w:eastAsia="zh-CN"/>
        </w:rPr>
        <w:t>20.50</w:t>
      </w:r>
      <w:r>
        <w:rPr>
          <w:rFonts w:hint="eastAsia" w:ascii="Arial" w:hAnsi="Arial" w:cs="Arial"/>
          <w:sz w:val="21"/>
          <w:szCs w:val="21"/>
          <w:highlight w:val="none"/>
        </w:rPr>
        <w:t>元/平方米·月（含物业费</w:t>
      </w:r>
      <w:r>
        <w:rPr>
          <w:rFonts w:hint="eastAsia" w:ascii="Arial" w:hAnsi="Arial" w:cs="Arial"/>
          <w:sz w:val="21"/>
          <w:szCs w:val="21"/>
          <w:highlight w:val="none"/>
          <w:lang w:val="en-US" w:eastAsia="zh-CN"/>
        </w:rPr>
        <w:t>1.68</w:t>
      </w:r>
      <w:r>
        <w:rPr>
          <w:rFonts w:hint="eastAsia" w:ascii="Arial" w:hAnsi="Arial" w:cs="Arial"/>
          <w:sz w:val="21"/>
          <w:szCs w:val="21"/>
          <w:highlight w:val="none"/>
        </w:rPr>
        <w:t>元/平方米·月、取暖费2.5元/平方米·月）。</w:t>
      </w:r>
    </w:p>
    <w:p w14:paraId="37AB8E93">
      <w:pPr>
        <w:wordWrap w:val="0"/>
        <w:overflowPunct w:val="0"/>
        <w:spacing w:line="480" w:lineRule="auto"/>
        <w:ind w:firstLine="420" w:firstLineChars="200"/>
        <w:rPr>
          <w:rFonts w:ascii="Arial" w:hAnsi="Arial" w:cs="Arial"/>
          <w:sz w:val="21"/>
          <w:szCs w:val="21"/>
          <w:highlight w:val="none"/>
        </w:rPr>
      </w:pPr>
      <w:r>
        <w:rPr>
          <w:rFonts w:hint="eastAsia" w:ascii="Arial" w:hAnsi="Arial" w:cs="Arial"/>
          <w:sz w:val="21"/>
          <w:szCs w:val="21"/>
          <w:highlight w:val="none"/>
        </w:rPr>
        <w:t>可比实例</w:t>
      </w:r>
      <w:r>
        <w:rPr>
          <w:rFonts w:ascii="Arial" w:hAnsi="Arial" w:cs="Arial"/>
          <w:sz w:val="21"/>
          <w:szCs w:val="21"/>
          <w:highlight w:val="none"/>
        </w:rPr>
        <w:t>9：</w:t>
      </w:r>
    </w:p>
    <w:p w14:paraId="26FD3076">
      <w:pPr>
        <w:wordWrap w:val="0"/>
        <w:overflowPunct w:val="0"/>
        <w:spacing w:line="480" w:lineRule="auto"/>
        <w:ind w:firstLine="420" w:firstLineChars="200"/>
        <w:rPr>
          <w:rFonts w:hint="default" w:ascii="Arial" w:hAnsi="Arial" w:eastAsia="宋体" w:cs="Arial"/>
          <w:sz w:val="21"/>
          <w:szCs w:val="21"/>
          <w:highlight w:val="none"/>
          <w:lang w:val="en-US" w:eastAsia="zh-CN"/>
        </w:rPr>
      </w:pPr>
      <w:r>
        <w:rPr>
          <w:rFonts w:ascii="Arial" w:hAnsi="Arial" w:cs="Arial"/>
          <w:sz w:val="21"/>
          <w:szCs w:val="21"/>
          <w:highlight w:val="none"/>
        </w:rPr>
        <w:t>•项目名称：</w:t>
      </w:r>
      <w:r>
        <w:rPr>
          <w:rFonts w:hint="eastAsia" w:ascii="Arial" w:hAnsi="Arial" w:cs="Arial"/>
          <w:sz w:val="21"/>
          <w:szCs w:val="21"/>
          <w:highlight w:val="none"/>
          <w:lang w:val="en-US" w:eastAsia="zh-CN"/>
        </w:rPr>
        <w:t>当代采育满庭春MOMA</w:t>
      </w:r>
    </w:p>
    <w:p w14:paraId="71E40EDE">
      <w:pPr>
        <w:wordWrap w:val="0"/>
        <w:overflowPunct w:val="0"/>
        <w:spacing w:line="480" w:lineRule="auto"/>
        <w:ind w:firstLine="420" w:firstLineChars="200"/>
        <w:rPr>
          <w:rFonts w:ascii="Arial" w:hAnsi="Arial" w:cs="Arial"/>
          <w:sz w:val="21"/>
          <w:szCs w:val="21"/>
          <w:highlight w:val="none"/>
        </w:rPr>
      </w:pPr>
      <w:r>
        <w:rPr>
          <w:rFonts w:ascii="Arial" w:hAnsi="Arial" w:cs="Arial"/>
          <w:sz w:val="21"/>
          <w:szCs w:val="21"/>
          <w:highlight w:val="none"/>
        </w:rPr>
        <w:t>•项目坐落：</w:t>
      </w:r>
      <w:r>
        <w:rPr>
          <w:rFonts w:hint="eastAsia" w:ascii="Arial" w:hAnsi="Arial" w:cs="Arial"/>
          <w:sz w:val="21"/>
          <w:szCs w:val="21"/>
          <w:highlight w:val="none"/>
        </w:rPr>
        <w:t>大兴区采育镇育胜街36号</w:t>
      </w:r>
    </w:p>
    <w:p w14:paraId="0A934D56">
      <w:pPr>
        <w:wordWrap w:val="0"/>
        <w:overflowPunct w:val="0"/>
        <w:spacing w:line="480" w:lineRule="auto"/>
        <w:ind w:firstLine="420" w:firstLineChars="200"/>
        <w:rPr>
          <w:rFonts w:ascii="Arial" w:hAnsi="Arial" w:cs="Arial"/>
          <w:sz w:val="21"/>
          <w:szCs w:val="21"/>
          <w:highlight w:val="none"/>
        </w:rPr>
      </w:pPr>
      <w:r>
        <w:rPr>
          <w:rFonts w:ascii="Arial" w:hAnsi="Arial" w:cs="Arial"/>
          <w:sz w:val="21"/>
          <w:szCs w:val="21"/>
          <w:highlight w:val="none"/>
        </w:rPr>
        <w:t>•交易时间：202</w:t>
      </w:r>
      <w:r>
        <w:rPr>
          <w:rFonts w:hint="eastAsia" w:ascii="Arial" w:hAnsi="Arial" w:cs="Arial"/>
          <w:sz w:val="21"/>
          <w:szCs w:val="21"/>
          <w:highlight w:val="none"/>
          <w:lang w:val="en-US" w:eastAsia="zh-CN"/>
        </w:rPr>
        <w:t>5</w:t>
      </w:r>
      <w:r>
        <w:rPr>
          <w:rFonts w:ascii="Arial" w:hAnsi="Arial" w:cs="Arial"/>
          <w:sz w:val="21"/>
          <w:szCs w:val="21"/>
          <w:highlight w:val="none"/>
        </w:rPr>
        <w:t>年</w:t>
      </w:r>
      <w:r>
        <w:rPr>
          <w:rFonts w:hint="eastAsia" w:ascii="Arial" w:hAnsi="Arial" w:cs="Arial"/>
          <w:sz w:val="21"/>
          <w:szCs w:val="21"/>
          <w:highlight w:val="none"/>
          <w:lang w:val="en-US" w:eastAsia="zh-CN"/>
        </w:rPr>
        <w:t>12</w:t>
      </w:r>
      <w:r>
        <w:rPr>
          <w:rFonts w:ascii="Arial" w:hAnsi="Arial" w:cs="Arial"/>
          <w:sz w:val="21"/>
          <w:szCs w:val="21"/>
          <w:highlight w:val="none"/>
        </w:rPr>
        <w:t>月</w:t>
      </w:r>
    </w:p>
    <w:p w14:paraId="68EF6BD8">
      <w:pPr>
        <w:wordWrap w:val="0"/>
        <w:overflowPunct w:val="0"/>
        <w:spacing w:line="480" w:lineRule="auto"/>
        <w:ind w:firstLine="420" w:firstLineChars="200"/>
        <w:rPr>
          <w:rFonts w:ascii="Arial" w:hAnsi="Arial" w:cs="Arial"/>
          <w:sz w:val="21"/>
          <w:szCs w:val="21"/>
          <w:highlight w:val="none"/>
        </w:rPr>
      </w:pPr>
      <w:r>
        <w:rPr>
          <w:rFonts w:ascii="Arial" w:hAnsi="Arial" w:cs="Arial"/>
          <w:sz w:val="21"/>
          <w:szCs w:val="21"/>
          <w:highlight w:val="none"/>
        </w:rPr>
        <w:t>•交易情况：正常出租</w:t>
      </w:r>
    </w:p>
    <w:p w14:paraId="1D661F30">
      <w:pPr>
        <w:wordWrap w:val="0"/>
        <w:overflowPunct w:val="0"/>
        <w:spacing w:line="480" w:lineRule="auto"/>
        <w:ind w:firstLine="420" w:firstLineChars="200"/>
        <w:rPr>
          <w:rFonts w:ascii="Arial" w:hAnsi="Arial" w:cs="Arial"/>
          <w:sz w:val="21"/>
          <w:szCs w:val="21"/>
          <w:highlight w:val="none"/>
        </w:rPr>
      </w:pPr>
      <w:r>
        <w:rPr>
          <w:rFonts w:ascii="Arial" w:hAnsi="Arial" w:cs="Arial"/>
          <w:sz w:val="21"/>
          <w:szCs w:val="21"/>
          <w:highlight w:val="none"/>
        </w:rPr>
        <w:t xml:space="preserve">•用途：住宅  </w:t>
      </w:r>
    </w:p>
    <w:p w14:paraId="292EB3F2">
      <w:pPr>
        <w:wordWrap w:val="0"/>
        <w:overflowPunct w:val="0"/>
        <w:spacing w:line="480" w:lineRule="auto"/>
        <w:ind w:firstLine="420" w:firstLineChars="200"/>
        <w:jc w:val="both"/>
        <w:rPr>
          <w:rFonts w:ascii="Arial" w:hAnsi="Arial" w:cs="Arial"/>
          <w:sz w:val="21"/>
          <w:szCs w:val="21"/>
          <w:highlight w:val="none"/>
        </w:rPr>
      </w:pPr>
      <w:r>
        <w:rPr>
          <w:rFonts w:hint="eastAsia" w:ascii="Arial" w:hAnsi="Arial" w:cs="Arial"/>
          <w:sz w:val="21"/>
          <w:szCs w:val="21"/>
          <w:highlight w:val="none"/>
        </w:rPr>
        <w:t>可比实例</w:t>
      </w:r>
      <w:r>
        <w:rPr>
          <w:rFonts w:hint="eastAsia" w:ascii="Arial" w:hAnsi="Arial" w:cs="Arial"/>
          <w:sz w:val="21"/>
          <w:szCs w:val="21"/>
          <w:highlight w:val="none"/>
          <w:lang w:val="en-US" w:eastAsia="zh-CN"/>
        </w:rPr>
        <w:t>9</w:t>
      </w:r>
      <w:r>
        <w:rPr>
          <w:rFonts w:hint="eastAsia" w:ascii="Arial" w:hAnsi="Arial" w:cs="Arial"/>
          <w:sz w:val="21"/>
          <w:szCs w:val="21"/>
          <w:highlight w:val="none"/>
        </w:rPr>
        <w:t>周边有</w:t>
      </w:r>
      <w:r>
        <w:rPr>
          <w:rFonts w:hint="eastAsia" w:ascii="Arial" w:hAnsi="Arial" w:cs="Arial"/>
          <w:kern w:val="2"/>
          <w:sz w:val="21"/>
          <w:szCs w:val="21"/>
          <w:highlight w:val="none"/>
        </w:rPr>
        <w:t>兴创荣墅、住总兴创如遇、</w:t>
      </w:r>
      <w:r>
        <w:rPr>
          <w:rFonts w:hint="eastAsia" w:ascii="Arial" w:hAnsi="Arial" w:cs="Arial"/>
          <w:kern w:val="2"/>
          <w:sz w:val="21"/>
          <w:szCs w:val="21"/>
          <w:highlight w:val="none"/>
          <w:lang w:val="en-US" w:eastAsia="zh-CN"/>
        </w:rPr>
        <w:t>阳光</w:t>
      </w:r>
      <w:r>
        <w:rPr>
          <w:rFonts w:hint="eastAsia" w:ascii="Arial" w:hAnsi="Arial" w:cs="Arial"/>
          <w:kern w:val="2"/>
          <w:sz w:val="21"/>
          <w:szCs w:val="21"/>
          <w:highlight w:val="none"/>
        </w:rPr>
        <w:t>波尔多</w:t>
      </w:r>
      <w:r>
        <w:rPr>
          <w:rFonts w:hint="eastAsia" w:ascii="Arial" w:hAnsi="Arial" w:cs="Arial"/>
          <w:kern w:val="2"/>
          <w:sz w:val="21"/>
          <w:szCs w:val="21"/>
          <w:highlight w:val="none"/>
          <w:lang w:eastAsia="zh-CN"/>
        </w:rPr>
        <w:t>、</w:t>
      </w:r>
      <w:r>
        <w:rPr>
          <w:rFonts w:hint="eastAsia" w:ascii="Arial" w:hAnsi="Arial" w:cs="Arial"/>
          <w:kern w:val="2"/>
          <w:sz w:val="21"/>
          <w:szCs w:val="21"/>
          <w:highlight w:val="none"/>
          <w:lang w:val="en-US" w:eastAsia="zh-CN"/>
        </w:rPr>
        <w:t>蓝天花园</w:t>
      </w:r>
      <w:r>
        <w:rPr>
          <w:rFonts w:hint="eastAsia" w:ascii="Arial" w:hAnsi="Arial" w:cs="Arial"/>
          <w:kern w:val="2"/>
          <w:sz w:val="21"/>
          <w:szCs w:val="21"/>
          <w:highlight w:val="none"/>
        </w:rPr>
        <w:t>、</w:t>
      </w:r>
      <w:r>
        <w:rPr>
          <w:rFonts w:hint="eastAsia" w:ascii="Arial" w:hAnsi="Arial" w:cs="Arial"/>
          <w:kern w:val="2"/>
          <w:sz w:val="21"/>
          <w:szCs w:val="21"/>
          <w:highlight w:val="none"/>
          <w:lang w:val="en-US" w:eastAsia="zh-CN"/>
        </w:rPr>
        <w:t>住总如院、</w:t>
      </w:r>
      <w:r>
        <w:rPr>
          <w:rFonts w:hint="eastAsia" w:ascii="Arial" w:hAnsi="Arial" w:cs="Arial"/>
          <w:kern w:val="2"/>
          <w:sz w:val="21"/>
          <w:szCs w:val="21"/>
          <w:highlight w:val="none"/>
        </w:rPr>
        <w:t>路劲御合院、北京城建宽院国誉府等</w:t>
      </w:r>
      <w:r>
        <w:rPr>
          <w:rFonts w:hint="eastAsia" w:ascii="Arial" w:hAnsi="Arial" w:cs="Arial"/>
          <w:kern w:val="2"/>
          <w:sz w:val="21"/>
          <w:szCs w:val="21"/>
          <w:highlight w:val="none"/>
          <w:lang w:eastAsia="zh-CN"/>
        </w:rPr>
        <w:t>，</w:t>
      </w:r>
      <w:r>
        <w:rPr>
          <w:rFonts w:hint="eastAsia" w:ascii="Arial" w:hAnsi="Arial" w:cs="Arial"/>
          <w:kern w:val="2"/>
          <w:sz w:val="21"/>
          <w:szCs w:val="21"/>
          <w:highlight w:val="none"/>
        </w:rPr>
        <w:t>居住小区规模一般，入住率一般，综合评价居住区成熟度一般</w:t>
      </w:r>
      <w:r>
        <w:rPr>
          <w:rFonts w:ascii="Arial" w:hAnsi="Arial" w:cs="Arial"/>
          <w:sz w:val="21"/>
          <w:szCs w:val="21"/>
          <w:highlight w:val="none"/>
        </w:rPr>
        <w:t>；</w:t>
      </w:r>
      <w:r>
        <w:rPr>
          <w:rFonts w:hint="eastAsia" w:ascii="Arial" w:hAnsi="Arial" w:cs="Arial"/>
          <w:sz w:val="21"/>
          <w:szCs w:val="21"/>
          <w:highlight w:val="none"/>
        </w:rPr>
        <w:t>西</w:t>
      </w:r>
      <w:r>
        <w:rPr>
          <w:rFonts w:ascii="Arial" w:hAnsi="Arial" w:cs="Arial"/>
          <w:sz w:val="21"/>
          <w:szCs w:val="21"/>
          <w:highlight w:val="none"/>
        </w:rPr>
        <w:t>侧紧邻城市</w:t>
      </w:r>
      <w:r>
        <w:rPr>
          <w:rFonts w:hint="eastAsia" w:ascii="Arial" w:hAnsi="Arial" w:cs="Arial"/>
          <w:sz w:val="21"/>
          <w:szCs w:val="21"/>
          <w:highlight w:val="none"/>
          <w:lang w:val="en-US" w:eastAsia="zh-CN"/>
        </w:rPr>
        <w:t>次</w:t>
      </w:r>
      <w:r>
        <w:rPr>
          <w:rFonts w:hint="eastAsia" w:ascii="Arial" w:hAnsi="Arial" w:cs="Arial"/>
          <w:sz w:val="21"/>
          <w:szCs w:val="21"/>
          <w:highlight w:val="none"/>
        </w:rPr>
        <w:t>干道</w:t>
      </w:r>
      <w:r>
        <w:rPr>
          <w:rFonts w:ascii="Arial" w:hAnsi="Arial" w:cs="Arial"/>
          <w:sz w:val="21"/>
          <w:szCs w:val="21"/>
          <w:highlight w:val="none"/>
        </w:rPr>
        <w:t>——</w:t>
      </w:r>
      <w:r>
        <w:rPr>
          <w:rFonts w:hint="eastAsia" w:ascii="Arial" w:hAnsi="Arial" w:cs="Arial"/>
          <w:sz w:val="21"/>
          <w:szCs w:val="21"/>
          <w:highlight w:val="none"/>
          <w:lang w:val="en-US" w:eastAsia="zh-CN"/>
        </w:rPr>
        <w:t>采凤</w:t>
      </w:r>
      <w:r>
        <w:rPr>
          <w:rFonts w:hint="eastAsia" w:ascii="Arial" w:hAnsi="Arial" w:cs="Arial"/>
          <w:sz w:val="21"/>
          <w:szCs w:val="21"/>
          <w:highlight w:val="none"/>
        </w:rPr>
        <w:t>路</w:t>
      </w:r>
      <w:r>
        <w:rPr>
          <w:rFonts w:ascii="Arial" w:hAnsi="Arial" w:cs="Arial"/>
          <w:sz w:val="21"/>
          <w:szCs w:val="21"/>
          <w:highlight w:val="none"/>
        </w:rPr>
        <w:t>，</w:t>
      </w:r>
      <w:r>
        <w:rPr>
          <w:rFonts w:hint="eastAsia" w:ascii="Arial" w:hAnsi="Arial" w:cs="Arial"/>
          <w:kern w:val="2"/>
          <w:sz w:val="21"/>
          <w:szCs w:val="21"/>
          <w:highlight w:val="none"/>
          <w:lang w:val="en-US" w:eastAsia="zh-CN"/>
        </w:rPr>
        <w:t>周边</w:t>
      </w:r>
      <w:r>
        <w:rPr>
          <w:rFonts w:hint="eastAsia" w:ascii="Arial" w:hAnsi="Arial" w:cs="Arial"/>
          <w:kern w:val="2"/>
          <w:sz w:val="21"/>
          <w:szCs w:val="21"/>
          <w:highlight w:val="none"/>
        </w:rPr>
        <w:t>2公里范围内无轨道交通站点，周边1公里内有926路、955路、兴20路、兴32路、兴43路、兴940路等公交线路途径并设立站点，综合评价交通便捷度</w:t>
      </w:r>
      <w:r>
        <w:rPr>
          <w:rFonts w:hint="eastAsia" w:ascii="Arial" w:hAnsi="Arial" w:cs="Arial"/>
          <w:kern w:val="2"/>
          <w:sz w:val="21"/>
          <w:szCs w:val="21"/>
          <w:highlight w:val="none"/>
          <w:lang w:val="en-US" w:eastAsia="zh-CN"/>
        </w:rPr>
        <w:t>一般；</w:t>
      </w:r>
      <w:r>
        <w:rPr>
          <w:rFonts w:ascii="Arial" w:hAnsi="Arial" w:cs="Arial"/>
          <w:sz w:val="21"/>
          <w:szCs w:val="21"/>
          <w:highlight w:val="none"/>
        </w:rPr>
        <w:t>周边有</w:t>
      </w:r>
      <w:r>
        <w:rPr>
          <w:rFonts w:hint="eastAsia" w:ascii="Arial" w:hAnsi="Arial" w:cs="Arial"/>
          <w:kern w:val="2"/>
          <w:sz w:val="21"/>
          <w:szCs w:val="21"/>
          <w:highlight w:val="none"/>
        </w:rPr>
        <w:t>采育公园、凤河</w:t>
      </w:r>
      <w:r>
        <w:rPr>
          <w:rFonts w:ascii="Arial" w:hAnsi="Arial" w:cs="Arial"/>
          <w:sz w:val="21"/>
          <w:szCs w:val="21"/>
          <w:highlight w:val="none"/>
        </w:rPr>
        <w:t>等自然景观，</w:t>
      </w:r>
      <w:r>
        <w:rPr>
          <w:rFonts w:hint="eastAsia" w:ascii="Arial" w:hAnsi="Arial" w:cs="Arial"/>
          <w:sz w:val="21"/>
          <w:szCs w:val="21"/>
          <w:highlight w:val="none"/>
        </w:rPr>
        <w:t>5公里范围内无污染源，</w:t>
      </w:r>
      <w:r>
        <w:rPr>
          <w:rFonts w:ascii="Arial" w:hAnsi="Arial" w:cs="Arial"/>
          <w:sz w:val="21"/>
          <w:szCs w:val="21"/>
          <w:highlight w:val="none"/>
        </w:rPr>
        <w:t>自然与人环境</w:t>
      </w:r>
      <w:r>
        <w:rPr>
          <w:rFonts w:hint="eastAsia" w:ascii="Arial" w:hAnsi="Arial" w:cs="Arial"/>
          <w:sz w:val="21"/>
          <w:szCs w:val="21"/>
          <w:highlight w:val="none"/>
          <w:lang w:val="en-US" w:eastAsia="zh-CN"/>
        </w:rPr>
        <w:t>一般</w:t>
      </w:r>
      <w:r>
        <w:rPr>
          <w:rFonts w:ascii="Arial" w:hAnsi="Arial" w:cs="Arial"/>
          <w:sz w:val="21"/>
          <w:szCs w:val="21"/>
          <w:highlight w:val="none"/>
        </w:rPr>
        <w:t>；周边</w:t>
      </w:r>
      <w:r>
        <w:rPr>
          <w:rFonts w:hint="eastAsia" w:ascii="Arial" w:hAnsi="Arial" w:cs="Arial"/>
          <w:kern w:val="2"/>
          <w:sz w:val="21"/>
          <w:szCs w:val="21"/>
          <w:highlight w:val="none"/>
        </w:rPr>
        <w:t>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r>
        <w:rPr>
          <w:rFonts w:ascii="Arial" w:hAnsi="Arial" w:cs="Arial"/>
          <w:sz w:val="21"/>
          <w:szCs w:val="21"/>
          <w:highlight w:val="none"/>
        </w:rPr>
        <w:t>；所在社区有专业物业公司，物业服务保障好</w:t>
      </w:r>
      <w:r>
        <w:rPr>
          <w:rFonts w:hint="eastAsia" w:ascii="Arial" w:hAnsi="Arial" w:cs="Arial"/>
          <w:sz w:val="21"/>
          <w:szCs w:val="21"/>
          <w:highlight w:val="none"/>
          <w:lang w:eastAsia="zh-CN"/>
        </w:rPr>
        <w:t>，</w:t>
      </w:r>
      <w:r>
        <w:rPr>
          <w:rFonts w:ascii="Arial" w:hAnsi="Arial" w:cs="Arial"/>
          <w:sz w:val="21"/>
          <w:szCs w:val="21"/>
          <w:highlight w:val="none"/>
        </w:rPr>
        <w:t>有一定规模的绿化，环境较好，区内未配有专属活动站；</w:t>
      </w:r>
      <w:r>
        <w:rPr>
          <w:rFonts w:hint="eastAsia" w:ascii="Arial" w:hAnsi="Arial" w:cs="Arial"/>
          <w:sz w:val="21"/>
          <w:szCs w:val="21"/>
          <w:highlight w:val="none"/>
          <w:lang w:val="en-US" w:eastAsia="zh-CN"/>
        </w:rPr>
        <w:t>社区</w:t>
      </w:r>
      <w:r>
        <w:rPr>
          <w:rFonts w:ascii="Arial" w:hAnsi="Arial" w:cs="Arial"/>
          <w:sz w:val="21"/>
          <w:szCs w:val="21"/>
          <w:highlight w:val="none"/>
        </w:rPr>
        <w:t>有一定数量的专业人员管理，居住管理一般；</w:t>
      </w:r>
      <w:r>
        <w:rPr>
          <w:rFonts w:hint="eastAsia" w:ascii="Arial" w:hAnsi="Arial" w:cs="Arial"/>
          <w:sz w:val="21"/>
          <w:szCs w:val="21"/>
          <w:highlight w:val="none"/>
        </w:rPr>
        <w:t>可比实例</w:t>
      </w:r>
      <w:r>
        <w:rPr>
          <w:rFonts w:hint="eastAsia" w:ascii="Arial" w:hAnsi="Arial" w:cs="Arial"/>
          <w:sz w:val="21"/>
          <w:szCs w:val="21"/>
          <w:highlight w:val="none"/>
          <w:lang w:val="en-US" w:eastAsia="zh-CN"/>
        </w:rPr>
        <w:t>9</w:t>
      </w:r>
      <w:r>
        <w:rPr>
          <w:rFonts w:ascii="Arial" w:hAnsi="Arial" w:cs="Arial"/>
          <w:sz w:val="21"/>
          <w:szCs w:val="21"/>
          <w:highlight w:val="none"/>
        </w:rPr>
        <w:t>为</w:t>
      </w:r>
      <w:r>
        <w:rPr>
          <w:rFonts w:hint="eastAsia" w:ascii="Arial" w:hAnsi="Arial" w:cs="Arial"/>
          <w:sz w:val="21"/>
          <w:szCs w:val="21"/>
          <w:highlight w:val="none"/>
          <w:lang w:val="en-US" w:eastAsia="zh-CN"/>
        </w:rPr>
        <w:t>三</w:t>
      </w:r>
      <w:r>
        <w:rPr>
          <w:rFonts w:hint="eastAsia" w:ascii="Arial" w:hAnsi="Arial" w:cs="Arial"/>
          <w:sz w:val="21"/>
          <w:szCs w:val="21"/>
          <w:highlight w:val="none"/>
        </w:rPr>
        <w:t>居室</w:t>
      </w:r>
      <w:r>
        <w:rPr>
          <w:rFonts w:ascii="Arial" w:hAnsi="Arial" w:cs="Arial"/>
          <w:sz w:val="21"/>
          <w:szCs w:val="21"/>
          <w:highlight w:val="none"/>
        </w:rPr>
        <w:t>户型，</w:t>
      </w:r>
      <w:r>
        <w:rPr>
          <w:rFonts w:hint="eastAsia" w:ascii="Arial" w:hAnsi="Arial" w:cs="Arial"/>
          <w:sz w:val="21"/>
          <w:szCs w:val="21"/>
          <w:highlight w:val="none"/>
          <w:lang w:val="en-US" w:eastAsia="zh-CN"/>
        </w:rPr>
        <w:t>低</w:t>
      </w:r>
      <w:r>
        <w:rPr>
          <w:rFonts w:ascii="Arial" w:hAnsi="Arial" w:cs="Arial"/>
          <w:sz w:val="21"/>
          <w:szCs w:val="21"/>
          <w:highlight w:val="none"/>
        </w:rPr>
        <w:t>楼层，</w:t>
      </w:r>
      <w:r>
        <w:rPr>
          <w:rFonts w:hint="eastAsia" w:ascii="Arial" w:hAnsi="Arial" w:cs="Arial"/>
          <w:sz w:val="21"/>
          <w:szCs w:val="21"/>
          <w:highlight w:val="none"/>
        </w:rPr>
        <w:t>南</w:t>
      </w:r>
      <w:r>
        <w:rPr>
          <w:rFonts w:ascii="Arial" w:hAnsi="Arial" w:cs="Arial"/>
          <w:sz w:val="21"/>
          <w:szCs w:val="21"/>
          <w:highlight w:val="none"/>
        </w:rPr>
        <w:t>朝向，建成年份为</w:t>
      </w:r>
      <w:r>
        <w:rPr>
          <w:rFonts w:hint="eastAsia" w:ascii="Arial" w:hAnsi="Arial" w:cs="Arial"/>
          <w:sz w:val="21"/>
          <w:szCs w:val="21"/>
          <w:highlight w:val="none"/>
        </w:rPr>
        <w:t>2</w:t>
      </w:r>
      <w:r>
        <w:rPr>
          <w:rFonts w:ascii="Arial" w:hAnsi="Arial" w:cs="Arial"/>
          <w:sz w:val="21"/>
          <w:szCs w:val="21"/>
          <w:highlight w:val="none"/>
        </w:rPr>
        <w:t>01</w:t>
      </w:r>
      <w:r>
        <w:rPr>
          <w:rFonts w:hint="eastAsia" w:ascii="Arial" w:hAnsi="Arial" w:cs="Arial"/>
          <w:sz w:val="21"/>
          <w:szCs w:val="21"/>
          <w:highlight w:val="none"/>
          <w:lang w:val="en-US" w:eastAsia="zh-CN"/>
        </w:rPr>
        <w:t>4</w:t>
      </w:r>
      <w:r>
        <w:rPr>
          <w:rFonts w:ascii="Arial" w:hAnsi="Arial" w:cs="Arial"/>
          <w:sz w:val="21"/>
          <w:szCs w:val="21"/>
          <w:highlight w:val="none"/>
        </w:rPr>
        <w:t>年，建筑结构为钢混结构，装修为精装修，建筑面积为</w:t>
      </w:r>
      <w:r>
        <w:rPr>
          <w:rFonts w:hint="eastAsia" w:ascii="Arial" w:hAnsi="Arial" w:cs="Arial"/>
          <w:sz w:val="21"/>
          <w:szCs w:val="21"/>
          <w:highlight w:val="none"/>
          <w:lang w:val="en-US" w:eastAsia="zh-CN"/>
        </w:rPr>
        <w:t>119.98</w:t>
      </w:r>
      <w:r>
        <w:rPr>
          <w:rFonts w:ascii="Arial" w:hAnsi="Arial" w:cs="Arial"/>
          <w:sz w:val="21"/>
          <w:szCs w:val="21"/>
          <w:highlight w:val="none"/>
        </w:rPr>
        <w:t>平方米，</w:t>
      </w:r>
      <w:r>
        <w:rPr>
          <w:rFonts w:hint="eastAsia" w:ascii="宋体" w:hAnsi="宋体"/>
          <w:sz w:val="21"/>
          <w:szCs w:val="21"/>
          <w:highlight w:val="none"/>
        </w:rPr>
        <w:t>配备家具、家电齐全，功能正常，质量有保证。交易价格</w:t>
      </w:r>
      <w:r>
        <w:rPr>
          <w:rFonts w:hint="eastAsia" w:ascii="Arial" w:hAnsi="Arial" w:cs="Arial"/>
          <w:sz w:val="21"/>
          <w:szCs w:val="21"/>
          <w:highlight w:val="none"/>
        </w:rPr>
        <w:t>为</w:t>
      </w:r>
      <w:r>
        <w:rPr>
          <w:rFonts w:hint="eastAsia" w:ascii="Arial" w:hAnsi="Arial" w:cs="Arial"/>
          <w:sz w:val="21"/>
          <w:szCs w:val="21"/>
          <w:highlight w:val="none"/>
          <w:lang w:val="en-US" w:eastAsia="zh-CN"/>
        </w:rPr>
        <w:t>22.50</w:t>
      </w:r>
      <w:r>
        <w:rPr>
          <w:rFonts w:hint="eastAsia" w:ascii="Arial" w:hAnsi="Arial" w:cs="Arial"/>
          <w:sz w:val="21"/>
          <w:szCs w:val="21"/>
          <w:highlight w:val="none"/>
        </w:rPr>
        <w:t>元/平方米·月（含物业费</w:t>
      </w:r>
      <w:r>
        <w:rPr>
          <w:rFonts w:hint="eastAsia" w:ascii="Arial" w:hAnsi="Arial" w:cs="Arial"/>
          <w:sz w:val="21"/>
          <w:szCs w:val="21"/>
          <w:highlight w:val="none"/>
          <w:lang w:val="en-US" w:eastAsia="zh-CN"/>
        </w:rPr>
        <w:t>2.66</w:t>
      </w:r>
      <w:r>
        <w:rPr>
          <w:rFonts w:hint="eastAsia" w:ascii="Arial" w:hAnsi="Arial" w:cs="Arial"/>
          <w:sz w:val="21"/>
          <w:szCs w:val="21"/>
          <w:highlight w:val="none"/>
        </w:rPr>
        <w:t>元/平方米·月、取暖费2.5元/平方米·月）。</w:t>
      </w:r>
    </w:p>
    <w:p w14:paraId="1EA8C5BD">
      <w:pPr>
        <w:wordWrap w:val="0"/>
        <w:overflowPunct w:val="0"/>
        <w:spacing w:line="480" w:lineRule="auto"/>
        <w:ind w:firstLine="420" w:firstLineChars="200"/>
        <w:rPr>
          <w:rFonts w:ascii="宋体" w:hAnsi="宋体"/>
          <w:sz w:val="21"/>
          <w:szCs w:val="21"/>
          <w:highlight w:val="none"/>
        </w:rPr>
      </w:pPr>
      <w:r>
        <w:rPr>
          <w:rFonts w:hint="eastAsia" w:ascii="宋体" w:hAnsi="宋体"/>
          <w:sz w:val="21"/>
          <w:szCs w:val="21"/>
          <w:highlight w:val="none"/>
        </w:rPr>
        <w:t>建立比较基础</w:t>
      </w:r>
    </w:p>
    <w:tbl>
      <w:tblPr>
        <w:tblStyle w:val="33"/>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2047"/>
        <w:gridCol w:w="1813"/>
        <w:gridCol w:w="1813"/>
        <w:gridCol w:w="1812"/>
        <w:gridCol w:w="1813"/>
      </w:tblGrid>
      <w:tr w14:paraId="3CA1E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4BB6AB4B">
            <w:pPr>
              <w:pStyle w:val="61"/>
              <w:autoSpaceDE w:val="0"/>
              <w:autoSpaceDN w:val="0"/>
              <w:spacing w:line="240" w:lineRule="exact"/>
              <w:textAlignment w:val="bottom"/>
              <w:rPr>
                <w:rFonts w:ascii="Arial" w:hAnsi="Arial" w:cs="Arial"/>
                <w:sz w:val="16"/>
                <w:szCs w:val="18"/>
                <w:highlight w:val="none"/>
              </w:rPr>
            </w:pPr>
            <w:r>
              <w:rPr>
                <w:rFonts w:ascii="Arial" w:hAnsi="Arial" w:cs="Arial"/>
                <w:sz w:val="16"/>
                <w:szCs w:val="18"/>
                <w:highlight w:val="none"/>
              </w:rPr>
              <w:t>交易案例</w:t>
            </w:r>
          </w:p>
        </w:tc>
        <w:tc>
          <w:tcPr>
            <w:tcW w:w="1813" w:type="dxa"/>
            <w:vAlign w:val="center"/>
          </w:tcPr>
          <w:p w14:paraId="39D62899">
            <w:pPr>
              <w:pStyle w:val="61"/>
              <w:autoSpaceDE w:val="0"/>
              <w:autoSpaceDN w:val="0"/>
              <w:spacing w:line="240" w:lineRule="exact"/>
              <w:textAlignment w:val="bottom"/>
              <w:rPr>
                <w:rFonts w:ascii="Arial" w:hAnsi="Arial" w:cs="Arial"/>
                <w:sz w:val="16"/>
                <w:szCs w:val="18"/>
                <w:highlight w:val="none"/>
              </w:rPr>
            </w:pPr>
            <w:r>
              <w:rPr>
                <w:rFonts w:ascii="Arial" w:hAnsi="Arial" w:cs="Arial"/>
                <w:sz w:val="16"/>
                <w:szCs w:val="18"/>
                <w:highlight w:val="none"/>
              </w:rPr>
              <w:t>估价对象</w:t>
            </w:r>
          </w:p>
        </w:tc>
        <w:tc>
          <w:tcPr>
            <w:tcW w:w="1813" w:type="dxa"/>
            <w:vAlign w:val="center"/>
          </w:tcPr>
          <w:p w14:paraId="67E052F1">
            <w:pPr>
              <w:pStyle w:val="61"/>
              <w:autoSpaceDE w:val="0"/>
              <w:autoSpaceDN w:val="0"/>
              <w:spacing w:line="240" w:lineRule="exact"/>
              <w:textAlignment w:val="bottom"/>
              <w:rPr>
                <w:rFonts w:ascii="Arial" w:hAnsi="Arial" w:cs="Arial"/>
                <w:sz w:val="16"/>
                <w:szCs w:val="18"/>
                <w:highlight w:val="none"/>
              </w:rPr>
            </w:pPr>
            <w:r>
              <w:rPr>
                <w:rFonts w:ascii="Arial" w:hAnsi="Arial" w:cs="Arial"/>
                <w:sz w:val="16"/>
                <w:szCs w:val="18"/>
                <w:highlight w:val="none"/>
              </w:rPr>
              <w:t>可比实例7</w:t>
            </w:r>
          </w:p>
        </w:tc>
        <w:tc>
          <w:tcPr>
            <w:tcW w:w="1812" w:type="dxa"/>
            <w:vAlign w:val="center"/>
          </w:tcPr>
          <w:p w14:paraId="23DACDD4">
            <w:pPr>
              <w:pStyle w:val="61"/>
              <w:autoSpaceDE w:val="0"/>
              <w:autoSpaceDN w:val="0"/>
              <w:spacing w:line="240" w:lineRule="exact"/>
              <w:textAlignment w:val="bottom"/>
              <w:rPr>
                <w:rFonts w:ascii="Arial" w:hAnsi="Arial" w:cs="Arial"/>
                <w:sz w:val="16"/>
                <w:szCs w:val="18"/>
                <w:highlight w:val="none"/>
              </w:rPr>
            </w:pPr>
            <w:r>
              <w:rPr>
                <w:rFonts w:ascii="Arial" w:hAnsi="Arial" w:cs="Arial"/>
                <w:sz w:val="16"/>
                <w:szCs w:val="18"/>
                <w:highlight w:val="none"/>
              </w:rPr>
              <w:t>可比实例8</w:t>
            </w:r>
          </w:p>
        </w:tc>
        <w:tc>
          <w:tcPr>
            <w:tcW w:w="1813" w:type="dxa"/>
            <w:vAlign w:val="center"/>
          </w:tcPr>
          <w:p w14:paraId="1C171589">
            <w:pPr>
              <w:pStyle w:val="61"/>
              <w:autoSpaceDE w:val="0"/>
              <w:autoSpaceDN w:val="0"/>
              <w:spacing w:line="240" w:lineRule="exact"/>
              <w:textAlignment w:val="bottom"/>
              <w:rPr>
                <w:rFonts w:ascii="Arial" w:hAnsi="Arial" w:cs="Arial"/>
                <w:sz w:val="16"/>
                <w:szCs w:val="18"/>
                <w:highlight w:val="none"/>
              </w:rPr>
            </w:pPr>
            <w:r>
              <w:rPr>
                <w:rFonts w:ascii="Arial" w:hAnsi="Arial" w:cs="Arial"/>
                <w:sz w:val="16"/>
                <w:szCs w:val="18"/>
                <w:highlight w:val="none"/>
              </w:rPr>
              <w:t>可比实例9</w:t>
            </w:r>
          </w:p>
        </w:tc>
      </w:tr>
      <w:tr w14:paraId="31CEA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29712437">
            <w:pPr>
              <w:pStyle w:val="61"/>
              <w:autoSpaceDE w:val="0"/>
              <w:autoSpaceDN w:val="0"/>
              <w:spacing w:line="240" w:lineRule="exact"/>
              <w:textAlignment w:val="bottom"/>
              <w:rPr>
                <w:rFonts w:ascii="Arial" w:hAnsi="Arial" w:cs="Arial"/>
                <w:sz w:val="16"/>
                <w:szCs w:val="18"/>
                <w:highlight w:val="none"/>
              </w:rPr>
            </w:pPr>
            <w:r>
              <w:rPr>
                <w:rFonts w:ascii="Arial" w:hAnsi="Arial" w:cs="Arial"/>
                <w:sz w:val="16"/>
                <w:szCs w:val="18"/>
                <w:highlight w:val="none"/>
              </w:rPr>
              <w:t>项目名称</w:t>
            </w:r>
          </w:p>
        </w:tc>
        <w:tc>
          <w:tcPr>
            <w:tcW w:w="1813" w:type="dxa"/>
            <w:vAlign w:val="center"/>
          </w:tcPr>
          <w:p w14:paraId="74871497">
            <w:pPr>
              <w:pStyle w:val="61"/>
              <w:autoSpaceDE w:val="0"/>
              <w:autoSpaceDN w:val="0"/>
              <w:spacing w:line="240" w:lineRule="exact"/>
              <w:textAlignment w:val="bottom"/>
              <w:rPr>
                <w:rFonts w:hint="eastAsia" w:ascii="Arial" w:hAnsi="Arial" w:eastAsia="宋体" w:cs="Arial"/>
                <w:sz w:val="16"/>
                <w:szCs w:val="18"/>
                <w:highlight w:val="none"/>
                <w:lang w:eastAsia="zh-CN"/>
              </w:rPr>
            </w:pPr>
            <w:r>
              <w:rPr>
                <w:rFonts w:hint="eastAsia" w:ascii="Arial" w:hAnsi="Arial" w:cs="Arial"/>
                <w:sz w:val="16"/>
                <w:szCs w:val="18"/>
                <w:highlight w:val="none"/>
                <w:lang w:eastAsia="zh-CN"/>
              </w:rPr>
              <w:t>育新花园</w:t>
            </w:r>
          </w:p>
        </w:tc>
        <w:tc>
          <w:tcPr>
            <w:tcW w:w="1813" w:type="dxa"/>
            <w:vAlign w:val="center"/>
          </w:tcPr>
          <w:p w14:paraId="7D2DD10C">
            <w:pPr>
              <w:widowControl/>
              <w:spacing w:line="240" w:lineRule="exact"/>
              <w:jc w:val="center"/>
              <w:textAlignment w:val="center"/>
              <w:rPr>
                <w:rFonts w:hint="default" w:ascii="Arial" w:hAnsi="Arial" w:eastAsia="宋体" w:cs="Arial"/>
                <w:sz w:val="16"/>
                <w:szCs w:val="18"/>
                <w:highlight w:val="none"/>
                <w:lang w:val="en-US" w:eastAsia="zh-CN"/>
              </w:rPr>
            </w:pPr>
            <w:r>
              <w:rPr>
                <w:rFonts w:hint="eastAsia" w:ascii="Arial" w:hAnsi="Arial" w:cs="Arial"/>
                <w:sz w:val="16"/>
                <w:szCs w:val="18"/>
                <w:highlight w:val="none"/>
                <w:lang w:val="en-US" w:eastAsia="zh-CN"/>
              </w:rPr>
              <w:t>北京城建宽院国誉府</w:t>
            </w:r>
          </w:p>
        </w:tc>
        <w:tc>
          <w:tcPr>
            <w:tcW w:w="1812" w:type="dxa"/>
            <w:vAlign w:val="center"/>
          </w:tcPr>
          <w:p w14:paraId="61B9C4A6">
            <w:pPr>
              <w:widowControl/>
              <w:spacing w:line="240" w:lineRule="exact"/>
              <w:jc w:val="center"/>
              <w:textAlignment w:val="center"/>
              <w:rPr>
                <w:rFonts w:ascii="Arial" w:hAnsi="Arial" w:cs="Arial"/>
                <w:sz w:val="16"/>
                <w:szCs w:val="18"/>
                <w:highlight w:val="none"/>
              </w:rPr>
            </w:pPr>
            <w:r>
              <w:rPr>
                <w:rFonts w:hint="eastAsia" w:ascii="Arial" w:hAnsi="Arial" w:cs="Arial"/>
                <w:sz w:val="16"/>
                <w:szCs w:val="18"/>
                <w:highlight w:val="none"/>
                <w:lang w:val="en-US" w:eastAsia="zh-CN"/>
              </w:rPr>
              <w:t>恒盛波尔多小镇南区</w:t>
            </w:r>
            <w:r>
              <w:rPr>
                <w:rFonts w:hint="eastAsia" w:ascii="Arial" w:hAnsi="Arial" w:cs="Arial"/>
                <w:sz w:val="16"/>
                <w:szCs w:val="18"/>
                <w:highlight w:val="none"/>
              </w:rPr>
              <w:t>苑</w:t>
            </w:r>
          </w:p>
        </w:tc>
        <w:tc>
          <w:tcPr>
            <w:tcW w:w="1813" w:type="dxa"/>
            <w:vAlign w:val="center"/>
          </w:tcPr>
          <w:p w14:paraId="2EBA07EC">
            <w:pPr>
              <w:widowControl/>
              <w:spacing w:line="240" w:lineRule="exact"/>
              <w:jc w:val="center"/>
              <w:textAlignment w:val="center"/>
              <w:rPr>
                <w:rFonts w:ascii="Arial" w:hAnsi="Arial" w:cs="Arial"/>
                <w:sz w:val="16"/>
                <w:szCs w:val="18"/>
                <w:highlight w:val="none"/>
              </w:rPr>
            </w:pPr>
            <w:r>
              <w:rPr>
                <w:rFonts w:hint="eastAsia" w:ascii="Arial" w:hAnsi="Arial" w:cs="Arial"/>
                <w:sz w:val="16"/>
                <w:szCs w:val="18"/>
                <w:highlight w:val="none"/>
              </w:rPr>
              <w:t>当代采育满庭春MOMA</w:t>
            </w:r>
          </w:p>
        </w:tc>
      </w:tr>
      <w:tr w14:paraId="5A84E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5FDB2350">
            <w:pPr>
              <w:pStyle w:val="61"/>
              <w:autoSpaceDE w:val="0"/>
              <w:autoSpaceDN w:val="0"/>
              <w:spacing w:line="240" w:lineRule="exact"/>
              <w:textAlignment w:val="bottom"/>
              <w:rPr>
                <w:rFonts w:ascii="Arial" w:hAnsi="Arial" w:cs="Arial"/>
                <w:sz w:val="16"/>
                <w:szCs w:val="18"/>
                <w:highlight w:val="none"/>
              </w:rPr>
            </w:pPr>
            <w:r>
              <w:rPr>
                <w:rFonts w:ascii="Arial" w:hAnsi="Arial" w:cs="Arial"/>
                <w:sz w:val="16"/>
                <w:szCs w:val="18"/>
                <w:highlight w:val="none"/>
              </w:rPr>
              <w:t>租金价格（元/㎡·</w:t>
            </w:r>
            <w:r>
              <w:rPr>
                <w:rFonts w:hint="eastAsia" w:ascii="Arial" w:hAnsi="Arial" w:cs="Arial"/>
                <w:sz w:val="16"/>
                <w:szCs w:val="18"/>
                <w:highlight w:val="none"/>
              </w:rPr>
              <w:t>月</w:t>
            </w:r>
            <w:r>
              <w:rPr>
                <w:rFonts w:ascii="Arial" w:hAnsi="Arial" w:cs="Arial"/>
                <w:sz w:val="16"/>
                <w:szCs w:val="18"/>
                <w:highlight w:val="none"/>
              </w:rPr>
              <w:t>）</w:t>
            </w:r>
          </w:p>
        </w:tc>
        <w:tc>
          <w:tcPr>
            <w:tcW w:w="1813" w:type="dxa"/>
            <w:vAlign w:val="center"/>
          </w:tcPr>
          <w:p w14:paraId="74E69012">
            <w:pPr>
              <w:pStyle w:val="61"/>
              <w:autoSpaceDE w:val="0"/>
              <w:autoSpaceDN w:val="0"/>
              <w:spacing w:line="240" w:lineRule="exact"/>
              <w:textAlignment w:val="bottom"/>
              <w:rPr>
                <w:rFonts w:ascii="Arial" w:hAnsi="Arial" w:cs="Arial"/>
                <w:sz w:val="16"/>
                <w:szCs w:val="18"/>
                <w:highlight w:val="none"/>
              </w:rPr>
            </w:pPr>
            <w:r>
              <w:rPr>
                <w:rFonts w:ascii="Arial" w:hAnsi="Arial" w:cs="Arial"/>
                <w:sz w:val="16"/>
                <w:szCs w:val="18"/>
                <w:highlight w:val="none"/>
              </w:rPr>
              <w:t>待估</w:t>
            </w:r>
          </w:p>
        </w:tc>
        <w:tc>
          <w:tcPr>
            <w:tcW w:w="1813" w:type="dxa"/>
            <w:vAlign w:val="center"/>
          </w:tcPr>
          <w:p w14:paraId="4C3204D7">
            <w:pPr>
              <w:pStyle w:val="61"/>
              <w:autoSpaceDE w:val="0"/>
              <w:autoSpaceDN w:val="0"/>
              <w:spacing w:line="240" w:lineRule="exact"/>
              <w:textAlignment w:val="bottom"/>
              <w:rPr>
                <w:rFonts w:hint="default" w:ascii="Arial" w:hAnsi="Arial" w:eastAsia="宋体" w:cs="Arial"/>
                <w:sz w:val="16"/>
                <w:szCs w:val="18"/>
                <w:highlight w:val="none"/>
                <w:lang w:val="en-US" w:eastAsia="zh-CN"/>
              </w:rPr>
            </w:pPr>
            <w:r>
              <w:rPr>
                <w:rFonts w:hint="eastAsia" w:ascii="Arial" w:hAnsi="Arial" w:cs="Arial"/>
                <w:sz w:val="16"/>
                <w:szCs w:val="18"/>
                <w:highlight w:val="none"/>
                <w:lang w:val="en-US" w:eastAsia="zh-CN"/>
              </w:rPr>
              <w:t>19.09</w:t>
            </w:r>
          </w:p>
        </w:tc>
        <w:tc>
          <w:tcPr>
            <w:tcW w:w="1812" w:type="dxa"/>
            <w:vAlign w:val="center"/>
          </w:tcPr>
          <w:p w14:paraId="35F08126">
            <w:pPr>
              <w:pStyle w:val="61"/>
              <w:autoSpaceDE w:val="0"/>
              <w:autoSpaceDN w:val="0"/>
              <w:spacing w:line="240" w:lineRule="exact"/>
              <w:textAlignment w:val="bottom"/>
              <w:rPr>
                <w:rFonts w:hint="default" w:ascii="Arial" w:hAnsi="Arial" w:eastAsia="宋体" w:cs="Arial"/>
                <w:sz w:val="16"/>
                <w:szCs w:val="18"/>
                <w:highlight w:val="none"/>
                <w:lang w:val="en-US" w:eastAsia="zh-CN"/>
              </w:rPr>
            </w:pPr>
            <w:r>
              <w:rPr>
                <w:rFonts w:hint="eastAsia" w:ascii="Arial" w:hAnsi="Arial" w:cs="Arial"/>
                <w:sz w:val="16"/>
                <w:szCs w:val="18"/>
                <w:highlight w:val="none"/>
                <w:lang w:val="en-US" w:eastAsia="zh-CN"/>
              </w:rPr>
              <w:t>20.50</w:t>
            </w:r>
          </w:p>
        </w:tc>
        <w:tc>
          <w:tcPr>
            <w:tcW w:w="1813" w:type="dxa"/>
            <w:vAlign w:val="center"/>
          </w:tcPr>
          <w:p w14:paraId="66976EDC">
            <w:pPr>
              <w:pStyle w:val="61"/>
              <w:autoSpaceDE w:val="0"/>
              <w:autoSpaceDN w:val="0"/>
              <w:spacing w:line="240" w:lineRule="exact"/>
              <w:textAlignment w:val="bottom"/>
              <w:rPr>
                <w:rFonts w:hint="default" w:ascii="Arial" w:hAnsi="Arial" w:eastAsia="宋体" w:cs="Arial"/>
                <w:sz w:val="16"/>
                <w:szCs w:val="18"/>
                <w:highlight w:val="none"/>
                <w:lang w:val="en-US" w:eastAsia="zh-CN"/>
              </w:rPr>
            </w:pPr>
            <w:r>
              <w:rPr>
                <w:rFonts w:hint="eastAsia" w:ascii="Arial" w:hAnsi="Arial" w:cs="Arial"/>
                <w:sz w:val="16"/>
                <w:szCs w:val="18"/>
                <w:highlight w:val="none"/>
                <w:lang w:val="en-US" w:eastAsia="zh-CN"/>
              </w:rPr>
              <w:t>22.50</w:t>
            </w:r>
          </w:p>
        </w:tc>
      </w:tr>
      <w:tr w14:paraId="133BB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2" w:hRule="atLeast"/>
          <w:jc w:val="center"/>
        </w:trPr>
        <w:tc>
          <w:tcPr>
            <w:tcW w:w="2047" w:type="dxa"/>
            <w:vMerge w:val="restart"/>
            <w:vAlign w:val="center"/>
          </w:tcPr>
          <w:p w14:paraId="37E6DC5A">
            <w:pPr>
              <w:pStyle w:val="61"/>
              <w:autoSpaceDE w:val="0"/>
              <w:autoSpaceDN w:val="0"/>
              <w:spacing w:line="240" w:lineRule="exact"/>
              <w:textAlignment w:val="bottom"/>
              <w:rPr>
                <w:rFonts w:ascii="Arial" w:hAnsi="Arial" w:cs="Arial"/>
                <w:sz w:val="16"/>
                <w:szCs w:val="18"/>
                <w:highlight w:val="none"/>
              </w:rPr>
            </w:pPr>
            <w:r>
              <w:rPr>
                <w:rFonts w:hint="eastAsia" w:ascii="Arial" w:hAnsi="Arial" w:cs="Arial"/>
                <w:sz w:val="16"/>
                <w:szCs w:val="18"/>
                <w:highlight w:val="none"/>
              </w:rPr>
              <w:t>统一</w:t>
            </w:r>
            <w:r>
              <w:rPr>
                <w:rFonts w:ascii="Arial" w:hAnsi="Arial" w:cs="Arial"/>
                <w:sz w:val="16"/>
                <w:szCs w:val="18"/>
                <w:highlight w:val="none"/>
              </w:rPr>
              <w:t>租金内涵</w:t>
            </w:r>
          </w:p>
        </w:tc>
        <w:tc>
          <w:tcPr>
            <w:tcW w:w="1813" w:type="dxa"/>
            <w:vAlign w:val="center"/>
          </w:tcPr>
          <w:p w14:paraId="2EA02FA7">
            <w:pPr>
              <w:pStyle w:val="61"/>
              <w:autoSpaceDE w:val="0"/>
              <w:autoSpaceDN w:val="0"/>
              <w:spacing w:line="240" w:lineRule="exact"/>
              <w:textAlignment w:val="bottom"/>
              <w:rPr>
                <w:rFonts w:ascii="Arial" w:hAnsi="Arial" w:cs="Arial"/>
                <w:sz w:val="16"/>
                <w:szCs w:val="18"/>
                <w:highlight w:val="none"/>
              </w:rPr>
            </w:pPr>
            <w:r>
              <w:rPr>
                <w:rFonts w:hint="eastAsia" w:ascii="Arial" w:hAnsi="Arial" w:cs="Arial"/>
                <w:sz w:val="16"/>
                <w:szCs w:val="18"/>
                <w:highlight w:val="none"/>
              </w:rPr>
              <w:t>包含房屋、家具家电使用费、物业费及租赁税费，包含持有运营单位在住房租赁合同中明确约定由出租人承担的基础服务费（例如基础物业管理服务、公区保洁、公区维保等费用），不包含增值服务费（例如室内保洁、室内人为损坏维修、洗衣、送餐等费用）、能源费（包括公区能源费及室内能源费，例如水、电、气、暖、网络等费用）、车位使用费等费用</w:t>
            </w:r>
          </w:p>
        </w:tc>
        <w:tc>
          <w:tcPr>
            <w:tcW w:w="1813" w:type="dxa"/>
            <w:vAlign w:val="center"/>
          </w:tcPr>
          <w:p w14:paraId="5250F408">
            <w:pPr>
              <w:autoSpaceDE w:val="0"/>
              <w:autoSpaceDN w:val="0"/>
              <w:spacing w:line="240" w:lineRule="exact"/>
              <w:jc w:val="center"/>
              <w:textAlignment w:val="bottom"/>
              <w:rPr>
                <w:rFonts w:ascii="Arial" w:hAnsi="Arial" w:cs="Arial"/>
                <w:sz w:val="16"/>
                <w:szCs w:val="18"/>
                <w:highlight w:val="none"/>
              </w:rPr>
            </w:pPr>
            <w:r>
              <w:rPr>
                <w:rFonts w:hint="eastAsia" w:ascii="Arial" w:hAnsi="Arial" w:cs="Arial"/>
                <w:sz w:val="16"/>
                <w:szCs w:val="18"/>
                <w:highlight w:val="none"/>
              </w:rPr>
              <w:t>含房屋、家具家电使用费及租赁税费、物业费、供暖费</w:t>
            </w:r>
            <w:r>
              <w:rPr>
                <w:rFonts w:ascii="Arial" w:hAnsi="Arial" w:cs="Arial"/>
                <w:sz w:val="16"/>
                <w:szCs w:val="18"/>
                <w:highlight w:val="none"/>
              </w:rPr>
              <w:t>，不含</w:t>
            </w:r>
            <w:r>
              <w:rPr>
                <w:rFonts w:hint="eastAsia" w:ascii="Arial" w:hAnsi="Arial" w:cs="Arial"/>
                <w:sz w:val="16"/>
                <w:szCs w:val="18"/>
                <w:highlight w:val="none"/>
              </w:rPr>
              <w:t>增值服务费</w:t>
            </w:r>
            <w:r>
              <w:rPr>
                <w:rFonts w:ascii="Arial" w:hAnsi="Arial" w:cs="Arial"/>
                <w:sz w:val="16"/>
                <w:szCs w:val="18"/>
                <w:highlight w:val="none"/>
              </w:rPr>
              <w:t>、制冷费、水电费、天然气费、通信费、有线电视费及上网宽带费</w:t>
            </w:r>
            <w:r>
              <w:rPr>
                <w:rFonts w:hint="eastAsia" w:ascii="Arial" w:hAnsi="Arial" w:cs="Arial"/>
                <w:sz w:val="16"/>
                <w:szCs w:val="18"/>
                <w:highlight w:val="none"/>
              </w:rPr>
              <w:t>、车位使用费</w:t>
            </w:r>
            <w:r>
              <w:rPr>
                <w:rFonts w:ascii="Arial" w:hAnsi="Arial" w:cs="Arial"/>
                <w:sz w:val="16"/>
                <w:szCs w:val="18"/>
                <w:highlight w:val="none"/>
              </w:rPr>
              <w:t>等</w:t>
            </w:r>
          </w:p>
        </w:tc>
        <w:tc>
          <w:tcPr>
            <w:tcW w:w="1812" w:type="dxa"/>
            <w:vAlign w:val="center"/>
          </w:tcPr>
          <w:p w14:paraId="06AEB2FF">
            <w:pPr>
              <w:spacing w:line="276" w:lineRule="auto"/>
              <w:rPr>
                <w:sz w:val="16"/>
                <w:highlight w:val="none"/>
              </w:rPr>
            </w:pPr>
            <w:r>
              <w:rPr>
                <w:rFonts w:hint="eastAsia" w:ascii="Arial" w:hAnsi="Arial" w:cs="Arial"/>
                <w:sz w:val="16"/>
                <w:szCs w:val="18"/>
                <w:highlight w:val="none"/>
              </w:rPr>
              <w:t>含房屋、家具家电使用费及租赁税费、物业费、供暖费</w:t>
            </w:r>
            <w:r>
              <w:rPr>
                <w:rFonts w:ascii="Arial" w:hAnsi="Arial" w:cs="Arial"/>
                <w:sz w:val="16"/>
                <w:szCs w:val="18"/>
                <w:highlight w:val="none"/>
              </w:rPr>
              <w:t>，不含</w:t>
            </w:r>
            <w:r>
              <w:rPr>
                <w:rFonts w:hint="eastAsia" w:ascii="Arial" w:hAnsi="Arial" w:cs="Arial"/>
                <w:sz w:val="16"/>
                <w:szCs w:val="18"/>
                <w:highlight w:val="none"/>
              </w:rPr>
              <w:t>增值服务费</w:t>
            </w:r>
            <w:r>
              <w:rPr>
                <w:rFonts w:ascii="Arial" w:hAnsi="Arial" w:cs="Arial"/>
                <w:sz w:val="16"/>
                <w:szCs w:val="18"/>
                <w:highlight w:val="none"/>
              </w:rPr>
              <w:t>、制冷费、水电费、天然气费、通信费、有线电视费及上网宽带费</w:t>
            </w:r>
            <w:r>
              <w:rPr>
                <w:rFonts w:hint="eastAsia" w:ascii="Arial" w:hAnsi="Arial" w:cs="Arial"/>
                <w:sz w:val="16"/>
                <w:szCs w:val="18"/>
                <w:highlight w:val="none"/>
              </w:rPr>
              <w:t>、车位使用费</w:t>
            </w:r>
            <w:r>
              <w:rPr>
                <w:rFonts w:ascii="Arial" w:hAnsi="Arial" w:cs="Arial"/>
                <w:sz w:val="16"/>
                <w:szCs w:val="18"/>
                <w:highlight w:val="none"/>
              </w:rPr>
              <w:t>等</w:t>
            </w:r>
          </w:p>
        </w:tc>
        <w:tc>
          <w:tcPr>
            <w:tcW w:w="1813" w:type="dxa"/>
            <w:vAlign w:val="center"/>
          </w:tcPr>
          <w:p w14:paraId="77159D2D">
            <w:pPr>
              <w:spacing w:line="276" w:lineRule="auto"/>
              <w:rPr>
                <w:sz w:val="16"/>
                <w:highlight w:val="none"/>
              </w:rPr>
            </w:pPr>
            <w:r>
              <w:rPr>
                <w:rFonts w:hint="eastAsia" w:ascii="Arial" w:hAnsi="Arial" w:cs="Arial"/>
                <w:sz w:val="16"/>
                <w:szCs w:val="18"/>
                <w:highlight w:val="none"/>
              </w:rPr>
              <w:t>含房屋、家具家电使用费及租赁税费、物业费、供暖费</w:t>
            </w:r>
            <w:r>
              <w:rPr>
                <w:rFonts w:ascii="Arial" w:hAnsi="Arial" w:cs="Arial"/>
                <w:sz w:val="16"/>
                <w:szCs w:val="18"/>
                <w:highlight w:val="none"/>
              </w:rPr>
              <w:t>，不含</w:t>
            </w:r>
            <w:r>
              <w:rPr>
                <w:rFonts w:hint="eastAsia" w:ascii="Arial" w:hAnsi="Arial" w:cs="Arial"/>
                <w:sz w:val="16"/>
                <w:szCs w:val="18"/>
                <w:highlight w:val="none"/>
              </w:rPr>
              <w:t>增值服务费</w:t>
            </w:r>
            <w:r>
              <w:rPr>
                <w:rFonts w:ascii="Arial" w:hAnsi="Arial" w:cs="Arial"/>
                <w:sz w:val="16"/>
                <w:szCs w:val="18"/>
                <w:highlight w:val="none"/>
              </w:rPr>
              <w:t>、制冷费、水电费、天然气费、通信费、有线电视费及上网宽带费</w:t>
            </w:r>
            <w:r>
              <w:rPr>
                <w:rFonts w:hint="eastAsia" w:ascii="Arial" w:hAnsi="Arial" w:cs="Arial"/>
                <w:sz w:val="16"/>
                <w:szCs w:val="18"/>
                <w:highlight w:val="none"/>
              </w:rPr>
              <w:t>、车位使用费</w:t>
            </w:r>
            <w:r>
              <w:rPr>
                <w:rFonts w:ascii="Arial" w:hAnsi="Arial" w:cs="Arial"/>
                <w:sz w:val="16"/>
                <w:szCs w:val="18"/>
                <w:highlight w:val="none"/>
              </w:rPr>
              <w:t>等</w:t>
            </w:r>
          </w:p>
        </w:tc>
      </w:tr>
      <w:tr w14:paraId="4451E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760A4D7C">
            <w:pPr>
              <w:pStyle w:val="61"/>
              <w:autoSpaceDE w:val="0"/>
              <w:autoSpaceDN w:val="0"/>
              <w:spacing w:line="240" w:lineRule="exact"/>
              <w:textAlignment w:val="bottom"/>
              <w:rPr>
                <w:rFonts w:ascii="Arial" w:hAnsi="Arial" w:cs="Arial"/>
                <w:sz w:val="16"/>
                <w:szCs w:val="18"/>
                <w:highlight w:val="none"/>
              </w:rPr>
            </w:pPr>
          </w:p>
        </w:tc>
        <w:tc>
          <w:tcPr>
            <w:tcW w:w="1813" w:type="dxa"/>
            <w:vAlign w:val="center"/>
          </w:tcPr>
          <w:p w14:paraId="044B9093">
            <w:pPr>
              <w:pStyle w:val="61"/>
              <w:autoSpaceDE w:val="0"/>
              <w:autoSpaceDN w:val="0"/>
              <w:spacing w:line="240" w:lineRule="exact"/>
              <w:textAlignment w:val="bottom"/>
              <w:rPr>
                <w:rFonts w:ascii="Arial" w:hAnsi="Arial" w:cs="Arial"/>
                <w:sz w:val="16"/>
                <w:szCs w:val="18"/>
                <w:highlight w:val="none"/>
              </w:rPr>
            </w:pPr>
            <w:r>
              <w:rPr>
                <w:rFonts w:hint="eastAsia" w:ascii="Arial" w:hAnsi="Arial" w:cs="Arial"/>
                <w:sz w:val="16"/>
                <w:szCs w:val="18"/>
                <w:highlight w:val="none"/>
              </w:rPr>
              <w:t>扣减物业费、供暖费</w:t>
            </w:r>
          </w:p>
        </w:tc>
        <w:tc>
          <w:tcPr>
            <w:tcW w:w="1813" w:type="dxa"/>
            <w:vAlign w:val="center"/>
          </w:tcPr>
          <w:p w14:paraId="61F61B10">
            <w:pPr>
              <w:autoSpaceDE w:val="0"/>
              <w:autoSpaceDN w:val="0"/>
              <w:spacing w:line="240" w:lineRule="exact"/>
              <w:jc w:val="center"/>
              <w:textAlignment w:val="bottom"/>
              <w:rPr>
                <w:rFonts w:hint="default" w:ascii="Arial" w:hAnsi="Arial" w:eastAsia="宋体" w:cs="Arial"/>
                <w:sz w:val="16"/>
                <w:szCs w:val="18"/>
                <w:highlight w:val="none"/>
                <w:lang w:val="en-US" w:eastAsia="zh-CN"/>
              </w:rPr>
            </w:pPr>
            <w:r>
              <w:rPr>
                <w:rFonts w:hint="eastAsia" w:ascii="Arial" w:hAnsi="Arial" w:cs="Arial"/>
                <w:sz w:val="16"/>
                <w:szCs w:val="18"/>
                <w:highlight w:val="none"/>
                <w:lang w:val="en-US" w:eastAsia="zh-CN"/>
              </w:rPr>
              <w:t>6.88</w:t>
            </w:r>
          </w:p>
        </w:tc>
        <w:tc>
          <w:tcPr>
            <w:tcW w:w="1812" w:type="dxa"/>
            <w:vAlign w:val="center"/>
          </w:tcPr>
          <w:p w14:paraId="39790F7A">
            <w:pPr>
              <w:autoSpaceDE w:val="0"/>
              <w:autoSpaceDN w:val="0"/>
              <w:spacing w:line="240" w:lineRule="exact"/>
              <w:jc w:val="center"/>
              <w:textAlignment w:val="bottom"/>
              <w:rPr>
                <w:rFonts w:hint="default" w:ascii="Arial" w:hAnsi="Arial" w:eastAsia="宋体" w:cs="Arial"/>
                <w:sz w:val="16"/>
                <w:szCs w:val="18"/>
                <w:highlight w:val="none"/>
                <w:lang w:val="en-US" w:eastAsia="zh-CN"/>
              </w:rPr>
            </w:pPr>
            <w:r>
              <w:rPr>
                <w:rFonts w:hint="eastAsia" w:ascii="Arial" w:hAnsi="Arial" w:cs="Arial"/>
                <w:sz w:val="16"/>
                <w:szCs w:val="18"/>
                <w:highlight w:val="none"/>
                <w:lang w:val="en-US" w:eastAsia="zh-CN"/>
              </w:rPr>
              <w:t>4.18</w:t>
            </w:r>
          </w:p>
        </w:tc>
        <w:tc>
          <w:tcPr>
            <w:tcW w:w="1813" w:type="dxa"/>
            <w:vAlign w:val="center"/>
          </w:tcPr>
          <w:p w14:paraId="74538CEA">
            <w:pPr>
              <w:autoSpaceDE w:val="0"/>
              <w:autoSpaceDN w:val="0"/>
              <w:spacing w:line="240" w:lineRule="exact"/>
              <w:jc w:val="center"/>
              <w:textAlignment w:val="bottom"/>
              <w:rPr>
                <w:rFonts w:hint="default" w:ascii="Arial" w:hAnsi="Arial" w:eastAsia="宋体" w:cs="Arial"/>
                <w:sz w:val="16"/>
                <w:szCs w:val="18"/>
                <w:highlight w:val="none"/>
                <w:lang w:val="en-US" w:eastAsia="zh-CN"/>
              </w:rPr>
            </w:pPr>
            <w:r>
              <w:rPr>
                <w:rFonts w:hint="eastAsia" w:ascii="Arial" w:hAnsi="Arial" w:cs="Arial"/>
                <w:sz w:val="16"/>
                <w:szCs w:val="18"/>
                <w:highlight w:val="none"/>
                <w:lang w:val="en-US" w:eastAsia="zh-CN"/>
              </w:rPr>
              <w:t>5.16</w:t>
            </w:r>
          </w:p>
        </w:tc>
      </w:tr>
      <w:tr w14:paraId="1496C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14E96F18">
            <w:pPr>
              <w:pStyle w:val="61"/>
              <w:autoSpaceDE w:val="0"/>
              <w:autoSpaceDN w:val="0"/>
              <w:spacing w:line="240" w:lineRule="exact"/>
              <w:textAlignment w:val="bottom"/>
              <w:rPr>
                <w:rFonts w:ascii="Arial" w:hAnsi="Arial" w:cs="Arial"/>
                <w:sz w:val="16"/>
                <w:szCs w:val="18"/>
                <w:highlight w:val="none"/>
              </w:rPr>
            </w:pPr>
          </w:p>
        </w:tc>
        <w:tc>
          <w:tcPr>
            <w:tcW w:w="1813" w:type="dxa"/>
            <w:vAlign w:val="center"/>
          </w:tcPr>
          <w:p w14:paraId="5A57B718">
            <w:pPr>
              <w:pStyle w:val="61"/>
              <w:autoSpaceDE w:val="0"/>
              <w:autoSpaceDN w:val="0"/>
              <w:spacing w:line="240" w:lineRule="exact"/>
              <w:textAlignment w:val="bottom"/>
              <w:rPr>
                <w:rFonts w:ascii="Arial" w:hAnsi="Arial" w:cs="Arial"/>
                <w:sz w:val="16"/>
                <w:szCs w:val="18"/>
                <w:highlight w:val="none"/>
              </w:rPr>
            </w:pPr>
            <w:r>
              <w:rPr>
                <w:rFonts w:hint="eastAsia" w:ascii="Arial" w:hAnsi="Arial" w:cs="Arial"/>
                <w:sz w:val="16"/>
                <w:szCs w:val="18"/>
                <w:highlight w:val="none"/>
              </w:rPr>
              <w:t>统一</w:t>
            </w:r>
            <w:r>
              <w:rPr>
                <w:rFonts w:ascii="Arial" w:hAnsi="Arial" w:cs="Arial"/>
                <w:sz w:val="16"/>
                <w:szCs w:val="18"/>
                <w:highlight w:val="none"/>
              </w:rPr>
              <w:t>租金内涵</w:t>
            </w:r>
            <w:r>
              <w:rPr>
                <w:rFonts w:hint="eastAsia" w:ascii="Arial" w:hAnsi="Arial" w:cs="Arial"/>
                <w:sz w:val="16"/>
                <w:szCs w:val="18"/>
                <w:highlight w:val="none"/>
              </w:rPr>
              <w:t>后价格</w:t>
            </w:r>
          </w:p>
        </w:tc>
        <w:tc>
          <w:tcPr>
            <w:tcW w:w="1813" w:type="dxa"/>
            <w:vAlign w:val="center"/>
          </w:tcPr>
          <w:p w14:paraId="72180994">
            <w:pPr>
              <w:autoSpaceDE w:val="0"/>
              <w:autoSpaceDN w:val="0"/>
              <w:spacing w:line="240" w:lineRule="exact"/>
              <w:jc w:val="center"/>
              <w:textAlignment w:val="bottom"/>
              <w:rPr>
                <w:rFonts w:hint="default" w:ascii="Arial" w:hAnsi="Arial" w:eastAsia="宋体" w:cs="Arial"/>
                <w:sz w:val="16"/>
                <w:szCs w:val="18"/>
                <w:highlight w:val="none"/>
                <w:lang w:val="en-US" w:eastAsia="zh-CN"/>
              </w:rPr>
            </w:pPr>
            <w:r>
              <w:rPr>
                <w:rFonts w:hint="eastAsia" w:ascii="Arial" w:hAnsi="Arial" w:cs="Arial"/>
                <w:sz w:val="16"/>
                <w:szCs w:val="18"/>
                <w:highlight w:val="none"/>
                <w:lang w:val="en-US" w:eastAsia="zh-CN"/>
              </w:rPr>
              <w:t>12.21</w:t>
            </w:r>
          </w:p>
        </w:tc>
        <w:tc>
          <w:tcPr>
            <w:tcW w:w="1812" w:type="dxa"/>
            <w:vAlign w:val="center"/>
          </w:tcPr>
          <w:p w14:paraId="1F346841">
            <w:pPr>
              <w:autoSpaceDE w:val="0"/>
              <w:autoSpaceDN w:val="0"/>
              <w:spacing w:line="240" w:lineRule="exact"/>
              <w:jc w:val="center"/>
              <w:textAlignment w:val="bottom"/>
              <w:rPr>
                <w:rFonts w:hint="default" w:ascii="Arial" w:hAnsi="Arial" w:eastAsia="宋体" w:cs="Arial"/>
                <w:sz w:val="16"/>
                <w:szCs w:val="18"/>
                <w:highlight w:val="none"/>
                <w:lang w:val="en-US" w:eastAsia="zh-CN"/>
              </w:rPr>
            </w:pPr>
            <w:r>
              <w:rPr>
                <w:rFonts w:hint="eastAsia" w:ascii="Arial" w:hAnsi="Arial" w:cs="Arial"/>
                <w:sz w:val="16"/>
                <w:szCs w:val="18"/>
                <w:highlight w:val="none"/>
                <w:lang w:val="en-US" w:eastAsia="zh-CN"/>
              </w:rPr>
              <w:t>16.32</w:t>
            </w:r>
          </w:p>
        </w:tc>
        <w:tc>
          <w:tcPr>
            <w:tcW w:w="1813" w:type="dxa"/>
            <w:vAlign w:val="center"/>
          </w:tcPr>
          <w:p w14:paraId="38905843">
            <w:pPr>
              <w:autoSpaceDE w:val="0"/>
              <w:autoSpaceDN w:val="0"/>
              <w:spacing w:line="240" w:lineRule="exact"/>
              <w:jc w:val="center"/>
              <w:textAlignment w:val="bottom"/>
              <w:rPr>
                <w:rFonts w:hint="default" w:ascii="Arial" w:hAnsi="Arial" w:eastAsia="宋体" w:cs="Arial"/>
                <w:sz w:val="16"/>
                <w:szCs w:val="18"/>
                <w:highlight w:val="none"/>
                <w:lang w:val="en-US" w:eastAsia="zh-CN"/>
              </w:rPr>
            </w:pPr>
            <w:r>
              <w:rPr>
                <w:rFonts w:hint="eastAsia" w:ascii="Arial" w:hAnsi="Arial" w:cs="Arial"/>
                <w:sz w:val="16"/>
                <w:szCs w:val="18"/>
                <w:highlight w:val="none"/>
                <w:lang w:val="en-US" w:eastAsia="zh-CN"/>
              </w:rPr>
              <w:t>17.34</w:t>
            </w:r>
          </w:p>
        </w:tc>
      </w:tr>
      <w:tr w14:paraId="3361B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restart"/>
            <w:vAlign w:val="center"/>
          </w:tcPr>
          <w:p w14:paraId="76CC6D72">
            <w:pPr>
              <w:pStyle w:val="61"/>
              <w:autoSpaceDE w:val="0"/>
              <w:autoSpaceDN w:val="0"/>
              <w:spacing w:line="240" w:lineRule="exact"/>
              <w:textAlignment w:val="bottom"/>
              <w:rPr>
                <w:rFonts w:ascii="Arial" w:hAnsi="Arial" w:cs="Arial"/>
                <w:sz w:val="16"/>
                <w:szCs w:val="18"/>
                <w:highlight w:val="none"/>
              </w:rPr>
            </w:pPr>
            <w:r>
              <w:rPr>
                <w:rFonts w:hint="eastAsia" w:ascii="Arial" w:hAnsi="Arial" w:cs="Arial"/>
                <w:sz w:val="16"/>
                <w:szCs w:val="18"/>
                <w:highlight w:val="none"/>
              </w:rPr>
              <w:t>统一租赁行为条件</w:t>
            </w:r>
          </w:p>
        </w:tc>
        <w:tc>
          <w:tcPr>
            <w:tcW w:w="1813" w:type="dxa"/>
            <w:vAlign w:val="center"/>
          </w:tcPr>
          <w:p w14:paraId="1B8FA567">
            <w:pPr>
              <w:pStyle w:val="61"/>
              <w:autoSpaceDE w:val="0"/>
              <w:autoSpaceDN w:val="0"/>
              <w:spacing w:line="240" w:lineRule="exact"/>
              <w:textAlignment w:val="bottom"/>
              <w:rPr>
                <w:rFonts w:ascii="Arial" w:hAnsi="Arial" w:cs="Arial"/>
                <w:sz w:val="16"/>
                <w:szCs w:val="18"/>
                <w:highlight w:val="none"/>
              </w:rPr>
            </w:pPr>
            <w:r>
              <w:rPr>
                <w:rFonts w:hint="eastAsia" w:ascii="Arial" w:hAnsi="Arial" w:cs="Arial"/>
                <w:sz w:val="16"/>
                <w:szCs w:val="18"/>
                <w:highlight w:val="none"/>
              </w:rPr>
              <w:t>一年租期，月付，无免租期</w:t>
            </w:r>
          </w:p>
        </w:tc>
        <w:tc>
          <w:tcPr>
            <w:tcW w:w="1813" w:type="dxa"/>
          </w:tcPr>
          <w:p w14:paraId="70C924FA">
            <w:pPr>
              <w:pStyle w:val="61"/>
              <w:autoSpaceDE w:val="0"/>
              <w:autoSpaceDN w:val="0"/>
              <w:spacing w:line="240" w:lineRule="exact"/>
              <w:textAlignment w:val="bottom"/>
              <w:rPr>
                <w:rFonts w:ascii="Arial" w:hAnsi="Arial" w:cs="Arial"/>
                <w:sz w:val="16"/>
                <w:szCs w:val="18"/>
                <w:highlight w:val="none"/>
              </w:rPr>
            </w:pPr>
            <w:r>
              <w:rPr>
                <w:rFonts w:hint="eastAsia" w:ascii="Arial" w:hAnsi="Arial" w:cs="Arial"/>
                <w:sz w:val="16"/>
                <w:szCs w:val="18"/>
                <w:highlight w:val="none"/>
              </w:rPr>
              <w:t>一年租期，月付，无免租期</w:t>
            </w:r>
          </w:p>
        </w:tc>
        <w:tc>
          <w:tcPr>
            <w:tcW w:w="1812" w:type="dxa"/>
          </w:tcPr>
          <w:p w14:paraId="6F9C6C60">
            <w:pPr>
              <w:pStyle w:val="61"/>
              <w:autoSpaceDE w:val="0"/>
              <w:autoSpaceDN w:val="0"/>
              <w:spacing w:line="240" w:lineRule="exact"/>
              <w:textAlignment w:val="bottom"/>
              <w:rPr>
                <w:rFonts w:ascii="Arial" w:hAnsi="Arial" w:cs="Arial"/>
                <w:sz w:val="16"/>
                <w:szCs w:val="18"/>
                <w:highlight w:val="none"/>
              </w:rPr>
            </w:pPr>
            <w:r>
              <w:rPr>
                <w:rFonts w:hint="eastAsia" w:ascii="Arial" w:hAnsi="Arial" w:cs="Arial"/>
                <w:sz w:val="16"/>
                <w:szCs w:val="18"/>
                <w:highlight w:val="none"/>
              </w:rPr>
              <w:t>一年租期，月付，无免租期</w:t>
            </w:r>
          </w:p>
        </w:tc>
        <w:tc>
          <w:tcPr>
            <w:tcW w:w="1813" w:type="dxa"/>
          </w:tcPr>
          <w:p w14:paraId="5EF68BE5">
            <w:pPr>
              <w:pStyle w:val="61"/>
              <w:autoSpaceDE w:val="0"/>
              <w:autoSpaceDN w:val="0"/>
              <w:spacing w:line="240" w:lineRule="exact"/>
              <w:textAlignment w:val="bottom"/>
              <w:rPr>
                <w:rFonts w:ascii="Arial" w:hAnsi="Arial" w:cs="Arial"/>
                <w:sz w:val="16"/>
                <w:szCs w:val="18"/>
                <w:highlight w:val="none"/>
              </w:rPr>
            </w:pPr>
            <w:r>
              <w:rPr>
                <w:rFonts w:hint="eastAsia" w:ascii="Arial" w:hAnsi="Arial" w:cs="Arial"/>
                <w:sz w:val="16"/>
                <w:szCs w:val="18"/>
                <w:highlight w:val="none"/>
              </w:rPr>
              <w:t>一年租期，月付，无免租期</w:t>
            </w:r>
          </w:p>
        </w:tc>
      </w:tr>
      <w:tr w14:paraId="68AA3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466E3370">
            <w:pPr>
              <w:pStyle w:val="61"/>
              <w:autoSpaceDE w:val="0"/>
              <w:autoSpaceDN w:val="0"/>
              <w:spacing w:line="240" w:lineRule="exact"/>
              <w:textAlignment w:val="bottom"/>
              <w:rPr>
                <w:rFonts w:ascii="Arial" w:hAnsi="Arial" w:cs="Arial"/>
                <w:sz w:val="16"/>
                <w:szCs w:val="18"/>
                <w:highlight w:val="none"/>
              </w:rPr>
            </w:pPr>
          </w:p>
        </w:tc>
        <w:tc>
          <w:tcPr>
            <w:tcW w:w="1813" w:type="dxa"/>
            <w:vAlign w:val="center"/>
          </w:tcPr>
          <w:p w14:paraId="0CB82CFA">
            <w:pPr>
              <w:pStyle w:val="61"/>
              <w:autoSpaceDE w:val="0"/>
              <w:autoSpaceDN w:val="0"/>
              <w:spacing w:line="240" w:lineRule="exact"/>
              <w:textAlignment w:val="bottom"/>
              <w:rPr>
                <w:rFonts w:ascii="Arial" w:hAnsi="Arial" w:cs="Arial"/>
                <w:sz w:val="16"/>
                <w:szCs w:val="18"/>
                <w:highlight w:val="none"/>
              </w:rPr>
            </w:pPr>
            <w:r>
              <w:rPr>
                <w:rFonts w:ascii="Arial" w:hAnsi="Arial" w:cs="Arial"/>
                <w:sz w:val="16"/>
                <w:szCs w:val="18"/>
                <w:highlight w:val="none"/>
              </w:rPr>
              <w:t>修正系数</w:t>
            </w:r>
          </w:p>
        </w:tc>
        <w:tc>
          <w:tcPr>
            <w:tcW w:w="1813" w:type="dxa"/>
            <w:vAlign w:val="center"/>
          </w:tcPr>
          <w:p w14:paraId="10A22BC5">
            <w:pPr>
              <w:pStyle w:val="61"/>
              <w:autoSpaceDE w:val="0"/>
              <w:autoSpaceDN w:val="0"/>
              <w:spacing w:line="240" w:lineRule="exact"/>
              <w:textAlignment w:val="bottom"/>
              <w:rPr>
                <w:rFonts w:ascii="Arial" w:hAnsi="Arial" w:cs="Arial"/>
                <w:sz w:val="16"/>
                <w:szCs w:val="18"/>
                <w:highlight w:val="none"/>
              </w:rPr>
            </w:pPr>
            <w:r>
              <w:rPr>
                <w:rFonts w:ascii="Arial" w:hAnsi="Arial" w:cs="Arial"/>
                <w:sz w:val="16"/>
                <w:szCs w:val="18"/>
                <w:highlight w:val="none"/>
              </w:rPr>
              <w:t>1</w:t>
            </w:r>
          </w:p>
        </w:tc>
        <w:tc>
          <w:tcPr>
            <w:tcW w:w="1812" w:type="dxa"/>
            <w:vAlign w:val="center"/>
          </w:tcPr>
          <w:p w14:paraId="3875D9D7">
            <w:pPr>
              <w:pStyle w:val="61"/>
              <w:autoSpaceDE w:val="0"/>
              <w:autoSpaceDN w:val="0"/>
              <w:spacing w:line="240" w:lineRule="exact"/>
              <w:textAlignment w:val="bottom"/>
              <w:rPr>
                <w:rFonts w:ascii="Arial" w:hAnsi="Arial" w:cs="Arial"/>
                <w:sz w:val="16"/>
                <w:szCs w:val="18"/>
                <w:highlight w:val="none"/>
              </w:rPr>
            </w:pPr>
            <w:r>
              <w:rPr>
                <w:rFonts w:ascii="Arial" w:hAnsi="Arial" w:cs="Arial"/>
                <w:sz w:val="16"/>
                <w:szCs w:val="18"/>
                <w:highlight w:val="none"/>
              </w:rPr>
              <w:t>1</w:t>
            </w:r>
          </w:p>
        </w:tc>
        <w:tc>
          <w:tcPr>
            <w:tcW w:w="1813" w:type="dxa"/>
            <w:vAlign w:val="center"/>
          </w:tcPr>
          <w:p w14:paraId="1C32EC91">
            <w:pPr>
              <w:pStyle w:val="61"/>
              <w:autoSpaceDE w:val="0"/>
              <w:autoSpaceDN w:val="0"/>
              <w:spacing w:line="240" w:lineRule="exact"/>
              <w:textAlignment w:val="bottom"/>
              <w:rPr>
                <w:rFonts w:ascii="Arial" w:hAnsi="Arial" w:cs="Arial"/>
                <w:sz w:val="16"/>
                <w:szCs w:val="18"/>
                <w:highlight w:val="none"/>
              </w:rPr>
            </w:pPr>
            <w:r>
              <w:rPr>
                <w:rFonts w:ascii="Arial" w:hAnsi="Arial" w:cs="Arial"/>
                <w:sz w:val="16"/>
                <w:szCs w:val="18"/>
                <w:highlight w:val="none"/>
              </w:rPr>
              <w:t>1</w:t>
            </w:r>
          </w:p>
        </w:tc>
      </w:tr>
      <w:tr w14:paraId="17F97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restart"/>
            <w:vAlign w:val="center"/>
          </w:tcPr>
          <w:p w14:paraId="657B90AE">
            <w:pPr>
              <w:pStyle w:val="61"/>
              <w:autoSpaceDE w:val="0"/>
              <w:autoSpaceDN w:val="0"/>
              <w:spacing w:line="240" w:lineRule="exact"/>
              <w:textAlignment w:val="bottom"/>
              <w:rPr>
                <w:rFonts w:ascii="Arial" w:hAnsi="Arial" w:cs="Arial"/>
                <w:sz w:val="16"/>
                <w:szCs w:val="18"/>
                <w:highlight w:val="none"/>
              </w:rPr>
            </w:pPr>
            <w:r>
              <w:rPr>
                <w:rFonts w:ascii="Arial" w:hAnsi="Arial" w:cs="Arial"/>
                <w:sz w:val="16"/>
                <w:szCs w:val="18"/>
                <w:highlight w:val="none"/>
              </w:rPr>
              <w:t>统一计价单位</w:t>
            </w:r>
          </w:p>
        </w:tc>
        <w:tc>
          <w:tcPr>
            <w:tcW w:w="1813" w:type="dxa"/>
            <w:vAlign w:val="center"/>
          </w:tcPr>
          <w:p w14:paraId="506A4D89">
            <w:pPr>
              <w:pStyle w:val="61"/>
              <w:autoSpaceDE w:val="0"/>
              <w:autoSpaceDN w:val="0"/>
              <w:spacing w:line="240" w:lineRule="exact"/>
              <w:textAlignment w:val="bottom"/>
              <w:rPr>
                <w:rFonts w:ascii="Arial" w:hAnsi="Arial" w:cs="Arial"/>
                <w:sz w:val="16"/>
                <w:szCs w:val="18"/>
                <w:highlight w:val="none"/>
              </w:rPr>
            </w:pPr>
            <w:r>
              <w:rPr>
                <w:rFonts w:ascii="Arial" w:hAnsi="Arial" w:cs="Arial"/>
                <w:sz w:val="16"/>
                <w:szCs w:val="18"/>
                <w:highlight w:val="none"/>
              </w:rPr>
              <w:t>人民币，元/建筑平方米·</w:t>
            </w:r>
            <w:r>
              <w:rPr>
                <w:rFonts w:hint="eastAsia" w:ascii="Arial" w:hAnsi="Arial" w:cs="Arial"/>
                <w:sz w:val="16"/>
                <w:szCs w:val="18"/>
                <w:highlight w:val="none"/>
              </w:rPr>
              <w:t>月</w:t>
            </w:r>
          </w:p>
        </w:tc>
        <w:tc>
          <w:tcPr>
            <w:tcW w:w="1813" w:type="dxa"/>
            <w:vAlign w:val="center"/>
          </w:tcPr>
          <w:p w14:paraId="192D50F2">
            <w:pPr>
              <w:pStyle w:val="61"/>
              <w:autoSpaceDE w:val="0"/>
              <w:autoSpaceDN w:val="0"/>
              <w:spacing w:line="240" w:lineRule="exact"/>
              <w:textAlignment w:val="bottom"/>
              <w:rPr>
                <w:rFonts w:ascii="Arial" w:hAnsi="Arial" w:cs="Arial"/>
                <w:sz w:val="16"/>
                <w:szCs w:val="18"/>
                <w:highlight w:val="none"/>
              </w:rPr>
            </w:pPr>
            <w:r>
              <w:rPr>
                <w:rFonts w:ascii="Arial" w:hAnsi="Arial" w:cs="Arial"/>
                <w:sz w:val="16"/>
                <w:szCs w:val="18"/>
                <w:highlight w:val="none"/>
              </w:rPr>
              <w:t>人民币，元/建筑平方米·</w:t>
            </w:r>
            <w:r>
              <w:rPr>
                <w:rFonts w:hint="eastAsia" w:ascii="Arial" w:hAnsi="Arial" w:cs="Arial"/>
                <w:sz w:val="16"/>
                <w:szCs w:val="18"/>
                <w:highlight w:val="none"/>
              </w:rPr>
              <w:t>月</w:t>
            </w:r>
          </w:p>
        </w:tc>
        <w:tc>
          <w:tcPr>
            <w:tcW w:w="1812" w:type="dxa"/>
            <w:vAlign w:val="center"/>
          </w:tcPr>
          <w:p w14:paraId="7A871506">
            <w:pPr>
              <w:pStyle w:val="61"/>
              <w:autoSpaceDE w:val="0"/>
              <w:autoSpaceDN w:val="0"/>
              <w:spacing w:line="240" w:lineRule="exact"/>
              <w:textAlignment w:val="bottom"/>
              <w:rPr>
                <w:rFonts w:ascii="Arial" w:hAnsi="Arial" w:cs="Arial"/>
                <w:sz w:val="16"/>
                <w:szCs w:val="18"/>
                <w:highlight w:val="none"/>
              </w:rPr>
            </w:pPr>
            <w:r>
              <w:rPr>
                <w:rFonts w:ascii="Arial" w:hAnsi="Arial" w:cs="Arial"/>
                <w:sz w:val="16"/>
                <w:szCs w:val="18"/>
                <w:highlight w:val="none"/>
              </w:rPr>
              <w:t>人民币，元/建筑平方米·</w:t>
            </w:r>
            <w:r>
              <w:rPr>
                <w:rFonts w:hint="eastAsia" w:ascii="Arial" w:hAnsi="Arial" w:cs="Arial"/>
                <w:sz w:val="16"/>
                <w:szCs w:val="18"/>
                <w:highlight w:val="none"/>
              </w:rPr>
              <w:t>月</w:t>
            </w:r>
          </w:p>
        </w:tc>
        <w:tc>
          <w:tcPr>
            <w:tcW w:w="1813" w:type="dxa"/>
            <w:vAlign w:val="center"/>
          </w:tcPr>
          <w:p w14:paraId="2B3E8177">
            <w:pPr>
              <w:pStyle w:val="61"/>
              <w:autoSpaceDE w:val="0"/>
              <w:autoSpaceDN w:val="0"/>
              <w:spacing w:line="240" w:lineRule="exact"/>
              <w:textAlignment w:val="bottom"/>
              <w:rPr>
                <w:rFonts w:ascii="Arial" w:hAnsi="Arial" w:cs="Arial"/>
                <w:sz w:val="16"/>
                <w:szCs w:val="18"/>
                <w:highlight w:val="none"/>
              </w:rPr>
            </w:pPr>
            <w:r>
              <w:rPr>
                <w:rFonts w:ascii="Arial" w:hAnsi="Arial" w:cs="Arial"/>
                <w:sz w:val="16"/>
                <w:szCs w:val="18"/>
                <w:highlight w:val="none"/>
              </w:rPr>
              <w:t>人民币，元/建筑平方米·</w:t>
            </w:r>
            <w:r>
              <w:rPr>
                <w:rFonts w:hint="eastAsia" w:ascii="Arial" w:hAnsi="Arial" w:cs="Arial"/>
                <w:sz w:val="16"/>
                <w:szCs w:val="18"/>
                <w:highlight w:val="none"/>
              </w:rPr>
              <w:t>月</w:t>
            </w:r>
          </w:p>
        </w:tc>
      </w:tr>
      <w:tr w14:paraId="6B022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58438575">
            <w:pPr>
              <w:pStyle w:val="61"/>
              <w:autoSpaceDE w:val="0"/>
              <w:autoSpaceDN w:val="0"/>
              <w:spacing w:line="240" w:lineRule="exact"/>
              <w:textAlignment w:val="bottom"/>
              <w:rPr>
                <w:rFonts w:ascii="Arial" w:hAnsi="Arial" w:cs="Arial"/>
                <w:sz w:val="16"/>
                <w:szCs w:val="18"/>
                <w:highlight w:val="none"/>
              </w:rPr>
            </w:pPr>
          </w:p>
        </w:tc>
        <w:tc>
          <w:tcPr>
            <w:tcW w:w="1813" w:type="dxa"/>
            <w:vAlign w:val="center"/>
          </w:tcPr>
          <w:p w14:paraId="3163B07F">
            <w:pPr>
              <w:pStyle w:val="61"/>
              <w:autoSpaceDE w:val="0"/>
              <w:autoSpaceDN w:val="0"/>
              <w:spacing w:line="240" w:lineRule="exact"/>
              <w:textAlignment w:val="bottom"/>
              <w:rPr>
                <w:rFonts w:ascii="Arial" w:hAnsi="Arial" w:cs="Arial"/>
                <w:sz w:val="16"/>
                <w:szCs w:val="18"/>
                <w:highlight w:val="none"/>
              </w:rPr>
            </w:pPr>
            <w:r>
              <w:rPr>
                <w:rFonts w:ascii="Arial" w:hAnsi="Arial" w:cs="Arial"/>
                <w:sz w:val="16"/>
                <w:szCs w:val="18"/>
                <w:highlight w:val="none"/>
              </w:rPr>
              <w:t>修正系数</w:t>
            </w:r>
          </w:p>
        </w:tc>
        <w:tc>
          <w:tcPr>
            <w:tcW w:w="1813" w:type="dxa"/>
            <w:vAlign w:val="center"/>
          </w:tcPr>
          <w:p w14:paraId="5876CD8E">
            <w:pPr>
              <w:pStyle w:val="61"/>
              <w:autoSpaceDE w:val="0"/>
              <w:autoSpaceDN w:val="0"/>
              <w:spacing w:line="240" w:lineRule="exact"/>
              <w:textAlignment w:val="bottom"/>
              <w:rPr>
                <w:rFonts w:ascii="Arial" w:hAnsi="Arial" w:cs="Arial"/>
                <w:sz w:val="16"/>
                <w:szCs w:val="18"/>
                <w:highlight w:val="none"/>
              </w:rPr>
            </w:pPr>
            <w:r>
              <w:rPr>
                <w:rFonts w:ascii="Arial" w:hAnsi="Arial" w:cs="Arial"/>
                <w:sz w:val="16"/>
                <w:szCs w:val="18"/>
                <w:highlight w:val="none"/>
              </w:rPr>
              <w:t>1</w:t>
            </w:r>
          </w:p>
        </w:tc>
        <w:tc>
          <w:tcPr>
            <w:tcW w:w="1812" w:type="dxa"/>
            <w:vAlign w:val="center"/>
          </w:tcPr>
          <w:p w14:paraId="60B89D1F">
            <w:pPr>
              <w:pStyle w:val="61"/>
              <w:autoSpaceDE w:val="0"/>
              <w:autoSpaceDN w:val="0"/>
              <w:spacing w:line="240" w:lineRule="exact"/>
              <w:textAlignment w:val="bottom"/>
              <w:rPr>
                <w:rFonts w:ascii="Arial" w:hAnsi="Arial" w:cs="Arial"/>
                <w:sz w:val="16"/>
                <w:szCs w:val="18"/>
                <w:highlight w:val="none"/>
              </w:rPr>
            </w:pPr>
            <w:r>
              <w:rPr>
                <w:rFonts w:ascii="Arial" w:hAnsi="Arial" w:cs="Arial"/>
                <w:sz w:val="16"/>
                <w:szCs w:val="18"/>
                <w:highlight w:val="none"/>
              </w:rPr>
              <w:t>1</w:t>
            </w:r>
          </w:p>
        </w:tc>
        <w:tc>
          <w:tcPr>
            <w:tcW w:w="1813" w:type="dxa"/>
            <w:vAlign w:val="center"/>
          </w:tcPr>
          <w:p w14:paraId="2570949E">
            <w:pPr>
              <w:pStyle w:val="61"/>
              <w:autoSpaceDE w:val="0"/>
              <w:autoSpaceDN w:val="0"/>
              <w:spacing w:line="240" w:lineRule="exact"/>
              <w:textAlignment w:val="bottom"/>
              <w:rPr>
                <w:rFonts w:ascii="Arial" w:hAnsi="Arial" w:cs="Arial"/>
                <w:sz w:val="16"/>
                <w:szCs w:val="18"/>
                <w:highlight w:val="none"/>
              </w:rPr>
            </w:pPr>
            <w:r>
              <w:rPr>
                <w:rFonts w:ascii="Arial" w:hAnsi="Arial" w:cs="Arial"/>
                <w:sz w:val="16"/>
                <w:szCs w:val="18"/>
                <w:highlight w:val="none"/>
              </w:rPr>
              <w:t>1</w:t>
            </w:r>
          </w:p>
        </w:tc>
      </w:tr>
      <w:tr w14:paraId="54652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4CFFAF07">
            <w:pPr>
              <w:pStyle w:val="61"/>
              <w:autoSpaceDE w:val="0"/>
              <w:autoSpaceDN w:val="0"/>
              <w:spacing w:line="240" w:lineRule="exact"/>
              <w:textAlignment w:val="bottom"/>
              <w:rPr>
                <w:rFonts w:ascii="Arial" w:hAnsi="Arial" w:cs="Arial"/>
                <w:sz w:val="16"/>
                <w:szCs w:val="18"/>
                <w:highlight w:val="none"/>
              </w:rPr>
            </w:pPr>
            <w:r>
              <w:rPr>
                <w:rFonts w:ascii="Arial" w:hAnsi="Arial" w:cs="Arial"/>
                <w:sz w:val="16"/>
                <w:szCs w:val="18"/>
                <w:highlight w:val="none"/>
              </w:rPr>
              <w:t>价格（元/㎡·天）</w:t>
            </w:r>
          </w:p>
        </w:tc>
        <w:tc>
          <w:tcPr>
            <w:tcW w:w="1813" w:type="dxa"/>
            <w:vAlign w:val="center"/>
          </w:tcPr>
          <w:p w14:paraId="07EA85F9">
            <w:pPr>
              <w:pStyle w:val="61"/>
              <w:autoSpaceDE w:val="0"/>
              <w:autoSpaceDN w:val="0"/>
              <w:spacing w:line="240" w:lineRule="exact"/>
              <w:textAlignment w:val="bottom"/>
              <w:rPr>
                <w:rFonts w:ascii="Arial" w:hAnsi="Arial" w:cs="Arial"/>
                <w:sz w:val="16"/>
                <w:szCs w:val="18"/>
                <w:highlight w:val="none"/>
              </w:rPr>
            </w:pPr>
            <w:r>
              <w:rPr>
                <w:rFonts w:ascii="Arial" w:hAnsi="Arial" w:cs="Arial"/>
                <w:sz w:val="16"/>
                <w:szCs w:val="18"/>
                <w:highlight w:val="none"/>
              </w:rPr>
              <w:t>待估</w:t>
            </w:r>
          </w:p>
        </w:tc>
        <w:tc>
          <w:tcPr>
            <w:tcW w:w="1813" w:type="dxa"/>
            <w:vAlign w:val="center"/>
          </w:tcPr>
          <w:p w14:paraId="4B22608C">
            <w:pPr>
              <w:autoSpaceDE w:val="0"/>
              <w:autoSpaceDN w:val="0"/>
              <w:spacing w:line="240" w:lineRule="exact"/>
              <w:jc w:val="center"/>
              <w:textAlignment w:val="bottom"/>
              <w:rPr>
                <w:rFonts w:ascii="Arial" w:hAnsi="Arial" w:cs="Arial"/>
                <w:sz w:val="16"/>
                <w:szCs w:val="18"/>
                <w:highlight w:val="none"/>
              </w:rPr>
            </w:pPr>
            <w:r>
              <w:rPr>
                <w:rFonts w:hint="eastAsia" w:ascii="Arial" w:hAnsi="Arial" w:cs="Arial"/>
                <w:sz w:val="16"/>
                <w:szCs w:val="18"/>
                <w:highlight w:val="none"/>
                <w:lang w:val="en-US" w:eastAsia="zh-CN"/>
              </w:rPr>
              <w:t>12.21</w:t>
            </w:r>
          </w:p>
        </w:tc>
        <w:tc>
          <w:tcPr>
            <w:tcW w:w="1812" w:type="dxa"/>
            <w:vAlign w:val="center"/>
          </w:tcPr>
          <w:p w14:paraId="00DEB274">
            <w:pPr>
              <w:autoSpaceDE w:val="0"/>
              <w:autoSpaceDN w:val="0"/>
              <w:spacing w:line="240" w:lineRule="exact"/>
              <w:jc w:val="center"/>
              <w:textAlignment w:val="bottom"/>
              <w:rPr>
                <w:rFonts w:ascii="Arial" w:hAnsi="Arial" w:cs="Arial"/>
                <w:sz w:val="16"/>
                <w:szCs w:val="18"/>
                <w:highlight w:val="none"/>
              </w:rPr>
            </w:pPr>
            <w:r>
              <w:rPr>
                <w:rFonts w:hint="eastAsia" w:ascii="Arial" w:hAnsi="Arial" w:cs="Arial"/>
                <w:sz w:val="16"/>
                <w:szCs w:val="18"/>
                <w:highlight w:val="none"/>
                <w:lang w:val="en-US" w:eastAsia="zh-CN"/>
              </w:rPr>
              <w:t>16.32</w:t>
            </w:r>
          </w:p>
        </w:tc>
        <w:tc>
          <w:tcPr>
            <w:tcW w:w="1813" w:type="dxa"/>
            <w:vAlign w:val="center"/>
          </w:tcPr>
          <w:p w14:paraId="7A70CC93">
            <w:pPr>
              <w:autoSpaceDE w:val="0"/>
              <w:autoSpaceDN w:val="0"/>
              <w:spacing w:line="240" w:lineRule="exact"/>
              <w:jc w:val="center"/>
              <w:textAlignment w:val="bottom"/>
              <w:rPr>
                <w:rFonts w:ascii="Arial" w:hAnsi="Arial" w:cs="Arial"/>
                <w:sz w:val="16"/>
                <w:szCs w:val="18"/>
                <w:highlight w:val="none"/>
              </w:rPr>
            </w:pPr>
            <w:r>
              <w:rPr>
                <w:rFonts w:hint="eastAsia" w:ascii="Arial" w:hAnsi="Arial" w:cs="Arial"/>
                <w:sz w:val="16"/>
                <w:szCs w:val="18"/>
                <w:highlight w:val="none"/>
                <w:lang w:val="en-US" w:eastAsia="zh-CN"/>
              </w:rPr>
              <w:t>17.34</w:t>
            </w:r>
          </w:p>
        </w:tc>
      </w:tr>
    </w:tbl>
    <w:p w14:paraId="07BC3C15">
      <w:pPr>
        <w:wordWrap w:val="0"/>
        <w:overflowPunct w:val="0"/>
        <w:spacing w:line="480" w:lineRule="auto"/>
        <w:ind w:firstLine="420" w:firstLineChars="200"/>
        <w:rPr>
          <w:rFonts w:ascii="宋体" w:hAnsi="宋体"/>
          <w:sz w:val="21"/>
          <w:szCs w:val="21"/>
          <w:highlight w:val="none"/>
        </w:rPr>
      </w:pPr>
    </w:p>
    <w:p w14:paraId="639E28B8">
      <w:pPr>
        <w:wordWrap w:val="0"/>
        <w:overflowPunct w:val="0"/>
        <w:spacing w:line="480" w:lineRule="auto"/>
        <w:ind w:firstLine="420" w:firstLineChars="200"/>
        <w:rPr>
          <w:rFonts w:ascii="宋体" w:hAnsi="宋体"/>
          <w:sz w:val="21"/>
          <w:szCs w:val="21"/>
          <w:highlight w:val="none"/>
        </w:rPr>
      </w:pPr>
      <w:r>
        <w:rPr>
          <w:rFonts w:hint="eastAsia" w:ascii="宋体" w:hAnsi="宋体"/>
          <w:sz w:val="21"/>
          <w:szCs w:val="21"/>
          <w:highlight w:val="none"/>
        </w:rPr>
        <w:t>各实例位置如下：</w:t>
      </w:r>
    </w:p>
    <w:tbl>
      <w:tblPr>
        <w:tblStyle w:val="33"/>
        <w:tblW w:w="9300" w:type="dxa"/>
        <w:jc w:val="center"/>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Layout w:type="fixed"/>
        <w:tblCellMar>
          <w:top w:w="28" w:type="dxa"/>
          <w:left w:w="28" w:type="dxa"/>
          <w:bottom w:w="28" w:type="dxa"/>
          <w:right w:w="28" w:type="dxa"/>
        </w:tblCellMar>
      </w:tblPr>
      <w:tblGrid>
        <w:gridCol w:w="9300"/>
      </w:tblGrid>
      <w:tr w14:paraId="4C292885">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28" w:type="dxa"/>
            <w:left w:w="28" w:type="dxa"/>
            <w:bottom w:w="28" w:type="dxa"/>
            <w:right w:w="28" w:type="dxa"/>
          </w:tblCellMar>
        </w:tblPrEx>
        <w:trPr>
          <w:cantSplit/>
          <w:jc w:val="center"/>
        </w:trPr>
        <w:tc>
          <w:tcPr>
            <w:tcW w:w="9300" w:type="dxa"/>
            <w:tcBorders>
              <w:top w:val="dotted" w:color="404040" w:sz="2" w:space="0"/>
              <w:left w:val="dotted" w:color="404040" w:sz="2" w:space="0"/>
              <w:bottom w:val="dotted" w:color="404040" w:sz="2" w:space="0"/>
              <w:right w:val="dotted" w:color="404040" w:sz="2" w:space="0"/>
            </w:tcBorders>
          </w:tcPr>
          <w:p w14:paraId="458CF894">
            <w:pPr>
              <w:jc w:val="center"/>
              <w:rPr>
                <w:rFonts w:ascii="华文细黑" w:hAnsi="华文细黑" w:eastAsia="华文细黑"/>
                <w:highlight w:val="none"/>
              </w:rPr>
            </w:pPr>
            <w:r>
              <w:rPr>
                <w:rFonts w:hint="eastAsia" w:ascii="华文细黑" w:hAnsi="华文细黑" w:eastAsia="华文细黑"/>
                <w:highlight w:val="none"/>
              </w:rPr>
              <w:t>实例位置</w:t>
            </w:r>
          </w:p>
        </w:tc>
      </w:tr>
      <w:tr w14:paraId="5CD4058F">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28" w:type="dxa"/>
            <w:left w:w="28" w:type="dxa"/>
            <w:bottom w:w="28" w:type="dxa"/>
            <w:right w:w="28" w:type="dxa"/>
          </w:tblCellMar>
        </w:tblPrEx>
        <w:trPr>
          <w:cantSplit/>
          <w:trHeight w:val="6166" w:hRule="atLeast"/>
          <w:jc w:val="center"/>
        </w:trPr>
        <w:tc>
          <w:tcPr>
            <w:tcW w:w="9300" w:type="dxa"/>
            <w:tcBorders>
              <w:top w:val="dotted" w:color="404040" w:sz="2" w:space="0"/>
              <w:left w:val="dotted" w:color="404040" w:sz="2" w:space="0"/>
              <w:bottom w:val="dotted" w:color="404040" w:sz="2" w:space="0"/>
              <w:right w:val="dotted" w:color="404040" w:sz="2" w:space="0"/>
            </w:tcBorders>
          </w:tcPr>
          <w:p w14:paraId="62045F97">
            <w:pPr>
              <w:jc w:val="center"/>
              <w:rPr>
                <w:rFonts w:ascii="Calibri" w:hAnsi="Calibri"/>
                <w:highlight w:val="none"/>
              </w:rPr>
            </w:pPr>
            <w:r>
              <w:drawing>
                <wp:inline distT="0" distB="0" distL="114300" distR="114300">
                  <wp:extent cx="5861050" cy="4114800"/>
                  <wp:effectExtent l="0" t="0" r="6350" b="0"/>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44"/>
                          <a:stretch>
                            <a:fillRect/>
                          </a:stretch>
                        </pic:blipFill>
                        <pic:spPr>
                          <a:xfrm>
                            <a:off x="0" y="0"/>
                            <a:ext cx="5861050" cy="4114800"/>
                          </a:xfrm>
                          <a:prstGeom prst="rect">
                            <a:avLst/>
                          </a:prstGeom>
                          <a:noFill/>
                          <a:ln>
                            <a:noFill/>
                          </a:ln>
                        </pic:spPr>
                      </pic:pic>
                    </a:graphicData>
                  </a:graphic>
                </wp:inline>
              </w:drawing>
            </w:r>
          </w:p>
        </w:tc>
      </w:tr>
    </w:tbl>
    <w:p w14:paraId="4CE639C2">
      <w:pPr>
        <w:rPr>
          <w:highlight w:val="none"/>
        </w:rPr>
      </w:pPr>
    </w:p>
    <w:p w14:paraId="37429627">
      <w:pPr>
        <w:wordWrap w:val="0"/>
        <w:overflowPunct w:val="0"/>
        <w:spacing w:line="480" w:lineRule="auto"/>
        <w:ind w:firstLine="420" w:firstLineChars="200"/>
        <w:rPr>
          <w:rFonts w:ascii="Arial" w:hAnsi="Arial"/>
          <w:sz w:val="21"/>
          <w:szCs w:val="21"/>
          <w:highlight w:val="none"/>
        </w:rPr>
      </w:pPr>
      <w:r>
        <w:rPr>
          <w:rFonts w:ascii="Arial" w:hAnsi="Arial"/>
          <w:sz w:val="21"/>
          <w:szCs w:val="21"/>
          <w:highlight w:val="none"/>
        </w:rPr>
        <w:br w:type="page"/>
      </w:r>
      <w:r>
        <w:rPr>
          <w:rFonts w:hint="eastAsia" w:ascii="Arial" w:hAnsi="Arial"/>
          <w:sz w:val="21"/>
          <w:szCs w:val="21"/>
          <w:highlight w:val="none"/>
        </w:rPr>
        <w:t>（1）建立比较因素条件说明表</w:t>
      </w:r>
      <w:r>
        <w:rPr>
          <w:rFonts w:ascii="Arial" w:hAnsi="Arial"/>
          <w:sz w:val="21"/>
          <w:szCs w:val="21"/>
          <w:highlight w:val="none"/>
        </w:rPr>
        <w:t xml:space="preserve"> </w:t>
      </w:r>
    </w:p>
    <w:p w14:paraId="1087255F">
      <w:pPr>
        <w:wordWrap w:val="0"/>
        <w:overflowPunct w:val="0"/>
        <w:spacing w:line="480" w:lineRule="auto"/>
        <w:ind w:firstLine="420" w:firstLineChars="200"/>
        <w:rPr>
          <w:rFonts w:ascii="Arial" w:hAnsi="Arial"/>
          <w:sz w:val="21"/>
          <w:szCs w:val="21"/>
          <w:highlight w:val="none"/>
        </w:rPr>
      </w:pPr>
      <w:r>
        <w:rPr>
          <w:rFonts w:ascii="Arial" w:hAnsi="Arial"/>
          <w:sz w:val="21"/>
          <w:szCs w:val="21"/>
          <w:highlight w:val="none"/>
        </w:rPr>
        <w:t>参与比较的因素条件应是对估价对象与可比实例小区之间的价格差异产生作用的因素，通过对估价对象各自特点的分析，本次估价选择了区域状况、实物状况进行比较，详见比较因素情况描述表</w:t>
      </w:r>
      <w:r>
        <w:rPr>
          <w:rFonts w:hint="eastAsia" w:ascii="Arial" w:hAnsi="Arial"/>
          <w:sz w:val="21"/>
          <w:szCs w:val="21"/>
          <w:highlight w:val="none"/>
        </w:rPr>
        <w:t>：</w:t>
      </w:r>
    </w:p>
    <w:p w14:paraId="2BB160C4">
      <w:pPr>
        <w:overflowPunct w:val="0"/>
        <w:spacing w:line="480" w:lineRule="auto"/>
        <w:ind w:firstLine="420" w:firstLineChars="200"/>
        <w:jc w:val="center"/>
        <w:rPr>
          <w:rFonts w:ascii="Arial" w:hAnsi="Arial"/>
          <w:sz w:val="21"/>
          <w:szCs w:val="21"/>
          <w:highlight w:val="none"/>
        </w:rPr>
      </w:pPr>
      <w:r>
        <w:rPr>
          <w:rFonts w:hint="eastAsia" w:ascii="Arial" w:hAnsi="Arial"/>
          <w:sz w:val="21"/>
          <w:szCs w:val="21"/>
          <w:highlight w:val="none"/>
        </w:rPr>
        <w:t>比较因素情况描述表</w:t>
      </w:r>
    </w:p>
    <w:tbl>
      <w:tblPr>
        <w:tblStyle w:val="33"/>
        <w:tblW w:w="5000" w:type="pct"/>
        <w:jc w:val="center"/>
        <w:tblLayout w:type="autofit"/>
        <w:tblCellMar>
          <w:top w:w="0" w:type="dxa"/>
          <w:left w:w="108" w:type="dxa"/>
          <w:bottom w:w="0" w:type="dxa"/>
          <w:right w:w="108" w:type="dxa"/>
        </w:tblCellMar>
      </w:tblPr>
      <w:tblGrid>
        <w:gridCol w:w="690"/>
        <w:gridCol w:w="1446"/>
        <w:gridCol w:w="1844"/>
        <w:gridCol w:w="1844"/>
        <w:gridCol w:w="1844"/>
        <w:gridCol w:w="1847"/>
      </w:tblGrid>
      <w:tr w14:paraId="28867B85">
        <w:tblPrEx>
          <w:tblCellMar>
            <w:top w:w="0" w:type="dxa"/>
            <w:left w:w="108" w:type="dxa"/>
            <w:bottom w:w="0" w:type="dxa"/>
            <w:right w:w="108" w:type="dxa"/>
          </w:tblCellMar>
        </w:tblPrEx>
        <w:trPr>
          <w:trHeight w:val="397" w:hRule="atLeast"/>
          <w:tblHeader/>
          <w:jc w:val="center"/>
        </w:trPr>
        <w:tc>
          <w:tcPr>
            <w:tcW w:w="1122" w:type="pct"/>
            <w:gridSpan w:val="2"/>
            <w:tcBorders>
              <w:top w:val="single" w:color="auto" w:sz="4" w:space="0"/>
              <w:left w:val="single" w:color="auto" w:sz="4" w:space="0"/>
              <w:bottom w:val="single" w:color="auto" w:sz="4" w:space="0"/>
              <w:right w:val="single" w:color="000000" w:sz="4" w:space="0"/>
            </w:tcBorders>
            <w:vAlign w:val="center"/>
          </w:tcPr>
          <w:p w14:paraId="018389AC">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项目</w:t>
            </w:r>
          </w:p>
        </w:tc>
        <w:tc>
          <w:tcPr>
            <w:tcW w:w="968" w:type="pct"/>
            <w:tcBorders>
              <w:top w:val="single" w:color="auto" w:sz="4" w:space="0"/>
              <w:left w:val="nil"/>
              <w:bottom w:val="single" w:color="auto" w:sz="4" w:space="0"/>
              <w:right w:val="single" w:color="auto" w:sz="4" w:space="0"/>
            </w:tcBorders>
            <w:vAlign w:val="center"/>
          </w:tcPr>
          <w:p w14:paraId="167C4071">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估价对象</w:t>
            </w:r>
          </w:p>
        </w:tc>
        <w:tc>
          <w:tcPr>
            <w:tcW w:w="968" w:type="pct"/>
            <w:tcBorders>
              <w:top w:val="single" w:color="auto" w:sz="4" w:space="0"/>
              <w:left w:val="nil"/>
              <w:bottom w:val="single" w:color="auto" w:sz="4" w:space="0"/>
              <w:right w:val="single" w:color="auto" w:sz="4" w:space="0"/>
            </w:tcBorders>
            <w:vAlign w:val="center"/>
          </w:tcPr>
          <w:p w14:paraId="4DDA2FD6">
            <w:pPr>
              <w:widowControl/>
              <w:adjustRightInd/>
              <w:spacing w:line="240" w:lineRule="auto"/>
              <w:jc w:val="center"/>
              <w:textAlignment w:val="auto"/>
              <w:rPr>
                <w:rFonts w:hint="eastAsia" w:ascii="Arial" w:hAnsi="Arial" w:eastAsia="宋体" w:cs="Arial"/>
                <w:sz w:val="16"/>
                <w:szCs w:val="18"/>
                <w:highlight w:val="none"/>
                <w:lang w:val="en-US" w:eastAsia="zh-CN"/>
              </w:rPr>
            </w:pPr>
            <w:r>
              <w:rPr>
                <w:rFonts w:ascii="Arial" w:hAnsi="Arial" w:cs="Arial"/>
                <w:sz w:val="16"/>
                <w:szCs w:val="18"/>
                <w:highlight w:val="none"/>
              </w:rPr>
              <w:t>可比实例</w:t>
            </w:r>
            <w:r>
              <w:rPr>
                <w:rFonts w:hint="eastAsia" w:ascii="Arial" w:hAnsi="Arial" w:cs="Arial"/>
                <w:sz w:val="16"/>
                <w:szCs w:val="18"/>
                <w:highlight w:val="none"/>
                <w:lang w:val="en-US" w:eastAsia="zh-CN"/>
              </w:rPr>
              <w:t>7</w:t>
            </w:r>
          </w:p>
        </w:tc>
        <w:tc>
          <w:tcPr>
            <w:tcW w:w="968" w:type="pct"/>
            <w:tcBorders>
              <w:top w:val="single" w:color="auto" w:sz="4" w:space="0"/>
              <w:left w:val="nil"/>
              <w:bottom w:val="single" w:color="auto" w:sz="4" w:space="0"/>
              <w:right w:val="single" w:color="auto" w:sz="4" w:space="0"/>
            </w:tcBorders>
            <w:vAlign w:val="center"/>
          </w:tcPr>
          <w:p w14:paraId="37ACAAE7">
            <w:pPr>
              <w:widowControl/>
              <w:adjustRightInd/>
              <w:spacing w:line="240" w:lineRule="auto"/>
              <w:jc w:val="center"/>
              <w:textAlignment w:val="auto"/>
              <w:rPr>
                <w:rFonts w:hint="eastAsia" w:ascii="Arial" w:hAnsi="Arial" w:eastAsia="宋体" w:cs="Arial"/>
                <w:sz w:val="16"/>
                <w:szCs w:val="18"/>
                <w:highlight w:val="none"/>
                <w:lang w:val="en-US" w:eastAsia="zh-CN"/>
              </w:rPr>
            </w:pPr>
            <w:r>
              <w:rPr>
                <w:rFonts w:ascii="Arial" w:hAnsi="Arial" w:cs="Arial"/>
                <w:sz w:val="16"/>
                <w:szCs w:val="18"/>
                <w:highlight w:val="none"/>
              </w:rPr>
              <w:t>可比实例</w:t>
            </w:r>
            <w:r>
              <w:rPr>
                <w:rFonts w:hint="eastAsia" w:ascii="Arial" w:hAnsi="Arial" w:cs="Arial"/>
                <w:sz w:val="16"/>
                <w:szCs w:val="18"/>
                <w:highlight w:val="none"/>
                <w:lang w:val="en-US" w:eastAsia="zh-CN"/>
              </w:rPr>
              <w:t>8</w:t>
            </w:r>
          </w:p>
        </w:tc>
        <w:tc>
          <w:tcPr>
            <w:tcW w:w="970" w:type="pct"/>
            <w:tcBorders>
              <w:top w:val="single" w:color="auto" w:sz="4" w:space="0"/>
              <w:left w:val="nil"/>
              <w:bottom w:val="single" w:color="auto" w:sz="4" w:space="0"/>
              <w:right w:val="single" w:color="auto" w:sz="4" w:space="0"/>
            </w:tcBorders>
            <w:vAlign w:val="center"/>
          </w:tcPr>
          <w:p w14:paraId="56977B2A">
            <w:pPr>
              <w:widowControl/>
              <w:adjustRightInd/>
              <w:spacing w:line="240" w:lineRule="auto"/>
              <w:jc w:val="center"/>
              <w:textAlignment w:val="auto"/>
              <w:rPr>
                <w:rFonts w:hint="eastAsia" w:ascii="Arial" w:hAnsi="Arial" w:eastAsia="宋体" w:cs="Arial"/>
                <w:sz w:val="16"/>
                <w:szCs w:val="18"/>
                <w:highlight w:val="none"/>
                <w:lang w:val="en-US" w:eastAsia="zh-CN"/>
              </w:rPr>
            </w:pPr>
            <w:r>
              <w:rPr>
                <w:rFonts w:ascii="Arial" w:hAnsi="Arial" w:cs="Arial"/>
                <w:sz w:val="16"/>
                <w:szCs w:val="18"/>
                <w:highlight w:val="none"/>
              </w:rPr>
              <w:t>可比案例</w:t>
            </w:r>
            <w:r>
              <w:rPr>
                <w:rFonts w:hint="eastAsia" w:ascii="Arial" w:hAnsi="Arial" w:cs="Arial"/>
                <w:sz w:val="16"/>
                <w:szCs w:val="18"/>
                <w:highlight w:val="none"/>
                <w:lang w:val="en-US" w:eastAsia="zh-CN"/>
              </w:rPr>
              <w:t>9</w:t>
            </w:r>
          </w:p>
        </w:tc>
      </w:tr>
      <w:tr w14:paraId="50B1E3E1">
        <w:tblPrEx>
          <w:tblCellMar>
            <w:top w:w="0" w:type="dxa"/>
            <w:left w:w="108" w:type="dxa"/>
            <w:bottom w:w="0" w:type="dxa"/>
            <w:right w:w="108" w:type="dxa"/>
          </w:tblCellMar>
        </w:tblPrEx>
        <w:trPr>
          <w:trHeight w:val="397" w:hRule="atLeast"/>
          <w:tblHeader/>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07D19855">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小区名称</w:t>
            </w:r>
          </w:p>
        </w:tc>
        <w:tc>
          <w:tcPr>
            <w:tcW w:w="968" w:type="pct"/>
            <w:tcBorders>
              <w:top w:val="nil"/>
              <w:left w:val="nil"/>
              <w:bottom w:val="single" w:color="auto" w:sz="4" w:space="0"/>
              <w:right w:val="single" w:color="auto" w:sz="4" w:space="0"/>
            </w:tcBorders>
            <w:vAlign w:val="center"/>
          </w:tcPr>
          <w:p w14:paraId="7646D61B">
            <w:pPr>
              <w:pStyle w:val="61"/>
              <w:autoSpaceDE w:val="0"/>
              <w:autoSpaceDN w:val="0"/>
              <w:spacing w:line="240" w:lineRule="exact"/>
              <w:textAlignment w:val="bottom"/>
              <w:rPr>
                <w:rFonts w:hint="eastAsia" w:ascii="Arial" w:hAnsi="Arial" w:eastAsia="宋体" w:cs="Arial"/>
                <w:sz w:val="16"/>
                <w:szCs w:val="18"/>
                <w:highlight w:val="none"/>
                <w:lang w:eastAsia="zh-CN"/>
              </w:rPr>
            </w:pPr>
            <w:r>
              <w:rPr>
                <w:rFonts w:hint="eastAsia" w:ascii="Arial" w:hAnsi="Arial" w:cs="Arial"/>
                <w:sz w:val="16"/>
                <w:szCs w:val="18"/>
                <w:highlight w:val="none"/>
                <w:lang w:eastAsia="zh-CN"/>
              </w:rPr>
              <w:t>育新花园</w:t>
            </w:r>
          </w:p>
        </w:tc>
        <w:tc>
          <w:tcPr>
            <w:tcW w:w="1844" w:type="dxa"/>
            <w:tcBorders>
              <w:top w:val="nil"/>
              <w:left w:val="nil"/>
              <w:bottom w:val="single" w:color="auto" w:sz="4" w:space="0"/>
              <w:right w:val="single" w:color="auto" w:sz="4" w:space="0"/>
            </w:tcBorders>
            <w:vAlign w:val="center"/>
          </w:tcPr>
          <w:p w14:paraId="0DB02375">
            <w:pPr>
              <w:widowControl/>
              <w:spacing w:line="240" w:lineRule="exact"/>
              <w:jc w:val="center"/>
              <w:textAlignment w:val="center"/>
              <w:rPr>
                <w:rFonts w:ascii="Arial" w:hAnsi="Arial" w:cs="Arial"/>
                <w:sz w:val="16"/>
                <w:szCs w:val="18"/>
                <w:highlight w:val="none"/>
              </w:rPr>
            </w:pPr>
            <w:r>
              <w:rPr>
                <w:rFonts w:hint="eastAsia" w:ascii="Arial" w:hAnsi="Arial" w:cs="Arial"/>
                <w:sz w:val="16"/>
                <w:szCs w:val="18"/>
                <w:highlight w:val="none"/>
                <w:lang w:val="en-US" w:eastAsia="zh-CN"/>
              </w:rPr>
              <w:t>北京城建宽院国誉府</w:t>
            </w:r>
          </w:p>
        </w:tc>
        <w:tc>
          <w:tcPr>
            <w:tcW w:w="1844" w:type="dxa"/>
            <w:tcBorders>
              <w:top w:val="nil"/>
              <w:left w:val="nil"/>
              <w:bottom w:val="single" w:color="auto" w:sz="4" w:space="0"/>
              <w:right w:val="single" w:color="auto" w:sz="4" w:space="0"/>
            </w:tcBorders>
            <w:vAlign w:val="center"/>
          </w:tcPr>
          <w:p w14:paraId="71920BA3">
            <w:pPr>
              <w:widowControl/>
              <w:spacing w:line="240" w:lineRule="exact"/>
              <w:jc w:val="center"/>
              <w:textAlignment w:val="center"/>
              <w:rPr>
                <w:rFonts w:ascii="Arial" w:hAnsi="Arial" w:cs="Arial"/>
                <w:sz w:val="16"/>
                <w:szCs w:val="18"/>
                <w:highlight w:val="none"/>
              </w:rPr>
            </w:pPr>
            <w:r>
              <w:rPr>
                <w:rFonts w:hint="eastAsia" w:ascii="Arial" w:hAnsi="Arial" w:cs="Arial"/>
                <w:sz w:val="16"/>
                <w:szCs w:val="18"/>
                <w:highlight w:val="none"/>
                <w:lang w:val="en-US" w:eastAsia="zh-CN"/>
              </w:rPr>
              <w:t>恒盛波尔多小镇南区</w:t>
            </w:r>
            <w:r>
              <w:rPr>
                <w:rFonts w:hint="eastAsia" w:ascii="Arial" w:hAnsi="Arial" w:cs="Arial"/>
                <w:sz w:val="16"/>
                <w:szCs w:val="18"/>
                <w:highlight w:val="none"/>
              </w:rPr>
              <w:t>苑</w:t>
            </w:r>
          </w:p>
        </w:tc>
        <w:tc>
          <w:tcPr>
            <w:tcW w:w="1847" w:type="dxa"/>
            <w:tcBorders>
              <w:top w:val="nil"/>
              <w:left w:val="nil"/>
              <w:bottom w:val="single" w:color="auto" w:sz="4" w:space="0"/>
              <w:right w:val="single" w:color="auto" w:sz="4" w:space="0"/>
            </w:tcBorders>
            <w:vAlign w:val="center"/>
          </w:tcPr>
          <w:p w14:paraId="2944734F">
            <w:pPr>
              <w:widowControl/>
              <w:spacing w:line="240" w:lineRule="exact"/>
              <w:jc w:val="center"/>
              <w:textAlignment w:val="center"/>
              <w:rPr>
                <w:rFonts w:ascii="Arial" w:hAnsi="Arial" w:cs="Arial"/>
                <w:sz w:val="16"/>
                <w:szCs w:val="18"/>
                <w:highlight w:val="none"/>
              </w:rPr>
            </w:pPr>
            <w:r>
              <w:rPr>
                <w:rFonts w:hint="eastAsia" w:ascii="Arial" w:hAnsi="Arial" w:cs="Arial"/>
                <w:sz w:val="16"/>
                <w:szCs w:val="18"/>
                <w:highlight w:val="none"/>
              </w:rPr>
              <w:t>当代采育满庭春MOMA</w:t>
            </w:r>
          </w:p>
        </w:tc>
      </w:tr>
      <w:tr w14:paraId="2940D4EB">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1B68BE38">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平均租金（元/平方米·月）</w:t>
            </w:r>
          </w:p>
        </w:tc>
        <w:tc>
          <w:tcPr>
            <w:tcW w:w="968" w:type="pct"/>
            <w:tcBorders>
              <w:top w:val="nil"/>
              <w:left w:val="nil"/>
              <w:bottom w:val="single" w:color="auto" w:sz="4" w:space="0"/>
              <w:right w:val="single" w:color="auto" w:sz="4" w:space="0"/>
            </w:tcBorders>
            <w:vAlign w:val="center"/>
          </w:tcPr>
          <w:p w14:paraId="69BB9961">
            <w:pPr>
              <w:pStyle w:val="61"/>
              <w:autoSpaceDE w:val="0"/>
              <w:autoSpaceDN w:val="0"/>
              <w:spacing w:line="240" w:lineRule="exact"/>
              <w:textAlignment w:val="bottom"/>
              <w:rPr>
                <w:rFonts w:ascii="Arial" w:hAnsi="Arial" w:cs="Arial"/>
                <w:sz w:val="16"/>
                <w:szCs w:val="18"/>
                <w:highlight w:val="none"/>
              </w:rPr>
            </w:pPr>
            <w:r>
              <w:rPr>
                <w:rFonts w:ascii="Arial" w:hAnsi="Arial" w:cs="Arial"/>
                <w:sz w:val="16"/>
                <w:szCs w:val="18"/>
                <w:highlight w:val="none"/>
              </w:rPr>
              <w:t>待估</w:t>
            </w:r>
          </w:p>
        </w:tc>
        <w:tc>
          <w:tcPr>
            <w:tcW w:w="1844" w:type="dxa"/>
            <w:tcBorders>
              <w:top w:val="nil"/>
              <w:left w:val="nil"/>
              <w:bottom w:val="single" w:color="auto" w:sz="4" w:space="0"/>
              <w:right w:val="single" w:color="auto" w:sz="4" w:space="0"/>
            </w:tcBorders>
            <w:vAlign w:val="center"/>
          </w:tcPr>
          <w:p w14:paraId="290912F6">
            <w:pPr>
              <w:autoSpaceDE w:val="0"/>
              <w:autoSpaceDN w:val="0"/>
              <w:spacing w:line="240" w:lineRule="exact"/>
              <w:jc w:val="center"/>
              <w:textAlignment w:val="bottom"/>
              <w:rPr>
                <w:rFonts w:ascii="Arial" w:hAnsi="Arial" w:cs="Arial"/>
                <w:sz w:val="16"/>
                <w:szCs w:val="18"/>
                <w:highlight w:val="none"/>
              </w:rPr>
            </w:pPr>
            <w:r>
              <w:rPr>
                <w:rFonts w:hint="eastAsia" w:ascii="Arial" w:hAnsi="Arial" w:cs="Arial"/>
                <w:sz w:val="16"/>
                <w:szCs w:val="18"/>
                <w:highlight w:val="none"/>
                <w:lang w:val="en-US" w:eastAsia="zh-CN"/>
              </w:rPr>
              <w:t>12.21</w:t>
            </w:r>
          </w:p>
        </w:tc>
        <w:tc>
          <w:tcPr>
            <w:tcW w:w="1844" w:type="dxa"/>
            <w:tcBorders>
              <w:top w:val="nil"/>
              <w:left w:val="nil"/>
              <w:bottom w:val="single" w:color="auto" w:sz="4" w:space="0"/>
              <w:right w:val="single" w:color="auto" w:sz="4" w:space="0"/>
            </w:tcBorders>
            <w:vAlign w:val="center"/>
          </w:tcPr>
          <w:p w14:paraId="3BD95311">
            <w:pPr>
              <w:autoSpaceDE w:val="0"/>
              <w:autoSpaceDN w:val="0"/>
              <w:spacing w:line="240" w:lineRule="exact"/>
              <w:jc w:val="center"/>
              <w:textAlignment w:val="bottom"/>
              <w:rPr>
                <w:rFonts w:ascii="Arial" w:hAnsi="Arial" w:cs="Arial"/>
                <w:sz w:val="16"/>
                <w:szCs w:val="18"/>
                <w:highlight w:val="none"/>
              </w:rPr>
            </w:pPr>
            <w:r>
              <w:rPr>
                <w:rFonts w:hint="eastAsia" w:ascii="Arial" w:hAnsi="Arial" w:cs="Arial"/>
                <w:sz w:val="16"/>
                <w:szCs w:val="18"/>
                <w:highlight w:val="none"/>
                <w:lang w:val="en-US" w:eastAsia="zh-CN"/>
              </w:rPr>
              <w:t>16.32</w:t>
            </w:r>
          </w:p>
        </w:tc>
        <w:tc>
          <w:tcPr>
            <w:tcW w:w="1847" w:type="dxa"/>
            <w:tcBorders>
              <w:top w:val="nil"/>
              <w:left w:val="nil"/>
              <w:bottom w:val="single" w:color="auto" w:sz="4" w:space="0"/>
              <w:right w:val="single" w:color="auto" w:sz="4" w:space="0"/>
            </w:tcBorders>
            <w:vAlign w:val="center"/>
          </w:tcPr>
          <w:p w14:paraId="25E29AB8">
            <w:pPr>
              <w:autoSpaceDE w:val="0"/>
              <w:autoSpaceDN w:val="0"/>
              <w:spacing w:line="240" w:lineRule="exact"/>
              <w:jc w:val="center"/>
              <w:textAlignment w:val="bottom"/>
              <w:rPr>
                <w:rFonts w:ascii="Arial" w:hAnsi="Arial" w:cs="Arial"/>
                <w:sz w:val="16"/>
                <w:szCs w:val="18"/>
                <w:highlight w:val="none"/>
              </w:rPr>
            </w:pPr>
            <w:r>
              <w:rPr>
                <w:rFonts w:hint="eastAsia" w:ascii="Arial" w:hAnsi="Arial" w:cs="Arial"/>
                <w:sz w:val="16"/>
                <w:szCs w:val="18"/>
                <w:highlight w:val="none"/>
                <w:lang w:val="en-US" w:eastAsia="zh-CN"/>
              </w:rPr>
              <w:t>17.34</w:t>
            </w:r>
          </w:p>
        </w:tc>
      </w:tr>
      <w:tr w14:paraId="306E7F63">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502E79DA">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交易时间</w:t>
            </w:r>
          </w:p>
        </w:tc>
        <w:tc>
          <w:tcPr>
            <w:tcW w:w="968" w:type="pct"/>
            <w:tcBorders>
              <w:top w:val="nil"/>
              <w:left w:val="nil"/>
              <w:bottom w:val="single" w:color="auto" w:sz="4" w:space="0"/>
              <w:right w:val="single" w:color="auto" w:sz="4" w:space="0"/>
            </w:tcBorders>
            <w:vAlign w:val="center"/>
          </w:tcPr>
          <w:p w14:paraId="46CCA267">
            <w:pPr>
              <w:widowControl/>
              <w:adjustRightInd/>
              <w:spacing w:line="240" w:lineRule="auto"/>
              <w:jc w:val="center"/>
              <w:textAlignment w:val="auto"/>
              <w:rPr>
                <w:rFonts w:hint="eastAsia" w:ascii="Arial" w:hAnsi="Arial" w:eastAsia="宋体" w:cs="Arial"/>
                <w:sz w:val="16"/>
                <w:szCs w:val="18"/>
                <w:highlight w:val="none"/>
                <w:lang w:eastAsia="zh-CN"/>
              </w:rPr>
            </w:pPr>
            <w:r>
              <w:rPr>
                <w:rFonts w:hint="eastAsia" w:ascii="Arial" w:hAnsi="Arial" w:cs="Arial"/>
                <w:sz w:val="16"/>
                <w:szCs w:val="18"/>
                <w:highlight w:val="none"/>
                <w:lang w:eastAsia="zh-CN"/>
              </w:rPr>
              <w:t>2025年12月26日</w:t>
            </w:r>
          </w:p>
        </w:tc>
        <w:tc>
          <w:tcPr>
            <w:tcW w:w="968" w:type="pct"/>
            <w:tcBorders>
              <w:top w:val="nil"/>
              <w:left w:val="nil"/>
              <w:bottom w:val="single" w:color="auto" w:sz="4" w:space="0"/>
              <w:right w:val="single" w:color="auto" w:sz="4" w:space="0"/>
            </w:tcBorders>
            <w:vAlign w:val="center"/>
          </w:tcPr>
          <w:p w14:paraId="56F9C351">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202</w:t>
            </w:r>
            <w:r>
              <w:rPr>
                <w:rFonts w:hint="eastAsia" w:ascii="Arial" w:hAnsi="Arial" w:cs="Arial"/>
                <w:sz w:val="16"/>
                <w:szCs w:val="18"/>
                <w:highlight w:val="none"/>
                <w:lang w:val="en-US" w:eastAsia="zh-CN"/>
              </w:rPr>
              <w:t>5</w:t>
            </w:r>
            <w:r>
              <w:rPr>
                <w:rFonts w:ascii="Arial" w:hAnsi="Arial" w:cs="Arial"/>
                <w:sz w:val="16"/>
                <w:szCs w:val="18"/>
                <w:highlight w:val="none"/>
              </w:rPr>
              <w:t>年</w:t>
            </w:r>
            <w:r>
              <w:rPr>
                <w:rFonts w:hint="eastAsia" w:ascii="Arial" w:hAnsi="Arial" w:cs="Arial"/>
                <w:sz w:val="16"/>
                <w:szCs w:val="18"/>
                <w:highlight w:val="none"/>
                <w:lang w:val="en-US" w:eastAsia="zh-CN"/>
              </w:rPr>
              <w:t>12</w:t>
            </w:r>
            <w:r>
              <w:rPr>
                <w:rFonts w:ascii="Arial" w:hAnsi="Arial" w:cs="Arial"/>
                <w:sz w:val="16"/>
                <w:szCs w:val="18"/>
                <w:highlight w:val="none"/>
              </w:rPr>
              <w:t>月</w:t>
            </w:r>
          </w:p>
        </w:tc>
        <w:tc>
          <w:tcPr>
            <w:tcW w:w="968" w:type="pct"/>
            <w:tcBorders>
              <w:top w:val="nil"/>
              <w:left w:val="nil"/>
              <w:bottom w:val="single" w:color="auto" w:sz="4" w:space="0"/>
              <w:right w:val="single" w:color="auto" w:sz="4" w:space="0"/>
            </w:tcBorders>
            <w:vAlign w:val="center"/>
          </w:tcPr>
          <w:p w14:paraId="2B64E481">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202</w:t>
            </w:r>
            <w:r>
              <w:rPr>
                <w:rFonts w:hint="eastAsia" w:ascii="Arial" w:hAnsi="Arial" w:cs="Arial"/>
                <w:sz w:val="16"/>
                <w:szCs w:val="18"/>
                <w:highlight w:val="none"/>
                <w:lang w:val="en-US" w:eastAsia="zh-CN"/>
              </w:rPr>
              <w:t>5</w:t>
            </w:r>
            <w:r>
              <w:rPr>
                <w:rFonts w:ascii="Arial" w:hAnsi="Arial" w:cs="Arial"/>
                <w:sz w:val="16"/>
                <w:szCs w:val="18"/>
                <w:highlight w:val="none"/>
              </w:rPr>
              <w:t>年</w:t>
            </w:r>
            <w:r>
              <w:rPr>
                <w:rFonts w:hint="eastAsia" w:ascii="Arial" w:hAnsi="Arial" w:cs="Arial"/>
                <w:sz w:val="16"/>
                <w:szCs w:val="18"/>
                <w:highlight w:val="none"/>
                <w:lang w:val="en-US" w:eastAsia="zh-CN"/>
              </w:rPr>
              <w:t>12</w:t>
            </w:r>
            <w:r>
              <w:rPr>
                <w:rFonts w:ascii="Arial" w:hAnsi="Arial" w:cs="Arial"/>
                <w:sz w:val="16"/>
                <w:szCs w:val="18"/>
                <w:highlight w:val="none"/>
              </w:rPr>
              <w:t>月</w:t>
            </w:r>
          </w:p>
        </w:tc>
        <w:tc>
          <w:tcPr>
            <w:tcW w:w="970" w:type="pct"/>
            <w:tcBorders>
              <w:top w:val="nil"/>
              <w:left w:val="nil"/>
              <w:bottom w:val="single" w:color="auto" w:sz="4" w:space="0"/>
              <w:right w:val="single" w:color="auto" w:sz="4" w:space="0"/>
            </w:tcBorders>
            <w:vAlign w:val="center"/>
          </w:tcPr>
          <w:p w14:paraId="4D02CF8D">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202</w:t>
            </w:r>
            <w:r>
              <w:rPr>
                <w:rFonts w:hint="eastAsia" w:ascii="Arial" w:hAnsi="Arial" w:cs="Arial"/>
                <w:sz w:val="16"/>
                <w:szCs w:val="18"/>
                <w:highlight w:val="none"/>
                <w:lang w:val="en-US" w:eastAsia="zh-CN"/>
              </w:rPr>
              <w:t>5</w:t>
            </w:r>
            <w:r>
              <w:rPr>
                <w:rFonts w:ascii="Arial" w:hAnsi="Arial" w:cs="Arial"/>
                <w:sz w:val="16"/>
                <w:szCs w:val="18"/>
                <w:highlight w:val="none"/>
              </w:rPr>
              <w:t>年</w:t>
            </w:r>
            <w:r>
              <w:rPr>
                <w:rFonts w:hint="eastAsia" w:ascii="Arial" w:hAnsi="Arial" w:cs="Arial"/>
                <w:sz w:val="16"/>
                <w:szCs w:val="18"/>
                <w:highlight w:val="none"/>
                <w:lang w:val="en-US" w:eastAsia="zh-CN"/>
              </w:rPr>
              <w:t>12</w:t>
            </w:r>
            <w:r>
              <w:rPr>
                <w:rFonts w:ascii="Arial" w:hAnsi="Arial" w:cs="Arial"/>
                <w:sz w:val="16"/>
                <w:szCs w:val="18"/>
                <w:highlight w:val="none"/>
              </w:rPr>
              <w:t>月</w:t>
            </w:r>
          </w:p>
        </w:tc>
      </w:tr>
      <w:tr w14:paraId="42FA1C0E">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06086F33">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交易情况</w:t>
            </w:r>
          </w:p>
        </w:tc>
        <w:tc>
          <w:tcPr>
            <w:tcW w:w="968" w:type="pct"/>
            <w:tcBorders>
              <w:top w:val="nil"/>
              <w:left w:val="nil"/>
              <w:bottom w:val="single" w:color="auto" w:sz="4" w:space="0"/>
              <w:right w:val="single" w:color="auto" w:sz="4" w:space="0"/>
            </w:tcBorders>
            <w:vAlign w:val="center"/>
          </w:tcPr>
          <w:p w14:paraId="3C1C2C30">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正常</w:t>
            </w:r>
          </w:p>
        </w:tc>
        <w:tc>
          <w:tcPr>
            <w:tcW w:w="968" w:type="pct"/>
            <w:tcBorders>
              <w:top w:val="nil"/>
              <w:left w:val="nil"/>
              <w:bottom w:val="single" w:color="auto" w:sz="4" w:space="0"/>
              <w:right w:val="single" w:color="auto" w:sz="4" w:space="0"/>
            </w:tcBorders>
            <w:vAlign w:val="center"/>
          </w:tcPr>
          <w:p w14:paraId="2D630B83">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正常</w:t>
            </w:r>
          </w:p>
        </w:tc>
        <w:tc>
          <w:tcPr>
            <w:tcW w:w="968" w:type="pct"/>
            <w:tcBorders>
              <w:top w:val="nil"/>
              <w:left w:val="nil"/>
              <w:bottom w:val="single" w:color="auto" w:sz="4" w:space="0"/>
              <w:right w:val="single" w:color="auto" w:sz="4" w:space="0"/>
            </w:tcBorders>
            <w:vAlign w:val="center"/>
          </w:tcPr>
          <w:p w14:paraId="168276DC">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正常</w:t>
            </w:r>
          </w:p>
        </w:tc>
        <w:tc>
          <w:tcPr>
            <w:tcW w:w="970" w:type="pct"/>
            <w:tcBorders>
              <w:top w:val="nil"/>
              <w:left w:val="nil"/>
              <w:bottom w:val="single" w:color="auto" w:sz="4" w:space="0"/>
              <w:right w:val="single" w:color="auto" w:sz="4" w:space="0"/>
            </w:tcBorders>
            <w:vAlign w:val="center"/>
          </w:tcPr>
          <w:p w14:paraId="74A6DB92">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正常</w:t>
            </w:r>
          </w:p>
        </w:tc>
      </w:tr>
      <w:tr w14:paraId="265DA591">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2B5A4AB1">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项目类型</w:t>
            </w:r>
          </w:p>
        </w:tc>
        <w:tc>
          <w:tcPr>
            <w:tcW w:w="968" w:type="pct"/>
            <w:tcBorders>
              <w:top w:val="nil"/>
              <w:left w:val="nil"/>
              <w:bottom w:val="single" w:color="auto" w:sz="4" w:space="0"/>
              <w:right w:val="single" w:color="auto" w:sz="4" w:space="0"/>
            </w:tcBorders>
            <w:vAlign w:val="center"/>
          </w:tcPr>
          <w:p w14:paraId="42FC3341">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住宅</w:t>
            </w:r>
          </w:p>
        </w:tc>
        <w:tc>
          <w:tcPr>
            <w:tcW w:w="968" w:type="pct"/>
            <w:tcBorders>
              <w:top w:val="nil"/>
              <w:left w:val="nil"/>
              <w:bottom w:val="single" w:color="auto" w:sz="4" w:space="0"/>
              <w:right w:val="single" w:color="auto" w:sz="4" w:space="0"/>
            </w:tcBorders>
            <w:vAlign w:val="center"/>
          </w:tcPr>
          <w:p w14:paraId="7C35F582">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住宅</w:t>
            </w:r>
          </w:p>
        </w:tc>
        <w:tc>
          <w:tcPr>
            <w:tcW w:w="968" w:type="pct"/>
            <w:tcBorders>
              <w:top w:val="nil"/>
              <w:left w:val="nil"/>
              <w:bottom w:val="single" w:color="auto" w:sz="4" w:space="0"/>
              <w:right w:val="single" w:color="auto" w:sz="4" w:space="0"/>
            </w:tcBorders>
            <w:vAlign w:val="center"/>
          </w:tcPr>
          <w:p w14:paraId="66115606">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住宅</w:t>
            </w:r>
          </w:p>
        </w:tc>
        <w:tc>
          <w:tcPr>
            <w:tcW w:w="970" w:type="pct"/>
            <w:tcBorders>
              <w:top w:val="nil"/>
              <w:left w:val="nil"/>
              <w:bottom w:val="single" w:color="auto" w:sz="4" w:space="0"/>
              <w:right w:val="single" w:color="auto" w:sz="4" w:space="0"/>
            </w:tcBorders>
            <w:vAlign w:val="center"/>
          </w:tcPr>
          <w:p w14:paraId="1BDED95D">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住宅</w:t>
            </w:r>
          </w:p>
        </w:tc>
      </w:tr>
      <w:tr w14:paraId="25FC1035">
        <w:tblPrEx>
          <w:tblCellMar>
            <w:top w:w="0" w:type="dxa"/>
            <w:left w:w="108" w:type="dxa"/>
            <w:bottom w:w="0" w:type="dxa"/>
            <w:right w:w="108" w:type="dxa"/>
          </w:tblCellMar>
        </w:tblPrEx>
        <w:trPr>
          <w:trHeight w:val="397" w:hRule="atLeast"/>
          <w:jc w:val="center"/>
        </w:trPr>
        <w:tc>
          <w:tcPr>
            <w:tcW w:w="363" w:type="pct"/>
            <w:vMerge w:val="restart"/>
            <w:tcBorders>
              <w:top w:val="nil"/>
              <w:left w:val="single" w:color="auto" w:sz="4" w:space="0"/>
              <w:bottom w:val="single" w:color="000000" w:sz="4" w:space="0"/>
              <w:right w:val="single" w:color="auto" w:sz="4" w:space="0"/>
            </w:tcBorders>
            <w:vAlign w:val="center"/>
          </w:tcPr>
          <w:p w14:paraId="6E7CB15A">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区域状况</w:t>
            </w:r>
          </w:p>
        </w:tc>
        <w:tc>
          <w:tcPr>
            <w:tcW w:w="758" w:type="pct"/>
            <w:tcBorders>
              <w:top w:val="nil"/>
              <w:left w:val="nil"/>
              <w:bottom w:val="single" w:color="auto" w:sz="4" w:space="0"/>
              <w:right w:val="single" w:color="auto" w:sz="4" w:space="0"/>
            </w:tcBorders>
            <w:vAlign w:val="center"/>
          </w:tcPr>
          <w:p w14:paraId="1A9958D8">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居住区成熟度</w:t>
            </w:r>
          </w:p>
        </w:tc>
        <w:tc>
          <w:tcPr>
            <w:tcW w:w="968" w:type="pct"/>
            <w:tcBorders>
              <w:top w:val="nil"/>
              <w:left w:val="nil"/>
              <w:bottom w:val="single" w:color="auto" w:sz="4" w:space="0"/>
              <w:right w:val="single" w:color="auto" w:sz="4" w:space="0"/>
            </w:tcBorders>
            <w:vAlign w:val="center"/>
          </w:tcPr>
          <w:p w14:paraId="6D96A01E">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估价对象周边2公里内有兴创荣墅、住总兴创如遇、恒盛波尔多小镇、路劲御合院、阳光波尔多、北京城建宽院国誉府等，居住小区规模一般，入住率一般，综合评价居住区成熟度一般。</w:t>
            </w:r>
          </w:p>
        </w:tc>
        <w:tc>
          <w:tcPr>
            <w:tcW w:w="968" w:type="pct"/>
            <w:tcBorders>
              <w:top w:val="nil"/>
              <w:left w:val="nil"/>
              <w:bottom w:val="single" w:color="auto" w:sz="4" w:space="0"/>
              <w:right w:val="single" w:color="auto" w:sz="4" w:space="0"/>
            </w:tcBorders>
            <w:vAlign w:val="center"/>
          </w:tcPr>
          <w:p w14:paraId="79DCCC2D">
            <w:pPr>
              <w:widowControl/>
              <w:adjustRightInd/>
              <w:spacing w:line="240" w:lineRule="auto"/>
              <w:jc w:val="center"/>
              <w:textAlignment w:val="auto"/>
              <w:rPr>
                <w:rFonts w:hint="eastAsia" w:ascii="Arial" w:hAnsi="Arial" w:eastAsia="宋体" w:cs="Arial"/>
                <w:sz w:val="16"/>
                <w:szCs w:val="18"/>
                <w:highlight w:val="none"/>
                <w:lang w:val="en-US" w:eastAsia="zh-CN"/>
              </w:rPr>
            </w:pPr>
            <w:r>
              <w:rPr>
                <w:rFonts w:hint="eastAsia" w:ascii="Arial" w:hAnsi="Arial" w:cs="Arial"/>
                <w:sz w:val="16"/>
                <w:szCs w:val="18"/>
                <w:highlight w:val="none"/>
              </w:rPr>
              <w:t>周边2公里内有兴创荣墅、住总兴创如遇、恒盛波尔多小镇、路劲御合院、阳光波尔多、北京城建宽院国誉府等，居住小区规模一般，入住率一般，综合评价居住区成熟度一般</w:t>
            </w:r>
            <w:r>
              <w:rPr>
                <w:rFonts w:hint="eastAsia" w:ascii="Arial" w:hAnsi="Arial" w:cs="Arial"/>
                <w:sz w:val="16"/>
                <w:szCs w:val="18"/>
                <w:highlight w:val="none"/>
                <w:lang w:eastAsia="zh-CN"/>
              </w:rPr>
              <w:t>。</w:t>
            </w:r>
          </w:p>
        </w:tc>
        <w:tc>
          <w:tcPr>
            <w:tcW w:w="968" w:type="pct"/>
            <w:tcBorders>
              <w:top w:val="nil"/>
              <w:left w:val="nil"/>
              <w:bottom w:val="single" w:color="auto" w:sz="4" w:space="0"/>
              <w:right w:val="single" w:color="auto" w:sz="4" w:space="0"/>
            </w:tcBorders>
            <w:vAlign w:val="center"/>
          </w:tcPr>
          <w:p w14:paraId="0FD15569">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周边2公里内有兴创荣墅、住总兴创如遇、恒盛波尔多小镇、路劲御合院、阳光波尔多、北京城建宽院国誉府等，居住小区规模一般，入住率一般，综合评价居住区成熟度一般。</w:t>
            </w:r>
          </w:p>
        </w:tc>
        <w:tc>
          <w:tcPr>
            <w:tcW w:w="970" w:type="pct"/>
            <w:tcBorders>
              <w:top w:val="nil"/>
              <w:left w:val="nil"/>
              <w:bottom w:val="single" w:color="auto" w:sz="4" w:space="0"/>
              <w:right w:val="single" w:color="auto" w:sz="4" w:space="0"/>
            </w:tcBorders>
            <w:vAlign w:val="center"/>
          </w:tcPr>
          <w:p w14:paraId="4621F45A">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周边2公里内有兴创荣墅、住总兴创如遇、恒盛波尔多小镇、路劲御合院、阳光波尔多、北京城建宽院国誉府等，居住小区规模一般，入住率一般，综合评价居住区成熟度一般</w:t>
            </w:r>
            <w:r>
              <w:rPr>
                <w:rFonts w:ascii="Arial" w:hAnsi="Arial" w:cs="Arial"/>
                <w:sz w:val="16"/>
                <w:szCs w:val="18"/>
                <w:highlight w:val="none"/>
              </w:rPr>
              <w:t>。</w:t>
            </w:r>
          </w:p>
        </w:tc>
      </w:tr>
      <w:tr w14:paraId="7C50916A">
        <w:tblPrEx>
          <w:tblCellMar>
            <w:top w:w="0" w:type="dxa"/>
            <w:left w:w="108" w:type="dxa"/>
            <w:bottom w:w="0" w:type="dxa"/>
            <w:right w:w="108" w:type="dxa"/>
          </w:tblCellMar>
        </w:tblPrEx>
        <w:trPr>
          <w:trHeight w:val="90" w:hRule="atLeast"/>
          <w:jc w:val="center"/>
        </w:trPr>
        <w:tc>
          <w:tcPr>
            <w:tcW w:w="363" w:type="pct"/>
            <w:vMerge w:val="continue"/>
            <w:tcBorders>
              <w:top w:val="nil"/>
              <w:left w:val="single" w:color="auto" w:sz="4" w:space="0"/>
              <w:bottom w:val="single" w:color="000000" w:sz="4" w:space="0"/>
              <w:right w:val="single" w:color="auto" w:sz="4" w:space="0"/>
            </w:tcBorders>
            <w:vAlign w:val="center"/>
          </w:tcPr>
          <w:p w14:paraId="3795BA6A">
            <w:pPr>
              <w:widowControl/>
              <w:adjustRightInd/>
              <w:spacing w:line="240" w:lineRule="auto"/>
              <w:jc w:val="center"/>
              <w:textAlignment w:val="auto"/>
              <w:rPr>
                <w:rFonts w:ascii="Arial" w:hAnsi="Arial" w:cs="Arial"/>
                <w:sz w:val="16"/>
                <w:szCs w:val="18"/>
                <w:highlight w:val="none"/>
              </w:rPr>
            </w:pPr>
          </w:p>
        </w:tc>
        <w:tc>
          <w:tcPr>
            <w:tcW w:w="758" w:type="pct"/>
            <w:tcBorders>
              <w:top w:val="nil"/>
              <w:left w:val="nil"/>
              <w:bottom w:val="single" w:color="auto" w:sz="4" w:space="0"/>
              <w:right w:val="single" w:color="auto" w:sz="4" w:space="0"/>
            </w:tcBorders>
            <w:vAlign w:val="center"/>
          </w:tcPr>
          <w:p w14:paraId="76E6F29B">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道路通达度</w:t>
            </w:r>
          </w:p>
        </w:tc>
        <w:tc>
          <w:tcPr>
            <w:tcW w:w="968" w:type="pct"/>
            <w:tcBorders>
              <w:top w:val="nil"/>
              <w:left w:val="nil"/>
              <w:bottom w:val="single" w:color="auto" w:sz="4" w:space="0"/>
              <w:right w:val="single" w:color="auto" w:sz="4" w:space="0"/>
            </w:tcBorders>
            <w:vAlign w:val="center"/>
          </w:tcPr>
          <w:p w14:paraId="668EB43A">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周边500米内有城市次干道——福源路</w:t>
            </w:r>
          </w:p>
        </w:tc>
        <w:tc>
          <w:tcPr>
            <w:tcW w:w="1844" w:type="dxa"/>
            <w:tcBorders>
              <w:top w:val="nil"/>
              <w:left w:val="nil"/>
              <w:bottom w:val="single" w:color="auto" w:sz="4" w:space="0"/>
              <w:right w:val="single" w:color="auto" w:sz="4" w:space="0"/>
            </w:tcBorders>
            <w:vAlign w:val="center"/>
          </w:tcPr>
          <w:p w14:paraId="6DD01EFE">
            <w:pPr>
              <w:widowControl/>
              <w:adjustRightInd/>
              <w:spacing w:line="240" w:lineRule="auto"/>
              <w:jc w:val="center"/>
              <w:textAlignment w:val="auto"/>
              <w:rPr>
                <w:rFonts w:hint="default" w:ascii="Arial" w:hAnsi="Arial" w:eastAsia="宋体" w:cs="Arial"/>
                <w:sz w:val="16"/>
                <w:szCs w:val="18"/>
                <w:highlight w:val="none"/>
                <w:lang w:val="en-US" w:eastAsia="zh-CN"/>
              </w:rPr>
            </w:pPr>
            <w:r>
              <w:rPr>
                <w:rFonts w:hint="eastAsia" w:ascii="Arial" w:hAnsi="Arial" w:cs="Arial"/>
                <w:sz w:val="16"/>
                <w:szCs w:val="18"/>
                <w:highlight w:val="none"/>
              </w:rPr>
              <w:t>周边500米内有城市次干道——</w:t>
            </w:r>
            <w:r>
              <w:rPr>
                <w:rFonts w:hint="eastAsia" w:ascii="Arial" w:hAnsi="Arial" w:cs="Arial"/>
                <w:sz w:val="16"/>
                <w:szCs w:val="18"/>
                <w:highlight w:val="none"/>
                <w:lang w:val="en-US" w:eastAsia="zh-CN"/>
              </w:rPr>
              <w:t>采凤路</w:t>
            </w:r>
          </w:p>
        </w:tc>
        <w:tc>
          <w:tcPr>
            <w:tcW w:w="1844" w:type="dxa"/>
            <w:tcBorders>
              <w:top w:val="nil"/>
              <w:left w:val="nil"/>
              <w:bottom w:val="single" w:color="auto" w:sz="4" w:space="0"/>
              <w:right w:val="single" w:color="auto" w:sz="4" w:space="0"/>
            </w:tcBorders>
            <w:vAlign w:val="center"/>
          </w:tcPr>
          <w:p w14:paraId="13F4DCDD">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周边500米内有城市次干道——福源路</w:t>
            </w:r>
          </w:p>
        </w:tc>
        <w:tc>
          <w:tcPr>
            <w:tcW w:w="1847" w:type="dxa"/>
            <w:tcBorders>
              <w:top w:val="nil"/>
              <w:left w:val="nil"/>
              <w:bottom w:val="single" w:color="auto" w:sz="4" w:space="0"/>
              <w:right w:val="single" w:color="auto" w:sz="4" w:space="0"/>
            </w:tcBorders>
            <w:vAlign w:val="center"/>
          </w:tcPr>
          <w:p w14:paraId="15B729EC">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周边500米内有城市次干道——</w:t>
            </w:r>
            <w:r>
              <w:rPr>
                <w:rFonts w:hint="eastAsia" w:ascii="Arial" w:hAnsi="Arial" w:cs="Arial"/>
                <w:sz w:val="16"/>
                <w:szCs w:val="18"/>
                <w:highlight w:val="none"/>
                <w:lang w:val="en-US" w:eastAsia="zh-CN"/>
              </w:rPr>
              <w:t>采凤路</w:t>
            </w:r>
          </w:p>
        </w:tc>
      </w:tr>
      <w:tr w14:paraId="3E6E4656">
        <w:tblPrEx>
          <w:tblCellMar>
            <w:top w:w="0" w:type="dxa"/>
            <w:left w:w="108" w:type="dxa"/>
            <w:bottom w:w="0" w:type="dxa"/>
            <w:right w:w="108" w:type="dxa"/>
          </w:tblCellMar>
        </w:tblPrEx>
        <w:trPr>
          <w:trHeight w:val="397" w:hRule="atLeast"/>
          <w:jc w:val="center"/>
        </w:trPr>
        <w:tc>
          <w:tcPr>
            <w:tcW w:w="363" w:type="pct"/>
            <w:vMerge w:val="continue"/>
            <w:tcBorders>
              <w:top w:val="nil"/>
              <w:left w:val="single" w:color="auto" w:sz="4" w:space="0"/>
              <w:bottom w:val="single" w:color="000000" w:sz="4" w:space="0"/>
              <w:right w:val="single" w:color="auto" w:sz="4" w:space="0"/>
            </w:tcBorders>
            <w:vAlign w:val="center"/>
          </w:tcPr>
          <w:p w14:paraId="53188B78">
            <w:pPr>
              <w:widowControl/>
              <w:adjustRightInd/>
              <w:spacing w:line="240" w:lineRule="auto"/>
              <w:jc w:val="center"/>
              <w:textAlignment w:val="auto"/>
              <w:rPr>
                <w:rFonts w:ascii="Arial" w:hAnsi="Arial" w:cs="Arial"/>
                <w:sz w:val="16"/>
                <w:szCs w:val="18"/>
                <w:highlight w:val="none"/>
              </w:rPr>
            </w:pPr>
          </w:p>
        </w:tc>
        <w:tc>
          <w:tcPr>
            <w:tcW w:w="758" w:type="pct"/>
            <w:tcBorders>
              <w:top w:val="nil"/>
              <w:left w:val="nil"/>
              <w:bottom w:val="single" w:color="auto" w:sz="4" w:space="0"/>
              <w:right w:val="single" w:color="auto" w:sz="4" w:space="0"/>
            </w:tcBorders>
            <w:vAlign w:val="center"/>
          </w:tcPr>
          <w:p w14:paraId="5BB41225">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距离轨道交通站点距离</w:t>
            </w:r>
          </w:p>
        </w:tc>
        <w:tc>
          <w:tcPr>
            <w:tcW w:w="968" w:type="pct"/>
            <w:tcBorders>
              <w:top w:val="nil"/>
              <w:left w:val="nil"/>
              <w:bottom w:val="single" w:color="auto" w:sz="4" w:space="0"/>
              <w:right w:val="single" w:color="auto" w:sz="4" w:space="0"/>
            </w:tcBorders>
            <w:vAlign w:val="center"/>
          </w:tcPr>
          <w:p w14:paraId="5986C2AA">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周边2公里范围内无轨道交通站点</w:t>
            </w:r>
          </w:p>
        </w:tc>
        <w:tc>
          <w:tcPr>
            <w:tcW w:w="1844" w:type="dxa"/>
            <w:tcBorders>
              <w:top w:val="nil"/>
              <w:left w:val="nil"/>
              <w:bottom w:val="single" w:color="auto" w:sz="4" w:space="0"/>
              <w:right w:val="single" w:color="auto" w:sz="4" w:space="0"/>
            </w:tcBorders>
            <w:vAlign w:val="center"/>
          </w:tcPr>
          <w:p w14:paraId="5B5B761B">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周边2公里范围内无轨道交通站点</w:t>
            </w:r>
          </w:p>
        </w:tc>
        <w:tc>
          <w:tcPr>
            <w:tcW w:w="1844" w:type="dxa"/>
            <w:tcBorders>
              <w:top w:val="nil"/>
              <w:left w:val="nil"/>
              <w:bottom w:val="single" w:color="auto" w:sz="4" w:space="0"/>
              <w:right w:val="single" w:color="auto" w:sz="4" w:space="0"/>
            </w:tcBorders>
            <w:vAlign w:val="center"/>
          </w:tcPr>
          <w:p w14:paraId="194068CD">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周边2公里范围内无轨道交通站点</w:t>
            </w:r>
          </w:p>
        </w:tc>
        <w:tc>
          <w:tcPr>
            <w:tcW w:w="1847" w:type="dxa"/>
            <w:tcBorders>
              <w:top w:val="nil"/>
              <w:left w:val="nil"/>
              <w:bottom w:val="single" w:color="auto" w:sz="4" w:space="0"/>
              <w:right w:val="single" w:color="auto" w:sz="4" w:space="0"/>
            </w:tcBorders>
            <w:vAlign w:val="center"/>
          </w:tcPr>
          <w:p w14:paraId="01FB840A">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周边2公里范围内无轨道交通站点</w:t>
            </w:r>
          </w:p>
        </w:tc>
      </w:tr>
      <w:tr w14:paraId="7FAD2B45">
        <w:tblPrEx>
          <w:tblCellMar>
            <w:top w:w="0" w:type="dxa"/>
            <w:left w:w="108" w:type="dxa"/>
            <w:bottom w:w="0" w:type="dxa"/>
            <w:right w:w="108" w:type="dxa"/>
          </w:tblCellMar>
        </w:tblPrEx>
        <w:trPr>
          <w:trHeight w:val="397" w:hRule="atLeast"/>
          <w:jc w:val="center"/>
        </w:trPr>
        <w:tc>
          <w:tcPr>
            <w:tcW w:w="363" w:type="pct"/>
            <w:vMerge w:val="continue"/>
            <w:tcBorders>
              <w:top w:val="nil"/>
              <w:left w:val="single" w:color="auto" w:sz="4" w:space="0"/>
              <w:bottom w:val="single" w:color="000000" w:sz="4" w:space="0"/>
              <w:right w:val="single" w:color="auto" w:sz="4" w:space="0"/>
            </w:tcBorders>
            <w:vAlign w:val="center"/>
          </w:tcPr>
          <w:p w14:paraId="1769B050">
            <w:pPr>
              <w:widowControl/>
              <w:adjustRightInd/>
              <w:spacing w:line="240" w:lineRule="auto"/>
              <w:jc w:val="center"/>
              <w:textAlignment w:val="auto"/>
              <w:rPr>
                <w:rFonts w:ascii="Arial" w:hAnsi="Arial" w:cs="Arial"/>
                <w:sz w:val="16"/>
                <w:szCs w:val="18"/>
                <w:highlight w:val="none"/>
              </w:rPr>
            </w:pPr>
          </w:p>
        </w:tc>
        <w:tc>
          <w:tcPr>
            <w:tcW w:w="758" w:type="pct"/>
            <w:tcBorders>
              <w:top w:val="nil"/>
              <w:left w:val="nil"/>
              <w:bottom w:val="single" w:color="auto" w:sz="4" w:space="0"/>
              <w:right w:val="single" w:color="auto" w:sz="4" w:space="0"/>
            </w:tcBorders>
            <w:vAlign w:val="center"/>
          </w:tcPr>
          <w:p w14:paraId="37B98424">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距离公交站点距离</w:t>
            </w:r>
          </w:p>
        </w:tc>
        <w:tc>
          <w:tcPr>
            <w:tcW w:w="968" w:type="pct"/>
            <w:tcBorders>
              <w:top w:val="nil"/>
              <w:left w:val="nil"/>
              <w:bottom w:val="single" w:color="auto" w:sz="4" w:space="0"/>
              <w:right w:val="single" w:color="auto" w:sz="4" w:space="0"/>
            </w:tcBorders>
            <w:vAlign w:val="center"/>
          </w:tcPr>
          <w:p w14:paraId="1C808BB7">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周边1公里内有926路、955路、兴20路、兴32路、兴43路、兴940路等公交线路途径并设立站点，综合评价交通便捷度一般</w:t>
            </w:r>
          </w:p>
        </w:tc>
        <w:tc>
          <w:tcPr>
            <w:tcW w:w="1844" w:type="dxa"/>
            <w:tcBorders>
              <w:top w:val="nil"/>
              <w:left w:val="nil"/>
              <w:bottom w:val="single" w:color="auto" w:sz="4" w:space="0"/>
              <w:right w:val="single" w:color="auto" w:sz="4" w:space="0"/>
            </w:tcBorders>
            <w:vAlign w:val="center"/>
          </w:tcPr>
          <w:p w14:paraId="1D949690">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周边1公里内有926路、955路、兴20路、兴32路、兴43路、兴940路等公交线路途径并设立站点，综合评价交通便捷度一般</w:t>
            </w:r>
          </w:p>
        </w:tc>
        <w:tc>
          <w:tcPr>
            <w:tcW w:w="1844" w:type="dxa"/>
            <w:tcBorders>
              <w:top w:val="nil"/>
              <w:left w:val="nil"/>
              <w:bottom w:val="single" w:color="auto" w:sz="4" w:space="0"/>
              <w:right w:val="single" w:color="auto" w:sz="4" w:space="0"/>
            </w:tcBorders>
            <w:vAlign w:val="center"/>
          </w:tcPr>
          <w:p w14:paraId="1043F6B8">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周边1公里内有926路、955路、兴20路、兴32路、兴43路、兴940路等公交线路途径并设立站点，综合评价交通便捷度一般</w:t>
            </w:r>
          </w:p>
        </w:tc>
        <w:tc>
          <w:tcPr>
            <w:tcW w:w="1847" w:type="dxa"/>
            <w:tcBorders>
              <w:top w:val="nil"/>
              <w:left w:val="nil"/>
              <w:bottom w:val="single" w:color="auto" w:sz="4" w:space="0"/>
              <w:right w:val="single" w:color="auto" w:sz="4" w:space="0"/>
            </w:tcBorders>
            <w:vAlign w:val="center"/>
          </w:tcPr>
          <w:p w14:paraId="514B80B9">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周边1公里内有926路、955路、兴20路、兴32路、兴43路、兴940路等公交线路途径并设立站点，综合评价交通便捷度一般</w:t>
            </w:r>
          </w:p>
        </w:tc>
      </w:tr>
      <w:tr w14:paraId="1C1012FF">
        <w:tblPrEx>
          <w:tblCellMar>
            <w:top w:w="0" w:type="dxa"/>
            <w:left w:w="108" w:type="dxa"/>
            <w:bottom w:w="0" w:type="dxa"/>
            <w:right w:w="108" w:type="dxa"/>
          </w:tblCellMar>
        </w:tblPrEx>
        <w:trPr>
          <w:trHeight w:val="397" w:hRule="atLeast"/>
          <w:jc w:val="center"/>
        </w:trPr>
        <w:tc>
          <w:tcPr>
            <w:tcW w:w="363" w:type="pct"/>
            <w:vMerge w:val="continue"/>
            <w:tcBorders>
              <w:top w:val="nil"/>
              <w:left w:val="single" w:color="auto" w:sz="4" w:space="0"/>
              <w:bottom w:val="single" w:color="000000" w:sz="4" w:space="0"/>
              <w:right w:val="single" w:color="auto" w:sz="4" w:space="0"/>
            </w:tcBorders>
            <w:vAlign w:val="center"/>
          </w:tcPr>
          <w:p w14:paraId="2DBC1A08">
            <w:pPr>
              <w:widowControl/>
              <w:adjustRightInd/>
              <w:spacing w:line="240" w:lineRule="auto"/>
              <w:jc w:val="center"/>
              <w:textAlignment w:val="auto"/>
              <w:rPr>
                <w:rFonts w:ascii="Arial" w:hAnsi="Arial" w:cs="Arial"/>
                <w:sz w:val="16"/>
                <w:szCs w:val="18"/>
                <w:highlight w:val="none"/>
              </w:rPr>
            </w:pPr>
          </w:p>
        </w:tc>
        <w:tc>
          <w:tcPr>
            <w:tcW w:w="758" w:type="pct"/>
            <w:tcBorders>
              <w:top w:val="nil"/>
              <w:left w:val="nil"/>
              <w:bottom w:val="single" w:color="auto" w:sz="4" w:space="0"/>
              <w:right w:val="single" w:color="auto" w:sz="4" w:space="0"/>
            </w:tcBorders>
            <w:vAlign w:val="center"/>
          </w:tcPr>
          <w:p w14:paraId="2F9688A4">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环境质量优劣度</w:t>
            </w:r>
          </w:p>
        </w:tc>
        <w:tc>
          <w:tcPr>
            <w:tcW w:w="968" w:type="pct"/>
            <w:tcBorders>
              <w:top w:val="nil"/>
              <w:left w:val="nil"/>
              <w:bottom w:val="single" w:color="auto" w:sz="4" w:space="0"/>
              <w:right w:val="single" w:color="auto" w:sz="4" w:space="0"/>
            </w:tcBorders>
            <w:vAlign w:val="center"/>
          </w:tcPr>
          <w:p w14:paraId="328A6036">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周边5km内无污染源</w:t>
            </w:r>
          </w:p>
        </w:tc>
        <w:tc>
          <w:tcPr>
            <w:tcW w:w="968" w:type="pct"/>
            <w:tcBorders>
              <w:top w:val="nil"/>
              <w:left w:val="nil"/>
              <w:bottom w:val="single" w:color="auto" w:sz="4" w:space="0"/>
              <w:right w:val="single" w:color="auto" w:sz="4" w:space="0"/>
            </w:tcBorders>
            <w:vAlign w:val="center"/>
          </w:tcPr>
          <w:p w14:paraId="7721EEBC">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周边5km内无污染源</w:t>
            </w:r>
          </w:p>
        </w:tc>
        <w:tc>
          <w:tcPr>
            <w:tcW w:w="968" w:type="pct"/>
            <w:tcBorders>
              <w:top w:val="nil"/>
              <w:left w:val="nil"/>
              <w:bottom w:val="single" w:color="auto" w:sz="4" w:space="0"/>
              <w:right w:val="single" w:color="auto" w:sz="4" w:space="0"/>
            </w:tcBorders>
            <w:vAlign w:val="center"/>
          </w:tcPr>
          <w:p w14:paraId="4E15BF3A">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周边5km内无污染源</w:t>
            </w:r>
          </w:p>
        </w:tc>
        <w:tc>
          <w:tcPr>
            <w:tcW w:w="970" w:type="pct"/>
            <w:tcBorders>
              <w:top w:val="nil"/>
              <w:left w:val="nil"/>
              <w:bottom w:val="single" w:color="auto" w:sz="4" w:space="0"/>
              <w:right w:val="single" w:color="auto" w:sz="4" w:space="0"/>
            </w:tcBorders>
            <w:vAlign w:val="center"/>
          </w:tcPr>
          <w:p w14:paraId="50062CC3">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周边5km内无污染源</w:t>
            </w:r>
          </w:p>
        </w:tc>
      </w:tr>
      <w:tr w14:paraId="790B336C">
        <w:tblPrEx>
          <w:tblCellMar>
            <w:top w:w="0" w:type="dxa"/>
            <w:left w:w="108" w:type="dxa"/>
            <w:bottom w:w="0" w:type="dxa"/>
            <w:right w:w="108" w:type="dxa"/>
          </w:tblCellMar>
        </w:tblPrEx>
        <w:trPr>
          <w:trHeight w:val="397" w:hRule="atLeast"/>
          <w:jc w:val="center"/>
        </w:trPr>
        <w:tc>
          <w:tcPr>
            <w:tcW w:w="363" w:type="pct"/>
            <w:vMerge w:val="continue"/>
            <w:tcBorders>
              <w:top w:val="nil"/>
              <w:left w:val="single" w:color="auto" w:sz="4" w:space="0"/>
              <w:bottom w:val="single" w:color="000000" w:sz="4" w:space="0"/>
              <w:right w:val="single" w:color="auto" w:sz="4" w:space="0"/>
            </w:tcBorders>
            <w:vAlign w:val="center"/>
          </w:tcPr>
          <w:p w14:paraId="47896441">
            <w:pPr>
              <w:widowControl/>
              <w:adjustRightInd/>
              <w:spacing w:line="240" w:lineRule="auto"/>
              <w:jc w:val="center"/>
              <w:textAlignment w:val="auto"/>
              <w:rPr>
                <w:rFonts w:ascii="Arial" w:hAnsi="Arial" w:cs="Arial"/>
                <w:sz w:val="16"/>
                <w:szCs w:val="18"/>
                <w:highlight w:val="none"/>
              </w:rPr>
            </w:pPr>
          </w:p>
        </w:tc>
        <w:tc>
          <w:tcPr>
            <w:tcW w:w="758" w:type="pct"/>
            <w:tcBorders>
              <w:top w:val="nil"/>
              <w:left w:val="nil"/>
              <w:bottom w:val="single" w:color="auto" w:sz="4" w:space="0"/>
              <w:right w:val="single" w:color="auto" w:sz="4" w:space="0"/>
            </w:tcBorders>
            <w:vAlign w:val="center"/>
          </w:tcPr>
          <w:p w14:paraId="6600F10B">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自然及人文环境</w:t>
            </w:r>
          </w:p>
        </w:tc>
        <w:tc>
          <w:tcPr>
            <w:tcW w:w="968" w:type="pct"/>
            <w:tcBorders>
              <w:top w:val="nil"/>
              <w:left w:val="nil"/>
              <w:bottom w:val="single" w:color="auto" w:sz="4" w:space="0"/>
              <w:right w:val="single" w:color="auto" w:sz="4" w:space="0"/>
            </w:tcBorders>
            <w:vAlign w:val="center"/>
          </w:tcPr>
          <w:p w14:paraId="78C9501E">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估价对象2公里周边有采育公园、凤河等自然景观，自然与人文环境</w:t>
            </w:r>
            <w:r>
              <w:rPr>
                <w:rFonts w:hint="eastAsia" w:ascii="Arial" w:hAnsi="Arial" w:cs="Arial"/>
                <w:sz w:val="16"/>
                <w:szCs w:val="18"/>
                <w:highlight w:val="none"/>
                <w:lang w:val="en-US" w:eastAsia="zh-CN"/>
              </w:rPr>
              <w:t>一般</w:t>
            </w:r>
            <w:r>
              <w:rPr>
                <w:rFonts w:hint="eastAsia" w:ascii="Arial" w:hAnsi="Arial" w:cs="Arial"/>
                <w:sz w:val="16"/>
                <w:szCs w:val="18"/>
                <w:highlight w:val="none"/>
              </w:rPr>
              <w:t>。</w:t>
            </w:r>
          </w:p>
        </w:tc>
        <w:tc>
          <w:tcPr>
            <w:tcW w:w="968" w:type="pct"/>
            <w:tcBorders>
              <w:top w:val="nil"/>
              <w:left w:val="nil"/>
              <w:bottom w:val="single" w:color="auto" w:sz="4" w:space="0"/>
              <w:right w:val="single" w:color="auto" w:sz="4" w:space="0"/>
            </w:tcBorders>
            <w:vAlign w:val="center"/>
          </w:tcPr>
          <w:p w14:paraId="43BC6556">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周边有采育公园、凤河等自然景观，自然与人文环境</w:t>
            </w:r>
            <w:r>
              <w:rPr>
                <w:rFonts w:hint="eastAsia" w:ascii="Arial" w:hAnsi="Arial" w:cs="Arial"/>
                <w:sz w:val="16"/>
                <w:szCs w:val="18"/>
                <w:highlight w:val="none"/>
                <w:lang w:val="en-US" w:eastAsia="zh-CN"/>
              </w:rPr>
              <w:t>一般</w:t>
            </w:r>
            <w:r>
              <w:rPr>
                <w:rFonts w:hint="eastAsia" w:ascii="Arial" w:hAnsi="Arial" w:cs="Arial"/>
                <w:sz w:val="16"/>
                <w:szCs w:val="18"/>
                <w:highlight w:val="none"/>
              </w:rPr>
              <w:t>。</w:t>
            </w:r>
          </w:p>
        </w:tc>
        <w:tc>
          <w:tcPr>
            <w:tcW w:w="968" w:type="pct"/>
            <w:tcBorders>
              <w:top w:val="nil"/>
              <w:left w:val="nil"/>
              <w:bottom w:val="single" w:color="auto" w:sz="4" w:space="0"/>
              <w:right w:val="single" w:color="auto" w:sz="4" w:space="0"/>
            </w:tcBorders>
            <w:vAlign w:val="center"/>
          </w:tcPr>
          <w:p w14:paraId="08C51185">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周边有采育公园、凤河等自然景观，自然与人文环境</w:t>
            </w:r>
            <w:r>
              <w:rPr>
                <w:rFonts w:hint="eastAsia" w:ascii="Arial" w:hAnsi="Arial" w:cs="Arial"/>
                <w:sz w:val="16"/>
                <w:szCs w:val="18"/>
                <w:highlight w:val="none"/>
                <w:lang w:val="en-US" w:eastAsia="zh-CN"/>
              </w:rPr>
              <w:t>一般</w:t>
            </w:r>
            <w:r>
              <w:rPr>
                <w:rFonts w:hint="eastAsia" w:ascii="Arial" w:hAnsi="Arial" w:cs="Arial"/>
                <w:sz w:val="16"/>
                <w:szCs w:val="18"/>
                <w:highlight w:val="none"/>
              </w:rPr>
              <w:t>。</w:t>
            </w:r>
          </w:p>
        </w:tc>
        <w:tc>
          <w:tcPr>
            <w:tcW w:w="970" w:type="pct"/>
            <w:tcBorders>
              <w:top w:val="nil"/>
              <w:left w:val="nil"/>
              <w:bottom w:val="single" w:color="auto" w:sz="4" w:space="0"/>
              <w:right w:val="single" w:color="auto" w:sz="4" w:space="0"/>
            </w:tcBorders>
            <w:vAlign w:val="center"/>
          </w:tcPr>
          <w:p w14:paraId="05FB7CCA">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周边有采育公园、凤河等自然景观，自然与人文环境</w:t>
            </w:r>
            <w:r>
              <w:rPr>
                <w:rFonts w:hint="eastAsia" w:ascii="Arial" w:hAnsi="Arial" w:cs="Arial"/>
                <w:sz w:val="16"/>
                <w:szCs w:val="18"/>
                <w:highlight w:val="none"/>
                <w:lang w:val="en-US" w:eastAsia="zh-CN"/>
              </w:rPr>
              <w:t>一般</w:t>
            </w:r>
            <w:r>
              <w:rPr>
                <w:rFonts w:hint="eastAsia" w:ascii="Arial" w:hAnsi="Arial" w:cs="Arial"/>
                <w:sz w:val="16"/>
                <w:szCs w:val="18"/>
                <w:highlight w:val="none"/>
              </w:rPr>
              <w:t>。</w:t>
            </w:r>
          </w:p>
        </w:tc>
      </w:tr>
      <w:tr w14:paraId="18EF89FF">
        <w:tblPrEx>
          <w:tblCellMar>
            <w:top w:w="0" w:type="dxa"/>
            <w:left w:w="108" w:type="dxa"/>
            <w:bottom w:w="0" w:type="dxa"/>
            <w:right w:w="108" w:type="dxa"/>
          </w:tblCellMar>
        </w:tblPrEx>
        <w:trPr>
          <w:trHeight w:val="397" w:hRule="atLeast"/>
          <w:jc w:val="center"/>
        </w:trPr>
        <w:tc>
          <w:tcPr>
            <w:tcW w:w="363" w:type="pct"/>
            <w:vMerge w:val="continue"/>
            <w:tcBorders>
              <w:top w:val="nil"/>
              <w:left w:val="single" w:color="auto" w:sz="4" w:space="0"/>
              <w:bottom w:val="single" w:color="000000" w:sz="4" w:space="0"/>
              <w:right w:val="single" w:color="auto" w:sz="4" w:space="0"/>
            </w:tcBorders>
            <w:vAlign w:val="center"/>
          </w:tcPr>
          <w:p w14:paraId="682F4911">
            <w:pPr>
              <w:widowControl/>
              <w:adjustRightInd/>
              <w:spacing w:line="240" w:lineRule="auto"/>
              <w:jc w:val="center"/>
              <w:textAlignment w:val="auto"/>
              <w:rPr>
                <w:rFonts w:ascii="Arial" w:hAnsi="Arial" w:cs="Arial"/>
                <w:sz w:val="16"/>
                <w:szCs w:val="18"/>
                <w:highlight w:val="none"/>
              </w:rPr>
            </w:pPr>
          </w:p>
        </w:tc>
        <w:tc>
          <w:tcPr>
            <w:tcW w:w="758" w:type="pct"/>
            <w:tcBorders>
              <w:top w:val="nil"/>
              <w:left w:val="nil"/>
              <w:bottom w:val="single" w:color="auto" w:sz="4" w:space="0"/>
              <w:right w:val="single" w:color="auto" w:sz="4" w:space="0"/>
            </w:tcBorders>
            <w:vAlign w:val="center"/>
          </w:tcPr>
          <w:p w14:paraId="12D2A730">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小区环境</w:t>
            </w:r>
          </w:p>
        </w:tc>
        <w:tc>
          <w:tcPr>
            <w:tcW w:w="968" w:type="pct"/>
            <w:tcBorders>
              <w:top w:val="nil"/>
              <w:left w:val="nil"/>
              <w:bottom w:val="single" w:color="auto" w:sz="4" w:space="0"/>
              <w:right w:val="single" w:color="auto" w:sz="4" w:space="0"/>
            </w:tcBorders>
            <w:vAlign w:val="center"/>
          </w:tcPr>
          <w:p w14:paraId="6C725705">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小区道路整洁、绿化率高、有景观设计、人车分流</w:t>
            </w:r>
          </w:p>
        </w:tc>
        <w:tc>
          <w:tcPr>
            <w:tcW w:w="968" w:type="pct"/>
            <w:tcBorders>
              <w:top w:val="nil"/>
              <w:left w:val="nil"/>
              <w:bottom w:val="single" w:color="auto" w:sz="4" w:space="0"/>
              <w:right w:val="single" w:color="auto" w:sz="4" w:space="0"/>
            </w:tcBorders>
            <w:vAlign w:val="center"/>
          </w:tcPr>
          <w:p w14:paraId="056F7E56">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小区道路整洁、绿化率高、有景观设计、人车分流</w:t>
            </w:r>
          </w:p>
        </w:tc>
        <w:tc>
          <w:tcPr>
            <w:tcW w:w="968" w:type="pct"/>
            <w:tcBorders>
              <w:top w:val="nil"/>
              <w:left w:val="nil"/>
              <w:bottom w:val="single" w:color="auto" w:sz="4" w:space="0"/>
              <w:right w:val="single" w:color="auto" w:sz="4" w:space="0"/>
            </w:tcBorders>
            <w:vAlign w:val="center"/>
          </w:tcPr>
          <w:p w14:paraId="4FF617CB">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小区道路整洁、绿化率高、有景观设计、人车分流</w:t>
            </w:r>
          </w:p>
        </w:tc>
        <w:tc>
          <w:tcPr>
            <w:tcW w:w="970" w:type="pct"/>
            <w:tcBorders>
              <w:top w:val="nil"/>
              <w:left w:val="nil"/>
              <w:bottom w:val="single" w:color="auto" w:sz="4" w:space="0"/>
              <w:right w:val="single" w:color="auto" w:sz="4" w:space="0"/>
            </w:tcBorders>
            <w:vAlign w:val="center"/>
          </w:tcPr>
          <w:p w14:paraId="164C0E00">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小区道路整洁、绿化率高、有景观设计、人车分流</w:t>
            </w:r>
          </w:p>
        </w:tc>
      </w:tr>
      <w:tr w14:paraId="78B34645">
        <w:tblPrEx>
          <w:tblCellMar>
            <w:top w:w="0" w:type="dxa"/>
            <w:left w:w="108" w:type="dxa"/>
            <w:bottom w:w="0" w:type="dxa"/>
            <w:right w:w="108" w:type="dxa"/>
          </w:tblCellMar>
        </w:tblPrEx>
        <w:trPr>
          <w:trHeight w:val="397" w:hRule="atLeast"/>
          <w:jc w:val="center"/>
        </w:trPr>
        <w:tc>
          <w:tcPr>
            <w:tcW w:w="363" w:type="pct"/>
            <w:vMerge w:val="continue"/>
            <w:tcBorders>
              <w:top w:val="nil"/>
              <w:left w:val="single" w:color="auto" w:sz="4" w:space="0"/>
              <w:bottom w:val="single" w:color="000000" w:sz="4" w:space="0"/>
              <w:right w:val="single" w:color="auto" w:sz="4" w:space="0"/>
            </w:tcBorders>
            <w:vAlign w:val="center"/>
          </w:tcPr>
          <w:p w14:paraId="59F54019">
            <w:pPr>
              <w:widowControl/>
              <w:adjustRightInd/>
              <w:spacing w:line="240" w:lineRule="auto"/>
              <w:jc w:val="center"/>
              <w:textAlignment w:val="auto"/>
              <w:rPr>
                <w:rFonts w:ascii="Arial" w:hAnsi="Arial" w:cs="Arial"/>
                <w:sz w:val="16"/>
                <w:szCs w:val="18"/>
                <w:highlight w:val="none"/>
              </w:rPr>
            </w:pPr>
          </w:p>
        </w:tc>
        <w:tc>
          <w:tcPr>
            <w:tcW w:w="758" w:type="pct"/>
            <w:tcBorders>
              <w:top w:val="nil"/>
              <w:left w:val="nil"/>
              <w:bottom w:val="single" w:color="auto" w:sz="4" w:space="0"/>
              <w:right w:val="single" w:color="auto" w:sz="4" w:space="0"/>
            </w:tcBorders>
            <w:vAlign w:val="center"/>
          </w:tcPr>
          <w:p w14:paraId="4346A5E2">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公共服务设施状况</w:t>
            </w:r>
          </w:p>
        </w:tc>
        <w:tc>
          <w:tcPr>
            <w:tcW w:w="968" w:type="pct"/>
            <w:tcBorders>
              <w:top w:val="nil"/>
              <w:left w:val="nil"/>
              <w:bottom w:val="single" w:color="auto" w:sz="4" w:space="0"/>
              <w:right w:val="single" w:color="auto" w:sz="4" w:space="0"/>
            </w:tcBorders>
            <w:vAlign w:val="center"/>
          </w:tcPr>
          <w:p w14:paraId="2E235589">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周边2公里范围内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p>
        </w:tc>
        <w:tc>
          <w:tcPr>
            <w:tcW w:w="968" w:type="pct"/>
            <w:tcBorders>
              <w:top w:val="nil"/>
              <w:left w:val="nil"/>
              <w:bottom w:val="single" w:color="auto" w:sz="4" w:space="0"/>
              <w:right w:val="single" w:color="auto" w:sz="4" w:space="0"/>
            </w:tcBorders>
            <w:vAlign w:val="center"/>
          </w:tcPr>
          <w:p w14:paraId="6D56171E">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周边2公里范围内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p>
        </w:tc>
        <w:tc>
          <w:tcPr>
            <w:tcW w:w="968" w:type="pct"/>
            <w:tcBorders>
              <w:top w:val="nil"/>
              <w:left w:val="nil"/>
              <w:bottom w:val="single" w:color="auto" w:sz="4" w:space="0"/>
              <w:right w:val="single" w:color="auto" w:sz="4" w:space="0"/>
            </w:tcBorders>
            <w:vAlign w:val="center"/>
          </w:tcPr>
          <w:p w14:paraId="3D93C438">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周边2公里范围内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p>
        </w:tc>
        <w:tc>
          <w:tcPr>
            <w:tcW w:w="970" w:type="pct"/>
            <w:tcBorders>
              <w:top w:val="nil"/>
              <w:left w:val="nil"/>
              <w:bottom w:val="single" w:color="auto" w:sz="4" w:space="0"/>
              <w:right w:val="single" w:color="auto" w:sz="4" w:space="0"/>
            </w:tcBorders>
            <w:vAlign w:val="center"/>
          </w:tcPr>
          <w:p w14:paraId="3115FAB7">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周边2公里范围内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p>
        </w:tc>
      </w:tr>
      <w:tr w14:paraId="1149770E">
        <w:tblPrEx>
          <w:tblCellMar>
            <w:top w:w="0" w:type="dxa"/>
            <w:left w:w="108" w:type="dxa"/>
            <w:bottom w:w="0" w:type="dxa"/>
            <w:right w:w="108" w:type="dxa"/>
          </w:tblCellMar>
        </w:tblPrEx>
        <w:trPr>
          <w:trHeight w:val="397" w:hRule="atLeast"/>
          <w:jc w:val="center"/>
        </w:trPr>
        <w:tc>
          <w:tcPr>
            <w:tcW w:w="363" w:type="pct"/>
            <w:vMerge w:val="continue"/>
            <w:tcBorders>
              <w:top w:val="nil"/>
              <w:left w:val="single" w:color="auto" w:sz="4" w:space="0"/>
              <w:bottom w:val="single" w:color="000000" w:sz="4" w:space="0"/>
              <w:right w:val="single" w:color="auto" w:sz="4" w:space="0"/>
            </w:tcBorders>
            <w:vAlign w:val="center"/>
          </w:tcPr>
          <w:p w14:paraId="0F0C61C9">
            <w:pPr>
              <w:widowControl/>
              <w:adjustRightInd/>
              <w:spacing w:line="240" w:lineRule="auto"/>
              <w:jc w:val="center"/>
              <w:textAlignment w:val="auto"/>
              <w:rPr>
                <w:rFonts w:ascii="Arial" w:hAnsi="Arial" w:cs="Arial"/>
                <w:sz w:val="16"/>
                <w:szCs w:val="18"/>
                <w:highlight w:val="none"/>
              </w:rPr>
            </w:pPr>
          </w:p>
        </w:tc>
        <w:tc>
          <w:tcPr>
            <w:tcW w:w="758" w:type="pct"/>
            <w:tcBorders>
              <w:top w:val="nil"/>
              <w:left w:val="nil"/>
              <w:bottom w:val="single" w:color="auto" w:sz="4" w:space="0"/>
              <w:right w:val="single" w:color="auto" w:sz="4" w:space="0"/>
            </w:tcBorders>
            <w:vAlign w:val="center"/>
          </w:tcPr>
          <w:p w14:paraId="2D30B6A6">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lang w:val="en-US" w:eastAsia="zh-CN"/>
              </w:rPr>
              <w:t>建筑类型</w:t>
            </w:r>
          </w:p>
        </w:tc>
        <w:tc>
          <w:tcPr>
            <w:tcW w:w="968" w:type="pct"/>
            <w:tcBorders>
              <w:top w:val="nil"/>
              <w:left w:val="nil"/>
              <w:bottom w:val="single" w:color="auto" w:sz="4" w:space="0"/>
              <w:right w:val="single" w:color="auto" w:sz="4" w:space="0"/>
            </w:tcBorders>
            <w:vAlign w:val="center"/>
          </w:tcPr>
          <w:p w14:paraId="4FB0D503">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lang w:val="en-US" w:eastAsia="zh-CN"/>
              </w:rPr>
              <w:t>高层板楼</w:t>
            </w:r>
          </w:p>
        </w:tc>
        <w:tc>
          <w:tcPr>
            <w:tcW w:w="968" w:type="pct"/>
            <w:tcBorders>
              <w:top w:val="nil"/>
              <w:left w:val="nil"/>
              <w:bottom w:val="single" w:color="auto" w:sz="4" w:space="0"/>
              <w:right w:val="single" w:color="auto" w:sz="4" w:space="0"/>
            </w:tcBorders>
            <w:vAlign w:val="center"/>
          </w:tcPr>
          <w:p w14:paraId="5FB28D66">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lang w:val="en-US" w:eastAsia="zh-CN"/>
              </w:rPr>
              <w:t>多层板楼</w:t>
            </w:r>
          </w:p>
        </w:tc>
        <w:tc>
          <w:tcPr>
            <w:tcW w:w="968" w:type="pct"/>
            <w:tcBorders>
              <w:top w:val="nil"/>
              <w:left w:val="nil"/>
              <w:bottom w:val="single" w:color="auto" w:sz="4" w:space="0"/>
              <w:right w:val="single" w:color="auto" w:sz="4" w:space="0"/>
            </w:tcBorders>
            <w:vAlign w:val="center"/>
          </w:tcPr>
          <w:p w14:paraId="71F89997">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lang w:val="en-US" w:eastAsia="zh-CN"/>
              </w:rPr>
              <w:t>多层板楼</w:t>
            </w:r>
          </w:p>
        </w:tc>
        <w:tc>
          <w:tcPr>
            <w:tcW w:w="970" w:type="pct"/>
            <w:tcBorders>
              <w:top w:val="nil"/>
              <w:left w:val="nil"/>
              <w:bottom w:val="single" w:color="auto" w:sz="4" w:space="0"/>
              <w:right w:val="single" w:color="auto" w:sz="4" w:space="0"/>
            </w:tcBorders>
            <w:vAlign w:val="center"/>
          </w:tcPr>
          <w:p w14:paraId="021775AB">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lang w:val="en-US" w:eastAsia="zh-CN"/>
              </w:rPr>
              <w:t>多层板楼</w:t>
            </w:r>
          </w:p>
        </w:tc>
      </w:tr>
      <w:tr w14:paraId="268DA28A">
        <w:tblPrEx>
          <w:tblCellMar>
            <w:top w:w="0" w:type="dxa"/>
            <w:left w:w="108" w:type="dxa"/>
            <w:bottom w:w="0" w:type="dxa"/>
            <w:right w:w="108" w:type="dxa"/>
          </w:tblCellMar>
        </w:tblPrEx>
        <w:trPr>
          <w:trHeight w:val="397" w:hRule="atLeast"/>
          <w:jc w:val="center"/>
        </w:trPr>
        <w:tc>
          <w:tcPr>
            <w:tcW w:w="363" w:type="pct"/>
            <w:vMerge w:val="continue"/>
            <w:tcBorders>
              <w:top w:val="nil"/>
              <w:left w:val="single" w:color="auto" w:sz="4" w:space="0"/>
              <w:bottom w:val="single" w:color="000000" w:sz="4" w:space="0"/>
              <w:right w:val="single" w:color="auto" w:sz="4" w:space="0"/>
            </w:tcBorders>
            <w:vAlign w:val="center"/>
          </w:tcPr>
          <w:p w14:paraId="17F64C13">
            <w:pPr>
              <w:widowControl/>
              <w:adjustRightInd/>
              <w:spacing w:line="240" w:lineRule="auto"/>
              <w:jc w:val="center"/>
              <w:textAlignment w:val="auto"/>
              <w:rPr>
                <w:rFonts w:ascii="Arial" w:hAnsi="Arial" w:cs="Arial"/>
                <w:sz w:val="16"/>
                <w:szCs w:val="18"/>
                <w:highlight w:val="none"/>
              </w:rPr>
            </w:pPr>
          </w:p>
        </w:tc>
        <w:tc>
          <w:tcPr>
            <w:tcW w:w="758" w:type="pct"/>
            <w:tcBorders>
              <w:top w:val="nil"/>
              <w:left w:val="nil"/>
              <w:bottom w:val="single" w:color="auto" w:sz="4" w:space="0"/>
              <w:right w:val="single" w:color="auto" w:sz="4" w:space="0"/>
            </w:tcBorders>
            <w:vAlign w:val="center"/>
          </w:tcPr>
          <w:p w14:paraId="21850051">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楼层</w:t>
            </w:r>
          </w:p>
        </w:tc>
        <w:tc>
          <w:tcPr>
            <w:tcW w:w="968" w:type="pct"/>
            <w:tcBorders>
              <w:top w:val="nil"/>
              <w:left w:val="nil"/>
              <w:bottom w:val="single" w:color="auto" w:sz="4" w:space="0"/>
              <w:right w:val="single" w:color="auto" w:sz="4" w:space="0"/>
            </w:tcBorders>
            <w:vAlign w:val="center"/>
          </w:tcPr>
          <w:p w14:paraId="5D47BC76">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lang w:val="en-US" w:eastAsia="zh-CN"/>
              </w:rPr>
              <w:t>中</w:t>
            </w:r>
            <w:r>
              <w:rPr>
                <w:rFonts w:ascii="Arial" w:hAnsi="Arial" w:cs="Arial"/>
                <w:sz w:val="16"/>
                <w:szCs w:val="18"/>
                <w:highlight w:val="none"/>
              </w:rPr>
              <w:t>楼层</w:t>
            </w:r>
          </w:p>
        </w:tc>
        <w:tc>
          <w:tcPr>
            <w:tcW w:w="968" w:type="pct"/>
            <w:tcBorders>
              <w:top w:val="nil"/>
              <w:left w:val="nil"/>
              <w:bottom w:val="single" w:color="auto" w:sz="4" w:space="0"/>
              <w:right w:val="single" w:color="auto" w:sz="4" w:space="0"/>
            </w:tcBorders>
            <w:vAlign w:val="center"/>
          </w:tcPr>
          <w:p w14:paraId="60FF41FC">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lang w:val="en-US" w:eastAsia="zh-CN"/>
              </w:rPr>
              <w:t>低</w:t>
            </w:r>
            <w:r>
              <w:rPr>
                <w:rFonts w:ascii="Arial" w:hAnsi="Arial" w:cs="Arial"/>
                <w:sz w:val="16"/>
                <w:szCs w:val="18"/>
                <w:highlight w:val="none"/>
              </w:rPr>
              <w:t>楼层</w:t>
            </w:r>
          </w:p>
        </w:tc>
        <w:tc>
          <w:tcPr>
            <w:tcW w:w="968" w:type="pct"/>
            <w:tcBorders>
              <w:top w:val="nil"/>
              <w:left w:val="nil"/>
              <w:bottom w:val="single" w:color="auto" w:sz="4" w:space="0"/>
              <w:right w:val="single" w:color="auto" w:sz="4" w:space="0"/>
            </w:tcBorders>
            <w:vAlign w:val="center"/>
          </w:tcPr>
          <w:p w14:paraId="4ADB4053">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lang w:val="en-US" w:eastAsia="zh-CN"/>
              </w:rPr>
              <w:t>中</w:t>
            </w:r>
            <w:r>
              <w:rPr>
                <w:rFonts w:ascii="Arial" w:hAnsi="Arial" w:cs="Arial"/>
                <w:sz w:val="16"/>
                <w:szCs w:val="18"/>
                <w:highlight w:val="none"/>
              </w:rPr>
              <w:t>楼层</w:t>
            </w:r>
          </w:p>
        </w:tc>
        <w:tc>
          <w:tcPr>
            <w:tcW w:w="970" w:type="pct"/>
            <w:tcBorders>
              <w:top w:val="nil"/>
              <w:left w:val="nil"/>
              <w:bottom w:val="single" w:color="auto" w:sz="4" w:space="0"/>
              <w:right w:val="single" w:color="auto" w:sz="4" w:space="0"/>
            </w:tcBorders>
            <w:vAlign w:val="center"/>
          </w:tcPr>
          <w:p w14:paraId="3676AE8A">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lang w:val="en-US" w:eastAsia="zh-CN"/>
              </w:rPr>
              <w:t>低</w:t>
            </w:r>
            <w:r>
              <w:rPr>
                <w:rFonts w:ascii="Arial" w:hAnsi="Arial" w:cs="Arial"/>
                <w:sz w:val="16"/>
                <w:szCs w:val="18"/>
                <w:highlight w:val="none"/>
              </w:rPr>
              <w:t>楼层</w:t>
            </w:r>
          </w:p>
        </w:tc>
      </w:tr>
      <w:tr w14:paraId="56EF67E7">
        <w:tblPrEx>
          <w:tblCellMar>
            <w:top w:w="0" w:type="dxa"/>
            <w:left w:w="108" w:type="dxa"/>
            <w:bottom w:w="0" w:type="dxa"/>
            <w:right w:w="108" w:type="dxa"/>
          </w:tblCellMar>
        </w:tblPrEx>
        <w:trPr>
          <w:trHeight w:val="397" w:hRule="atLeast"/>
          <w:jc w:val="center"/>
        </w:trPr>
        <w:tc>
          <w:tcPr>
            <w:tcW w:w="363" w:type="pct"/>
            <w:vMerge w:val="continue"/>
            <w:tcBorders>
              <w:top w:val="nil"/>
              <w:left w:val="single" w:color="auto" w:sz="4" w:space="0"/>
              <w:bottom w:val="single" w:color="auto" w:sz="4" w:space="0"/>
              <w:right w:val="single" w:color="auto" w:sz="4" w:space="0"/>
            </w:tcBorders>
            <w:vAlign w:val="center"/>
          </w:tcPr>
          <w:p w14:paraId="187D6E14">
            <w:pPr>
              <w:widowControl/>
              <w:adjustRightInd/>
              <w:spacing w:line="240" w:lineRule="auto"/>
              <w:jc w:val="center"/>
              <w:textAlignment w:val="auto"/>
              <w:rPr>
                <w:rFonts w:ascii="Arial" w:hAnsi="Arial" w:cs="Arial"/>
                <w:sz w:val="16"/>
                <w:szCs w:val="18"/>
                <w:highlight w:val="none"/>
              </w:rPr>
            </w:pPr>
          </w:p>
        </w:tc>
        <w:tc>
          <w:tcPr>
            <w:tcW w:w="758" w:type="pct"/>
            <w:tcBorders>
              <w:top w:val="nil"/>
              <w:left w:val="nil"/>
              <w:bottom w:val="single" w:color="auto" w:sz="4" w:space="0"/>
              <w:right w:val="single" w:color="auto" w:sz="4" w:space="0"/>
            </w:tcBorders>
            <w:vAlign w:val="center"/>
          </w:tcPr>
          <w:p w14:paraId="2D614E19">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朝向</w:t>
            </w:r>
          </w:p>
        </w:tc>
        <w:tc>
          <w:tcPr>
            <w:tcW w:w="968" w:type="pct"/>
            <w:tcBorders>
              <w:top w:val="nil"/>
              <w:left w:val="nil"/>
              <w:bottom w:val="single" w:color="auto" w:sz="4" w:space="0"/>
              <w:right w:val="single" w:color="auto" w:sz="4" w:space="0"/>
            </w:tcBorders>
            <w:vAlign w:val="center"/>
          </w:tcPr>
          <w:p w14:paraId="19B93582">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lang w:val="en-US" w:eastAsia="zh-CN"/>
              </w:rPr>
              <w:t>南北</w:t>
            </w:r>
          </w:p>
        </w:tc>
        <w:tc>
          <w:tcPr>
            <w:tcW w:w="968" w:type="pct"/>
            <w:tcBorders>
              <w:top w:val="nil"/>
              <w:left w:val="nil"/>
              <w:bottom w:val="single" w:color="auto" w:sz="4" w:space="0"/>
              <w:right w:val="single" w:color="auto" w:sz="4" w:space="0"/>
            </w:tcBorders>
            <w:vAlign w:val="center"/>
          </w:tcPr>
          <w:p w14:paraId="6C8D9B55">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lang w:val="en-US" w:eastAsia="zh-CN"/>
              </w:rPr>
              <w:t>南北</w:t>
            </w:r>
          </w:p>
        </w:tc>
        <w:tc>
          <w:tcPr>
            <w:tcW w:w="968" w:type="pct"/>
            <w:tcBorders>
              <w:top w:val="nil"/>
              <w:left w:val="nil"/>
              <w:bottom w:val="single" w:color="auto" w:sz="4" w:space="0"/>
              <w:right w:val="single" w:color="auto" w:sz="4" w:space="0"/>
            </w:tcBorders>
            <w:vAlign w:val="center"/>
          </w:tcPr>
          <w:p w14:paraId="0AAFF09C">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lang w:val="en-US" w:eastAsia="zh-CN"/>
              </w:rPr>
              <w:t>南北</w:t>
            </w:r>
          </w:p>
        </w:tc>
        <w:tc>
          <w:tcPr>
            <w:tcW w:w="970" w:type="pct"/>
            <w:tcBorders>
              <w:top w:val="nil"/>
              <w:left w:val="nil"/>
              <w:bottom w:val="single" w:color="auto" w:sz="4" w:space="0"/>
              <w:right w:val="single" w:color="auto" w:sz="4" w:space="0"/>
            </w:tcBorders>
            <w:vAlign w:val="center"/>
          </w:tcPr>
          <w:p w14:paraId="3A9CE7A0">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lang w:val="en-US" w:eastAsia="zh-CN"/>
              </w:rPr>
              <w:t>南北</w:t>
            </w:r>
          </w:p>
        </w:tc>
      </w:tr>
      <w:tr w14:paraId="13CC91A4">
        <w:tblPrEx>
          <w:tblCellMar>
            <w:top w:w="0" w:type="dxa"/>
            <w:left w:w="108" w:type="dxa"/>
            <w:bottom w:w="0" w:type="dxa"/>
            <w:right w:w="108" w:type="dxa"/>
          </w:tblCellMar>
        </w:tblPrEx>
        <w:trPr>
          <w:trHeight w:val="397" w:hRule="atLeast"/>
          <w:jc w:val="center"/>
        </w:trPr>
        <w:tc>
          <w:tcPr>
            <w:tcW w:w="363" w:type="pct"/>
            <w:vMerge w:val="restart"/>
            <w:tcBorders>
              <w:top w:val="single" w:color="auto" w:sz="4" w:space="0"/>
              <w:left w:val="single" w:color="auto" w:sz="4" w:space="0"/>
              <w:bottom w:val="single" w:color="auto" w:sz="4" w:space="0"/>
              <w:right w:val="single" w:color="auto" w:sz="4" w:space="0"/>
            </w:tcBorders>
            <w:vAlign w:val="center"/>
          </w:tcPr>
          <w:p w14:paraId="45335955">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实物状况</w:t>
            </w:r>
          </w:p>
        </w:tc>
        <w:tc>
          <w:tcPr>
            <w:tcW w:w="758" w:type="pct"/>
            <w:tcBorders>
              <w:top w:val="single" w:color="auto" w:sz="4" w:space="0"/>
              <w:left w:val="nil"/>
              <w:bottom w:val="single" w:color="auto" w:sz="4" w:space="0"/>
              <w:right w:val="single" w:color="auto" w:sz="4" w:space="0"/>
            </w:tcBorders>
            <w:vAlign w:val="center"/>
          </w:tcPr>
          <w:p w14:paraId="486FF88D">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成新度</w:t>
            </w:r>
          </w:p>
        </w:tc>
        <w:tc>
          <w:tcPr>
            <w:tcW w:w="968" w:type="pct"/>
            <w:tcBorders>
              <w:top w:val="single" w:color="auto" w:sz="4" w:space="0"/>
              <w:left w:val="nil"/>
              <w:bottom w:val="single" w:color="auto" w:sz="4" w:space="0"/>
              <w:right w:val="single" w:color="auto" w:sz="4" w:space="0"/>
            </w:tcBorders>
            <w:vAlign w:val="center"/>
          </w:tcPr>
          <w:p w14:paraId="3F18586C">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lang w:val="en-US" w:eastAsia="zh-CN"/>
              </w:rPr>
              <w:t>8</w:t>
            </w:r>
            <w:r>
              <w:rPr>
                <w:rFonts w:ascii="Arial" w:hAnsi="Arial" w:cs="Arial"/>
                <w:sz w:val="16"/>
                <w:szCs w:val="18"/>
                <w:highlight w:val="none"/>
              </w:rPr>
              <w:t>0-</w:t>
            </w:r>
            <w:r>
              <w:rPr>
                <w:rFonts w:hint="eastAsia" w:ascii="Arial" w:hAnsi="Arial" w:cs="Arial"/>
                <w:sz w:val="16"/>
                <w:szCs w:val="18"/>
                <w:highlight w:val="none"/>
                <w:lang w:val="en-US" w:eastAsia="zh-CN"/>
              </w:rPr>
              <w:t>9</w:t>
            </w:r>
            <w:r>
              <w:rPr>
                <w:rFonts w:hint="eastAsia" w:ascii="Arial" w:hAnsi="Arial" w:cs="Arial"/>
                <w:sz w:val="16"/>
                <w:szCs w:val="18"/>
                <w:highlight w:val="none"/>
              </w:rPr>
              <w:t>0</w:t>
            </w:r>
            <w:r>
              <w:rPr>
                <w:rFonts w:ascii="Arial" w:hAnsi="Arial" w:cs="Arial"/>
                <w:sz w:val="16"/>
                <w:szCs w:val="18"/>
                <w:highlight w:val="none"/>
              </w:rPr>
              <w:t>%</w:t>
            </w:r>
          </w:p>
        </w:tc>
        <w:tc>
          <w:tcPr>
            <w:tcW w:w="968" w:type="pct"/>
            <w:tcBorders>
              <w:top w:val="single" w:color="auto" w:sz="4" w:space="0"/>
              <w:left w:val="nil"/>
              <w:bottom w:val="single" w:color="auto" w:sz="4" w:space="0"/>
              <w:right w:val="single" w:color="auto" w:sz="4" w:space="0"/>
            </w:tcBorders>
            <w:vAlign w:val="center"/>
          </w:tcPr>
          <w:p w14:paraId="0628836C">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lang w:val="en-US" w:eastAsia="zh-CN"/>
              </w:rPr>
              <w:t>9</w:t>
            </w:r>
            <w:r>
              <w:rPr>
                <w:rFonts w:ascii="Arial" w:hAnsi="Arial" w:cs="Arial"/>
                <w:sz w:val="16"/>
                <w:szCs w:val="18"/>
                <w:highlight w:val="none"/>
              </w:rPr>
              <w:t>0-</w:t>
            </w:r>
            <w:r>
              <w:rPr>
                <w:rFonts w:hint="eastAsia" w:ascii="Arial" w:hAnsi="Arial" w:cs="Arial"/>
                <w:sz w:val="16"/>
                <w:szCs w:val="18"/>
                <w:highlight w:val="none"/>
                <w:lang w:val="en-US" w:eastAsia="zh-CN"/>
              </w:rPr>
              <w:t>10</w:t>
            </w:r>
            <w:r>
              <w:rPr>
                <w:rFonts w:hint="eastAsia" w:ascii="Arial" w:hAnsi="Arial" w:cs="Arial"/>
                <w:sz w:val="16"/>
                <w:szCs w:val="18"/>
                <w:highlight w:val="none"/>
              </w:rPr>
              <w:t>0</w:t>
            </w:r>
            <w:r>
              <w:rPr>
                <w:rFonts w:ascii="Arial" w:hAnsi="Arial" w:cs="Arial"/>
                <w:sz w:val="16"/>
                <w:szCs w:val="18"/>
                <w:highlight w:val="none"/>
              </w:rPr>
              <w:t>%</w:t>
            </w:r>
          </w:p>
        </w:tc>
        <w:tc>
          <w:tcPr>
            <w:tcW w:w="968" w:type="pct"/>
            <w:tcBorders>
              <w:top w:val="single" w:color="auto" w:sz="4" w:space="0"/>
              <w:left w:val="nil"/>
              <w:bottom w:val="single" w:color="auto" w:sz="4" w:space="0"/>
              <w:right w:val="single" w:color="auto" w:sz="4" w:space="0"/>
            </w:tcBorders>
            <w:vAlign w:val="center"/>
          </w:tcPr>
          <w:p w14:paraId="003C12DB">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lang w:val="en-US" w:eastAsia="zh-CN"/>
              </w:rPr>
              <w:t>8</w:t>
            </w:r>
            <w:r>
              <w:rPr>
                <w:rFonts w:ascii="Arial" w:hAnsi="Arial" w:cs="Arial"/>
                <w:sz w:val="16"/>
                <w:szCs w:val="18"/>
                <w:highlight w:val="none"/>
              </w:rPr>
              <w:t>0-</w:t>
            </w:r>
            <w:r>
              <w:rPr>
                <w:rFonts w:hint="eastAsia" w:ascii="Arial" w:hAnsi="Arial" w:cs="Arial"/>
                <w:sz w:val="16"/>
                <w:szCs w:val="18"/>
                <w:highlight w:val="none"/>
                <w:lang w:val="en-US" w:eastAsia="zh-CN"/>
              </w:rPr>
              <w:t>9</w:t>
            </w:r>
            <w:r>
              <w:rPr>
                <w:rFonts w:hint="eastAsia" w:ascii="Arial" w:hAnsi="Arial" w:cs="Arial"/>
                <w:sz w:val="16"/>
                <w:szCs w:val="18"/>
                <w:highlight w:val="none"/>
              </w:rPr>
              <w:t>0</w:t>
            </w:r>
            <w:r>
              <w:rPr>
                <w:rFonts w:ascii="Arial" w:hAnsi="Arial" w:cs="Arial"/>
                <w:sz w:val="16"/>
                <w:szCs w:val="18"/>
                <w:highlight w:val="none"/>
              </w:rPr>
              <w:t>%</w:t>
            </w:r>
          </w:p>
        </w:tc>
        <w:tc>
          <w:tcPr>
            <w:tcW w:w="970" w:type="pct"/>
            <w:tcBorders>
              <w:top w:val="single" w:color="auto" w:sz="4" w:space="0"/>
              <w:left w:val="nil"/>
              <w:bottom w:val="single" w:color="auto" w:sz="4" w:space="0"/>
              <w:right w:val="single" w:color="auto" w:sz="4" w:space="0"/>
            </w:tcBorders>
            <w:vAlign w:val="center"/>
          </w:tcPr>
          <w:p w14:paraId="79E0D6B3">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lang w:val="en-US" w:eastAsia="zh-CN"/>
              </w:rPr>
              <w:t>8</w:t>
            </w:r>
            <w:r>
              <w:rPr>
                <w:rFonts w:ascii="Arial" w:hAnsi="Arial" w:cs="Arial"/>
                <w:sz w:val="16"/>
                <w:szCs w:val="18"/>
                <w:highlight w:val="none"/>
              </w:rPr>
              <w:t>0-</w:t>
            </w:r>
            <w:r>
              <w:rPr>
                <w:rFonts w:hint="eastAsia" w:ascii="Arial" w:hAnsi="Arial" w:cs="Arial"/>
                <w:sz w:val="16"/>
                <w:szCs w:val="18"/>
                <w:highlight w:val="none"/>
                <w:lang w:val="en-US" w:eastAsia="zh-CN"/>
              </w:rPr>
              <w:t>9</w:t>
            </w:r>
            <w:r>
              <w:rPr>
                <w:rFonts w:hint="eastAsia" w:ascii="Arial" w:hAnsi="Arial" w:cs="Arial"/>
                <w:sz w:val="16"/>
                <w:szCs w:val="18"/>
                <w:highlight w:val="none"/>
              </w:rPr>
              <w:t>0</w:t>
            </w:r>
            <w:r>
              <w:rPr>
                <w:rFonts w:ascii="Arial" w:hAnsi="Arial" w:cs="Arial"/>
                <w:sz w:val="16"/>
                <w:szCs w:val="18"/>
                <w:highlight w:val="none"/>
              </w:rPr>
              <w:t>%</w:t>
            </w:r>
          </w:p>
        </w:tc>
      </w:tr>
      <w:tr w14:paraId="04B69C10">
        <w:tblPrEx>
          <w:tblCellMar>
            <w:top w:w="0" w:type="dxa"/>
            <w:left w:w="108" w:type="dxa"/>
            <w:bottom w:w="0" w:type="dxa"/>
            <w:right w:w="108" w:type="dxa"/>
          </w:tblCellMar>
        </w:tblPrEx>
        <w:trPr>
          <w:trHeight w:val="397" w:hRule="atLeast"/>
          <w:jc w:val="center"/>
        </w:trPr>
        <w:tc>
          <w:tcPr>
            <w:tcW w:w="363" w:type="pct"/>
            <w:vMerge w:val="continue"/>
            <w:tcBorders>
              <w:left w:val="single" w:color="auto" w:sz="4" w:space="0"/>
              <w:bottom w:val="single" w:color="auto" w:sz="4" w:space="0"/>
              <w:right w:val="single" w:color="auto" w:sz="4" w:space="0"/>
            </w:tcBorders>
            <w:vAlign w:val="center"/>
          </w:tcPr>
          <w:p w14:paraId="33A56DA6">
            <w:pPr>
              <w:widowControl/>
              <w:adjustRightInd/>
              <w:spacing w:line="240" w:lineRule="auto"/>
              <w:jc w:val="center"/>
              <w:textAlignment w:val="auto"/>
              <w:rPr>
                <w:rFonts w:ascii="Arial" w:hAnsi="Arial" w:cs="Arial"/>
                <w:sz w:val="16"/>
                <w:szCs w:val="18"/>
                <w:highlight w:val="none"/>
              </w:rPr>
            </w:pPr>
          </w:p>
        </w:tc>
        <w:tc>
          <w:tcPr>
            <w:tcW w:w="758" w:type="pct"/>
            <w:tcBorders>
              <w:top w:val="single" w:color="auto" w:sz="4" w:space="0"/>
              <w:left w:val="nil"/>
              <w:bottom w:val="single" w:color="auto" w:sz="4" w:space="0"/>
              <w:right w:val="single" w:color="auto" w:sz="4" w:space="0"/>
            </w:tcBorders>
            <w:vAlign w:val="center"/>
          </w:tcPr>
          <w:p w14:paraId="6DF20B69">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公共区域装修</w:t>
            </w:r>
          </w:p>
        </w:tc>
        <w:tc>
          <w:tcPr>
            <w:tcW w:w="968" w:type="pct"/>
            <w:tcBorders>
              <w:top w:val="single" w:color="auto" w:sz="4" w:space="0"/>
              <w:left w:val="nil"/>
              <w:bottom w:val="single" w:color="auto" w:sz="4" w:space="0"/>
              <w:right w:val="single" w:color="auto" w:sz="4" w:space="0"/>
            </w:tcBorders>
            <w:vAlign w:val="center"/>
          </w:tcPr>
          <w:p w14:paraId="7339409D">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精装修</w:t>
            </w:r>
          </w:p>
        </w:tc>
        <w:tc>
          <w:tcPr>
            <w:tcW w:w="968" w:type="pct"/>
            <w:tcBorders>
              <w:top w:val="single" w:color="auto" w:sz="4" w:space="0"/>
              <w:left w:val="nil"/>
              <w:bottom w:val="single" w:color="auto" w:sz="4" w:space="0"/>
              <w:right w:val="single" w:color="auto" w:sz="4" w:space="0"/>
            </w:tcBorders>
            <w:vAlign w:val="center"/>
          </w:tcPr>
          <w:p w14:paraId="3F84E47E">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精装修</w:t>
            </w:r>
          </w:p>
        </w:tc>
        <w:tc>
          <w:tcPr>
            <w:tcW w:w="968" w:type="pct"/>
            <w:tcBorders>
              <w:top w:val="single" w:color="auto" w:sz="4" w:space="0"/>
              <w:left w:val="nil"/>
              <w:bottom w:val="single" w:color="auto" w:sz="4" w:space="0"/>
              <w:right w:val="single" w:color="auto" w:sz="4" w:space="0"/>
            </w:tcBorders>
            <w:vAlign w:val="center"/>
          </w:tcPr>
          <w:p w14:paraId="0225007E">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精装修</w:t>
            </w:r>
          </w:p>
        </w:tc>
        <w:tc>
          <w:tcPr>
            <w:tcW w:w="970" w:type="pct"/>
            <w:tcBorders>
              <w:top w:val="single" w:color="auto" w:sz="4" w:space="0"/>
              <w:left w:val="nil"/>
              <w:bottom w:val="single" w:color="auto" w:sz="4" w:space="0"/>
              <w:right w:val="single" w:color="auto" w:sz="4" w:space="0"/>
            </w:tcBorders>
            <w:vAlign w:val="center"/>
          </w:tcPr>
          <w:p w14:paraId="4503D389">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精装修</w:t>
            </w:r>
          </w:p>
        </w:tc>
      </w:tr>
      <w:tr w14:paraId="1EE345FC">
        <w:tblPrEx>
          <w:tblCellMar>
            <w:top w:w="0" w:type="dxa"/>
            <w:left w:w="108" w:type="dxa"/>
            <w:bottom w:w="0" w:type="dxa"/>
            <w:right w:w="108" w:type="dxa"/>
          </w:tblCellMar>
        </w:tblPrEx>
        <w:trPr>
          <w:trHeight w:val="397" w:hRule="atLeast"/>
          <w:jc w:val="center"/>
        </w:trPr>
        <w:tc>
          <w:tcPr>
            <w:tcW w:w="363" w:type="pct"/>
            <w:vMerge w:val="continue"/>
            <w:tcBorders>
              <w:left w:val="single" w:color="auto" w:sz="4" w:space="0"/>
              <w:bottom w:val="single" w:color="auto" w:sz="4" w:space="0"/>
              <w:right w:val="single" w:color="auto" w:sz="4" w:space="0"/>
            </w:tcBorders>
            <w:vAlign w:val="center"/>
          </w:tcPr>
          <w:p w14:paraId="25F85CE5">
            <w:pPr>
              <w:widowControl/>
              <w:adjustRightInd/>
              <w:spacing w:line="240" w:lineRule="auto"/>
              <w:jc w:val="center"/>
              <w:textAlignment w:val="auto"/>
              <w:rPr>
                <w:rFonts w:ascii="Arial" w:hAnsi="Arial" w:cs="Arial"/>
                <w:sz w:val="16"/>
                <w:szCs w:val="18"/>
                <w:highlight w:val="none"/>
              </w:rPr>
            </w:pPr>
          </w:p>
        </w:tc>
        <w:tc>
          <w:tcPr>
            <w:tcW w:w="758" w:type="pct"/>
            <w:tcBorders>
              <w:top w:val="single" w:color="auto" w:sz="4" w:space="0"/>
              <w:left w:val="nil"/>
              <w:bottom w:val="single" w:color="auto" w:sz="4" w:space="0"/>
              <w:right w:val="single" w:color="auto" w:sz="4" w:space="0"/>
            </w:tcBorders>
            <w:vAlign w:val="center"/>
          </w:tcPr>
          <w:p w14:paraId="58F386F1">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室内装饰装修</w:t>
            </w:r>
          </w:p>
        </w:tc>
        <w:tc>
          <w:tcPr>
            <w:tcW w:w="968" w:type="pct"/>
            <w:tcBorders>
              <w:top w:val="single" w:color="auto" w:sz="4" w:space="0"/>
              <w:left w:val="nil"/>
              <w:bottom w:val="single" w:color="auto" w:sz="4" w:space="0"/>
              <w:right w:val="single" w:color="auto" w:sz="4" w:space="0"/>
            </w:tcBorders>
            <w:vAlign w:val="center"/>
          </w:tcPr>
          <w:p w14:paraId="69F89ACC">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精装修</w:t>
            </w:r>
          </w:p>
        </w:tc>
        <w:tc>
          <w:tcPr>
            <w:tcW w:w="968" w:type="pct"/>
            <w:tcBorders>
              <w:top w:val="single" w:color="auto" w:sz="4" w:space="0"/>
              <w:left w:val="nil"/>
              <w:bottom w:val="single" w:color="auto" w:sz="4" w:space="0"/>
              <w:right w:val="single" w:color="auto" w:sz="4" w:space="0"/>
            </w:tcBorders>
            <w:vAlign w:val="center"/>
          </w:tcPr>
          <w:p w14:paraId="2556ADAC">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精装修</w:t>
            </w:r>
          </w:p>
        </w:tc>
        <w:tc>
          <w:tcPr>
            <w:tcW w:w="968" w:type="pct"/>
            <w:tcBorders>
              <w:top w:val="single" w:color="auto" w:sz="4" w:space="0"/>
              <w:left w:val="nil"/>
              <w:bottom w:val="single" w:color="auto" w:sz="4" w:space="0"/>
              <w:right w:val="single" w:color="auto" w:sz="4" w:space="0"/>
            </w:tcBorders>
            <w:vAlign w:val="center"/>
          </w:tcPr>
          <w:p w14:paraId="4723AE1C">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精装修</w:t>
            </w:r>
          </w:p>
        </w:tc>
        <w:tc>
          <w:tcPr>
            <w:tcW w:w="970" w:type="pct"/>
            <w:tcBorders>
              <w:top w:val="single" w:color="auto" w:sz="4" w:space="0"/>
              <w:left w:val="nil"/>
              <w:bottom w:val="single" w:color="auto" w:sz="4" w:space="0"/>
              <w:right w:val="single" w:color="auto" w:sz="4" w:space="0"/>
            </w:tcBorders>
            <w:vAlign w:val="center"/>
          </w:tcPr>
          <w:p w14:paraId="164022B6">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精装修</w:t>
            </w:r>
          </w:p>
        </w:tc>
      </w:tr>
      <w:tr w14:paraId="36A8C9E7">
        <w:tblPrEx>
          <w:tblCellMar>
            <w:top w:w="0" w:type="dxa"/>
            <w:left w:w="108" w:type="dxa"/>
            <w:bottom w:w="0" w:type="dxa"/>
            <w:right w:w="108" w:type="dxa"/>
          </w:tblCellMar>
        </w:tblPrEx>
        <w:trPr>
          <w:trHeight w:val="397" w:hRule="atLeast"/>
          <w:jc w:val="center"/>
        </w:trPr>
        <w:tc>
          <w:tcPr>
            <w:tcW w:w="363" w:type="pct"/>
            <w:vMerge w:val="continue"/>
            <w:tcBorders>
              <w:left w:val="single" w:color="auto" w:sz="4" w:space="0"/>
              <w:bottom w:val="single" w:color="auto" w:sz="4" w:space="0"/>
              <w:right w:val="single" w:color="auto" w:sz="4" w:space="0"/>
            </w:tcBorders>
            <w:vAlign w:val="center"/>
          </w:tcPr>
          <w:p w14:paraId="1F07CD5E">
            <w:pPr>
              <w:widowControl/>
              <w:adjustRightInd/>
              <w:spacing w:line="240" w:lineRule="auto"/>
              <w:jc w:val="center"/>
              <w:textAlignment w:val="auto"/>
              <w:rPr>
                <w:rFonts w:ascii="Arial" w:hAnsi="Arial" w:cs="Arial"/>
                <w:sz w:val="16"/>
                <w:szCs w:val="18"/>
                <w:highlight w:val="none"/>
              </w:rPr>
            </w:pPr>
          </w:p>
        </w:tc>
        <w:tc>
          <w:tcPr>
            <w:tcW w:w="758" w:type="pct"/>
            <w:tcBorders>
              <w:top w:val="single" w:color="auto" w:sz="4" w:space="0"/>
              <w:left w:val="nil"/>
              <w:bottom w:val="single" w:color="auto" w:sz="4" w:space="0"/>
              <w:right w:val="single" w:color="auto" w:sz="4" w:space="0"/>
            </w:tcBorders>
            <w:vAlign w:val="center"/>
          </w:tcPr>
          <w:p w14:paraId="62952476">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设施设备</w:t>
            </w:r>
          </w:p>
        </w:tc>
        <w:tc>
          <w:tcPr>
            <w:tcW w:w="968" w:type="pct"/>
            <w:tcBorders>
              <w:top w:val="single" w:color="auto" w:sz="4" w:space="0"/>
              <w:left w:val="nil"/>
              <w:bottom w:val="single" w:color="auto" w:sz="4" w:space="0"/>
              <w:right w:val="single" w:color="auto" w:sz="4" w:space="0"/>
            </w:tcBorders>
            <w:vAlign w:val="center"/>
          </w:tcPr>
          <w:p w14:paraId="3730E2F8">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较完善</w:t>
            </w:r>
          </w:p>
        </w:tc>
        <w:tc>
          <w:tcPr>
            <w:tcW w:w="968" w:type="pct"/>
            <w:tcBorders>
              <w:top w:val="single" w:color="auto" w:sz="4" w:space="0"/>
              <w:left w:val="nil"/>
              <w:bottom w:val="single" w:color="auto" w:sz="4" w:space="0"/>
              <w:right w:val="single" w:color="auto" w:sz="4" w:space="0"/>
            </w:tcBorders>
            <w:vAlign w:val="center"/>
          </w:tcPr>
          <w:p w14:paraId="0BC459B8">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较完善</w:t>
            </w:r>
          </w:p>
        </w:tc>
        <w:tc>
          <w:tcPr>
            <w:tcW w:w="968" w:type="pct"/>
            <w:tcBorders>
              <w:top w:val="single" w:color="auto" w:sz="4" w:space="0"/>
              <w:left w:val="nil"/>
              <w:bottom w:val="single" w:color="auto" w:sz="4" w:space="0"/>
              <w:right w:val="single" w:color="auto" w:sz="4" w:space="0"/>
            </w:tcBorders>
            <w:vAlign w:val="center"/>
          </w:tcPr>
          <w:p w14:paraId="5646A1CE">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较完善</w:t>
            </w:r>
          </w:p>
        </w:tc>
        <w:tc>
          <w:tcPr>
            <w:tcW w:w="970" w:type="pct"/>
            <w:tcBorders>
              <w:top w:val="single" w:color="auto" w:sz="4" w:space="0"/>
              <w:left w:val="nil"/>
              <w:bottom w:val="single" w:color="auto" w:sz="4" w:space="0"/>
              <w:right w:val="single" w:color="auto" w:sz="4" w:space="0"/>
            </w:tcBorders>
            <w:vAlign w:val="center"/>
          </w:tcPr>
          <w:p w14:paraId="6FCF7079">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较完善</w:t>
            </w:r>
          </w:p>
        </w:tc>
      </w:tr>
      <w:tr w14:paraId="350DF887">
        <w:tblPrEx>
          <w:tblCellMar>
            <w:top w:w="0" w:type="dxa"/>
            <w:left w:w="108" w:type="dxa"/>
            <w:bottom w:w="0" w:type="dxa"/>
            <w:right w:w="108" w:type="dxa"/>
          </w:tblCellMar>
        </w:tblPrEx>
        <w:trPr>
          <w:trHeight w:val="397" w:hRule="atLeast"/>
          <w:jc w:val="center"/>
        </w:trPr>
        <w:tc>
          <w:tcPr>
            <w:tcW w:w="363" w:type="pct"/>
            <w:vMerge w:val="continue"/>
            <w:tcBorders>
              <w:left w:val="single" w:color="auto" w:sz="4" w:space="0"/>
              <w:bottom w:val="single" w:color="auto" w:sz="4" w:space="0"/>
              <w:right w:val="single" w:color="auto" w:sz="4" w:space="0"/>
            </w:tcBorders>
            <w:vAlign w:val="center"/>
          </w:tcPr>
          <w:p w14:paraId="71A4B7B1">
            <w:pPr>
              <w:widowControl/>
              <w:adjustRightInd/>
              <w:spacing w:line="240" w:lineRule="auto"/>
              <w:jc w:val="center"/>
              <w:textAlignment w:val="auto"/>
              <w:rPr>
                <w:rFonts w:ascii="Arial" w:hAnsi="Arial" w:cs="Arial"/>
                <w:sz w:val="16"/>
                <w:szCs w:val="18"/>
                <w:highlight w:val="none"/>
              </w:rPr>
            </w:pPr>
          </w:p>
        </w:tc>
        <w:tc>
          <w:tcPr>
            <w:tcW w:w="758" w:type="pct"/>
            <w:tcBorders>
              <w:top w:val="single" w:color="auto" w:sz="4" w:space="0"/>
              <w:left w:val="nil"/>
              <w:bottom w:val="single" w:color="auto" w:sz="4" w:space="0"/>
              <w:right w:val="single" w:color="auto" w:sz="4" w:space="0"/>
            </w:tcBorders>
            <w:vAlign w:val="center"/>
          </w:tcPr>
          <w:p w14:paraId="036A81C9">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综合管理服务设施</w:t>
            </w:r>
          </w:p>
        </w:tc>
        <w:tc>
          <w:tcPr>
            <w:tcW w:w="968" w:type="pct"/>
            <w:tcBorders>
              <w:top w:val="single" w:color="auto" w:sz="4" w:space="0"/>
              <w:left w:val="nil"/>
              <w:bottom w:val="single" w:color="auto" w:sz="4" w:space="0"/>
              <w:right w:val="single" w:color="auto" w:sz="4" w:space="0"/>
            </w:tcBorders>
            <w:vAlign w:val="center"/>
          </w:tcPr>
          <w:p w14:paraId="18346930">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有快递柜、垃圾分类收集点</w:t>
            </w:r>
          </w:p>
        </w:tc>
        <w:tc>
          <w:tcPr>
            <w:tcW w:w="968" w:type="pct"/>
            <w:tcBorders>
              <w:top w:val="single" w:color="auto" w:sz="4" w:space="0"/>
              <w:left w:val="nil"/>
              <w:bottom w:val="single" w:color="auto" w:sz="4" w:space="0"/>
              <w:right w:val="single" w:color="auto" w:sz="4" w:space="0"/>
            </w:tcBorders>
            <w:vAlign w:val="center"/>
          </w:tcPr>
          <w:p w14:paraId="15A2645F">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快递柜、垃圾分类收集点</w:t>
            </w:r>
          </w:p>
        </w:tc>
        <w:tc>
          <w:tcPr>
            <w:tcW w:w="968" w:type="pct"/>
            <w:tcBorders>
              <w:top w:val="single" w:color="auto" w:sz="4" w:space="0"/>
              <w:left w:val="nil"/>
              <w:bottom w:val="single" w:color="auto" w:sz="4" w:space="0"/>
              <w:right w:val="single" w:color="auto" w:sz="4" w:space="0"/>
            </w:tcBorders>
            <w:vAlign w:val="center"/>
          </w:tcPr>
          <w:p w14:paraId="0D0B2A65">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快递柜、垃圾分类收集点</w:t>
            </w:r>
          </w:p>
        </w:tc>
        <w:tc>
          <w:tcPr>
            <w:tcW w:w="970" w:type="pct"/>
            <w:tcBorders>
              <w:top w:val="single" w:color="auto" w:sz="4" w:space="0"/>
              <w:left w:val="nil"/>
              <w:bottom w:val="single" w:color="auto" w:sz="4" w:space="0"/>
              <w:right w:val="single" w:color="auto" w:sz="4" w:space="0"/>
            </w:tcBorders>
            <w:vAlign w:val="center"/>
          </w:tcPr>
          <w:p w14:paraId="274A0011">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快递柜、垃圾分类收集点</w:t>
            </w:r>
          </w:p>
        </w:tc>
      </w:tr>
      <w:tr w14:paraId="594A355B">
        <w:tblPrEx>
          <w:tblCellMar>
            <w:top w:w="0" w:type="dxa"/>
            <w:left w:w="108" w:type="dxa"/>
            <w:bottom w:w="0" w:type="dxa"/>
            <w:right w:w="108" w:type="dxa"/>
          </w:tblCellMar>
        </w:tblPrEx>
        <w:trPr>
          <w:trHeight w:val="397" w:hRule="atLeast"/>
          <w:jc w:val="center"/>
        </w:trPr>
        <w:tc>
          <w:tcPr>
            <w:tcW w:w="363" w:type="pct"/>
            <w:vMerge w:val="continue"/>
            <w:tcBorders>
              <w:left w:val="single" w:color="auto" w:sz="4" w:space="0"/>
              <w:bottom w:val="single" w:color="auto" w:sz="4" w:space="0"/>
              <w:right w:val="single" w:color="auto" w:sz="4" w:space="0"/>
            </w:tcBorders>
            <w:vAlign w:val="center"/>
          </w:tcPr>
          <w:p w14:paraId="59F58E44">
            <w:pPr>
              <w:widowControl/>
              <w:adjustRightInd/>
              <w:spacing w:line="240" w:lineRule="auto"/>
              <w:jc w:val="center"/>
              <w:textAlignment w:val="auto"/>
              <w:rPr>
                <w:rFonts w:ascii="Arial" w:hAnsi="Arial" w:cs="Arial"/>
                <w:sz w:val="16"/>
                <w:szCs w:val="18"/>
                <w:highlight w:val="none"/>
              </w:rPr>
            </w:pPr>
          </w:p>
        </w:tc>
        <w:tc>
          <w:tcPr>
            <w:tcW w:w="758" w:type="pct"/>
            <w:tcBorders>
              <w:top w:val="single" w:color="auto" w:sz="4" w:space="0"/>
              <w:left w:val="nil"/>
              <w:bottom w:val="single" w:color="auto" w:sz="4" w:space="0"/>
              <w:right w:val="single" w:color="auto" w:sz="4" w:space="0"/>
            </w:tcBorders>
            <w:vAlign w:val="center"/>
          </w:tcPr>
          <w:p w14:paraId="39AAFE22">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户型布局</w:t>
            </w:r>
          </w:p>
        </w:tc>
        <w:tc>
          <w:tcPr>
            <w:tcW w:w="968" w:type="pct"/>
            <w:tcBorders>
              <w:top w:val="single" w:color="auto" w:sz="4" w:space="0"/>
              <w:left w:val="nil"/>
              <w:bottom w:val="single" w:color="auto" w:sz="4" w:space="0"/>
              <w:right w:val="single" w:color="auto" w:sz="4" w:space="0"/>
            </w:tcBorders>
            <w:vAlign w:val="center"/>
          </w:tcPr>
          <w:p w14:paraId="1EC3AC0A">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两居室</w:t>
            </w:r>
          </w:p>
        </w:tc>
        <w:tc>
          <w:tcPr>
            <w:tcW w:w="968" w:type="pct"/>
            <w:tcBorders>
              <w:top w:val="single" w:color="auto" w:sz="4" w:space="0"/>
              <w:left w:val="nil"/>
              <w:bottom w:val="single" w:color="auto" w:sz="4" w:space="0"/>
              <w:right w:val="single" w:color="auto" w:sz="4" w:space="0"/>
            </w:tcBorders>
            <w:vAlign w:val="center"/>
          </w:tcPr>
          <w:p w14:paraId="342D6AA9">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两居室</w:t>
            </w:r>
          </w:p>
        </w:tc>
        <w:tc>
          <w:tcPr>
            <w:tcW w:w="968" w:type="pct"/>
            <w:tcBorders>
              <w:top w:val="single" w:color="auto" w:sz="4" w:space="0"/>
              <w:left w:val="nil"/>
              <w:bottom w:val="single" w:color="auto" w:sz="4" w:space="0"/>
              <w:right w:val="single" w:color="auto" w:sz="4" w:space="0"/>
            </w:tcBorders>
            <w:vAlign w:val="center"/>
          </w:tcPr>
          <w:p w14:paraId="7E1C00E4">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两居室</w:t>
            </w:r>
          </w:p>
        </w:tc>
        <w:tc>
          <w:tcPr>
            <w:tcW w:w="970" w:type="pct"/>
            <w:tcBorders>
              <w:top w:val="single" w:color="auto" w:sz="4" w:space="0"/>
              <w:left w:val="nil"/>
              <w:bottom w:val="single" w:color="auto" w:sz="4" w:space="0"/>
              <w:right w:val="single" w:color="auto" w:sz="4" w:space="0"/>
            </w:tcBorders>
            <w:vAlign w:val="center"/>
          </w:tcPr>
          <w:p w14:paraId="6D3C5373">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两居室</w:t>
            </w:r>
          </w:p>
        </w:tc>
      </w:tr>
      <w:tr w14:paraId="328075D9">
        <w:tblPrEx>
          <w:tblCellMar>
            <w:top w:w="0" w:type="dxa"/>
            <w:left w:w="108" w:type="dxa"/>
            <w:bottom w:w="0" w:type="dxa"/>
            <w:right w:w="108" w:type="dxa"/>
          </w:tblCellMar>
        </w:tblPrEx>
        <w:trPr>
          <w:trHeight w:val="397" w:hRule="atLeast"/>
          <w:jc w:val="center"/>
        </w:trPr>
        <w:tc>
          <w:tcPr>
            <w:tcW w:w="363" w:type="pct"/>
            <w:vMerge w:val="continue"/>
            <w:tcBorders>
              <w:left w:val="single" w:color="auto" w:sz="4" w:space="0"/>
              <w:bottom w:val="single" w:color="auto" w:sz="4" w:space="0"/>
              <w:right w:val="single" w:color="auto" w:sz="4" w:space="0"/>
            </w:tcBorders>
            <w:vAlign w:val="center"/>
          </w:tcPr>
          <w:p w14:paraId="3E6E21E4">
            <w:pPr>
              <w:widowControl/>
              <w:adjustRightInd/>
              <w:spacing w:line="240" w:lineRule="auto"/>
              <w:jc w:val="center"/>
              <w:textAlignment w:val="auto"/>
              <w:rPr>
                <w:rFonts w:ascii="Arial" w:hAnsi="Arial" w:cs="Arial"/>
                <w:sz w:val="16"/>
                <w:szCs w:val="18"/>
                <w:highlight w:val="none"/>
              </w:rPr>
            </w:pPr>
          </w:p>
        </w:tc>
        <w:tc>
          <w:tcPr>
            <w:tcW w:w="758" w:type="pct"/>
            <w:tcBorders>
              <w:top w:val="single" w:color="auto" w:sz="4" w:space="0"/>
              <w:left w:val="nil"/>
              <w:bottom w:val="single" w:color="auto" w:sz="4" w:space="0"/>
              <w:right w:val="single" w:color="auto" w:sz="4" w:space="0"/>
            </w:tcBorders>
            <w:vAlign w:val="center"/>
          </w:tcPr>
          <w:p w14:paraId="6F36B7B5">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户型结构</w:t>
            </w:r>
          </w:p>
        </w:tc>
        <w:tc>
          <w:tcPr>
            <w:tcW w:w="968" w:type="pct"/>
            <w:tcBorders>
              <w:top w:val="single" w:color="auto" w:sz="4" w:space="0"/>
              <w:left w:val="nil"/>
              <w:bottom w:val="single" w:color="auto" w:sz="4" w:space="0"/>
              <w:right w:val="single" w:color="auto" w:sz="4" w:space="0"/>
            </w:tcBorders>
            <w:vAlign w:val="center"/>
          </w:tcPr>
          <w:p w14:paraId="311BF42E">
            <w:pPr>
              <w:widowControl/>
              <w:adjustRightInd/>
              <w:spacing w:line="240" w:lineRule="auto"/>
              <w:jc w:val="center"/>
              <w:textAlignment w:val="auto"/>
              <w:rPr>
                <w:rFonts w:ascii="Arial" w:hAnsi="Arial" w:cs="Arial"/>
                <w:sz w:val="16"/>
                <w:szCs w:val="18"/>
                <w:highlight w:val="none"/>
              </w:rPr>
            </w:pPr>
            <w:r>
              <w:rPr>
                <w:rFonts w:hint="eastAsia" w:ascii="Arial" w:hAnsi="Arial" w:cs="Arial"/>
                <w:sz w:val="16"/>
                <w:szCs w:val="18"/>
                <w:highlight w:val="none"/>
              </w:rPr>
              <w:t>平层</w:t>
            </w:r>
          </w:p>
        </w:tc>
        <w:tc>
          <w:tcPr>
            <w:tcW w:w="968" w:type="pct"/>
            <w:tcBorders>
              <w:top w:val="single" w:color="auto" w:sz="4" w:space="0"/>
              <w:left w:val="nil"/>
              <w:bottom w:val="single" w:color="auto" w:sz="4" w:space="0"/>
              <w:right w:val="single" w:color="auto" w:sz="4" w:space="0"/>
            </w:tcBorders>
            <w:vAlign w:val="center"/>
          </w:tcPr>
          <w:p w14:paraId="468C8779">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平层</w:t>
            </w:r>
          </w:p>
        </w:tc>
        <w:tc>
          <w:tcPr>
            <w:tcW w:w="968" w:type="pct"/>
            <w:tcBorders>
              <w:top w:val="single" w:color="auto" w:sz="4" w:space="0"/>
              <w:left w:val="nil"/>
              <w:bottom w:val="single" w:color="auto" w:sz="4" w:space="0"/>
              <w:right w:val="single" w:color="auto" w:sz="4" w:space="0"/>
            </w:tcBorders>
            <w:vAlign w:val="center"/>
          </w:tcPr>
          <w:p w14:paraId="6ADE02A4">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平层</w:t>
            </w:r>
          </w:p>
        </w:tc>
        <w:tc>
          <w:tcPr>
            <w:tcW w:w="970" w:type="pct"/>
            <w:tcBorders>
              <w:top w:val="single" w:color="auto" w:sz="4" w:space="0"/>
              <w:left w:val="nil"/>
              <w:bottom w:val="single" w:color="auto" w:sz="4" w:space="0"/>
              <w:right w:val="single" w:color="auto" w:sz="4" w:space="0"/>
            </w:tcBorders>
            <w:vAlign w:val="center"/>
          </w:tcPr>
          <w:p w14:paraId="1D76DCB7">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平层</w:t>
            </w:r>
          </w:p>
        </w:tc>
      </w:tr>
      <w:tr w14:paraId="498E72AF">
        <w:tblPrEx>
          <w:tblCellMar>
            <w:top w:w="0" w:type="dxa"/>
            <w:left w:w="108" w:type="dxa"/>
            <w:bottom w:w="0" w:type="dxa"/>
            <w:right w:w="108" w:type="dxa"/>
          </w:tblCellMar>
        </w:tblPrEx>
        <w:trPr>
          <w:trHeight w:val="397" w:hRule="atLeast"/>
          <w:jc w:val="center"/>
        </w:trPr>
        <w:tc>
          <w:tcPr>
            <w:tcW w:w="363" w:type="pct"/>
            <w:vMerge w:val="continue"/>
            <w:tcBorders>
              <w:left w:val="single" w:color="auto" w:sz="4" w:space="0"/>
              <w:bottom w:val="single" w:color="auto" w:sz="4" w:space="0"/>
              <w:right w:val="single" w:color="auto" w:sz="4" w:space="0"/>
            </w:tcBorders>
            <w:vAlign w:val="center"/>
          </w:tcPr>
          <w:p w14:paraId="3685C94B">
            <w:pPr>
              <w:widowControl/>
              <w:adjustRightInd/>
              <w:spacing w:line="240" w:lineRule="auto"/>
              <w:jc w:val="center"/>
              <w:textAlignment w:val="auto"/>
              <w:rPr>
                <w:rFonts w:ascii="Arial" w:hAnsi="Arial" w:cs="Arial"/>
                <w:sz w:val="16"/>
                <w:szCs w:val="18"/>
                <w:highlight w:val="none"/>
              </w:rPr>
            </w:pPr>
          </w:p>
        </w:tc>
        <w:tc>
          <w:tcPr>
            <w:tcW w:w="758" w:type="pct"/>
            <w:tcBorders>
              <w:top w:val="single" w:color="auto" w:sz="4" w:space="0"/>
              <w:left w:val="nil"/>
              <w:bottom w:val="single" w:color="auto" w:sz="4" w:space="0"/>
              <w:right w:val="single" w:color="auto" w:sz="4" w:space="0"/>
            </w:tcBorders>
            <w:vAlign w:val="center"/>
          </w:tcPr>
          <w:p w14:paraId="6CD3AA9B">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建筑面积（㎡）</w:t>
            </w:r>
          </w:p>
        </w:tc>
        <w:tc>
          <w:tcPr>
            <w:tcW w:w="968" w:type="pct"/>
            <w:tcBorders>
              <w:top w:val="single" w:color="auto" w:sz="4" w:space="0"/>
              <w:left w:val="nil"/>
              <w:bottom w:val="single" w:color="auto" w:sz="4" w:space="0"/>
              <w:right w:val="single" w:color="auto" w:sz="4" w:space="0"/>
            </w:tcBorders>
            <w:vAlign w:val="center"/>
          </w:tcPr>
          <w:p w14:paraId="5F227212">
            <w:pPr>
              <w:widowControl/>
              <w:adjustRightInd/>
              <w:spacing w:line="240" w:lineRule="auto"/>
              <w:jc w:val="center"/>
              <w:textAlignment w:val="auto"/>
              <w:rPr>
                <w:rFonts w:hint="default" w:ascii="Arial" w:hAnsi="Arial" w:cs="Arial"/>
                <w:sz w:val="16"/>
                <w:szCs w:val="18"/>
                <w:highlight w:val="none"/>
                <w:lang w:val="en-US"/>
              </w:rPr>
            </w:pPr>
            <w:r>
              <w:rPr>
                <w:rFonts w:hint="eastAsia" w:ascii="Arial" w:hAnsi="Arial" w:cs="Arial"/>
                <w:sz w:val="16"/>
                <w:szCs w:val="18"/>
                <w:highlight w:val="none"/>
                <w:lang w:val="en-US" w:eastAsia="zh-CN"/>
              </w:rPr>
              <w:t>128.85</w:t>
            </w:r>
          </w:p>
        </w:tc>
        <w:tc>
          <w:tcPr>
            <w:tcW w:w="968" w:type="pct"/>
            <w:tcBorders>
              <w:top w:val="single" w:color="auto" w:sz="4" w:space="0"/>
              <w:left w:val="nil"/>
              <w:bottom w:val="single" w:color="auto" w:sz="4" w:space="0"/>
              <w:right w:val="single" w:color="auto" w:sz="4" w:space="0"/>
            </w:tcBorders>
            <w:vAlign w:val="center"/>
          </w:tcPr>
          <w:p w14:paraId="529B13F0">
            <w:pPr>
              <w:widowControl/>
              <w:adjustRightInd/>
              <w:spacing w:line="240" w:lineRule="auto"/>
              <w:jc w:val="center"/>
              <w:textAlignment w:val="auto"/>
              <w:rPr>
                <w:rFonts w:hint="default" w:ascii="Arial" w:hAnsi="Arial" w:eastAsia="宋体" w:cs="Arial"/>
                <w:sz w:val="16"/>
                <w:szCs w:val="18"/>
                <w:highlight w:val="none"/>
                <w:lang w:val="en-US" w:eastAsia="zh-CN"/>
              </w:rPr>
            </w:pPr>
            <w:r>
              <w:rPr>
                <w:rFonts w:hint="eastAsia" w:ascii="Arial" w:hAnsi="Arial" w:cs="Arial"/>
                <w:sz w:val="16"/>
                <w:szCs w:val="18"/>
                <w:highlight w:val="none"/>
                <w:lang w:val="en-US" w:eastAsia="zh-CN"/>
              </w:rPr>
              <w:t>130.96</w:t>
            </w:r>
          </w:p>
        </w:tc>
        <w:tc>
          <w:tcPr>
            <w:tcW w:w="968" w:type="pct"/>
            <w:tcBorders>
              <w:top w:val="single" w:color="auto" w:sz="4" w:space="0"/>
              <w:left w:val="nil"/>
              <w:bottom w:val="single" w:color="auto" w:sz="4" w:space="0"/>
              <w:right w:val="single" w:color="auto" w:sz="4" w:space="0"/>
            </w:tcBorders>
            <w:vAlign w:val="center"/>
          </w:tcPr>
          <w:p w14:paraId="492A41F1">
            <w:pPr>
              <w:widowControl/>
              <w:adjustRightInd/>
              <w:spacing w:line="240" w:lineRule="auto"/>
              <w:jc w:val="center"/>
              <w:textAlignment w:val="auto"/>
              <w:rPr>
                <w:rFonts w:hint="default" w:ascii="Arial" w:hAnsi="Arial" w:eastAsia="宋体" w:cs="Arial"/>
                <w:sz w:val="16"/>
                <w:szCs w:val="18"/>
                <w:highlight w:val="none"/>
                <w:lang w:val="en-US" w:eastAsia="zh-CN"/>
              </w:rPr>
            </w:pPr>
            <w:r>
              <w:rPr>
                <w:rFonts w:hint="eastAsia" w:ascii="Arial" w:hAnsi="Arial" w:cs="Arial"/>
                <w:sz w:val="16"/>
                <w:szCs w:val="18"/>
                <w:highlight w:val="none"/>
                <w:lang w:val="en-US" w:eastAsia="zh-CN"/>
              </w:rPr>
              <w:t>102.42</w:t>
            </w:r>
          </w:p>
        </w:tc>
        <w:tc>
          <w:tcPr>
            <w:tcW w:w="970" w:type="pct"/>
            <w:tcBorders>
              <w:top w:val="single" w:color="auto" w:sz="4" w:space="0"/>
              <w:left w:val="nil"/>
              <w:bottom w:val="single" w:color="auto" w:sz="4" w:space="0"/>
              <w:right w:val="single" w:color="auto" w:sz="4" w:space="0"/>
            </w:tcBorders>
            <w:vAlign w:val="center"/>
          </w:tcPr>
          <w:p w14:paraId="75648ED3">
            <w:pPr>
              <w:widowControl/>
              <w:adjustRightInd/>
              <w:spacing w:line="240" w:lineRule="auto"/>
              <w:jc w:val="center"/>
              <w:textAlignment w:val="auto"/>
              <w:rPr>
                <w:rFonts w:hint="default" w:ascii="Arial" w:hAnsi="Arial" w:eastAsia="宋体" w:cs="Arial"/>
                <w:sz w:val="16"/>
                <w:szCs w:val="18"/>
                <w:highlight w:val="none"/>
                <w:lang w:val="en-US" w:eastAsia="zh-CN"/>
              </w:rPr>
            </w:pPr>
            <w:r>
              <w:rPr>
                <w:rFonts w:hint="eastAsia" w:ascii="Arial" w:hAnsi="Arial" w:cs="Arial"/>
                <w:sz w:val="16"/>
                <w:szCs w:val="18"/>
                <w:highlight w:val="none"/>
                <w:lang w:val="en-US" w:eastAsia="zh-CN"/>
              </w:rPr>
              <w:t>119.98</w:t>
            </w:r>
          </w:p>
        </w:tc>
      </w:tr>
      <w:tr w14:paraId="65129A42">
        <w:tblPrEx>
          <w:tblCellMar>
            <w:top w:w="0" w:type="dxa"/>
            <w:left w:w="108" w:type="dxa"/>
            <w:bottom w:w="0" w:type="dxa"/>
            <w:right w:w="108" w:type="dxa"/>
          </w:tblCellMar>
        </w:tblPrEx>
        <w:trPr>
          <w:trHeight w:val="397" w:hRule="atLeast"/>
          <w:jc w:val="center"/>
        </w:trPr>
        <w:tc>
          <w:tcPr>
            <w:tcW w:w="363" w:type="pct"/>
            <w:vMerge w:val="continue"/>
            <w:tcBorders>
              <w:left w:val="single" w:color="auto" w:sz="4" w:space="0"/>
              <w:bottom w:val="single" w:color="auto" w:sz="4" w:space="0"/>
              <w:right w:val="single" w:color="auto" w:sz="4" w:space="0"/>
            </w:tcBorders>
            <w:vAlign w:val="center"/>
          </w:tcPr>
          <w:p w14:paraId="097D63DC">
            <w:pPr>
              <w:widowControl/>
              <w:adjustRightInd/>
              <w:spacing w:line="240" w:lineRule="auto"/>
              <w:jc w:val="center"/>
              <w:textAlignment w:val="auto"/>
              <w:rPr>
                <w:rFonts w:ascii="Arial" w:hAnsi="Arial" w:cs="Arial"/>
                <w:sz w:val="16"/>
                <w:szCs w:val="18"/>
                <w:highlight w:val="none"/>
              </w:rPr>
            </w:pPr>
          </w:p>
        </w:tc>
        <w:tc>
          <w:tcPr>
            <w:tcW w:w="758" w:type="pct"/>
            <w:tcBorders>
              <w:top w:val="single" w:color="auto" w:sz="4" w:space="0"/>
              <w:left w:val="nil"/>
              <w:bottom w:val="single" w:color="auto" w:sz="4" w:space="0"/>
              <w:right w:val="single" w:color="auto" w:sz="4" w:space="0"/>
            </w:tcBorders>
            <w:vAlign w:val="center"/>
          </w:tcPr>
          <w:p w14:paraId="518FEA47">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家具家电</w:t>
            </w:r>
          </w:p>
        </w:tc>
        <w:tc>
          <w:tcPr>
            <w:tcW w:w="968" w:type="pct"/>
            <w:tcBorders>
              <w:top w:val="single" w:color="auto" w:sz="4" w:space="0"/>
              <w:left w:val="nil"/>
              <w:bottom w:val="single" w:color="auto" w:sz="4" w:space="0"/>
              <w:right w:val="single" w:color="auto" w:sz="4" w:space="0"/>
            </w:tcBorders>
            <w:vAlign w:val="center"/>
          </w:tcPr>
          <w:p w14:paraId="6E36F98F">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配备家具、家电齐全；功能正常，质量有保证，好</w:t>
            </w:r>
          </w:p>
        </w:tc>
        <w:tc>
          <w:tcPr>
            <w:tcW w:w="968" w:type="pct"/>
            <w:tcBorders>
              <w:top w:val="single" w:color="auto" w:sz="4" w:space="0"/>
              <w:left w:val="nil"/>
              <w:bottom w:val="single" w:color="auto" w:sz="4" w:space="0"/>
              <w:right w:val="single" w:color="auto" w:sz="4" w:space="0"/>
            </w:tcBorders>
            <w:vAlign w:val="center"/>
          </w:tcPr>
          <w:p w14:paraId="0B16A67D">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配备家具、家电齐全；功能正常，质量有保证，好</w:t>
            </w:r>
          </w:p>
        </w:tc>
        <w:tc>
          <w:tcPr>
            <w:tcW w:w="968" w:type="pct"/>
            <w:tcBorders>
              <w:top w:val="single" w:color="auto" w:sz="4" w:space="0"/>
              <w:left w:val="nil"/>
              <w:bottom w:val="single" w:color="auto" w:sz="4" w:space="0"/>
              <w:right w:val="single" w:color="auto" w:sz="4" w:space="0"/>
            </w:tcBorders>
            <w:vAlign w:val="center"/>
          </w:tcPr>
          <w:p w14:paraId="0E19EF9D">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配备家具、家电齐全；功能正常，质量有保证，好</w:t>
            </w:r>
          </w:p>
        </w:tc>
        <w:tc>
          <w:tcPr>
            <w:tcW w:w="970" w:type="pct"/>
            <w:tcBorders>
              <w:top w:val="single" w:color="auto" w:sz="4" w:space="0"/>
              <w:left w:val="nil"/>
              <w:bottom w:val="single" w:color="auto" w:sz="4" w:space="0"/>
              <w:right w:val="single" w:color="auto" w:sz="4" w:space="0"/>
            </w:tcBorders>
            <w:vAlign w:val="center"/>
          </w:tcPr>
          <w:p w14:paraId="3DC3F6E2">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配备家具、家电齐全；功能正常，质量有保证，好</w:t>
            </w:r>
          </w:p>
        </w:tc>
      </w:tr>
      <w:tr w14:paraId="2C796B60">
        <w:tblPrEx>
          <w:tblCellMar>
            <w:top w:w="0" w:type="dxa"/>
            <w:left w:w="108" w:type="dxa"/>
            <w:bottom w:w="0" w:type="dxa"/>
            <w:right w:w="108" w:type="dxa"/>
          </w:tblCellMar>
        </w:tblPrEx>
        <w:trPr>
          <w:trHeight w:val="397" w:hRule="atLeast"/>
          <w:jc w:val="center"/>
        </w:trPr>
        <w:tc>
          <w:tcPr>
            <w:tcW w:w="363" w:type="pct"/>
            <w:vMerge w:val="restart"/>
            <w:tcBorders>
              <w:left w:val="single" w:color="auto" w:sz="4" w:space="0"/>
              <w:bottom w:val="single" w:color="auto" w:sz="4" w:space="0"/>
              <w:right w:val="single" w:color="auto" w:sz="4" w:space="0"/>
            </w:tcBorders>
            <w:vAlign w:val="center"/>
          </w:tcPr>
          <w:p w14:paraId="6B827396">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权益状况</w:t>
            </w:r>
          </w:p>
        </w:tc>
        <w:tc>
          <w:tcPr>
            <w:tcW w:w="758" w:type="pct"/>
            <w:tcBorders>
              <w:top w:val="single" w:color="auto" w:sz="4" w:space="0"/>
              <w:left w:val="nil"/>
              <w:bottom w:val="single" w:color="auto" w:sz="4" w:space="0"/>
              <w:right w:val="single" w:color="auto" w:sz="4" w:space="0"/>
            </w:tcBorders>
            <w:vAlign w:val="center"/>
          </w:tcPr>
          <w:p w14:paraId="102B7099">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服务及管理水平</w:t>
            </w:r>
          </w:p>
        </w:tc>
        <w:tc>
          <w:tcPr>
            <w:tcW w:w="968" w:type="pct"/>
            <w:tcBorders>
              <w:top w:val="single" w:color="auto" w:sz="4" w:space="0"/>
              <w:left w:val="nil"/>
              <w:bottom w:val="single" w:color="auto" w:sz="4" w:space="0"/>
              <w:right w:val="single" w:color="auto" w:sz="4" w:space="0"/>
            </w:tcBorders>
            <w:vAlign w:val="center"/>
          </w:tcPr>
          <w:p w14:paraId="7650CA3F">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普通物业管理，封闭式管理</w:t>
            </w:r>
          </w:p>
        </w:tc>
        <w:tc>
          <w:tcPr>
            <w:tcW w:w="968" w:type="pct"/>
            <w:tcBorders>
              <w:top w:val="single" w:color="auto" w:sz="4" w:space="0"/>
              <w:left w:val="nil"/>
              <w:bottom w:val="single" w:color="auto" w:sz="4" w:space="0"/>
              <w:right w:val="single" w:color="auto" w:sz="4" w:space="0"/>
            </w:tcBorders>
            <w:vAlign w:val="center"/>
          </w:tcPr>
          <w:p w14:paraId="6CC7BE34">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普通物业管理，封闭式管理</w:t>
            </w:r>
          </w:p>
        </w:tc>
        <w:tc>
          <w:tcPr>
            <w:tcW w:w="968" w:type="pct"/>
            <w:tcBorders>
              <w:top w:val="single" w:color="auto" w:sz="4" w:space="0"/>
              <w:left w:val="nil"/>
              <w:bottom w:val="single" w:color="auto" w:sz="4" w:space="0"/>
              <w:right w:val="single" w:color="auto" w:sz="4" w:space="0"/>
            </w:tcBorders>
            <w:vAlign w:val="center"/>
          </w:tcPr>
          <w:p w14:paraId="7602E51E">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普通物业管理，封闭式管理</w:t>
            </w:r>
          </w:p>
        </w:tc>
        <w:tc>
          <w:tcPr>
            <w:tcW w:w="970" w:type="pct"/>
            <w:tcBorders>
              <w:top w:val="single" w:color="auto" w:sz="4" w:space="0"/>
              <w:left w:val="nil"/>
              <w:bottom w:val="single" w:color="auto" w:sz="4" w:space="0"/>
              <w:right w:val="single" w:color="auto" w:sz="4" w:space="0"/>
            </w:tcBorders>
            <w:vAlign w:val="center"/>
          </w:tcPr>
          <w:p w14:paraId="608AFFCC">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普通物业管理，封闭式管理</w:t>
            </w:r>
          </w:p>
        </w:tc>
      </w:tr>
      <w:tr w14:paraId="447AD9D5">
        <w:tblPrEx>
          <w:tblCellMar>
            <w:top w:w="0" w:type="dxa"/>
            <w:left w:w="108" w:type="dxa"/>
            <w:bottom w:w="0" w:type="dxa"/>
            <w:right w:w="108" w:type="dxa"/>
          </w:tblCellMar>
        </w:tblPrEx>
        <w:trPr>
          <w:trHeight w:val="397" w:hRule="atLeast"/>
          <w:jc w:val="center"/>
        </w:trPr>
        <w:tc>
          <w:tcPr>
            <w:tcW w:w="363" w:type="pct"/>
            <w:vMerge w:val="continue"/>
            <w:tcBorders>
              <w:left w:val="single" w:color="auto" w:sz="4" w:space="0"/>
              <w:bottom w:val="single" w:color="auto" w:sz="4" w:space="0"/>
              <w:right w:val="single" w:color="auto" w:sz="4" w:space="0"/>
            </w:tcBorders>
            <w:vAlign w:val="center"/>
          </w:tcPr>
          <w:p w14:paraId="60E3381D">
            <w:pPr>
              <w:widowControl/>
              <w:adjustRightInd/>
              <w:spacing w:line="240" w:lineRule="auto"/>
              <w:jc w:val="center"/>
              <w:textAlignment w:val="auto"/>
              <w:rPr>
                <w:rFonts w:ascii="Arial" w:hAnsi="Arial" w:cs="Arial"/>
                <w:sz w:val="16"/>
                <w:szCs w:val="18"/>
                <w:highlight w:val="none"/>
              </w:rPr>
            </w:pPr>
          </w:p>
        </w:tc>
        <w:tc>
          <w:tcPr>
            <w:tcW w:w="758" w:type="pct"/>
            <w:tcBorders>
              <w:top w:val="single" w:color="auto" w:sz="4" w:space="0"/>
              <w:left w:val="nil"/>
              <w:bottom w:val="single" w:color="auto" w:sz="4" w:space="0"/>
              <w:right w:val="single" w:color="auto" w:sz="4" w:space="0"/>
            </w:tcBorders>
            <w:vAlign w:val="center"/>
          </w:tcPr>
          <w:p w14:paraId="7E4B53D2">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水电气费执行标准</w:t>
            </w:r>
          </w:p>
        </w:tc>
        <w:tc>
          <w:tcPr>
            <w:tcW w:w="968" w:type="pct"/>
            <w:tcBorders>
              <w:top w:val="single" w:color="auto" w:sz="4" w:space="0"/>
              <w:left w:val="nil"/>
              <w:bottom w:val="single" w:color="auto" w:sz="4" w:space="0"/>
              <w:right w:val="single" w:color="auto" w:sz="4" w:space="0"/>
            </w:tcBorders>
            <w:vAlign w:val="center"/>
          </w:tcPr>
          <w:p w14:paraId="00C49665">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民水民电</w:t>
            </w:r>
          </w:p>
        </w:tc>
        <w:tc>
          <w:tcPr>
            <w:tcW w:w="968" w:type="pct"/>
            <w:tcBorders>
              <w:top w:val="single" w:color="auto" w:sz="4" w:space="0"/>
              <w:left w:val="nil"/>
              <w:bottom w:val="single" w:color="auto" w:sz="4" w:space="0"/>
              <w:right w:val="single" w:color="auto" w:sz="4" w:space="0"/>
            </w:tcBorders>
            <w:vAlign w:val="center"/>
          </w:tcPr>
          <w:p w14:paraId="06559868">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民水民电</w:t>
            </w:r>
          </w:p>
        </w:tc>
        <w:tc>
          <w:tcPr>
            <w:tcW w:w="968" w:type="pct"/>
            <w:tcBorders>
              <w:top w:val="single" w:color="auto" w:sz="4" w:space="0"/>
              <w:left w:val="nil"/>
              <w:bottom w:val="single" w:color="auto" w:sz="4" w:space="0"/>
              <w:right w:val="single" w:color="auto" w:sz="4" w:space="0"/>
            </w:tcBorders>
            <w:vAlign w:val="center"/>
          </w:tcPr>
          <w:p w14:paraId="7F10E4BF">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民水民电</w:t>
            </w:r>
          </w:p>
        </w:tc>
        <w:tc>
          <w:tcPr>
            <w:tcW w:w="970" w:type="pct"/>
            <w:tcBorders>
              <w:top w:val="single" w:color="auto" w:sz="4" w:space="0"/>
              <w:left w:val="nil"/>
              <w:bottom w:val="single" w:color="auto" w:sz="4" w:space="0"/>
              <w:right w:val="single" w:color="auto" w:sz="4" w:space="0"/>
            </w:tcBorders>
            <w:vAlign w:val="center"/>
          </w:tcPr>
          <w:p w14:paraId="2EB0A6F5">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民水民电</w:t>
            </w:r>
          </w:p>
        </w:tc>
      </w:tr>
    </w:tbl>
    <w:p w14:paraId="095AC96B">
      <w:pPr>
        <w:overflowPunct w:val="0"/>
        <w:spacing w:line="480" w:lineRule="auto"/>
        <w:ind w:firstLine="420" w:firstLineChars="200"/>
        <w:jc w:val="center"/>
        <w:rPr>
          <w:rFonts w:ascii="Arial" w:hAnsi="Arial"/>
          <w:sz w:val="21"/>
          <w:szCs w:val="21"/>
          <w:highlight w:val="none"/>
        </w:rPr>
      </w:pPr>
    </w:p>
    <w:p w14:paraId="5A83C987">
      <w:pPr>
        <w:overflowPunct w:val="0"/>
        <w:spacing w:line="480" w:lineRule="auto"/>
        <w:ind w:firstLine="420" w:firstLineChars="200"/>
        <w:jc w:val="center"/>
        <w:rPr>
          <w:rFonts w:ascii="Arial" w:hAnsi="Arial"/>
          <w:sz w:val="21"/>
          <w:szCs w:val="21"/>
          <w:highlight w:val="none"/>
        </w:rPr>
      </w:pPr>
    </w:p>
    <w:p w14:paraId="0CD736A8">
      <w:pPr>
        <w:overflowPunct w:val="0"/>
        <w:spacing w:line="480" w:lineRule="auto"/>
        <w:ind w:firstLine="420" w:firstLineChars="200"/>
        <w:jc w:val="center"/>
        <w:rPr>
          <w:rFonts w:ascii="Arial" w:hAnsi="Arial"/>
          <w:sz w:val="21"/>
          <w:szCs w:val="21"/>
          <w:highlight w:val="none"/>
        </w:rPr>
      </w:pPr>
    </w:p>
    <w:p w14:paraId="3758931D">
      <w:pPr>
        <w:overflowPunct w:val="0"/>
        <w:spacing w:line="480" w:lineRule="auto"/>
        <w:ind w:firstLine="420" w:firstLineChars="200"/>
        <w:jc w:val="center"/>
        <w:rPr>
          <w:rFonts w:ascii="Arial" w:hAnsi="Arial"/>
          <w:sz w:val="21"/>
          <w:szCs w:val="21"/>
          <w:highlight w:val="none"/>
        </w:rPr>
      </w:pPr>
    </w:p>
    <w:p w14:paraId="5C108F55">
      <w:pPr>
        <w:overflowPunct w:val="0"/>
        <w:spacing w:line="480" w:lineRule="auto"/>
        <w:ind w:firstLine="420" w:firstLineChars="200"/>
        <w:jc w:val="center"/>
        <w:rPr>
          <w:rFonts w:ascii="Arial" w:hAnsi="Arial"/>
          <w:sz w:val="21"/>
          <w:szCs w:val="21"/>
          <w:highlight w:val="none"/>
        </w:rPr>
      </w:pPr>
    </w:p>
    <w:p w14:paraId="02579AE1">
      <w:pPr>
        <w:overflowPunct w:val="0"/>
        <w:spacing w:line="480" w:lineRule="auto"/>
        <w:ind w:firstLine="420" w:firstLineChars="200"/>
        <w:jc w:val="center"/>
        <w:rPr>
          <w:rFonts w:ascii="Arial" w:hAnsi="Arial"/>
          <w:sz w:val="21"/>
          <w:szCs w:val="21"/>
          <w:highlight w:val="none"/>
        </w:rPr>
      </w:pPr>
    </w:p>
    <w:p w14:paraId="75DD6BE6">
      <w:pPr>
        <w:overflowPunct w:val="0"/>
        <w:spacing w:line="480" w:lineRule="auto"/>
        <w:ind w:firstLine="420" w:firstLineChars="200"/>
        <w:jc w:val="center"/>
        <w:rPr>
          <w:rFonts w:ascii="Arial" w:hAnsi="Arial"/>
          <w:sz w:val="21"/>
          <w:szCs w:val="21"/>
          <w:highlight w:val="none"/>
        </w:rPr>
      </w:pPr>
    </w:p>
    <w:p w14:paraId="4A813F4E">
      <w:pPr>
        <w:overflowPunct w:val="0"/>
        <w:spacing w:line="480" w:lineRule="auto"/>
        <w:ind w:firstLine="420" w:firstLineChars="200"/>
        <w:jc w:val="center"/>
        <w:rPr>
          <w:rFonts w:ascii="Arial" w:hAnsi="Arial"/>
          <w:sz w:val="21"/>
          <w:szCs w:val="21"/>
          <w:highlight w:val="none"/>
        </w:rPr>
      </w:pPr>
    </w:p>
    <w:p w14:paraId="5B6681B4">
      <w:pPr>
        <w:overflowPunct w:val="0"/>
        <w:spacing w:line="480" w:lineRule="auto"/>
        <w:ind w:firstLine="420" w:firstLineChars="200"/>
        <w:jc w:val="center"/>
        <w:rPr>
          <w:rFonts w:ascii="Arial" w:hAnsi="Arial"/>
          <w:sz w:val="21"/>
          <w:szCs w:val="21"/>
          <w:highlight w:val="none"/>
        </w:rPr>
      </w:pPr>
    </w:p>
    <w:p w14:paraId="068AC597">
      <w:pPr>
        <w:wordWrap w:val="0"/>
        <w:overflowPunct w:val="0"/>
        <w:spacing w:line="480" w:lineRule="auto"/>
        <w:rPr>
          <w:rFonts w:ascii="Arial" w:hAnsi="Arial"/>
          <w:sz w:val="21"/>
          <w:szCs w:val="21"/>
          <w:highlight w:val="none"/>
        </w:rPr>
      </w:pPr>
    </w:p>
    <w:p w14:paraId="14CAD440">
      <w:pPr>
        <w:wordWrap w:val="0"/>
        <w:overflowPunct w:val="0"/>
        <w:spacing w:line="480" w:lineRule="auto"/>
        <w:ind w:firstLine="420" w:firstLineChars="200"/>
        <w:rPr>
          <w:rFonts w:ascii="Arial" w:hAnsi="Arial"/>
          <w:sz w:val="21"/>
          <w:szCs w:val="21"/>
          <w:highlight w:val="none"/>
        </w:rPr>
      </w:pPr>
      <w:r>
        <w:rPr>
          <w:rFonts w:ascii="Arial" w:hAnsi="Arial"/>
          <w:sz w:val="21"/>
          <w:szCs w:val="21"/>
          <w:highlight w:val="none"/>
        </w:rPr>
        <w:br w:type="page"/>
      </w:r>
      <w:r>
        <w:rPr>
          <w:rFonts w:hint="eastAsia" w:ascii="Arial" w:hAnsi="Arial"/>
          <w:sz w:val="21"/>
          <w:szCs w:val="21"/>
          <w:highlight w:val="none"/>
        </w:rPr>
        <w:t>（2）</w:t>
      </w:r>
      <w:r>
        <w:rPr>
          <w:rFonts w:ascii="Arial" w:hAnsi="Arial"/>
          <w:sz w:val="21"/>
          <w:szCs w:val="21"/>
          <w:highlight w:val="none"/>
        </w:rPr>
        <w:t xml:space="preserve"> </w:t>
      </w:r>
      <w:r>
        <w:rPr>
          <w:rFonts w:hint="eastAsia" w:ascii="Arial" w:hAnsi="Arial"/>
          <w:sz w:val="21"/>
          <w:szCs w:val="21"/>
          <w:highlight w:val="none"/>
        </w:rPr>
        <w:t>建立比较因素条件指数表和因素比较修正系数表</w:t>
      </w:r>
      <w:r>
        <w:rPr>
          <w:rFonts w:ascii="Arial" w:hAnsi="Arial"/>
          <w:sz w:val="21"/>
          <w:szCs w:val="21"/>
          <w:highlight w:val="none"/>
        </w:rPr>
        <w:t xml:space="preserve"> </w:t>
      </w:r>
    </w:p>
    <w:p w14:paraId="443D5D0A">
      <w:pPr>
        <w:wordWrap w:val="0"/>
        <w:overflowPunct w:val="0"/>
        <w:spacing w:line="480" w:lineRule="auto"/>
        <w:ind w:firstLine="420" w:firstLineChars="200"/>
        <w:rPr>
          <w:rFonts w:ascii="Arial" w:hAnsi="Arial"/>
          <w:sz w:val="21"/>
          <w:szCs w:val="21"/>
          <w:highlight w:val="none"/>
        </w:rPr>
      </w:pPr>
      <w:r>
        <w:rPr>
          <w:rFonts w:ascii="Arial" w:hAnsi="Arial"/>
          <w:sz w:val="21"/>
          <w:szCs w:val="21"/>
          <w:highlight w:val="none"/>
        </w:rPr>
        <w:t>根据对估价对象和可比案例情况的分析，把各可比案例的自身状况按照参比因素分别与估价对象的相应状况进行比较，编制比较因素条件指数表。具体如下</w:t>
      </w:r>
      <w:r>
        <w:rPr>
          <w:rFonts w:hint="eastAsia" w:ascii="Arial" w:hAnsi="Arial"/>
          <w:sz w:val="21"/>
          <w:szCs w:val="21"/>
          <w:highlight w:val="none"/>
        </w:rPr>
        <w:t>：</w:t>
      </w:r>
    </w:p>
    <w:p w14:paraId="01270E8C">
      <w:pPr>
        <w:overflowPunct w:val="0"/>
        <w:spacing w:line="480" w:lineRule="auto"/>
        <w:ind w:firstLine="420" w:firstLineChars="200"/>
        <w:jc w:val="center"/>
        <w:rPr>
          <w:rFonts w:ascii="Arial" w:hAnsi="Arial"/>
          <w:sz w:val="21"/>
          <w:szCs w:val="21"/>
          <w:highlight w:val="none"/>
        </w:rPr>
      </w:pPr>
      <w:r>
        <w:rPr>
          <w:rFonts w:hint="eastAsia" w:ascii="Arial" w:hAnsi="Arial"/>
          <w:sz w:val="21"/>
          <w:szCs w:val="21"/>
          <w:highlight w:val="none"/>
          <w:lang w:eastAsia="zh-CN"/>
        </w:rPr>
        <w:t>育新花园</w:t>
      </w:r>
      <w:r>
        <w:rPr>
          <w:rFonts w:ascii="Arial" w:hAnsi="Arial"/>
          <w:sz w:val="21"/>
          <w:szCs w:val="21"/>
          <w:highlight w:val="none"/>
        </w:rPr>
        <w:t>比较因素条件指数表</w:t>
      </w:r>
    </w:p>
    <w:tbl>
      <w:tblPr>
        <w:tblStyle w:val="33"/>
        <w:tblW w:w="4936" w:type="pct"/>
        <w:jc w:val="center"/>
        <w:tblLayout w:type="autofit"/>
        <w:tblCellMar>
          <w:top w:w="57" w:type="dxa"/>
          <w:left w:w="57" w:type="dxa"/>
          <w:bottom w:w="57" w:type="dxa"/>
          <w:right w:w="57" w:type="dxa"/>
        </w:tblCellMar>
      </w:tblPr>
      <w:tblGrid>
        <w:gridCol w:w="566"/>
        <w:gridCol w:w="996"/>
        <w:gridCol w:w="988"/>
        <w:gridCol w:w="988"/>
        <w:gridCol w:w="988"/>
        <w:gridCol w:w="988"/>
        <w:gridCol w:w="3779"/>
      </w:tblGrid>
      <w:tr w14:paraId="66F8449F">
        <w:tblPrEx>
          <w:tblCellMar>
            <w:top w:w="57" w:type="dxa"/>
            <w:left w:w="57" w:type="dxa"/>
            <w:bottom w:w="57" w:type="dxa"/>
            <w:right w:w="57" w:type="dxa"/>
          </w:tblCellMar>
        </w:tblPrEx>
        <w:trPr>
          <w:trHeight w:val="20" w:hRule="atLeast"/>
          <w:tblHeader/>
          <w:jc w:val="center"/>
        </w:trPr>
        <w:tc>
          <w:tcPr>
            <w:tcW w:w="841" w:type="pct"/>
            <w:gridSpan w:val="2"/>
            <w:vMerge w:val="restart"/>
            <w:tcBorders>
              <w:top w:val="single" w:color="auto" w:sz="4" w:space="0"/>
              <w:left w:val="single" w:color="auto" w:sz="4" w:space="0"/>
              <w:bottom w:val="single" w:color="000000" w:sz="4" w:space="0"/>
              <w:right w:val="single" w:color="000000" w:sz="4" w:space="0"/>
              <w:tl2br w:val="single" w:color="auto" w:sz="4" w:space="0"/>
            </w:tcBorders>
            <w:vAlign w:val="center"/>
          </w:tcPr>
          <w:p w14:paraId="07272B45">
            <w:pPr>
              <w:snapToGrid w:val="0"/>
              <w:spacing w:line="240" w:lineRule="exact"/>
              <w:jc w:val="right"/>
              <w:rPr>
                <w:rFonts w:ascii="宋体" w:hAnsi="宋体" w:cs="Arial"/>
                <w:sz w:val="16"/>
                <w:szCs w:val="18"/>
                <w:highlight w:val="none"/>
              </w:rPr>
            </w:pPr>
            <w:r>
              <w:rPr>
                <w:rFonts w:ascii="宋体" w:hAnsi="宋体" w:cs="Arial"/>
                <w:sz w:val="16"/>
                <w:szCs w:val="18"/>
                <w:highlight w:val="none"/>
              </w:rPr>
              <w:t>估价对象及</w:t>
            </w:r>
          </w:p>
          <w:p w14:paraId="69418874">
            <w:pPr>
              <w:snapToGrid w:val="0"/>
              <w:spacing w:line="240" w:lineRule="exact"/>
              <w:jc w:val="right"/>
              <w:rPr>
                <w:rFonts w:ascii="宋体" w:hAnsi="宋体" w:cs="Arial"/>
                <w:sz w:val="16"/>
                <w:szCs w:val="18"/>
                <w:highlight w:val="none"/>
              </w:rPr>
            </w:pPr>
            <w:r>
              <w:rPr>
                <w:rFonts w:ascii="宋体" w:hAnsi="宋体" w:cs="Arial"/>
                <w:sz w:val="16"/>
                <w:szCs w:val="18"/>
                <w:highlight w:val="none"/>
              </w:rPr>
              <w:t>可比实例</w:t>
            </w:r>
          </w:p>
          <w:p w14:paraId="302B5B29">
            <w:pPr>
              <w:snapToGrid w:val="0"/>
              <w:spacing w:line="240" w:lineRule="exact"/>
              <w:jc w:val="both"/>
              <w:rPr>
                <w:rFonts w:ascii="宋体" w:hAnsi="宋体" w:cs="Arial"/>
                <w:sz w:val="16"/>
                <w:szCs w:val="18"/>
                <w:highlight w:val="none"/>
              </w:rPr>
            </w:pPr>
          </w:p>
          <w:p w14:paraId="43F4B7A5">
            <w:pPr>
              <w:snapToGrid w:val="0"/>
              <w:spacing w:line="240" w:lineRule="exact"/>
              <w:jc w:val="both"/>
              <w:rPr>
                <w:rFonts w:ascii="宋体" w:hAnsi="宋体" w:cs="Arial"/>
                <w:sz w:val="16"/>
                <w:szCs w:val="18"/>
                <w:highlight w:val="none"/>
              </w:rPr>
            </w:pPr>
          </w:p>
          <w:p w14:paraId="3734A9F0">
            <w:pPr>
              <w:snapToGrid w:val="0"/>
              <w:spacing w:line="240" w:lineRule="exact"/>
              <w:jc w:val="both"/>
              <w:rPr>
                <w:rFonts w:ascii="宋体" w:hAnsi="宋体" w:cs="Arial"/>
                <w:sz w:val="16"/>
                <w:szCs w:val="18"/>
                <w:highlight w:val="none"/>
              </w:rPr>
            </w:pPr>
            <w:r>
              <w:rPr>
                <w:rFonts w:ascii="宋体" w:hAnsi="宋体" w:cs="Arial"/>
                <w:sz w:val="16"/>
                <w:szCs w:val="18"/>
                <w:highlight w:val="none"/>
              </w:rPr>
              <w:t>比较因素</w:t>
            </w:r>
          </w:p>
        </w:tc>
        <w:tc>
          <w:tcPr>
            <w:tcW w:w="531" w:type="pct"/>
            <w:tcBorders>
              <w:top w:val="single" w:color="auto" w:sz="4" w:space="0"/>
              <w:left w:val="nil"/>
              <w:bottom w:val="single" w:color="auto" w:sz="4" w:space="0"/>
              <w:right w:val="single" w:color="auto" w:sz="4" w:space="0"/>
            </w:tcBorders>
            <w:vAlign w:val="center"/>
          </w:tcPr>
          <w:p w14:paraId="16AE1350">
            <w:pPr>
              <w:snapToGrid w:val="0"/>
              <w:spacing w:line="240" w:lineRule="exact"/>
              <w:jc w:val="both"/>
              <w:rPr>
                <w:rFonts w:ascii="宋体" w:hAnsi="宋体" w:cs="Arial"/>
                <w:sz w:val="16"/>
                <w:szCs w:val="18"/>
                <w:highlight w:val="none"/>
              </w:rPr>
            </w:pPr>
            <w:r>
              <w:rPr>
                <w:rFonts w:ascii="宋体" w:hAnsi="宋体" w:cs="Arial"/>
                <w:sz w:val="16"/>
                <w:szCs w:val="18"/>
                <w:highlight w:val="none"/>
              </w:rPr>
              <w:t>估价对象</w:t>
            </w:r>
          </w:p>
        </w:tc>
        <w:tc>
          <w:tcPr>
            <w:tcW w:w="531" w:type="pct"/>
            <w:tcBorders>
              <w:top w:val="single" w:color="auto" w:sz="4" w:space="0"/>
              <w:left w:val="nil"/>
              <w:bottom w:val="single" w:color="auto" w:sz="4" w:space="0"/>
              <w:right w:val="single" w:color="auto" w:sz="4" w:space="0"/>
            </w:tcBorders>
            <w:vAlign w:val="center"/>
          </w:tcPr>
          <w:p w14:paraId="04D57A3C">
            <w:pPr>
              <w:snapToGrid w:val="0"/>
              <w:spacing w:line="240" w:lineRule="exact"/>
              <w:jc w:val="both"/>
              <w:rPr>
                <w:rFonts w:hint="eastAsia" w:ascii="宋体" w:hAnsi="宋体" w:eastAsia="宋体" w:cs="Arial"/>
                <w:sz w:val="16"/>
                <w:szCs w:val="18"/>
                <w:highlight w:val="none"/>
                <w:lang w:val="en-US" w:eastAsia="zh-CN"/>
              </w:rPr>
            </w:pPr>
            <w:r>
              <w:rPr>
                <w:rFonts w:ascii="宋体" w:hAnsi="宋体" w:cs="Arial"/>
                <w:sz w:val="16"/>
                <w:szCs w:val="18"/>
                <w:highlight w:val="none"/>
              </w:rPr>
              <w:t>可比实例</w:t>
            </w:r>
            <w:r>
              <w:rPr>
                <w:rFonts w:hint="eastAsia" w:ascii="宋体" w:hAnsi="宋体" w:cs="Arial"/>
                <w:sz w:val="16"/>
                <w:szCs w:val="18"/>
                <w:highlight w:val="none"/>
                <w:lang w:val="en-US" w:eastAsia="zh-CN"/>
              </w:rPr>
              <w:t>7</w:t>
            </w:r>
          </w:p>
        </w:tc>
        <w:tc>
          <w:tcPr>
            <w:tcW w:w="531" w:type="pct"/>
            <w:tcBorders>
              <w:top w:val="single" w:color="auto" w:sz="4" w:space="0"/>
              <w:left w:val="nil"/>
              <w:bottom w:val="single" w:color="auto" w:sz="4" w:space="0"/>
              <w:right w:val="single" w:color="auto" w:sz="4" w:space="0"/>
            </w:tcBorders>
            <w:vAlign w:val="center"/>
          </w:tcPr>
          <w:p w14:paraId="5BB08A5C">
            <w:pPr>
              <w:snapToGrid w:val="0"/>
              <w:spacing w:line="240" w:lineRule="exact"/>
              <w:jc w:val="both"/>
              <w:rPr>
                <w:rFonts w:hint="eastAsia" w:ascii="宋体" w:hAnsi="宋体" w:eastAsia="宋体" w:cs="Arial"/>
                <w:sz w:val="16"/>
                <w:szCs w:val="18"/>
                <w:highlight w:val="none"/>
                <w:lang w:val="en-US" w:eastAsia="zh-CN"/>
              </w:rPr>
            </w:pPr>
            <w:r>
              <w:rPr>
                <w:rFonts w:ascii="宋体" w:hAnsi="宋体" w:cs="Arial"/>
                <w:sz w:val="16"/>
                <w:szCs w:val="18"/>
                <w:highlight w:val="none"/>
              </w:rPr>
              <w:t>可比实例</w:t>
            </w:r>
            <w:r>
              <w:rPr>
                <w:rFonts w:hint="eastAsia" w:ascii="宋体" w:hAnsi="宋体" w:cs="Arial"/>
                <w:sz w:val="16"/>
                <w:szCs w:val="18"/>
                <w:highlight w:val="none"/>
                <w:lang w:val="en-US" w:eastAsia="zh-CN"/>
              </w:rPr>
              <w:t>8</w:t>
            </w:r>
          </w:p>
        </w:tc>
        <w:tc>
          <w:tcPr>
            <w:tcW w:w="531" w:type="pct"/>
            <w:tcBorders>
              <w:top w:val="single" w:color="auto" w:sz="4" w:space="0"/>
              <w:left w:val="nil"/>
              <w:bottom w:val="single" w:color="auto" w:sz="4" w:space="0"/>
              <w:right w:val="single" w:color="auto" w:sz="4" w:space="0"/>
            </w:tcBorders>
            <w:vAlign w:val="center"/>
          </w:tcPr>
          <w:p w14:paraId="2E6ECC50">
            <w:pPr>
              <w:snapToGrid w:val="0"/>
              <w:spacing w:line="240" w:lineRule="exact"/>
              <w:jc w:val="both"/>
              <w:rPr>
                <w:rFonts w:hint="eastAsia" w:ascii="宋体" w:hAnsi="宋体" w:eastAsia="宋体" w:cs="Arial"/>
                <w:sz w:val="16"/>
                <w:szCs w:val="18"/>
                <w:highlight w:val="none"/>
                <w:lang w:val="en-US" w:eastAsia="zh-CN"/>
              </w:rPr>
            </w:pPr>
            <w:r>
              <w:rPr>
                <w:rFonts w:ascii="宋体" w:hAnsi="宋体" w:cs="Arial"/>
                <w:sz w:val="16"/>
                <w:szCs w:val="18"/>
                <w:highlight w:val="none"/>
              </w:rPr>
              <w:t>可比实例</w:t>
            </w:r>
            <w:r>
              <w:rPr>
                <w:rFonts w:hint="eastAsia" w:ascii="宋体" w:hAnsi="宋体" w:cs="Arial"/>
                <w:sz w:val="16"/>
                <w:szCs w:val="18"/>
                <w:highlight w:val="none"/>
                <w:lang w:val="en-US" w:eastAsia="zh-CN"/>
              </w:rPr>
              <w:t>9</w:t>
            </w:r>
          </w:p>
        </w:tc>
        <w:tc>
          <w:tcPr>
            <w:tcW w:w="2032" w:type="pct"/>
            <w:tcBorders>
              <w:top w:val="single" w:color="auto" w:sz="4" w:space="0"/>
              <w:left w:val="nil"/>
              <w:bottom w:val="single" w:color="auto" w:sz="4" w:space="0"/>
              <w:right w:val="single" w:color="auto" w:sz="4" w:space="0"/>
            </w:tcBorders>
            <w:vAlign w:val="center"/>
          </w:tcPr>
          <w:p w14:paraId="542D0CC4">
            <w:pPr>
              <w:snapToGrid w:val="0"/>
              <w:spacing w:line="240" w:lineRule="exact"/>
              <w:jc w:val="both"/>
              <w:rPr>
                <w:rFonts w:ascii="宋体" w:hAnsi="宋体" w:cs="Arial"/>
                <w:sz w:val="16"/>
                <w:szCs w:val="18"/>
                <w:highlight w:val="none"/>
              </w:rPr>
            </w:pPr>
            <w:r>
              <w:rPr>
                <w:rFonts w:ascii="宋体" w:hAnsi="宋体" w:cs="Arial"/>
                <w:sz w:val="16"/>
                <w:szCs w:val="18"/>
                <w:highlight w:val="none"/>
              </w:rPr>
              <w:t>比较因素调整说明</w:t>
            </w:r>
          </w:p>
        </w:tc>
      </w:tr>
      <w:tr w14:paraId="5D71B6DF">
        <w:tblPrEx>
          <w:tblCellMar>
            <w:top w:w="57" w:type="dxa"/>
            <w:left w:w="57" w:type="dxa"/>
            <w:bottom w:w="57" w:type="dxa"/>
            <w:right w:w="57" w:type="dxa"/>
          </w:tblCellMar>
        </w:tblPrEx>
        <w:trPr>
          <w:trHeight w:val="20" w:hRule="atLeast"/>
          <w:tblHeader/>
          <w:jc w:val="center"/>
        </w:trPr>
        <w:tc>
          <w:tcPr>
            <w:tcW w:w="841" w:type="pct"/>
            <w:gridSpan w:val="2"/>
            <w:vMerge w:val="continue"/>
            <w:tcBorders>
              <w:top w:val="single" w:color="auto" w:sz="4" w:space="0"/>
              <w:left w:val="single" w:color="auto" w:sz="4" w:space="0"/>
              <w:bottom w:val="single" w:color="000000" w:sz="4" w:space="0"/>
              <w:right w:val="single" w:color="000000" w:sz="4" w:space="0"/>
            </w:tcBorders>
            <w:vAlign w:val="center"/>
          </w:tcPr>
          <w:p w14:paraId="1F263795">
            <w:pPr>
              <w:snapToGrid w:val="0"/>
              <w:spacing w:line="240" w:lineRule="exact"/>
              <w:jc w:val="both"/>
              <w:rPr>
                <w:rFonts w:ascii="宋体" w:hAnsi="宋体" w:cs="Arial"/>
                <w:sz w:val="16"/>
                <w:szCs w:val="18"/>
                <w:highlight w:val="none"/>
              </w:rPr>
            </w:pPr>
          </w:p>
        </w:tc>
        <w:tc>
          <w:tcPr>
            <w:tcW w:w="531" w:type="pct"/>
            <w:tcBorders>
              <w:top w:val="nil"/>
              <w:left w:val="nil"/>
              <w:bottom w:val="single" w:color="auto" w:sz="4" w:space="0"/>
              <w:right w:val="single" w:color="auto" w:sz="4" w:space="0"/>
            </w:tcBorders>
            <w:vAlign w:val="center"/>
          </w:tcPr>
          <w:p w14:paraId="2449D708">
            <w:pPr>
              <w:pStyle w:val="61"/>
              <w:autoSpaceDE w:val="0"/>
              <w:autoSpaceDN w:val="0"/>
              <w:spacing w:line="240" w:lineRule="exact"/>
              <w:textAlignment w:val="bottom"/>
              <w:rPr>
                <w:rFonts w:hint="eastAsia" w:ascii="Arial" w:hAnsi="Arial" w:eastAsia="宋体" w:cs="Arial"/>
                <w:sz w:val="16"/>
                <w:szCs w:val="18"/>
                <w:highlight w:val="none"/>
                <w:lang w:eastAsia="zh-CN"/>
              </w:rPr>
            </w:pPr>
            <w:r>
              <w:rPr>
                <w:rFonts w:hint="eastAsia" w:ascii="Arial" w:hAnsi="Arial" w:cs="Arial"/>
                <w:sz w:val="16"/>
                <w:szCs w:val="18"/>
                <w:highlight w:val="none"/>
                <w:lang w:eastAsia="zh-CN"/>
              </w:rPr>
              <w:t>育新花园</w:t>
            </w:r>
          </w:p>
        </w:tc>
        <w:tc>
          <w:tcPr>
            <w:tcW w:w="988" w:type="dxa"/>
            <w:tcBorders>
              <w:top w:val="nil"/>
              <w:left w:val="nil"/>
              <w:bottom w:val="single" w:color="auto" w:sz="4" w:space="0"/>
              <w:right w:val="single" w:color="auto" w:sz="4" w:space="0"/>
            </w:tcBorders>
            <w:vAlign w:val="center"/>
          </w:tcPr>
          <w:p w14:paraId="4FD86649">
            <w:pPr>
              <w:widowControl/>
              <w:spacing w:line="240" w:lineRule="exact"/>
              <w:jc w:val="center"/>
              <w:textAlignment w:val="center"/>
              <w:rPr>
                <w:rFonts w:ascii="Arial" w:hAnsi="Arial" w:cs="Arial"/>
                <w:sz w:val="16"/>
                <w:szCs w:val="18"/>
                <w:highlight w:val="none"/>
              </w:rPr>
            </w:pPr>
            <w:r>
              <w:rPr>
                <w:rFonts w:hint="eastAsia" w:ascii="Arial" w:hAnsi="Arial" w:cs="Arial"/>
                <w:sz w:val="16"/>
                <w:szCs w:val="18"/>
                <w:highlight w:val="none"/>
                <w:lang w:val="en-US" w:eastAsia="zh-CN"/>
              </w:rPr>
              <w:t>北京城建宽院国誉府</w:t>
            </w:r>
          </w:p>
        </w:tc>
        <w:tc>
          <w:tcPr>
            <w:tcW w:w="988" w:type="dxa"/>
            <w:tcBorders>
              <w:top w:val="nil"/>
              <w:left w:val="nil"/>
              <w:bottom w:val="single" w:color="auto" w:sz="4" w:space="0"/>
              <w:right w:val="single" w:color="auto" w:sz="4" w:space="0"/>
            </w:tcBorders>
            <w:vAlign w:val="center"/>
          </w:tcPr>
          <w:p w14:paraId="0BC19F64">
            <w:pPr>
              <w:widowControl/>
              <w:spacing w:line="240" w:lineRule="exact"/>
              <w:jc w:val="center"/>
              <w:textAlignment w:val="center"/>
              <w:rPr>
                <w:rFonts w:ascii="Arial" w:hAnsi="Arial" w:cs="Arial"/>
                <w:sz w:val="16"/>
                <w:szCs w:val="18"/>
                <w:highlight w:val="none"/>
              </w:rPr>
            </w:pPr>
            <w:r>
              <w:rPr>
                <w:rFonts w:hint="eastAsia" w:ascii="Arial" w:hAnsi="Arial" w:cs="Arial"/>
                <w:sz w:val="16"/>
                <w:szCs w:val="18"/>
                <w:highlight w:val="none"/>
                <w:lang w:val="en-US" w:eastAsia="zh-CN"/>
              </w:rPr>
              <w:t>恒盛波尔多小镇南区</w:t>
            </w:r>
            <w:r>
              <w:rPr>
                <w:rFonts w:hint="eastAsia" w:ascii="Arial" w:hAnsi="Arial" w:cs="Arial"/>
                <w:sz w:val="16"/>
                <w:szCs w:val="18"/>
                <w:highlight w:val="none"/>
              </w:rPr>
              <w:t>苑</w:t>
            </w:r>
          </w:p>
        </w:tc>
        <w:tc>
          <w:tcPr>
            <w:tcW w:w="988" w:type="dxa"/>
            <w:tcBorders>
              <w:top w:val="nil"/>
              <w:left w:val="nil"/>
              <w:bottom w:val="single" w:color="auto" w:sz="4" w:space="0"/>
              <w:right w:val="single" w:color="auto" w:sz="4" w:space="0"/>
            </w:tcBorders>
            <w:vAlign w:val="center"/>
          </w:tcPr>
          <w:p w14:paraId="6EDE48C0">
            <w:pPr>
              <w:widowControl/>
              <w:spacing w:line="240" w:lineRule="exact"/>
              <w:jc w:val="center"/>
              <w:textAlignment w:val="center"/>
              <w:rPr>
                <w:rFonts w:ascii="Arial" w:hAnsi="Arial" w:cs="Arial"/>
                <w:sz w:val="16"/>
                <w:szCs w:val="18"/>
                <w:highlight w:val="none"/>
              </w:rPr>
            </w:pPr>
            <w:r>
              <w:rPr>
                <w:rFonts w:hint="eastAsia" w:ascii="Arial" w:hAnsi="Arial" w:cs="Arial"/>
                <w:sz w:val="16"/>
                <w:szCs w:val="18"/>
                <w:highlight w:val="none"/>
              </w:rPr>
              <w:t>当代采育满庭春MOMA</w:t>
            </w:r>
          </w:p>
        </w:tc>
        <w:tc>
          <w:tcPr>
            <w:tcW w:w="2032" w:type="pct"/>
            <w:tcBorders>
              <w:top w:val="nil"/>
              <w:left w:val="nil"/>
              <w:bottom w:val="single" w:color="auto" w:sz="4" w:space="0"/>
              <w:right w:val="single" w:color="auto" w:sz="4" w:space="0"/>
            </w:tcBorders>
            <w:vAlign w:val="center"/>
          </w:tcPr>
          <w:p w14:paraId="0BF0C558">
            <w:pPr>
              <w:snapToGrid w:val="0"/>
              <w:spacing w:line="240" w:lineRule="exact"/>
              <w:jc w:val="both"/>
              <w:rPr>
                <w:rFonts w:ascii="宋体" w:hAnsi="宋体" w:cs="Arial"/>
                <w:sz w:val="16"/>
                <w:szCs w:val="18"/>
                <w:highlight w:val="none"/>
              </w:rPr>
            </w:pPr>
            <w:r>
              <w:rPr>
                <w:rFonts w:ascii="宋体" w:hAnsi="宋体" w:cs="Arial"/>
                <w:sz w:val="16"/>
                <w:szCs w:val="18"/>
                <w:highlight w:val="none"/>
              </w:rPr>
              <w:t>——</w:t>
            </w:r>
          </w:p>
        </w:tc>
      </w:tr>
      <w:tr w14:paraId="5BBAAD39">
        <w:tblPrEx>
          <w:tblCellMar>
            <w:top w:w="57" w:type="dxa"/>
            <w:left w:w="57" w:type="dxa"/>
            <w:bottom w:w="57" w:type="dxa"/>
            <w:right w:w="57" w:type="dxa"/>
          </w:tblCellMar>
        </w:tblPrEx>
        <w:trPr>
          <w:trHeight w:val="20" w:hRule="atLeast"/>
          <w:jc w:val="center"/>
        </w:trPr>
        <w:tc>
          <w:tcPr>
            <w:tcW w:w="841" w:type="pct"/>
            <w:gridSpan w:val="2"/>
            <w:tcBorders>
              <w:top w:val="single" w:color="auto" w:sz="4" w:space="0"/>
              <w:left w:val="single" w:color="auto" w:sz="4" w:space="0"/>
              <w:bottom w:val="single" w:color="auto" w:sz="4" w:space="0"/>
              <w:right w:val="single" w:color="000000" w:sz="4" w:space="0"/>
            </w:tcBorders>
            <w:vAlign w:val="center"/>
          </w:tcPr>
          <w:p w14:paraId="7F7B710D">
            <w:pPr>
              <w:snapToGrid w:val="0"/>
              <w:spacing w:line="240" w:lineRule="exact"/>
              <w:jc w:val="both"/>
              <w:rPr>
                <w:rFonts w:ascii="宋体" w:hAnsi="宋体" w:cs="Arial"/>
                <w:sz w:val="16"/>
                <w:szCs w:val="18"/>
                <w:highlight w:val="none"/>
              </w:rPr>
            </w:pPr>
            <w:r>
              <w:rPr>
                <w:rFonts w:ascii="宋体" w:hAnsi="宋体" w:cs="Arial"/>
                <w:sz w:val="16"/>
                <w:szCs w:val="18"/>
                <w:highlight w:val="none"/>
              </w:rPr>
              <w:t>确定的租金价格（元/平方米·天）</w:t>
            </w:r>
          </w:p>
        </w:tc>
        <w:tc>
          <w:tcPr>
            <w:tcW w:w="531" w:type="pct"/>
            <w:tcBorders>
              <w:top w:val="nil"/>
              <w:left w:val="nil"/>
              <w:bottom w:val="single" w:color="auto" w:sz="4" w:space="0"/>
              <w:right w:val="single" w:color="auto" w:sz="4" w:space="0"/>
            </w:tcBorders>
            <w:noWrap/>
            <w:vAlign w:val="center"/>
          </w:tcPr>
          <w:p w14:paraId="5A6E9DA5">
            <w:pPr>
              <w:pStyle w:val="61"/>
              <w:autoSpaceDE w:val="0"/>
              <w:autoSpaceDN w:val="0"/>
              <w:spacing w:line="240" w:lineRule="exact"/>
              <w:jc w:val="left"/>
              <w:textAlignment w:val="bottom"/>
              <w:rPr>
                <w:rFonts w:hAnsi="宋体" w:cs="Arial"/>
                <w:sz w:val="16"/>
                <w:szCs w:val="18"/>
                <w:highlight w:val="none"/>
              </w:rPr>
            </w:pPr>
            <w:r>
              <w:rPr>
                <w:rFonts w:ascii="Arial" w:hAnsi="Arial" w:cs="Arial"/>
                <w:sz w:val="16"/>
                <w:szCs w:val="18"/>
                <w:highlight w:val="none"/>
              </w:rPr>
              <w:t>待估</w:t>
            </w:r>
          </w:p>
        </w:tc>
        <w:tc>
          <w:tcPr>
            <w:tcW w:w="988" w:type="dxa"/>
            <w:tcBorders>
              <w:top w:val="nil"/>
              <w:left w:val="nil"/>
              <w:bottom w:val="single" w:color="auto" w:sz="4" w:space="0"/>
              <w:right w:val="single" w:color="auto" w:sz="4" w:space="0"/>
            </w:tcBorders>
            <w:noWrap/>
            <w:vAlign w:val="center"/>
          </w:tcPr>
          <w:p w14:paraId="1F77C038">
            <w:pPr>
              <w:autoSpaceDE w:val="0"/>
              <w:autoSpaceDN w:val="0"/>
              <w:spacing w:line="240" w:lineRule="exact"/>
              <w:jc w:val="left"/>
              <w:textAlignment w:val="bottom"/>
              <w:rPr>
                <w:rFonts w:ascii="Arial" w:hAnsi="Arial" w:cs="Arial"/>
                <w:sz w:val="16"/>
                <w:szCs w:val="18"/>
                <w:highlight w:val="none"/>
              </w:rPr>
            </w:pPr>
            <w:r>
              <w:rPr>
                <w:rFonts w:hint="eastAsia" w:ascii="Arial" w:hAnsi="Arial" w:cs="Arial"/>
                <w:sz w:val="16"/>
                <w:szCs w:val="18"/>
                <w:highlight w:val="none"/>
                <w:lang w:val="en-US" w:eastAsia="zh-CN"/>
              </w:rPr>
              <w:t>12.21</w:t>
            </w:r>
          </w:p>
        </w:tc>
        <w:tc>
          <w:tcPr>
            <w:tcW w:w="988" w:type="dxa"/>
            <w:tcBorders>
              <w:top w:val="nil"/>
              <w:left w:val="nil"/>
              <w:bottom w:val="single" w:color="auto" w:sz="4" w:space="0"/>
              <w:right w:val="single" w:color="auto" w:sz="4" w:space="0"/>
            </w:tcBorders>
            <w:noWrap/>
            <w:vAlign w:val="center"/>
          </w:tcPr>
          <w:p w14:paraId="6614951C">
            <w:pPr>
              <w:autoSpaceDE w:val="0"/>
              <w:autoSpaceDN w:val="0"/>
              <w:spacing w:line="240" w:lineRule="exact"/>
              <w:jc w:val="left"/>
              <w:textAlignment w:val="bottom"/>
              <w:rPr>
                <w:rFonts w:ascii="Arial" w:hAnsi="Arial" w:cs="Arial"/>
                <w:sz w:val="16"/>
                <w:szCs w:val="18"/>
                <w:highlight w:val="none"/>
              </w:rPr>
            </w:pPr>
            <w:r>
              <w:rPr>
                <w:rFonts w:hint="eastAsia" w:ascii="Arial" w:hAnsi="Arial" w:cs="Arial"/>
                <w:sz w:val="16"/>
                <w:szCs w:val="18"/>
                <w:highlight w:val="none"/>
                <w:lang w:val="en-US" w:eastAsia="zh-CN"/>
              </w:rPr>
              <w:t>16.32</w:t>
            </w:r>
          </w:p>
        </w:tc>
        <w:tc>
          <w:tcPr>
            <w:tcW w:w="988" w:type="dxa"/>
            <w:tcBorders>
              <w:top w:val="nil"/>
              <w:left w:val="nil"/>
              <w:bottom w:val="single" w:color="auto" w:sz="4" w:space="0"/>
              <w:right w:val="single" w:color="auto" w:sz="4" w:space="0"/>
            </w:tcBorders>
            <w:noWrap/>
            <w:vAlign w:val="center"/>
          </w:tcPr>
          <w:p w14:paraId="49905CD4">
            <w:pPr>
              <w:autoSpaceDE w:val="0"/>
              <w:autoSpaceDN w:val="0"/>
              <w:spacing w:line="240" w:lineRule="exact"/>
              <w:jc w:val="left"/>
              <w:textAlignment w:val="bottom"/>
              <w:rPr>
                <w:rFonts w:ascii="Arial" w:hAnsi="Arial" w:cs="Arial"/>
                <w:sz w:val="16"/>
                <w:szCs w:val="18"/>
                <w:highlight w:val="none"/>
              </w:rPr>
            </w:pPr>
            <w:r>
              <w:rPr>
                <w:rFonts w:hint="eastAsia" w:ascii="Arial" w:hAnsi="Arial" w:cs="Arial"/>
                <w:sz w:val="16"/>
                <w:szCs w:val="18"/>
                <w:highlight w:val="none"/>
                <w:lang w:val="en-US" w:eastAsia="zh-CN"/>
              </w:rPr>
              <w:t>17.34</w:t>
            </w:r>
          </w:p>
        </w:tc>
        <w:tc>
          <w:tcPr>
            <w:tcW w:w="2032" w:type="pct"/>
            <w:tcBorders>
              <w:top w:val="nil"/>
              <w:left w:val="nil"/>
              <w:bottom w:val="single" w:color="auto" w:sz="4" w:space="0"/>
              <w:right w:val="single" w:color="auto" w:sz="4" w:space="0"/>
            </w:tcBorders>
            <w:vAlign w:val="center"/>
          </w:tcPr>
          <w:p w14:paraId="213BB3D0">
            <w:pPr>
              <w:snapToGrid w:val="0"/>
              <w:spacing w:line="240" w:lineRule="exact"/>
              <w:jc w:val="both"/>
              <w:rPr>
                <w:rFonts w:ascii="宋体" w:hAnsi="宋体" w:cs="Arial"/>
                <w:sz w:val="16"/>
                <w:szCs w:val="18"/>
                <w:highlight w:val="none"/>
              </w:rPr>
            </w:pPr>
            <w:r>
              <w:rPr>
                <w:rFonts w:ascii="宋体" w:hAnsi="宋体" w:cs="Arial"/>
                <w:sz w:val="16"/>
                <w:szCs w:val="18"/>
                <w:highlight w:val="none"/>
              </w:rPr>
              <w:t>——</w:t>
            </w:r>
          </w:p>
        </w:tc>
      </w:tr>
      <w:tr w14:paraId="5692280F">
        <w:tblPrEx>
          <w:tblCellMar>
            <w:top w:w="57" w:type="dxa"/>
            <w:left w:w="57" w:type="dxa"/>
            <w:bottom w:w="57" w:type="dxa"/>
            <w:right w:w="57" w:type="dxa"/>
          </w:tblCellMar>
        </w:tblPrEx>
        <w:trPr>
          <w:trHeight w:val="20" w:hRule="atLeast"/>
          <w:jc w:val="center"/>
        </w:trPr>
        <w:tc>
          <w:tcPr>
            <w:tcW w:w="841" w:type="pct"/>
            <w:gridSpan w:val="2"/>
            <w:tcBorders>
              <w:top w:val="single" w:color="auto" w:sz="4" w:space="0"/>
              <w:left w:val="single" w:color="auto" w:sz="4" w:space="0"/>
              <w:bottom w:val="single" w:color="auto" w:sz="4" w:space="0"/>
              <w:right w:val="single" w:color="auto" w:sz="4" w:space="0"/>
            </w:tcBorders>
            <w:vAlign w:val="center"/>
          </w:tcPr>
          <w:p w14:paraId="730C0DAE">
            <w:pPr>
              <w:snapToGrid w:val="0"/>
              <w:spacing w:line="240" w:lineRule="exact"/>
              <w:jc w:val="both"/>
              <w:rPr>
                <w:rFonts w:ascii="宋体" w:hAnsi="宋体" w:cs="Arial"/>
                <w:sz w:val="16"/>
                <w:szCs w:val="18"/>
                <w:highlight w:val="none"/>
              </w:rPr>
            </w:pPr>
            <w:r>
              <w:rPr>
                <w:rFonts w:ascii="宋体" w:hAnsi="宋体" w:cs="Arial"/>
                <w:sz w:val="16"/>
                <w:szCs w:val="18"/>
                <w:highlight w:val="none"/>
              </w:rPr>
              <w:t>交易时间</w:t>
            </w:r>
          </w:p>
        </w:tc>
        <w:tc>
          <w:tcPr>
            <w:tcW w:w="531" w:type="pct"/>
            <w:tcBorders>
              <w:top w:val="nil"/>
              <w:left w:val="nil"/>
              <w:bottom w:val="single" w:color="auto" w:sz="4" w:space="0"/>
              <w:right w:val="single" w:color="auto" w:sz="4" w:space="0"/>
            </w:tcBorders>
            <w:noWrap/>
            <w:vAlign w:val="center"/>
          </w:tcPr>
          <w:p w14:paraId="5D9F2BED">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38635335">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2D9AA36A">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48F3163B">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2032" w:type="pct"/>
            <w:tcBorders>
              <w:top w:val="nil"/>
              <w:left w:val="nil"/>
              <w:bottom w:val="single" w:color="auto" w:sz="4" w:space="0"/>
              <w:right w:val="single" w:color="auto" w:sz="4" w:space="0"/>
            </w:tcBorders>
            <w:vAlign w:val="center"/>
          </w:tcPr>
          <w:p w14:paraId="18C65C71">
            <w:pPr>
              <w:snapToGrid w:val="0"/>
              <w:spacing w:line="240" w:lineRule="exact"/>
              <w:jc w:val="both"/>
              <w:rPr>
                <w:rFonts w:ascii="Arial" w:hAnsi="Arial" w:cs="Arial"/>
                <w:sz w:val="16"/>
                <w:szCs w:val="18"/>
                <w:highlight w:val="none"/>
              </w:rPr>
            </w:pPr>
            <w:r>
              <w:rPr>
                <w:rFonts w:ascii="Arial" w:hAnsi="Arial" w:cs="Arial"/>
                <w:sz w:val="16"/>
                <w:szCs w:val="18"/>
                <w:highlight w:val="none"/>
              </w:rPr>
              <w:t>估价对象与可比实例的交易时间一致，因此确定估价对象与可比实例该因素指数均为100；</w:t>
            </w:r>
          </w:p>
        </w:tc>
      </w:tr>
      <w:tr w14:paraId="6D00B579">
        <w:tblPrEx>
          <w:tblCellMar>
            <w:top w:w="57" w:type="dxa"/>
            <w:left w:w="57" w:type="dxa"/>
            <w:bottom w:w="57" w:type="dxa"/>
            <w:right w:w="57" w:type="dxa"/>
          </w:tblCellMar>
        </w:tblPrEx>
        <w:trPr>
          <w:trHeight w:val="20" w:hRule="atLeast"/>
          <w:jc w:val="center"/>
        </w:trPr>
        <w:tc>
          <w:tcPr>
            <w:tcW w:w="841" w:type="pct"/>
            <w:gridSpan w:val="2"/>
            <w:tcBorders>
              <w:top w:val="single" w:color="auto" w:sz="4" w:space="0"/>
              <w:left w:val="single" w:color="auto" w:sz="4" w:space="0"/>
              <w:bottom w:val="single" w:color="auto" w:sz="4" w:space="0"/>
              <w:right w:val="single" w:color="auto" w:sz="4" w:space="0"/>
            </w:tcBorders>
            <w:vAlign w:val="center"/>
          </w:tcPr>
          <w:p w14:paraId="3658168E">
            <w:pPr>
              <w:snapToGrid w:val="0"/>
              <w:spacing w:line="240" w:lineRule="exact"/>
              <w:jc w:val="both"/>
              <w:rPr>
                <w:rFonts w:ascii="宋体" w:hAnsi="宋体" w:cs="Arial"/>
                <w:sz w:val="16"/>
                <w:szCs w:val="18"/>
                <w:highlight w:val="none"/>
              </w:rPr>
            </w:pPr>
            <w:r>
              <w:rPr>
                <w:rFonts w:ascii="宋体" w:hAnsi="宋体" w:cs="Arial"/>
                <w:sz w:val="16"/>
                <w:szCs w:val="18"/>
                <w:highlight w:val="none"/>
              </w:rPr>
              <w:t>交易情况</w:t>
            </w:r>
          </w:p>
        </w:tc>
        <w:tc>
          <w:tcPr>
            <w:tcW w:w="531" w:type="pct"/>
            <w:tcBorders>
              <w:top w:val="nil"/>
              <w:left w:val="nil"/>
              <w:bottom w:val="single" w:color="auto" w:sz="4" w:space="0"/>
              <w:right w:val="single" w:color="auto" w:sz="4" w:space="0"/>
            </w:tcBorders>
            <w:noWrap/>
            <w:vAlign w:val="center"/>
          </w:tcPr>
          <w:p w14:paraId="781FF834">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478F9812">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0D5A401D">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0CE23B54">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2032" w:type="pct"/>
            <w:tcBorders>
              <w:top w:val="nil"/>
              <w:left w:val="nil"/>
              <w:bottom w:val="single" w:color="auto" w:sz="4" w:space="0"/>
              <w:right w:val="single" w:color="auto" w:sz="4" w:space="0"/>
            </w:tcBorders>
            <w:vAlign w:val="center"/>
          </w:tcPr>
          <w:p w14:paraId="392F6CC5">
            <w:pPr>
              <w:snapToGrid w:val="0"/>
              <w:spacing w:line="240" w:lineRule="exact"/>
              <w:jc w:val="both"/>
              <w:rPr>
                <w:rFonts w:ascii="Arial" w:hAnsi="Arial" w:cs="Arial"/>
                <w:sz w:val="16"/>
                <w:szCs w:val="18"/>
                <w:highlight w:val="none"/>
              </w:rPr>
            </w:pPr>
            <w:r>
              <w:rPr>
                <w:rFonts w:ascii="Arial" w:hAnsi="Arial" w:cs="Arial"/>
                <w:sz w:val="16"/>
                <w:szCs w:val="18"/>
                <w:highlight w:val="none"/>
              </w:rPr>
              <w:t>可比实例均为正常交易或已修正为正常交易，故不予修正，交易情况指数均100；</w:t>
            </w:r>
          </w:p>
        </w:tc>
      </w:tr>
      <w:tr w14:paraId="5A5871EA">
        <w:tblPrEx>
          <w:tblCellMar>
            <w:top w:w="57" w:type="dxa"/>
            <w:left w:w="57" w:type="dxa"/>
            <w:bottom w:w="57" w:type="dxa"/>
            <w:right w:w="57" w:type="dxa"/>
          </w:tblCellMar>
        </w:tblPrEx>
        <w:trPr>
          <w:trHeight w:val="20" w:hRule="atLeast"/>
          <w:jc w:val="center"/>
        </w:trPr>
        <w:tc>
          <w:tcPr>
            <w:tcW w:w="841" w:type="pct"/>
            <w:gridSpan w:val="2"/>
            <w:tcBorders>
              <w:top w:val="single" w:color="auto" w:sz="4" w:space="0"/>
              <w:left w:val="single" w:color="auto" w:sz="4" w:space="0"/>
              <w:bottom w:val="single" w:color="auto" w:sz="4" w:space="0"/>
              <w:right w:val="single" w:color="auto" w:sz="4" w:space="0"/>
            </w:tcBorders>
            <w:vAlign w:val="center"/>
          </w:tcPr>
          <w:p w14:paraId="6FEF7DED">
            <w:pPr>
              <w:snapToGrid w:val="0"/>
              <w:spacing w:line="240" w:lineRule="exact"/>
              <w:jc w:val="both"/>
              <w:rPr>
                <w:rFonts w:ascii="宋体" w:hAnsi="宋体" w:cs="Arial"/>
                <w:sz w:val="16"/>
                <w:szCs w:val="18"/>
                <w:highlight w:val="none"/>
              </w:rPr>
            </w:pPr>
            <w:r>
              <w:rPr>
                <w:rFonts w:ascii="宋体" w:hAnsi="宋体" w:cs="Arial"/>
                <w:sz w:val="16"/>
                <w:szCs w:val="18"/>
                <w:highlight w:val="none"/>
              </w:rPr>
              <w:t>项目类型</w:t>
            </w:r>
          </w:p>
        </w:tc>
        <w:tc>
          <w:tcPr>
            <w:tcW w:w="531" w:type="pct"/>
            <w:tcBorders>
              <w:top w:val="nil"/>
              <w:left w:val="nil"/>
              <w:bottom w:val="single" w:color="auto" w:sz="4" w:space="0"/>
              <w:right w:val="single" w:color="auto" w:sz="4" w:space="0"/>
            </w:tcBorders>
            <w:noWrap/>
            <w:vAlign w:val="center"/>
          </w:tcPr>
          <w:p w14:paraId="7138EA0C">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7917E32F">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5C17D7F5">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7359739A">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2032" w:type="pct"/>
            <w:tcBorders>
              <w:top w:val="nil"/>
              <w:left w:val="nil"/>
              <w:bottom w:val="single" w:color="auto" w:sz="4" w:space="0"/>
              <w:right w:val="single" w:color="auto" w:sz="4" w:space="0"/>
            </w:tcBorders>
            <w:vAlign w:val="center"/>
          </w:tcPr>
          <w:p w14:paraId="1C810EB5">
            <w:pPr>
              <w:snapToGrid w:val="0"/>
              <w:spacing w:line="240" w:lineRule="exact"/>
              <w:jc w:val="both"/>
              <w:rPr>
                <w:rFonts w:ascii="Arial" w:hAnsi="Arial" w:cs="Arial"/>
                <w:sz w:val="16"/>
                <w:szCs w:val="18"/>
                <w:highlight w:val="none"/>
              </w:rPr>
            </w:pPr>
            <w:r>
              <w:rPr>
                <w:rFonts w:ascii="Arial" w:hAnsi="Arial" w:cs="Arial"/>
                <w:sz w:val="16"/>
                <w:szCs w:val="18"/>
                <w:highlight w:val="none"/>
              </w:rPr>
              <w:t>可比实例均为</w:t>
            </w:r>
            <w:r>
              <w:rPr>
                <w:rFonts w:hint="eastAsia" w:ascii="Arial" w:hAnsi="Arial" w:cs="Arial"/>
                <w:sz w:val="16"/>
                <w:szCs w:val="18"/>
                <w:highlight w:val="none"/>
                <w:lang w:val="en-US" w:eastAsia="zh-CN"/>
              </w:rPr>
              <w:t>住宅</w:t>
            </w:r>
            <w:r>
              <w:rPr>
                <w:rFonts w:ascii="Arial" w:hAnsi="Arial" w:cs="Arial"/>
                <w:sz w:val="16"/>
                <w:szCs w:val="18"/>
                <w:highlight w:val="none"/>
              </w:rPr>
              <w:t>，故不予修正，交易情况指数均100；</w:t>
            </w:r>
          </w:p>
        </w:tc>
      </w:tr>
      <w:tr w14:paraId="3DB3733E">
        <w:tblPrEx>
          <w:tblCellMar>
            <w:top w:w="57" w:type="dxa"/>
            <w:left w:w="57" w:type="dxa"/>
            <w:bottom w:w="57" w:type="dxa"/>
            <w:right w:w="57" w:type="dxa"/>
          </w:tblCellMar>
        </w:tblPrEx>
        <w:trPr>
          <w:trHeight w:val="20" w:hRule="atLeast"/>
          <w:jc w:val="center"/>
        </w:trPr>
        <w:tc>
          <w:tcPr>
            <w:tcW w:w="305" w:type="pct"/>
            <w:vMerge w:val="restart"/>
            <w:tcBorders>
              <w:top w:val="single" w:color="auto" w:sz="4" w:space="0"/>
              <w:left w:val="single" w:color="auto" w:sz="4" w:space="0"/>
              <w:bottom w:val="single" w:color="auto" w:sz="4" w:space="0"/>
              <w:right w:val="single" w:color="auto" w:sz="4" w:space="0"/>
            </w:tcBorders>
            <w:noWrap/>
            <w:vAlign w:val="center"/>
          </w:tcPr>
          <w:p w14:paraId="3B1C9B0E">
            <w:pPr>
              <w:snapToGrid w:val="0"/>
              <w:spacing w:line="240" w:lineRule="exact"/>
              <w:jc w:val="both"/>
              <w:rPr>
                <w:rFonts w:ascii="宋体" w:hAnsi="宋体" w:cs="Arial"/>
                <w:sz w:val="16"/>
                <w:szCs w:val="18"/>
                <w:highlight w:val="none"/>
              </w:rPr>
            </w:pPr>
            <w:r>
              <w:rPr>
                <w:rFonts w:ascii="宋体" w:hAnsi="宋体" w:cs="Arial"/>
                <w:sz w:val="16"/>
                <w:szCs w:val="18"/>
                <w:highlight w:val="none"/>
              </w:rPr>
              <w:t>区域</w:t>
            </w:r>
          </w:p>
          <w:p w14:paraId="02E13953">
            <w:pPr>
              <w:snapToGrid w:val="0"/>
              <w:spacing w:line="240" w:lineRule="exact"/>
              <w:jc w:val="both"/>
              <w:rPr>
                <w:rFonts w:ascii="宋体" w:hAnsi="宋体" w:cs="Arial"/>
                <w:sz w:val="16"/>
                <w:szCs w:val="18"/>
                <w:highlight w:val="none"/>
              </w:rPr>
            </w:pPr>
            <w:r>
              <w:rPr>
                <w:rFonts w:ascii="宋体" w:hAnsi="宋体" w:cs="Arial"/>
                <w:sz w:val="16"/>
                <w:szCs w:val="18"/>
                <w:highlight w:val="none"/>
              </w:rPr>
              <w:t>状况</w:t>
            </w:r>
          </w:p>
        </w:tc>
        <w:tc>
          <w:tcPr>
            <w:tcW w:w="535" w:type="pct"/>
            <w:tcBorders>
              <w:top w:val="nil"/>
              <w:left w:val="nil"/>
              <w:bottom w:val="single" w:color="auto" w:sz="4" w:space="0"/>
              <w:right w:val="single" w:color="auto" w:sz="4" w:space="0"/>
            </w:tcBorders>
            <w:vAlign w:val="center"/>
          </w:tcPr>
          <w:p w14:paraId="2161395C">
            <w:pPr>
              <w:widowControl/>
              <w:adjustRightInd/>
              <w:spacing w:line="240" w:lineRule="auto"/>
              <w:jc w:val="center"/>
              <w:textAlignment w:val="auto"/>
              <w:rPr>
                <w:rFonts w:ascii="宋体" w:hAnsi="宋体" w:cs="Arial"/>
                <w:sz w:val="16"/>
                <w:szCs w:val="18"/>
                <w:highlight w:val="none"/>
              </w:rPr>
            </w:pPr>
            <w:r>
              <w:rPr>
                <w:rFonts w:ascii="宋体" w:hAnsi="宋体" w:cs="Arial"/>
                <w:sz w:val="16"/>
                <w:szCs w:val="18"/>
                <w:highlight w:val="none"/>
              </w:rPr>
              <w:t>居住区成熟度</w:t>
            </w:r>
          </w:p>
        </w:tc>
        <w:tc>
          <w:tcPr>
            <w:tcW w:w="531" w:type="pct"/>
            <w:tcBorders>
              <w:top w:val="nil"/>
              <w:left w:val="nil"/>
              <w:bottom w:val="single" w:color="auto" w:sz="4" w:space="0"/>
              <w:right w:val="single" w:color="auto" w:sz="4" w:space="0"/>
            </w:tcBorders>
            <w:noWrap/>
            <w:vAlign w:val="center"/>
          </w:tcPr>
          <w:p w14:paraId="4EB89390">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5A3698F4">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3D4FF466">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6B66C63F">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2032" w:type="pct"/>
            <w:tcBorders>
              <w:top w:val="nil"/>
              <w:left w:val="nil"/>
              <w:bottom w:val="single" w:color="auto" w:sz="4" w:space="0"/>
              <w:right w:val="single" w:color="auto" w:sz="4" w:space="0"/>
            </w:tcBorders>
            <w:vAlign w:val="center"/>
          </w:tcPr>
          <w:p w14:paraId="712B6617">
            <w:pPr>
              <w:snapToGrid w:val="0"/>
              <w:spacing w:line="240" w:lineRule="exact"/>
              <w:jc w:val="both"/>
              <w:rPr>
                <w:rFonts w:ascii="Arial" w:hAnsi="Arial" w:cs="Arial"/>
                <w:sz w:val="16"/>
                <w:szCs w:val="18"/>
                <w:highlight w:val="none"/>
              </w:rPr>
            </w:pPr>
            <w:r>
              <w:rPr>
                <w:rFonts w:ascii="Arial" w:hAnsi="Arial" w:cs="Arial"/>
                <w:sz w:val="16"/>
                <w:szCs w:val="18"/>
                <w:highlight w:val="none"/>
              </w:rPr>
              <w:t>从好到差划分为优、较优、一般、较劣、劣五个等级，每个等级相差5分，确定可比实例1、2、3该因素指数分别为100、100、100；</w:t>
            </w:r>
          </w:p>
        </w:tc>
      </w:tr>
      <w:tr w14:paraId="6C84F4AB">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62D94A0E">
            <w:pPr>
              <w:snapToGrid w:val="0"/>
              <w:spacing w:line="240" w:lineRule="exact"/>
              <w:jc w:val="both"/>
              <w:rPr>
                <w:rFonts w:ascii="宋体" w:hAnsi="宋体" w:cs="Arial"/>
                <w:sz w:val="16"/>
                <w:szCs w:val="18"/>
                <w:highlight w:val="none"/>
              </w:rPr>
            </w:pPr>
          </w:p>
        </w:tc>
        <w:tc>
          <w:tcPr>
            <w:tcW w:w="535" w:type="pct"/>
            <w:tcBorders>
              <w:top w:val="nil"/>
              <w:left w:val="nil"/>
              <w:bottom w:val="single" w:color="auto" w:sz="4" w:space="0"/>
              <w:right w:val="single" w:color="auto" w:sz="4" w:space="0"/>
            </w:tcBorders>
            <w:vAlign w:val="center"/>
          </w:tcPr>
          <w:p w14:paraId="774CD9FE">
            <w:pPr>
              <w:widowControl/>
              <w:adjustRightInd/>
              <w:spacing w:line="240" w:lineRule="auto"/>
              <w:jc w:val="center"/>
              <w:textAlignment w:val="auto"/>
              <w:rPr>
                <w:rFonts w:ascii="宋体" w:hAnsi="宋体" w:cs="Arial"/>
                <w:sz w:val="16"/>
                <w:szCs w:val="18"/>
                <w:highlight w:val="none"/>
              </w:rPr>
            </w:pPr>
            <w:r>
              <w:rPr>
                <w:rFonts w:ascii="宋体" w:hAnsi="宋体" w:cs="Arial"/>
                <w:sz w:val="16"/>
                <w:szCs w:val="18"/>
                <w:highlight w:val="none"/>
              </w:rPr>
              <w:t>道路通达度</w:t>
            </w:r>
          </w:p>
        </w:tc>
        <w:tc>
          <w:tcPr>
            <w:tcW w:w="531" w:type="pct"/>
            <w:tcBorders>
              <w:top w:val="nil"/>
              <w:left w:val="nil"/>
              <w:bottom w:val="single" w:color="auto" w:sz="4" w:space="0"/>
              <w:right w:val="single" w:color="auto" w:sz="4" w:space="0"/>
            </w:tcBorders>
            <w:noWrap/>
            <w:vAlign w:val="center"/>
          </w:tcPr>
          <w:p w14:paraId="6C582A87">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03F7FB40">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168B9143">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25DE4734">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2032" w:type="pct"/>
            <w:tcBorders>
              <w:top w:val="nil"/>
              <w:left w:val="nil"/>
              <w:bottom w:val="single" w:color="auto" w:sz="4" w:space="0"/>
              <w:right w:val="single" w:color="auto" w:sz="4" w:space="0"/>
            </w:tcBorders>
            <w:vAlign w:val="center"/>
          </w:tcPr>
          <w:p w14:paraId="70A4ABD3">
            <w:pPr>
              <w:snapToGrid w:val="0"/>
              <w:spacing w:line="240" w:lineRule="exact"/>
              <w:jc w:val="both"/>
              <w:rPr>
                <w:rFonts w:ascii="Arial" w:hAnsi="Arial" w:cs="Arial"/>
                <w:sz w:val="16"/>
                <w:szCs w:val="18"/>
                <w:highlight w:val="none"/>
              </w:rPr>
            </w:pPr>
            <w:r>
              <w:rPr>
                <w:rFonts w:ascii="Arial" w:hAnsi="Arial" w:cs="Arial"/>
                <w:sz w:val="16"/>
                <w:szCs w:val="18"/>
                <w:highlight w:val="none"/>
              </w:rPr>
              <w:t>按照距离干道的距离和干道等级分为优、较优、一般、较劣、劣五个等级，每个等级相差2分，确定可比实例1、2、3该因素指数分别为100、100、100；</w:t>
            </w:r>
          </w:p>
        </w:tc>
      </w:tr>
      <w:tr w14:paraId="4B297302">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6639800A">
            <w:pPr>
              <w:snapToGrid w:val="0"/>
              <w:spacing w:line="240" w:lineRule="exact"/>
              <w:jc w:val="both"/>
              <w:rPr>
                <w:rFonts w:ascii="宋体" w:hAnsi="宋体" w:cs="Arial"/>
                <w:sz w:val="16"/>
                <w:szCs w:val="18"/>
                <w:highlight w:val="none"/>
              </w:rPr>
            </w:pPr>
          </w:p>
        </w:tc>
        <w:tc>
          <w:tcPr>
            <w:tcW w:w="535" w:type="pct"/>
            <w:tcBorders>
              <w:top w:val="nil"/>
              <w:left w:val="nil"/>
              <w:bottom w:val="single" w:color="auto" w:sz="4" w:space="0"/>
              <w:right w:val="single" w:color="auto" w:sz="4" w:space="0"/>
            </w:tcBorders>
            <w:vAlign w:val="center"/>
          </w:tcPr>
          <w:p w14:paraId="6C1D27AB">
            <w:pPr>
              <w:widowControl/>
              <w:adjustRightInd/>
              <w:spacing w:line="240" w:lineRule="auto"/>
              <w:jc w:val="center"/>
              <w:textAlignment w:val="auto"/>
              <w:rPr>
                <w:rFonts w:ascii="宋体" w:hAnsi="宋体" w:cs="Arial"/>
                <w:sz w:val="16"/>
                <w:szCs w:val="18"/>
                <w:highlight w:val="none"/>
              </w:rPr>
            </w:pPr>
            <w:r>
              <w:rPr>
                <w:rFonts w:ascii="宋体" w:hAnsi="宋体" w:cs="Arial"/>
                <w:sz w:val="16"/>
                <w:szCs w:val="18"/>
                <w:highlight w:val="none"/>
              </w:rPr>
              <w:t>距离轨道交通站点距离</w:t>
            </w:r>
          </w:p>
        </w:tc>
        <w:tc>
          <w:tcPr>
            <w:tcW w:w="531" w:type="pct"/>
            <w:tcBorders>
              <w:top w:val="nil"/>
              <w:left w:val="nil"/>
              <w:bottom w:val="single" w:color="auto" w:sz="4" w:space="0"/>
              <w:right w:val="single" w:color="auto" w:sz="4" w:space="0"/>
            </w:tcBorders>
            <w:noWrap/>
            <w:vAlign w:val="center"/>
          </w:tcPr>
          <w:p w14:paraId="145E42B6">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21CF32B5">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6DDBC85F">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7EF14137">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2032" w:type="pct"/>
            <w:tcBorders>
              <w:top w:val="nil"/>
              <w:left w:val="nil"/>
              <w:bottom w:val="single" w:color="auto" w:sz="4" w:space="0"/>
              <w:right w:val="single" w:color="auto" w:sz="4" w:space="0"/>
            </w:tcBorders>
            <w:vAlign w:val="center"/>
          </w:tcPr>
          <w:p w14:paraId="4F93EBC0">
            <w:pPr>
              <w:snapToGrid w:val="0"/>
              <w:spacing w:line="240" w:lineRule="exact"/>
              <w:jc w:val="both"/>
              <w:rPr>
                <w:rFonts w:ascii="Arial" w:hAnsi="Arial" w:cs="Arial"/>
                <w:sz w:val="16"/>
                <w:szCs w:val="18"/>
                <w:highlight w:val="none"/>
              </w:rPr>
            </w:pPr>
            <w:r>
              <w:rPr>
                <w:rFonts w:ascii="Arial" w:hAnsi="Arial" w:cs="Arial"/>
                <w:sz w:val="16"/>
                <w:szCs w:val="18"/>
                <w:highlight w:val="none"/>
              </w:rPr>
              <w:t>按照距离轨道交通的距离，0.5km为一档，每个等级相差</w:t>
            </w:r>
            <w:r>
              <w:rPr>
                <w:rFonts w:hint="eastAsia" w:ascii="Arial" w:hAnsi="Arial" w:cs="Arial"/>
                <w:sz w:val="16"/>
                <w:szCs w:val="18"/>
                <w:highlight w:val="none"/>
              </w:rPr>
              <w:t>1</w:t>
            </w:r>
            <w:r>
              <w:rPr>
                <w:rFonts w:ascii="Arial" w:hAnsi="Arial" w:cs="Arial"/>
                <w:sz w:val="16"/>
                <w:szCs w:val="18"/>
                <w:highlight w:val="none"/>
              </w:rPr>
              <w:t>分，确定可比实例1、2、3该因素指数分别为100、100、100；</w:t>
            </w:r>
          </w:p>
        </w:tc>
      </w:tr>
      <w:tr w14:paraId="1D54A147">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0B071743">
            <w:pPr>
              <w:snapToGrid w:val="0"/>
              <w:spacing w:line="240" w:lineRule="exact"/>
              <w:jc w:val="both"/>
              <w:rPr>
                <w:rFonts w:ascii="宋体" w:hAnsi="宋体" w:cs="Arial"/>
                <w:sz w:val="16"/>
                <w:szCs w:val="18"/>
                <w:highlight w:val="none"/>
              </w:rPr>
            </w:pPr>
          </w:p>
        </w:tc>
        <w:tc>
          <w:tcPr>
            <w:tcW w:w="535" w:type="pct"/>
            <w:tcBorders>
              <w:top w:val="nil"/>
              <w:left w:val="nil"/>
              <w:bottom w:val="single" w:color="auto" w:sz="4" w:space="0"/>
              <w:right w:val="single" w:color="auto" w:sz="4" w:space="0"/>
            </w:tcBorders>
            <w:vAlign w:val="center"/>
          </w:tcPr>
          <w:p w14:paraId="3ED62258">
            <w:pPr>
              <w:widowControl/>
              <w:adjustRightInd/>
              <w:spacing w:line="240" w:lineRule="auto"/>
              <w:jc w:val="center"/>
              <w:textAlignment w:val="auto"/>
              <w:rPr>
                <w:rFonts w:ascii="宋体" w:hAnsi="宋体" w:cs="Arial"/>
                <w:sz w:val="16"/>
                <w:szCs w:val="18"/>
                <w:highlight w:val="none"/>
              </w:rPr>
            </w:pPr>
            <w:r>
              <w:rPr>
                <w:rFonts w:ascii="宋体" w:hAnsi="宋体" w:cs="Arial"/>
                <w:sz w:val="16"/>
                <w:szCs w:val="18"/>
                <w:highlight w:val="none"/>
              </w:rPr>
              <w:t>距离公交站点距离</w:t>
            </w:r>
          </w:p>
        </w:tc>
        <w:tc>
          <w:tcPr>
            <w:tcW w:w="531" w:type="pct"/>
            <w:tcBorders>
              <w:top w:val="nil"/>
              <w:left w:val="nil"/>
              <w:bottom w:val="single" w:color="auto" w:sz="4" w:space="0"/>
              <w:right w:val="single" w:color="auto" w:sz="4" w:space="0"/>
            </w:tcBorders>
            <w:noWrap/>
            <w:vAlign w:val="center"/>
          </w:tcPr>
          <w:p w14:paraId="12C84CDE">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7BE5ACCA">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3F0D8DCA">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68E62488">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2032" w:type="pct"/>
            <w:tcBorders>
              <w:top w:val="nil"/>
              <w:left w:val="nil"/>
              <w:bottom w:val="single" w:color="auto" w:sz="4" w:space="0"/>
              <w:right w:val="single" w:color="auto" w:sz="4" w:space="0"/>
            </w:tcBorders>
            <w:vAlign w:val="center"/>
          </w:tcPr>
          <w:p w14:paraId="6077ED56">
            <w:pPr>
              <w:snapToGrid w:val="0"/>
              <w:spacing w:line="240" w:lineRule="exact"/>
              <w:jc w:val="both"/>
              <w:rPr>
                <w:rFonts w:ascii="Arial" w:hAnsi="Arial" w:cs="Arial"/>
                <w:sz w:val="16"/>
                <w:szCs w:val="18"/>
                <w:highlight w:val="none"/>
              </w:rPr>
            </w:pPr>
            <w:r>
              <w:rPr>
                <w:rFonts w:ascii="Arial" w:hAnsi="Arial" w:cs="Arial"/>
                <w:sz w:val="16"/>
                <w:szCs w:val="18"/>
                <w:highlight w:val="none"/>
              </w:rPr>
              <w:t>按照距离公交站点的距离，0.5km为一档，每个等级相差2分，确定可比实例1、2、3该因素指数分别为100、100、100；</w:t>
            </w:r>
          </w:p>
        </w:tc>
      </w:tr>
      <w:tr w14:paraId="05085824">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1D7F2AC1">
            <w:pPr>
              <w:snapToGrid w:val="0"/>
              <w:spacing w:line="240" w:lineRule="exact"/>
              <w:jc w:val="both"/>
              <w:rPr>
                <w:rFonts w:ascii="宋体" w:hAnsi="宋体" w:cs="Arial"/>
                <w:sz w:val="16"/>
                <w:szCs w:val="18"/>
                <w:highlight w:val="none"/>
              </w:rPr>
            </w:pPr>
          </w:p>
        </w:tc>
        <w:tc>
          <w:tcPr>
            <w:tcW w:w="535" w:type="pct"/>
            <w:tcBorders>
              <w:top w:val="nil"/>
              <w:left w:val="nil"/>
              <w:bottom w:val="single" w:color="auto" w:sz="4" w:space="0"/>
              <w:right w:val="single" w:color="auto" w:sz="4" w:space="0"/>
            </w:tcBorders>
            <w:vAlign w:val="center"/>
          </w:tcPr>
          <w:p w14:paraId="2D2382BE">
            <w:pPr>
              <w:widowControl/>
              <w:adjustRightInd/>
              <w:spacing w:line="240" w:lineRule="auto"/>
              <w:jc w:val="center"/>
              <w:textAlignment w:val="auto"/>
              <w:rPr>
                <w:rFonts w:ascii="宋体" w:hAnsi="宋体" w:cs="Arial"/>
                <w:sz w:val="16"/>
                <w:szCs w:val="18"/>
                <w:highlight w:val="none"/>
              </w:rPr>
            </w:pPr>
            <w:r>
              <w:rPr>
                <w:rFonts w:hint="eastAsia" w:ascii="宋体" w:hAnsi="宋体" w:cs="Arial"/>
                <w:sz w:val="16"/>
                <w:szCs w:val="18"/>
                <w:highlight w:val="none"/>
              </w:rPr>
              <w:t>环境质量优劣度</w:t>
            </w:r>
          </w:p>
        </w:tc>
        <w:tc>
          <w:tcPr>
            <w:tcW w:w="531" w:type="pct"/>
            <w:tcBorders>
              <w:top w:val="nil"/>
              <w:left w:val="nil"/>
              <w:bottom w:val="single" w:color="auto" w:sz="4" w:space="0"/>
              <w:right w:val="single" w:color="auto" w:sz="4" w:space="0"/>
            </w:tcBorders>
            <w:noWrap/>
            <w:vAlign w:val="center"/>
          </w:tcPr>
          <w:p w14:paraId="4BCDD466">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17D7C147">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31CF4814">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6AF8360E">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2032" w:type="pct"/>
            <w:tcBorders>
              <w:top w:val="nil"/>
              <w:left w:val="nil"/>
              <w:bottom w:val="single" w:color="auto" w:sz="4" w:space="0"/>
              <w:right w:val="single" w:color="auto" w:sz="4" w:space="0"/>
            </w:tcBorders>
            <w:vAlign w:val="center"/>
          </w:tcPr>
          <w:p w14:paraId="7E70D16E">
            <w:pPr>
              <w:snapToGrid w:val="0"/>
              <w:spacing w:line="240" w:lineRule="exact"/>
              <w:jc w:val="both"/>
              <w:rPr>
                <w:rFonts w:ascii="Arial" w:hAnsi="Arial" w:cs="Arial"/>
                <w:sz w:val="16"/>
                <w:szCs w:val="18"/>
                <w:highlight w:val="none"/>
              </w:rPr>
            </w:pPr>
            <w:r>
              <w:rPr>
                <w:rFonts w:hint="eastAsia" w:ascii="Arial" w:hAnsi="Arial" w:cs="Arial"/>
                <w:sz w:val="16"/>
                <w:szCs w:val="18"/>
                <w:highlight w:val="none"/>
              </w:rPr>
              <w:t>根据周边污染源的范围，判断优劣，每档相差2分</w:t>
            </w:r>
            <w:r>
              <w:rPr>
                <w:rFonts w:ascii="Arial" w:hAnsi="Arial" w:cs="Arial"/>
                <w:sz w:val="16"/>
                <w:szCs w:val="18"/>
                <w:highlight w:val="none"/>
              </w:rPr>
              <w:t>，确定可比实例1、2、3该因素指数分别为100、100、100</w:t>
            </w:r>
            <w:r>
              <w:rPr>
                <w:rFonts w:hint="eastAsia" w:ascii="Arial" w:hAnsi="Arial" w:cs="Arial"/>
                <w:sz w:val="16"/>
                <w:szCs w:val="18"/>
                <w:highlight w:val="none"/>
              </w:rPr>
              <w:t>；</w:t>
            </w:r>
          </w:p>
        </w:tc>
      </w:tr>
      <w:tr w14:paraId="11554B75">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5D42C86A">
            <w:pPr>
              <w:snapToGrid w:val="0"/>
              <w:spacing w:line="240" w:lineRule="exact"/>
              <w:jc w:val="both"/>
              <w:rPr>
                <w:rFonts w:ascii="宋体" w:hAnsi="宋体" w:cs="Arial"/>
                <w:sz w:val="16"/>
                <w:szCs w:val="18"/>
                <w:highlight w:val="none"/>
              </w:rPr>
            </w:pPr>
          </w:p>
        </w:tc>
        <w:tc>
          <w:tcPr>
            <w:tcW w:w="535" w:type="pct"/>
            <w:tcBorders>
              <w:top w:val="nil"/>
              <w:left w:val="nil"/>
              <w:bottom w:val="single" w:color="auto" w:sz="4" w:space="0"/>
              <w:right w:val="single" w:color="auto" w:sz="4" w:space="0"/>
            </w:tcBorders>
            <w:vAlign w:val="center"/>
          </w:tcPr>
          <w:p w14:paraId="4098817A">
            <w:pPr>
              <w:widowControl/>
              <w:adjustRightInd/>
              <w:spacing w:line="240" w:lineRule="auto"/>
              <w:jc w:val="center"/>
              <w:textAlignment w:val="auto"/>
              <w:rPr>
                <w:rFonts w:ascii="宋体" w:hAnsi="宋体" w:cs="Arial"/>
                <w:sz w:val="16"/>
                <w:szCs w:val="18"/>
                <w:highlight w:val="none"/>
              </w:rPr>
            </w:pPr>
            <w:r>
              <w:rPr>
                <w:rFonts w:ascii="宋体" w:hAnsi="宋体" w:cs="Arial"/>
                <w:sz w:val="16"/>
                <w:szCs w:val="18"/>
                <w:highlight w:val="none"/>
              </w:rPr>
              <w:t>自然环境</w:t>
            </w:r>
          </w:p>
        </w:tc>
        <w:tc>
          <w:tcPr>
            <w:tcW w:w="531" w:type="pct"/>
            <w:tcBorders>
              <w:top w:val="nil"/>
              <w:left w:val="nil"/>
              <w:bottom w:val="single" w:color="auto" w:sz="4" w:space="0"/>
              <w:right w:val="single" w:color="auto" w:sz="4" w:space="0"/>
            </w:tcBorders>
            <w:noWrap/>
            <w:vAlign w:val="center"/>
          </w:tcPr>
          <w:p w14:paraId="771E5F69">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2E2F2DC6">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15284032">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1FB8F7A0">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2032" w:type="pct"/>
            <w:tcBorders>
              <w:top w:val="nil"/>
              <w:left w:val="nil"/>
              <w:bottom w:val="single" w:color="auto" w:sz="4" w:space="0"/>
              <w:right w:val="single" w:color="auto" w:sz="4" w:space="0"/>
            </w:tcBorders>
            <w:vAlign w:val="center"/>
          </w:tcPr>
          <w:p w14:paraId="51F2E13F">
            <w:pPr>
              <w:snapToGrid w:val="0"/>
              <w:spacing w:line="240" w:lineRule="exact"/>
              <w:jc w:val="both"/>
              <w:rPr>
                <w:rFonts w:ascii="Arial" w:hAnsi="Arial" w:cs="Arial"/>
                <w:sz w:val="16"/>
                <w:szCs w:val="18"/>
                <w:highlight w:val="none"/>
              </w:rPr>
            </w:pPr>
            <w:r>
              <w:rPr>
                <w:rFonts w:ascii="Arial" w:hAnsi="Arial" w:cs="Arial"/>
                <w:sz w:val="16"/>
                <w:szCs w:val="18"/>
                <w:highlight w:val="none"/>
              </w:rPr>
              <w:t>从好到差划分为好、较好、一般、较差、差五个等级，每个等级相差2分，确定可比实例1、2、3该因素指数分别为100、100、100；</w:t>
            </w:r>
          </w:p>
        </w:tc>
      </w:tr>
      <w:tr w14:paraId="05C5F8F3">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55493B9C">
            <w:pPr>
              <w:snapToGrid w:val="0"/>
              <w:spacing w:line="240" w:lineRule="exact"/>
              <w:jc w:val="both"/>
              <w:rPr>
                <w:rFonts w:ascii="宋体" w:hAnsi="宋体" w:cs="Arial"/>
                <w:sz w:val="16"/>
                <w:szCs w:val="18"/>
                <w:highlight w:val="none"/>
              </w:rPr>
            </w:pPr>
          </w:p>
        </w:tc>
        <w:tc>
          <w:tcPr>
            <w:tcW w:w="535" w:type="pct"/>
            <w:tcBorders>
              <w:top w:val="nil"/>
              <w:left w:val="nil"/>
              <w:bottom w:val="single" w:color="auto" w:sz="4" w:space="0"/>
              <w:right w:val="single" w:color="auto" w:sz="4" w:space="0"/>
            </w:tcBorders>
            <w:vAlign w:val="center"/>
          </w:tcPr>
          <w:p w14:paraId="15096D7F">
            <w:pPr>
              <w:widowControl/>
              <w:adjustRightInd/>
              <w:spacing w:line="240" w:lineRule="auto"/>
              <w:jc w:val="center"/>
              <w:textAlignment w:val="auto"/>
              <w:rPr>
                <w:rFonts w:ascii="宋体" w:hAnsi="宋体" w:cs="Arial"/>
                <w:sz w:val="16"/>
                <w:szCs w:val="18"/>
                <w:highlight w:val="none"/>
              </w:rPr>
            </w:pPr>
            <w:r>
              <w:rPr>
                <w:rFonts w:hint="eastAsia" w:ascii="宋体" w:hAnsi="宋体" w:cs="Arial"/>
                <w:sz w:val="16"/>
                <w:szCs w:val="18"/>
                <w:highlight w:val="none"/>
              </w:rPr>
              <w:t>小区环境</w:t>
            </w:r>
          </w:p>
        </w:tc>
        <w:tc>
          <w:tcPr>
            <w:tcW w:w="531" w:type="pct"/>
            <w:tcBorders>
              <w:top w:val="nil"/>
              <w:left w:val="nil"/>
              <w:bottom w:val="single" w:color="auto" w:sz="4" w:space="0"/>
              <w:right w:val="single" w:color="auto" w:sz="4" w:space="0"/>
            </w:tcBorders>
            <w:noWrap/>
            <w:vAlign w:val="center"/>
          </w:tcPr>
          <w:p w14:paraId="2DC585BA">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3B173421">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6AD57B51">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065AA8FE">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2032" w:type="pct"/>
            <w:tcBorders>
              <w:top w:val="nil"/>
              <w:left w:val="nil"/>
              <w:bottom w:val="single" w:color="auto" w:sz="4" w:space="0"/>
              <w:right w:val="single" w:color="auto" w:sz="4" w:space="0"/>
            </w:tcBorders>
            <w:vAlign w:val="center"/>
          </w:tcPr>
          <w:p w14:paraId="0B273B3E">
            <w:pPr>
              <w:snapToGrid w:val="0"/>
              <w:spacing w:line="240" w:lineRule="exact"/>
              <w:jc w:val="both"/>
              <w:rPr>
                <w:rFonts w:ascii="Arial" w:hAnsi="Arial" w:cs="Arial"/>
                <w:sz w:val="16"/>
                <w:szCs w:val="18"/>
                <w:highlight w:val="none"/>
              </w:rPr>
            </w:pPr>
            <w:r>
              <w:rPr>
                <w:rFonts w:hint="eastAsia" w:ascii="Arial" w:hAnsi="Arial" w:cs="Arial"/>
                <w:sz w:val="16"/>
                <w:szCs w:val="18"/>
                <w:highlight w:val="none"/>
              </w:rPr>
              <w:t>根据小区道路、绿化率、景观设计及人车分流情况分为一档，每级相差1分，</w:t>
            </w:r>
            <w:r>
              <w:rPr>
                <w:rFonts w:ascii="Arial" w:hAnsi="Arial" w:cs="Arial"/>
                <w:sz w:val="16"/>
                <w:szCs w:val="18"/>
                <w:highlight w:val="none"/>
              </w:rPr>
              <w:t>确定可比实例1、2、3该因素指数分别为100、100、100；</w:t>
            </w:r>
          </w:p>
        </w:tc>
      </w:tr>
      <w:tr w14:paraId="41E9BA6C">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349A6875">
            <w:pPr>
              <w:snapToGrid w:val="0"/>
              <w:spacing w:line="240" w:lineRule="exact"/>
              <w:jc w:val="both"/>
              <w:rPr>
                <w:rFonts w:ascii="宋体" w:hAnsi="宋体" w:cs="Arial"/>
                <w:sz w:val="16"/>
                <w:szCs w:val="18"/>
                <w:highlight w:val="none"/>
              </w:rPr>
            </w:pPr>
          </w:p>
        </w:tc>
        <w:tc>
          <w:tcPr>
            <w:tcW w:w="535" w:type="pct"/>
            <w:tcBorders>
              <w:top w:val="nil"/>
              <w:left w:val="nil"/>
              <w:bottom w:val="single" w:color="auto" w:sz="4" w:space="0"/>
              <w:right w:val="single" w:color="auto" w:sz="4" w:space="0"/>
            </w:tcBorders>
            <w:vAlign w:val="center"/>
          </w:tcPr>
          <w:p w14:paraId="7D531732">
            <w:pPr>
              <w:widowControl/>
              <w:adjustRightInd/>
              <w:spacing w:line="240" w:lineRule="auto"/>
              <w:jc w:val="center"/>
              <w:textAlignment w:val="auto"/>
              <w:rPr>
                <w:rFonts w:ascii="宋体" w:hAnsi="宋体" w:cs="Arial"/>
                <w:sz w:val="16"/>
                <w:szCs w:val="18"/>
                <w:highlight w:val="none"/>
              </w:rPr>
            </w:pPr>
            <w:r>
              <w:rPr>
                <w:rFonts w:hint="eastAsia" w:ascii="宋体" w:hAnsi="宋体" w:cs="Arial"/>
                <w:sz w:val="16"/>
                <w:szCs w:val="18"/>
                <w:highlight w:val="none"/>
              </w:rPr>
              <w:t>公共服务设施状况</w:t>
            </w:r>
          </w:p>
        </w:tc>
        <w:tc>
          <w:tcPr>
            <w:tcW w:w="531" w:type="pct"/>
            <w:tcBorders>
              <w:top w:val="nil"/>
              <w:left w:val="nil"/>
              <w:bottom w:val="single" w:color="auto" w:sz="4" w:space="0"/>
              <w:right w:val="single" w:color="auto" w:sz="4" w:space="0"/>
            </w:tcBorders>
            <w:noWrap/>
            <w:vAlign w:val="center"/>
          </w:tcPr>
          <w:p w14:paraId="591111AB">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3169BA3F">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0FB67BBD">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2E7DF41C">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2032" w:type="pct"/>
            <w:tcBorders>
              <w:top w:val="nil"/>
              <w:left w:val="nil"/>
              <w:bottom w:val="single" w:color="auto" w:sz="4" w:space="0"/>
              <w:right w:val="single" w:color="auto" w:sz="4" w:space="0"/>
            </w:tcBorders>
            <w:vAlign w:val="center"/>
          </w:tcPr>
          <w:p w14:paraId="17813189">
            <w:pPr>
              <w:snapToGrid w:val="0"/>
              <w:spacing w:line="240" w:lineRule="exact"/>
              <w:jc w:val="both"/>
              <w:rPr>
                <w:rFonts w:ascii="Arial" w:hAnsi="Arial" w:cs="Arial"/>
                <w:sz w:val="16"/>
                <w:szCs w:val="18"/>
                <w:highlight w:val="none"/>
              </w:rPr>
            </w:pPr>
            <w:r>
              <w:rPr>
                <w:rFonts w:ascii="Arial" w:hAnsi="Arial" w:cs="Arial"/>
                <w:sz w:val="16"/>
                <w:szCs w:val="18"/>
                <w:highlight w:val="none"/>
              </w:rPr>
              <w:t>从好到差划分为齐全、较齐全、一般、较不齐全、不齐全五个等级，每个等级相差5分，确定可比实例1、2、3该因素指数分别为100、100、100；</w:t>
            </w:r>
          </w:p>
        </w:tc>
      </w:tr>
      <w:tr w14:paraId="18D4DF3E">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5FB4520D">
            <w:pPr>
              <w:snapToGrid w:val="0"/>
              <w:spacing w:line="240" w:lineRule="exact"/>
              <w:jc w:val="both"/>
              <w:rPr>
                <w:rFonts w:ascii="宋体" w:hAnsi="宋体" w:cs="Arial"/>
                <w:sz w:val="16"/>
                <w:szCs w:val="18"/>
                <w:highlight w:val="none"/>
              </w:rPr>
            </w:pPr>
          </w:p>
        </w:tc>
        <w:tc>
          <w:tcPr>
            <w:tcW w:w="535" w:type="pct"/>
            <w:tcBorders>
              <w:top w:val="nil"/>
              <w:left w:val="nil"/>
              <w:bottom w:val="single" w:color="auto" w:sz="4" w:space="0"/>
              <w:right w:val="single" w:color="auto" w:sz="4" w:space="0"/>
            </w:tcBorders>
            <w:vAlign w:val="center"/>
          </w:tcPr>
          <w:p w14:paraId="6ED9D8E2">
            <w:pPr>
              <w:widowControl/>
              <w:adjustRightInd/>
              <w:spacing w:line="240" w:lineRule="auto"/>
              <w:jc w:val="center"/>
              <w:textAlignment w:val="auto"/>
              <w:rPr>
                <w:rFonts w:hint="default" w:ascii="宋体" w:hAnsi="宋体" w:eastAsia="宋体" w:cs="Arial"/>
                <w:sz w:val="16"/>
                <w:szCs w:val="18"/>
                <w:highlight w:val="none"/>
                <w:lang w:val="en-US" w:eastAsia="zh-CN"/>
              </w:rPr>
            </w:pPr>
            <w:r>
              <w:rPr>
                <w:rFonts w:hint="eastAsia" w:ascii="宋体" w:hAnsi="宋体" w:cs="Arial"/>
                <w:sz w:val="16"/>
                <w:szCs w:val="18"/>
                <w:highlight w:val="none"/>
                <w:lang w:val="en-US" w:eastAsia="zh-CN"/>
              </w:rPr>
              <w:t>建筑类型</w:t>
            </w:r>
          </w:p>
        </w:tc>
        <w:tc>
          <w:tcPr>
            <w:tcW w:w="531" w:type="pct"/>
            <w:tcBorders>
              <w:top w:val="nil"/>
              <w:left w:val="nil"/>
              <w:bottom w:val="single" w:color="auto" w:sz="4" w:space="0"/>
              <w:right w:val="single" w:color="auto" w:sz="4" w:space="0"/>
            </w:tcBorders>
            <w:shd w:val="clear" w:color="auto" w:fill="auto"/>
            <w:noWrap/>
            <w:vAlign w:val="center"/>
          </w:tcPr>
          <w:p w14:paraId="03DC2518">
            <w:pPr>
              <w:snapToGrid w:val="0"/>
              <w:spacing w:line="240" w:lineRule="exact"/>
              <w:jc w:val="both"/>
              <w:rPr>
                <w:rFonts w:ascii="Arial" w:hAnsi="Arial" w:eastAsia="宋体" w:cs="Arial"/>
                <w:sz w:val="16"/>
                <w:szCs w:val="18"/>
                <w:highlight w:val="none"/>
                <w:lang w:val="en-US" w:eastAsia="zh-CN" w:bidi="ar-SA"/>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shd w:val="clear" w:color="auto" w:fill="auto"/>
            <w:noWrap/>
            <w:vAlign w:val="center"/>
          </w:tcPr>
          <w:p w14:paraId="58E1CB5E">
            <w:pPr>
              <w:snapToGrid w:val="0"/>
              <w:spacing w:line="240" w:lineRule="exact"/>
              <w:jc w:val="both"/>
              <w:rPr>
                <w:rFonts w:hint="default" w:ascii="Arial" w:hAnsi="Arial" w:eastAsia="宋体" w:cs="Arial"/>
                <w:sz w:val="16"/>
                <w:szCs w:val="18"/>
                <w:highlight w:val="none"/>
                <w:lang w:val="en-US" w:eastAsia="zh-CN" w:bidi="ar-SA"/>
              </w:rPr>
            </w:pPr>
            <w:r>
              <w:rPr>
                <w:rFonts w:ascii="Arial" w:hAnsi="Arial" w:cs="Arial"/>
                <w:sz w:val="16"/>
                <w:szCs w:val="18"/>
                <w:highlight w:val="none"/>
              </w:rPr>
              <w:t>1</w:t>
            </w:r>
            <w:r>
              <w:rPr>
                <w:rFonts w:hint="eastAsia" w:ascii="Arial" w:hAnsi="Arial" w:cs="Arial"/>
                <w:sz w:val="16"/>
                <w:szCs w:val="18"/>
                <w:highlight w:val="none"/>
                <w:lang w:val="en-US" w:eastAsia="zh-CN"/>
              </w:rPr>
              <w:t>05</w:t>
            </w:r>
          </w:p>
        </w:tc>
        <w:tc>
          <w:tcPr>
            <w:tcW w:w="531" w:type="pct"/>
            <w:tcBorders>
              <w:top w:val="nil"/>
              <w:left w:val="nil"/>
              <w:bottom w:val="single" w:color="auto" w:sz="4" w:space="0"/>
              <w:right w:val="single" w:color="auto" w:sz="4" w:space="0"/>
            </w:tcBorders>
            <w:shd w:val="clear" w:color="auto" w:fill="auto"/>
            <w:noWrap/>
            <w:vAlign w:val="center"/>
          </w:tcPr>
          <w:p w14:paraId="54576AA0">
            <w:pPr>
              <w:snapToGrid w:val="0"/>
              <w:spacing w:line="240" w:lineRule="exact"/>
              <w:jc w:val="both"/>
              <w:rPr>
                <w:rFonts w:hint="eastAsia" w:ascii="Arial" w:hAnsi="Arial" w:eastAsia="宋体" w:cs="Arial"/>
                <w:sz w:val="16"/>
                <w:szCs w:val="18"/>
                <w:highlight w:val="none"/>
                <w:lang w:val="en-US" w:eastAsia="zh-CN" w:bidi="ar-SA"/>
              </w:rPr>
            </w:pPr>
            <w:r>
              <w:rPr>
                <w:rFonts w:ascii="Arial" w:hAnsi="Arial" w:cs="Arial"/>
                <w:sz w:val="16"/>
                <w:szCs w:val="18"/>
                <w:highlight w:val="none"/>
              </w:rPr>
              <w:t>10</w:t>
            </w:r>
            <w:r>
              <w:rPr>
                <w:rFonts w:hint="eastAsia" w:ascii="Arial" w:hAnsi="Arial" w:cs="Arial"/>
                <w:sz w:val="16"/>
                <w:szCs w:val="18"/>
                <w:highlight w:val="none"/>
                <w:lang w:val="en-US" w:eastAsia="zh-CN"/>
              </w:rPr>
              <w:t>5</w:t>
            </w:r>
          </w:p>
        </w:tc>
        <w:tc>
          <w:tcPr>
            <w:tcW w:w="531" w:type="pct"/>
            <w:tcBorders>
              <w:top w:val="nil"/>
              <w:left w:val="nil"/>
              <w:bottom w:val="single" w:color="auto" w:sz="4" w:space="0"/>
              <w:right w:val="single" w:color="auto" w:sz="4" w:space="0"/>
            </w:tcBorders>
            <w:shd w:val="clear" w:color="auto" w:fill="auto"/>
            <w:noWrap/>
            <w:vAlign w:val="center"/>
          </w:tcPr>
          <w:p w14:paraId="6A66ED0B">
            <w:pPr>
              <w:snapToGrid w:val="0"/>
              <w:spacing w:line="240" w:lineRule="exact"/>
              <w:jc w:val="both"/>
              <w:rPr>
                <w:rFonts w:hint="eastAsia" w:ascii="Arial" w:hAnsi="Arial" w:eastAsia="宋体" w:cs="Arial"/>
                <w:sz w:val="16"/>
                <w:szCs w:val="18"/>
                <w:highlight w:val="none"/>
                <w:lang w:val="en-US" w:eastAsia="zh-CN" w:bidi="ar-SA"/>
              </w:rPr>
            </w:pPr>
            <w:r>
              <w:rPr>
                <w:rFonts w:ascii="Arial" w:hAnsi="Arial" w:cs="Arial"/>
                <w:sz w:val="16"/>
                <w:szCs w:val="18"/>
                <w:highlight w:val="none"/>
              </w:rPr>
              <w:t>10</w:t>
            </w:r>
            <w:r>
              <w:rPr>
                <w:rFonts w:hint="eastAsia" w:ascii="Arial" w:hAnsi="Arial" w:cs="Arial"/>
                <w:sz w:val="16"/>
                <w:szCs w:val="18"/>
                <w:highlight w:val="none"/>
                <w:lang w:val="en-US" w:eastAsia="zh-CN"/>
              </w:rPr>
              <w:t>0</w:t>
            </w:r>
          </w:p>
        </w:tc>
        <w:tc>
          <w:tcPr>
            <w:tcW w:w="2032" w:type="pct"/>
            <w:tcBorders>
              <w:top w:val="nil"/>
              <w:left w:val="nil"/>
              <w:bottom w:val="single" w:color="auto" w:sz="4" w:space="0"/>
              <w:right w:val="single" w:color="auto" w:sz="4" w:space="0"/>
            </w:tcBorders>
            <w:shd w:val="clear" w:color="auto" w:fill="auto"/>
            <w:vAlign w:val="center"/>
          </w:tcPr>
          <w:p w14:paraId="2183ECCD">
            <w:pPr>
              <w:snapToGrid w:val="0"/>
              <w:spacing w:line="240" w:lineRule="exact"/>
              <w:jc w:val="both"/>
              <w:rPr>
                <w:rFonts w:ascii="Arial" w:hAnsi="Arial" w:eastAsia="宋体" w:cs="Arial"/>
                <w:sz w:val="16"/>
                <w:szCs w:val="18"/>
                <w:highlight w:val="none"/>
                <w:lang w:val="en-US" w:eastAsia="zh-CN" w:bidi="ar-SA"/>
              </w:rPr>
            </w:pPr>
            <w:r>
              <w:rPr>
                <w:rFonts w:ascii="Arial" w:hAnsi="Arial" w:cs="Arial"/>
                <w:sz w:val="16"/>
                <w:szCs w:val="18"/>
                <w:highlight w:val="none"/>
              </w:rPr>
              <w:t>分为</w:t>
            </w:r>
            <w:r>
              <w:rPr>
                <w:rFonts w:hint="eastAsia" w:ascii="Arial" w:hAnsi="Arial" w:cs="Arial"/>
                <w:sz w:val="16"/>
                <w:szCs w:val="18"/>
                <w:highlight w:val="none"/>
                <w:lang w:val="en-US" w:eastAsia="zh-CN"/>
              </w:rPr>
              <w:t>多层板楼、高层板楼、板塔结合、塔楼四</w:t>
            </w:r>
            <w:r>
              <w:rPr>
                <w:rFonts w:ascii="Arial" w:hAnsi="Arial" w:cs="Arial"/>
                <w:sz w:val="16"/>
                <w:szCs w:val="18"/>
                <w:highlight w:val="none"/>
              </w:rPr>
              <w:t>个等级，以估价对象指数为 100，每相差一个等级，每级相差</w:t>
            </w:r>
            <w:r>
              <w:rPr>
                <w:rFonts w:hint="eastAsia" w:ascii="Arial" w:hAnsi="Arial" w:cs="Arial"/>
                <w:sz w:val="16"/>
                <w:szCs w:val="18"/>
                <w:highlight w:val="none"/>
                <w:lang w:val="en-US" w:eastAsia="zh-CN"/>
              </w:rPr>
              <w:t>5</w:t>
            </w:r>
            <w:r>
              <w:rPr>
                <w:rFonts w:ascii="Arial" w:hAnsi="Arial" w:cs="Arial"/>
                <w:sz w:val="16"/>
                <w:szCs w:val="18"/>
                <w:highlight w:val="none"/>
              </w:rPr>
              <w:t>分，确定可比实例1、2、3该因素指数分别为</w:t>
            </w:r>
            <w:r>
              <w:rPr>
                <w:rFonts w:hint="eastAsia" w:ascii="Arial" w:hAnsi="Arial" w:cs="Arial"/>
                <w:sz w:val="16"/>
                <w:szCs w:val="18"/>
                <w:highlight w:val="none"/>
                <w:lang w:val="en-US" w:eastAsia="zh-CN"/>
              </w:rPr>
              <w:t>105</w:t>
            </w:r>
            <w:r>
              <w:rPr>
                <w:rFonts w:ascii="Arial" w:hAnsi="Arial" w:cs="Arial"/>
                <w:sz w:val="16"/>
                <w:szCs w:val="18"/>
                <w:highlight w:val="none"/>
              </w:rPr>
              <w:t>、</w:t>
            </w:r>
            <w:r>
              <w:rPr>
                <w:rFonts w:hint="eastAsia" w:ascii="Arial" w:hAnsi="Arial" w:cs="Arial"/>
                <w:sz w:val="16"/>
                <w:szCs w:val="18"/>
                <w:highlight w:val="none"/>
              </w:rPr>
              <w:t>10</w:t>
            </w:r>
            <w:r>
              <w:rPr>
                <w:rFonts w:hint="eastAsia" w:ascii="Arial" w:hAnsi="Arial" w:cs="Arial"/>
                <w:sz w:val="16"/>
                <w:szCs w:val="18"/>
                <w:highlight w:val="none"/>
                <w:lang w:val="en-US" w:eastAsia="zh-CN"/>
              </w:rPr>
              <w:t>5</w:t>
            </w:r>
            <w:r>
              <w:rPr>
                <w:rFonts w:ascii="Arial" w:hAnsi="Arial" w:cs="Arial"/>
                <w:sz w:val="16"/>
                <w:szCs w:val="18"/>
                <w:highlight w:val="none"/>
              </w:rPr>
              <w:t>、10</w:t>
            </w:r>
            <w:r>
              <w:rPr>
                <w:rFonts w:hint="eastAsia" w:ascii="Arial" w:hAnsi="Arial" w:cs="Arial"/>
                <w:sz w:val="16"/>
                <w:szCs w:val="18"/>
                <w:highlight w:val="none"/>
                <w:lang w:val="en-US" w:eastAsia="zh-CN"/>
              </w:rPr>
              <w:t>0</w:t>
            </w:r>
            <w:r>
              <w:rPr>
                <w:rFonts w:ascii="Arial" w:hAnsi="Arial" w:cs="Arial"/>
                <w:sz w:val="16"/>
                <w:szCs w:val="18"/>
                <w:highlight w:val="none"/>
              </w:rPr>
              <w:t>；</w:t>
            </w:r>
          </w:p>
        </w:tc>
      </w:tr>
      <w:tr w14:paraId="251DDEED">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71436C14">
            <w:pPr>
              <w:snapToGrid w:val="0"/>
              <w:spacing w:line="240" w:lineRule="exact"/>
              <w:jc w:val="both"/>
              <w:rPr>
                <w:rFonts w:ascii="宋体" w:hAnsi="宋体" w:cs="Arial"/>
                <w:sz w:val="16"/>
                <w:szCs w:val="18"/>
                <w:highlight w:val="none"/>
              </w:rPr>
            </w:pPr>
          </w:p>
        </w:tc>
        <w:tc>
          <w:tcPr>
            <w:tcW w:w="535" w:type="pct"/>
            <w:tcBorders>
              <w:top w:val="nil"/>
              <w:left w:val="nil"/>
              <w:bottom w:val="single" w:color="auto" w:sz="4" w:space="0"/>
              <w:right w:val="single" w:color="auto" w:sz="4" w:space="0"/>
            </w:tcBorders>
            <w:vAlign w:val="center"/>
          </w:tcPr>
          <w:p w14:paraId="4A824E2D">
            <w:pPr>
              <w:widowControl/>
              <w:adjustRightInd/>
              <w:spacing w:line="240" w:lineRule="auto"/>
              <w:jc w:val="center"/>
              <w:textAlignment w:val="auto"/>
              <w:rPr>
                <w:rFonts w:ascii="宋体" w:hAnsi="宋体" w:cs="Arial"/>
                <w:sz w:val="16"/>
                <w:szCs w:val="18"/>
                <w:highlight w:val="none"/>
              </w:rPr>
            </w:pPr>
            <w:r>
              <w:rPr>
                <w:rFonts w:ascii="宋体" w:hAnsi="宋体" w:cs="Arial"/>
                <w:sz w:val="16"/>
                <w:szCs w:val="18"/>
                <w:highlight w:val="none"/>
              </w:rPr>
              <w:t>楼层</w:t>
            </w:r>
          </w:p>
        </w:tc>
        <w:tc>
          <w:tcPr>
            <w:tcW w:w="531" w:type="pct"/>
            <w:tcBorders>
              <w:top w:val="nil"/>
              <w:left w:val="nil"/>
              <w:bottom w:val="single" w:color="auto" w:sz="4" w:space="0"/>
              <w:right w:val="single" w:color="auto" w:sz="4" w:space="0"/>
            </w:tcBorders>
            <w:noWrap/>
            <w:vAlign w:val="center"/>
          </w:tcPr>
          <w:p w14:paraId="37D4490C">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4762B0DE">
            <w:pPr>
              <w:snapToGrid w:val="0"/>
              <w:spacing w:line="240" w:lineRule="exact"/>
              <w:jc w:val="both"/>
              <w:rPr>
                <w:rFonts w:hint="default" w:ascii="Arial" w:hAnsi="Arial" w:eastAsia="宋体" w:cs="Arial"/>
                <w:sz w:val="16"/>
                <w:szCs w:val="18"/>
                <w:highlight w:val="none"/>
                <w:lang w:val="en-US" w:eastAsia="zh-CN"/>
              </w:rPr>
            </w:pPr>
            <w:r>
              <w:rPr>
                <w:rFonts w:hint="eastAsia" w:ascii="Arial" w:hAnsi="Arial" w:cs="Arial"/>
                <w:sz w:val="16"/>
                <w:szCs w:val="18"/>
                <w:highlight w:val="none"/>
                <w:lang w:val="en-US" w:eastAsia="zh-CN"/>
              </w:rPr>
              <w:t>99</w:t>
            </w:r>
          </w:p>
        </w:tc>
        <w:tc>
          <w:tcPr>
            <w:tcW w:w="531" w:type="pct"/>
            <w:tcBorders>
              <w:top w:val="nil"/>
              <w:left w:val="nil"/>
              <w:bottom w:val="single" w:color="auto" w:sz="4" w:space="0"/>
              <w:right w:val="single" w:color="auto" w:sz="4" w:space="0"/>
            </w:tcBorders>
            <w:noWrap/>
            <w:vAlign w:val="center"/>
          </w:tcPr>
          <w:p w14:paraId="3EB4135C">
            <w:pPr>
              <w:snapToGrid w:val="0"/>
              <w:spacing w:line="240" w:lineRule="exact"/>
              <w:jc w:val="both"/>
              <w:rPr>
                <w:rFonts w:hint="default" w:ascii="Arial" w:hAnsi="Arial" w:eastAsia="宋体" w:cs="Arial"/>
                <w:sz w:val="16"/>
                <w:szCs w:val="18"/>
                <w:highlight w:val="none"/>
                <w:lang w:val="en-US" w:eastAsia="zh-CN"/>
              </w:rPr>
            </w:pPr>
            <w:r>
              <w:rPr>
                <w:rFonts w:hint="eastAsia" w:ascii="Arial" w:hAnsi="Arial" w:cs="Arial"/>
                <w:sz w:val="16"/>
                <w:szCs w:val="18"/>
                <w:highlight w:val="none"/>
                <w:lang w:val="en-US" w:eastAsia="zh-CN"/>
              </w:rPr>
              <w:t>100</w:t>
            </w:r>
          </w:p>
        </w:tc>
        <w:tc>
          <w:tcPr>
            <w:tcW w:w="531" w:type="pct"/>
            <w:tcBorders>
              <w:top w:val="nil"/>
              <w:left w:val="nil"/>
              <w:bottom w:val="single" w:color="auto" w:sz="4" w:space="0"/>
              <w:right w:val="single" w:color="auto" w:sz="4" w:space="0"/>
            </w:tcBorders>
            <w:noWrap/>
            <w:vAlign w:val="center"/>
          </w:tcPr>
          <w:p w14:paraId="570071E7">
            <w:pPr>
              <w:snapToGrid w:val="0"/>
              <w:spacing w:line="240" w:lineRule="exact"/>
              <w:jc w:val="both"/>
              <w:rPr>
                <w:rFonts w:hint="default" w:ascii="Arial" w:hAnsi="Arial" w:eastAsia="宋体" w:cs="Arial"/>
                <w:sz w:val="16"/>
                <w:szCs w:val="18"/>
                <w:highlight w:val="none"/>
                <w:lang w:val="en-US" w:eastAsia="zh-CN"/>
              </w:rPr>
            </w:pPr>
            <w:r>
              <w:rPr>
                <w:rFonts w:hint="eastAsia" w:ascii="Arial" w:hAnsi="Arial" w:cs="Arial"/>
                <w:sz w:val="16"/>
                <w:szCs w:val="18"/>
                <w:highlight w:val="none"/>
                <w:lang w:val="en-US" w:eastAsia="zh-CN"/>
              </w:rPr>
              <w:t>99</w:t>
            </w:r>
          </w:p>
        </w:tc>
        <w:tc>
          <w:tcPr>
            <w:tcW w:w="2032" w:type="pct"/>
            <w:tcBorders>
              <w:top w:val="nil"/>
              <w:left w:val="nil"/>
              <w:bottom w:val="single" w:color="auto" w:sz="4" w:space="0"/>
              <w:right w:val="single" w:color="auto" w:sz="4" w:space="0"/>
            </w:tcBorders>
            <w:vAlign w:val="center"/>
          </w:tcPr>
          <w:p w14:paraId="50C3CA82">
            <w:pPr>
              <w:snapToGrid w:val="0"/>
              <w:spacing w:line="240" w:lineRule="exact"/>
              <w:jc w:val="both"/>
              <w:rPr>
                <w:rFonts w:ascii="Arial" w:hAnsi="Arial" w:cs="Arial"/>
                <w:sz w:val="16"/>
                <w:szCs w:val="18"/>
                <w:highlight w:val="none"/>
              </w:rPr>
            </w:pPr>
            <w:r>
              <w:rPr>
                <w:rFonts w:ascii="Arial" w:hAnsi="Arial" w:cs="Arial"/>
                <w:sz w:val="16"/>
                <w:szCs w:val="18"/>
                <w:highlight w:val="none"/>
              </w:rPr>
              <w:t>分为高楼层、中楼层、低楼层两个等级，以估价对象指数为 100，每相差一个等级，每级相差</w:t>
            </w:r>
            <w:r>
              <w:rPr>
                <w:rFonts w:hint="eastAsia" w:ascii="Arial" w:hAnsi="Arial" w:cs="Arial"/>
                <w:sz w:val="16"/>
                <w:szCs w:val="18"/>
                <w:highlight w:val="none"/>
                <w:lang w:val="en-US" w:eastAsia="zh-CN"/>
              </w:rPr>
              <w:t>1</w:t>
            </w:r>
            <w:r>
              <w:rPr>
                <w:rFonts w:ascii="Arial" w:hAnsi="Arial" w:cs="Arial"/>
                <w:sz w:val="16"/>
                <w:szCs w:val="18"/>
                <w:highlight w:val="none"/>
              </w:rPr>
              <w:t>分，确定可比实例1、2、3该因素指数分别为</w:t>
            </w:r>
            <w:r>
              <w:rPr>
                <w:rFonts w:hint="eastAsia" w:ascii="Arial" w:hAnsi="Arial" w:cs="Arial"/>
                <w:sz w:val="16"/>
                <w:szCs w:val="18"/>
                <w:highlight w:val="none"/>
                <w:lang w:val="en-US" w:eastAsia="zh-CN"/>
              </w:rPr>
              <w:t>99</w:t>
            </w:r>
            <w:r>
              <w:rPr>
                <w:rFonts w:ascii="Arial" w:hAnsi="Arial" w:cs="Arial"/>
                <w:sz w:val="16"/>
                <w:szCs w:val="18"/>
                <w:highlight w:val="none"/>
              </w:rPr>
              <w:t>、</w:t>
            </w:r>
            <w:r>
              <w:rPr>
                <w:rFonts w:hint="eastAsia" w:ascii="Arial" w:hAnsi="Arial" w:cs="Arial"/>
                <w:sz w:val="16"/>
                <w:szCs w:val="18"/>
                <w:highlight w:val="none"/>
                <w:lang w:val="en-US" w:eastAsia="zh-CN"/>
              </w:rPr>
              <w:t>100</w:t>
            </w:r>
            <w:r>
              <w:rPr>
                <w:rFonts w:ascii="Arial" w:hAnsi="Arial" w:cs="Arial"/>
                <w:sz w:val="16"/>
                <w:szCs w:val="18"/>
                <w:highlight w:val="none"/>
              </w:rPr>
              <w:t>、</w:t>
            </w:r>
            <w:r>
              <w:rPr>
                <w:rFonts w:hint="eastAsia" w:ascii="Arial" w:hAnsi="Arial" w:cs="Arial"/>
                <w:sz w:val="16"/>
                <w:szCs w:val="18"/>
                <w:highlight w:val="none"/>
                <w:lang w:val="en-US" w:eastAsia="zh-CN"/>
              </w:rPr>
              <w:t>99</w:t>
            </w:r>
            <w:r>
              <w:rPr>
                <w:rFonts w:ascii="Arial" w:hAnsi="Arial" w:cs="Arial"/>
                <w:sz w:val="16"/>
                <w:szCs w:val="18"/>
                <w:highlight w:val="none"/>
              </w:rPr>
              <w:t>；</w:t>
            </w:r>
          </w:p>
        </w:tc>
      </w:tr>
      <w:tr w14:paraId="14176C83">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12A3CEA4">
            <w:pPr>
              <w:snapToGrid w:val="0"/>
              <w:spacing w:line="240" w:lineRule="exact"/>
              <w:jc w:val="both"/>
              <w:rPr>
                <w:rFonts w:ascii="宋体" w:hAnsi="宋体" w:cs="Arial"/>
                <w:sz w:val="16"/>
                <w:szCs w:val="18"/>
                <w:highlight w:val="none"/>
              </w:rPr>
            </w:pPr>
          </w:p>
        </w:tc>
        <w:tc>
          <w:tcPr>
            <w:tcW w:w="535" w:type="pct"/>
            <w:tcBorders>
              <w:top w:val="nil"/>
              <w:left w:val="nil"/>
              <w:bottom w:val="single" w:color="auto" w:sz="4" w:space="0"/>
              <w:right w:val="single" w:color="auto" w:sz="4" w:space="0"/>
            </w:tcBorders>
            <w:vAlign w:val="center"/>
          </w:tcPr>
          <w:p w14:paraId="2BA2A7C4">
            <w:pPr>
              <w:widowControl/>
              <w:adjustRightInd/>
              <w:spacing w:line="240" w:lineRule="auto"/>
              <w:jc w:val="center"/>
              <w:textAlignment w:val="auto"/>
              <w:rPr>
                <w:rFonts w:ascii="宋体" w:hAnsi="宋体" w:cs="Arial"/>
                <w:sz w:val="16"/>
                <w:szCs w:val="18"/>
                <w:highlight w:val="none"/>
              </w:rPr>
            </w:pPr>
            <w:r>
              <w:rPr>
                <w:rFonts w:ascii="宋体" w:hAnsi="宋体" w:cs="Arial"/>
                <w:sz w:val="16"/>
                <w:szCs w:val="18"/>
                <w:highlight w:val="none"/>
              </w:rPr>
              <w:t>朝向</w:t>
            </w:r>
          </w:p>
        </w:tc>
        <w:tc>
          <w:tcPr>
            <w:tcW w:w="531" w:type="pct"/>
            <w:tcBorders>
              <w:top w:val="nil"/>
              <w:left w:val="nil"/>
              <w:bottom w:val="single" w:color="auto" w:sz="4" w:space="0"/>
              <w:right w:val="single" w:color="auto" w:sz="4" w:space="0"/>
            </w:tcBorders>
            <w:noWrap/>
            <w:vAlign w:val="center"/>
          </w:tcPr>
          <w:p w14:paraId="4F368299">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0985E7B3">
            <w:pPr>
              <w:snapToGrid w:val="0"/>
              <w:spacing w:line="240" w:lineRule="exact"/>
              <w:jc w:val="both"/>
              <w:rPr>
                <w:rFonts w:hint="default" w:ascii="Arial" w:hAnsi="Arial" w:eastAsia="宋体" w:cs="Arial"/>
                <w:sz w:val="16"/>
                <w:szCs w:val="18"/>
                <w:highlight w:val="none"/>
                <w:lang w:val="en-US" w:eastAsia="zh-CN"/>
              </w:rPr>
            </w:pPr>
            <w:r>
              <w:rPr>
                <w:rFonts w:hint="eastAsia" w:ascii="Arial" w:hAnsi="Arial" w:cs="Arial"/>
                <w:sz w:val="16"/>
                <w:szCs w:val="18"/>
                <w:highlight w:val="none"/>
                <w:lang w:val="en-US" w:eastAsia="zh-CN"/>
              </w:rPr>
              <w:t>100</w:t>
            </w:r>
          </w:p>
        </w:tc>
        <w:tc>
          <w:tcPr>
            <w:tcW w:w="531" w:type="pct"/>
            <w:tcBorders>
              <w:top w:val="nil"/>
              <w:left w:val="nil"/>
              <w:bottom w:val="single" w:color="auto" w:sz="4" w:space="0"/>
              <w:right w:val="single" w:color="auto" w:sz="4" w:space="0"/>
            </w:tcBorders>
            <w:noWrap/>
            <w:vAlign w:val="center"/>
          </w:tcPr>
          <w:p w14:paraId="3528516C">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51022F9A">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2032" w:type="pct"/>
            <w:tcBorders>
              <w:top w:val="nil"/>
              <w:left w:val="nil"/>
              <w:bottom w:val="single" w:color="auto" w:sz="4" w:space="0"/>
              <w:right w:val="single" w:color="auto" w:sz="4" w:space="0"/>
            </w:tcBorders>
            <w:vAlign w:val="center"/>
          </w:tcPr>
          <w:p w14:paraId="1DCD40A8">
            <w:pPr>
              <w:snapToGrid w:val="0"/>
              <w:spacing w:line="240" w:lineRule="exact"/>
              <w:jc w:val="both"/>
              <w:rPr>
                <w:rFonts w:ascii="Arial" w:hAnsi="Arial" w:cs="Arial"/>
                <w:sz w:val="16"/>
                <w:szCs w:val="18"/>
                <w:highlight w:val="none"/>
              </w:rPr>
            </w:pPr>
            <w:r>
              <w:rPr>
                <w:rFonts w:ascii="Arial" w:hAnsi="Arial" w:cs="Arial"/>
                <w:sz w:val="16"/>
                <w:szCs w:val="18"/>
                <w:highlight w:val="none"/>
              </w:rPr>
              <w:t>从优到劣依次为：为南北向；南向；东、南；西、南；东、西；东；西；东、北；西、北；北。每档相差</w:t>
            </w:r>
            <w:r>
              <w:rPr>
                <w:rFonts w:hint="eastAsia" w:ascii="Arial" w:hAnsi="Arial" w:cs="Arial"/>
                <w:sz w:val="16"/>
                <w:szCs w:val="18"/>
                <w:highlight w:val="none"/>
                <w:lang w:val="en-US" w:eastAsia="zh-CN"/>
              </w:rPr>
              <w:t>1</w:t>
            </w:r>
            <w:r>
              <w:rPr>
                <w:rFonts w:ascii="Arial" w:hAnsi="Arial" w:cs="Arial"/>
                <w:sz w:val="16"/>
                <w:szCs w:val="18"/>
                <w:highlight w:val="none"/>
              </w:rPr>
              <w:t>分，确定可比实例1、2、3该因素指数分别为</w:t>
            </w:r>
            <w:r>
              <w:rPr>
                <w:rFonts w:hint="eastAsia" w:ascii="Arial" w:hAnsi="Arial" w:cs="Arial"/>
                <w:sz w:val="16"/>
                <w:szCs w:val="18"/>
                <w:highlight w:val="none"/>
                <w:lang w:val="en-US" w:eastAsia="zh-CN"/>
              </w:rPr>
              <w:t>100</w:t>
            </w:r>
            <w:r>
              <w:rPr>
                <w:rFonts w:hint="eastAsia" w:ascii="Arial" w:hAnsi="Arial" w:cs="Arial"/>
                <w:sz w:val="16"/>
                <w:szCs w:val="18"/>
                <w:highlight w:val="none"/>
              </w:rPr>
              <w:t>、</w:t>
            </w:r>
            <w:r>
              <w:rPr>
                <w:rFonts w:hint="eastAsia" w:ascii="Arial" w:hAnsi="Arial" w:cs="Arial"/>
                <w:sz w:val="16"/>
                <w:szCs w:val="18"/>
                <w:highlight w:val="none"/>
                <w:lang w:val="en-US" w:eastAsia="zh-CN"/>
              </w:rPr>
              <w:t>100</w:t>
            </w:r>
            <w:r>
              <w:rPr>
                <w:rFonts w:hint="eastAsia" w:ascii="Arial" w:hAnsi="Arial" w:cs="Arial"/>
                <w:sz w:val="16"/>
                <w:szCs w:val="18"/>
                <w:highlight w:val="none"/>
              </w:rPr>
              <w:t>、</w:t>
            </w:r>
            <w:r>
              <w:rPr>
                <w:rFonts w:ascii="Arial" w:hAnsi="Arial" w:cs="Arial"/>
                <w:sz w:val="16"/>
                <w:szCs w:val="18"/>
                <w:highlight w:val="none"/>
              </w:rPr>
              <w:t>1</w:t>
            </w:r>
            <w:r>
              <w:rPr>
                <w:rFonts w:hint="eastAsia" w:ascii="Arial" w:hAnsi="Arial" w:cs="Arial"/>
                <w:sz w:val="16"/>
                <w:szCs w:val="18"/>
                <w:highlight w:val="none"/>
                <w:lang w:val="en-US" w:eastAsia="zh-CN"/>
              </w:rPr>
              <w:t>00</w:t>
            </w:r>
            <w:r>
              <w:rPr>
                <w:rFonts w:ascii="Arial" w:hAnsi="Arial" w:cs="Arial"/>
                <w:sz w:val="16"/>
                <w:szCs w:val="18"/>
                <w:highlight w:val="none"/>
              </w:rPr>
              <w:t>；</w:t>
            </w:r>
          </w:p>
        </w:tc>
      </w:tr>
      <w:tr w14:paraId="1983286F">
        <w:tblPrEx>
          <w:tblCellMar>
            <w:top w:w="57" w:type="dxa"/>
            <w:left w:w="57" w:type="dxa"/>
            <w:bottom w:w="57" w:type="dxa"/>
            <w:right w:w="57" w:type="dxa"/>
          </w:tblCellMar>
        </w:tblPrEx>
        <w:trPr>
          <w:trHeight w:val="20" w:hRule="atLeast"/>
          <w:jc w:val="center"/>
        </w:trPr>
        <w:tc>
          <w:tcPr>
            <w:tcW w:w="305" w:type="pct"/>
            <w:vMerge w:val="restart"/>
            <w:tcBorders>
              <w:top w:val="single" w:color="auto" w:sz="4" w:space="0"/>
              <w:left w:val="single" w:color="auto" w:sz="4" w:space="0"/>
              <w:bottom w:val="single" w:color="auto" w:sz="4" w:space="0"/>
              <w:right w:val="single" w:color="auto" w:sz="4" w:space="0"/>
            </w:tcBorders>
            <w:noWrap/>
            <w:vAlign w:val="center"/>
          </w:tcPr>
          <w:p w14:paraId="7731A9C3">
            <w:pPr>
              <w:snapToGrid w:val="0"/>
              <w:spacing w:line="240" w:lineRule="exact"/>
              <w:jc w:val="both"/>
              <w:rPr>
                <w:rFonts w:ascii="宋体" w:hAnsi="宋体" w:cs="Arial"/>
                <w:sz w:val="16"/>
                <w:szCs w:val="18"/>
                <w:highlight w:val="none"/>
              </w:rPr>
            </w:pPr>
            <w:r>
              <w:rPr>
                <w:rFonts w:ascii="宋体" w:hAnsi="宋体" w:cs="Arial"/>
                <w:sz w:val="16"/>
                <w:szCs w:val="18"/>
                <w:highlight w:val="none"/>
              </w:rPr>
              <w:t>实物</w:t>
            </w:r>
          </w:p>
          <w:p w14:paraId="30FAE551">
            <w:pPr>
              <w:snapToGrid w:val="0"/>
              <w:spacing w:line="240" w:lineRule="exact"/>
              <w:jc w:val="both"/>
              <w:rPr>
                <w:rFonts w:ascii="宋体" w:hAnsi="宋体" w:cs="Arial"/>
                <w:sz w:val="16"/>
                <w:szCs w:val="18"/>
                <w:highlight w:val="none"/>
              </w:rPr>
            </w:pPr>
            <w:r>
              <w:rPr>
                <w:rFonts w:ascii="宋体" w:hAnsi="宋体" w:cs="Arial"/>
                <w:sz w:val="16"/>
                <w:szCs w:val="18"/>
                <w:highlight w:val="none"/>
              </w:rPr>
              <w:t>状况</w:t>
            </w:r>
          </w:p>
        </w:tc>
        <w:tc>
          <w:tcPr>
            <w:tcW w:w="535" w:type="pct"/>
            <w:tcBorders>
              <w:top w:val="nil"/>
              <w:left w:val="nil"/>
              <w:bottom w:val="single" w:color="auto" w:sz="4" w:space="0"/>
              <w:right w:val="single" w:color="auto" w:sz="4" w:space="0"/>
            </w:tcBorders>
            <w:vAlign w:val="center"/>
          </w:tcPr>
          <w:p w14:paraId="3DADB981">
            <w:pPr>
              <w:widowControl/>
              <w:adjustRightInd/>
              <w:spacing w:line="240" w:lineRule="auto"/>
              <w:jc w:val="center"/>
              <w:textAlignment w:val="auto"/>
              <w:rPr>
                <w:rFonts w:ascii="宋体" w:hAnsi="宋体" w:cs="Arial"/>
                <w:sz w:val="16"/>
                <w:szCs w:val="18"/>
                <w:highlight w:val="none"/>
              </w:rPr>
            </w:pPr>
            <w:r>
              <w:rPr>
                <w:rFonts w:ascii="宋体" w:hAnsi="宋体" w:cs="Arial"/>
                <w:sz w:val="16"/>
                <w:szCs w:val="18"/>
                <w:highlight w:val="none"/>
              </w:rPr>
              <w:t>成新度</w:t>
            </w:r>
          </w:p>
        </w:tc>
        <w:tc>
          <w:tcPr>
            <w:tcW w:w="531" w:type="pct"/>
            <w:tcBorders>
              <w:top w:val="nil"/>
              <w:left w:val="nil"/>
              <w:bottom w:val="single" w:color="auto" w:sz="4" w:space="0"/>
              <w:right w:val="single" w:color="auto" w:sz="4" w:space="0"/>
            </w:tcBorders>
            <w:noWrap/>
            <w:vAlign w:val="center"/>
          </w:tcPr>
          <w:p w14:paraId="3C4BDF38">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4D590271">
            <w:pPr>
              <w:snapToGrid w:val="0"/>
              <w:spacing w:line="240" w:lineRule="exact"/>
              <w:jc w:val="both"/>
              <w:rPr>
                <w:rFonts w:hint="eastAsia" w:ascii="Arial" w:hAnsi="Arial" w:eastAsia="宋体" w:cs="Arial"/>
                <w:sz w:val="16"/>
                <w:szCs w:val="18"/>
                <w:highlight w:val="none"/>
                <w:lang w:val="en-US" w:eastAsia="zh-CN"/>
              </w:rPr>
            </w:pPr>
            <w:r>
              <w:rPr>
                <w:rFonts w:ascii="Arial" w:hAnsi="Arial" w:cs="Arial"/>
                <w:sz w:val="16"/>
                <w:szCs w:val="18"/>
                <w:highlight w:val="none"/>
              </w:rPr>
              <w:t>10</w:t>
            </w:r>
            <w:r>
              <w:rPr>
                <w:rFonts w:hint="eastAsia" w:ascii="Arial" w:hAnsi="Arial" w:cs="Arial"/>
                <w:sz w:val="16"/>
                <w:szCs w:val="18"/>
                <w:highlight w:val="none"/>
                <w:lang w:val="en-US" w:eastAsia="zh-CN"/>
              </w:rPr>
              <w:t>1</w:t>
            </w:r>
          </w:p>
        </w:tc>
        <w:tc>
          <w:tcPr>
            <w:tcW w:w="531" w:type="pct"/>
            <w:tcBorders>
              <w:top w:val="nil"/>
              <w:left w:val="nil"/>
              <w:bottom w:val="single" w:color="auto" w:sz="4" w:space="0"/>
              <w:right w:val="single" w:color="auto" w:sz="4" w:space="0"/>
            </w:tcBorders>
            <w:noWrap/>
            <w:vAlign w:val="center"/>
          </w:tcPr>
          <w:p w14:paraId="562ED2D4">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200CB424">
            <w:pPr>
              <w:snapToGrid w:val="0"/>
              <w:spacing w:line="240" w:lineRule="exact"/>
              <w:jc w:val="both"/>
              <w:rPr>
                <w:rFonts w:hint="default" w:ascii="Arial" w:hAnsi="Arial" w:eastAsia="宋体" w:cs="Arial"/>
                <w:sz w:val="16"/>
                <w:szCs w:val="18"/>
                <w:highlight w:val="none"/>
                <w:lang w:val="en-US" w:eastAsia="zh-CN"/>
              </w:rPr>
            </w:pPr>
            <w:r>
              <w:rPr>
                <w:rFonts w:hint="eastAsia" w:ascii="Arial" w:hAnsi="Arial" w:cs="Arial"/>
                <w:sz w:val="16"/>
                <w:szCs w:val="18"/>
                <w:highlight w:val="none"/>
                <w:lang w:val="en-US" w:eastAsia="zh-CN"/>
              </w:rPr>
              <w:t>100</w:t>
            </w:r>
          </w:p>
        </w:tc>
        <w:tc>
          <w:tcPr>
            <w:tcW w:w="2032" w:type="pct"/>
            <w:tcBorders>
              <w:top w:val="nil"/>
              <w:left w:val="nil"/>
              <w:bottom w:val="single" w:color="auto" w:sz="4" w:space="0"/>
              <w:right w:val="single" w:color="auto" w:sz="4" w:space="0"/>
            </w:tcBorders>
            <w:vAlign w:val="center"/>
          </w:tcPr>
          <w:p w14:paraId="7C5060BE">
            <w:pPr>
              <w:snapToGrid w:val="0"/>
              <w:spacing w:line="240" w:lineRule="exact"/>
              <w:jc w:val="both"/>
              <w:rPr>
                <w:rFonts w:ascii="Arial" w:hAnsi="Arial" w:cs="Arial"/>
                <w:sz w:val="16"/>
                <w:szCs w:val="18"/>
                <w:highlight w:val="none"/>
              </w:rPr>
            </w:pPr>
            <w:r>
              <w:rPr>
                <w:rFonts w:ascii="Arial" w:hAnsi="Arial" w:cs="Arial"/>
                <w:sz w:val="16"/>
                <w:szCs w:val="18"/>
                <w:highlight w:val="none"/>
              </w:rPr>
              <w:t>根据90%（含）-100%、80%（含）-90%、70%（含）-80%、60%（含）-70%、60%以下分为五个等级，每级相差</w:t>
            </w:r>
            <w:r>
              <w:rPr>
                <w:rFonts w:hint="eastAsia" w:ascii="Arial" w:hAnsi="Arial" w:cs="Arial"/>
                <w:sz w:val="16"/>
                <w:szCs w:val="18"/>
                <w:highlight w:val="none"/>
                <w:lang w:val="en-US" w:eastAsia="zh-CN"/>
              </w:rPr>
              <w:t>1</w:t>
            </w:r>
            <w:r>
              <w:rPr>
                <w:rFonts w:ascii="Arial" w:hAnsi="Arial" w:cs="Arial"/>
                <w:sz w:val="16"/>
                <w:szCs w:val="18"/>
                <w:highlight w:val="none"/>
              </w:rPr>
              <w:t>分，确定可比实例1、2、3该因素指数分别为</w:t>
            </w:r>
            <w:r>
              <w:rPr>
                <w:rFonts w:hint="eastAsia" w:ascii="Arial" w:hAnsi="Arial" w:cs="Arial"/>
                <w:sz w:val="16"/>
                <w:szCs w:val="18"/>
                <w:highlight w:val="none"/>
                <w:lang w:val="en-US" w:eastAsia="zh-CN"/>
              </w:rPr>
              <w:t>101</w:t>
            </w:r>
            <w:r>
              <w:rPr>
                <w:rFonts w:hint="eastAsia" w:ascii="Arial" w:hAnsi="Arial" w:cs="Arial"/>
                <w:sz w:val="16"/>
                <w:szCs w:val="18"/>
                <w:highlight w:val="none"/>
              </w:rPr>
              <w:t>、</w:t>
            </w:r>
            <w:r>
              <w:rPr>
                <w:rFonts w:hint="eastAsia" w:ascii="Arial" w:hAnsi="Arial" w:cs="Arial"/>
                <w:sz w:val="16"/>
                <w:szCs w:val="18"/>
                <w:highlight w:val="none"/>
                <w:lang w:val="en-US" w:eastAsia="zh-CN"/>
              </w:rPr>
              <w:t>100</w:t>
            </w:r>
            <w:r>
              <w:rPr>
                <w:rFonts w:hint="eastAsia" w:ascii="Arial" w:hAnsi="Arial" w:cs="Arial"/>
                <w:sz w:val="16"/>
                <w:szCs w:val="18"/>
                <w:highlight w:val="none"/>
              </w:rPr>
              <w:t>、</w:t>
            </w:r>
            <w:r>
              <w:rPr>
                <w:rFonts w:hint="eastAsia" w:ascii="Arial" w:hAnsi="Arial" w:cs="Arial"/>
                <w:sz w:val="16"/>
                <w:szCs w:val="18"/>
                <w:highlight w:val="none"/>
                <w:lang w:val="en-US" w:eastAsia="zh-CN"/>
              </w:rPr>
              <w:t>100</w:t>
            </w:r>
            <w:r>
              <w:rPr>
                <w:rFonts w:ascii="Arial" w:hAnsi="Arial" w:cs="Arial"/>
                <w:sz w:val="16"/>
                <w:szCs w:val="18"/>
                <w:highlight w:val="none"/>
              </w:rPr>
              <w:t>；</w:t>
            </w:r>
          </w:p>
        </w:tc>
      </w:tr>
      <w:tr w14:paraId="2AE9D31D">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47751E3F">
            <w:pPr>
              <w:snapToGrid w:val="0"/>
              <w:spacing w:line="240" w:lineRule="exact"/>
              <w:jc w:val="both"/>
              <w:rPr>
                <w:rFonts w:ascii="宋体" w:hAnsi="宋体" w:cs="Arial"/>
                <w:sz w:val="16"/>
                <w:szCs w:val="18"/>
                <w:highlight w:val="none"/>
              </w:rPr>
            </w:pPr>
          </w:p>
        </w:tc>
        <w:tc>
          <w:tcPr>
            <w:tcW w:w="535" w:type="pct"/>
            <w:tcBorders>
              <w:top w:val="nil"/>
              <w:left w:val="nil"/>
              <w:bottom w:val="single" w:color="auto" w:sz="4" w:space="0"/>
              <w:right w:val="single" w:color="auto" w:sz="4" w:space="0"/>
            </w:tcBorders>
            <w:vAlign w:val="center"/>
          </w:tcPr>
          <w:p w14:paraId="5D27933D">
            <w:pPr>
              <w:widowControl/>
              <w:adjustRightInd/>
              <w:spacing w:line="240" w:lineRule="auto"/>
              <w:jc w:val="center"/>
              <w:textAlignment w:val="auto"/>
              <w:rPr>
                <w:rFonts w:ascii="宋体" w:hAnsi="宋体" w:cs="Arial"/>
                <w:sz w:val="16"/>
                <w:szCs w:val="18"/>
                <w:highlight w:val="none"/>
              </w:rPr>
            </w:pPr>
            <w:r>
              <w:rPr>
                <w:rFonts w:ascii="宋体" w:hAnsi="宋体" w:cs="Arial"/>
                <w:sz w:val="16"/>
                <w:szCs w:val="18"/>
                <w:highlight w:val="none"/>
              </w:rPr>
              <w:t>公共区域装修</w:t>
            </w:r>
          </w:p>
        </w:tc>
        <w:tc>
          <w:tcPr>
            <w:tcW w:w="531" w:type="pct"/>
            <w:tcBorders>
              <w:top w:val="nil"/>
              <w:left w:val="nil"/>
              <w:bottom w:val="single" w:color="auto" w:sz="4" w:space="0"/>
              <w:right w:val="single" w:color="auto" w:sz="4" w:space="0"/>
            </w:tcBorders>
            <w:noWrap/>
            <w:vAlign w:val="center"/>
          </w:tcPr>
          <w:p w14:paraId="7D6EDCF0">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7DB281E8">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2A8CCDF8">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40819856">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2032" w:type="pct"/>
            <w:tcBorders>
              <w:top w:val="nil"/>
              <w:left w:val="nil"/>
              <w:bottom w:val="single" w:color="auto" w:sz="4" w:space="0"/>
              <w:right w:val="single" w:color="auto" w:sz="4" w:space="0"/>
            </w:tcBorders>
            <w:vAlign w:val="center"/>
          </w:tcPr>
          <w:p w14:paraId="24A3B1E7">
            <w:pPr>
              <w:snapToGrid w:val="0"/>
              <w:spacing w:line="240" w:lineRule="exact"/>
              <w:jc w:val="both"/>
              <w:rPr>
                <w:rFonts w:ascii="Arial" w:hAnsi="Arial" w:cs="Arial"/>
                <w:sz w:val="16"/>
                <w:szCs w:val="18"/>
                <w:highlight w:val="none"/>
              </w:rPr>
            </w:pPr>
            <w:r>
              <w:rPr>
                <w:rFonts w:ascii="Arial" w:hAnsi="Arial" w:cs="Arial"/>
                <w:sz w:val="16"/>
                <w:szCs w:val="18"/>
                <w:highlight w:val="none"/>
              </w:rPr>
              <w:t>分为精装修、普通装修、简单装修、毛坯等，以估价对象指数为 100，每级相差2分，确定可比实例1、2、3该因素指数分别为100、100、100；</w:t>
            </w:r>
          </w:p>
        </w:tc>
      </w:tr>
      <w:tr w14:paraId="7A258C81">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55056BD5">
            <w:pPr>
              <w:snapToGrid w:val="0"/>
              <w:spacing w:line="240" w:lineRule="exact"/>
              <w:jc w:val="both"/>
              <w:rPr>
                <w:rFonts w:ascii="宋体" w:hAnsi="宋体" w:cs="Arial"/>
                <w:sz w:val="16"/>
                <w:szCs w:val="18"/>
                <w:highlight w:val="none"/>
              </w:rPr>
            </w:pPr>
          </w:p>
        </w:tc>
        <w:tc>
          <w:tcPr>
            <w:tcW w:w="535" w:type="pct"/>
            <w:tcBorders>
              <w:top w:val="nil"/>
              <w:left w:val="nil"/>
              <w:bottom w:val="single" w:color="auto" w:sz="4" w:space="0"/>
              <w:right w:val="single" w:color="auto" w:sz="4" w:space="0"/>
            </w:tcBorders>
            <w:vAlign w:val="center"/>
          </w:tcPr>
          <w:p w14:paraId="44936D83">
            <w:pPr>
              <w:widowControl/>
              <w:adjustRightInd/>
              <w:spacing w:line="240" w:lineRule="auto"/>
              <w:jc w:val="center"/>
              <w:textAlignment w:val="auto"/>
              <w:rPr>
                <w:rFonts w:ascii="宋体" w:hAnsi="宋体" w:cs="Arial"/>
                <w:sz w:val="16"/>
                <w:szCs w:val="18"/>
                <w:highlight w:val="none"/>
              </w:rPr>
            </w:pPr>
            <w:r>
              <w:rPr>
                <w:rFonts w:ascii="宋体" w:hAnsi="宋体" w:cs="Arial"/>
                <w:sz w:val="16"/>
                <w:szCs w:val="18"/>
                <w:highlight w:val="none"/>
              </w:rPr>
              <w:t>室内装饰装修</w:t>
            </w:r>
          </w:p>
        </w:tc>
        <w:tc>
          <w:tcPr>
            <w:tcW w:w="531" w:type="pct"/>
            <w:tcBorders>
              <w:top w:val="nil"/>
              <w:left w:val="nil"/>
              <w:bottom w:val="single" w:color="auto" w:sz="4" w:space="0"/>
              <w:right w:val="single" w:color="auto" w:sz="4" w:space="0"/>
            </w:tcBorders>
            <w:noWrap/>
            <w:vAlign w:val="center"/>
          </w:tcPr>
          <w:p w14:paraId="035A019F">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34C711CA">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7785941B">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1AF6D8D5">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2032" w:type="pct"/>
            <w:tcBorders>
              <w:top w:val="nil"/>
              <w:left w:val="nil"/>
              <w:bottom w:val="single" w:color="auto" w:sz="4" w:space="0"/>
              <w:right w:val="single" w:color="auto" w:sz="4" w:space="0"/>
            </w:tcBorders>
            <w:vAlign w:val="center"/>
          </w:tcPr>
          <w:p w14:paraId="0A8FD891">
            <w:pPr>
              <w:snapToGrid w:val="0"/>
              <w:spacing w:line="240" w:lineRule="exact"/>
              <w:jc w:val="both"/>
              <w:rPr>
                <w:rFonts w:ascii="Arial" w:hAnsi="Arial" w:cs="Arial"/>
                <w:sz w:val="16"/>
                <w:szCs w:val="18"/>
                <w:highlight w:val="none"/>
              </w:rPr>
            </w:pPr>
            <w:r>
              <w:rPr>
                <w:rFonts w:ascii="Arial" w:hAnsi="Arial" w:cs="Arial"/>
                <w:sz w:val="16"/>
                <w:szCs w:val="18"/>
                <w:highlight w:val="none"/>
              </w:rPr>
              <w:t>分为精装修、普通装修、简单装修、毛坯等，以估价对象指数为 100，每级相差3分，确定可比实例1、2、3该因素指数分别为</w:t>
            </w:r>
            <w:r>
              <w:rPr>
                <w:rFonts w:hint="eastAsia" w:ascii="Arial" w:hAnsi="Arial" w:cs="Arial"/>
                <w:sz w:val="16"/>
                <w:szCs w:val="18"/>
                <w:highlight w:val="none"/>
              </w:rPr>
              <w:t>100、100、100</w:t>
            </w:r>
            <w:r>
              <w:rPr>
                <w:rFonts w:ascii="Arial" w:hAnsi="Arial" w:cs="Arial"/>
                <w:sz w:val="16"/>
                <w:szCs w:val="18"/>
                <w:highlight w:val="none"/>
              </w:rPr>
              <w:t>；</w:t>
            </w:r>
          </w:p>
        </w:tc>
      </w:tr>
      <w:tr w14:paraId="0821D993">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49A23A0B">
            <w:pPr>
              <w:snapToGrid w:val="0"/>
              <w:spacing w:line="240" w:lineRule="exact"/>
              <w:jc w:val="both"/>
              <w:rPr>
                <w:rFonts w:ascii="宋体" w:hAnsi="宋体" w:cs="Arial"/>
                <w:sz w:val="16"/>
                <w:szCs w:val="18"/>
                <w:highlight w:val="none"/>
              </w:rPr>
            </w:pPr>
          </w:p>
        </w:tc>
        <w:tc>
          <w:tcPr>
            <w:tcW w:w="535" w:type="pct"/>
            <w:tcBorders>
              <w:top w:val="nil"/>
              <w:left w:val="nil"/>
              <w:bottom w:val="single" w:color="auto" w:sz="4" w:space="0"/>
              <w:right w:val="single" w:color="auto" w:sz="4" w:space="0"/>
            </w:tcBorders>
            <w:vAlign w:val="center"/>
          </w:tcPr>
          <w:p w14:paraId="0699AD3B">
            <w:pPr>
              <w:widowControl/>
              <w:adjustRightInd/>
              <w:spacing w:line="240" w:lineRule="auto"/>
              <w:jc w:val="center"/>
              <w:textAlignment w:val="auto"/>
              <w:rPr>
                <w:rFonts w:ascii="宋体" w:hAnsi="宋体" w:cs="Arial"/>
                <w:sz w:val="16"/>
                <w:szCs w:val="18"/>
                <w:highlight w:val="none"/>
              </w:rPr>
            </w:pPr>
            <w:r>
              <w:rPr>
                <w:rFonts w:ascii="宋体" w:hAnsi="宋体" w:cs="Arial"/>
                <w:sz w:val="16"/>
                <w:szCs w:val="18"/>
                <w:highlight w:val="none"/>
              </w:rPr>
              <w:t>设施设备</w:t>
            </w:r>
          </w:p>
        </w:tc>
        <w:tc>
          <w:tcPr>
            <w:tcW w:w="531" w:type="pct"/>
            <w:tcBorders>
              <w:top w:val="nil"/>
              <w:left w:val="nil"/>
              <w:bottom w:val="single" w:color="auto" w:sz="4" w:space="0"/>
              <w:right w:val="single" w:color="auto" w:sz="4" w:space="0"/>
            </w:tcBorders>
            <w:noWrap/>
            <w:vAlign w:val="center"/>
          </w:tcPr>
          <w:p w14:paraId="02E6BC9B">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504C0E8B">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3DD7180E">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48F0228E">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2032" w:type="pct"/>
            <w:tcBorders>
              <w:top w:val="nil"/>
              <w:left w:val="nil"/>
              <w:bottom w:val="single" w:color="auto" w:sz="4" w:space="0"/>
              <w:right w:val="single" w:color="auto" w:sz="4" w:space="0"/>
            </w:tcBorders>
            <w:vAlign w:val="center"/>
          </w:tcPr>
          <w:p w14:paraId="51AE0F72">
            <w:pPr>
              <w:snapToGrid w:val="0"/>
              <w:spacing w:line="240" w:lineRule="exact"/>
              <w:jc w:val="both"/>
              <w:rPr>
                <w:rFonts w:ascii="Arial" w:hAnsi="Arial" w:cs="Arial"/>
                <w:sz w:val="16"/>
                <w:szCs w:val="18"/>
                <w:highlight w:val="none"/>
              </w:rPr>
            </w:pPr>
            <w:r>
              <w:rPr>
                <w:rFonts w:ascii="Arial" w:hAnsi="Arial" w:cs="Arial"/>
                <w:sz w:val="16"/>
                <w:szCs w:val="18"/>
                <w:highlight w:val="none"/>
              </w:rPr>
              <w:t>根据实际配备情况，分为完善、较完善、一般、较不完善、不完善五个等级，每级相差</w:t>
            </w:r>
            <w:r>
              <w:rPr>
                <w:rFonts w:hint="eastAsia" w:ascii="Arial" w:hAnsi="Arial" w:cs="Arial"/>
                <w:sz w:val="16"/>
                <w:szCs w:val="18"/>
                <w:highlight w:val="none"/>
              </w:rPr>
              <w:t>3</w:t>
            </w:r>
            <w:r>
              <w:rPr>
                <w:rFonts w:ascii="Arial" w:hAnsi="Arial" w:cs="Arial"/>
                <w:sz w:val="16"/>
                <w:szCs w:val="18"/>
                <w:highlight w:val="none"/>
              </w:rPr>
              <w:t>分，确定可比实例1、2、3该因素指数分别为</w:t>
            </w:r>
            <w:r>
              <w:rPr>
                <w:rFonts w:hint="eastAsia" w:ascii="Arial" w:hAnsi="Arial" w:cs="Arial"/>
                <w:sz w:val="16"/>
                <w:szCs w:val="18"/>
                <w:highlight w:val="none"/>
              </w:rPr>
              <w:t>10</w:t>
            </w:r>
            <w:r>
              <w:rPr>
                <w:rFonts w:hint="eastAsia" w:ascii="Arial" w:hAnsi="Arial" w:cs="Arial"/>
                <w:sz w:val="16"/>
                <w:szCs w:val="18"/>
                <w:highlight w:val="none"/>
                <w:lang w:val="en-US" w:eastAsia="zh-CN"/>
              </w:rPr>
              <w:t>0</w:t>
            </w:r>
            <w:r>
              <w:rPr>
                <w:rFonts w:hint="eastAsia" w:ascii="Arial" w:hAnsi="Arial" w:cs="Arial"/>
                <w:sz w:val="16"/>
                <w:szCs w:val="18"/>
                <w:highlight w:val="none"/>
              </w:rPr>
              <w:t>、100、100</w:t>
            </w:r>
            <w:r>
              <w:rPr>
                <w:rFonts w:ascii="Arial" w:hAnsi="Arial" w:cs="Arial"/>
                <w:sz w:val="16"/>
                <w:szCs w:val="18"/>
                <w:highlight w:val="none"/>
              </w:rPr>
              <w:t>；</w:t>
            </w:r>
          </w:p>
        </w:tc>
      </w:tr>
      <w:tr w14:paraId="1F81333B">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58AB285A">
            <w:pPr>
              <w:snapToGrid w:val="0"/>
              <w:spacing w:line="240" w:lineRule="exact"/>
              <w:jc w:val="both"/>
              <w:rPr>
                <w:rFonts w:ascii="宋体" w:hAnsi="宋体" w:cs="Arial"/>
                <w:sz w:val="16"/>
                <w:szCs w:val="18"/>
                <w:highlight w:val="none"/>
              </w:rPr>
            </w:pPr>
          </w:p>
        </w:tc>
        <w:tc>
          <w:tcPr>
            <w:tcW w:w="535" w:type="pct"/>
            <w:tcBorders>
              <w:top w:val="nil"/>
              <w:left w:val="nil"/>
              <w:bottom w:val="single" w:color="auto" w:sz="4" w:space="0"/>
              <w:right w:val="single" w:color="auto" w:sz="4" w:space="0"/>
            </w:tcBorders>
            <w:vAlign w:val="center"/>
          </w:tcPr>
          <w:p w14:paraId="31C997C9">
            <w:pPr>
              <w:widowControl/>
              <w:adjustRightInd/>
              <w:spacing w:line="240" w:lineRule="auto"/>
              <w:jc w:val="center"/>
              <w:textAlignment w:val="auto"/>
              <w:rPr>
                <w:rFonts w:ascii="宋体" w:hAnsi="宋体" w:cs="Arial"/>
                <w:sz w:val="16"/>
                <w:szCs w:val="18"/>
                <w:highlight w:val="none"/>
              </w:rPr>
            </w:pPr>
            <w:r>
              <w:rPr>
                <w:rFonts w:ascii="宋体" w:hAnsi="宋体" w:cs="Arial"/>
                <w:sz w:val="16"/>
                <w:szCs w:val="18"/>
                <w:highlight w:val="none"/>
              </w:rPr>
              <w:t>综合管理服务设施</w:t>
            </w:r>
          </w:p>
        </w:tc>
        <w:tc>
          <w:tcPr>
            <w:tcW w:w="531" w:type="pct"/>
            <w:tcBorders>
              <w:top w:val="nil"/>
              <w:left w:val="nil"/>
              <w:bottom w:val="single" w:color="auto" w:sz="4" w:space="0"/>
              <w:right w:val="single" w:color="auto" w:sz="4" w:space="0"/>
            </w:tcBorders>
            <w:noWrap/>
            <w:vAlign w:val="center"/>
          </w:tcPr>
          <w:p w14:paraId="076C0F39">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37BFC01B">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286C6FCB">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7FCB90B8">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2032" w:type="pct"/>
            <w:tcBorders>
              <w:top w:val="nil"/>
              <w:left w:val="nil"/>
              <w:bottom w:val="single" w:color="auto" w:sz="4" w:space="0"/>
              <w:right w:val="single" w:color="auto" w:sz="4" w:space="0"/>
            </w:tcBorders>
            <w:vAlign w:val="center"/>
          </w:tcPr>
          <w:p w14:paraId="3798D6B7">
            <w:pPr>
              <w:snapToGrid w:val="0"/>
              <w:spacing w:line="240" w:lineRule="exact"/>
              <w:jc w:val="both"/>
              <w:rPr>
                <w:rFonts w:ascii="Arial" w:hAnsi="Arial" w:cs="Arial"/>
                <w:sz w:val="16"/>
                <w:szCs w:val="18"/>
                <w:highlight w:val="none"/>
              </w:rPr>
            </w:pPr>
            <w:r>
              <w:rPr>
                <w:rFonts w:ascii="Arial" w:hAnsi="Arial" w:cs="Arial"/>
                <w:sz w:val="16"/>
                <w:szCs w:val="18"/>
                <w:highlight w:val="none"/>
              </w:rPr>
              <w:t>根据实际管理服务，确定可比实例1、2、3该因素指数分别为100、100、100；</w:t>
            </w:r>
          </w:p>
        </w:tc>
      </w:tr>
      <w:tr w14:paraId="0AE5BC9F">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2E153398">
            <w:pPr>
              <w:snapToGrid w:val="0"/>
              <w:spacing w:line="240" w:lineRule="exact"/>
              <w:jc w:val="both"/>
              <w:rPr>
                <w:rFonts w:ascii="宋体" w:hAnsi="宋体" w:cs="Arial"/>
                <w:sz w:val="16"/>
                <w:szCs w:val="18"/>
                <w:highlight w:val="none"/>
              </w:rPr>
            </w:pPr>
          </w:p>
        </w:tc>
        <w:tc>
          <w:tcPr>
            <w:tcW w:w="535" w:type="pct"/>
            <w:tcBorders>
              <w:top w:val="nil"/>
              <w:left w:val="nil"/>
              <w:bottom w:val="single" w:color="auto" w:sz="4" w:space="0"/>
              <w:right w:val="single" w:color="auto" w:sz="4" w:space="0"/>
            </w:tcBorders>
            <w:vAlign w:val="center"/>
          </w:tcPr>
          <w:p w14:paraId="14DC93E6">
            <w:pPr>
              <w:widowControl/>
              <w:adjustRightInd/>
              <w:spacing w:line="240" w:lineRule="auto"/>
              <w:jc w:val="center"/>
              <w:textAlignment w:val="auto"/>
              <w:rPr>
                <w:rFonts w:ascii="宋体" w:hAnsi="宋体" w:cs="Arial"/>
                <w:sz w:val="16"/>
                <w:szCs w:val="18"/>
                <w:highlight w:val="none"/>
              </w:rPr>
            </w:pPr>
            <w:r>
              <w:rPr>
                <w:rFonts w:ascii="宋体" w:hAnsi="宋体" w:cs="Arial"/>
                <w:sz w:val="16"/>
                <w:szCs w:val="18"/>
                <w:highlight w:val="none"/>
              </w:rPr>
              <w:t>户型布局</w:t>
            </w:r>
          </w:p>
        </w:tc>
        <w:tc>
          <w:tcPr>
            <w:tcW w:w="531" w:type="pct"/>
            <w:tcBorders>
              <w:top w:val="nil"/>
              <w:left w:val="nil"/>
              <w:bottom w:val="single" w:color="auto" w:sz="4" w:space="0"/>
              <w:right w:val="single" w:color="auto" w:sz="4" w:space="0"/>
            </w:tcBorders>
            <w:noWrap/>
            <w:vAlign w:val="center"/>
          </w:tcPr>
          <w:p w14:paraId="7E67AC02">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988" w:type="dxa"/>
            <w:tcBorders>
              <w:top w:val="nil"/>
              <w:left w:val="nil"/>
              <w:bottom w:val="single" w:color="auto" w:sz="4" w:space="0"/>
              <w:right w:val="single" w:color="auto" w:sz="4" w:space="0"/>
            </w:tcBorders>
            <w:noWrap/>
            <w:vAlign w:val="center"/>
          </w:tcPr>
          <w:p w14:paraId="5B132FE9">
            <w:pPr>
              <w:snapToGrid w:val="0"/>
              <w:spacing w:line="240" w:lineRule="exact"/>
              <w:jc w:val="both"/>
              <w:rPr>
                <w:rFonts w:hint="default" w:ascii="Arial" w:hAnsi="Arial" w:eastAsia="宋体" w:cs="Arial"/>
                <w:sz w:val="16"/>
                <w:szCs w:val="18"/>
                <w:highlight w:val="none"/>
                <w:lang w:val="en-US" w:eastAsia="zh-CN"/>
              </w:rPr>
            </w:pPr>
            <w:r>
              <w:rPr>
                <w:rFonts w:hint="eastAsia" w:ascii="Arial" w:hAnsi="Arial" w:cs="Arial"/>
                <w:sz w:val="16"/>
                <w:szCs w:val="18"/>
                <w:highlight w:val="none"/>
                <w:lang w:val="en-US" w:eastAsia="zh-CN"/>
              </w:rPr>
              <w:t>98</w:t>
            </w:r>
          </w:p>
        </w:tc>
        <w:tc>
          <w:tcPr>
            <w:tcW w:w="988" w:type="dxa"/>
            <w:tcBorders>
              <w:top w:val="nil"/>
              <w:left w:val="nil"/>
              <w:bottom w:val="single" w:color="auto" w:sz="4" w:space="0"/>
              <w:right w:val="single" w:color="auto" w:sz="4" w:space="0"/>
            </w:tcBorders>
            <w:noWrap/>
            <w:vAlign w:val="center"/>
          </w:tcPr>
          <w:p w14:paraId="03CCD78A">
            <w:pPr>
              <w:snapToGrid w:val="0"/>
              <w:spacing w:line="240" w:lineRule="exact"/>
              <w:jc w:val="both"/>
              <w:rPr>
                <w:rFonts w:hint="default" w:ascii="Arial" w:hAnsi="Arial" w:eastAsia="宋体" w:cs="Arial"/>
                <w:sz w:val="16"/>
                <w:szCs w:val="18"/>
                <w:highlight w:val="none"/>
                <w:lang w:val="en-US" w:eastAsia="zh-CN"/>
              </w:rPr>
            </w:pPr>
            <w:r>
              <w:rPr>
                <w:rFonts w:ascii="Arial" w:hAnsi="Arial" w:cs="Arial"/>
                <w:sz w:val="16"/>
                <w:szCs w:val="18"/>
                <w:highlight w:val="none"/>
              </w:rPr>
              <w:t>100</w:t>
            </w:r>
          </w:p>
        </w:tc>
        <w:tc>
          <w:tcPr>
            <w:tcW w:w="988" w:type="dxa"/>
            <w:tcBorders>
              <w:top w:val="nil"/>
              <w:left w:val="nil"/>
              <w:bottom w:val="single" w:color="auto" w:sz="4" w:space="0"/>
              <w:right w:val="single" w:color="auto" w:sz="4" w:space="0"/>
            </w:tcBorders>
            <w:noWrap/>
            <w:vAlign w:val="center"/>
          </w:tcPr>
          <w:p w14:paraId="64C443E6">
            <w:pPr>
              <w:snapToGrid w:val="0"/>
              <w:spacing w:line="240" w:lineRule="exact"/>
              <w:jc w:val="both"/>
              <w:rPr>
                <w:rFonts w:hint="default" w:ascii="Arial" w:hAnsi="Arial" w:eastAsia="宋体" w:cs="Arial"/>
                <w:sz w:val="16"/>
                <w:szCs w:val="18"/>
                <w:highlight w:val="none"/>
                <w:lang w:val="en-US" w:eastAsia="zh-CN"/>
              </w:rPr>
            </w:pPr>
            <w:r>
              <w:rPr>
                <w:rFonts w:ascii="Arial" w:hAnsi="Arial" w:cs="Arial"/>
                <w:sz w:val="16"/>
                <w:szCs w:val="18"/>
                <w:highlight w:val="none"/>
              </w:rPr>
              <w:t>100</w:t>
            </w:r>
          </w:p>
        </w:tc>
        <w:tc>
          <w:tcPr>
            <w:tcW w:w="2032" w:type="pct"/>
            <w:tcBorders>
              <w:top w:val="nil"/>
              <w:left w:val="nil"/>
              <w:bottom w:val="single" w:color="auto" w:sz="4" w:space="0"/>
              <w:right w:val="single" w:color="auto" w:sz="4" w:space="0"/>
            </w:tcBorders>
            <w:vAlign w:val="center"/>
          </w:tcPr>
          <w:p w14:paraId="56D90241">
            <w:pPr>
              <w:snapToGrid w:val="0"/>
              <w:spacing w:line="240" w:lineRule="exact"/>
              <w:jc w:val="both"/>
              <w:rPr>
                <w:rFonts w:ascii="Arial" w:hAnsi="Arial" w:cs="Arial"/>
                <w:sz w:val="16"/>
                <w:szCs w:val="18"/>
                <w:highlight w:val="none"/>
              </w:rPr>
            </w:pPr>
            <w:r>
              <w:rPr>
                <w:rFonts w:ascii="Arial" w:hAnsi="Arial" w:cs="Arial"/>
                <w:sz w:val="16"/>
                <w:szCs w:val="18"/>
                <w:highlight w:val="none"/>
              </w:rPr>
              <w:t>根据布局对于使用率的影响，确定可比实例1、2、3该因素指数分别为</w:t>
            </w:r>
            <w:r>
              <w:rPr>
                <w:rFonts w:hint="eastAsia" w:ascii="Arial" w:hAnsi="Arial" w:cs="Arial"/>
                <w:sz w:val="16"/>
                <w:szCs w:val="18"/>
                <w:highlight w:val="none"/>
                <w:lang w:val="en-US" w:eastAsia="zh-CN"/>
              </w:rPr>
              <w:t>98</w:t>
            </w:r>
            <w:r>
              <w:rPr>
                <w:rFonts w:hint="eastAsia" w:ascii="Arial" w:hAnsi="Arial" w:cs="Arial"/>
                <w:sz w:val="16"/>
                <w:szCs w:val="18"/>
                <w:highlight w:val="none"/>
              </w:rPr>
              <w:t>、</w:t>
            </w:r>
            <w:r>
              <w:rPr>
                <w:rFonts w:hint="eastAsia" w:ascii="Arial" w:hAnsi="Arial" w:cs="Arial"/>
                <w:sz w:val="16"/>
                <w:szCs w:val="18"/>
                <w:highlight w:val="none"/>
                <w:lang w:val="en-US" w:eastAsia="zh-CN"/>
              </w:rPr>
              <w:t>100</w:t>
            </w:r>
            <w:r>
              <w:rPr>
                <w:rFonts w:hint="eastAsia" w:ascii="Arial" w:hAnsi="Arial" w:cs="Arial"/>
                <w:sz w:val="16"/>
                <w:szCs w:val="18"/>
                <w:highlight w:val="none"/>
              </w:rPr>
              <w:t>、</w:t>
            </w:r>
            <w:r>
              <w:rPr>
                <w:rFonts w:hint="eastAsia" w:ascii="Arial" w:hAnsi="Arial" w:cs="Arial"/>
                <w:sz w:val="16"/>
                <w:szCs w:val="18"/>
                <w:highlight w:val="none"/>
                <w:lang w:val="en-US" w:eastAsia="zh-CN"/>
              </w:rPr>
              <w:t>100</w:t>
            </w:r>
            <w:r>
              <w:rPr>
                <w:rFonts w:ascii="Arial" w:hAnsi="Arial" w:cs="Arial"/>
                <w:sz w:val="16"/>
                <w:szCs w:val="18"/>
                <w:highlight w:val="none"/>
              </w:rPr>
              <w:t>；</w:t>
            </w:r>
          </w:p>
        </w:tc>
      </w:tr>
      <w:tr w14:paraId="336F2300">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64DF49A7">
            <w:pPr>
              <w:snapToGrid w:val="0"/>
              <w:spacing w:line="240" w:lineRule="exact"/>
              <w:jc w:val="both"/>
              <w:rPr>
                <w:rFonts w:ascii="宋体" w:hAnsi="宋体" w:cs="Arial"/>
                <w:sz w:val="16"/>
                <w:szCs w:val="18"/>
                <w:highlight w:val="none"/>
              </w:rPr>
            </w:pPr>
          </w:p>
        </w:tc>
        <w:tc>
          <w:tcPr>
            <w:tcW w:w="535" w:type="pct"/>
            <w:tcBorders>
              <w:top w:val="nil"/>
              <w:left w:val="nil"/>
              <w:bottom w:val="single" w:color="auto" w:sz="4" w:space="0"/>
              <w:right w:val="single" w:color="auto" w:sz="4" w:space="0"/>
            </w:tcBorders>
            <w:vAlign w:val="center"/>
          </w:tcPr>
          <w:p w14:paraId="22179F82">
            <w:pPr>
              <w:widowControl/>
              <w:adjustRightInd/>
              <w:spacing w:line="240" w:lineRule="auto"/>
              <w:jc w:val="center"/>
              <w:textAlignment w:val="auto"/>
              <w:rPr>
                <w:rFonts w:ascii="宋体" w:hAnsi="宋体" w:cs="Arial"/>
                <w:sz w:val="16"/>
                <w:szCs w:val="18"/>
                <w:highlight w:val="none"/>
              </w:rPr>
            </w:pPr>
            <w:r>
              <w:rPr>
                <w:rFonts w:ascii="宋体" w:hAnsi="宋体" w:cs="Arial"/>
                <w:sz w:val="16"/>
                <w:szCs w:val="18"/>
                <w:highlight w:val="none"/>
              </w:rPr>
              <w:t>户型结构</w:t>
            </w:r>
          </w:p>
        </w:tc>
        <w:tc>
          <w:tcPr>
            <w:tcW w:w="531" w:type="pct"/>
            <w:tcBorders>
              <w:top w:val="nil"/>
              <w:left w:val="nil"/>
              <w:bottom w:val="single" w:color="auto" w:sz="4" w:space="0"/>
              <w:right w:val="single" w:color="auto" w:sz="4" w:space="0"/>
            </w:tcBorders>
            <w:noWrap/>
            <w:vAlign w:val="center"/>
          </w:tcPr>
          <w:p w14:paraId="7B86632F">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53B82E1B">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49CE5800">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395BE1DD">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2032" w:type="pct"/>
            <w:tcBorders>
              <w:top w:val="nil"/>
              <w:left w:val="nil"/>
              <w:bottom w:val="single" w:color="auto" w:sz="4" w:space="0"/>
              <w:right w:val="single" w:color="auto" w:sz="4" w:space="0"/>
            </w:tcBorders>
            <w:vAlign w:val="center"/>
          </w:tcPr>
          <w:p w14:paraId="56B8E117">
            <w:pPr>
              <w:snapToGrid w:val="0"/>
              <w:spacing w:line="240" w:lineRule="exact"/>
              <w:jc w:val="both"/>
              <w:rPr>
                <w:rFonts w:ascii="Arial" w:hAnsi="Arial" w:cs="Arial"/>
                <w:sz w:val="16"/>
                <w:szCs w:val="18"/>
                <w:highlight w:val="none"/>
              </w:rPr>
            </w:pPr>
            <w:r>
              <w:rPr>
                <w:rFonts w:ascii="Arial" w:hAnsi="Arial" w:cs="Arial"/>
                <w:sz w:val="16"/>
                <w:szCs w:val="18"/>
                <w:highlight w:val="none"/>
              </w:rPr>
              <w:t>估价对象与案例均为</w:t>
            </w:r>
            <w:r>
              <w:rPr>
                <w:rFonts w:hint="eastAsia" w:ascii="Arial" w:hAnsi="Arial" w:cs="Arial"/>
                <w:sz w:val="16"/>
                <w:szCs w:val="18"/>
                <w:highlight w:val="none"/>
              </w:rPr>
              <w:t>平层，</w:t>
            </w:r>
            <w:r>
              <w:rPr>
                <w:rFonts w:ascii="Arial" w:hAnsi="Arial" w:cs="Arial"/>
                <w:sz w:val="16"/>
                <w:szCs w:val="18"/>
                <w:highlight w:val="none"/>
              </w:rPr>
              <w:t>确定可比实例1、2、3该因素指数分别为100、100、100；</w:t>
            </w:r>
          </w:p>
        </w:tc>
      </w:tr>
      <w:tr w14:paraId="0147B625">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70B2E09C">
            <w:pPr>
              <w:snapToGrid w:val="0"/>
              <w:spacing w:line="240" w:lineRule="exact"/>
              <w:jc w:val="both"/>
              <w:rPr>
                <w:rFonts w:ascii="宋体" w:hAnsi="宋体" w:cs="Arial"/>
                <w:sz w:val="16"/>
                <w:szCs w:val="18"/>
                <w:highlight w:val="none"/>
              </w:rPr>
            </w:pPr>
          </w:p>
        </w:tc>
        <w:tc>
          <w:tcPr>
            <w:tcW w:w="535" w:type="pct"/>
            <w:tcBorders>
              <w:top w:val="nil"/>
              <w:left w:val="nil"/>
              <w:bottom w:val="single" w:color="auto" w:sz="4" w:space="0"/>
              <w:right w:val="single" w:color="auto" w:sz="4" w:space="0"/>
            </w:tcBorders>
            <w:vAlign w:val="center"/>
          </w:tcPr>
          <w:p w14:paraId="25345272">
            <w:pPr>
              <w:widowControl/>
              <w:adjustRightInd/>
              <w:spacing w:line="240" w:lineRule="auto"/>
              <w:jc w:val="center"/>
              <w:textAlignment w:val="auto"/>
              <w:rPr>
                <w:rFonts w:ascii="宋体" w:hAnsi="宋体" w:cs="Arial"/>
                <w:sz w:val="16"/>
                <w:szCs w:val="18"/>
                <w:highlight w:val="none"/>
              </w:rPr>
            </w:pPr>
            <w:r>
              <w:rPr>
                <w:rFonts w:ascii="宋体" w:hAnsi="宋体" w:cs="Arial"/>
                <w:sz w:val="16"/>
                <w:szCs w:val="18"/>
                <w:highlight w:val="none"/>
              </w:rPr>
              <w:t>建筑面积</w:t>
            </w:r>
          </w:p>
        </w:tc>
        <w:tc>
          <w:tcPr>
            <w:tcW w:w="531" w:type="pct"/>
            <w:tcBorders>
              <w:top w:val="nil"/>
              <w:left w:val="nil"/>
              <w:bottom w:val="single" w:color="auto" w:sz="4" w:space="0"/>
              <w:right w:val="single" w:color="auto" w:sz="4" w:space="0"/>
            </w:tcBorders>
            <w:noWrap/>
            <w:vAlign w:val="center"/>
          </w:tcPr>
          <w:p w14:paraId="6AD1B5BF">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7C0A0038">
            <w:pPr>
              <w:snapToGrid w:val="0"/>
              <w:spacing w:line="240" w:lineRule="exact"/>
              <w:jc w:val="both"/>
              <w:rPr>
                <w:rFonts w:hint="default" w:ascii="Arial" w:hAnsi="Arial" w:eastAsia="宋体" w:cs="Arial"/>
                <w:sz w:val="16"/>
                <w:szCs w:val="18"/>
                <w:highlight w:val="none"/>
                <w:lang w:val="en-US" w:eastAsia="zh-CN"/>
              </w:rPr>
            </w:pPr>
            <w:r>
              <w:rPr>
                <w:rFonts w:hint="eastAsia" w:ascii="Arial" w:hAnsi="Arial" w:cs="Arial"/>
                <w:sz w:val="16"/>
                <w:szCs w:val="18"/>
                <w:highlight w:val="none"/>
                <w:lang w:val="en-US" w:eastAsia="zh-CN"/>
              </w:rPr>
              <w:t>99</w:t>
            </w:r>
          </w:p>
        </w:tc>
        <w:tc>
          <w:tcPr>
            <w:tcW w:w="531" w:type="pct"/>
            <w:tcBorders>
              <w:top w:val="nil"/>
              <w:left w:val="nil"/>
              <w:bottom w:val="single" w:color="auto" w:sz="4" w:space="0"/>
              <w:right w:val="single" w:color="auto" w:sz="4" w:space="0"/>
            </w:tcBorders>
            <w:noWrap/>
            <w:vAlign w:val="center"/>
          </w:tcPr>
          <w:p w14:paraId="1A73C7D7">
            <w:pPr>
              <w:snapToGrid w:val="0"/>
              <w:spacing w:line="240" w:lineRule="exact"/>
              <w:jc w:val="both"/>
              <w:rPr>
                <w:rFonts w:hint="default" w:ascii="Arial" w:hAnsi="Arial" w:eastAsia="宋体" w:cs="Arial"/>
                <w:sz w:val="16"/>
                <w:szCs w:val="18"/>
                <w:highlight w:val="none"/>
                <w:lang w:val="en-US" w:eastAsia="zh-CN"/>
              </w:rPr>
            </w:pPr>
            <w:r>
              <w:rPr>
                <w:rFonts w:hint="eastAsia" w:ascii="Arial" w:hAnsi="Arial" w:cs="Arial"/>
                <w:sz w:val="16"/>
                <w:szCs w:val="18"/>
                <w:highlight w:val="none"/>
                <w:lang w:val="en-US" w:eastAsia="zh-CN"/>
              </w:rPr>
              <w:t>102</w:t>
            </w:r>
          </w:p>
        </w:tc>
        <w:tc>
          <w:tcPr>
            <w:tcW w:w="531" w:type="pct"/>
            <w:tcBorders>
              <w:top w:val="nil"/>
              <w:left w:val="nil"/>
              <w:bottom w:val="single" w:color="auto" w:sz="4" w:space="0"/>
              <w:right w:val="single" w:color="auto" w:sz="4" w:space="0"/>
            </w:tcBorders>
            <w:noWrap/>
            <w:vAlign w:val="center"/>
          </w:tcPr>
          <w:p w14:paraId="34965320">
            <w:pPr>
              <w:snapToGrid w:val="0"/>
              <w:spacing w:line="240" w:lineRule="exact"/>
              <w:jc w:val="both"/>
              <w:rPr>
                <w:rFonts w:hint="default" w:ascii="Arial" w:hAnsi="Arial" w:eastAsia="宋体" w:cs="Arial"/>
                <w:sz w:val="16"/>
                <w:szCs w:val="18"/>
                <w:highlight w:val="none"/>
                <w:lang w:val="en-US" w:eastAsia="zh-CN"/>
              </w:rPr>
            </w:pPr>
            <w:r>
              <w:rPr>
                <w:rFonts w:hint="eastAsia" w:ascii="Arial" w:hAnsi="Arial" w:cs="Arial"/>
                <w:sz w:val="16"/>
                <w:szCs w:val="18"/>
                <w:highlight w:val="none"/>
                <w:lang w:val="en-US" w:eastAsia="zh-CN"/>
              </w:rPr>
              <w:t>101</w:t>
            </w:r>
          </w:p>
        </w:tc>
        <w:tc>
          <w:tcPr>
            <w:tcW w:w="2032" w:type="pct"/>
            <w:tcBorders>
              <w:top w:val="nil"/>
              <w:left w:val="nil"/>
              <w:bottom w:val="single" w:color="auto" w:sz="4" w:space="0"/>
              <w:right w:val="single" w:color="auto" w:sz="4" w:space="0"/>
            </w:tcBorders>
            <w:vAlign w:val="center"/>
          </w:tcPr>
          <w:p w14:paraId="44CA668E">
            <w:pPr>
              <w:snapToGrid w:val="0"/>
              <w:spacing w:line="240" w:lineRule="exact"/>
              <w:jc w:val="both"/>
              <w:rPr>
                <w:rFonts w:ascii="Arial" w:hAnsi="Arial"/>
                <w:highlight w:val="none"/>
              </w:rPr>
            </w:pPr>
            <w:r>
              <w:rPr>
                <w:rFonts w:ascii="Arial" w:hAnsi="Arial" w:cs="Arial"/>
                <w:sz w:val="16"/>
                <w:szCs w:val="18"/>
                <w:highlight w:val="none"/>
              </w:rPr>
              <w:t>根据建筑面积对其价值的影响，从好到差划分为</w:t>
            </w:r>
            <w:r>
              <w:rPr>
                <w:rFonts w:hint="eastAsia" w:ascii="Arial" w:hAnsi="Arial" w:cs="Arial"/>
                <w:sz w:val="16"/>
                <w:szCs w:val="18"/>
                <w:highlight w:val="none"/>
                <w:lang w:val="en-US" w:eastAsia="zh-CN"/>
              </w:rPr>
              <w:t>6</w:t>
            </w:r>
            <w:r>
              <w:rPr>
                <w:rFonts w:hint="eastAsia" w:ascii="Arial" w:hAnsi="Arial" w:cs="Arial"/>
                <w:sz w:val="16"/>
                <w:szCs w:val="18"/>
                <w:highlight w:val="none"/>
              </w:rPr>
              <w:t>0</w:t>
            </w:r>
            <w:r>
              <w:rPr>
                <w:rFonts w:ascii="Arial" w:hAnsi="Arial" w:cs="Arial"/>
                <w:sz w:val="16"/>
                <w:szCs w:val="18"/>
                <w:highlight w:val="none"/>
              </w:rPr>
              <w:t>（含）平方米及以下、</w:t>
            </w:r>
            <w:r>
              <w:rPr>
                <w:rFonts w:hint="eastAsia" w:ascii="Arial" w:hAnsi="Arial" w:cs="Arial"/>
                <w:sz w:val="16"/>
                <w:szCs w:val="18"/>
                <w:highlight w:val="none"/>
                <w:lang w:val="en-US" w:eastAsia="zh-CN"/>
              </w:rPr>
              <w:t>6</w:t>
            </w:r>
            <w:r>
              <w:rPr>
                <w:rFonts w:hint="eastAsia" w:ascii="Arial" w:hAnsi="Arial" w:cs="Arial"/>
                <w:sz w:val="16"/>
                <w:szCs w:val="18"/>
                <w:highlight w:val="none"/>
              </w:rPr>
              <w:t>0</w:t>
            </w:r>
            <w:r>
              <w:rPr>
                <w:rFonts w:ascii="Arial" w:hAnsi="Arial" w:cs="Arial"/>
                <w:sz w:val="16"/>
                <w:szCs w:val="18"/>
                <w:highlight w:val="none"/>
              </w:rPr>
              <w:t>-</w:t>
            </w:r>
            <w:r>
              <w:rPr>
                <w:rFonts w:hint="eastAsia" w:ascii="Arial" w:hAnsi="Arial" w:cs="Arial"/>
                <w:sz w:val="16"/>
                <w:szCs w:val="18"/>
                <w:highlight w:val="none"/>
                <w:lang w:val="en-US" w:eastAsia="zh-CN"/>
              </w:rPr>
              <w:t>7</w:t>
            </w:r>
            <w:r>
              <w:rPr>
                <w:rFonts w:ascii="Arial" w:hAnsi="Arial" w:cs="Arial"/>
                <w:sz w:val="16"/>
                <w:szCs w:val="18"/>
                <w:highlight w:val="none"/>
              </w:rPr>
              <w:t>0（含）平方米、</w:t>
            </w:r>
            <w:r>
              <w:rPr>
                <w:rFonts w:hint="eastAsia" w:ascii="Arial" w:hAnsi="Arial" w:cs="Arial"/>
                <w:sz w:val="16"/>
                <w:szCs w:val="18"/>
                <w:highlight w:val="none"/>
                <w:lang w:val="en-US" w:eastAsia="zh-CN"/>
              </w:rPr>
              <w:t>7</w:t>
            </w:r>
            <w:r>
              <w:rPr>
                <w:rFonts w:ascii="Arial" w:hAnsi="Arial" w:cs="Arial"/>
                <w:sz w:val="16"/>
                <w:szCs w:val="18"/>
                <w:highlight w:val="none"/>
              </w:rPr>
              <w:t>0-</w:t>
            </w:r>
            <w:r>
              <w:rPr>
                <w:rFonts w:hint="eastAsia" w:ascii="Arial" w:hAnsi="Arial" w:cs="Arial"/>
                <w:sz w:val="16"/>
                <w:szCs w:val="18"/>
                <w:highlight w:val="none"/>
                <w:lang w:val="en-US" w:eastAsia="zh-CN"/>
              </w:rPr>
              <w:t>8</w:t>
            </w:r>
            <w:r>
              <w:rPr>
                <w:rFonts w:ascii="Arial" w:hAnsi="Arial" w:cs="Arial"/>
                <w:sz w:val="16"/>
                <w:szCs w:val="18"/>
                <w:highlight w:val="none"/>
              </w:rPr>
              <w:t>0（含）</w:t>
            </w:r>
            <w:r>
              <w:rPr>
                <w:rFonts w:hint="eastAsia" w:ascii="Arial" w:hAnsi="Arial" w:cs="Arial"/>
                <w:sz w:val="16"/>
                <w:szCs w:val="18"/>
                <w:highlight w:val="none"/>
                <w:lang w:eastAsia="zh-CN"/>
              </w:rPr>
              <w:t>、</w:t>
            </w:r>
            <w:r>
              <w:rPr>
                <w:rFonts w:hint="eastAsia" w:ascii="Arial" w:hAnsi="Arial" w:cs="Arial"/>
                <w:sz w:val="16"/>
                <w:szCs w:val="18"/>
                <w:highlight w:val="none"/>
                <w:lang w:val="en-US" w:eastAsia="zh-CN"/>
              </w:rPr>
              <w:t>8</w:t>
            </w:r>
            <w:r>
              <w:rPr>
                <w:rFonts w:ascii="Arial" w:hAnsi="Arial" w:cs="Arial"/>
                <w:sz w:val="16"/>
                <w:szCs w:val="18"/>
                <w:highlight w:val="none"/>
              </w:rPr>
              <w:t>0-</w:t>
            </w:r>
            <w:r>
              <w:rPr>
                <w:rFonts w:hint="eastAsia" w:ascii="Arial" w:hAnsi="Arial" w:cs="Arial"/>
                <w:sz w:val="16"/>
                <w:szCs w:val="18"/>
                <w:highlight w:val="none"/>
                <w:lang w:val="en-US" w:eastAsia="zh-CN"/>
              </w:rPr>
              <w:t>9</w:t>
            </w:r>
            <w:r>
              <w:rPr>
                <w:rFonts w:ascii="Arial" w:hAnsi="Arial" w:cs="Arial"/>
                <w:sz w:val="16"/>
                <w:szCs w:val="18"/>
                <w:highlight w:val="none"/>
              </w:rPr>
              <w:t>0（含）</w:t>
            </w:r>
            <w:r>
              <w:rPr>
                <w:rFonts w:hint="eastAsia" w:ascii="Arial" w:hAnsi="Arial" w:cs="Arial"/>
                <w:sz w:val="16"/>
                <w:szCs w:val="18"/>
                <w:highlight w:val="none"/>
                <w:lang w:eastAsia="zh-CN"/>
              </w:rPr>
              <w:t>、</w:t>
            </w:r>
            <w:r>
              <w:rPr>
                <w:rFonts w:hint="eastAsia" w:ascii="Arial" w:hAnsi="Arial" w:cs="Arial"/>
                <w:sz w:val="16"/>
                <w:szCs w:val="18"/>
                <w:highlight w:val="none"/>
                <w:lang w:val="en-US" w:eastAsia="zh-CN"/>
              </w:rPr>
              <w:t>90</w:t>
            </w:r>
            <w:r>
              <w:rPr>
                <w:rFonts w:ascii="Arial" w:hAnsi="Arial" w:cs="Arial"/>
                <w:sz w:val="16"/>
                <w:szCs w:val="18"/>
                <w:highlight w:val="none"/>
              </w:rPr>
              <w:t>-</w:t>
            </w:r>
            <w:r>
              <w:rPr>
                <w:rFonts w:hint="eastAsia" w:ascii="Arial" w:hAnsi="Arial" w:cs="Arial"/>
                <w:sz w:val="16"/>
                <w:szCs w:val="18"/>
                <w:highlight w:val="none"/>
                <w:lang w:val="en-US" w:eastAsia="zh-CN"/>
              </w:rPr>
              <w:t>10</w:t>
            </w:r>
            <w:r>
              <w:rPr>
                <w:rFonts w:ascii="Arial" w:hAnsi="Arial" w:cs="Arial"/>
                <w:sz w:val="16"/>
                <w:szCs w:val="18"/>
                <w:highlight w:val="none"/>
              </w:rPr>
              <w:t>0（含）</w:t>
            </w:r>
            <w:r>
              <w:rPr>
                <w:rFonts w:hint="eastAsia" w:ascii="Arial" w:hAnsi="Arial" w:cs="Arial"/>
                <w:sz w:val="16"/>
                <w:szCs w:val="18"/>
                <w:highlight w:val="none"/>
                <w:lang w:eastAsia="zh-CN"/>
              </w:rPr>
              <w:t>、</w:t>
            </w:r>
            <w:r>
              <w:rPr>
                <w:rFonts w:hint="eastAsia" w:ascii="Arial" w:hAnsi="Arial" w:cs="Arial"/>
                <w:sz w:val="16"/>
                <w:szCs w:val="18"/>
                <w:highlight w:val="none"/>
                <w:lang w:val="en-US" w:eastAsia="zh-CN"/>
              </w:rPr>
              <w:t>100</w:t>
            </w:r>
            <w:r>
              <w:rPr>
                <w:rFonts w:ascii="Arial" w:hAnsi="Arial" w:cs="Arial"/>
                <w:sz w:val="16"/>
                <w:szCs w:val="18"/>
                <w:highlight w:val="none"/>
              </w:rPr>
              <w:t>-</w:t>
            </w:r>
            <w:r>
              <w:rPr>
                <w:rFonts w:hint="eastAsia" w:ascii="Arial" w:hAnsi="Arial" w:cs="Arial"/>
                <w:sz w:val="16"/>
                <w:szCs w:val="18"/>
                <w:highlight w:val="none"/>
                <w:lang w:val="en-US" w:eastAsia="zh-CN"/>
              </w:rPr>
              <w:t>11</w:t>
            </w:r>
            <w:r>
              <w:rPr>
                <w:rFonts w:ascii="Arial" w:hAnsi="Arial" w:cs="Arial"/>
                <w:sz w:val="16"/>
                <w:szCs w:val="18"/>
                <w:highlight w:val="none"/>
              </w:rPr>
              <w:t>0（含）</w:t>
            </w:r>
            <w:r>
              <w:rPr>
                <w:rFonts w:hint="eastAsia" w:ascii="Arial" w:hAnsi="Arial" w:cs="Arial"/>
                <w:sz w:val="16"/>
                <w:szCs w:val="18"/>
                <w:highlight w:val="none"/>
                <w:lang w:eastAsia="zh-CN"/>
              </w:rPr>
              <w:t>、</w:t>
            </w:r>
            <w:r>
              <w:rPr>
                <w:rFonts w:hint="eastAsia" w:ascii="Arial" w:hAnsi="Arial" w:cs="Arial"/>
                <w:sz w:val="16"/>
                <w:szCs w:val="18"/>
                <w:highlight w:val="none"/>
                <w:lang w:val="en-US" w:eastAsia="zh-CN"/>
              </w:rPr>
              <w:t>110</w:t>
            </w:r>
            <w:r>
              <w:rPr>
                <w:rFonts w:ascii="Arial" w:hAnsi="Arial" w:cs="Arial"/>
                <w:sz w:val="16"/>
                <w:szCs w:val="18"/>
                <w:highlight w:val="none"/>
              </w:rPr>
              <w:t>-</w:t>
            </w:r>
            <w:r>
              <w:rPr>
                <w:rFonts w:hint="eastAsia" w:ascii="Arial" w:hAnsi="Arial" w:cs="Arial"/>
                <w:sz w:val="16"/>
                <w:szCs w:val="18"/>
                <w:highlight w:val="none"/>
                <w:lang w:val="en-US" w:eastAsia="zh-CN"/>
              </w:rPr>
              <w:t>12</w:t>
            </w:r>
            <w:r>
              <w:rPr>
                <w:rFonts w:ascii="Arial" w:hAnsi="Arial" w:cs="Arial"/>
                <w:sz w:val="16"/>
                <w:szCs w:val="18"/>
                <w:highlight w:val="none"/>
              </w:rPr>
              <w:t>0（含）</w:t>
            </w:r>
            <w:r>
              <w:rPr>
                <w:rFonts w:hint="eastAsia" w:ascii="Arial" w:hAnsi="Arial" w:cs="Arial"/>
                <w:sz w:val="16"/>
                <w:szCs w:val="18"/>
                <w:highlight w:val="none"/>
                <w:lang w:eastAsia="zh-CN"/>
              </w:rPr>
              <w:t>、</w:t>
            </w:r>
            <w:r>
              <w:rPr>
                <w:rFonts w:hint="eastAsia" w:ascii="Arial" w:hAnsi="Arial" w:cs="Arial"/>
                <w:sz w:val="16"/>
                <w:szCs w:val="18"/>
                <w:highlight w:val="none"/>
                <w:lang w:val="en-US" w:eastAsia="zh-CN"/>
              </w:rPr>
              <w:t>120</w:t>
            </w:r>
            <w:r>
              <w:rPr>
                <w:rFonts w:ascii="Arial" w:hAnsi="Arial" w:cs="Arial"/>
                <w:sz w:val="16"/>
                <w:szCs w:val="18"/>
                <w:highlight w:val="none"/>
              </w:rPr>
              <w:t>-</w:t>
            </w:r>
            <w:r>
              <w:rPr>
                <w:rFonts w:hint="eastAsia" w:ascii="Arial" w:hAnsi="Arial" w:cs="Arial"/>
                <w:sz w:val="16"/>
                <w:szCs w:val="18"/>
                <w:highlight w:val="none"/>
                <w:lang w:val="en-US" w:eastAsia="zh-CN"/>
              </w:rPr>
              <w:t>13</w:t>
            </w:r>
            <w:r>
              <w:rPr>
                <w:rFonts w:ascii="Arial" w:hAnsi="Arial" w:cs="Arial"/>
                <w:sz w:val="16"/>
                <w:szCs w:val="18"/>
                <w:highlight w:val="none"/>
              </w:rPr>
              <w:t>0（含）</w:t>
            </w:r>
            <w:r>
              <w:rPr>
                <w:rFonts w:hint="eastAsia" w:ascii="Arial" w:hAnsi="Arial" w:cs="Arial"/>
                <w:sz w:val="16"/>
                <w:szCs w:val="18"/>
                <w:highlight w:val="none"/>
                <w:lang w:eastAsia="zh-CN"/>
              </w:rPr>
              <w:t>、</w:t>
            </w:r>
            <w:r>
              <w:rPr>
                <w:rFonts w:hint="eastAsia" w:ascii="Arial" w:hAnsi="Arial" w:cs="Arial"/>
                <w:sz w:val="16"/>
                <w:szCs w:val="18"/>
                <w:highlight w:val="none"/>
                <w:lang w:val="en-US" w:eastAsia="zh-CN"/>
              </w:rPr>
              <w:t>130</w:t>
            </w:r>
            <w:r>
              <w:rPr>
                <w:rFonts w:ascii="Arial" w:hAnsi="Arial" w:cs="Arial"/>
                <w:sz w:val="16"/>
                <w:szCs w:val="18"/>
                <w:highlight w:val="none"/>
              </w:rPr>
              <w:t>-</w:t>
            </w:r>
            <w:r>
              <w:rPr>
                <w:rFonts w:hint="eastAsia" w:ascii="Arial" w:hAnsi="Arial" w:cs="Arial"/>
                <w:sz w:val="16"/>
                <w:szCs w:val="18"/>
                <w:highlight w:val="none"/>
                <w:lang w:val="en-US" w:eastAsia="zh-CN"/>
              </w:rPr>
              <w:t>14</w:t>
            </w:r>
            <w:r>
              <w:rPr>
                <w:rFonts w:ascii="Arial" w:hAnsi="Arial" w:cs="Arial"/>
                <w:sz w:val="16"/>
                <w:szCs w:val="18"/>
                <w:highlight w:val="none"/>
              </w:rPr>
              <w:t>0（含）平方米及以上。以估价对象该因素指数为100，各可比实例与之相比，确定可比实例1、2、3该因素指数分别为</w:t>
            </w:r>
            <w:r>
              <w:rPr>
                <w:rFonts w:hint="eastAsia" w:ascii="Arial" w:hAnsi="Arial" w:cs="Arial"/>
                <w:sz w:val="16"/>
                <w:szCs w:val="18"/>
                <w:highlight w:val="none"/>
                <w:lang w:val="en-US" w:eastAsia="zh-CN"/>
              </w:rPr>
              <w:t>99</w:t>
            </w:r>
            <w:r>
              <w:rPr>
                <w:rFonts w:hint="eastAsia" w:ascii="Arial" w:hAnsi="Arial" w:cs="Arial"/>
                <w:sz w:val="16"/>
                <w:szCs w:val="18"/>
                <w:highlight w:val="none"/>
              </w:rPr>
              <w:t>、</w:t>
            </w:r>
            <w:r>
              <w:rPr>
                <w:rFonts w:hint="eastAsia" w:ascii="Arial" w:hAnsi="Arial" w:cs="Arial"/>
                <w:sz w:val="16"/>
                <w:szCs w:val="18"/>
                <w:highlight w:val="none"/>
                <w:lang w:val="en-US" w:eastAsia="zh-CN"/>
              </w:rPr>
              <w:t>102</w:t>
            </w:r>
            <w:r>
              <w:rPr>
                <w:rFonts w:hint="eastAsia" w:ascii="Arial" w:hAnsi="Arial" w:cs="Arial"/>
                <w:sz w:val="16"/>
                <w:szCs w:val="18"/>
                <w:highlight w:val="none"/>
              </w:rPr>
              <w:t>、</w:t>
            </w:r>
            <w:r>
              <w:rPr>
                <w:rFonts w:hint="eastAsia" w:ascii="Arial" w:hAnsi="Arial" w:cs="Arial"/>
                <w:sz w:val="16"/>
                <w:szCs w:val="18"/>
                <w:highlight w:val="none"/>
                <w:lang w:val="en-US" w:eastAsia="zh-CN"/>
              </w:rPr>
              <w:t>101</w:t>
            </w:r>
            <w:r>
              <w:rPr>
                <w:rFonts w:ascii="Arial" w:hAnsi="Arial" w:cs="Arial"/>
                <w:sz w:val="16"/>
                <w:szCs w:val="18"/>
                <w:highlight w:val="none"/>
              </w:rPr>
              <w:t>；</w:t>
            </w:r>
          </w:p>
        </w:tc>
      </w:tr>
      <w:tr w14:paraId="02E75E37">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63978CD9">
            <w:pPr>
              <w:snapToGrid w:val="0"/>
              <w:spacing w:line="240" w:lineRule="exact"/>
              <w:jc w:val="both"/>
              <w:rPr>
                <w:rFonts w:ascii="宋体" w:hAnsi="宋体" w:cs="Arial"/>
                <w:sz w:val="16"/>
                <w:szCs w:val="18"/>
                <w:highlight w:val="none"/>
              </w:rPr>
            </w:pPr>
          </w:p>
        </w:tc>
        <w:tc>
          <w:tcPr>
            <w:tcW w:w="535" w:type="pct"/>
            <w:tcBorders>
              <w:top w:val="nil"/>
              <w:left w:val="nil"/>
              <w:bottom w:val="single" w:color="auto" w:sz="4" w:space="0"/>
              <w:right w:val="single" w:color="auto" w:sz="4" w:space="0"/>
            </w:tcBorders>
            <w:vAlign w:val="center"/>
          </w:tcPr>
          <w:p w14:paraId="79C86B0B">
            <w:pPr>
              <w:widowControl/>
              <w:adjustRightInd/>
              <w:spacing w:line="240" w:lineRule="auto"/>
              <w:jc w:val="center"/>
              <w:textAlignment w:val="auto"/>
              <w:rPr>
                <w:rFonts w:ascii="宋体" w:hAnsi="宋体" w:cs="Arial"/>
                <w:sz w:val="16"/>
                <w:szCs w:val="18"/>
                <w:highlight w:val="none"/>
              </w:rPr>
            </w:pPr>
            <w:r>
              <w:rPr>
                <w:rFonts w:ascii="宋体" w:hAnsi="宋体" w:cs="Arial"/>
                <w:sz w:val="16"/>
                <w:szCs w:val="18"/>
                <w:highlight w:val="none"/>
              </w:rPr>
              <w:t>家具家电</w:t>
            </w:r>
          </w:p>
        </w:tc>
        <w:tc>
          <w:tcPr>
            <w:tcW w:w="531" w:type="pct"/>
            <w:tcBorders>
              <w:top w:val="nil"/>
              <w:left w:val="nil"/>
              <w:bottom w:val="single" w:color="auto" w:sz="4" w:space="0"/>
              <w:right w:val="single" w:color="auto" w:sz="4" w:space="0"/>
            </w:tcBorders>
            <w:noWrap/>
            <w:vAlign w:val="center"/>
          </w:tcPr>
          <w:p w14:paraId="026396D0">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242CB06D">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53654010">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35006A87">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2032" w:type="pct"/>
            <w:tcBorders>
              <w:top w:val="nil"/>
              <w:left w:val="nil"/>
              <w:bottom w:val="single" w:color="auto" w:sz="4" w:space="0"/>
              <w:right w:val="single" w:color="auto" w:sz="4" w:space="0"/>
            </w:tcBorders>
            <w:vAlign w:val="center"/>
          </w:tcPr>
          <w:p w14:paraId="5C660846">
            <w:pPr>
              <w:widowControl/>
              <w:adjustRightInd/>
              <w:spacing w:line="240" w:lineRule="auto"/>
              <w:textAlignment w:val="auto"/>
              <w:rPr>
                <w:rFonts w:ascii="Arial" w:hAnsi="Arial"/>
                <w:highlight w:val="none"/>
              </w:rPr>
            </w:pPr>
            <w:r>
              <w:rPr>
                <w:rFonts w:ascii="Arial" w:hAnsi="Arial" w:cs="Arial"/>
                <w:sz w:val="16"/>
                <w:szCs w:val="18"/>
                <w:highlight w:val="none"/>
              </w:rPr>
              <w:t>根据家具家电配备齐全程度，以估价对象该因素指数为100，各可比实例与之相比，确定可比实例1、2、3该因素指数分别为</w:t>
            </w:r>
            <w:r>
              <w:rPr>
                <w:rFonts w:hint="eastAsia" w:ascii="Arial" w:hAnsi="Arial" w:cs="Arial"/>
                <w:sz w:val="16"/>
                <w:szCs w:val="18"/>
                <w:highlight w:val="none"/>
              </w:rPr>
              <w:t>10</w:t>
            </w:r>
            <w:r>
              <w:rPr>
                <w:rFonts w:ascii="Arial" w:hAnsi="Arial" w:cs="Arial"/>
                <w:sz w:val="16"/>
                <w:szCs w:val="18"/>
                <w:highlight w:val="none"/>
              </w:rPr>
              <w:t>0</w:t>
            </w:r>
            <w:r>
              <w:rPr>
                <w:rFonts w:hint="eastAsia" w:ascii="Arial" w:hAnsi="Arial" w:cs="Arial"/>
                <w:sz w:val="16"/>
                <w:szCs w:val="18"/>
                <w:highlight w:val="none"/>
              </w:rPr>
              <w:t>、10</w:t>
            </w:r>
            <w:r>
              <w:rPr>
                <w:rFonts w:ascii="Arial" w:hAnsi="Arial" w:cs="Arial"/>
                <w:sz w:val="16"/>
                <w:szCs w:val="18"/>
                <w:highlight w:val="none"/>
              </w:rPr>
              <w:t>0</w:t>
            </w:r>
            <w:r>
              <w:rPr>
                <w:rFonts w:hint="eastAsia" w:ascii="Arial" w:hAnsi="Arial" w:cs="Arial"/>
                <w:sz w:val="16"/>
                <w:szCs w:val="18"/>
                <w:highlight w:val="none"/>
              </w:rPr>
              <w:t>、10</w:t>
            </w:r>
            <w:r>
              <w:rPr>
                <w:rFonts w:ascii="Arial" w:hAnsi="Arial" w:cs="Arial"/>
                <w:sz w:val="16"/>
                <w:szCs w:val="18"/>
                <w:highlight w:val="none"/>
              </w:rPr>
              <w:t>0</w:t>
            </w:r>
          </w:p>
        </w:tc>
      </w:tr>
      <w:tr w14:paraId="2409BA9A">
        <w:tblPrEx>
          <w:tblCellMar>
            <w:top w:w="57" w:type="dxa"/>
            <w:left w:w="57" w:type="dxa"/>
            <w:bottom w:w="57" w:type="dxa"/>
            <w:right w:w="57" w:type="dxa"/>
          </w:tblCellMar>
        </w:tblPrEx>
        <w:trPr>
          <w:trHeight w:val="20" w:hRule="atLeast"/>
          <w:jc w:val="center"/>
        </w:trPr>
        <w:tc>
          <w:tcPr>
            <w:tcW w:w="305" w:type="pct"/>
            <w:vMerge w:val="restart"/>
            <w:tcBorders>
              <w:top w:val="single" w:color="auto" w:sz="4" w:space="0"/>
              <w:left w:val="single" w:color="auto" w:sz="4" w:space="0"/>
              <w:bottom w:val="single" w:color="auto" w:sz="4" w:space="0"/>
              <w:right w:val="single" w:color="auto" w:sz="4" w:space="0"/>
            </w:tcBorders>
            <w:vAlign w:val="center"/>
          </w:tcPr>
          <w:p w14:paraId="5D775AE8">
            <w:pPr>
              <w:snapToGrid w:val="0"/>
              <w:spacing w:line="240" w:lineRule="exact"/>
              <w:jc w:val="both"/>
              <w:rPr>
                <w:rFonts w:ascii="宋体" w:hAnsi="宋体" w:cs="Arial"/>
                <w:sz w:val="16"/>
                <w:szCs w:val="18"/>
                <w:highlight w:val="none"/>
              </w:rPr>
            </w:pPr>
            <w:r>
              <w:rPr>
                <w:rFonts w:ascii="宋体" w:hAnsi="宋体" w:cs="Arial"/>
                <w:sz w:val="16"/>
                <w:szCs w:val="18"/>
                <w:highlight w:val="none"/>
              </w:rPr>
              <w:t>权益状况</w:t>
            </w:r>
          </w:p>
        </w:tc>
        <w:tc>
          <w:tcPr>
            <w:tcW w:w="535" w:type="pct"/>
            <w:tcBorders>
              <w:top w:val="single" w:color="auto" w:sz="4" w:space="0"/>
              <w:left w:val="nil"/>
              <w:bottom w:val="single" w:color="auto" w:sz="4" w:space="0"/>
              <w:right w:val="single" w:color="auto" w:sz="4" w:space="0"/>
            </w:tcBorders>
            <w:vAlign w:val="center"/>
          </w:tcPr>
          <w:p w14:paraId="0EDD3F89">
            <w:pPr>
              <w:snapToGrid w:val="0"/>
              <w:spacing w:line="240" w:lineRule="exact"/>
              <w:jc w:val="both"/>
              <w:rPr>
                <w:rFonts w:ascii="宋体" w:hAnsi="宋体" w:cs="Arial"/>
                <w:sz w:val="16"/>
                <w:szCs w:val="18"/>
                <w:highlight w:val="none"/>
              </w:rPr>
            </w:pPr>
            <w:r>
              <w:rPr>
                <w:rFonts w:ascii="宋体" w:hAnsi="宋体" w:cs="Arial"/>
                <w:sz w:val="16"/>
                <w:szCs w:val="18"/>
                <w:highlight w:val="none"/>
              </w:rPr>
              <w:t>服务及管理水平</w:t>
            </w:r>
          </w:p>
        </w:tc>
        <w:tc>
          <w:tcPr>
            <w:tcW w:w="531" w:type="pct"/>
            <w:tcBorders>
              <w:top w:val="nil"/>
              <w:left w:val="nil"/>
              <w:bottom w:val="single" w:color="auto" w:sz="4" w:space="0"/>
              <w:right w:val="single" w:color="auto" w:sz="4" w:space="0"/>
            </w:tcBorders>
            <w:noWrap/>
            <w:vAlign w:val="center"/>
          </w:tcPr>
          <w:p w14:paraId="4A217ED0">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4DD15C38">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6857144F">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7BC746C7">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2032" w:type="pct"/>
            <w:tcBorders>
              <w:top w:val="nil"/>
              <w:left w:val="nil"/>
              <w:bottom w:val="single" w:color="auto" w:sz="4" w:space="0"/>
              <w:right w:val="single" w:color="auto" w:sz="4" w:space="0"/>
            </w:tcBorders>
            <w:vAlign w:val="center"/>
          </w:tcPr>
          <w:p w14:paraId="4B28CC39">
            <w:pPr>
              <w:widowControl/>
              <w:adjustRightInd/>
              <w:spacing w:line="240" w:lineRule="auto"/>
              <w:textAlignment w:val="auto"/>
              <w:rPr>
                <w:rFonts w:ascii="Arial" w:hAnsi="Arial" w:cs="Arial"/>
                <w:sz w:val="16"/>
                <w:szCs w:val="18"/>
                <w:highlight w:val="none"/>
              </w:rPr>
            </w:pPr>
            <w:r>
              <w:rPr>
                <w:rFonts w:ascii="Arial" w:hAnsi="Arial" w:cs="Arial"/>
                <w:sz w:val="16"/>
                <w:szCs w:val="18"/>
                <w:highlight w:val="none"/>
              </w:rPr>
              <w:t>根据是否配置服务管家、是否封闭式管理，以估价对象该因素指数为100，各可比实例与之相比，确定可比实例1、2、3该因素指数分别为</w:t>
            </w:r>
            <w:r>
              <w:rPr>
                <w:rFonts w:hint="eastAsia" w:ascii="Arial" w:hAnsi="Arial" w:cs="Arial"/>
                <w:sz w:val="16"/>
                <w:szCs w:val="18"/>
                <w:highlight w:val="none"/>
                <w:lang w:val="en-US" w:eastAsia="zh-CN"/>
              </w:rPr>
              <w:t>100</w:t>
            </w:r>
            <w:r>
              <w:rPr>
                <w:rFonts w:hint="eastAsia" w:ascii="Arial" w:hAnsi="Arial" w:cs="Arial"/>
                <w:sz w:val="16"/>
                <w:szCs w:val="18"/>
                <w:highlight w:val="none"/>
              </w:rPr>
              <w:t>、</w:t>
            </w:r>
            <w:r>
              <w:rPr>
                <w:rFonts w:hint="eastAsia" w:ascii="Arial" w:hAnsi="Arial" w:cs="Arial"/>
                <w:sz w:val="16"/>
                <w:szCs w:val="18"/>
                <w:highlight w:val="none"/>
                <w:lang w:val="en-US" w:eastAsia="zh-CN"/>
              </w:rPr>
              <w:t>100</w:t>
            </w:r>
            <w:r>
              <w:rPr>
                <w:rFonts w:hint="eastAsia" w:ascii="Arial" w:hAnsi="Arial" w:cs="Arial"/>
                <w:sz w:val="16"/>
                <w:szCs w:val="18"/>
                <w:highlight w:val="none"/>
              </w:rPr>
              <w:t>、</w:t>
            </w:r>
            <w:r>
              <w:rPr>
                <w:rFonts w:hint="eastAsia" w:ascii="Arial" w:hAnsi="Arial" w:cs="Arial"/>
                <w:sz w:val="16"/>
                <w:szCs w:val="18"/>
                <w:highlight w:val="none"/>
                <w:lang w:val="en-US" w:eastAsia="zh-CN"/>
              </w:rPr>
              <w:t>100</w:t>
            </w:r>
            <w:r>
              <w:rPr>
                <w:rFonts w:ascii="Arial" w:hAnsi="Arial" w:cs="Arial"/>
                <w:sz w:val="16"/>
                <w:szCs w:val="18"/>
                <w:highlight w:val="none"/>
              </w:rPr>
              <w:t>。</w:t>
            </w:r>
          </w:p>
        </w:tc>
      </w:tr>
      <w:tr w14:paraId="065E3B6D">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0934CCC3">
            <w:pPr>
              <w:snapToGrid w:val="0"/>
              <w:spacing w:line="240" w:lineRule="exact"/>
              <w:jc w:val="both"/>
              <w:rPr>
                <w:rFonts w:ascii="宋体" w:hAnsi="宋体" w:cs="Arial"/>
                <w:sz w:val="16"/>
                <w:szCs w:val="18"/>
                <w:highlight w:val="none"/>
              </w:rPr>
            </w:pPr>
          </w:p>
        </w:tc>
        <w:tc>
          <w:tcPr>
            <w:tcW w:w="535" w:type="pct"/>
            <w:tcBorders>
              <w:top w:val="nil"/>
              <w:left w:val="nil"/>
              <w:bottom w:val="single" w:color="auto" w:sz="4" w:space="0"/>
              <w:right w:val="single" w:color="auto" w:sz="4" w:space="0"/>
            </w:tcBorders>
            <w:vAlign w:val="center"/>
          </w:tcPr>
          <w:p w14:paraId="108F067B">
            <w:pPr>
              <w:snapToGrid w:val="0"/>
              <w:spacing w:line="240" w:lineRule="exact"/>
              <w:jc w:val="both"/>
              <w:rPr>
                <w:rFonts w:ascii="宋体" w:hAnsi="宋体" w:cs="Arial"/>
                <w:sz w:val="16"/>
                <w:szCs w:val="18"/>
                <w:highlight w:val="none"/>
              </w:rPr>
            </w:pPr>
            <w:r>
              <w:rPr>
                <w:rFonts w:ascii="宋体" w:hAnsi="宋体" w:cs="Arial"/>
                <w:sz w:val="16"/>
                <w:szCs w:val="18"/>
                <w:highlight w:val="none"/>
              </w:rPr>
              <w:t>水电气费执行标准</w:t>
            </w:r>
          </w:p>
        </w:tc>
        <w:tc>
          <w:tcPr>
            <w:tcW w:w="531" w:type="pct"/>
            <w:tcBorders>
              <w:top w:val="nil"/>
              <w:left w:val="nil"/>
              <w:bottom w:val="single" w:color="auto" w:sz="4" w:space="0"/>
              <w:right w:val="single" w:color="auto" w:sz="4" w:space="0"/>
            </w:tcBorders>
            <w:noWrap/>
            <w:vAlign w:val="center"/>
          </w:tcPr>
          <w:p w14:paraId="1600AF76">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4D937B2B">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7E858544">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531" w:type="pct"/>
            <w:tcBorders>
              <w:top w:val="nil"/>
              <w:left w:val="nil"/>
              <w:bottom w:val="single" w:color="auto" w:sz="4" w:space="0"/>
              <w:right w:val="single" w:color="auto" w:sz="4" w:space="0"/>
            </w:tcBorders>
            <w:noWrap/>
            <w:vAlign w:val="center"/>
          </w:tcPr>
          <w:p w14:paraId="7B282804">
            <w:pPr>
              <w:snapToGrid w:val="0"/>
              <w:spacing w:line="240" w:lineRule="exact"/>
              <w:jc w:val="both"/>
              <w:rPr>
                <w:rFonts w:ascii="Arial" w:hAnsi="Arial" w:cs="Arial"/>
                <w:sz w:val="16"/>
                <w:szCs w:val="18"/>
                <w:highlight w:val="none"/>
              </w:rPr>
            </w:pPr>
            <w:r>
              <w:rPr>
                <w:rFonts w:ascii="Arial" w:hAnsi="Arial" w:cs="Arial"/>
                <w:sz w:val="16"/>
                <w:szCs w:val="18"/>
                <w:highlight w:val="none"/>
              </w:rPr>
              <w:t>100</w:t>
            </w:r>
          </w:p>
        </w:tc>
        <w:tc>
          <w:tcPr>
            <w:tcW w:w="2032" w:type="pct"/>
            <w:tcBorders>
              <w:top w:val="nil"/>
              <w:left w:val="nil"/>
              <w:bottom w:val="single" w:color="auto" w:sz="4" w:space="0"/>
              <w:right w:val="single" w:color="auto" w:sz="4" w:space="0"/>
            </w:tcBorders>
            <w:vAlign w:val="center"/>
          </w:tcPr>
          <w:p w14:paraId="1AE6711B">
            <w:pPr>
              <w:widowControl/>
              <w:adjustRightInd/>
              <w:spacing w:line="240" w:lineRule="auto"/>
              <w:textAlignment w:val="auto"/>
              <w:rPr>
                <w:rFonts w:ascii="Arial" w:hAnsi="Arial" w:cs="Arial"/>
                <w:sz w:val="16"/>
                <w:szCs w:val="18"/>
                <w:highlight w:val="none"/>
              </w:rPr>
            </w:pPr>
            <w:r>
              <w:rPr>
                <w:rFonts w:ascii="Arial" w:hAnsi="Arial" w:cs="Arial"/>
                <w:sz w:val="16"/>
                <w:szCs w:val="18"/>
                <w:highlight w:val="none"/>
              </w:rPr>
              <w:t>估价对象与案例均采用民水民电，确定可比实例1、2、3该因素指数分别为100、100、100。</w:t>
            </w:r>
          </w:p>
        </w:tc>
      </w:tr>
    </w:tbl>
    <w:p w14:paraId="1F3B5F34">
      <w:pPr>
        <w:wordWrap w:val="0"/>
        <w:overflowPunct w:val="0"/>
        <w:spacing w:line="480" w:lineRule="auto"/>
        <w:rPr>
          <w:rFonts w:ascii="Arial" w:hAnsi="Arial"/>
          <w:sz w:val="21"/>
          <w:szCs w:val="21"/>
          <w:highlight w:val="none"/>
        </w:rPr>
      </w:pPr>
    </w:p>
    <w:p w14:paraId="133057C1">
      <w:pPr>
        <w:wordWrap w:val="0"/>
        <w:overflowPunct w:val="0"/>
        <w:spacing w:line="480" w:lineRule="auto"/>
        <w:rPr>
          <w:rFonts w:ascii="Arial" w:hAnsi="Arial"/>
          <w:sz w:val="21"/>
          <w:szCs w:val="21"/>
          <w:highlight w:val="none"/>
        </w:rPr>
      </w:pPr>
    </w:p>
    <w:p w14:paraId="40A352CB">
      <w:pPr>
        <w:wordWrap w:val="0"/>
        <w:overflowPunct w:val="0"/>
        <w:spacing w:line="480" w:lineRule="auto"/>
        <w:rPr>
          <w:rFonts w:ascii="Arial" w:hAnsi="Arial"/>
          <w:sz w:val="21"/>
          <w:szCs w:val="21"/>
          <w:highlight w:val="none"/>
        </w:rPr>
      </w:pPr>
    </w:p>
    <w:p w14:paraId="54ABFAC1">
      <w:pPr>
        <w:wordWrap w:val="0"/>
        <w:overflowPunct w:val="0"/>
        <w:spacing w:line="480" w:lineRule="auto"/>
        <w:ind w:firstLine="420" w:firstLineChars="200"/>
        <w:rPr>
          <w:rFonts w:ascii="Arial" w:hAnsi="Arial"/>
          <w:sz w:val="21"/>
          <w:szCs w:val="21"/>
          <w:highlight w:val="none"/>
        </w:rPr>
      </w:pPr>
      <w:r>
        <w:rPr>
          <w:rFonts w:hint="eastAsia" w:ascii="Arial" w:hAnsi="Arial"/>
          <w:sz w:val="21"/>
          <w:szCs w:val="21"/>
          <w:highlight w:val="none"/>
        </w:rPr>
        <w:t>（3）编制因素比较修正系数表</w:t>
      </w:r>
      <w:r>
        <w:rPr>
          <w:rFonts w:ascii="Arial" w:hAnsi="Arial"/>
          <w:sz w:val="21"/>
          <w:szCs w:val="21"/>
          <w:highlight w:val="none"/>
        </w:rPr>
        <w:t xml:space="preserve"> </w:t>
      </w:r>
    </w:p>
    <w:p w14:paraId="64BFA31D">
      <w:pPr>
        <w:wordWrap w:val="0"/>
        <w:overflowPunct w:val="0"/>
        <w:spacing w:line="480" w:lineRule="auto"/>
        <w:ind w:firstLine="420" w:firstLineChars="200"/>
        <w:rPr>
          <w:rFonts w:ascii="Arial" w:hAnsi="Arial"/>
          <w:sz w:val="21"/>
          <w:szCs w:val="21"/>
          <w:highlight w:val="none"/>
        </w:rPr>
      </w:pPr>
      <w:r>
        <w:rPr>
          <w:rFonts w:hint="eastAsia" w:ascii="Arial" w:hAnsi="Arial"/>
          <w:sz w:val="21"/>
          <w:szCs w:val="21"/>
          <w:highlight w:val="none"/>
        </w:rPr>
        <w:t>根据比较因素条件指数表，编制因素各项目比较修正系数表，详见下表：</w:t>
      </w:r>
    </w:p>
    <w:p w14:paraId="26E18A0B">
      <w:pPr>
        <w:overflowPunct w:val="0"/>
        <w:spacing w:line="480" w:lineRule="auto"/>
        <w:ind w:firstLine="420" w:firstLineChars="200"/>
        <w:jc w:val="center"/>
        <w:rPr>
          <w:rFonts w:ascii="Arial" w:hAnsi="Arial"/>
          <w:sz w:val="21"/>
          <w:szCs w:val="21"/>
          <w:highlight w:val="none"/>
        </w:rPr>
      </w:pPr>
      <w:r>
        <w:rPr>
          <w:rFonts w:hint="eastAsia" w:ascii="Arial" w:hAnsi="Arial"/>
          <w:sz w:val="21"/>
          <w:szCs w:val="21"/>
          <w:highlight w:val="none"/>
        </w:rPr>
        <w:t>因素比较修正系数表</w:t>
      </w:r>
    </w:p>
    <w:tbl>
      <w:tblPr>
        <w:tblStyle w:val="33"/>
        <w:tblW w:w="5000" w:type="pct"/>
        <w:tblInd w:w="0" w:type="dxa"/>
        <w:tblLayout w:type="autofit"/>
        <w:tblCellMar>
          <w:top w:w="0" w:type="dxa"/>
          <w:left w:w="108" w:type="dxa"/>
          <w:bottom w:w="0" w:type="dxa"/>
          <w:right w:w="108" w:type="dxa"/>
        </w:tblCellMar>
      </w:tblPr>
      <w:tblGrid>
        <w:gridCol w:w="1506"/>
        <w:gridCol w:w="2887"/>
        <w:gridCol w:w="1707"/>
        <w:gridCol w:w="1707"/>
        <w:gridCol w:w="1708"/>
      </w:tblGrid>
      <w:tr w14:paraId="5E335958">
        <w:tblPrEx>
          <w:tblCellMar>
            <w:top w:w="0" w:type="dxa"/>
            <w:left w:w="108" w:type="dxa"/>
            <w:bottom w:w="0" w:type="dxa"/>
            <w:right w:w="108" w:type="dxa"/>
          </w:tblCellMar>
        </w:tblPrEx>
        <w:trPr>
          <w:trHeight w:val="205"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45D7C8C9">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项目</w:t>
            </w:r>
          </w:p>
        </w:tc>
        <w:tc>
          <w:tcPr>
            <w:tcW w:w="897" w:type="pct"/>
            <w:tcBorders>
              <w:top w:val="single" w:color="auto" w:sz="4" w:space="0"/>
              <w:left w:val="nil"/>
              <w:bottom w:val="single" w:color="auto" w:sz="4" w:space="0"/>
              <w:right w:val="single" w:color="auto" w:sz="4" w:space="0"/>
            </w:tcBorders>
            <w:vAlign w:val="center"/>
          </w:tcPr>
          <w:p w14:paraId="59ACC123">
            <w:pPr>
              <w:widowControl/>
              <w:adjustRightInd/>
              <w:spacing w:line="240" w:lineRule="auto"/>
              <w:jc w:val="center"/>
              <w:textAlignment w:val="auto"/>
              <w:rPr>
                <w:rFonts w:hint="eastAsia" w:ascii="Arial" w:hAnsi="Arial" w:eastAsia="宋体" w:cs="Arial"/>
                <w:sz w:val="16"/>
                <w:szCs w:val="18"/>
                <w:highlight w:val="none"/>
                <w:lang w:val="en-US" w:eastAsia="zh-CN"/>
              </w:rPr>
            </w:pPr>
            <w:r>
              <w:rPr>
                <w:rFonts w:ascii="Arial" w:hAnsi="Arial" w:cs="Arial"/>
                <w:sz w:val="16"/>
                <w:szCs w:val="18"/>
                <w:highlight w:val="none"/>
              </w:rPr>
              <w:t>可比实例</w:t>
            </w:r>
            <w:r>
              <w:rPr>
                <w:rFonts w:hint="eastAsia" w:ascii="Arial" w:hAnsi="Arial" w:cs="Arial"/>
                <w:sz w:val="16"/>
                <w:szCs w:val="18"/>
                <w:highlight w:val="none"/>
                <w:lang w:val="en-US" w:eastAsia="zh-CN"/>
              </w:rPr>
              <w:t>7</w:t>
            </w:r>
          </w:p>
        </w:tc>
        <w:tc>
          <w:tcPr>
            <w:tcW w:w="897" w:type="pct"/>
            <w:tcBorders>
              <w:top w:val="single" w:color="auto" w:sz="4" w:space="0"/>
              <w:left w:val="nil"/>
              <w:bottom w:val="single" w:color="auto" w:sz="4" w:space="0"/>
              <w:right w:val="single" w:color="auto" w:sz="4" w:space="0"/>
            </w:tcBorders>
            <w:vAlign w:val="center"/>
          </w:tcPr>
          <w:p w14:paraId="3F1B9795">
            <w:pPr>
              <w:widowControl/>
              <w:adjustRightInd/>
              <w:spacing w:line="240" w:lineRule="auto"/>
              <w:jc w:val="center"/>
              <w:textAlignment w:val="auto"/>
              <w:rPr>
                <w:rFonts w:hint="eastAsia" w:ascii="Arial" w:hAnsi="Arial" w:eastAsia="宋体" w:cs="Arial"/>
                <w:sz w:val="16"/>
                <w:szCs w:val="18"/>
                <w:highlight w:val="none"/>
                <w:lang w:val="en-US" w:eastAsia="zh-CN"/>
              </w:rPr>
            </w:pPr>
            <w:r>
              <w:rPr>
                <w:rFonts w:ascii="Arial" w:hAnsi="Arial" w:cs="Arial"/>
                <w:sz w:val="16"/>
                <w:szCs w:val="18"/>
                <w:highlight w:val="none"/>
              </w:rPr>
              <w:t>可比实例</w:t>
            </w:r>
            <w:r>
              <w:rPr>
                <w:rFonts w:hint="eastAsia" w:ascii="Arial" w:hAnsi="Arial" w:cs="Arial"/>
                <w:sz w:val="16"/>
                <w:szCs w:val="18"/>
                <w:highlight w:val="none"/>
                <w:lang w:val="en-US" w:eastAsia="zh-CN"/>
              </w:rPr>
              <w:t>8</w:t>
            </w:r>
          </w:p>
        </w:tc>
        <w:tc>
          <w:tcPr>
            <w:tcW w:w="897" w:type="pct"/>
            <w:tcBorders>
              <w:top w:val="single" w:color="auto" w:sz="4" w:space="0"/>
              <w:left w:val="nil"/>
              <w:bottom w:val="single" w:color="auto" w:sz="4" w:space="0"/>
              <w:right w:val="single" w:color="auto" w:sz="4" w:space="0"/>
            </w:tcBorders>
            <w:vAlign w:val="center"/>
          </w:tcPr>
          <w:p w14:paraId="34E4DC8C">
            <w:pPr>
              <w:widowControl/>
              <w:adjustRightInd/>
              <w:spacing w:line="240" w:lineRule="auto"/>
              <w:jc w:val="center"/>
              <w:textAlignment w:val="auto"/>
              <w:rPr>
                <w:rFonts w:hint="eastAsia" w:ascii="Arial" w:hAnsi="Arial" w:eastAsia="宋体" w:cs="Arial"/>
                <w:sz w:val="16"/>
                <w:szCs w:val="18"/>
                <w:highlight w:val="none"/>
                <w:lang w:val="en-US" w:eastAsia="zh-CN"/>
              </w:rPr>
            </w:pPr>
            <w:r>
              <w:rPr>
                <w:rFonts w:ascii="Arial" w:hAnsi="Arial" w:cs="Arial"/>
                <w:sz w:val="16"/>
                <w:szCs w:val="18"/>
                <w:highlight w:val="none"/>
              </w:rPr>
              <w:t>可比实例</w:t>
            </w:r>
            <w:r>
              <w:rPr>
                <w:rFonts w:hint="eastAsia" w:ascii="Arial" w:hAnsi="Arial" w:cs="Arial"/>
                <w:sz w:val="16"/>
                <w:szCs w:val="18"/>
                <w:highlight w:val="none"/>
                <w:lang w:val="en-US" w:eastAsia="zh-CN"/>
              </w:rPr>
              <w:t>9</w:t>
            </w:r>
          </w:p>
        </w:tc>
      </w:tr>
      <w:tr w14:paraId="6DDEC4F8">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4224821D">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小区名称</w:t>
            </w:r>
          </w:p>
        </w:tc>
        <w:tc>
          <w:tcPr>
            <w:tcW w:w="1707" w:type="dxa"/>
            <w:tcBorders>
              <w:top w:val="nil"/>
              <w:left w:val="nil"/>
              <w:bottom w:val="single" w:color="auto" w:sz="4" w:space="0"/>
              <w:right w:val="single" w:color="auto" w:sz="4" w:space="0"/>
            </w:tcBorders>
            <w:vAlign w:val="center"/>
          </w:tcPr>
          <w:p w14:paraId="2D3BEFBB">
            <w:pPr>
              <w:widowControl/>
              <w:spacing w:line="240" w:lineRule="exact"/>
              <w:jc w:val="center"/>
              <w:textAlignment w:val="center"/>
              <w:rPr>
                <w:rFonts w:ascii="Arial" w:hAnsi="Arial" w:cs="Arial"/>
                <w:sz w:val="16"/>
                <w:szCs w:val="18"/>
                <w:highlight w:val="none"/>
              </w:rPr>
            </w:pPr>
            <w:r>
              <w:rPr>
                <w:rFonts w:hint="eastAsia" w:ascii="Arial" w:hAnsi="Arial" w:cs="Arial"/>
                <w:sz w:val="16"/>
                <w:szCs w:val="18"/>
                <w:highlight w:val="none"/>
                <w:lang w:val="en-US" w:eastAsia="zh-CN"/>
              </w:rPr>
              <w:t>北京城建宽院国誉府</w:t>
            </w:r>
          </w:p>
        </w:tc>
        <w:tc>
          <w:tcPr>
            <w:tcW w:w="1707" w:type="dxa"/>
            <w:tcBorders>
              <w:top w:val="nil"/>
              <w:left w:val="nil"/>
              <w:bottom w:val="single" w:color="auto" w:sz="4" w:space="0"/>
              <w:right w:val="single" w:color="auto" w:sz="4" w:space="0"/>
            </w:tcBorders>
            <w:vAlign w:val="center"/>
          </w:tcPr>
          <w:p w14:paraId="5F88B2D9">
            <w:pPr>
              <w:widowControl/>
              <w:spacing w:line="240" w:lineRule="exact"/>
              <w:jc w:val="center"/>
              <w:textAlignment w:val="center"/>
              <w:rPr>
                <w:rFonts w:ascii="Arial" w:hAnsi="Arial" w:cs="Arial"/>
                <w:sz w:val="16"/>
                <w:szCs w:val="18"/>
                <w:highlight w:val="none"/>
              </w:rPr>
            </w:pPr>
            <w:r>
              <w:rPr>
                <w:rFonts w:hint="eastAsia" w:ascii="Arial" w:hAnsi="Arial" w:cs="Arial"/>
                <w:sz w:val="16"/>
                <w:szCs w:val="18"/>
                <w:highlight w:val="none"/>
                <w:lang w:val="en-US" w:eastAsia="zh-CN"/>
              </w:rPr>
              <w:t>恒盛波尔多小镇南区</w:t>
            </w:r>
            <w:r>
              <w:rPr>
                <w:rFonts w:hint="eastAsia" w:ascii="Arial" w:hAnsi="Arial" w:cs="Arial"/>
                <w:sz w:val="16"/>
                <w:szCs w:val="18"/>
                <w:highlight w:val="none"/>
              </w:rPr>
              <w:t>苑</w:t>
            </w:r>
          </w:p>
        </w:tc>
        <w:tc>
          <w:tcPr>
            <w:tcW w:w="1708" w:type="dxa"/>
            <w:tcBorders>
              <w:top w:val="nil"/>
              <w:left w:val="nil"/>
              <w:bottom w:val="single" w:color="auto" w:sz="4" w:space="0"/>
              <w:right w:val="single" w:color="auto" w:sz="4" w:space="0"/>
            </w:tcBorders>
            <w:vAlign w:val="center"/>
          </w:tcPr>
          <w:p w14:paraId="60D3BBAC">
            <w:pPr>
              <w:widowControl/>
              <w:spacing w:line="240" w:lineRule="exact"/>
              <w:jc w:val="center"/>
              <w:textAlignment w:val="center"/>
              <w:rPr>
                <w:rFonts w:ascii="Arial" w:hAnsi="Arial" w:cs="Arial"/>
                <w:sz w:val="16"/>
                <w:szCs w:val="18"/>
                <w:highlight w:val="none"/>
              </w:rPr>
            </w:pPr>
            <w:r>
              <w:rPr>
                <w:rFonts w:hint="eastAsia" w:ascii="Arial" w:hAnsi="Arial" w:cs="Arial"/>
                <w:sz w:val="16"/>
                <w:szCs w:val="18"/>
                <w:highlight w:val="none"/>
              </w:rPr>
              <w:t>当代采育满庭春MOMA</w:t>
            </w:r>
          </w:p>
        </w:tc>
      </w:tr>
      <w:tr w14:paraId="6C413BB4">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3F8E5744">
            <w:pPr>
              <w:widowControl/>
              <w:adjustRightInd/>
              <w:spacing w:line="240" w:lineRule="auto"/>
              <w:textAlignment w:val="auto"/>
              <w:rPr>
                <w:rFonts w:ascii="Arial" w:hAnsi="Arial" w:cs="Arial"/>
                <w:sz w:val="16"/>
                <w:szCs w:val="18"/>
                <w:highlight w:val="none"/>
              </w:rPr>
            </w:pPr>
            <w:r>
              <w:rPr>
                <w:rFonts w:ascii="Arial" w:hAnsi="Arial" w:cs="Arial"/>
                <w:sz w:val="16"/>
                <w:szCs w:val="18"/>
                <w:highlight w:val="none"/>
              </w:rPr>
              <w:t>平均租金（元/平方米·月）</w:t>
            </w:r>
          </w:p>
        </w:tc>
        <w:tc>
          <w:tcPr>
            <w:tcW w:w="1707" w:type="dxa"/>
            <w:tcBorders>
              <w:top w:val="nil"/>
              <w:left w:val="nil"/>
              <w:bottom w:val="single" w:color="auto" w:sz="4" w:space="0"/>
              <w:right w:val="single" w:color="auto" w:sz="4" w:space="0"/>
            </w:tcBorders>
            <w:vAlign w:val="center"/>
          </w:tcPr>
          <w:p w14:paraId="27DE4FEC">
            <w:pPr>
              <w:autoSpaceDE w:val="0"/>
              <w:autoSpaceDN w:val="0"/>
              <w:spacing w:line="240" w:lineRule="exact"/>
              <w:jc w:val="center"/>
              <w:textAlignment w:val="bottom"/>
              <w:rPr>
                <w:rFonts w:ascii="Arial" w:hAnsi="Arial" w:cs="Arial"/>
                <w:sz w:val="16"/>
                <w:szCs w:val="18"/>
                <w:highlight w:val="none"/>
              </w:rPr>
            </w:pPr>
            <w:r>
              <w:rPr>
                <w:rFonts w:hint="eastAsia" w:ascii="Arial" w:hAnsi="Arial" w:cs="Arial"/>
                <w:sz w:val="16"/>
                <w:szCs w:val="18"/>
                <w:highlight w:val="none"/>
                <w:lang w:val="en-US" w:eastAsia="zh-CN"/>
              </w:rPr>
              <w:t>12.21</w:t>
            </w:r>
          </w:p>
        </w:tc>
        <w:tc>
          <w:tcPr>
            <w:tcW w:w="1707" w:type="dxa"/>
            <w:tcBorders>
              <w:top w:val="nil"/>
              <w:left w:val="nil"/>
              <w:bottom w:val="single" w:color="auto" w:sz="4" w:space="0"/>
              <w:right w:val="single" w:color="auto" w:sz="4" w:space="0"/>
            </w:tcBorders>
            <w:vAlign w:val="center"/>
          </w:tcPr>
          <w:p w14:paraId="0927A07C">
            <w:pPr>
              <w:autoSpaceDE w:val="0"/>
              <w:autoSpaceDN w:val="0"/>
              <w:spacing w:line="240" w:lineRule="exact"/>
              <w:jc w:val="center"/>
              <w:textAlignment w:val="bottom"/>
              <w:rPr>
                <w:rFonts w:ascii="Arial" w:hAnsi="Arial" w:cs="Arial"/>
                <w:sz w:val="16"/>
                <w:szCs w:val="18"/>
                <w:highlight w:val="none"/>
              </w:rPr>
            </w:pPr>
            <w:r>
              <w:rPr>
                <w:rFonts w:hint="eastAsia" w:ascii="Arial" w:hAnsi="Arial" w:cs="Arial"/>
                <w:sz w:val="16"/>
                <w:szCs w:val="18"/>
                <w:highlight w:val="none"/>
                <w:lang w:val="en-US" w:eastAsia="zh-CN"/>
              </w:rPr>
              <w:t>16.32</w:t>
            </w:r>
          </w:p>
        </w:tc>
        <w:tc>
          <w:tcPr>
            <w:tcW w:w="1708" w:type="dxa"/>
            <w:tcBorders>
              <w:top w:val="nil"/>
              <w:left w:val="nil"/>
              <w:bottom w:val="single" w:color="auto" w:sz="4" w:space="0"/>
              <w:right w:val="single" w:color="auto" w:sz="4" w:space="0"/>
            </w:tcBorders>
            <w:vAlign w:val="center"/>
          </w:tcPr>
          <w:p w14:paraId="07E2C260">
            <w:pPr>
              <w:autoSpaceDE w:val="0"/>
              <w:autoSpaceDN w:val="0"/>
              <w:spacing w:line="240" w:lineRule="exact"/>
              <w:jc w:val="center"/>
              <w:textAlignment w:val="bottom"/>
              <w:rPr>
                <w:rFonts w:ascii="Arial" w:hAnsi="Arial" w:cs="Arial"/>
                <w:sz w:val="16"/>
                <w:szCs w:val="18"/>
                <w:highlight w:val="none"/>
              </w:rPr>
            </w:pPr>
            <w:r>
              <w:rPr>
                <w:rFonts w:hint="eastAsia" w:ascii="Arial" w:hAnsi="Arial" w:cs="Arial"/>
                <w:sz w:val="16"/>
                <w:szCs w:val="18"/>
                <w:highlight w:val="none"/>
                <w:lang w:val="en-US" w:eastAsia="zh-CN"/>
              </w:rPr>
              <w:t>17.34</w:t>
            </w:r>
          </w:p>
        </w:tc>
      </w:tr>
      <w:tr w14:paraId="2F019E75">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53930F0E">
            <w:pPr>
              <w:widowControl/>
              <w:adjustRightInd/>
              <w:spacing w:line="240" w:lineRule="auto"/>
              <w:textAlignment w:val="auto"/>
              <w:rPr>
                <w:rFonts w:ascii="Arial" w:hAnsi="Arial" w:cs="Arial"/>
                <w:sz w:val="16"/>
                <w:szCs w:val="18"/>
                <w:highlight w:val="none"/>
              </w:rPr>
            </w:pPr>
            <w:r>
              <w:rPr>
                <w:rFonts w:ascii="Arial" w:hAnsi="Arial" w:cs="Arial"/>
                <w:sz w:val="16"/>
                <w:szCs w:val="18"/>
                <w:highlight w:val="none"/>
              </w:rPr>
              <w:t>交易时间</w:t>
            </w:r>
          </w:p>
        </w:tc>
        <w:tc>
          <w:tcPr>
            <w:tcW w:w="897" w:type="pct"/>
            <w:tcBorders>
              <w:top w:val="nil"/>
              <w:left w:val="nil"/>
              <w:bottom w:val="single" w:color="auto" w:sz="4" w:space="0"/>
              <w:right w:val="single" w:color="auto" w:sz="4" w:space="0"/>
            </w:tcBorders>
            <w:vAlign w:val="center"/>
          </w:tcPr>
          <w:p w14:paraId="416C39A1">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897" w:type="pct"/>
            <w:tcBorders>
              <w:top w:val="nil"/>
              <w:left w:val="nil"/>
              <w:bottom w:val="single" w:color="auto" w:sz="4" w:space="0"/>
              <w:right w:val="single" w:color="auto" w:sz="4" w:space="0"/>
            </w:tcBorders>
            <w:vAlign w:val="center"/>
          </w:tcPr>
          <w:p w14:paraId="4C0D28D9">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897" w:type="pct"/>
            <w:tcBorders>
              <w:top w:val="nil"/>
              <w:left w:val="nil"/>
              <w:bottom w:val="single" w:color="auto" w:sz="4" w:space="0"/>
              <w:right w:val="single" w:color="auto" w:sz="4" w:space="0"/>
            </w:tcBorders>
            <w:vAlign w:val="center"/>
          </w:tcPr>
          <w:p w14:paraId="27C8A6AD">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r>
      <w:tr w14:paraId="06350E2C">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17566219">
            <w:pPr>
              <w:widowControl/>
              <w:adjustRightInd/>
              <w:spacing w:line="240" w:lineRule="auto"/>
              <w:textAlignment w:val="auto"/>
              <w:rPr>
                <w:rFonts w:ascii="Arial" w:hAnsi="Arial" w:cs="Arial"/>
                <w:sz w:val="16"/>
                <w:szCs w:val="18"/>
                <w:highlight w:val="none"/>
              </w:rPr>
            </w:pPr>
            <w:r>
              <w:rPr>
                <w:rFonts w:ascii="Arial" w:hAnsi="Arial" w:cs="Arial"/>
                <w:sz w:val="16"/>
                <w:szCs w:val="18"/>
                <w:highlight w:val="none"/>
              </w:rPr>
              <w:t>交易情况</w:t>
            </w:r>
          </w:p>
        </w:tc>
        <w:tc>
          <w:tcPr>
            <w:tcW w:w="897" w:type="pct"/>
            <w:tcBorders>
              <w:top w:val="nil"/>
              <w:left w:val="nil"/>
              <w:bottom w:val="single" w:color="auto" w:sz="4" w:space="0"/>
              <w:right w:val="single" w:color="auto" w:sz="4" w:space="0"/>
            </w:tcBorders>
            <w:vAlign w:val="center"/>
          </w:tcPr>
          <w:p w14:paraId="056888CA">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897" w:type="pct"/>
            <w:tcBorders>
              <w:top w:val="nil"/>
              <w:left w:val="nil"/>
              <w:bottom w:val="single" w:color="auto" w:sz="4" w:space="0"/>
              <w:right w:val="single" w:color="auto" w:sz="4" w:space="0"/>
            </w:tcBorders>
            <w:vAlign w:val="center"/>
          </w:tcPr>
          <w:p w14:paraId="5DE5FCA3">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897" w:type="pct"/>
            <w:tcBorders>
              <w:top w:val="nil"/>
              <w:left w:val="nil"/>
              <w:bottom w:val="single" w:color="auto" w:sz="4" w:space="0"/>
              <w:right w:val="single" w:color="auto" w:sz="4" w:space="0"/>
            </w:tcBorders>
            <w:vAlign w:val="center"/>
          </w:tcPr>
          <w:p w14:paraId="3123FEA2">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r>
      <w:tr w14:paraId="187FFCF8">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2EC7A9E5">
            <w:pPr>
              <w:widowControl/>
              <w:adjustRightInd/>
              <w:spacing w:line="240" w:lineRule="auto"/>
              <w:textAlignment w:val="auto"/>
              <w:rPr>
                <w:rFonts w:ascii="Arial" w:hAnsi="Arial" w:cs="Arial"/>
                <w:sz w:val="16"/>
                <w:szCs w:val="18"/>
                <w:highlight w:val="none"/>
              </w:rPr>
            </w:pPr>
            <w:r>
              <w:rPr>
                <w:rFonts w:ascii="Arial" w:hAnsi="Arial" w:cs="Arial"/>
                <w:sz w:val="16"/>
                <w:szCs w:val="18"/>
                <w:highlight w:val="none"/>
              </w:rPr>
              <w:t>项目类型</w:t>
            </w:r>
          </w:p>
        </w:tc>
        <w:tc>
          <w:tcPr>
            <w:tcW w:w="897" w:type="pct"/>
            <w:tcBorders>
              <w:top w:val="nil"/>
              <w:left w:val="nil"/>
              <w:bottom w:val="single" w:color="auto" w:sz="4" w:space="0"/>
              <w:right w:val="single" w:color="auto" w:sz="4" w:space="0"/>
            </w:tcBorders>
            <w:vAlign w:val="center"/>
          </w:tcPr>
          <w:p w14:paraId="64ADB208">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897" w:type="pct"/>
            <w:tcBorders>
              <w:top w:val="nil"/>
              <w:left w:val="nil"/>
              <w:bottom w:val="single" w:color="auto" w:sz="4" w:space="0"/>
              <w:right w:val="single" w:color="auto" w:sz="4" w:space="0"/>
            </w:tcBorders>
            <w:vAlign w:val="center"/>
          </w:tcPr>
          <w:p w14:paraId="6FE42AC0">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897" w:type="pct"/>
            <w:tcBorders>
              <w:top w:val="nil"/>
              <w:left w:val="nil"/>
              <w:bottom w:val="single" w:color="auto" w:sz="4" w:space="0"/>
              <w:right w:val="single" w:color="auto" w:sz="4" w:space="0"/>
            </w:tcBorders>
            <w:vAlign w:val="center"/>
          </w:tcPr>
          <w:p w14:paraId="5E24802A">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r>
      <w:tr w14:paraId="12B328F8">
        <w:tblPrEx>
          <w:tblCellMar>
            <w:top w:w="0" w:type="dxa"/>
            <w:left w:w="108" w:type="dxa"/>
            <w:bottom w:w="0" w:type="dxa"/>
            <w:right w:w="108" w:type="dxa"/>
          </w:tblCellMar>
        </w:tblPrEx>
        <w:trPr>
          <w:trHeight w:val="227" w:hRule="atLeast"/>
        </w:trPr>
        <w:tc>
          <w:tcPr>
            <w:tcW w:w="791" w:type="pct"/>
            <w:vMerge w:val="restart"/>
            <w:tcBorders>
              <w:top w:val="nil"/>
              <w:left w:val="single" w:color="auto" w:sz="4" w:space="0"/>
              <w:bottom w:val="single" w:color="auto" w:sz="4" w:space="0"/>
              <w:right w:val="single" w:color="auto" w:sz="4" w:space="0"/>
            </w:tcBorders>
            <w:vAlign w:val="center"/>
          </w:tcPr>
          <w:p w14:paraId="24FAED81">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区域状况</w:t>
            </w:r>
          </w:p>
        </w:tc>
        <w:tc>
          <w:tcPr>
            <w:tcW w:w="1516" w:type="pct"/>
            <w:tcBorders>
              <w:top w:val="nil"/>
              <w:left w:val="nil"/>
              <w:bottom w:val="single" w:color="auto" w:sz="4" w:space="0"/>
              <w:right w:val="single" w:color="auto" w:sz="4" w:space="0"/>
            </w:tcBorders>
            <w:vAlign w:val="center"/>
          </w:tcPr>
          <w:p w14:paraId="171C672F">
            <w:pPr>
              <w:widowControl/>
              <w:adjustRightInd/>
              <w:spacing w:line="240" w:lineRule="auto"/>
              <w:textAlignment w:val="auto"/>
              <w:rPr>
                <w:rFonts w:ascii="Arial" w:hAnsi="Arial" w:cs="Arial"/>
                <w:sz w:val="16"/>
                <w:szCs w:val="18"/>
                <w:highlight w:val="none"/>
              </w:rPr>
            </w:pPr>
            <w:r>
              <w:rPr>
                <w:rFonts w:ascii="Arial" w:hAnsi="Arial" w:cs="Arial"/>
                <w:sz w:val="16"/>
                <w:szCs w:val="18"/>
                <w:highlight w:val="none"/>
              </w:rPr>
              <w:t>居住区成熟度</w:t>
            </w:r>
          </w:p>
        </w:tc>
        <w:tc>
          <w:tcPr>
            <w:tcW w:w="897" w:type="pct"/>
            <w:tcBorders>
              <w:top w:val="nil"/>
              <w:left w:val="nil"/>
              <w:bottom w:val="single" w:color="auto" w:sz="4" w:space="0"/>
              <w:right w:val="single" w:color="auto" w:sz="4" w:space="0"/>
            </w:tcBorders>
            <w:vAlign w:val="center"/>
          </w:tcPr>
          <w:p w14:paraId="6DFF62AA">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897" w:type="pct"/>
            <w:tcBorders>
              <w:top w:val="nil"/>
              <w:left w:val="nil"/>
              <w:bottom w:val="single" w:color="auto" w:sz="4" w:space="0"/>
              <w:right w:val="single" w:color="auto" w:sz="4" w:space="0"/>
            </w:tcBorders>
            <w:vAlign w:val="center"/>
          </w:tcPr>
          <w:p w14:paraId="1D17D266">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897" w:type="pct"/>
            <w:tcBorders>
              <w:top w:val="nil"/>
              <w:left w:val="nil"/>
              <w:bottom w:val="single" w:color="auto" w:sz="4" w:space="0"/>
              <w:right w:val="single" w:color="auto" w:sz="4" w:space="0"/>
            </w:tcBorders>
            <w:vAlign w:val="center"/>
          </w:tcPr>
          <w:p w14:paraId="040DB685">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r>
      <w:tr w14:paraId="16B8D6DE">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36BB2B6C">
            <w:pPr>
              <w:widowControl/>
              <w:adjustRightInd/>
              <w:spacing w:line="240" w:lineRule="auto"/>
              <w:textAlignment w:val="auto"/>
              <w:rPr>
                <w:rFonts w:ascii="Arial" w:hAnsi="Arial" w:cs="Arial"/>
                <w:sz w:val="16"/>
                <w:szCs w:val="18"/>
                <w:highlight w:val="none"/>
              </w:rPr>
            </w:pPr>
          </w:p>
        </w:tc>
        <w:tc>
          <w:tcPr>
            <w:tcW w:w="1516" w:type="pct"/>
            <w:tcBorders>
              <w:top w:val="nil"/>
              <w:left w:val="nil"/>
              <w:bottom w:val="single" w:color="auto" w:sz="4" w:space="0"/>
              <w:right w:val="single" w:color="auto" w:sz="4" w:space="0"/>
            </w:tcBorders>
            <w:vAlign w:val="center"/>
          </w:tcPr>
          <w:p w14:paraId="4E659ACB">
            <w:pPr>
              <w:widowControl/>
              <w:adjustRightInd/>
              <w:spacing w:line="240" w:lineRule="auto"/>
              <w:textAlignment w:val="auto"/>
              <w:rPr>
                <w:rFonts w:ascii="Arial" w:hAnsi="Arial" w:cs="Arial"/>
                <w:sz w:val="16"/>
                <w:szCs w:val="18"/>
                <w:highlight w:val="none"/>
              </w:rPr>
            </w:pPr>
            <w:r>
              <w:rPr>
                <w:rFonts w:ascii="Arial" w:hAnsi="Arial" w:cs="Arial"/>
                <w:sz w:val="16"/>
                <w:szCs w:val="18"/>
                <w:highlight w:val="none"/>
              </w:rPr>
              <w:t>道路通达度</w:t>
            </w:r>
          </w:p>
        </w:tc>
        <w:tc>
          <w:tcPr>
            <w:tcW w:w="897" w:type="pct"/>
            <w:tcBorders>
              <w:top w:val="nil"/>
              <w:left w:val="nil"/>
              <w:bottom w:val="single" w:color="auto" w:sz="4" w:space="0"/>
              <w:right w:val="single" w:color="auto" w:sz="4" w:space="0"/>
            </w:tcBorders>
            <w:vAlign w:val="center"/>
          </w:tcPr>
          <w:p w14:paraId="07AC9F10">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897" w:type="pct"/>
            <w:tcBorders>
              <w:top w:val="nil"/>
              <w:left w:val="nil"/>
              <w:bottom w:val="single" w:color="auto" w:sz="4" w:space="0"/>
              <w:right w:val="single" w:color="auto" w:sz="4" w:space="0"/>
            </w:tcBorders>
            <w:vAlign w:val="center"/>
          </w:tcPr>
          <w:p w14:paraId="2EAABD39">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897" w:type="pct"/>
            <w:tcBorders>
              <w:top w:val="nil"/>
              <w:left w:val="nil"/>
              <w:bottom w:val="single" w:color="auto" w:sz="4" w:space="0"/>
              <w:right w:val="single" w:color="auto" w:sz="4" w:space="0"/>
            </w:tcBorders>
            <w:vAlign w:val="center"/>
          </w:tcPr>
          <w:p w14:paraId="4FD8F544">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r>
      <w:tr w14:paraId="3A692550">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4C279B67">
            <w:pPr>
              <w:widowControl/>
              <w:adjustRightInd/>
              <w:spacing w:line="240" w:lineRule="auto"/>
              <w:textAlignment w:val="auto"/>
              <w:rPr>
                <w:rFonts w:ascii="Arial" w:hAnsi="Arial" w:cs="Arial"/>
                <w:sz w:val="16"/>
                <w:szCs w:val="18"/>
                <w:highlight w:val="none"/>
              </w:rPr>
            </w:pPr>
          </w:p>
        </w:tc>
        <w:tc>
          <w:tcPr>
            <w:tcW w:w="1516" w:type="pct"/>
            <w:tcBorders>
              <w:top w:val="nil"/>
              <w:left w:val="nil"/>
              <w:bottom w:val="single" w:color="auto" w:sz="4" w:space="0"/>
              <w:right w:val="single" w:color="auto" w:sz="4" w:space="0"/>
            </w:tcBorders>
            <w:vAlign w:val="center"/>
          </w:tcPr>
          <w:p w14:paraId="22B8DD46">
            <w:pPr>
              <w:widowControl/>
              <w:adjustRightInd/>
              <w:spacing w:line="240" w:lineRule="auto"/>
              <w:textAlignment w:val="auto"/>
              <w:rPr>
                <w:rFonts w:ascii="Arial" w:hAnsi="Arial" w:cs="Arial"/>
                <w:sz w:val="16"/>
                <w:szCs w:val="18"/>
                <w:highlight w:val="none"/>
              </w:rPr>
            </w:pPr>
            <w:r>
              <w:rPr>
                <w:rFonts w:ascii="Arial" w:hAnsi="Arial" w:cs="Arial"/>
                <w:sz w:val="16"/>
                <w:szCs w:val="18"/>
                <w:highlight w:val="none"/>
              </w:rPr>
              <w:t>距离轨道交通站点距离</w:t>
            </w:r>
          </w:p>
        </w:tc>
        <w:tc>
          <w:tcPr>
            <w:tcW w:w="897" w:type="pct"/>
            <w:tcBorders>
              <w:top w:val="nil"/>
              <w:left w:val="nil"/>
              <w:bottom w:val="single" w:color="auto" w:sz="4" w:space="0"/>
              <w:right w:val="single" w:color="auto" w:sz="4" w:space="0"/>
            </w:tcBorders>
            <w:vAlign w:val="center"/>
          </w:tcPr>
          <w:p w14:paraId="5125F954">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897" w:type="pct"/>
            <w:tcBorders>
              <w:top w:val="nil"/>
              <w:left w:val="nil"/>
              <w:bottom w:val="single" w:color="auto" w:sz="4" w:space="0"/>
              <w:right w:val="single" w:color="auto" w:sz="4" w:space="0"/>
            </w:tcBorders>
            <w:vAlign w:val="center"/>
          </w:tcPr>
          <w:p w14:paraId="45DCEC41">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897" w:type="pct"/>
            <w:tcBorders>
              <w:top w:val="nil"/>
              <w:left w:val="nil"/>
              <w:bottom w:val="single" w:color="auto" w:sz="4" w:space="0"/>
              <w:right w:val="single" w:color="auto" w:sz="4" w:space="0"/>
            </w:tcBorders>
            <w:vAlign w:val="center"/>
          </w:tcPr>
          <w:p w14:paraId="60AB34DD">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r>
      <w:tr w14:paraId="7A3FCC80">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0D7E1E41">
            <w:pPr>
              <w:widowControl/>
              <w:adjustRightInd/>
              <w:spacing w:line="240" w:lineRule="auto"/>
              <w:textAlignment w:val="auto"/>
              <w:rPr>
                <w:rFonts w:ascii="Arial" w:hAnsi="Arial" w:cs="Arial"/>
                <w:sz w:val="16"/>
                <w:szCs w:val="18"/>
                <w:highlight w:val="none"/>
              </w:rPr>
            </w:pPr>
          </w:p>
        </w:tc>
        <w:tc>
          <w:tcPr>
            <w:tcW w:w="1516" w:type="pct"/>
            <w:tcBorders>
              <w:top w:val="nil"/>
              <w:left w:val="nil"/>
              <w:bottom w:val="single" w:color="auto" w:sz="4" w:space="0"/>
              <w:right w:val="single" w:color="auto" w:sz="4" w:space="0"/>
            </w:tcBorders>
            <w:vAlign w:val="center"/>
          </w:tcPr>
          <w:p w14:paraId="062682B1">
            <w:pPr>
              <w:widowControl/>
              <w:adjustRightInd/>
              <w:spacing w:line="240" w:lineRule="auto"/>
              <w:textAlignment w:val="auto"/>
              <w:rPr>
                <w:rFonts w:ascii="Arial" w:hAnsi="Arial" w:cs="Arial"/>
                <w:sz w:val="16"/>
                <w:szCs w:val="18"/>
                <w:highlight w:val="none"/>
              </w:rPr>
            </w:pPr>
            <w:r>
              <w:rPr>
                <w:rFonts w:ascii="Arial" w:hAnsi="Arial" w:cs="Arial"/>
                <w:sz w:val="16"/>
                <w:szCs w:val="18"/>
                <w:highlight w:val="none"/>
              </w:rPr>
              <w:t>距离公交站点距离</w:t>
            </w:r>
          </w:p>
        </w:tc>
        <w:tc>
          <w:tcPr>
            <w:tcW w:w="1707" w:type="dxa"/>
            <w:tcBorders>
              <w:top w:val="nil"/>
              <w:left w:val="nil"/>
              <w:bottom w:val="single" w:color="auto" w:sz="4" w:space="0"/>
              <w:right w:val="single" w:color="auto" w:sz="4" w:space="0"/>
            </w:tcBorders>
            <w:vAlign w:val="center"/>
          </w:tcPr>
          <w:p w14:paraId="393DE224">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1707" w:type="dxa"/>
            <w:tcBorders>
              <w:top w:val="nil"/>
              <w:left w:val="nil"/>
              <w:bottom w:val="single" w:color="auto" w:sz="4" w:space="0"/>
              <w:right w:val="single" w:color="auto" w:sz="4" w:space="0"/>
            </w:tcBorders>
            <w:vAlign w:val="center"/>
          </w:tcPr>
          <w:p w14:paraId="1FC53935">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1708" w:type="dxa"/>
            <w:tcBorders>
              <w:top w:val="nil"/>
              <w:left w:val="nil"/>
              <w:bottom w:val="single" w:color="auto" w:sz="4" w:space="0"/>
              <w:right w:val="single" w:color="auto" w:sz="4" w:space="0"/>
            </w:tcBorders>
            <w:vAlign w:val="center"/>
          </w:tcPr>
          <w:p w14:paraId="680B1A4C">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r>
      <w:tr w14:paraId="3107B558">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32BCAAC3">
            <w:pPr>
              <w:widowControl/>
              <w:adjustRightInd/>
              <w:spacing w:line="240" w:lineRule="auto"/>
              <w:textAlignment w:val="auto"/>
              <w:rPr>
                <w:rFonts w:ascii="Arial" w:hAnsi="Arial" w:cs="Arial"/>
                <w:sz w:val="16"/>
                <w:szCs w:val="18"/>
                <w:highlight w:val="none"/>
              </w:rPr>
            </w:pPr>
          </w:p>
        </w:tc>
        <w:tc>
          <w:tcPr>
            <w:tcW w:w="1516" w:type="pct"/>
            <w:tcBorders>
              <w:top w:val="nil"/>
              <w:left w:val="nil"/>
              <w:bottom w:val="single" w:color="auto" w:sz="4" w:space="0"/>
              <w:right w:val="single" w:color="auto" w:sz="4" w:space="0"/>
            </w:tcBorders>
            <w:vAlign w:val="center"/>
          </w:tcPr>
          <w:p w14:paraId="0B3F9780">
            <w:pPr>
              <w:widowControl/>
              <w:adjustRightInd/>
              <w:spacing w:line="240" w:lineRule="auto"/>
              <w:textAlignment w:val="auto"/>
              <w:rPr>
                <w:rFonts w:ascii="Arial" w:hAnsi="Arial" w:cs="Arial"/>
                <w:sz w:val="16"/>
                <w:szCs w:val="18"/>
                <w:highlight w:val="none"/>
              </w:rPr>
            </w:pPr>
            <w:r>
              <w:rPr>
                <w:rFonts w:hint="eastAsia" w:ascii="Arial" w:hAnsi="Arial" w:cs="Arial"/>
                <w:sz w:val="16"/>
                <w:szCs w:val="18"/>
                <w:highlight w:val="none"/>
              </w:rPr>
              <w:t>环境质量优劣度</w:t>
            </w:r>
          </w:p>
        </w:tc>
        <w:tc>
          <w:tcPr>
            <w:tcW w:w="1707" w:type="dxa"/>
            <w:tcBorders>
              <w:top w:val="nil"/>
              <w:left w:val="nil"/>
              <w:bottom w:val="single" w:color="auto" w:sz="4" w:space="0"/>
              <w:right w:val="single" w:color="auto" w:sz="4" w:space="0"/>
            </w:tcBorders>
            <w:vAlign w:val="center"/>
          </w:tcPr>
          <w:p w14:paraId="5703F37E">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1707" w:type="dxa"/>
            <w:tcBorders>
              <w:top w:val="nil"/>
              <w:left w:val="nil"/>
              <w:bottom w:val="single" w:color="auto" w:sz="4" w:space="0"/>
              <w:right w:val="single" w:color="auto" w:sz="4" w:space="0"/>
            </w:tcBorders>
            <w:vAlign w:val="center"/>
          </w:tcPr>
          <w:p w14:paraId="2B1DC589">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1708" w:type="dxa"/>
            <w:tcBorders>
              <w:top w:val="nil"/>
              <w:left w:val="nil"/>
              <w:bottom w:val="single" w:color="auto" w:sz="4" w:space="0"/>
              <w:right w:val="single" w:color="auto" w:sz="4" w:space="0"/>
            </w:tcBorders>
            <w:vAlign w:val="center"/>
          </w:tcPr>
          <w:p w14:paraId="62C6C7F8">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r>
      <w:tr w14:paraId="01A23EA3">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2A2C1F70">
            <w:pPr>
              <w:widowControl/>
              <w:adjustRightInd/>
              <w:spacing w:line="240" w:lineRule="auto"/>
              <w:textAlignment w:val="auto"/>
              <w:rPr>
                <w:rFonts w:ascii="Arial" w:hAnsi="Arial" w:cs="Arial"/>
                <w:sz w:val="16"/>
                <w:szCs w:val="18"/>
                <w:highlight w:val="none"/>
              </w:rPr>
            </w:pPr>
          </w:p>
        </w:tc>
        <w:tc>
          <w:tcPr>
            <w:tcW w:w="1516" w:type="pct"/>
            <w:tcBorders>
              <w:top w:val="nil"/>
              <w:left w:val="nil"/>
              <w:bottom w:val="single" w:color="auto" w:sz="4" w:space="0"/>
              <w:right w:val="single" w:color="auto" w:sz="4" w:space="0"/>
            </w:tcBorders>
            <w:vAlign w:val="center"/>
          </w:tcPr>
          <w:p w14:paraId="0EF76A14">
            <w:pPr>
              <w:widowControl/>
              <w:adjustRightInd/>
              <w:spacing w:line="240" w:lineRule="auto"/>
              <w:textAlignment w:val="auto"/>
              <w:rPr>
                <w:rFonts w:ascii="Arial" w:hAnsi="Arial" w:cs="Arial"/>
                <w:sz w:val="16"/>
                <w:szCs w:val="18"/>
                <w:highlight w:val="none"/>
              </w:rPr>
            </w:pPr>
            <w:r>
              <w:rPr>
                <w:rFonts w:ascii="Arial" w:hAnsi="Arial" w:cs="Arial"/>
                <w:sz w:val="16"/>
                <w:szCs w:val="18"/>
                <w:highlight w:val="none"/>
              </w:rPr>
              <w:t>自然环境</w:t>
            </w:r>
          </w:p>
        </w:tc>
        <w:tc>
          <w:tcPr>
            <w:tcW w:w="1707" w:type="dxa"/>
            <w:tcBorders>
              <w:top w:val="nil"/>
              <w:left w:val="nil"/>
              <w:bottom w:val="single" w:color="auto" w:sz="4" w:space="0"/>
              <w:right w:val="single" w:color="auto" w:sz="4" w:space="0"/>
            </w:tcBorders>
            <w:vAlign w:val="center"/>
          </w:tcPr>
          <w:p w14:paraId="2F83E52D">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1707" w:type="dxa"/>
            <w:tcBorders>
              <w:top w:val="nil"/>
              <w:left w:val="nil"/>
              <w:bottom w:val="single" w:color="auto" w:sz="4" w:space="0"/>
              <w:right w:val="single" w:color="auto" w:sz="4" w:space="0"/>
            </w:tcBorders>
            <w:vAlign w:val="center"/>
          </w:tcPr>
          <w:p w14:paraId="6DD44FD1">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1708" w:type="dxa"/>
            <w:tcBorders>
              <w:top w:val="nil"/>
              <w:left w:val="nil"/>
              <w:bottom w:val="single" w:color="auto" w:sz="4" w:space="0"/>
              <w:right w:val="single" w:color="auto" w:sz="4" w:space="0"/>
            </w:tcBorders>
            <w:vAlign w:val="center"/>
          </w:tcPr>
          <w:p w14:paraId="479063C0">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r>
      <w:tr w14:paraId="41ED8BDB">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3E8E4160">
            <w:pPr>
              <w:widowControl/>
              <w:adjustRightInd/>
              <w:spacing w:line="240" w:lineRule="auto"/>
              <w:textAlignment w:val="auto"/>
              <w:rPr>
                <w:rFonts w:ascii="Arial" w:hAnsi="Arial" w:cs="Arial"/>
                <w:sz w:val="16"/>
                <w:szCs w:val="18"/>
                <w:highlight w:val="none"/>
              </w:rPr>
            </w:pPr>
          </w:p>
        </w:tc>
        <w:tc>
          <w:tcPr>
            <w:tcW w:w="1516" w:type="pct"/>
            <w:tcBorders>
              <w:top w:val="nil"/>
              <w:left w:val="nil"/>
              <w:bottom w:val="single" w:color="auto" w:sz="4" w:space="0"/>
              <w:right w:val="single" w:color="auto" w:sz="4" w:space="0"/>
            </w:tcBorders>
            <w:vAlign w:val="center"/>
          </w:tcPr>
          <w:p w14:paraId="50CEB715">
            <w:pPr>
              <w:widowControl/>
              <w:adjustRightInd/>
              <w:spacing w:line="240" w:lineRule="auto"/>
              <w:textAlignment w:val="auto"/>
              <w:rPr>
                <w:rFonts w:ascii="Arial" w:hAnsi="Arial" w:cs="Arial"/>
                <w:sz w:val="16"/>
                <w:szCs w:val="18"/>
                <w:highlight w:val="none"/>
              </w:rPr>
            </w:pPr>
            <w:r>
              <w:rPr>
                <w:rFonts w:hint="eastAsia" w:ascii="Arial" w:hAnsi="Arial" w:cs="Arial"/>
                <w:sz w:val="16"/>
                <w:szCs w:val="18"/>
                <w:highlight w:val="none"/>
              </w:rPr>
              <w:t>小区环境</w:t>
            </w:r>
          </w:p>
        </w:tc>
        <w:tc>
          <w:tcPr>
            <w:tcW w:w="1707" w:type="dxa"/>
            <w:tcBorders>
              <w:top w:val="nil"/>
              <w:left w:val="nil"/>
              <w:bottom w:val="single" w:color="auto" w:sz="4" w:space="0"/>
              <w:right w:val="single" w:color="auto" w:sz="4" w:space="0"/>
            </w:tcBorders>
            <w:vAlign w:val="center"/>
          </w:tcPr>
          <w:p w14:paraId="0AADA25D">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1707" w:type="dxa"/>
            <w:tcBorders>
              <w:top w:val="nil"/>
              <w:left w:val="nil"/>
              <w:bottom w:val="single" w:color="auto" w:sz="4" w:space="0"/>
              <w:right w:val="single" w:color="auto" w:sz="4" w:space="0"/>
            </w:tcBorders>
            <w:vAlign w:val="center"/>
          </w:tcPr>
          <w:p w14:paraId="3946FAFC">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1708" w:type="dxa"/>
            <w:tcBorders>
              <w:top w:val="nil"/>
              <w:left w:val="nil"/>
              <w:bottom w:val="single" w:color="auto" w:sz="4" w:space="0"/>
              <w:right w:val="single" w:color="auto" w:sz="4" w:space="0"/>
            </w:tcBorders>
            <w:vAlign w:val="center"/>
          </w:tcPr>
          <w:p w14:paraId="1469B2D8">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r>
      <w:tr w14:paraId="4EEAC26A">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5D55A21C">
            <w:pPr>
              <w:widowControl/>
              <w:adjustRightInd/>
              <w:spacing w:line="240" w:lineRule="auto"/>
              <w:textAlignment w:val="auto"/>
              <w:rPr>
                <w:rFonts w:ascii="Arial" w:hAnsi="Arial" w:cs="Arial"/>
                <w:sz w:val="16"/>
                <w:szCs w:val="18"/>
                <w:highlight w:val="none"/>
              </w:rPr>
            </w:pPr>
          </w:p>
        </w:tc>
        <w:tc>
          <w:tcPr>
            <w:tcW w:w="1516" w:type="pct"/>
            <w:tcBorders>
              <w:top w:val="nil"/>
              <w:left w:val="nil"/>
              <w:bottom w:val="single" w:color="auto" w:sz="4" w:space="0"/>
              <w:right w:val="single" w:color="auto" w:sz="4" w:space="0"/>
            </w:tcBorders>
            <w:vAlign w:val="center"/>
          </w:tcPr>
          <w:p w14:paraId="65F28862">
            <w:pPr>
              <w:widowControl/>
              <w:adjustRightInd/>
              <w:spacing w:line="240" w:lineRule="auto"/>
              <w:textAlignment w:val="auto"/>
              <w:rPr>
                <w:rFonts w:ascii="Arial" w:hAnsi="Arial" w:cs="Arial"/>
                <w:sz w:val="16"/>
                <w:szCs w:val="18"/>
                <w:highlight w:val="none"/>
              </w:rPr>
            </w:pPr>
            <w:r>
              <w:rPr>
                <w:rFonts w:hint="eastAsia" w:ascii="Arial" w:hAnsi="Arial" w:cs="Arial"/>
                <w:sz w:val="16"/>
                <w:szCs w:val="18"/>
                <w:highlight w:val="none"/>
              </w:rPr>
              <w:t>公共服务设施状况</w:t>
            </w:r>
          </w:p>
        </w:tc>
        <w:tc>
          <w:tcPr>
            <w:tcW w:w="1707" w:type="dxa"/>
            <w:tcBorders>
              <w:top w:val="nil"/>
              <w:left w:val="nil"/>
              <w:bottom w:val="single" w:color="auto" w:sz="4" w:space="0"/>
              <w:right w:val="single" w:color="auto" w:sz="4" w:space="0"/>
            </w:tcBorders>
            <w:vAlign w:val="center"/>
          </w:tcPr>
          <w:p w14:paraId="54F904D9">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1707" w:type="dxa"/>
            <w:tcBorders>
              <w:top w:val="nil"/>
              <w:left w:val="nil"/>
              <w:bottom w:val="single" w:color="auto" w:sz="4" w:space="0"/>
              <w:right w:val="single" w:color="auto" w:sz="4" w:space="0"/>
            </w:tcBorders>
            <w:vAlign w:val="center"/>
          </w:tcPr>
          <w:p w14:paraId="535B46C3">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1708" w:type="dxa"/>
            <w:tcBorders>
              <w:top w:val="nil"/>
              <w:left w:val="nil"/>
              <w:bottom w:val="single" w:color="auto" w:sz="4" w:space="0"/>
              <w:right w:val="single" w:color="auto" w:sz="4" w:space="0"/>
            </w:tcBorders>
            <w:vAlign w:val="center"/>
          </w:tcPr>
          <w:p w14:paraId="62771CE3">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r>
      <w:tr w14:paraId="6560D87C">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3A2A5F82">
            <w:pPr>
              <w:widowControl/>
              <w:adjustRightInd/>
              <w:spacing w:line="240" w:lineRule="auto"/>
              <w:textAlignment w:val="auto"/>
              <w:rPr>
                <w:rFonts w:ascii="Arial" w:hAnsi="Arial" w:cs="Arial"/>
                <w:sz w:val="16"/>
                <w:szCs w:val="18"/>
                <w:highlight w:val="none"/>
              </w:rPr>
            </w:pPr>
          </w:p>
        </w:tc>
        <w:tc>
          <w:tcPr>
            <w:tcW w:w="1516" w:type="pct"/>
            <w:tcBorders>
              <w:top w:val="nil"/>
              <w:left w:val="nil"/>
              <w:bottom w:val="single" w:color="auto" w:sz="4" w:space="0"/>
              <w:right w:val="single" w:color="auto" w:sz="4" w:space="0"/>
            </w:tcBorders>
            <w:vAlign w:val="center"/>
          </w:tcPr>
          <w:p w14:paraId="5EB15118">
            <w:pPr>
              <w:widowControl/>
              <w:adjustRightInd/>
              <w:spacing w:line="240" w:lineRule="auto"/>
              <w:textAlignment w:val="auto"/>
              <w:rPr>
                <w:rFonts w:hint="default" w:ascii="Arial" w:hAnsi="Arial" w:eastAsia="宋体" w:cs="Arial"/>
                <w:sz w:val="16"/>
                <w:szCs w:val="18"/>
                <w:highlight w:val="none"/>
                <w:lang w:val="en-US" w:eastAsia="zh-CN"/>
              </w:rPr>
            </w:pPr>
            <w:r>
              <w:rPr>
                <w:rFonts w:hint="eastAsia" w:ascii="Arial" w:hAnsi="Arial" w:cs="Arial"/>
                <w:sz w:val="16"/>
                <w:szCs w:val="18"/>
                <w:highlight w:val="none"/>
                <w:lang w:val="en-US" w:eastAsia="zh-CN"/>
              </w:rPr>
              <w:t>建筑类型</w:t>
            </w:r>
          </w:p>
        </w:tc>
        <w:tc>
          <w:tcPr>
            <w:tcW w:w="1707" w:type="dxa"/>
            <w:tcBorders>
              <w:top w:val="nil"/>
              <w:left w:val="nil"/>
              <w:bottom w:val="single" w:color="auto" w:sz="4" w:space="0"/>
              <w:right w:val="single" w:color="auto" w:sz="4" w:space="0"/>
            </w:tcBorders>
            <w:shd w:val="clear" w:color="auto" w:fill="auto"/>
            <w:vAlign w:val="center"/>
          </w:tcPr>
          <w:p w14:paraId="63DBA228">
            <w:pPr>
              <w:widowControl/>
              <w:adjustRightInd/>
              <w:spacing w:line="240" w:lineRule="auto"/>
              <w:jc w:val="center"/>
              <w:textAlignment w:val="auto"/>
              <w:rPr>
                <w:rFonts w:hint="eastAsia" w:ascii="Arial" w:hAnsi="Arial" w:eastAsia="宋体" w:cs="Arial"/>
                <w:sz w:val="16"/>
                <w:szCs w:val="18"/>
                <w:highlight w:val="none"/>
                <w:lang w:val="en-US" w:eastAsia="zh-CN" w:bidi="ar-SA"/>
              </w:rPr>
            </w:pPr>
            <w:r>
              <w:rPr>
                <w:rFonts w:ascii="Arial" w:hAnsi="Arial" w:cs="Arial"/>
                <w:sz w:val="16"/>
                <w:szCs w:val="18"/>
                <w:highlight w:val="none"/>
              </w:rPr>
              <w:t>100/10</w:t>
            </w:r>
            <w:r>
              <w:rPr>
                <w:rFonts w:hint="eastAsia" w:ascii="Arial" w:hAnsi="Arial" w:cs="Arial"/>
                <w:sz w:val="16"/>
                <w:szCs w:val="18"/>
                <w:highlight w:val="none"/>
                <w:lang w:val="en-US" w:eastAsia="zh-CN"/>
              </w:rPr>
              <w:t>5</w:t>
            </w:r>
          </w:p>
        </w:tc>
        <w:tc>
          <w:tcPr>
            <w:tcW w:w="1707" w:type="dxa"/>
            <w:tcBorders>
              <w:top w:val="nil"/>
              <w:left w:val="nil"/>
              <w:bottom w:val="single" w:color="auto" w:sz="4" w:space="0"/>
              <w:right w:val="single" w:color="auto" w:sz="4" w:space="0"/>
            </w:tcBorders>
            <w:shd w:val="clear" w:color="auto" w:fill="auto"/>
            <w:vAlign w:val="center"/>
          </w:tcPr>
          <w:p w14:paraId="1D6BEE66">
            <w:pPr>
              <w:widowControl/>
              <w:adjustRightInd/>
              <w:spacing w:line="240" w:lineRule="auto"/>
              <w:jc w:val="center"/>
              <w:textAlignment w:val="auto"/>
              <w:rPr>
                <w:rFonts w:hint="eastAsia" w:ascii="Arial" w:hAnsi="Arial" w:eastAsia="宋体" w:cs="Arial"/>
                <w:sz w:val="16"/>
                <w:szCs w:val="18"/>
                <w:highlight w:val="none"/>
                <w:lang w:val="en-US" w:eastAsia="zh-CN" w:bidi="ar-SA"/>
              </w:rPr>
            </w:pPr>
            <w:r>
              <w:rPr>
                <w:rFonts w:ascii="Arial" w:hAnsi="Arial" w:cs="Arial"/>
                <w:sz w:val="16"/>
                <w:szCs w:val="18"/>
                <w:highlight w:val="none"/>
              </w:rPr>
              <w:t>100/10</w:t>
            </w:r>
            <w:r>
              <w:rPr>
                <w:rFonts w:hint="eastAsia" w:ascii="Arial" w:hAnsi="Arial" w:cs="Arial"/>
                <w:sz w:val="16"/>
                <w:szCs w:val="18"/>
                <w:highlight w:val="none"/>
                <w:lang w:val="en-US" w:eastAsia="zh-CN"/>
              </w:rPr>
              <w:t>5</w:t>
            </w:r>
          </w:p>
        </w:tc>
        <w:tc>
          <w:tcPr>
            <w:tcW w:w="1708" w:type="dxa"/>
            <w:tcBorders>
              <w:top w:val="nil"/>
              <w:left w:val="nil"/>
              <w:bottom w:val="single" w:color="auto" w:sz="4" w:space="0"/>
              <w:right w:val="single" w:color="auto" w:sz="4" w:space="0"/>
            </w:tcBorders>
            <w:shd w:val="clear" w:color="auto" w:fill="auto"/>
            <w:vAlign w:val="center"/>
          </w:tcPr>
          <w:p w14:paraId="50F73D8E">
            <w:pPr>
              <w:widowControl/>
              <w:adjustRightInd/>
              <w:spacing w:line="240" w:lineRule="auto"/>
              <w:jc w:val="center"/>
              <w:textAlignment w:val="auto"/>
              <w:rPr>
                <w:rFonts w:hint="eastAsia" w:ascii="Arial" w:hAnsi="Arial" w:eastAsia="宋体" w:cs="Arial"/>
                <w:sz w:val="16"/>
                <w:szCs w:val="18"/>
                <w:highlight w:val="none"/>
                <w:lang w:val="en-US" w:eastAsia="zh-CN" w:bidi="ar-SA"/>
              </w:rPr>
            </w:pPr>
            <w:r>
              <w:rPr>
                <w:rFonts w:ascii="Arial" w:hAnsi="Arial" w:cs="Arial"/>
                <w:sz w:val="16"/>
                <w:szCs w:val="18"/>
                <w:highlight w:val="none"/>
              </w:rPr>
              <w:t>100/10</w:t>
            </w:r>
            <w:r>
              <w:rPr>
                <w:rFonts w:hint="eastAsia" w:ascii="Arial" w:hAnsi="Arial" w:cs="Arial"/>
                <w:sz w:val="16"/>
                <w:szCs w:val="18"/>
                <w:highlight w:val="none"/>
                <w:lang w:val="en-US" w:eastAsia="zh-CN"/>
              </w:rPr>
              <w:t>0</w:t>
            </w:r>
          </w:p>
        </w:tc>
      </w:tr>
      <w:tr w14:paraId="4D6A14A0">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1CCF56B2">
            <w:pPr>
              <w:widowControl/>
              <w:adjustRightInd/>
              <w:spacing w:line="240" w:lineRule="auto"/>
              <w:textAlignment w:val="auto"/>
              <w:rPr>
                <w:rFonts w:ascii="Arial" w:hAnsi="Arial" w:cs="Arial"/>
                <w:sz w:val="16"/>
                <w:szCs w:val="18"/>
                <w:highlight w:val="none"/>
              </w:rPr>
            </w:pPr>
          </w:p>
        </w:tc>
        <w:tc>
          <w:tcPr>
            <w:tcW w:w="1516" w:type="pct"/>
            <w:tcBorders>
              <w:top w:val="nil"/>
              <w:left w:val="nil"/>
              <w:bottom w:val="single" w:color="auto" w:sz="4" w:space="0"/>
              <w:right w:val="single" w:color="auto" w:sz="4" w:space="0"/>
            </w:tcBorders>
            <w:vAlign w:val="center"/>
          </w:tcPr>
          <w:p w14:paraId="6A4A0DDA">
            <w:pPr>
              <w:widowControl/>
              <w:adjustRightInd/>
              <w:spacing w:line="240" w:lineRule="auto"/>
              <w:textAlignment w:val="auto"/>
              <w:rPr>
                <w:rFonts w:ascii="Arial" w:hAnsi="Arial" w:cs="Arial"/>
                <w:sz w:val="16"/>
                <w:szCs w:val="18"/>
                <w:highlight w:val="none"/>
              </w:rPr>
            </w:pPr>
            <w:r>
              <w:rPr>
                <w:rFonts w:ascii="Arial" w:hAnsi="Arial" w:cs="Arial"/>
                <w:sz w:val="16"/>
                <w:szCs w:val="18"/>
                <w:highlight w:val="none"/>
              </w:rPr>
              <w:t>楼层</w:t>
            </w:r>
          </w:p>
        </w:tc>
        <w:tc>
          <w:tcPr>
            <w:tcW w:w="1707" w:type="dxa"/>
            <w:tcBorders>
              <w:top w:val="nil"/>
              <w:left w:val="nil"/>
              <w:bottom w:val="single" w:color="auto" w:sz="4" w:space="0"/>
              <w:right w:val="single" w:color="auto" w:sz="4" w:space="0"/>
            </w:tcBorders>
            <w:vAlign w:val="center"/>
          </w:tcPr>
          <w:p w14:paraId="497F5F38">
            <w:pPr>
              <w:widowControl/>
              <w:adjustRightInd/>
              <w:spacing w:line="240" w:lineRule="auto"/>
              <w:jc w:val="center"/>
              <w:textAlignment w:val="auto"/>
              <w:rPr>
                <w:rFonts w:hint="default" w:ascii="Arial" w:hAnsi="Arial" w:eastAsia="宋体" w:cs="Arial"/>
                <w:sz w:val="16"/>
                <w:szCs w:val="18"/>
                <w:highlight w:val="none"/>
                <w:lang w:val="en-US" w:eastAsia="zh-CN"/>
              </w:rPr>
            </w:pPr>
            <w:r>
              <w:rPr>
                <w:rFonts w:ascii="Arial" w:hAnsi="Arial" w:cs="Arial"/>
                <w:sz w:val="16"/>
                <w:szCs w:val="18"/>
                <w:highlight w:val="none"/>
              </w:rPr>
              <w:t>100/</w:t>
            </w:r>
            <w:r>
              <w:rPr>
                <w:rFonts w:hint="eastAsia" w:ascii="Arial" w:hAnsi="Arial" w:cs="Arial"/>
                <w:sz w:val="16"/>
                <w:szCs w:val="18"/>
                <w:highlight w:val="none"/>
                <w:lang w:val="en-US" w:eastAsia="zh-CN"/>
              </w:rPr>
              <w:t>99</w:t>
            </w:r>
          </w:p>
        </w:tc>
        <w:tc>
          <w:tcPr>
            <w:tcW w:w="1707" w:type="dxa"/>
            <w:tcBorders>
              <w:top w:val="nil"/>
              <w:left w:val="nil"/>
              <w:bottom w:val="single" w:color="auto" w:sz="4" w:space="0"/>
              <w:right w:val="single" w:color="auto" w:sz="4" w:space="0"/>
            </w:tcBorders>
            <w:vAlign w:val="center"/>
          </w:tcPr>
          <w:p w14:paraId="14883858">
            <w:pPr>
              <w:widowControl/>
              <w:adjustRightInd/>
              <w:spacing w:line="240" w:lineRule="auto"/>
              <w:jc w:val="center"/>
              <w:textAlignment w:val="auto"/>
              <w:rPr>
                <w:rFonts w:hint="eastAsia" w:ascii="Arial" w:hAnsi="Arial" w:eastAsia="宋体" w:cs="Arial"/>
                <w:sz w:val="16"/>
                <w:szCs w:val="18"/>
                <w:highlight w:val="none"/>
                <w:lang w:val="en-US" w:eastAsia="zh-CN"/>
              </w:rPr>
            </w:pPr>
            <w:r>
              <w:rPr>
                <w:rFonts w:ascii="Arial" w:hAnsi="Arial" w:cs="Arial"/>
                <w:sz w:val="16"/>
                <w:szCs w:val="18"/>
                <w:highlight w:val="none"/>
              </w:rPr>
              <w:t>100/10</w:t>
            </w:r>
            <w:r>
              <w:rPr>
                <w:rFonts w:hint="eastAsia" w:ascii="Arial" w:hAnsi="Arial" w:cs="Arial"/>
                <w:sz w:val="16"/>
                <w:szCs w:val="18"/>
                <w:highlight w:val="none"/>
                <w:lang w:val="en-US" w:eastAsia="zh-CN"/>
              </w:rPr>
              <w:t>0</w:t>
            </w:r>
          </w:p>
        </w:tc>
        <w:tc>
          <w:tcPr>
            <w:tcW w:w="1708" w:type="dxa"/>
            <w:tcBorders>
              <w:top w:val="nil"/>
              <w:left w:val="nil"/>
              <w:bottom w:val="single" w:color="auto" w:sz="4" w:space="0"/>
              <w:right w:val="single" w:color="auto" w:sz="4" w:space="0"/>
            </w:tcBorders>
            <w:vAlign w:val="center"/>
          </w:tcPr>
          <w:p w14:paraId="1AD698B4">
            <w:pPr>
              <w:widowControl/>
              <w:adjustRightInd/>
              <w:spacing w:line="240" w:lineRule="auto"/>
              <w:jc w:val="center"/>
              <w:textAlignment w:val="auto"/>
              <w:rPr>
                <w:rFonts w:hint="default" w:ascii="Arial" w:hAnsi="Arial" w:eastAsia="宋体" w:cs="Arial"/>
                <w:sz w:val="16"/>
                <w:szCs w:val="18"/>
                <w:highlight w:val="none"/>
                <w:lang w:val="en-US" w:eastAsia="zh-CN"/>
              </w:rPr>
            </w:pPr>
            <w:r>
              <w:rPr>
                <w:rFonts w:ascii="Arial" w:hAnsi="Arial" w:cs="Arial"/>
                <w:sz w:val="16"/>
                <w:szCs w:val="18"/>
                <w:highlight w:val="none"/>
              </w:rPr>
              <w:t>100/</w:t>
            </w:r>
            <w:r>
              <w:rPr>
                <w:rFonts w:hint="eastAsia" w:ascii="Arial" w:hAnsi="Arial" w:cs="Arial"/>
                <w:sz w:val="16"/>
                <w:szCs w:val="18"/>
                <w:highlight w:val="none"/>
                <w:lang w:val="en-US" w:eastAsia="zh-CN"/>
              </w:rPr>
              <w:t>99</w:t>
            </w:r>
          </w:p>
        </w:tc>
      </w:tr>
      <w:tr w14:paraId="13120867">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49F8DAD3">
            <w:pPr>
              <w:widowControl/>
              <w:adjustRightInd/>
              <w:spacing w:line="240" w:lineRule="auto"/>
              <w:textAlignment w:val="auto"/>
              <w:rPr>
                <w:rFonts w:ascii="Arial" w:hAnsi="Arial" w:cs="Arial"/>
                <w:sz w:val="16"/>
                <w:szCs w:val="18"/>
                <w:highlight w:val="none"/>
              </w:rPr>
            </w:pPr>
          </w:p>
        </w:tc>
        <w:tc>
          <w:tcPr>
            <w:tcW w:w="1516" w:type="pct"/>
            <w:tcBorders>
              <w:top w:val="nil"/>
              <w:left w:val="nil"/>
              <w:bottom w:val="single" w:color="auto" w:sz="4" w:space="0"/>
              <w:right w:val="single" w:color="auto" w:sz="4" w:space="0"/>
            </w:tcBorders>
            <w:vAlign w:val="center"/>
          </w:tcPr>
          <w:p w14:paraId="53BB3356">
            <w:pPr>
              <w:widowControl/>
              <w:adjustRightInd/>
              <w:spacing w:line="240" w:lineRule="auto"/>
              <w:textAlignment w:val="auto"/>
              <w:rPr>
                <w:rFonts w:ascii="Arial" w:hAnsi="Arial" w:cs="Arial"/>
                <w:sz w:val="16"/>
                <w:szCs w:val="18"/>
                <w:highlight w:val="none"/>
              </w:rPr>
            </w:pPr>
            <w:r>
              <w:rPr>
                <w:rFonts w:ascii="Arial" w:hAnsi="Arial" w:cs="Arial"/>
                <w:sz w:val="16"/>
                <w:szCs w:val="18"/>
                <w:highlight w:val="none"/>
              </w:rPr>
              <w:t>朝向</w:t>
            </w:r>
          </w:p>
        </w:tc>
        <w:tc>
          <w:tcPr>
            <w:tcW w:w="1707" w:type="dxa"/>
            <w:tcBorders>
              <w:top w:val="nil"/>
              <w:left w:val="nil"/>
              <w:bottom w:val="single" w:color="auto" w:sz="4" w:space="0"/>
              <w:right w:val="single" w:color="auto" w:sz="4" w:space="0"/>
            </w:tcBorders>
            <w:vAlign w:val="center"/>
          </w:tcPr>
          <w:p w14:paraId="12EB00FB">
            <w:pPr>
              <w:widowControl/>
              <w:adjustRightInd/>
              <w:spacing w:line="240" w:lineRule="auto"/>
              <w:jc w:val="center"/>
              <w:textAlignment w:val="auto"/>
              <w:rPr>
                <w:rFonts w:hint="default" w:ascii="Arial" w:hAnsi="Arial" w:eastAsia="宋体" w:cs="Arial"/>
                <w:sz w:val="16"/>
                <w:szCs w:val="18"/>
                <w:highlight w:val="none"/>
                <w:lang w:val="en-US" w:eastAsia="zh-CN"/>
              </w:rPr>
            </w:pPr>
            <w:r>
              <w:rPr>
                <w:rFonts w:ascii="Arial" w:hAnsi="Arial" w:cs="Arial"/>
                <w:sz w:val="16"/>
                <w:szCs w:val="18"/>
                <w:highlight w:val="none"/>
              </w:rPr>
              <w:t>100/</w:t>
            </w:r>
            <w:r>
              <w:rPr>
                <w:rFonts w:hint="eastAsia" w:ascii="Arial" w:hAnsi="Arial" w:cs="Arial"/>
                <w:sz w:val="16"/>
                <w:szCs w:val="18"/>
                <w:highlight w:val="none"/>
                <w:lang w:val="en-US" w:eastAsia="zh-CN"/>
              </w:rPr>
              <w:t>100</w:t>
            </w:r>
          </w:p>
        </w:tc>
        <w:tc>
          <w:tcPr>
            <w:tcW w:w="1707" w:type="dxa"/>
            <w:tcBorders>
              <w:top w:val="nil"/>
              <w:left w:val="nil"/>
              <w:bottom w:val="single" w:color="auto" w:sz="4" w:space="0"/>
              <w:right w:val="single" w:color="auto" w:sz="4" w:space="0"/>
            </w:tcBorders>
            <w:vAlign w:val="center"/>
          </w:tcPr>
          <w:p w14:paraId="3DFDFA95">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1708" w:type="dxa"/>
            <w:tcBorders>
              <w:top w:val="nil"/>
              <w:left w:val="nil"/>
              <w:bottom w:val="single" w:color="auto" w:sz="4" w:space="0"/>
              <w:right w:val="single" w:color="auto" w:sz="4" w:space="0"/>
            </w:tcBorders>
            <w:vAlign w:val="center"/>
          </w:tcPr>
          <w:p w14:paraId="4E4CF93A">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r>
      <w:tr w14:paraId="7D220B24">
        <w:tblPrEx>
          <w:tblCellMar>
            <w:top w:w="0" w:type="dxa"/>
            <w:left w:w="108" w:type="dxa"/>
            <w:bottom w:w="0" w:type="dxa"/>
            <w:right w:w="108" w:type="dxa"/>
          </w:tblCellMar>
        </w:tblPrEx>
        <w:trPr>
          <w:trHeight w:val="227" w:hRule="atLeast"/>
        </w:trPr>
        <w:tc>
          <w:tcPr>
            <w:tcW w:w="791" w:type="pct"/>
            <w:vMerge w:val="restart"/>
            <w:tcBorders>
              <w:top w:val="single" w:color="auto" w:sz="4" w:space="0"/>
              <w:left w:val="single" w:color="auto" w:sz="4" w:space="0"/>
              <w:bottom w:val="single" w:color="auto" w:sz="4" w:space="0"/>
              <w:right w:val="single" w:color="auto" w:sz="4" w:space="0"/>
            </w:tcBorders>
            <w:vAlign w:val="center"/>
          </w:tcPr>
          <w:p w14:paraId="03D04F73">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实物状况</w:t>
            </w:r>
          </w:p>
        </w:tc>
        <w:tc>
          <w:tcPr>
            <w:tcW w:w="1516" w:type="pct"/>
            <w:tcBorders>
              <w:top w:val="nil"/>
              <w:left w:val="nil"/>
              <w:bottom w:val="single" w:color="auto" w:sz="4" w:space="0"/>
              <w:right w:val="single" w:color="auto" w:sz="4" w:space="0"/>
            </w:tcBorders>
            <w:vAlign w:val="center"/>
          </w:tcPr>
          <w:p w14:paraId="7FDCE544">
            <w:pPr>
              <w:widowControl/>
              <w:adjustRightInd/>
              <w:spacing w:line="240" w:lineRule="auto"/>
              <w:textAlignment w:val="auto"/>
              <w:rPr>
                <w:rFonts w:ascii="Arial" w:hAnsi="Arial" w:cs="Arial"/>
                <w:sz w:val="16"/>
                <w:szCs w:val="18"/>
                <w:highlight w:val="none"/>
              </w:rPr>
            </w:pPr>
            <w:r>
              <w:rPr>
                <w:rFonts w:ascii="Arial" w:hAnsi="Arial" w:cs="Arial"/>
                <w:sz w:val="16"/>
                <w:szCs w:val="18"/>
                <w:highlight w:val="none"/>
              </w:rPr>
              <w:t>成新度</w:t>
            </w:r>
          </w:p>
        </w:tc>
        <w:tc>
          <w:tcPr>
            <w:tcW w:w="1707" w:type="dxa"/>
            <w:tcBorders>
              <w:top w:val="nil"/>
              <w:left w:val="nil"/>
              <w:bottom w:val="single" w:color="auto" w:sz="4" w:space="0"/>
              <w:right w:val="single" w:color="auto" w:sz="4" w:space="0"/>
            </w:tcBorders>
            <w:vAlign w:val="center"/>
          </w:tcPr>
          <w:p w14:paraId="60CCBDC8">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1707" w:type="dxa"/>
            <w:tcBorders>
              <w:top w:val="nil"/>
              <w:left w:val="nil"/>
              <w:bottom w:val="single" w:color="auto" w:sz="4" w:space="0"/>
              <w:right w:val="single" w:color="auto" w:sz="4" w:space="0"/>
            </w:tcBorders>
            <w:vAlign w:val="center"/>
          </w:tcPr>
          <w:p w14:paraId="324393BF">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1708" w:type="dxa"/>
            <w:tcBorders>
              <w:top w:val="nil"/>
              <w:left w:val="nil"/>
              <w:bottom w:val="single" w:color="auto" w:sz="4" w:space="0"/>
              <w:right w:val="single" w:color="auto" w:sz="4" w:space="0"/>
            </w:tcBorders>
            <w:vAlign w:val="center"/>
          </w:tcPr>
          <w:p w14:paraId="7FC280FD">
            <w:pPr>
              <w:widowControl/>
              <w:adjustRightInd/>
              <w:spacing w:line="240" w:lineRule="auto"/>
              <w:jc w:val="center"/>
              <w:textAlignment w:val="auto"/>
              <w:rPr>
                <w:rFonts w:hint="default" w:ascii="Arial" w:hAnsi="Arial" w:eastAsia="宋体" w:cs="Arial"/>
                <w:sz w:val="16"/>
                <w:szCs w:val="18"/>
                <w:highlight w:val="none"/>
                <w:lang w:val="en-US" w:eastAsia="zh-CN"/>
              </w:rPr>
            </w:pPr>
            <w:r>
              <w:rPr>
                <w:rFonts w:ascii="Arial" w:hAnsi="Arial" w:cs="Arial"/>
                <w:sz w:val="16"/>
                <w:szCs w:val="18"/>
                <w:highlight w:val="none"/>
              </w:rPr>
              <w:t>100/</w:t>
            </w:r>
            <w:r>
              <w:rPr>
                <w:rFonts w:hint="eastAsia" w:ascii="Arial" w:hAnsi="Arial" w:cs="Arial"/>
                <w:sz w:val="16"/>
                <w:szCs w:val="18"/>
                <w:highlight w:val="none"/>
                <w:lang w:val="en-US" w:eastAsia="zh-CN"/>
              </w:rPr>
              <w:t>99</w:t>
            </w:r>
          </w:p>
        </w:tc>
      </w:tr>
      <w:tr w14:paraId="793DDA7A">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416F999F">
            <w:pPr>
              <w:widowControl/>
              <w:adjustRightInd/>
              <w:spacing w:line="240" w:lineRule="auto"/>
              <w:textAlignment w:val="auto"/>
              <w:rPr>
                <w:rFonts w:ascii="Arial" w:hAnsi="Arial" w:cs="Arial"/>
                <w:sz w:val="16"/>
                <w:szCs w:val="18"/>
                <w:highlight w:val="none"/>
              </w:rPr>
            </w:pPr>
          </w:p>
        </w:tc>
        <w:tc>
          <w:tcPr>
            <w:tcW w:w="1516" w:type="pct"/>
            <w:tcBorders>
              <w:top w:val="nil"/>
              <w:left w:val="nil"/>
              <w:bottom w:val="single" w:color="auto" w:sz="4" w:space="0"/>
              <w:right w:val="single" w:color="auto" w:sz="4" w:space="0"/>
            </w:tcBorders>
            <w:vAlign w:val="center"/>
          </w:tcPr>
          <w:p w14:paraId="48A25123">
            <w:pPr>
              <w:widowControl/>
              <w:adjustRightInd/>
              <w:spacing w:line="240" w:lineRule="auto"/>
              <w:textAlignment w:val="auto"/>
              <w:rPr>
                <w:rFonts w:ascii="Arial" w:hAnsi="Arial" w:cs="Arial"/>
                <w:sz w:val="16"/>
                <w:szCs w:val="18"/>
                <w:highlight w:val="none"/>
              </w:rPr>
            </w:pPr>
            <w:r>
              <w:rPr>
                <w:rFonts w:ascii="Arial" w:hAnsi="Arial" w:cs="Arial"/>
                <w:sz w:val="16"/>
                <w:szCs w:val="18"/>
                <w:highlight w:val="none"/>
              </w:rPr>
              <w:t>公共区域装修</w:t>
            </w:r>
          </w:p>
        </w:tc>
        <w:tc>
          <w:tcPr>
            <w:tcW w:w="1707" w:type="dxa"/>
            <w:tcBorders>
              <w:top w:val="nil"/>
              <w:left w:val="nil"/>
              <w:bottom w:val="single" w:color="auto" w:sz="4" w:space="0"/>
              <w:right w:val="single" w:color="auto" w:sz="4" w:space="0"/>
            </w:tcBorders>
            <w:vAlign w:val="center"/>
          </w:tcPr>
          <w:p w14:paraId="3BBF5C94">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1707" w:type="dxa"/>
            <w:tcBorders>
              <w:top w:val="nil"/>
              <w:left w:val="nil"/>
              <w:bottom w:val="single" w:color="auto" w:sz="4" w:space="0"/>
              <w:right w:val="single" w:color="auto" w:sz="4" w:space="0"/>
            </w:tcBorders>
            <w:vAlign w:val="center"/>
          </w:tcPr>
          <w:p w14:paraId="08569BE5">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1708" w:type="dxa"/>
            <w:tcBorders>
              <w:top w:val="nil"/>
              <w:left w:val="nil"/>
              <w:bottom w:val="single" w:color="auto" w:sz="4" w:space="0"/>
              <w:right w:val="single" w:color="auto" w:sz="4" w:space="0"/>
            </w:tcBorders>
            <w:vAlign w:val="center"/>
          </w:tcPr>
          <w:p w14:paraId="458C8022">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r>
      <w:tr w14:paraId="1939C496">
        <w:tblPrEx>
          <w:tblCellMar>
            <w:top w:w="0" w:type="dxa"/>
            <w:left w:w="108" w:type="dxa"/>
            <w:bottom w:w="0" w:type="dxa"/>
            <w:right w:w="108" w:type="dxa"/>
          </w:tblCellMar>
        </w:tblPrEx>
        <w:trPr>
          <w:trHeight w:val="215" w:hRule="atLeast"/>
        </w:trPr>
        <w:tc>
          <w:tcPr>
            <w:tcW w:w="791" w:type="pct"/>
            <w:vMerge w:val="continue"/>
            <w:tcBorders>
              <w:left w:val="single" w:color="auto" w:sz="4" w:space="0"/>
              <w:bottom w:val="single" w:color="auto" w:sz="4" w:space="0"/>
              <w:right w:val="single" w:color="auto" w:sz="4" w:space="0"/>
            </w:tcBorders>
            <w:vAlign w:val="center"/>
          </w:tcPr>
          <w:p w14:paraId="536B24C9">
            <w:pPr>
              <w:widowControl/>
              <w:adjustRightInd/>
              <w:spacing w:line="240" w:lineRule="auto"/>
              <w:textAlignment w:val="auto"/>
              <w:rPr>
                <w:rFonts w:ascii="Arial" w:hAnsi="Arial" w:cs="Arial"/>
                <w:sz w:val="16"/>
                <w:szCs w:val="18"/>
                <w:highlight w:val="none"/>
              </w:rPr>
            </w:pPr>
          </w:p>
        </w:tc>
        <w:tc>
          <w:tcPr>
            <w:tcW w:w="1516" w:type="pct"/>
            <w:tcBorders>
              <w:top w:val="nil"/>
              <w:left w:val="nil"/>
              <w:bottom w:val="single" w:color="auto" w:sz="4" w:space="0"/>
              <w:right w:val="single" w:color="auto" w:sz="4" w:space="0"/>
            </w:tcBorders>
            <w:vAlign w:val="center"/>
          </w:tcPr>
          <w:p w14:paraId="1C449191">
            <w:pPr>
              <w:widowControl/>
              <w:adjustRightInd/>
              <w:spacing w:line="240" w:lineRule="auto"/>
              <w:textAlignment w:val="auto"/>
              <w:rPr>
                <w:rFonts w:ascii="Arial" w:hAnsi="Arial" w:cs="Arial"/>
                <w:sz w:val="16"/>
                <w:szCs w:val="18"/>
                <w:highlight w:val="none"/>
              </w:rPr>
            </w:pPr>
            <w:r>
              <w:rPr>
                <w:rFonts w:ascii="Arial" w:hAnsi="Arial" w:cs="Arial"/>
                <w:sz w:val="16"/>
                <w:szCs w:val="18"/>
                <w:highlight w:val="none"/>
              </w:rPr>
              <w:t>室内装饰装修</w:t>
            </w:r>
          </w:p>
        </w:tc>
        <w:tc>
          <w:tcPr>
            <w:tcW w:w="1707" w:type="dxa"/>
            <w:tcBorders>
              <w:top w:val="nil"/>
              <w:left w:val="nil"/>
              <w:bottom w:val="single" w:color="auto" w:sz="4" w:space="0"/>
              <w:right w:val="single" w:color="auto" w:sz="4" w:space="0"/>
            </w:tcBorders>
            <w:vAlign w:val="center"/>
          </w:tcPr>
          <w:p w14:paraId="4ABD3618">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1707" w:type="dxa"/>
            <w:tcBorders>
              <w:top w:val="nil"/>
              <w:left w:val="nil"/>
              <w:bottom w:val="single" w:color="auto" w:sz="4" w:space="0"/>
              <w:right w:val="single" w:color="auto" w:sz="4" w:space="0"/>
            </w:tcBorders>
            <w:vAlign w:val="center"/>
          </w:tcPr>
          <w:p w14:paraId="2CB89A48">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1708" w:type="dxa"/>
            <w:tcBorders>
              <w:top w:val="nil"/>
              <w:left w:val="nil"/>
              <w:bottom w:val="single" w:color="auto" w:sz="4" w:space="0"/>
              <w:right w:val="single" w:color="auto" w:sz="4" w:space="0"/>
            </w:tcBorders>
            <w:vAlign w:val="center"/>
          </w:tcPr>
          <w:p w14:paraId="73E1D460">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r>
      <w:tr w14:paraId="3DE3A133">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31AB5048">
            <w:pPr>
              <w:widowControl/>
              <w:adjustRightInd/>
              <w:spacing w:line="240" w:lineRule="auto"/>
              <w:textAlignment w:val="auto"/>
              <w:rPr>
                <w:rFonts w:ascii="Arial" w:hAnsi="Arial" w:cs="Arial"/>
                <w:sz w:val="16"/>
                <w:szCs w:val="18"/>
                <w:highlight w:val="none"/>
              </w:rPr>
            </w:pPr>
          </w:p>
        </w:tc>
        <w:tc>
          <w:tcPr>
            <w:tcW w:w="1516" w:type="pct"/>
            <w:tcBorders>
              <w:top w:val="nil"/>
              <w:left w:val="nil"/>
              <w:bottom w:val="single" w:color="auto" w:sz="4" w:space="0"/>
              <w:right w:val="single" w:color="auto" w:sz="4" w:space="0"/>
            </w:tcBorders>
            <w:vAlign w:val="center"/>
          </w:tcPr>
          <w:p w14:paraId="7A6C3688">
            <w:pPr>
              <w:widowControl/>
              <w:adjustRightInd/>
              <w:spacing w:line="240" w:lineRule="auto"/>
              <w:textAlignment w:val="auto"/>
              <w:rPr>
                <w:rFonts w:ascii="Arial" w:hAnsi="Arial" w:cs="Arial"/>
                <w:sz w:val="16"/>
                <w:szCs w:val="18"/>
                <w:highlight w:val="none"/>
              </w:rPr>
            </w:pPr>
            <w:r>
              <w:rPr>
                <w:rFonts w:ascii="Arial" w:hAnsi="Arial" w:cs="Arial"/>
                <w:sz w:val="16"/>
                <w:szCs w:val="18"/>
                <w:highlight w:val="none"/>
              </w:rPr>
              <w:t>设施设备</w:t>
            </w:r>
          </w:p>
        </w:tc>
        <w:tc>
          <w:tcPr>
            <w:tcW w:w="1707" w:type="dxa"/>
            <w:tcBorders>
              <w:top w:val="nil"/>
              <w:left w:val="nil"/>
              <w:bottom w:val="single" w:color="auto" w:sz="4" w:space="0"/>
              <w:right w:val="single" w:color="auto" w:sz="4" w:space="0"/>
            </w:tcBorders>
            <w:vAlign w:val="center"/>
          </w:tcPr>
          <w:p w14:paraId="310210B6">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1707" w:type="dxa"/>
            <w:tcBorders>
              <w:top w:val="nil"/>
              <w:left w:val="nil"/>
              <w:bottom w:val="single" w:color="auto" w:sz="4" w:space="0"/>
              <w:right w:val="single" w:color="auto" w:sz="4" w:space="0"/>
            </w:tcBorders>
            <w:vAlign w:val="center"/>
          </w:tcPr>
          <w:p w14:paraId="77601467">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1708" w:type="dxa"/>
            <w:tcBorders>
              <w:top w:val="nil"/>
              <w:left w:val="nil"/>
              <w:bottom w:val="single" w:color="auto" w:sz="4" w:space="0"/>
              <w:right w:val="single" w:color="auto" w:sz="4" w:space="0"/>
            </w:tcBorders>
            <w:vAlign w:val="center"/>
          </w:tcPr>
          <w:p w14:paraId="0C9E1ABE">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r>
      <w:tr w14:paraId="7AB6CB27">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5095DC98">
            <w:pPr>
              <w:widowControl/>
              <w:adjustRightInd/>
              <w:spacing w:line="240" w:lineRule="auto"/>
              <w:textAlignment w:val="auto"/>
              <w:rPr>
                <w:rFonts w:ascii="Arial" w:hAnsi="Arial" w:cs="Arial"/>
                <w:sz w:val="16"/>
                <w:szCs w:val="18"/>
                <w:highlight w:val="none"/>
              </w:rPr>
            </w:pPr>
          </w:p>
        </w:tc>
        <w:tc>
          <w:tcPr>
            <w:tcW w:w="1516" w:type="pct"/>
            <w:tcBorders>
              <w:top w:val="nil"/>
              <w:left w:val="nil"/>
              <w:bottom w:val="single" w:color="auto" w:sz="4" w:space="0"/>
              <w:right w:val="single" w:color="auto" w:sz="4" w:space="0"/>
            </w:tcBorders>
            <w:vAlign w:val="center"/>
          </w:tcPr>
          <w:p w14:paraId="5B88DCD8">
            <w:pPr>
              <w:widowControl/>
              <w:adjustRightInd/>
              <w:spacing w:line="240" w:lineRule="auto"/>
              <w:textAlignment w:val="auto"/>
              <w:rPr>
                <w:rFonts w:ascii="Arial" w:hAnsi="Arial" w:cs="Arial"/>
                <w:sz w:val="16"/>
                <w:szCs w:val="18"/>
                <w:highlight w:val="none"/>
              </w:rPr>
            </w:pPr>
            <w:r>
              <w:rPr>
                <w:rFonts w:ascii="Arial" w:hAnsi="Arial" w:cs="Arial"/>
                <w:sz w:val="16"/>
                <w:szCs w:val="18"/>
                <w:highlight w:val="none"/>
              </w:rPr>
              <w:t>综合管理服务设施</w:t>
            </w:r>
          </w:p>
        </w:tc>
        <w:tc>
          <w:tcPr>
            <w:tcW w:w="1707" w:type="dxa"/>
            <w:tcBorders>
              <w:top w:val="nil"/>
              <w:left w:val="nil"/>
              <w:bottom w:val="single" w:color="auto" w:sz="4" w:space="0"/>
              <w:right w:val="single" w:color="auto" w:sz="4" w:space="0"/>
            </w:tcBorders>
            <w:vAlign w:val="center"/>
          </w:tcPr>
          <w:p w14:paraId="58D16528">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1707" w:type="dxa"/>
            <w:tcBorders>
              <w:top w:val="nil"/>
              <w:left w:val="nil"/>
              <w:bottom w:val="single" w:color="auto" w:sz="4" w:space="0"/>
              <w:right w:val="single" w:color="auto" w:sz="4" w:space="0"/>
            </w:tcBorders>
            <w:vAlign w:val="center"/>
          </w:tcPr>
          <w:p w14:paraId="03ECC8C1">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1708" w:type="dxa"/>
            <w:tcBorders>
              <w:top w:val="nil"/>
              <w:left w:val="nil"/>
              <w:bottom w:val="single" w:color="auto" w:sz="4" w:space="0"/>
              <w:right w:val="single" w:color="auto" w:sz="4" w:space="0"/>
            </w:tcBorders>
            <w:vAlign w:val="center"/>
          </w:tcPr>
          <w:p w14:paraId="6917E9F4">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r>
      <w:tr w14:paraId="1AC6FBBE">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00D3143A">
            <w:pPr>
              <w:widowControl/>
              <w:adjustRightInd/>
              <w:spacing w:line="240" w:lineRule="auto"/>
              <w:textAlignment w:val="auto"/>
              <w:rPr>
                <w:rFonts w:ascii="Arial" w:hAnsi="Arial" w:cs="Arial"/>
                <w:sz w:val="16"/>
                <w:szCs w:val="18"/>
                <w:highlight w:val="none"/>
              </w:rPr>
            </w:pPr>
          </w:p>
        </w:tc>
        <w:tc>
          <w:tcPr>
            <w:tcW w:w="1516" w:type="pct"/>
            <w:tcBorders>
              <w:top w:val="nil"/>
              <w:left w:val="nil"/>
              <w:bottom w:val="single" w:color="auto" w:sz="4" w:space="0"/>
              <w:right w:val="single" w:color="auto" w:sz="4" w:space="0"/>
            </w:tcBorders>
            <w:vAlign w:val="center"/>
          </w:tcPr>
          <w:p w14:paraId="1A531C24">
            <w:pPr>
              <w:widowControl/>
              <w:adjustRightInd/>
              <w:spacing w:line="240" w:lineRule="auto"/>
              <w:textAlignment w:val="auto"/>
              <w:rPr>
                <w:rFonts w:ascii="Arial" w:hAnsi="Arial" w:cs="Arial"/>
                <w:sz w:val="16"/>
                <w:szCs w:val="18"/>
                <w:highlight w:val="none"/>
              </w:rPr>
            </w:pPr>
            <w:r>
              <w:rPr>
                <w:rFonts w:ascii="Arial" w:hAnsi="Arial" w:cs="Arial"/>
                <w:sz w:val="16"/>
                <w:szCs w:val="18"/>
                <w:highlight w:val="none"/>
              </w:rPr>
              <w:t>户型布局</w:t>
            </w:r>
          </w:p>
        </w:tc>
        <w:tc>
          <w:tcPr>
            <w:tcW w:w="1707" w:type="dxa"/>
            <w:tcBorders>
              <w:top w:val="nil"/>
              <w:left w:val="nil"/>
              <w:bottom w:val="single" w:color="auto" w:sz="4" w:space="0"/>
              <w:right w:val="single" w:color="auto" w:sz="4" w:space="0"/>
            </w:tcBorders>
            <w:vAlign w:val="center"/>
          </w:tcPr>
          <w:p w14:paraId="7311C6EA">
            <w:pPr>
              <w:widowControl/>
              <w:adjustRightInd/>
              <w:spacing w:line="240" w:lineRule="auto"/>
              <w:jc w:val="center"/>
              <w:textAlignment w:val="auto"/>
              <w:rPr>
                <w:rFonts w:hint="default" w:ascii="Arial" w:hAnsi="Arial" w:eastAsia="宋体" w:cs="Arial"/>
                <w:sz w:val="16"/>
                <w:szCs w:val="18"/>
                <w:highlight w:val="none"/>
                <w:lang w:val="en-US" w:eastAsia="zh-CN"/>
              </w:rPr>
            </w:pPr>
            <w:r>
              <w:rPr>
                <w:rFonts w:ascii="Arial" w:hAnsi="Arial" w:cs="Arial"/>
                <w:sz w:val="16"/>
                <w:szCs w:val="18"/>
                <w:highlight w:val="none"/>
              </w:rPr>
              <w:t>100/</w:t>
            </w:r>
            <w:r>
              <w:rPr>
                <w:rFonts w:hint="eastAsia" w:ascii="Arial" w:hAnsi="Arial" w:cs="Arial"/>
                <w:sz w:val="16"/>
                <w:szCs w:val="18"/>
                <w:highlight w:val="none"/>
                <w:lang w:val="en-US" w:eastAsia="zh-CN"/>
              </w:rPr>
              <w:t>98</w:t>
            </w:r>
          </w:p>
        </w:tc>
        <w:tc>
          <w:tcPr>
            <w:tcW w:w="1707" w:type="dxa"/>
            <w:tcBorders>
              <w:top w:val="nil"/>
              <w:left w:val="nil"/>
              <w:bottom w:val="single" w:color="auto" w:sz="4" w:space="0"/>
              <w:right w:val="single" w:color="auto" w:sz="4" w:space="0"/>
            </w:tcBorders>
            <w:vAlign w:val="center"/>
          </w:tcPr>
          <w:p w14:paraId="676BE791">
            <w:pPr>
              <w:widowControl/>
              <w:adjustRightInd/>
              <w:spacing w:line="240" w:lineRule="auto"/>
              <w:jc w:val="center"/>
              <w:textAlignment w:val="auto"/>
              <w:rPr>
                <w:rFonts w:hint="default" w:ascii="Arial" w:hAnsi="Arial" w:eastAsia="宋体" w:cs="Arial"/>
                <w:sz w:val="16"/>
                <w:szCs w:val="18"/>
                <w:highlight w:val="none"/>
                <w:lang w:val="en-US" w:eastAsia="zh-CN"/>
              </w:rPr>
            </w:pPr>
            <w:r>
              <w:rPr>
                <w:rFonts w:ascii="Arial" w:hAnsi="Arial" w:cs="Arial"/>
                <w:sz w:val="16"/>
                <w:szCs w:val="18"/>
                <w:highlight w:val="none"/>
              </w:rPr>
              <w:t>100/100</w:t>
            </w:r>
          </w:p>
        </w:tc>
        <w:tc>
          <w:tcPr>
            <w:tcW w:w="1708" w:type="dxa"/>
            <w:tcBorders>
              <w:top w:val="nil"/>
              <w:left w:val="nil"/>
              <w:bottom w:val="single" w:color="auto" w:sz="4" w:space="0"/>
              <w:right w:val="single" w:color="auto" w:sz="4" w:space="0"/>
            </w:tcBorders>
            <w:vAlign w:val="center"/>
          </w:tcPr>
          <w:p w14:paraId="3849ABAF">
            <w:pPr>
              <w:widowControl/>
              <w:adjustRightInd/>
              <w:spacing w:line="240" w:lineRule="auto"/>
              <w:jc w:val="center"/>
              <w:textAlignment w:val="auto"/>
              <w:rPr>
                <w:rFonts w:hint="default" w:ascii="Arial" w:hAnsi="Arial" w:eastAsia="宋体" w:cs="Arial"/>
                <w:sz w:val="16"/>
                <w:szCs w:val="18"/>
                <w:highlight w:val="none"/>
                <w:lang w:val="en-US" w:eastAsia="zh-CN"/>
              </w:rPr>
            </w:pPr>
            <w:r>
              <w:rPr>
                <w:rFonts w:ascii="Arial" w:hAnsi="Arial" w:cs="Arial"/>
                <w:sz w:val="16"/>
                <w:szCs w:val="18"/>
                <w:highlight w:val="none"/>
              </w:rPr>
              <w:t>100/100</w:t>
            </w:r>
          </w:p>
        </w:tc>
      </w:tr>
      <w:tr w14:paraId="202D1377">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7ECD1B0E">
            <w:pPr>
              <w:widowControl/>
              <w:adjustRightInd/>
              <w:spacing w:line="240" w:lineRule="auto"/>
              <w:textAlignment w:val="auto"/>
              <w:rPr>
                <w:rFonts w:ascii="Arial" w:hAnsi="Arial" w:cs="Arial"/>
                <w:sz w:val="16"/>
                <w:szCs w:val="18"/>
                <w:highlight w:val="none"/>
              </w:rPr>
            </w:pPr>
          </w:p>
        </w:tc>
        <w:tc>
          <w:tcPr>
            <w:tcW w:w="1516" w:type="pct"/>
            <w:tcBorders>
              <w:top w:val="nil"/>
              <w:left w:val="nil"/>
              <w:bottom w:val="single" w:color="auto" w:sz="4" w:space="0"/>
              <w:right w:val="single" w:color="auto" w:sz="4" w:space="0"/>
            </w:tcBorders>
            <w:vAlign w:val="center"/>
          </w:tcPr>
          <w:p w14:paraId="4E145FD9">
            <w:pPr>
              <w:widowControl/>
              <w:adjustRightInd/>
              <w:spacing w:line="240" w:lineRule="auto"/>
              <w:textAlignment w:val="auto"/>
              <w:rPr>
                <w:rFonts w:ascii="Arial" w:hAnsi="Arial" w:cs="Arial"/>
                <w:sz w:val="16"/>
                <w:szCs w:val="18"/>
                <w:highlight w:val="none"/>
              </w:rPr>
            </w:pPr>
            <w:r>
              <w:rPr>
                <w:rFonts w:ascii="Arial" w:hAnsi="Arial" w:cs="Arial"/>
                <w:sz w:val="16"/>
                <w:szCs w:val="18"/>
                <w:highlight w:val="none"/>
              </w:rPr>
              <w:t>户型结构</w:t>
            </w:r>
          </w:p>
        </w:tc>
        <w:tc>
          <w:tcPr>
            <w:tcW w:w="1707" w:type="dxa"/>
            <w:tcBorders>
              <w:top w:val="nil"/>
              <w:left w:val="nil"/>
              <w:bottom w:val="single" w:color="auto" w:sz="4" w:space="0"/>
              <w:right w:val="single" w:color="auto" w:sz="4" w:space="0"/>
            </w:tcBorders>
            <w:vAlign w:val="center"/>
          </w:tcPr>
          <w:p w14:paraId="38E66A2F">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1707" w:type="dxa"/>
            <w:tcBorders>
              <w:top w:val="nil"/>
              <w:left w:val="nil"/>
              <w:bottom w:val="single" w:color="auto" w:sz="4" w:space="0"/>
              <w:right w:val="single" w:color="auto" w:sz="4" w:space="0"/>
            </w:tcBorders>
            <w:vAlign w:val="center"/>
          </w:tcPr>
          <w:p w14:paraId="56B64C59">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1708" w:type="dxa"/>
            <w:tcBorders>
              <w:top w:val="nil"/>
              <w:left w:val="nil"/>
              <w:bottom w:val="single" w:color="auto" w:sz="4" w:space="0"/>
              <w:right w:val="single" w:color="auto" w:sz="4" w:space="0"/>
            </w:tcBorders>
            <w:vAlign w:val="center"/>
          </w:tcPr>
          <w:p w14:paraId="455118D9">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r>
      <w:tr w14:paraId="7AC299A6">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11330B42">
            <w:pPr>
              <w:widowControl/>
              <w:adjustRightInd/>
              <w:spacing w:line="240" w:lineRule="auto"/>
              <w:textAlignment w:val="auto"/>
              <w:rPr>
                <w:rFonts w:ascii="Arial" w:hAnsi="Arial" w:cs="Arial"/>
                <w:sz w:val="16"/>
                <w:szCs w:val="18"/>
                <w:highlight w:val="none"/>
              </w:rPr>
            </w:pPr>
          </w:p>
        </w:tc>
        <w:tc>
          <w:tcPr>
            <w:tcW w:w="1516" w:type="pct"/>
            <w:tcBorders>
              <w:top w:val="nil"/>
              <w:left w:val="nil"/>
              <w:bottom w:val="single" w:color="auto" w:sz="4" w:space="0"/>
              <w:right w:val="single" w:color="auto" w:sz="4" w:space="0"/>
            </w:tcBorders>
            <w:vAlign w:val="center"/>
          </w:tcPr>
          <w:p w14:paraId="02BB6D32">
            <w:pPr>
              <w:widowControl/>
              <w:adjustRightInd/>
              <w:spacing w:line="240" w:lineRule="auto"/>
              <w:textAlignment w:val="auto"/>
              <w:rPr>
                <w:rFonts w:ascii="Arial" w:hAnsi="Arial" w:cs="Arial"/>
                <w:sz w:val="16"/>
                <w:szCs w:val="18"/>
                <w:highlight w:val="none"/>
              </w:rPr>
            </w:pPr>
            <w:r>
              <w:rPr>
                <w:rFonts w:ascii="Arial" w:hAnsi="Arial" w:cs="Arial"/>
                <w:sz w:val="16"/>
                <w:szCs w:val="18"/>
                <w:highlight w:val="none"/>
              </w:rPr>
              <w:t>建筑面积</w:t>
            </w:r>
          </w:p>
        </w:tc>
        <w:tc>
          <w:tcPr>
            <w:tcW w:w="1707" w:type="dxa"/>
            <w:tcBorders>
              <w:top w:val="nil"/>
              <w:left w:val="nil"/>
              <w:bottom w:val="single" w:color="auto" w:sz="4" w:space="0"/>
              <w:right w:val="single" w:color="auto" w:sz="4" w:space="0"/>
            </w:tcBorders>
            <w:vAlign w:val="center"/>
          </w:tcPr>
          <w:p w14:paraId="40BF83C8">
            <w:pPr>
              <w:widowControl/>
              <w:adjustRightInd/>
              <w:spacing w:line="240" w:lineRule="auto"/>
              <w:jc w:val="center"/>
              <w:textAlignment w:val="auto"/>
              <w:rPr>
                <w:rFonts w:hint="default" w:ascii="Arial" w:hAnsi="Arial" w:eastAsia="宋体" w:cs="Arial"/>
                <w:sz w:val="16"/>
                <w:szCs w:val="18"/>
                <w:highlight w:val="none"/>
                <w:lang w:val="en-US" w:eastAsia="zh-CN"/>
              </w:rPr>
            </w:pPr>
            <w:r>
              <w:rPr>
                <w:rFonts w:ascii="Arial" w:hAnsi="Arial" w:cs="Arial"/>
                <w:sz w:val="16"/>
                <w:szCs w:val="18"/>
                <w:highlight w:val="none"/>
              </w:rPr>
              <w:t>100/</w:t>
            </w:r>
            <w:r>
              <w:rPr>
                <w:rFonts w:hint="eastAsia" w:ascii="Arial" w:hAnsi="Arial" w:cs="Arial"/>
                <w:sz w:val="16"/>
                <w:szCs w:val="18"/>
                <w:highlight w:val="none"/>
                <w:lang w:val="en-US" w:eastAsia="zh-CN"/>
              </w:rPr>
              <w:t>99</w:t>
            </w:r>
          </w:p>
        </w:tc>
        <w:tc>
          <w:tcPr>
            <w:tcW w:w="1707" w:type="dxa"/>
            <w:tcBorders>
              <w:top w:val="nil"/>
              <w:left w:val="nil"/>
              <w:bottom w:val="single" w:color="auto" w:sz="4" w:space="0"/>
              <w:right w:val="single" w:color="auto" w:sz="4" w:space="0"/>
            </w:tcBorders>
            <w:vAlign w:val="center"/>
          </w:tcPr>
          <w:p w14:paraId="26554C66">
            <w:pPr>
              <w:widowControl/>
              <w:adjustRightInd/>
              <w:spacing w:line="240" w:lineRule="auto"/>
              <w:jc w:val="center"/>
              <w:textAlignment w:val="auto"/>
              <w:rPr>
                <w:rFonts w:hint="eastAsia" w:ascii="Arial" w:hAnsi="Arial" w:eastAsia="宋体" w:cs="Arial"/>
                <w:sz w:val="16"/>
                <w:szCs w:val="18"/>
                <w:highlight w:val="none"/>
                <w:lang w:val="en-US" w:eastAsia="zh-CN"/>
              </w:rPr>
            </w:pPr>
            <w:r>
              <w:rPr>
                <w:rFonts w:ascii="Arial" w:hAnsi="Arial" w:cs="Arial"/>
                <w:sz w:val="16"/>
                <w:szCs w:val="18"/>
                <w:highlight w:val="none"/>
              </w:rPr>
              <w:t>100/10</w:t>
            </w:r>
            <w:r>
              <w:rPr>
                <w:rFonts w:hint="eastAsia" w:ascii="Arial" w:hAnsi="Arial" w:cs="Arial"/>
                <w:sz w:val="16"/>
                <w:szCs w:val="18"/>
                <w:highlight w:val="none"/>
                <w:lang w:val="en-US" w:eastAsia="zh-CN"/>
              </w:rPr>
              <w:t>2</w:t>
            </w:r>
          </w:p>
        </w:tc>
        <w:tc>
          <w:tcPr>
            <w:tcW w:w="1708" w:type="dxa"/>
            <w:tcBorders>
              <w:top w:val="nil"/>
              <w:left w:val="nil"/>
              <w:bottom w:val="single" w:color="auto" w:sz="4" w:space="0"/>
              <w:right w:val="single" w:color="auto" w:sz="4" w:space="0"/>
            </w:tcBorders>
            <w:vAlign w:val="center"/>
          </w:tcPr>
          <w:p w14:paraId="3AB0370F">
            <w:pPr>
              <w:widowControl/>
              <w:adjustRightInd/>
              <w:spacing w:line="240" w:lineRule="auto"/>
              <w:jc w:val="center"/>
              <w:textAlignment w:val="auto"/>
              <w:rPr>
                <w:rFonts w:hint="default" w:ascii="Arial" w:hAnsi="Arial" w:eastAsia="宋体" w:cs="Arial"/>
                <w:sz w:val="16"/>
                <w:szCs w:val="18"/>
                <w:highlight w:val="none"/>
                <w:lang w:val="en-US" w:eastAsia="zh-CN"/>
              </w:rPr>
            </w:pPr>
            <w:r>
              <w:rPr>
                <w:rFonts w:ascii="Arial" w:hAnsi="Arial" w:cs="Arial"/>
                <w:sz w:val="16"/>
                <w:szCs w:val="18"/>
                <w:highlight w:val="none"/>
              </w:rPr>
              <w:t>100/</w:t>
            </w:r>
            <w:r>
              <w:rPr>
                <w:rFonts w:hint="eastAsia" w:ascii="Arial" w:hAnsi="Arial" w:cs="Arial"/>
                <w:sz w:val="16"/>
                <w:szCs w:val="18"/>
                <w:highlight w:val="none"/>
                <w:lang w:val="en-US" w:eastAsia="zh-CN"/>
              </w:rPr>
              <w:t>101</w:t>
            </w:r>
          </w:p>
        </w:tc>
      </w:tr>
      <w:tr w14:paraId="6A27F863">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278E2A7C">
            <w:pPr>
              <w:widowControl/>
              <w:adjustRightInd/>
              <w:spacing w:line="240" w:lineRule="auto"/>
              <w:textAlignment w:val="auto"/>
              <w:rPr>
                <w:rFonts w:ascii="Arial" w:hAnsi="Arial" w:cs="Arial"/>
                <w:sz w:val="16"/>
                <w:szCs w:val="18"/>
                <w:highlight w:val="none"/>
              </w:rPr>
            </w:pPr>
          </w:p>
        </w:tc>
        <w:tc>
          <w:tcPr>
            <w:tcW w:w="1516" w:type="pct"/>
            <w:tcBorders>
              <w:top w:val="nil"/>
              <w:left w:val="nil"/>
              <w:bottom w:val="single" w:color="auto" w:sz="4" w:space="0"/>
              <w:right w:val="single" w:color="auto" w:sz="4" w:space="0"/>
            </w:tcBorders>
            <w:vAlign w:val="center"/>
          </w:tcPr>
          <w:p w14:paraId="3133CCD5">
            <w:pPr>
              <w:widowControl/>
              <w:adjustRightInd/>
              <w:spacing w:line="240" w:lineRule="auto"/>
              <w:textAlignment w:val="auto"/>
              <w:rPr>
                <w:rFonts w:ascii="Arial" w:hAnsi="Arial" w:cs="Arial"/>
                <w:sz w:val="16"/>
                <w:szCs w:val="18"/>
                <w:highlight w:val="none"/>
              </w:rPr>
            </w:pPr>
            <w:r>
              <w:rPr>
                <w:rFonts w:ascii="Arial" w:hAnsi="Arial" w:cs="Arial"/>
                <w:sz w:val="16"/>
                <w:szCs w:val="18"/>
                <w:highlight w:val="none"/>
              </w:rPr>
              <w:t>家具家电</w:t>
            </w:r>
          </w:p>
        </w:tc>
        <w:tc>
          <w:tcPr>
            <w:tcW w:w="897" w:type="pct"/>
            <w:tcBorders>
              <w:top w:val="nil"/>
              <w:left w:val="nil"/>
              <w:bottom w:val="single" w:color="auto" w:sz="4" w:space="0"/>
              <w:right w:val="single" w:color="auto" w:sz="4" w:space="0"/>
            </w:tcBorders>
            <w:vAlign w:val="center"/>
          </w:tcPr>
          <w:p w14:paraId="74904448">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897" w:type="pct"/>
            <w:tcBorders>
              <w:top w:val="nil"/>
              <w:left w:val="nil"/>
              <w:bottom w:val="single" w:color="auto" w:sz="4" w:space="0"/>
              <w:right w:val="single" w:color="auto" w:sz="4" w:space="0"/>
            </w:tcBorders>
            <w:vAlign w:val="center"/>
          </w:tcPr>
          <w:p w14:paraId="17E9E180">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897" w:type="pct"/>
            <w:tcBorders>
              <w:top w:val="nil"/>
              <w:left w:val="nil"/>
              <w:bottom w:val="single" w:color="auto" w:sz="4" w:space="0"/>
              <w:right w:val="single" w:color="auto" w:sz="4" w:space="0"/>
            </w:tcBorders>
            <w:vAlign w:val="center"/>
          </w:tcPr>
          <w:p w14:paraId="6D2421FB">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r>
      <w:tr w14:paraId="3D8A3715">
        <w:tblPrEx>
          <w:tblCellMar>
            <w:top w:w="0" w:type="dxa"/>
            <w:left w:w="108" w:type="dxa"/>
            <w:bottom w:w="0" w:type="dxa"/>
            <w:right w:w="108" w:type="dxa"/>
          </w:tblCellMar>
        </w:tblPrEx>
        <w:trPr>
          <w:trHeight w:val="227" w:hRule="atLeast"/>
        </w:trPr>
        <w:tc>
          <w:tcPr>
            <w:tcW w:w="791" w:type="pct"/>
            <w:vMerge w:val="restart"/>
            <w:tcBorders>
              <w:left w:val="single" w:color="auto" w:sz="4" w:space="0"/>
              <w:bottom w:val="single" w:color="auto" w:sz="4" w:space="0"/>
              <w:right w:val="single" w:color="auto" w:sz="4" w:space="0"/>
            </w:tcBorders>
            <w:vAlign w:val="center"/>
          </w:tcPr>
          <w:p w14:paraId="50F187E7">
            <w:pPr>
              <w:widowControl/>
              <w:adjustRightInd/>
              <w:spacing w:line="240" w:lineRule="auto"/>
              <w:textAlignment w:val="auto"/>
              <w:rPr>
                <w:rFonts w:ascii="Arial" w:hAnsi="Arial" w:cs="Arial"/>
                <w:sz w:val="16"/>
                <w:szCs w:val="18"/>
                <w:highlight w:val="none"/>
              </w:rPr>
            </w:pPr>
            <w:r>
              <w:rPr>
                <w:rFonts w:ascii="Arial" w:hAnsi="Arial" w:cs="Arial"/>
                <w:sz w:val="16"/>
                <w:szCs w:val="18"/>
                <w:highlight w:val="none"/>
              </w:rPr>
              <w:t>权益状况</w:t>
            </w:r>
          </w:p>
        </w:tc>
        <w:tc>
          <w:tcPr>
            <w:tcW w:w="1516" w:type="pct"/>
            <w:tcBorders>
              <w:top w:val="nil"/>
              <w:left w:val="nil"/>
              <w:bottom w:val="single" w:color="auto" w:sz="4" w:space="0"/>
              <w:right w:val="single" w:color="auto" w:sz="4" w:space="0"/>
            </w:tcBorders>
            <w:vAlign w:val="center"/>
          </w:tcPr>
          <w:p w14:paraId="69CA8583">
            <w:pPr>
              <w:widowControl/>
              <w:adjustRightInd/>
              <w:spacing w:line="240" w:lineRule="auto"/>
              <w:textAlignment w:val="auto"/>
              <w:rPr>
                <w:rFonts w:ascii="Arial" w:hAnsi="Arial" w:cs="Arial"/>
                <w:sz w:val="16"/>
                <w:szCs w:val="18"/>
                <w:highlight w:val="none"/>
              </w:rPr>
            </w:pPr>
            <w:r>
              <w:rPr>
                <w:rFonts w:ascii="Arial" w:hAnsi="Arial" w:cs="Arial"/>
                <w:sz w:val="16"/>
                <w:szCs w:val="18"/>
                <w:highlight w:val="none"/>
              </w:rPr>
              <w:t>服务及管理水平</w:t>
            </w:r>
          </w:p>
        </w:tc>
        <w:tc>
          <w:tcPr>
            <w:tcW w:w="897" w:type="pct"/>
            <w:tcBorders>
              <w:top w:val="nil"/>
              <w:left w:val="nil"/>
              <w:bottom w:val="single" w:color="auto" w:sz="4" w:space="0"/>
              <w:right w:val="single" w:color="auto" w:sz="4" w:space="0"/>
            </w:tcBorders>
            <w:vAlign w:val="center"/>
          </w:tcPr>
          <w:p w14:paraId="6C7AC377">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897" w:type="pct"/>
            <w:tcBorders>
              <w:top w:val="nil"/>
              <w:left w:val="nil"/>
              <w:bottom w:val="single" w:color="auto" w:sz="4" w:space="0"/>
              <w:right w:val="single" w:color="auto" w:sz="4" w:space="0"/>
            </w:tcBorders>
            <w:vAlign w:val="center"/>
          </w:tcPr>
          <w:p w14:paraId="35A43E9F">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897" w:type="pct"/>
            <w:tcBorders>
              <w:top w:val="nil"/>
              <w:left w:val="nil"/>
              <w:bottom w:val="single" w:color="auto" w:sz="4" w:space="0"/>
              <w:right w:val="single" w:color="auto" w:sz="4" w:space="0"/>
            </w:tcBorders>
            <w:vAlign w:val="center"/>
          </w:tcPr>
          <w:p w14:paraId="2452A934">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r>
      <w:tr w14:paraId="3D13C926">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3B692D0C">
            <w:pPr>
              <w:widowControl/>
              <w:adjustRightInd/>
              <w:spacing w:line="240" w:lineRule="auto"/>
              <w:textAlignment w:val="auto"/>
              <w:rPr>
                <w:rFonts w:ascii="Arial" w:hAnsi="Arial" w:cs="Arial"/>
                <w:sz w:val="16"/>
                <w:szCs w:val="18"/>
                <w:highlight w:val="none"/>
              </w:rPr>
            </w:pPr>
          </w:p>
        </w:tc>
        <w:tc>
          <w:tcPr>
            <w:tcW w:w="1516" w:type="pct"/>
            <w:tcBorders>
              <w:top w:val="nil"/>
              <w:left w:val="nil"/>
              <w:bottom w:val="single" w:color="auto" w:sz="4" w:space="0"/>
              <w:right w:val="single" w:color="auto" w:sz="4" w:space="0"/>
            </w:tcBorders>
            <w:vAlign w:val="center"/>
          </w:tcPr>
          <w:p w14:paraId="45F4259B">
            <w:pPr>
              <w:widowControl/>
              <w:adjustRightInd/>
              <w:spacing w:line="240" w:lineRule="auto"/>
              <w:textAlignment w:val="auto"/>
              <w:rPr>
                <w:rFonts w:ascii="Arial" w:hAnsi="Arial" w:cs="Arial"/>
                <w:sz w:val="16"/>
                <w:szCs w:val="18"/>
                <w:highlight w:val="none"/>
              </w:rPr>
            </w:pPr>
            <w:r>
              <w:rPr>
                <w:rFonts w:ascii="Arial" w:hAnsi="Arial" w:cs="Arial"/>
                <w:sz w:val="16"/>
                <w:szCs w:val="18"/>
                <w:highlight w:val="none"/>
              </w:rPr>
              <w:t>水电气费执行标准</w:t>
            </w:r>
          </w:p>
        </w:tc>
        <w:tc>
          <w:tcPr>
            <w:tcW w:w="897" w:type="pct"/>
            <w:tcBorders>
              <w:top w:val="nil"/>
              <w:left w:val="nil"/>
              <w:bottom w:val="single" w:color="auto" w:sz="4" w:space="0"/>
              <w:right w:val="single" w:color="auto" w:sz="4" w:space="0"/>
            </w:tcBorders>
            <w:vAlign w:val="center"/>
          </w:tcPr>
          <w:p w14:paraId="43516A23">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897" w:type="pct"/>
            <w:tcBorders>
              <w:top w:val="nil"/>
              <w:left w:val="nil"/>
              <w:bottom w:val="single" w:color="auto" w:sz="4" w:space="0"/>
              <w:right w:val="single" w:color="auto" w:sz="4" w:space="0"/>
            </w:tcBorders>
            <w:vAlign w:val="center"/>
          </w:tcPr>
          <w:p w14:paraId="6A1FD238">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c>
          <w:tcPr>
            <w:tcW w:w="897" w:type="pct"/>
            <w:tcBorders>
              <w:top w:val="nil"/>
              <w:left w:val="nil"/>
              <w:bottom w:val="single" w:color="auto" w:sz="4" w:space="0"/>
              <w:right w:val="single" w:color="auto" w:sz="4" w:space="0"/>
            </w:tcBorders>
            <w:vAlign w:val="center"/>
          </w:tcPr>
          <w:p w14:paraId="0D7C05DA">
            <w:pPr>
              <w:widowControl/>
              <w:adjustRightInd/>
              <w:spacing w:line="240" w:lineRule="auto"/>
              <w:jc w:val="center"/>
              <w:textAlignment w:val="auto"/>
              <w:rPr>
                <w:rFonts w:ascii="Arial" w:hAnsi="Arial" w:cs="Arial"/>
                <w:sz w:val="16"/>
                <w:szCs w:val="18"/>
                <w:highlight w:val="none"/>
              </w:rPr>
            </w:pPr>
            <w:r>
              <w:rPr>
                <w:rFonts w:ascii="Arial" w:hAnsi="Arial" w:cs="Arial"/>
                <w:sz w:val="16"/>
                <w:szCs w:val="18"/>
                <w:highlight w:val="none"/>
              </w:rPr>
              <w:t>100/100</w:t>
            </w:r>
          </w:p>
        </w:tc>
      </w:tr>
      <w:tr w14:paraId="268E627B">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6EAEB240">
            <w:pPr>
              <w:widowControl/>
              <w:adjustRightInd/>
              <w:spacing w:line="240" w:lineRule="auto"/>
              <w:textAlignment w:val="auto"/>
              <w:rPr>
                <w:rFonts w:ascii="Arial" w:hAnsi="Arial" w:cs="Arial"/>
                <w:sz w:val="16"/>
                <w:szCs w:val="18"/>
                <w:highlight w:val="none"/>
              </w:rPr>
            </w:pPr>
            <w:r>
              <w:rPr>
                <w:rFonts w:ascii="Arial" w:hAnsi="Arial" w:cs="Arial"/>
                <w:sz w:val="16"/>
                <w:szCs w:val="18"/>
                <w:highlight w:val="none"/>
              </w:rPr>
              <w:t>修正系数</w:t>
            </w:r>
          </w:p>
        </w:tc>
        <w:tc>
          <w:tcPr>
            <w:tcW w:w="897" w:type="pct"/>
            <w:tcBorders>
              <w:top w:val="single" w:color="auto" w:sz="4" w:space="0"/>
              <w:left w:val="nil"/>
              <w:bottom w:val="single" w:color="auto" w:sz="4" w:space="0"/>
              <w:right w:val="single" w:color="auto" w:sz="4" w:space="0"/>
            </w:tcBorders>
            <w:vAlign w:val="center"/>
          </w:tcPr>
          <w:p w14:paraId="513257E8">
            <w:pPr>
              <w:spacing w:line="240" w:lineRule="auto"/>
              <w:jc w:val="center"/>
              <w:rPr>
                <w:rFonts w:hint="default" w:ascii="Arial" w:hAnsi="Arial" w:eastAsia="宋体" w:cs="Arial"/>
                <w:sz w:val="16"/>
                <w:szCs w:val="18"/>
                <w:highlight w:val="none"/>
                <w:lang w:val="en-US" w:eastAsia="zh-CN"/>
              </w:rPr>
            </w:pPr>
            <w:r>
              <w:rPr>
                <w:rFonts w:hint="eastAsia" w:ascii="Arial" w:hAnsi="Arial" w:cs="Arial"/>
                <w:sz w:val="16"/>
                <w:szCs w:val="18"/>
                <w:highlight w:val="none"/>
                <w:lang w:val="en-US" w:eastAsia="zh-CN"/>
              </w:rPr>
              <w:t>0.9817</w:t>
            </w:r>
          </w:p>
        </w:tc>
        <w:tc>
          <w:tcPr>
            <w:tcW w:w="897" w:type="pct"/>
            <w:tcBorders>
              <w:top w:val="single" w:color="auto" w:sz="4" w:space="0"/>
              <w:left w:val="nil"/>
              <w:bottom w:val="single" w:color="auto" w:sz="4" w:space="0"/>
              <w:right w:val="single" w:color="auto" w:sz="4" w:space="0"/>
            </w:tcBorders>
            <w:vAlign w:val="center"/>
          </w:tcPr>
          <w:p w14:paraId="37687DC4">
            <w:pPr>
              <w:spacing w:line="240" w:lineRule="auto"/>
              <w:jc w:val="center"/>
              <w:rPr>
                <w:rFonts w:hint="default" w:ascii="Arial" w:hAnsi="Arial" w:eastAsia="宋体" w:cs="Arial"/>
                <w:sz w:val="16"/>
                <w:szCs w:val="18"/>
                <w:highlight w:val="none"/>
                <w:lang w:val="en-US" w:eastAsia="zh-CN"/>
              </w:rPr>
            </w:pPr>
            <w:r>
              <w:rPr>
                <w:rFonts w:hint="eastAsia" w:ascii="Arial" w:hAnsi="Arial" w:cs="Arial"/>
                <w:sz w:val="16"/>
                <w:szCs w:val="18"/>
                <w:highlight w:val="none"/>
                <w:lang w:val="en-US" w:eastAsia="zh-CN"/>
              </w:rPr>
              <w:t>0.9337</w:t>
            </w:r>
          </w:p>
        </w:tc>
        <w:tc>
          <w:tcPr>
            <w:tcW w:w="897" w:type="pct"/>
            <w:tcBorders>
              <w:top w:val="single" w:color="auto" w:sz="4" w:space="0"/>
              <w:left w:val="nil"/>
              <w:bottom w:val="single" w:color="auto" w:sz="4" w:space="0"/>
              <w:right w:val="single" w:color="auto" w:sz="4" w:space="0"/>
            </w:tcBorders>
            <w:vAlign w:val="center"/>
          </w:tcPr>
          <w:p w14:paraId="20BAC765">
            <w:pPr>
              <w:spacing w:line="240" w:lineRule="auto"/>
              <w:jc w:val="center"/>
              <w:rPr>
                <w:rFonts w:hint="default" w:ascii="Arial" w:hAnsi="Arial" w:eastAsia="宋体" w:cs="Arial"/>
                <w:sz w:val="16"/>
                <w:szCs w:val="18"/>
                <w:highlight w:val="none"/>
                <w:lang w:val="en-US" w:eastAsia="zh-CN"/>
              </w:rPr>
            </w:pPr>
            <w:r>
              <w:rPr>
                <w:rFonts w:hint="eastAsia" w:ascii="Arial" w:hAnsi="Arial" w:cs="Arial"/>
                <w:sz w:val="16"/>
                <w:szCs w:val="18"/>
                <w:highlight w:val="none"/>
                <w:lang w:val="en-US" w:eastAsia="zh-CN"/>
              </w:rPr>
              <w:t>0.9525</w:t>
            </w:r>
          </w:p>
        </w:tc>
      </w:tr>
      <w:tr w14:paraId="53E4F82D">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2F080B26">
            <w:pPr>
              <w:widowControl/>
              <w:adjustRightInd/>
              <w:spacing w:line="240" w:lineRule="auto"/>
              <w:textAlignment w:val="auto"/>
              <w:rPr>
                <w:rFonts w:ascii="Arial" w:hAnsi="Arial" w:cs="Arial"/>
                <w:sz w:val="16"/>
                <w:szCs w:val="18"/>
                <w:highlight w:val="none"/>
              </w:rPr>
            </w:pPr>
            <w:r>
              <w:rPr>
                <w:rFonts w:ascii="Arial" w:hAnsi="Arial" w:cs="Arial"/>
                <w:sz w:val="16"/>
                <w:szCs w:val="18"/>
                <w:highlight w:val="none"/>
              </w:rPr>
              <w:t>比准价格（元/平方米·月）</w:t>
            </w:r>
          </w:p>
        </w:tc>
        <w:tc>
          <w:tcPr>
            <w:tcW w:w="897" w:type="pct"/>
            <w:tcBorders>
              <w:top w:val="single" w:color="auto" w:sz="4" w:space="0"/>
              <w:left w:val="nil"/>
              <w:bottom w:val="single" w:color="auto" w:sz="4" w:space="0"/>
              <w:right w:val="single" w:color="auto" w:sz="4" w:space="0"/>
            </w:tcBorders>
            <w:vAlign w:val="center"/>
          </w:tcPr>
          <w:p w14:paraId="586F8CE9">
            <w:pPr>
              <w:spacing w:line="240" w:lineRule="auto"/>
              <w:jc w:val="center"/>
              <w:rPr>
                <w:rFonts w:hint="default" w:ascii="Arial" w:hAnsi="Arial" w:eastAsia="宋体" w:cs="Arial"/>
                <w:sz w:val="16"/>
                <w:szCs w:val="18"/>
                <w:highlight w:val="none"/>
                <w:lang w:val="en-US" w:eastAsia="zh-CN"/>
              </w:rPr>
            </w:pPr>
            <w:r>
              <w:rPr>
                <w:rFonts w:hint="eastAsia" w:ascii="Arial" w:hAnsi="Arial" w:cs="Arial"/>
                <w:sz w:val="16"/>
                <w:szCs w:val="18"/>
                <w:highlight w:val="none"/>
                <w:lang w:val="en-US" w:eastAsia="zh-CN"/>
              </w:rPr>
              <w:t>11.99</w:t>
            </w:r>
          </w:p>
        </w:tc>
        <w:tc>
          <w:tcPr>
            <w:tcW w:w="897" w:type="pct"/>
            <w:tcBorders>
              <w:top w:val="single" w:color="auto" w:sz="4" w:space="0"/>
              <w:left w:val="nil"/>
              <w:bottom w:val="single" w:color="auto" w:sz="4" w:space="0"/>
              <w:right w:val="single" w:color="auto" w:sz="4" w:space="0"/>
            </w:tcBorders>
            <w:vAlign w:val="center"/>
          </w:tcPr>
          <w:p w14:paraId="6EF70BB6">
            <w:pPr>
              <w:spacing w:line="240" w:lineRule="auto"/>
              <w:jc w:val="center"/>
              <w:rPr>
                <w:rFonts w:hint="default" w:ascii="Arial" w:hAnsi="Arial" w:eastAsia="宋体" w:cs="Arial"/>
                <w:sz w:val="16"/>
                <w:szCs w:val="18"/>
                <w:highlight w:val="none"/>
                <w:lang w:val="en-US" w:eastAsia="zh-CN"/>
              </w:rPr>
            </w:pPr>
            <w:r>
              <w:rPr>
                <w:rFonts w:hint="eastAsia" w:ascii="Arial" w:hAnsi="Arial" w:cs="Arial"/>
                <w:sz w:val="16"/>
                <w:szCs w:val="18"/>
                <w:highlight w:val="none"/>
                <w:lang w:val="en-US" w:eastAsia="zh-CN"/>
              </w:rPr>
              <w:t>15.24</w:t>
            </w:r>
          </w:p>
        </w:tc>
        <w:tc>
          <w:tcPr>
            <w:tcW w:w="897" w:type="pct"/>
            <w:tcBorders>
              <w:top w:val="single" w:color="auto" w:sz="4" w:space="0"/>
              <w:left w:val="nil"/>
              <w:bottom w:val="single" w:color="auto" w:sz="4" w:space="0"/>
              <w:right w:val="single" w:color="auto" w:sz="4" w:space="0"/>
            </w:tcBorders>
            <w:vAlign w:val="center"/>
          </w:tcPr>
          <w:p w14:paraId="232E1CE9">
            <w:pPr>
              <w:spacing w:line="240" w:lineRule="auto"/>
              <w:jc w:val="center"/>
              <w:rPr>
                <w:rFonts w:hint="default" w:ascii="Arial" w:hAnsi="Arial" w:eastAsia="宋体" w:cs="Arial"/>
                <w:sz w:val="16"/>
                <w:szCs w:val="18"/>
                <w:highlight w:val="none"/>
                <w:lang w:val="en-US" w:eastAsia="zh-CN"/>
              </w:rPr>
            </w:pPr>
            <w:r>
              <w:rPr>
                <w:rFonts w:hint="eastAsia" w:ascii="Arial" w:hAnsi="Arial" w:cs="Arial"/>
                <w:sz w:val="16"/>
                <w:szCs w:val="18"/>
                <w:highlight w:val="none"/>
                <w:lang w:val="en-US" w:eastAsia="zh-CN"/>
              </w:rPr>
              <w:t>16.52</w:t>
            </w:r>
          </w:p>
        </w:tc>
      </w:tr>
    </w:tbl>
    <w:p w14:paraId="5AC580CC">
      <w:pPr>
        <w:wordWrap w:val="0"/>
        <w:overflowPunct w:val="0"/>
        <w:spacing w:before="240" w:beforeLines="100" w:line="480" w:lineRule="auto"/>
        <w:ind w:firstLine="420" w:firstLineChars="200"/>
        <w:rPr>
          <w:rFonts w:ascii="Arial" w:hAnsi="Arial"/>
          <w:sz w:val="21"/>
          <w:szCs w:val="21"/>
          <w:highlight w:val="none"/>
        </w:rPr>
      </w:pPr>
      <w:r>
        <w:rPr>
          <w:rFonts w:hint="eastAsia" w:ascii="Arial" w:hAnsi="Arial"/>
          <w:sz w:val="21"/>
          <w:szCs w:val="21"/>
          <w:highlight w:val="none"/>
        </w:rPr>
        <w:t>注：</w:t>
      </w:r>
      <w:r>
        <w:rPr>
          <w:rFonts w:ascii="Arial" w:hAnsi="Arial"/>
          <w:sz w:val="21"/>
          <w:szCs w:val="21"/>
          <w:highlight w:val="none"/>
        </w:rPr>
        <w:t>比准价格＝比较</w:t>
      </w:r>
      <w:r>
        <w:rPr>
          <w:rFonts w:hint="eastAsia" w:ascii="Arial" w:hAnsi="Arial"/>
          <w:sz w:val="21"/>
          <w:szCs w:val="21"/>
          <w:highlight w:val="none"/>
        </w:rPr>
        <w:t>实例</w:t>
      </w:r>
      <w:r>
        <w:rPr>
          <w:rFonts w:ascii="Arial" w:hAnsi="Arial"/>
          <w:sz w:val="21"/>
          <w:szCs w:val="21"/>
          <w:highlight w:val="none"/>
        </w:rPr>
        <w:t>平均租金×（待估房地产</w:t>
      </w:r>
      <w:r>
        <w:rPr>
          <w:rFonts w:hint="eastAsia" w:ascii="Arial" w:hAnsi="Arial"/>
          <w:sz w:val="21"/>
          <w:szCs w:val="21"/>
          <w:highlight w:val="none"/>
        </w:rPr>
        <w:t>交易时间</w:t>
      </w:r>
      <w:r>
        <w:rPr>
          <w:rFonts w:ascii="Arial" w:hAnsi="Arial"/>
          <w:sz w:val="21"/>
          <w:szCs w:val="21"/>
          <w:highlight w:val="none"/>
        </w:rPr>
        <w:t>房地产价租赁格指数/可比实例交易</w:t>
      </w:r>
      <w:r>
        <w:rPr>
          <w:rFonts w:hint="eastAsia" w:ascii="Arial" w:hAnsi="Arial"/>
          <w:sz w:val="21"/>
          <w:szCs w:val="21"/>
          <w:highlight w:val="none"/>
        </w:rPr>
        <w:t>时间</w:t>
      </w:r>
      <w:r>
        <w:rPr>
          <w:rFonts w:ascii="Arial" w:hAnsi="Arial"/>
          <w:sz w:val="21"/>
          <w:szCs w:val="21"/>
          <w:highlight w:val="none"/>
        </w:rPr>
        <w:t>房地产租赁价格指数）×（待估房地产交易情况指数/可比实例</w:t>
      </w:r>
      <w:r>
        <w:rPr>
          <w:rFonts w:hint="eastAsia" w:ascii="Arial" w:hAnsi="Arial"/>
          <w:sz w:val="21"/>
          <w:szCs w:val="21"/>
          <w:highlight w:val="none"/>
        </w:rPr>
        <w:t>交易情况</w:t>
      </w:r>
      <w:r>
        <w:rPr>
          <w:rFonts w:ascii="Arial" w:hAnsi="Arial"/>
          <w:sz w:val="21"/>
          <w:szCs w:val="21"/>
          <w:highlight w:val="none"/>
        </w:rPr>
        <w:t>指数）×（待估房地产</w:t>
      </w:r>
      <w:r>
        <w:rPr>
          <w:rFonts w:hint="eastAsia" w:ascii="Arial" w:hAnsi="Arial"/>
          <w:sz w:val="21"/>
          <w:szCs w:val="21"/>
          <w:highlight w:val="none"/>
        </w:rPr>
        <w:t>项目类型</w:t>
      </w:r>
      <w:r>
        <w:rPr>
          <w:rFonts w:ascii="Arial" w:hAnsi="Arial"/>
          <w:sz w:val="21"/>
          <w:szCs w:val="21"/>
          <w:highlight w:val="none"/>
        </w:rPr>
        <w:t>指数/可比实例</w:t>
      </w:r>
      <w:r>
        <w:rPr>
          <w:rFonts w:hint="eastAsia" w:ascii="Arial" w:hAnsi="Arial"/>
          <w:sz w:val="21"/>
          <w:szCs w:val="21"/>
          <w:highlight w:val="none"/>
        </w:rPr>
        <w:t>项目类型</w:t>
      </w:r>
      <w:r>
        <w:rPr>
          <w:rFonts w:ascii="Arial" w:hAnsi="Arial"/>
          <w:sz w:val="21"/>
          <w:szCs w:val="21"/>
          <w:highlight w:val="none"/>
        </w:rPr>
        <w:t>指数）×（待估房地产区域状况条件指数/可比实例房地产区域状况条件指数）×（待估房地产实物状况条件指数/可比实例房地产实物状况条件指数）×（待估房地产</w:t>
      </w:r>
      <w:r>
        <w:rPr>
          <w:rFonts w:hint="eastAsia" w:ascii="Arial" w:hAnsi="Arial"/>
          <w:sz w:val="21"/>
          <w:szCs w:val="21"/>
          <w:highlight w:val="none"/>
        </w:rPr>
        <w:t>权益</w:t>
      </w:r>
      <w:r>
        <w:rPr>
          <w:rFonts w:ascii="Arial" w:hAnsi="Arial"/>
          <w:sz w:val="21"/>
          <w:szCs w:val="21"/>
          <w:highlight w:val="none"/>
        </w:rPr>
        <w:t>状况条件指数/可比实例房地产</w:t>
      </w:r>
      <w:r>
        <w:rPr>
          <w:rFonts w:hint="eastAsia" w:ascii="Arial" w:hAnsi="Arial"/>
          <w:sz w:val="21"/>
          <w:szCs w:val="21"/>
          <w:highlight w:val="none"/>
        </w:rPr>
        <w:t>权益</w:t>
      </w:r>
      <w:r>
        <w:rPr>
          <w:rFonts w:ascii="Arial" w:hAnsi="Arial"/>
          <w:sz w:val="21"/>
          <w:szCs w:val="21"/>
          <w:highlight w:val="none"/>
        </w:rPr>
        <w:t>状况条件指数）</w:t>
      </w:r>
    </w:p>
    <w:p w14:paraId="65EAF1A4">
      <w:pPr>
        <w:wordWrap w:val="0"/>
        <w:overflowPunct w:val="0"/>
        <w:spacing w:line="480" w:lineRule="auto"/>
        <w:ind w:firstLine="420" w:firstLineChars="200"/>
        <w:rPr>
          <w:rFonts w:ascii="Arial" w:hAnsi="Arial"/>
          <w:sz w:val="21"/>
          <w:szCs w:val="21"/>
          <w:highlight w:val="none"/>
        </w:rPr>
      </w:pPr>
      <w:r>
        <w:rPr>
          <w:rFonts w:hint="eastAsia" w:ascii="Arial" w:hAnsi="Arial"/>
          <w:sz w:val="21"/>
          <w:szCs w:val="21"/>
          <w:highlight w:val="none"/>
        </w:rPr>
        <w:t>（4）影响因素选择实例修正后的价值计算</w:t>
      </w:r>
      <w:r>
        <w:rPr>
          <w:rFonts w:ascii="Arial" w:hAnsi="Arial"/>
          <w:sz w:val="21"/>
          <w:szCs w:val="21"/>
          <w:highlight w:val="none"/>
        </w:rPr>
        <w:t xml:space="preserve"> </w:t>
      </w:r>
    </w:p>
    <w:p w14:paraId="01451120">
      <w:pPr>
        <w:overflowPunct w:val="0"/>
        <w:spacing w:line="480" w:lineRule="auto"/>
        <w:ind w:firstLine="420" w:firstLineChars="200"/>
        <w:jc w:val="both"/>
        <w:rPr>
          <w:rFonts w:ascii="Arial" w:hAnsi="Arial"/>
          <w:sz w:val="21"/>
          <w:szCs w:val="21"/>
          <w:highlight w:val="none"/>
        </w:rPr>
      </w:pPr>
      <w:r>
        <w:rPr>
          <w:rFonts w:ascii="Arial" w:hAnsi="Arial"/>
          <w:sz w:val="21"/>
          <w:szCs w:val="21"/>
          <w:highlight w:val="none"/>
        </w:rPr>
        <w:t>经过比较分析，采用各因素修正系数连乘法，求算各可比案例经因素修正后达到估价对象条件时的比准价格，虽然有一定的差距，但案例均选取真实，修正过程客观合理，修正后能反映客观水平，因此本次估价确定取以上</w:t>
      </w:r>
      <w:r>
        <w:rPr>
          <w:rFonts w:hint="eastAsia" w:ascii="Arial" w:hAnsi="Arial"/>
          <w:sz w:val="21"/>
          <w:szCs w:val="21"/>
          <w:highlight w:val="none"/>
        </w:rPr>
        <w:t>3</w:t>
      </w:r>
      <w:r>
        <w:rPr>
          <w:rFonts w:ascii="Arial" w:hAnsi="Arial"/>
          <w:sz w:val="21"/>
          <w:szCs w:val="21"/>
          <w:highlight w:val="none"/>
        </w:rPr>
        <w:t>个可比案例的比准价格的简单算术平均值作为项目</w:t>
      </w:r>
      <w:r>
        <w:rPr>
          <w:rFonts w:hint="eastAsia" w:ascii="Arial" w:hAnsi="Arial"/>
          <w:sz w:val="21"/>
          <w:szCs w:val="21"/>
          <w:highlight w:val="none"/>
        </w:rPr>
        <w:t>典型户型</w:t>
      </w:r>
      <w:r>
        <w:rPr>
          <w:rFonts w:ascii="Arial" w:hAnsi="Arial"/>
          <w:sz w:val="21"/>
          <w:szCs w:val="21"/>
          <w:highlight w:val="none"/>
        </w:rPr>
        <w:t>的评估价格</w:t>
      </w:r>
      <w:r>
        <w:rPr>
          <w:rFonts w:hint="eastAsia" w:ascii="Arial" w:hAnsi="Arial"/>
          <w:sz w:val="21"/>
          <w:szCs w:val="21"/>
          <w:highlight w:val="none"/>
        </w:rPr>
        <w:t>。</w:t>
      </w:r>
    </w:p>
    <w:p w14:paraId="6C71CD14">
      <w:pPr>
        <w:wordWrap w:val="0"/>
        <w:overflowPunct w:val="0"/>
        <w:spacing w:line="480" w:lineRule="auto"/>
        <w:ind w:firstLine="420" w:firstLineChars="200"/>
        <w:rPr>
          <w:rFonts w:ascii="Arial" w:hAnsi="Arial"/>
          <w:sz w:val="21"/>
          <w:szCs w:val="21"/>
          <w:highlight w:val="none"/>
        </w:rPr>
      </w:pPr>
      <w:r>
        <w:rPr>
          <w:rFonts w:hint="eastAsia" w:ascii="Arial" w:hAnsi="Arial"/>
          <w:sz w:val="21"/>
          <w:szCs w:val="21"/>
          <w:highlight w:val="none"/>
        </w:rPr>
        <w:t>即：标准房</w:t>
      </w:r>
      <w:r>
        <w:rPr>
          <w:rFonts w:ascii="Arial" w:hAnsi="Arial"/>
          <w:sz w:val="21"/>
          <w:szCs w:val="21"/>
          <w:highlight w:val="none"/>
        </w:rPr>
        <w:t>3</w:t>
      </w:r>
      <w:r>
        <w:rPr>
          <w:rFonts w:hint="eastAsia" w:ascii="Arial" w:hAnsi="Arial"/>
          <w:bCs/>
          <w:sz w:val="21"/>
          <w:highlight w:val="none"/>
        </w:rPr>
        <w:t>市场租赁住房租金</w:t>
      </w:r>
      <w:r>
        <w:rPr>
          <w:rFonts w:hint="eastAsia" w:ascii="Arial" w:hAnsi="Arial"/>
          <w:sz w:val="21"/>
          <w:szCs w:val="21"/>
          <w:highlight w:val="none"/>
        </w:rPr>
        <w:t>＝（</w:t>
      </w:r>
      <w:r>
        <w:rPr>
          <w:rFonts w:hint="eastAsia" w:ascii="Arial" w:hAnsi="Arial"/>
          <w:sz w:val="21"/>
          <w:szCs w:val="21"/>
          <w:highlight w:val="none"/>
          <w:lang w:val="en-US" w:eastAsia="zh-CN"/>
        </w:rPr>
        <w:t>11.99</w:t>
      </w:r>
      <w:r>
        <w:rPr>
          <w:rFonts w:hint="eastAsia" w:ascii="Arial" w:hAnsi="Arial"/>
          <w:sz w:val="21"/>
          <w:szCs w:val="21"/>
          <w:highlight w:val="none"/>
        </w:rPr>
        <w:t>+</w:t>
      </w:r>
      <w:r>
        <w:rPr>
          <w:rFonts w:hint="eastAsia" w:ascii="Arial" w:hAnsi="Arial"/>
          <w:sz w:val="21"/>
          <w:szCs w:val="21"/>
          <w:highlight w:val="none"/>
          <w:lang w:val="en-US" w:eastAsia="zh-CN"/>
        </w:rPr>
        <w:t>15.24</w:t>
      </w:r>
      <w:r>
        <w:rPr>
          <w:rFonts w:hint="eastAsia" w:ascii="Arial" w:hAnsi="Arial"/>
          <w:sz w:val="21"/>
          <w:szCs w:val="21"/>
          <w:highlight w:val="none"/>
        </w:rPr>
        <w:t>+</w:t>
      </w:r>
      <w:r>
        <w:rPr>
          <w:rFonts w:hint="eastAsia" w:ascii="Arial" w:hAnsi="Arial"/>
          <w:sz w:val="21"/>
          <w:szCs w:val="21"/>
          <w:highlight w:val="none"/>
          <w:lang w:val="en-US" w:eastAsia="zh-CN"/>
        </w:rPr>
        <w:t>16.32</w:t>
      </w:r>
      <w:r>
        <w:rPr>
          <w:rFonts w:hint="eastAsia" w:ascii="Arial" w:hAnsi="Arial"/>
          <w:sz w:val="21"/>
          <w:szCs w:val="21"/>
          <w:highlight w:val="none"/>
        </w:rPr>
        <w:t>）÷</w:t>
      </w:r>
      <w:r>
        <w:rPr>
          <w:rFonts w:ascii="Arial" w:hAnsi="Arial"/>
          <w:sz w:val="21"/>
          <w:szCs w:val="21"/>
          <w:highlight w:val="none"/>
        </w:rPr>
        <w:t>3</w:t>
      </w:r>
      <w:r>
        <w:rPr>
          <w:rFonts w:hint="eastAsia" w:ascii="Arial" w:hAnsi="Arial"/>
          <w:sz w:val="21"/>
          <w:szCs w:val="21"/>
          <w:highlight w:val="none"/>
          <w:lang w:val="en-US" w:eastAsia="zh-CN"/>
        </w:rPr>
        <w:t>+1.56</w:t>
      </w:r>
    </w:p>
    <w:p w14:paraId="5C42FBE4">
      <w:pPr>
        <w:wordWrap w:val="0"/>
        <w:overflowPunct w:val="0"/>
        <w:spacing w:line="480" w:lineRule="auto"/>
        <w:ind w:firstLine="420" w:firstLineChars="200"/>
        <w:rPr>
          <w:rFonts w:hint="eastAsia" w:ascii="Arial" w:hAnsi="Arial"/>
          <w:sz w:val="21"/>
          <w:szCs w:val="21"/>
          <w:highlight w:val="none"/>
          <w:lang w:val="en-US" w:eastAsia="zh-CN"/>
        </w:rPr>
      </w:pPr>
      <w:r>
        <w:rPr>
          <w:rFonts w:ascii="Arial" w:hAnsi="Arial"/>
          <w:sz w:val="21"/>
          <w:szCs w:val="21"/>
          <w:highlight w:val="none"/>
        </w:rPr>
        <w:t xml:space="preserve">                            </w:t>
      </w:r>
      <w:r>
        <w:rPr>
          <w:rFonts w:hint="eastAsia" w:ascii="Arial" w:hAnsi="Arial"/>
          <w:sz w:val="21"/>
          <w:szCs w:val="21"/>
          <w:highlight w:val="none"/>
        </w:rPr>
        <w:t>＝</w:t>
      </w:r>
      <w:r>
        <w:rPr>
          <w:rFonts w:hint="eastAsia" w:ascii="Arial" w:hAnsi="Arial"/>
          <w:sz w:val="21"/>
          <w:szCs w:val="21"/>
          <w:highlight w:val="none"/>
          <w:lang w:val="en-US" w:eastAsia="zh-CN"/>
        </w:rPr>
        <w:t>14.58+1.56</w:t>
      </w:r>
    </w:p>
    <w:p w14:paraId="6160F780">
      <w:pPr>
        <w:wordWrap w:val="0"/>
        <w:overflowPunct w:val="0"/>
        <w:spacing w:line="480" w:lineRule="auto"/>
        <w:ind w:firstLine="3360" w:firstLineChars="1600"/>
        <w:rPr>
          <w:rFonts w:ascii="宋体" w:hAnsi="宋体"/>
          <w:sz w:val="21"/>
          <w:szCs w:val="21"/>
          <w:highlight w:val="none"/>
        </w:rPr>
      </w:pPr>
      <w:r>
        <w:rPr>
          <w:rFonts w:hint="eastAsia" w:ascii="Arial" w:hAnsi="Arial"/>
          <w:sz w:val="21"/>
          <w:szCs w:val="21"/>
          <w:highlight w:val="none"/>
        </w:rPr>
        <w:t>＝</w:t>
      </w:r>
      <w:r>
        <w:rPr>
          <w:rFonts w:hint="eastAsia" w:ascii="Arial" w:hAnsi="Arial"/>
          <w:sz w:val="21"/>
          <w:szCs w:val="21"/>
          <w:highlight w:val="none"/>
          <w:lang w:val="en-US" w:eastAsia="zh-CN"/>
        </w:rPr>
        <w:t>16.14</w:t>
      </w:r>
      <w:r>
        <w:rPr>
          <w:rFonts w:hint="eastAsia" w:ascii="Arial" w:hAnsi="Arial"/>
          <w:sz w:val="21"/>
          <w:szCs w:val="21"/>
          <w:highlight w:val="none"/>
        </w:rPr>
        <w:t>（元/平方米·月）</w:t>
      </w:r>
      <w:r>
        <w:rPr>
          <w:rFonts w:hint="eastAsia" w:ascii="宋体" w:hAnsi="宋体"/>
          <w:sz w:val="21"/>
          <w:szCs w:val="21"/>
          <w:highlight w:val="none"/>
        </w:rPr>
        <w:t>（含物业费、</w:t>
      </w:r>
      <w:r>
        <w:rPr>
          <w:rFonts w:hint="eastAsia" w:ascii="宋体" w:hAnsi="宋体"/>
          <w:sz w:val="21"/>
          <w:szCs w:val="21"/>
          <w:highlight w:val="none"/>
          <w:lang w:val="en-US" w:eastAsia="zh-CN"/>
        </w:rPr>
        <w:t>不含</w:t>
      </w:r>
      <w:r>
        <w:rPr>
          <w:rFonts w:hint="eastAsia" w:ascii="宋体" w:hAnsi="宋体"/>
          <w:sz w:val="21"/>
          <w:szCs w:val="21"/>
          <w:highlight w:val="none"/>
        </w:rPr>
        <w:t>取暖费）</w:t>
      </w:r>
    </w:p>
    <w:p w14:paraId="11ADB098">
      <w:pPr>
        <w:wordWrap w:val="0"/>
        <w:overflowPunct w:val="0"/>
        <w:spacing w:line="480" w:lineRule="auto"/>
        <w:ind w:firstLine="420" w:firstLineChars="200"/>
        <w:rPr>
          <w:kern w:val="2"/>
          <w:sz w:val="21"/>
          <w:szCs w:val="21"/>
          <w:highlight w:val="none"/>
        </w:rPr>
      </w:pPr>
      <w:bookmarkStart w:id="72" w:name="_Toc525655441"/>
      <w:bookmarkStart w:id="73" w:name="_Toc155267108"/>
    </w:p>
    <w:p w14:paraId="4F5C8212">
      <w:pPr>
        <w:pStyle w:val="3"/>
        <w:numPr>
          <w:ilvl w:val="0"/>
          <w:numId w:val="0"/>
        </w:numPr>
        <w:spacing w:line="480" w:lineRule="auto"/>
        <w:ind w:left="358" w:hanging="358" w:hangingChars="170"/>
        <w:jc w:val="both"/>
        <w:rPr>
          <w:rFonts w:eastAsia="宋体"/>
          <w:kern w:val="2"/>
          <w:sz w:val="21"/>
          <w:szCs w:val="21"/>
          <w:highlight w:val="none"/>
        </w:rPr>
      </w:pPr>
      <w:r>
        <w:rPr>
          <w:rFonts w:eastAsia="宋体"/>
          <w:kern w:val="2"/>
          <w:sz w:val="21"/>
          <w:szCs w:val="21"/>
          <w:highlight w:val="none"/>
        </w:rPr>
        <w:t>六、估价结果确定</w:t>
      </w:r>
      <w:bookmarkEnd w:id="72"/>
      <w:bookmarkEnd w:id="73"/>
    </w:p>
    <w:p w14:paraId="1AE0A9CD">
      <w:pPr>
        <w:overflowPunct w:val="0"/>
        <w:spacing w:line="480" w:lineRule="auto"/>
        <w:ind w:firstLine="420" w:firstLineChars="200"/>
        <w:jc w:val="both"/>
        <w:textAlignment w:val="auto"/>
        <w:rPr>
          <w:rFonts w:ascii="Arial" w:hAnsi="Arial" w:cs="Arial"/>
          <w:sz w:val="21"/>
          <w:szCs w:val="21"/>
          <w:highlight w:val="none"/>
        </w:rPr>
      </w:pPr>
      <w:r>
        <w:rPr>
          <w:rFonts w:ascii="Arial" w:hAnsi="Arial" w:cs="Arial"/>
          <w:sz w:val="21"/>
          <w:szCs w:val="21"/>
          <w:highlight w:val="none"/>
        </w:rPr>
        <w:t>评估专业人员根据估价的目的，</w:t>
      </w:r>
      <w:r>
        <w:rPr>
          <w:rFonts w:hint="eastAsia" w:ascii="Arial" w:hAnsi="Arial" w:cs="Arial"/>
          <w:sz w:val="21"/>
          <w:szCs w:val="21"/>
          <w:highlight w:val="none"/>
        </w:rPr>
        <w:t>遵循估价原则，</w:t>
      </w:r>
      <w:r>
        <w:rPr>
          <w:rFonts w:ascii="Arial" w:hAnsi="Arial" w:cs="Arial"/>
          <w:sz w:val="21"/>
          <w:szCs w:val="21"/>
          <w:highlight w:val="none"/>
        </w:rPr>
        <w:t>按照估价的程序，采用科学的估价方法，在认真分析现有资料的基础上，通过仔细测算和认真分析各种影响房地产</w:t>
      </w:r>
      <w:r>
        <w:rPr>
          <w:rFonts w:hint="eastAsia" w:ascii="Arial" w:hAnsi="Arial" w:cs="Arial"/>
          <w:sz w:val="21"/>
          <w:szCs w:val="21"/>
          <w:highlight w:val="none"/>
        </w:rPr>
        <w:t>租赁</w:t>
      </w:r>
      <w:r>
        <w:rPr>
          <w:rFonts w:ascii="Arial" w:hAnsi="Arial" w:cs="Arial"/>
          <w:sz w:val="21"/>
          <w:szCs w:val="21"/>
          <w:highlight w:val="none"/>
        </w:rPr>
        <w:t>价格的因素，</w:t>
      </w:r>
      <w:r>
        <w:rPr>
          <w:rFonts w:hint="eastAsia" w:ascii="Arial" w:hAnsi="Arial" w:cs="Arial"/>
          <w:sz w:val="21"/>
          <w:szCs w:val="21"/>
          <w:highlight w:val="none"/>
        </w:rPr>
        <w:t>最终</w:t>
      </w:r>
      <w:r>
        <w:rPr>
          <w:rFonts w:ascii="Arial" w:hAnsi="Arial" w:cs="Arial"/>
          <w:sz w:val="21"/>
          <w:szCs w:val="21"/>
          <w:highlight w:val="none"/>
        </w:rPr>
        <w:t>确定</w:t>
      </w:r>
      <w:r>
        <w:rPr>
          <w:rFonts w:hint="eastAsia" w:ascii="Arial" w:hAnsi="Arial" w:cs="Arial"/>
          <w:sz w:val="21"/>
          <w:szCs w:val="21"/>
          <w:highlight w:val="none"/>
        </w:rPr>
        <w:t>项目于价值时点</w:t>
      </w:r>
      <w:r>
        <w:rPr>
          <w:rFonts w:hint="eastAsia" w:ascii="Arial" w:hAnsi="Arial" w:cs="Arial"/>
          <w:sz w:val="21"/>
          <w:szCs w:val="21"/>
          <w:highlight w:val="none"/>
          <w:lang w:eastAsia="zh-CN"/>
        </w:rPr>
        <w:t>2025年12月26日</w:t>
      </w:r>
      <w:r>
        <w:rPr>
          <w:rFonts w:hint="eastAsia" w:ascii="Arial" w:hAnsi="Arial" w:cs="Arial"/>
          <w:sz w:val="21"/>
          <w:szCs w:val="21"/>
          <w:highlight w:val="none"/>
        </w:rPr>
        <w:t>同地段、同品质市场租赁住房租金为：</w:t>
      </w:r>
    </w:p>
    <w:p w14:paraId="373DAA52">
      <w:pPr>
        <w:overflowPunct w:val="0"/>
        <w:spacing w:line="480" w:lineRule="auto"/>
        <w:ind w:firstLine="422" w:firstLineChars="200"/>
        <w:jc w:val="both"/>
        <w:textAlignment w:val="auto"/>
        <w:rPr>
          <w:rFonts w:ascii="Arial" w:hAnsi="Arial" w:cs="Arial"/>
          <w:b/>
          <w:bCs/>
          <w:sz w:val="21"/>
          <w:szCs w:val="21"/>
          <w:highlight w:val="none"/>
        </w:rPr>
      </w:pPr>
      <w:r>
        <w:rPr>
          <w:rFonts w:hint="eastAsia" w:ascii="Arial" w:hAnsi="Arial" w:cs="Arial"/>
          <w:b/>
          <w:bCs/>
          <w:sz w:val="21"/>
          <w:szCs w:val="21"/>
          <w:highlight w:val="none"/>
        </w:rPr>
        <w:t>一居室（</w:t>
      </w:r>
      <w:r>
        <w:rPr>
          <w:rFonts w:hint="eastAsia" w:ascii="Arial" w:hAnsi="Arial" w:cs="Arial"/>
          <w:b/>
          <w:bCs/>
          <w:sz w:val="21"/>
          <w:szCs w:val="21"/>
          <w:highlight w:val="none"/>
          <w:lang w:val="en-US" w:eastAsia="zh-CN"/>
        </w:rPr>
        <w:t>52.63-69.91</w:t>
      </w:r>
      <w:r>
        <w:rPr>
          <w:rFonts w:ascii="Arial" w:hAnsi="Arial" w:cs="Arial"/>
          <w:b/>
          <w:bCs/>
          <w:sz w:val="21"/>
          <w:szCs w:val="21"/>
          <w:highlight w:val="none"/>
        </w:rPr>
        <w:t>平方米）</w:t>
      </w:r>
      <w:r>
        <w:rPr>
          <w:rFonts w:hint="eastAsia" w:ascii="Arial" w:hAnsi="Arial" w:cs="Arial"/>
          <w:b/>
          <w:bCs/>
          <w:sz w:val="21"/>
          <w:szCs w:val="21"/>
          <w:highlight w:val="none"/>
        </w:rPr>
        <w:t>：</w:t>
      </w:r>
      <w:r>
        <w:rPr>
          <w:rFonts w:hint="eastAsia" w:ascii="Arial" w:hAnsi="Arial" w:cs="Arial"/>
          <w:b/>
          <w:bCs/>
          <w:sz w:val="21"/>
          <w:szCs w:val="21"/>
          <w:highlight w:val="none"/>
          <w:lang w:val="en-US" w:eastAsia="zh-CN"/>
        </w:rPr>
        <w:t>21.46</w:t>
      </w:r>
      <w:r>
        <w:rPr>
          <w:rFonts w:hint="eastAsia" w:ascii="Arial" w:hAnsi="Arial" w:cs="Arial"/>
          <w:b/>
          <w:bCs/>
          <w:sz w:val="21"/>
          <w:szCs w:val="21"/>
          <w:highlight w:val="none"/>
        </w:rPr>
        <w:t>元/平方米·月</w:t>
      </w:r>
    </w:p>
    <w:p w14:paraId="0960A8D4">
      <w:pPr>
        <w:overflowPunct w:val="0"/>
        <w:spacing w:line="480" w:lineRule="auto"/>
        <w:ind w:firstLine="422" w:firstLineChars="200"/>
        <w:jc w:val="both"/>
        <w:textAlignment w:val="auto"/>
        <w:rPr>
          <w:rFonts w:ascii="Arial" w:hAnsi="Arial" w:cs="Arial"/>
          <w:b/>
          <w:bCs/>
          <w:sz w:val="21"/>
          <w:szCs w:val="21"/>
          <w:highlight w:val="none"/>
        </w:rPr>
      </w:pPr>
      <w:r>
        <w:rPr>
          <w:rFonts w:hint="eastAsia" w:ascii="Arial" w:hAnsi="Arial" w:cs="Arial"/>
          <w:b/>
          <w:bCs/>
          <w:sz w:val="21"/>
          <w:szCs w:val="21"/>
          <w:highlight w:val="none"/>
        </w:rPr>
        <w:t>两居室（</w:t>
      </w:r>
      <w:r>
        <w:rPr>
          <w:rFonts w:hint="eastAsia" w:ascii="Arial" w:hAnsi="Arial" w:cs="Arial"/>
          <w:b/>
          <w:bCs/>
          <w:sz w:val="21"/>
          <w:szCs w:val="21"/>
          <w:highlight w:val="none"/>
          <w:lang w:val="en-US" w:eastAsia="zh-CN"/>
        </w:rPr>
        <w:t>72.82-88.38</w:t>
      </w:r>
      <w:r>
        <w:rPr>
          <w:rFonts w:ascii="Arial" w:hAnsi="Arial" w:cs="Arial"/>
          <w:b/>
          <w:bCs/>
          <w:sz w:val="21"/>
          <w:szCs w:val="21"/>
          <w:highlight w:val="none"/>
        </w:rPr>
        <w:t>平方米）</w:t>
      </w:r>
      <w:r>
        <w:rPr>
          <w:rFonts w:hint="eastAsia" w:ascii="Arial" w:hAnsi="Arial" w:cs="Arial"/>
          <w:b/>
          <w:bCs/>
          <w:sz w:val="21"/>
          <w:szCs w:val="21"/>
          <w:highlight w:val="none"/>
        </w:rPr>
        <w:t>：</w:t>
      </w:r>
      <w:r>
        <w:rPr>
          <w:rFonts w:hint="eastAsia" w:ascii="Arial" w:hAnsi="Arial" w:cs="Arial"/>
          <w:b/>
          <w:bCs/>
          <w:sz w:val="21"/>
          <w:szCs w:val="21"/>
          <w:highlight w:val="none"/>
          <w:lang w:val="en-US" w:eastAsia="zh-CN"/>
        </w:rPr>
        <w:t>17.28</w:t>
      </w:r>
      <w:r>
        <w:rPr>
          <w:rFonts w:hint="eastAsia" w:ascii="Arial" w:hAnsi="Arial" w:cs="Arial"/>
          <w:b/>
          <w:bCs/>
          <w:sz w:val="21"/>
          <w:szCs w:val="21"/>
          <w:highlight w:val="none"/>
        </w:rPr>
        <w:t>元/平方米·月</w:t>
      </w:r>
    </w:p>
    <w:p w14:paraId="23BE5B42">
      <w:pPr>
        <w:overflowPunct w:val="0"/>
        <w:spacing w:line="480" w:lineRule="auto"/>
        <w:ind w:firstLine="422" w:firstLineChars="200"/>
        <w:jc w:val="both"/>
        <w:textAlignment w:val="auto"/>
        <w:rPr>
          <w:rFonts w:ascii="Arial" w:hAnsi="Arial" w:cs="Arial"/>
          <w:b/>
          <w:bCs/>
          <w:sz w:val="21"/>
          <w:szCs w:val="21"/>
          <w:highlight w:val="none"/>
        </w:rPr>
      </w:pPr>
      <w:r>
        <w:rPr>
          <w:rFonts w:hint="eastAsia" w:ascii="Arial" w:hAnsi="Arial" w:cs="Arial"/>
          <w:b/>
          <w:bCs/>
          <w:sz w:val="21"/>
          <w:szCs w:val="21"/>
          <w:highlight w:val="none"/>
          <w:lang w:val="en-US" w:eastAsia="zh-CN"/>
        </w:rPr>
        <w:t>三</w:t>
      </w:r>
      <w:r>
        <w:rPr>
          <w:rFonts w:hint="eastAsia" w:ascii="Arial" w:hAnsi="Arial" w:cs="Arial"/>
          <w:b/>
          <w:bCs/>
          <w:sz w:val="21"/>
          <w:szCs w:val="21"/>
          <w:highlight w:val="none"/>
        </w:rPr>
        <w:t>居室（</w:t>
      </w:r>
      <w:r>
        <w:rPr>
          <w:rFonts w:hint="eastAsia" w:ascii="Arial" w:hAnsi="Arial" w:cs="Arial"/>
          <w:b/>
          <w:bCs/>
          <w:sz w:val="21"/>
          <w:szCs w:val="21"/>
          <w:highlight w:val="none"/>
          <w:lang w:val="en-US" w:eastAsia="zh-CN"/>
        </w:rPr>
        <w:t>90.99-129.32</w:t>
      </w:r>
      <w:r>
        <w:rPr>
          <w:rFonts w:ascii="Arial" w:hAnsi="Arial" w:cs="Arial"/>
          <w:b/>
          <w:bCs/>
          <w:sz w:val="21"/>
          <w:szCs w:val="21"/>
          <w:highlight w:val="none"/>
        </w:rPr>
        <w:t>平方米</w:t>
      </w:r>
      <w:r>
        <w:rPr>
          <w:rFonts w:hint="eastAsia" w:ascii="Arial" w:hAnsi="Arial" w:cs="Arial"/>
          <w:b/>
          <w:bCs/>
          <w:sz w:val="21"/>
          <w:szCs w:val="21"/>
          <w:highlight w:val="none"/>
        </w:rPr>
        <w:t>）：</w:t>
      </w:r>
      <w:r>
        <w:rPr>
          <w:rFonts w:hint="eastAsia" w:ascii="Arial" w:hAnsi="Arial" w:cs="Arial"/>
          <w:b/>
          <w:bCs/>
          <w:sz w:val="21"/>
          <w:szCs w:val="21"/>
          <w:highlight w:val="none"/>
          <w:lang w:val="en-US" w:eastAsia="zh-CN"/>
        </w:rPr>
        <w:t>16.14</w:t>
      </w:r>
      <w:r>
        <w:rPr>
          <w:rFonts w:hint="eastAsia" w:ascii="Arial" w:hAnsi="Arial" w:cs="Arial"/>
          <w:b/>
          <w:bCs/>
          <w:sz w:val="21"/>
          <w:szCs w:val="21"/>
          <w:highlight w:val="none"/>
        </w:rPr>
        <w:t>元/平方米·月</w:t>
      </w:r>
    </w:p>
    <w:p w14:paraId="093EFCE7">
      <w:pPr>
        <w:overflowPunct w:val="0"/>
        <w:spacing w:line="480" w:lineRule="auto"/>
        <w:ind w:firstLine="360" w:firstLineChars="200"/>
        <w:jc w:val="both"/>
        <w:textAlignment w:val="auto"/>
        <w:rPr>
          <w:rFonts w:ascii="Arial" w:hAnsi="Arial" w:cs="Arial"/>
          <w:sz w:val="18"/>
          <w:szCs w:val="18"/>
          <w:highlight w:val="none"/>
        </w:rPr>
      </w:pPr>
      <w:r>
        <w:rPr>
          <w:rFonts w:ascii="Arial" w:hAnsi="Arial" w:cs="Arial"/>
          <w:sz w:val="18"/>
          <w:szCs w:val="18"/>
          <w:highlight w:val="none"/>
        </w:rPr>
        <w:t>注：1、</w:t>
      </w:r>
      <w:r>
        <w:rPr>
          <w:rFonts w:hint="eastAsia" w:ascii="Arial" w:hAnsi="Arial" w:cs="Arial"/>
          <w:sz w:val="18"/>
          <w:szCs w:val="18"/>
          <w:highlight w:val="none"/>
        </w:rPr>
        <w:t>评估的详细结果、过程及有关说明，详见《估价结果报告》、《估价技术报告》。</w:t>
      </w:r>
    </w:p>
    <w:p w14:paraId="015E867D">
      <w:pPr>
        <w:overflowPunct w:val="0"/>
        <w:spacing w:line="480" w:lineRule="auto"/>
        <w:ind w:left="720" w:leftChars="150" w:hanging="360" w:hangingChars="200"/>
        <w:jc w:val="both"/>
        <w:textAlignment w:val="auto"/>
        <w:rPr>
          <w:rFonts w:ascii="Arial" w:hAnsi="Arial" w:cs="Arial"/>
          <w:sz w:val="18"/>
          <w:szCs w:val="18"/>
          <w:highlight w:val="none"/>
        </w:rPr>
      </w:pPr>
      <w:r>
        <w:rPr>
          <w:rFonts w:ascii="Arial" w:hAnsi="Arial" w:cs="Arial"/>
          <w:sz w:val="18"/>
          <w:szCs w:val="18"/>
          <w:highlight w:val="none"/>
        </w:rPr>
        <w:t xml:space="preserve">    </w:t>
      </w:r>
      <w:r>
        <w:rPr>
          <w:rFonts w:hint="eastAsia" w:ascii="Arial" w:hAnsi="Arial" w:cs="Arial"/>
          <w:sz w:val="18"/>
          <w:szCs w:val="18"/>
          <w:highlight w:val="none"/>
        </w:rPr>
        <w:t>2</w:t>
      </w:r>
      <w:r>
        <w:rPr>
          <w:rFonts w:ascii="Arial" w:hAnsi="Arial" w:cs="Arial"/>
          <w:sz w:val="18"/>
          <w:szCs w:val="18"/>
          <w:highlight w:val="none"/>
        </w:rPr>
        <w:t>、</w:t>
      </w:r>
      <w:r>
        <w:rPr>
          <w:rFonts w:hint="eastAsia" w:ascii="Arial" w:hAnsi="Arial" w:cs="Arial"/>
          <w:sz w:val="18"/>
          <w:szCs w:val="18"/>
          <w:highlight w:val="none"/>
        </w:rPr>
        <w:t>市场租赁住房租金是指市场租赁住房于价值时点在公开市场上的平均租金，</w:t>
      </w:r>
      <w:r>
        <w:rPr>
          <w:rFonts w:hint="eastAsia" w:ascii="Arial" w:hAnsi="Arial" w:cs="Arial"/>
          <w:sz w:val="18"/>
          <w:szCs w:val="18"/>
          <w:highlight w:val="none"/>
          <w:lang w:eastAsia="zh-CN"/>
        </w:rPr>
        <w:t>包含房屋、家具家电使用费、物业费及租赁税费，包含持有运营单位在住房租赁合同中明确约定由出租人承担的基础服务费（例如基础物业管理服务、公区保洁、公区维保等费用），不包含增值服务费（例如室内保洁、室内人为损坏维修、洗衣、送餐等费用）、能源费（包括公区能源费及室内能源费，例如水、电、气、暖、网络等费用）、车位使用费等费用</w:t>
      </w:r>
      <w:r>
        <w:rPr>
          <w:rFonts w:hint="eastAsia" w:ascii="Arial" w:hAnsi="Arial" w:cs="Arial"/>
          <w:sz w:val="18"/>
          <w:szCs w:val="18"/>
          <w:highlight w:val="none"/>
        </w:rPr>
        <w:t>。</w:t>
      </w:r>
    </w:p>
    <w:p w14:paraId="378C9C04">
      <w:pPr>
        <w:overflowPunct w:val="0"/>
        <w:spacing w:line="480" w:lineRule="auto"/>
        <w:ind w:left="720" w:leftChars="150" w:hanging="360" w:hangingChars="200"/>
        <w:jc w:val="both"/>
        <w:textAlignment w:val="auto"/>
        <w:rPr>
          <w:rFonts w:ascii="Arial" w:hAnsi="Arial" w:cs="Arial"/>
          <w:sz w:val="18"/>
          <w:szCs w:val="18"/>
          <w:highlight w:val="none"/>
        </w:rPr>
        <w:sectPr>
          <w:headerReference r:id="rId24" w:type="first"/>
          <w:headerReference r:id="rId22" w:type="default"/>
          <w:headerReference r:id="rId23" w:type="even"/>
          <w:pgSz w:w="11907" w:h="16840"/>
          <w:pgMar w:top="1843" w:right="1134" w:bottom="1134" w:left="1134" w:header="1134" w:footer="907" w:gutter="340"/>
          <w:cols w:space="720" w:num="1"/>
          <w:docGrid w:linePitch="326" w:charSpace="0"/>
        </w:sectPr>
      </w:pPr>
    </w:p>
    <w:p w14:paraId="284A1F4B">
      <w:pPr>
        <w:overflowPunct w:val="0"/>
        <w:spacing w:line="480" w:lineRule="auto"/>
        <w:ind w:left="720" w:leftChars="150" w:hanging="360" w:hangingChars="200"/>
        <w:jc w:val="both"/>
        <w:textAlignment w:val="auto"/>
        <w:rPr>
          <w:rFonts w:ascii="Arial" w:hAnsi="Arial" w:cs="Arial"/>
          <w:sz w:val="18"/>
          <w:szCs w:val="18"/>
          <w:highlight w:val="none"/>
        </w:rPr>
      </w:pPr>
    </w:p>
    <w:p w14:paraId="3E9F51EB">
      <w:pPr>
        <w:pStyle w:val="2"/>
        <w:spacing w:line="480" w:lineRule="auto"/>
        <w:jc w:val="center"/>
        <w:rPr>
          <w:rFonts w:eastAsia="方正黑体简体"/>
          <w:b w:val="0"/>
          <w:kern w:val="2"/>
          <w:sz w:val="32"/>
          <w:szCs w:val="32"/>
          <w:highlight w:val="none"/>
        </w:rPr>
      </w:pPr>
      <w:bookmarkStart w:id="74" w:name="_Toc155267109"/>
      <w:r>
        <w:rPr>
          <w:rFonts w:hint="eastAsia" w:eastAsia="方正黑体简体"/>
          <w:b w:val="0"/>
          <w:kern w:val="2"/>
          <w:sz w:val="32"/>
          <w:szCs w:val="32"/>
          <w:highlight w:val="none"/>
        </w:rPr>
        <w:t>附   件</w:t>
      </w:r>
      <w:bookmarkEnd w:id="74"/>
    </w:p>
    <w:p w14:paraId="01167DC4">
      <w:pPr>
        <w:numPr>
          <w:ilvl w:val="0"/>
          <w:numId w:val="11"/>
        </w:numPr>
        <w:spacing w:line="360" w:lineRule="auto"/>
        <w:jc w:val="both"/>
        <w:rPr>
          <w:rFonts w:ascii="Arial" w:hAnsi="Arial" w:cs="Arial"/>
          <w:sz w:val="21"/>
          <w:szCs w:val="21"/>
          <w:highlight w:val="none"/>
        </w:rPr>
      </w:pPr>
      <w:r>
        <w:rPr>
          <w:rFonts w:hint="eastAsia" w:ascii="Arial" w:hAnsi="Arial" w:cs="Arial"/>
          <w:sz w:val="21"/>
          <w:szCs w:val="21"/>
          <w:highlight w:val="none"/>
        </w:rPr>
        <w:t>《估价委托书》复印件</w:t>
      </w:r>
    </w:p>
    <w:p w14:paraId="56E37010">
      <w:pPr>
        <w:numPr>
          <w:ilvl w:val="0"/>
          <w:numId w:val="11"/>
        </w:numPr>
        <w:spacing w:line="360" w:lineRule="auto"/>
        <w:jc w:val="both"/>
        <w:rPr>
          <w:rFonts w:ascii="Arial" w:hAnsi="Arial" w:cs="Arial"/>
          <w:sz w:val="21"/>
          <w:szCs w:val="21"/>
          <w:highlight w:val="none"/>
        </w:rPr>
      </w:pPr>
      <w:r>
        <w:rPr>
          <w:rFonts w:ascii="Arial" w:hAnsi="Arial" w:cs="Arial"/>
          <w:sz w:val="21"/>
          <w:szCs w:val="21"/>
          <w:highlight w:val="none"/>
        </w:rPr>
        <w:t>估价对象所在位置示意图</w:t>
      </w:r>
    </w:p>
    <w:p w14:paraId="6E4F07ED">
      <w:pPr>
        <w:numPr>
          <w:ilvl w:val="0"/>
          <w:numId w:val="11"/>
        </w:numPr>
        <w:spacing w:line="360" w:lineRule="auto"/>
        <w:jc w:val="both"/>
        <w:rPr>
          <w:rFonts w:ascii="Arial" w:hAnsi="Arial" w:cs="Arial"/>
          <w:sz w:val="21"/>
          <w:szCs w:val="21"/>
          <w:highlight w:val="none"/>
        </w:rPr>
      </w:pPr>
      <w:r>
        <w:rPr>
          <w:rFonts w:ascii="Arial" w:hAnsi="Arial" w:cs="Arial"/>
          <w:sz w:val="21"/>
          <w:szCs w:val="21"/>
          <w:highlight w:val="none"/>
        </w:rPr>
        <w:t>估价对象</w:t>
      </w:r>
      <w:r>
        <w:rPr>
          <w:rFonts w:hint="eastAsia" w:ascii="Arial" w:hAnsi="Arial" w:cs="Arial"/>
          <w:sz w:val="21"/>
          <w:szCs w:val="21"/>
          <w:highlight w:val="none"/>
        </w:rPr>
        <w:t>现状</w:t>
      </w:r>
      <w:r>
        <w:rPr>
          <w:rFonts w:ascii="Arial" w:hAnsi="Arial" w:cs="Arial"/>
          <w:sz w:val="21"/>
          <w:szCs w:val="21"/>
          <w:highlight w:val="none"/>
        </w:rPr>
        <w:t>照片</w:t>
      </w:r>
    </w:p>
    <w:p w14:paraId="21E9BC8F">
      <w:pPr>
        <w:numPr>
          <w:ilvl w:val="0"/>
          <w:numId w:val="11"/>
        </w:numPr>
        <w:spacing w:line="360" w:lineRule="auto"/>
        <w:jc w:val="both"/>
        <w:rPr>
          <w:rFonts w:ascii="Arial" w:hAnsi="Arial" w:cs="Arial"/>
          <w:sz w:val="21"/>
          <w:szCs w:val="21"/>
          <w:highlight w:val="none"/>
        </w:rPr>
      </w:pPr>
      <w:r>
        <w:rPr>
          <w:rFonts w:hint="eastAsia" w:ascii="Arial" w:hAnsi="Arial" w:cs="Arial"/>
          <w:sz w:val="21"/>
          <w:szCs w:val="21"/>
          <w:highlight w:val="none"/>
          <w:lang w:eastAsia="zh-CN"/>
        </w:rPr>
        <w:t>《</w:t>
      </w:r>
      <w:r>
        <w:rPr>
          <w:rFonts w:hint="eastAsia" w:ascii="Arial" w:hAnsi="Arial" w:cs="Arial"/>
          <w:sz w:val="21"/>
          <w:szCs w:val="21"/>
          <w:highlight w:val="none"/>
          <w:lang w:val="en-US" w:eastAsia="zh-CN"/>
        </w:rPr>
        <w:t>北京市大兴区发展和改革委员会 关于转发大兴区采育镇城镇中心区定向安置房项目核准批复的通知》[京兴发改转（2010）3号]及附件复印件</w:t>
      </w:r>
    </w:p>
    <w:p w14:paraId="763514C9">
      <w:pPr>
        <w:numPr>
          <w:ilvl w:val="0"/>
          <w:numId w:val="11"/>
        </w:numPr>
        <w:spacing w:line="360" w:lineRule="auto"/>
        <w:jc w:val="both"/>
        <w:rPr>
          <w:rFonts w:ascii="Arial" w:hAnsi="Arial" w:cs="Arial"/>
          <w:sz w:val="21"/>
          <w:szCs w:val="21"/>
          <w:highlight w:val="none"/>
        </w:rPr>
      </w:pPr>
      <w:r>
        <w:rPr>
          <w:rFonts w:hint="eastAsia" w:ascii="Arial" w:hAnsi="Arial" w:cs="Arial"/>
          <w:sz w:val="21"/>
          <w:szCs w:val="21"/>
          <w:highlight w:val="none"/>
          <w:lang w:val="en-US" w:eastAsia="zh-CN"/>
        </w:rPr>
        <w:t>《国有土地使用证》[京兴国用（2010）出第00133、00134、00135号]部分复印件</w:t>
      </w:r>
    </w:p>
    <w:p w14:paraId="364189C3">
      <w:pPr>
        <w:numPr>
          <w:ilvl w:val="0"/>
          <w:numId w:val="11"/>
        </w:numPr>
        <w:spacing w:line="360" w:lineRule="auto"/>
        <w:jc w:val="both"/>
        <w:rPr>
          <w:rFonts w:ascii="Arial" w:hAnsi="Arial" w:cs="Arial"/>
          <w:sz w:val="21"/>
          <w:szCs w:val="21"/>
          <w:highlight w:val="none"/>
        </w:rPr>
      </w:pPr>
      <w:r>
        <w:rPr>
          <w:rFonts w:hint="eastAsia" w:ascii="Arial" w:hAnsi="Arial" w:cs="Arial"/>
          <w:sz w:val="21"/>
          <w:szCs w:val="21"/>
          <w:highlight w:val="none"/>
          <w:lang w:eastAsia="zh-CN"/>
        </w:rPr>
        <w:t>《</w:t>
      </w:r>
      <w:r>
        <w:rPr>
          <w:rFonts w:hint="eastAsia" w:ascii="Arial" w:hAnsi="Arial" w:cs="Arial"/>
          <w:sz w:val="21"/>
          <w:szCs w:val="21"/>
          <w:highlight w:val="none"/>
          <w:lang w:val="en-US" w:eastAsia="zh-CN"/>
        </w:rPr>
        <w:t>北京市大兴区发展和改革委员会 关于转发大兴区采育镇区四号地01-0001A、B地块住宅混合公建用地、二类居住用地回迁安置房项目核准批复的通知》[京兴发改转（2012）27号]及附件复印件</w:t>
      </w:r>
    </w:p>
    <w:p w14:paraId="2534D8C6">
      <w:pPr>
        <w:numPr>
          <w:ilvl w:val="0"/>
          <w:numId w:val="11"/>
        </w:numPr>
        <w:spacing w:line="360" w:lineRule="auto"/>
        <w:jc w:val="both"/>
        <w:rPr>
          <w:rFonts w:ascii="Arial" w:hAnsi="Arial" w:cs="Arial"/>
          <w:sz w:val="21"/>
          <w:szCs w:val="21"/>
          <w:highlight w:val="none"/>
        </w:rPr>
      </w:pPr>
      <w:r>
        <w:rPr>
          <w:rFonts w:hint="eastAsia" w:ascii="Arial" w:hAnsi="Arial" w:cs="Arial"/>
          <w:sz w:val="21"/>
          <w:szCs w:val="21"/>
          <w:highlight w:val="none"/>
          <w:lang w:eastAsia="zh-CN"/>
        </w:rPr>
        <w:t>《</w:t>
      </w:r>
      <w:r>
        <w:rPr>
          <w:rFonts w:hint="eastAsia" w:ascii="Arial" w:hAnsi="Arial" w:cs="Arial"/>
          <w:sz w:val="21"/>
          <w:szCs w:val="21"/>
          <w:highlight w:val="none"/>
          <w:lang w:val="en-US" w:eastAsia="zh-CN"/>
        </w:rPr>
        <w:t>北京市大兴区采育镇四号地01-0001A、01-0001B地块项目开发回购协议书补充协议》[兴采01-0001协字（2012）001号附件1]复印件</w:t>
      </w:r>
    </w:p>
    <w:p w14:paraId="4B57EC08">
      <w:pPr>
        <w:numPr>
          <w:ilvl w:val="0"/>
          <w:numId w:val="11"/>
        </w:numPr>
        <w:spacing w:line="360" w:lineRule="auto"/>
        <w:jc w:val="both"/>
        <w:rPr>
          <w:rFonts w:ascii="Arial" w:hAnsi="Arial" w:cs="Arial"/>
          <w:sz w:val="21"/>
          <w:szCs w:val="21"/>
          <w:highlight w:val="none"/>
        </w:rPr>
      </w:pPr>
      <w:r>
        <w:rPr>
          <w:rFonts w:hint="eastAsia" w:ascii="Arial" w:hAnsi="Arial" w:cs="Arial"/>
          <w:sz w:val="21"/>
          <w:szCs w:val="21"/>
          <w:highlight w:val="none"/>
          <w:lang w:eastAsia="zh-CN"/>
        </w:rPr>
        <w:t>《</w:t>
      </w:r>
      <w:r>
        <w:rPr>
          <w:rFonts w:hint="eastAsia" w:ascii="Arial" w:hAnsi="Arial" w:cs="Arial"/>
          <w:sz w:val="21"/>
          <w:szCs w:val="21"/>
          <w:highlight w:val="none"/>
          <w:lang w:val="en-US" w:eastAsia="zh-CN"/>
        </w:rPr>
        <w:t>北京市大兴区住房和城乡建设委员会 关于采育数字时尚小镇保障性住房使用管理有关问题的请示》[京兴建文（2025）123号]复印件</w:t>
      </w:r>
    </w:p>
    <w:p w14:paraId="66E457D3">
      <w:pPr>
        <w:numPr>
          <w:ilvl w:val="0"/>
          <w:numId w:val="11"/>
        </w:numPr>
        <w:spacing w:line="360" w:lineRule="auto"/>
        <w:jc w:val="both"/>
        <w:rPr>
          <w:rFonts w:ascii="Arial" w:hAnsi="Arial" w:cs="Arial"/>
          <w:sz w:val="21"/>
          <w:szCs w:val="21"/>
          <w:highlight w:val="none"/>
        </w:rPr>
      </w:pPr>
      <w:r>
        <w:rPr>
          <w:rFonts w:hint="eastAsia" w:ascii="Arial" w:hAnsi="Arial" w:cs="Arial"/>
          <w:sz w:val="21"/>
          <w:szCs w:val="21"/>
          <w:highlight w:val="none"/>
          <w:lang w:val="en-US" w:eastAsia="zh-CN"/>
        </w:rPr>
        <w:t>《北京市大兴区住房和城乡建设委员会 关于采育数字时尚小镇保障性住房相关事宜专题会会议纪要》复印件</w:t>
      </w:r>
    </w:p>
    <w:p w14:paraId="3A39CA24">
      <w:pPr>
        <w:numPr>
          <w:ilvl w:val="0"/>
          <w:numId w:val="11"/>
        </w:numPr>
        <w:spacing w:line="360" w:lineRule="auto"/>
        <w:jc w:val="both"/>
        <w:rPr>
          <w:rFonts w:ascii="Arial" w:hAnsi="Arial" w:cs="Arial"/>
          <w:sz w:val="21"/>
          <w:szCs w:val="21"/>
          <w:highlight w:val="none"/>
        </w:rPr>
      </w:pPr>
      <w:r>
        <w:rPr>
          <w:rFonts w:hint="eastAsia" w:ascii="Arial" w:hAnsi="Arial" w:cs="Arial"/>
          <w:sz w:val="21"/>
          <w:szCs w:val="21"/>
          <w:highlight w:val="none"/>
          <w:lang w:eastAsia="zh-CN"/>
        </w:rPr>
        <w:t>《</w:t>
      </w:r>
      <w:r>
        <w:rPr>
          <w:rFonts w:hint="eastAsia" w:ascii="Arial" w:hAnsi="Arial" w:cs="Arial"/>
          <w:sz w:val="21"/>
          <w:szCs w:val="21"/>
          <w:highlight w:val="none"/>
          <w:lang w:val="en-US" w:eastAsia="zh-CN"/>
        </w:rPr>
        <w:t>房屋所有权证书》[X京房权证兴字第144437、144436、144435、144444、1444440、144439、144442、144443、144449、144445、144447、194022号]复印件</w:t>
      </w:r>
    </w:p>
    <w:p w14:paraId="23B7B745">
      <w:pPr>
        <w:numPr>
          <w:ilvl w:val="0"/>
          <w:numId w:val="11"/>
        </w:numPr>
        <w:spacing w:line="360" w:lineRule="auto"/>
        <w:jc w:val="both"/>
        <w:rPr>
          <w:rFonts w:ascii="Arial" w:hAnsi="Arial" w:cs="Arial"/>
          <w:sz w:val="21"/>
          <w:szCs w:val="21"/>
          <w:highlight w:val="none"/>
        </w:rPr>
      </w:pPr>
      <w:r>
        <w:rPr>
          <w:rFonts w:hint="eastAsia" w:ascii="Arial" w:hAnsi="Arial" w:cs="Arial"/>
          <w:sz w:val="21"/>
          <w:szCs w:val="21"/>
          <w:highlight w:val="none"/>
          <w:lang w:eastAsia="zh-CN"/>
        </w:rPr>
        <w:t>《</w:t>
      </w:r>
      <w:r>
        <w:rPr>
          <w:rFonts w:hint="eastAsia" w:ascii="Arial" w:hAnsi="Arial" w:cs="Arial"/>
          <w:sz w:val="21"/>
          <w:szCs w:val="21"/>
          <w:highlight w:val="none"/>
          <w:lang w:val="en-US" w:eastAsia="zh-CN"/>
        </w:rPr>
        <w:t>房屋所有权证书》[X京房权证兴字第100091、102139、102135、102136、102140、102137、102138、103831、102031、110683、110394、110393、110397、110396、110395、110392、110389号]复印件</w:t>
      </w:r>
    </w:p>
    <w:p w14:paraId="1DEACA75">
      <w:pPr>
        <w:numPr>
          <w:ilvl w:val="0"/>
          <w:numId w:val="11"/>
        </w:numPr>
        <w:spacing w:line="360" w:lineRule="auto"/>
        <w:jc w:val="both"/>
        <w:rPr>
          <w:rFonts w:ascii="Arial" w:hAnsi="Arial" w:cs="Arial"/>
          <w:sz w:val="21"/>
          <w:szCs w:val="21"/>
          <w:highlight w:val="none"/>
        </w:rPr>
      </w:pPr>
      <w:r>
        <w:rPr>
          <w:rFonts w:hint="eastAsia" w:ascii="Arial" w:hAnsi="Arial" w:cs="Arial"/>
          <w:sz w:val="21"/>
          <w:szCs w:val="21"/>
          <w:highlight w:val="none"/>
          <w:lang w:eastAsia="zh-CN"/>
        </w:rPr>
        <w:t>《</w:t>
      </w:r>
      <w:r>
        <w:rPr>
          <w:rFonts w:hint="eastAsia" w:ascii="Arial" w:hAnsi="Arial" w:cs="Arial"/>
          <w:sz w:val="21"/>
          <w:szCs w:val="21"/>
          <w:highlight w:val="none"/>
          <w:lang w:val="en-US" w:eastAsia="zh-CN"/>
        </w:rPr>
        <w:t>房屋所有权证书》[X京房权证兴字第103107、103825号]复印件</w:t>
      </w:r>
    </w:p>
    <w:p w14:paraId="3DDBAE56">
      <w:pPr>
        <w:numPr>
          <w:ilvl w:val="0"/>
          <w:numId w:val="11"/>
        </w:numPr>
        <w:spacing w:line="360" w:lineRule="auto"/>
        <w:jc w:val="both"/>
        <w:rPr>
          <w:rFonts w:ascii="Arial" w:hAnsi="Arial" w:cs="Arial"/>
          <w:sz w:val="21"/>
          <w:szCs w:val="21"/>
          <w:highlight w:val="none"/>
        </w:rPr>
      </w:pPr>
      <w:r>
        <w:rPr>
          <w:rFonts w:hint="eastAsia" w:ascii="Arial" w:hAnsi="Arial" w:cs="Arial"/>
          <w:sz w:val="21"/>
          <w:szCs w:val="21"/>
          <w:highlight w:val="none"/>
          <w:lang w:eastAsia="zh-CN"/>
        </w:rPr>
        <w:t>《</w:t>
      </w:r>
      <w:r>
        <w:rPr>
          <w:rFonts w:hint="eastAsia" w:ascii="Arial" w:hAnsi="Arial" w:cs="Arial"/>
          <w:sz w:val="21"/>
          <w:szCs w:val="21"/>
          <w:highlight w:val="none"/>
          <w:lang w:val="en-US" w:eastAsia="zh-CN"/>
        </w:rPr>
        <w:t>房屋所有权证书》[X京房权证兴字第146943、146944、102030、100093、102028号]复印件</w:t>
      </w:r>
    </w:p>
    <w:p w14:paraId="50307366">
      <w:pPr>
        <w:numPr>
          <w:ilvl w:val="0"/>
          <w:numId w:val="11"/>
        </w:numPr>
        <w:spacing w:line="360" w:lineRule="auto"/>
        <w:jc w:val="both"/>
        <w:rPr>
          <w:rFonts w:ascii="Arial" w:hAnsi="Arial" w:cs="Arial"/>
          <w:sz w:val="21"/>
          <w:szCs w:val="21"/>
          <w:highlight w:val="none"/>
        </w:rPr>
      </w:pPr>
      <w:r>
        <w:rPr>
          <w:rFonts w:hint="eastAsia" w:ascii="Arial" w:hAnsi="Arial" w:cs="Arial"/>
          <w:sz w:val="21"/>
          <w:szCs w:val="21"/>
          <w:highlight w:val="none"/>
          <w:lang w:eastAsia="zh-CN"/>
        </w:rPr>
        <w:t>《</w:t>
      </w:r>
      <w:r>
        <w:rPr>
          <w:rFonts w:hint="eastAsia" w:ascii="Arial" w:hAnsi="Arial" w:cs="Arial"/>
          <w:sz w:val="21"/>
          <w:szCs w:val="21"/>
          <w:highlight w:val="none"/>
          <w:lang w:val="en-US" w:eastAsia="zh-CN"/>
        </w:rPr>
        <w:t>北京市房屋建筑和市政基础设施工程竣工验收备案表》[编号：1004大竣2012（建）0138号、1005大竣2012（建）0139号、1006大竣2012（建）0140号、1007大竣2012（建）0141号]复印件</w:t>
      </w:r>
    </w:p>
    <w:p w14:paraId="1F69F3BA">
      <w:pPr>
        <w:numPr>
          <w:ilvl w:val="0"/>
          <w:numId w:val="11"/>
        </w:numPr>
        <w:spacing w:line="360" w:lineRule="auto"/>
        <w:jc w:val="both"/>
        <w:rPr>
          <w:rFonts w:ascii="Arial" w:hAnsi="Arial" w:cs="Arial"/>
          <w:sz w:val="21"/>
          <w:szCs w:val="21"/>
          <w:highlight w:val="none"/>
        </w:rPr>
      </w:pPr>
      <w:r>
        <w:rPr>
          <w:rFonts w:hint="eastAsia" w:ascii="Arial" w:hAnsi="Arial" w:cs="Arial"/>
          <w:sz w:val="21"/>
          <w:szCs w:val="21"/>
          <w:highlight w:val="none"/>
          <w:lang w:eastAsia="zh-CN"/>
        </w:rPr>
        <w:t>《</w:t>
      </w:r>
      <w:r>
        <w:rPr>
          <w:rFonts w:hint="eastAsia" w:ascii="Arial" w:hAnsi="Arial" w:cs="Arial"/>
          <w:sz w:val="21"/>
          <w:szCs w:val="21"/>
          <w:highlight w:val="none"/>
          <w:lang w:val="en-US" w:eastAsia="zh-CN"/>
        </w:rPr>
        <w:t>北京市房屋建筑和市政基础设施工程竣工验收备案表》[编号：0327大竣2014（建）0049号、0149大竣2014（建）0029号、0150大竣2014（建）0030号、0151大竣2014（建）0031号]复印件</w:t>
      </w:r>
    </w:p>
    <w:p w14:paraId="12344A12">
      <w:pPr>
        <w:numPr>
          <w:ilvl w:val="0"/>
          <w:numId w:val="11"/>
        </w:numPr>
        <w:spacing w:line="360" w:lineRule="auto"/>
        <w:jc w:val="both"/>
        <w:rPr>
          <w:rFonts w:ascii="Arial" w:hAnsi="Arial" w:cs="Arial"/>
          <w:sz w:val="21"/>
          <w:szCs w:val="21"/>
          <w:highlight w:val="none"/>
        </w:rPr>
      </w:pPr>
      <w:r>
        <w:rPr>
          <w:rFonts w:hint="eastAsia" w:ascii="Arial" w:hAnsi="Arial" w:cs="Arial"/>
          <w:sz w:val="21"/>
          <w:szCs w:val="21"/>
          <w:highlight w:val="none"/>
          <w:lang w:val="en-US" w:eastAsia="zh-CN"/>
        </w:rPr>
        <w:t>《采育数字时尚小镇保障性住房趸组协议》及其附件复印件</w:t>
      </w:r>
    </w:p>
    <w:p w14:paraId="2C8254BB">
      <w:pPr>
        <w:numPr>
          <w:ilvl w:val="0"/>
          <w:numId w:val="11"/>
        </w:numPr>
        <w:spacing w:line="360" w:lineRule="auto"/>
        <w:jc w:val="both"/>
        <w:rPr>
          <w:rFonts w:ascii="Arial" w:hAnsi="Arial" w:cs="Arial"/>
          <w:sz w:val="21"/>
          <w:szCs w:val="21"/>
          <w:highlight w:val="none"/>
        </w:rPr>
      </w:pPr>
      <w:r>
        <w:rPr>
          <w:rFonts w:hint="eastAsia" w:ascii="Arial" w:hAnsi="Arial" w:cs="Arial"/>
          <w:sz w:val="21"/>
          <w:szCs w:val="21"/>
          <w:highlight w:val="none"/>
        </w:rPr>
        <w:t>估价委托人《营业执照（副本）》复印件</w:t>
      </w:r>
    </w:p>
    <w:p w14:paraId="1EF95457">
      <w:pPr>
        <w:numPr>
          <w:ilvl w:val="0"/>
          <w:numId w:val="11"/>
        </w:numPr>
        <w:spacing w:line="360" w:lineRule="auto"/>
        <w:jc w:val="both"/>
        <w:rPr>
          <w:rFonts w:ascii="Arial" w:hAnsi="Arial" w:cs="Arial"/>
          <w:sz w:val="21"/>
          <w:szCs w:val="21"/>
          <w:highlight w:val="none"/>
        </w:rPr>
      </w:pPr>
      <w:r>
        <w:rPr>
          <w:rFonts w:ascii="Arial" w:hAnsi="Arial" w:cs="Arial"/>
          <w:sz w:val="21"/>
          <w:szCs w:val="21"/>
          <w:highlight w:val="none"/>
        </w:rPr>
        <w:t>房地产估价机构《营业执照（副本）》复印件</w:t>
      </w:r>
    </w:p>
    <w:p w14:paraId="5E254F3E">
      <w:pPr>
        <w:numPr>
          <w:ilvl w:val="0"/>
          <w:numId w:val="11"/>
        </w:numPr>
        <w:spacing w:line="360" w:lineRule="auto"/>
        <w:jc w:val="both"/>
        <w:rPr>
          <w:rFonts w:ascii="Arial" w:hAnsi="Arial" w:cs="Arial"/>
          <w:sz w:val="21"/>
          <w:szCs w:val="21"/>
          <w:highlight w:val="none"/>
        </w:rPr>
      </w:pPr>
      <w:r>
        <w:rPr>
          <w:rFonts w:ascii="Arial" w:hAnsi="Arial" w:cs="Arial"/>
          <w:sz w:val="21"/>
          <w:szCs w:val="21"/>
          <w:highlight w:val="none"/>
        </w:rPr>
        <w:t>房地产估价机构资质证书复印件</w:t>
      </w:r>
    </w:p>
    <w:p w14:paraId="187CED5A">
      <w:pPr>
        <w:numPr>
          <w:ilvl w:val="0"/>
          <w:numId w:val="11"/>
        </w:numPr>
        <w:spacing w:line="360" w:lineRule="auto"/>
        <w:jc w:val="both"/>
        <w:rPr>
          <w:rFonts w:ascii="Arial" w:hAnsi="Arial" w:cs="Arial"/>
          <w:sz w:val="21"/>
          <w:szCs w:val="21"/>
          <w:highlight w:val="none"/>
        </w:rPr>
      </w:pPr>
      <w:r>
        <w:rPr>
          <w:rFonts w:hint="eastAsia" w:ascii="Arial" w:hAnsi="Arial" w:cs="Arial"/>
          <w:sz w:val="21"/>
          <w:szCs w:val="21"/>
          <w:highlight w:val="none"/>
        </w:rPr>
        <w:t>评估专业人员</w:t>
      </w:r>
      <w:r>
        <w:rPr>
          <w:rFonts w:ascii="Arial" w:hAnsi="Arial" w:cs="Arial"/>
          <w:sz w:val="21"/>
          <w:szCs w:val="21"/>
          <w:highlight w:val="none"/>
        </w:rPr>
        <w:t>执业证书复印件</w:t>
      </w:r>
    </w:p>
    <w:sectPr>
      <w:pgSz w:w="11907" w:h="16840"/>
      <w:pgMar w:top="1843" w:right="1134" w:bottom="1134" w:left="1134" w:header="1134" w:footer="907" w:gutter="340"/>
      <w:cols w:space="720"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GungsuhChe">
    <w:altName w:val="Malgun Gothic"/>
    <w:panose1 w:val="00000000000000000000"/>
    <w:charset w:val="81"/>
    <w:family w:val="moder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华文细黑">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ACF3C50" w:usb2="00000016" w:usb3="00000000" w:csb0="0004001F" w:csb1="00000000"/>
  </w:font>
  <w:font w:name="方正黑体简体">
    <w:altName w:val="微软雅黑"/>
    <w:panose1 w:val="00000000000000000000"/>
    <w:charset w:val="86"/>
    <w:family w:val="auto"/>
    <w:pitch w:val="default"/>
    <w:sig w:usb0="00000000" w:usb1="00000000" w:usb2="00000010" w:usb3="00000000" w:csb0="00040000" w:csb1="00000000"/>
  </w:font>
  <w:font w:name="华文楷体">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KSOFF9CC6125">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CC5CCA">
    <w:pPr>
      <w:pStyle w:val="21"/>
      <w:pBdr>
        <w:top w:val="single" w:color="404040" w:sz="4" w:space="1"/>
      </w:pBdr>
      <w:jc w:val="center"/>
      <w:rPr>
        <w:rFonts w:ascii="Arial" w:hAnsi="Arial" w:cs="Arial"/>
      </w:rPr>
    </w:pPr>
    <w:r>
      <w:rPr>
        <w:rFonts w:ascii="Arial" w:hAnsi="Arial" w:cs="Arial"/>
      </w:rPr>
      <w:fldChar w:fldCharType="begin"/>
    </w:r>
    <w:r>
      <w:rPr>
        <w:rFonts w:ascii="Arial" w:hAnsi="Arial" w:cs="Arial"/>
      </w:rPr>
      <w:instrText xml:space="preserve">PAGE   \* MERGEFORMAT</w:instrText>
    </w:r>
    <w:r>
      <w:rPr>
        <w:rFonts w:ascii="Arial" w:hAnsi="Arial" w:cs="Arial"/>
      </w:rPr>
      <w:fldChar w:fldCharType="separate"/>
    </w:r>
    <w:r>
      <w:rPr>
        <w:rFonts w:ascii="Arial" w:hAnsi="Arial" w:cs="Arial"/>
        <w:lang w:val="zh-CN"/>
      </w:rPr>
      <w:t>9</w:t>
    </w:r>
    <w:r>
      <w:rPr>
        <w:rFonts w:ascii="Arial" w:hAnsi="Arial" w:cs="Aria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D69731">
    <w:pPr>
      <w:pStyle w:val="21"/>
      <w:framePr w:wrap="around" w:vAnchor="text" w:hAnchor="margin" w:xAlign="center" w:y="1"/>
      <w:rPr>
        <w:rStyle w:val="37"/>
      </w:rPr>
    </w:pPr>
    <w:r>
      <w:fldChar w:fldCharType="begin"/>
    </w:r>
    <w:r>
      <w:rPr>
        <w:rStyle w:val="37"/>
      </w:rPr>
      <w:instrText xml:space="preserve">PAGE  </w:instrText>
    </w:r>
    <w:r>
      <w:fldChar w:fldCharType="end"/>
    </w:r>
  </w:p>
  <w:p w14:paraId="19730500">
    <w:pPr>
      <w:pStyle w:val="2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D6C59A">
    <w:pPr>
      <w:pStyle w:val="21"/>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BF6834">
    <w:pPr>
      <w:pStyle w:val="21"/>
      <w:jc w:val="center"/>
    </w:pPr>
    <w:r>
      <w:fldChar w:fldCharType="begin"/>
    </w:r>
    <w:r>
      <w:instrText xml:space="preserve">PAGE   \* MERGEFORMAT</w:instrText>
    </w:r>
    <w:r>
      <w:fldChar w:fldCharType="separate"/>
    </w:r>
    <w:r>
      <w:rPr>
        <w:rFonts w:ascii="Arial" w:hAnsi="Arial"/>
        <w:lang w:val="zh-CN"/>
      </w:rPr>
      <w:t>12</w:t>
    </w:r>
    <w:r>
      <w:fldChar w:fldCharType="end"/>
    </w:r>
  </w:p>
  <w:p w14:paraId="300D46F8">
    <w:pPr>
      <w:pStyle w:val="2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C9E473">
    <w:pPr>
      <w:pStyle w:val="21"/>
      <w:pBdr>
        <w:top w:val="single" w:color="404040" w:sz="4" w:space="1"/>
      </w:pBdr>
      <w:tabs>
        <w:tab w:val="right" w:pos="9027"/>
        <w:tab w:val="clear" w:pos="4153"/>
        <w:tab w:val="clear" w:pos="8306"/>
      </w:tabs>
      <w:jc w:val="center"/>
    </w:pPr>
    <w:r>
      <w:rPr>
        <w:rFonts w:ascii="Calibri" w:hAnsi="Calibri"/>
      </w:rPr>
      <w:fldChar w:fldCharType="begin"/>
    </w:r>
    <w:r>
      <w:instrText xml:space="preserve">PAGE   \* MERGEFORMAT</w:instrText>
    </w:r>
    <w:r>
      <w:rPr>
        <w:rFonts w:ascii="Calibri" w:hAnsi="Calibri"/>
      </w:rPr>
      <w:fldChar w:fldCharType="separate"/>
    </w:r>
    <w:r>
      <w:rPr>
        <w:rFonts w:ascii="Arial" w:hAnsi="Arial"/>
        <w:lang w:val="zh-CN"/>
      </w:rPr>
      <w:t>23</w:t>
    </w:r>
    <w:r>
      <w:rPr>
        <w:rFonts w:ascii="Cambria" w:hAnsi="Cambria"/>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C748A8">
    <w:pPr>
      <w:pStyle w:val="21"/>
      <w:framePr w:wrap="around" w:vAnchor="text" w:hAnchor="margin" w:xAlign="center" w:y="1"/>
      <w:rPr>
        <w:rStyle w:val="37"/>
      </w:rPr>
    </w:pPr>
    <w:r>
      <w:fldChar w:fldCharType="begin"/>
    </w:r>
    <w:r>
      <w:rPr>
        <w:rStyle w:val="37"/>
      </w:rPr>
      <w:instrText xml:space="preserve">PAGE  </w:instrText>
    </w:r>
    <w:r>
      <w:fldChar w:fldCharType="end"/>
    </w:r>
  </w:p>
  <w:p w14:paraId="793B5C80">
    <w:pPr>
      <w:pStyle w:val="2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4FD5C4">
    <w:pPr>
      <w:pStyle w:val="22"/>
      <w:pBdr>
        <w:bottom w:val="none" w:color="auto" w:sz="0" w:space="0"/>
      </w:pBdr>
    </w:pPr>
    <w:r>
      <w:drawing>
        <wp:inline distT="0" distB="0" distL="0" distR="0">
          <wp:extent cx="5907405" cy="289560"/>
          <wp:effectExtent l="0" t="0" r="0" b="0"/>
          <wp:docPr id="22"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2"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8981CE">
    <w:pPr>
      <w:pStyle w:val="22"/>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CAED3C">
    <w:pPr>
      <w:pStyle w:val="22"/>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D014B0">
    <w:pPr>
      <w:pStyle w:val="22"/>
      <w:pBdr>
        <w:bottom w:val="none" w:color="auto" w:sz="0" w:space="0"/>
      </w:pBdr>
    </w:pPr>
    <w:bookmarkStart w:id="75" w:name="_Hlk154502003"/>
    <w:bookmarkStart w:id="76" w:name="_Hlk154502004"/>
    <w:r>
      <w:drawing>
        <wp:inline distT="0" distB="0" distL="0" distR="0">
          <wp:extent cx="5907405" cy="289560"/>
          <wp:effectExtent l="0" t="0" r="0" b="0"/>
          <wp:docPr id="24"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4"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bookmarkEnd w:id="75"/>
    <w:bookmarkEnd w:id="76"/>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D511A8">
    <w:pPr>
      <w:pStyle w:val="22"/>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A8EAA8">
    <w:pPr>
      <w:pStyle w:val="2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C4ACE5">
    <w:pPr>
      <w:pStyle w:val="2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4C8C5F">
    <w:pPr>
      <w:pStyle w:val="22"/>
      <w:pBdr>
        <w:bottom w:val="none" w:color="auto" w:sz="0" w:space="0"/>
      </w:pBdr>
    </w:pPr>
    <w:r>
      <w:drawing>
        <wp:inline distT="0" distB="0" distL="0" distR="0">
          <wp:extent cx="5907405" cy="289560"/>
          <wp:effectExtent l="0" t="0" r="0" b="0"/>
          <wp:docPr id="2"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51E4BE">
    <w:pPr>
      <w:pStyle w:val="2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355DAC">
    <w:pPr>
      <w:pStyle w:val="2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2B035E">
    <w:pPr>
      <w:pStyle w:val="22"/>
      <w:pBdr>
        <w:bottom w:val="none" w:color="auto" w:sz="0" w:space="0"/>
      </w:pBdr>
      <w:jc w:val="both"/>
      <w:rPr>
        <w:rFonts w:ascii="楷体_GB2312" w:eastAsia="楷体_GB2312"/>
        <w:color w:val="FF0000"/>
        <w:spacing w:val="-20"/>
        <w:sz w:val="21"/>
      </w:rPr>
    </w:pPr>
    <w:r>
      <w:drawing>
        <wp:inline distT="0" distB="0" distL="0" distR="0">
          <wp:extent cx="5907405" cy="289560"/>
          <wp:effectExtent l="0" t="0" r="0" b="0"/>
          <wp:docPr id="3" name="图片 0" descr="评估报告内页页眉.jpg"/>
          <wp:cNvGraphicFramePr/>
          <a:graphic xmlns:a="http://schemas.openxmlformats.org/drawingml/2006/main">
            <a:graphicData uri="http://schemas.openxmlformats.org/drawingml/2006/picture">
              <pic:pic xmlns:pic="http://schemas.openxmlformats.org/drawingml/2006/picture">
                <pic:nvPicPr>
                  <pic:cNvPr id="3"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F54EEB">
    <w:pPr>
      <w:pStyle w:val="22"/>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3C2597">
    <w:pPr>
      <w:pStyle w:val="22"/>
    </w:pPr>
    <w:r>
      <w:drawing>
        <wp:inline distT="0" distB="0" distL="0" distR="0">
          <wp:extent cx="5504815" cy="289560"/>
          <wp:effectExtent l="0" t="0" r="0" b="0"/>
          <wp:docPr id="23"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3"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504815" cy="289560"/>
                  </a:xfrm>
                  <a:prstGeom prst="rect">
                    <a:avLst/>
                  </a:prstGeom>
                  <a:noFill/>
                  <a:ln>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414E65">
    <w:pPr>
      <w:pStyle w:val="22"/>
      <w:pBdr>
        <w:bottom w:val="none" w:color="auto" w:sz="0" w:space="0"/>
      </w:pBdr>
      <w:jc w:val="both"/>
      <w:rPr>
        <w:rFonts w:ascii="楷体_GB2312" w:eastAsia="楷体_GB2312"/>
        <w:color w:val="FF0000"/>
        <w:spacing w:val="-20"/>
        <w:sz w:val="21"/>
      </w:rPr>
    </w:pPr>
    <w:r>
      <w:drawing>
        <wp:inline distT="0" distB="0" distL="0" distR="0">
          <wp:extent cx="5907405" cy="289560"/>
          <wp:effectExtent l="0" t="0" r="0" b="0"/>
          <wp:docPr id="4" name="图片 0" descr="评估报告内页页眉.jpg"/>
          <wp:cNvGraphicFramePr/>
          <a:graphic xmlns:a="http://schemas.openxmlformats.org/drawingml/2006/main">
            <a:graphicData uri="http://schemas.openxmlformats.org/drawingml/2006/picture">
              <pic:pic xmlns:pic="http://schemas.openxmlformats.org/drawingml/2006/picture">
                <pic:nvPicPr>
                  <pic:cNvPr id="4"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431F8F"/>
    <w:multiLevelType w:val="multilevel"/>
    <w:tmpl w:val="04431F8F"/>
    <w:lvl w:ilvl="0" w:tentative="0">
      <w:start w:val="4"/>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CEB4FF7"/>
    <w:multiLevelType w:val="multilevel"/>
    <w:tmpl w:val="0CEB4FF7"/>
    <w:lvl w:ilvl="0" w:tentative="0">
      <w:start w:val="1"/>
      <w:numFmt w:val="decimal"/>
      <w:lvlText w:val="%1."/>
      <w:lvlJc w:val="left"/>
      <w:pPr>
        <w:ind w:left="84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1163656"/>
    <w:multiLevelType w:val="multilevel"/>
    <w:tmpl w:val="11163656"/>
    <w:lvl w:ilvl="0" w:tentative="0">
      <w:start w:val="3"/>
      <w:numFmt w:val="decimal"/>
      <w:lvlText w:val="（%1）"/>
      <w:lvlJc w:val="left"/>
      <w:pPr>
        <w:tabs>
          <w:tab w:val="left" w:pos="1320"/>
        </w:tabs>
        <w:ind w:left="1320" w:hanging="720"/>
      </w:pPr>
      <w:rPr>
        <w:rFonts w:hint="eastAsia"/>
      </w:rPr>
    </w:lvl>
    <w:lvl w:ilvl="1" w:tentative="0">
      <w:start w:val="1"/>
      <w:numFmt w:val="upperLetter"/>
      <w:pStyle w:val="4"/>
      <w:lvlText w:val="%2、"/>
      <w:lvlJc w:val="left"/>
      <w:pPr>
        <w:tabs>
          <w:tab w:val="left" w:pos="1740"/>
        </w:tabs>
        <w:ind w:left="1740" w:hanging="720"/>
      </w:pPr>
      <w:rPr>
        <w:rFonts w:hint="eastAsia"/>
      </w:rPr>
    </w:lvl>
    <w:lvl w:ilvl="2" w:tentative="0">
      <w:start w:val="1"/>
      <w:numFmt w:val="lowerRoman"/>
      <w:lvlText w:val="%3."/>
      <w:lvlJc w:val="right"/>
      <w:pPr>
        <w:tabs>
          <w:tab w:val="left" w:pos="1860"/>
        </w:tabs>
        <w:ind w:left="1860" w:hanging="420"/>
      </w:pPr>
    </w:lvl>
    <w:lvl w:ilvl="3" w:tentative="0">
      <w:start w:val="1"/>
      <w:numFmt w:val="decimal"/>
      <w:lvlText w:val="%4."/>
      <w:lvlJc w:val="left"/>
      <w:pPr>
        <w:tabs>
          <w:tab w:val="left" w:pos="2280"/>
        </w:tabs>
        <w:ind w:left="2280" w:hanging="420"/>
      </w:pPr>
    </w:lvl>
    <w:lvl w:ilvl="4" w:tentative="0">
      <w:start w:val="1"/>
      <w:numFmt w:val="lowerLetter"/>
      <w:lvlText w:val="%5)"/>
      <w:lvlJc w:val="left"/>
      <w:pPr>
        <w:tabs>
          <w:tab w:val="left" w:pos="2700"/>
        </w:tabs>
        <w:ind w:left="2700" w:hanging="420"/>
      </w:pPr>
    </w:lvl>
    <w:lvl w:ilvl="5" w:tentative="0">
      <w:start w:val="1"/>
      <w:numFmt w:val="lowerRoman"/>
      <w:lvlText w:val="%6."/>
      <w:lvlJc w:val="right"/>
      <w:pPr>
        <w:tabs>
          <w:tab w:val="left" w:pos="3120"/>
        </w:tabs>
        <w:ind w:left="3120" w:hanging="420"/>
      </w:pPr>
    </w:lvl>
    <w:lvl w:ilvl="6" w:tentative="0">
      <w:start w:val="1"/>
      <w:numFmt w:val="decimal"/>
      <w:lvlText w:val="%7."/>
      <w:lvlJc w:val="left"/>
      <w:pPr>
        <w:tabs>
          <w:tab w:val="left" w:pos="3540"/>
        </w:tabs>
        <w:ind w:left="3540" w:hanging="420"/>
      </w:pPr>
    </w:lvl>
    <w:lvl w:ilvl="7" w:tentative="0">
      <w:start w:val="1"/>
      <w:numFmt w:val="lowerLetter"/>
      <w:lvlText w:val="%8)"/>
      <w:lvlJc w:val="left"/>
      <w:pPr>
        <w:tabs>
          <w:tab w:val="left" w:pos="3960"/>
        </w:tabs>
        <w:ind w:left="3960" w:hanging="420"/>
      </w:pPr>
    </w:lvl>
    <w:lvl w:ilvl="8" w:tentative="0">
      <w:start w:val="1"/>
      <w:numFmt w:val="lowerRoman"/>
      <w:lvlText w:val="%9."/>
      <w:lvlJc w:val="right"/>
      <w:pPr>
        <w:tabs>
          <w:tab w:val="left" w:pos="4380"/>
        </w:tabs>
        <w:ind w:left="4380" w:hanging="420"/>
      </w:pPr>
    </w:lvl>
  </w:abstractNum>
  <w:abstractNum w:abstractNumId="3">
    <w:nsid w:val="2A1F3215"/>
    <w:multiLevelType w:val="multilevel"/>
    <w:tmpl w:val="2A1F3215"/>
    <w:lvl w:ilvl="0" w:tentative="0">
      <w:start w:val="9"/>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31E371A"/>
    <w:multiLevelType w:val="multilevel"/>
    <w:tmpl w:val="331E371A"/>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4A3C2487"/>
    <w:multiLevelType w:val="multilevel"/>
    <w:tmpl w:val="4A3C2487"/>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0353D43"/>
    <w:multiLevelType w:val="multilevel"/>
    <w:tmpl w:val="50353D43"/>
    <w:lvl w:ilvl="0" w:tentative="0">
      <w:start w:val="1"/>
      <w:numFmt w:val="decimal"/>
      <w:lvlText w:val="%1."/>
      <w:lvlJc w:val="left"/>
      <w:pPr>
        <w:ind w:left="84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5C1C749E"/>
    <w:multiLevelType w:val="multilevel"/>
    <w:tmpl w:val="5C1C749E"/>
    <w:lvl w:ilvl="0" w:tentative="0">
      <w:start w:val="1"/>
      <w:numFmt w:val="decimal"/>
      <w:lvlText w:val="%1."/>
      <w:lvlJc w:val="left"/>
      <w:pPr>
        <w:ind w:left="84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5E2E5779"/>
    <w:multiLevelType w:val="multilevel"/>
    <w:tmpl w:val="5E2E5779"/>
    <w:lvl w:ilvl="0" w:tentative="0">
      <w:start w:val="0"/>
      <w:numFmt w:val="bullet"/>
      <w:lvlText w:val="—"/>
      <w:lvlJc w:val="left"/>
      <w:pPr>
        <w:ind w:left="360" w:hanging="360"/>
      </w:pPr>
      <w:rPr>
        <w:rFonts w:hint="eastAsia" w:ascii="微软雅黑" w:hAnsi="微软雅黑" w:eastAsia="微软雅黑"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
    <w:nsid w:val="5F6A3DC4"/>
    <w:multiLevelType w:val="multilevel"/>
    <w:tmpl w:val="5F6A3DC4"/>
    <w:lvl w:ilvl="0" w:tentative="0">
      <w:start w:val="1"/>
      <w:numFmt w:val="upperRoman"/>
      <w:pStyle w:val="5"/>
      <w:lvlText w:val="%1、"/>
      <w:lvlJc w:val="left"/>
      <w:pPr>
        <w:tabs>
          <w:tab w:val="left" w:pos="1605"/>
        </w:tabs>
        <w:ind w:left="1605" w:hanging="1080"/>
      </w:pPr>
      <w:rPr>
        <w:rFonts w:hint="eastAsia"/>
      </w:rPr>
    </w:lvl>
    <w:lvl w:ilvl="1" w:tentative="0">
      <w:start w:val="1"/>
      <w:numFmt w:val="lowerLetter"/>
      <w:lvlText w:val="%2)"/>
      <w:lvlJc w:val="left"/>
      <w:pPr>
        <w:tabs>
          <w:tab w:val="left" w:pos="1365"/>
        </w:tabs>
        <w:ind w:left="1365" w:hanging="420"/>
      </w:pPr>
    </w:lvl>
    <w:lvl w:ilvl="2" w:tentative="0">
      <w:start w:val="1"/>
      <w:numFmt w:val="lowerRoman"/>
      <w:lvlText w:val="%3."/>
      <w:lvlJc w:val="right"/>
      <w:pPr>
        <w:tabs>
          <w:tab w:val="left" w:pos="1785"/>
        </w:tabs>
        <w:ind w:left="1785" w:hanging="420"/>
      </w:pPr>
    </w:lvl>
    <w:lvl w:ilvl="3" w:tentative="0">
      <w:start w:val="1"/>
      <w:numFmt w:val="decimal"/>
      <w:lvlText w:val="%4."/>
      <w:lvlJc w:val="left"/>
      <w:pPr>
        <w:tabs>
          <w:tab w:val="left" w:pos="2205"/>
        </w:tabs>
        <w:ind w:left="2205" w:hanging="420"/>
      </w:pPr>
    </w:lvl>
    <w:lvl w:ilvl="4" w:tentative="0">
      <w:start w:val="1"/>
      <w:numFmt w:val="lowerLetter"/>
      <w:lvlText w:val="%5)"/>
      <w:lvlJc w:val="left"/>
      <w:pPr>
        <w:tabs>
          <w:tab w:val="left" w:pos="2625"/>
        </w:tabs>
        <w:ind w:left="2625" w:hanging="420"/>
      </w:pPr>
    </w:lvl>
    <w:lvl w:ilvl="5" w:tentative="0">
      <w:start w:val="1"/>
      <w:numFmt w:val="lowerRoman"/>
      <w:lvlText w:val="%6."/>
      <w:lvlJc w:val="right"/>
      <w:pPr>
        <w:tabs>
          <w:tab w:val="left" w:pos="3045"/>
        </w:tabs>
        <w:ind w:left="3045" w:hanging="420"/>
      </w:pPr>
    </w:lvl>
    <w:lvl w:ilvl="6" w:tentative="0">
      <w:start w:val="1"/>
      <w:numFmt w:val="decimal"/>
      <w:lvlText w:val="%7."/>
      <w:lvlJc w:val="left"/>
      <w:pPr>
        <w:tabs>
          <w:tab w:val="left" w:pos="3465"/>
        </w:tabs>
        <w:ind w:left="3465" w:hanging="420"/>
      </w:pPr>
    </w:lvl>
    <w:lvl w:ilvl="7" w:tentative="0">
      <w:start w:val="1"/>
      <w:numFmt w:val="lowerLetter"/>
      <w:lvlText w:val="%8)"/>
      <w:lvlJc w:val="left"/>
      <w:pPr>
        <w:tabs>
          <w:tab w:val="left" w:pos="3885"/>
        </w:tabs>
        <w:ind w:left="3885" w:hanging="420"/>
      </w:pPr>
    </w:lvl>
    <w:lvl w:ilvl="8" w:tentative="0">
      <w:start w:val="1"/>
      <w:numFmt w:val="lowerRoman"/>
      <w:lvlText w:val="%9."/>
      <w:lvlJc w:val="right"/>
      <w:pPr>
        <w:tabs>
          <w:tab w:val="left" w:pos="4305"/>
        </w:tabs>
        <w:ind w:left="4305" w:hanging="420"/>
      </w:pPr>
    </w:lvl>
  </w:abstractNum>
  <w:abstractNum w:abstractNumId="10">
    <w:nsid w:val="75A04673"/>
    <w:multiLevelType w:val="multilevel"/>
    <w:tmpl w:val="75A04673"/>
    <w:lvl w:ilvl="0" w:tentative="0">
      <w:start w:val="1"/>
      <w:numFmt w:val="upperLetter"/>
      <w:pStyle w:val="3"/>
      <w:lvlText w:val="%1."/>
      <w:lvlJc w:val="left"/>
      <w:pPr>
        <w:tabs>
          <w:tab w:val="left" w:pos="360"/>
        </w:tabs>
        <w:ind w:left="360" w:hanging="360"/>
      </w:pPr>
      <w:rPr>
        <w:rFonts w:hint="eastAsia"/>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0"/>
  </w:num>
  <w:num w:numId="2">
    <w:abstractNumId w:val="2"/>
  </w:num>
  <w:num w:numId="3">
    <w:abstractNumId w:val="9"/>
  </w:num>
  <w:num w:numId="4">
    <w:abstractNumId w:val="8"/>
  </w:num>
  <w:num w:numId="5">
    <w:abstractNumId w:val="7"/>
  </w:num>
  <w:num w:numId="6">
    <w:abstractNumId w:val="6"/>
  </w:num>
  <w:num w:numId="7">
    <w:abstractNumId w:val="5"/>
  </w:num>
  <w:num w:numId="8">
    <w:abstractNumId w:val="3"/>
  </w:num>
  <w:num w:numId="9">
    <w:abstractNumId w:val="0"/>
  </w:num>
  <w:num w:numId="10">
    <w:abstractNumId w:val="4"/>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5"/>
  <w:doNotHyphenateCaps/>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ZlNTcwYzRhZDhlOGZhZjI3NjFkMzdhNWI3MTJjMDgifQ=="/>
  </w:docVars>
  <w:rsids>
    <w:rsidRoot w:val="00AF4C5B"/>
    <w:rsid w:val="00000D1B"/>
    <w:rsid w:val="00001B36"/>
    <w:rsid w:val="00002687"/>
    <w:rsid w:val="0000379C"/>
    <w:rsid w:val="00003E0B"/>
    <w:rsid w:val="00003F63"/>
    <w:rsid w:val="000044EE"/>
    <w:rsid w:val="00004CA5"/>
    <w:rsid w:val="00004D42"/>
    <w:rsid w:val="00006360"/>
    <w:rsid w:val="00006FCA"/>
    <w:rsid w:val="00007F5F"/>
    <w:rsid w:val="0001031A"/>
    <w:rsid w:val="0001101C"/>
    <w:rsid w:val="00011244"/>
    <w:rsid w:val="0001206A"/>
    <w:rsid w:val="0001237C"/>
    <w:rsid w:val="00012ABF"/>
    <w:rsid w:val="00012AD8"/>
    <w:rsid w:val="00012D88"/>
    <w:rsid w:val="00012F39"/>
    <w:rsid w:val="0001354F"/>
    <w:rsid w:val="000138C0"/>
    <w:rsid w:val="00014AAB"/>
    <w:rsid w:val="00014F2D"/>
    <w:rsid w:val="00014FF0"/>
    <w:rsid w:val="000153E4"/>
    <w:rsid w:val="000159CB"/>
    <w:rsid w:val="000164F9"/>
    <w:rsid w:val="0001651B"/>
    <w:rsid w:val="0001714F"/>
    <w:rsid w:val="00017AA7"/>
    <w:rsid w:val="00022039"/>
    <w:rsid w:val="000222E3"/>
    <w:rsid w:val="00022827"/>
    <w:rsid w:val="00024420"/>
    <w:rsid w:val="000244D7"/>
    <w:rsid w:val="000251B9"/>
    <w:rsid w:val="000253EF"/>
    <w:rsid w:val="000257D8"/>
    <w:rsid w:val="000271B5"/>
    <w:rsid w:val="00027D53"/>
    <w:rsid w:val="00030603"/>
    <w:rsid w:val="00030670"/>
    <w:rsid w:val="00030BE2"/>
    <w:rsid w:val="00031157"/>
    <w:rsid w:val="00031894"/>
    <w:rsid w:val="00031A0B"/>
    <w:rsid w:val="00031FE9"/>
    <w:rsid w:val="0003253E"/>
    <w:rsid w:val="00033835"/>
    <w:rsid w:val="00033CD9"/>
    <w:rsid w:val="000344B8"/>
    <w:rsid w:val="00035392"/>
    <w:rsid w:val="00036485"/>
    <w:rsid w:val="000370E8"/>
    <w:rsid w:val="000375D0"/>
    <w:rsid w:val="00037642"/>
    <w:rsid w:val="0003783C"/>
    <w:rsid w:val="00041390"/>
    <w:rsid w:val="000421EB"/>
    <w:rsid w:val="000424B7"/>
    <w:rsid w:val="0004256D"/>
    <w:rsid w:val="0004288D"/>
    <w:rsid w:val="00042DC2"/>
    <w:rsid w:val="00043E0C"/>
    <w:rsid w:val="000444BC"/>
    <w:rsid w:val="00044D43"/>
    <w:rsid w:val="00045FF3"/>
    <w:rsid w:val="0004627B"/>
    <w:rsid w:val="00046421"/>
    <w:rsid w:val="00047337"/>
    <w:rsid w:val="00047735"/>
    <w:rsid w:val="000477A3"/>
    <w:rsid w:val="0004790F"/>
    <w:rsid w:val="00050090"/>
    <w:rsid w:val="00050104"/>
    <w:rsid w:val="00050923"/>
    <w:rsid w:val="00050CC5"/>
    <w:rsid w:val="00052184"/>
    <w:rsid w:val="000521E7"/>
    <w:rsid w:val="00052348"/>
    <w:rsid w:val="000527EE"/>
    <w:rsid w:val="00052DCF"/>
    <w:rsid w:val="00053031"/>
    <w:rsid w:val="00053A7D"/>
    <w:rsid w:val="00053B17"/>
    <w:rsid w:val="00053DFF"/>
    <w:rsid w:val="00054E24"/>
    <w:rsid w:val="000552B7"/>
    <w:rsid w:val="0005586F"/>
    <w:rsid w:val="00055AC0"/>
    <w:rsid w:val="00057D66"/>
    <w:rsid w:val="00060499"/>
    <w:rsid w:val="00061942"/>
    <w:rsid w:val="0006270D"/>
    <w:rsid w:val="00063003"/>
    <w:rsid w:val="00063504"/>
    <w:rsid w:val="000639A8"/>
    <w:rsid w:val="00063B26"/>
    <w:rsid w:val="000647E7"/>
    <w:rsid w:val="000648E4"/>
    <w:rsid w:val="0006530A"/>
    <w:rsid w:val="00065379"/>
    <w:rsid w:val="00065A67"/>
    <w:rsid w:val="00066221"/>
    <w:rsid w:val="00066FAA"/>
    <w:rsid w:val="000677C9"/>
    <w:rsid w:val="000678A5"/>
    <w:rsid w:val="00067CE0"/>
    <w:rsid w:val="0007086C"/>
    <w:rsid w:val="00071755"/>
    <w:rsid w:val="00071E62"/>
    <w:rsid w:val="000728BE"/>
    <w:rsid w:val="00072BA6"/>
    <w:rsid w:val="00073B8E"/>
    <w:rsid w:val="000742ED"/>
    <w:rsid w:val="00076491"/>
    <w:rsid w:val="00076979"/>
    <w:rsid w:val="00077930"/>
    <w:rsid w:val="000802B7"/>
    <w:rsid w:val="00080845"/>
    <w:rsid w:val="00080ED6"/>
    <w:rsid w:val="00081736"/>
    <w:rsid w:val="00081E5C"/>
    <w:rsid w:val="00081E6A"/>
    <w:rsid w:val="00081F03"/>
    <w:rsid w:val="000827CA"/>
    <w:rsid w:val="00082C75"/>
    <w:rsid w:val="00082D1A"/>
    <w:rsid w:val="000831DD"/>
    <w:rsid w:val="00083529"/>
    <w:rsid w:val="00084265"/>
    <w:rsid w:val="0008466C"/>
    <w:rsid w:val="00085075"/>
    <w:rsid w:val="000851E1"/>
    <w:rsid w:val="00085690"/>
    <w:rsid w:val="00086A04"/>
    <w:rsid w:val="00086DF3"/>
    <w:rsid w:val="00086FC1"/>
    <w:rsid w:val="00090ADF"/>
    <w:rsid w:val="00090B68"/>
    <w:rsid w:val="00091111"/>
    <w:rsid w:val="00091746"/>
    <w:rsid w:val="00092F3C"/>
    <w:rsid w:val="00093D2A"/>
    <w:rsid w:val="000945FD"/>
    <w:rsid w:val="0009464C"/>
    <w:rsid w:val="000947A3"/>
    <w:rsid w:val="00095EB9"/>
    <w:rsid w:val="00097436"/>
    <w:rsid w:val="0009769A"/>
    <w:rsid w:val="000A096F"/>
    <w:rsid w:val="000A1B10"/>
    <w:rsid w:val="000A1EC0"/>
    <w:rsid w:val="000A1F17"/>
    <w:rsid w:val="000A249C"/>
    <w:rsid w:val="000A28DB"/>
    <w:rsid w:val="000A3D9C"/>
    <w:rsid w:val="000A4345"/>
    <w:rsid w:val="000A4D84"/>
    <w:rsid w:val="000A5BCB"/>
    <w:rsid w:val="000A6867"/>
    <w:rsid w:val="000B020C"/>
    <w:rsid w:val="000B0322"/>
    <w:rsid w:val="000B060E"/>
    <w:rsid w:val="000B22DA"/>
    <w:rsid w:val="000B2FCB"/>
    <w:rsid w:val="000B3C08"/>
    <w:rsid w:val="000B486A"/>
    <w:rsid w:val="000B49CA"/>
    <w:rsid w:val="000B647B"/>
    <w:rsid w:val="000B6E5A"/>
    <w:rsid w:val="000B6E74"/>
    <w:rsid w:val="000B6F69"/>
    <w:rsid w:val="000B7C3D"/>
    <w:rsid w:val="000B7E14"/>
    <w:rsid w:val="000C1970"/>
    <w:rsid w:val="000C2C3A"/>
    <w:rsid w:val="000C383C"/>
    <w:rsid w:val="000C3F3F"/>
    <w:rsid w:val="000C4415"/>
    <w:rsid w:val="000C4CDA"/>
    <w:rsid w:val="000C5223"/>
    <w:rsid w:val="000C5B64"/>
    <w:rsid w:val="000C5BB3"/>
    <w:rsid w:val="000C73E8"/>
    <w:rsid w:val="000D069C"/>
    <w:rsid w:val="000D0ACC"/>
    <w:rsid w:val="000D0D1D"/>
    <w:rsid w:val="000D12B2"/>
    <w:rsid w:val="000D24AD"/>
    <w:rsid w:val="000D2845"/>
    <w:rsid w:val="000D2CDD"/>
    <w:rsid w:val="000D3255"/>
    <w:rsid w:val="000D337B"/>
    <w:rsid w:val="000D3459"/>
    <w:rsid w:val="000D362A"/>
    <w:rsid w:val="000D3C10"/>
    <w:rsid w:val="000D3D53"/>
    <w:rsid w:val="000D4743"/>
    <w:rsid w:val="000D4A47"/>
    <w:rsid w:val="000D51B9"/>
    <w:rsid w:val="000D5712"/>
    <w:rsid w:val="000D5D2C"/>
    <w:rsid w:val="000D62AF"/>
    <w:rsid w:val="000D6F85"/>
    <w:rsid w:val="000D76F1"/>
    <w:rsid w:val="000D7FE0"/>
    <w:rsid w:val="000E0128"/>
    <w:rsid w:val="000E01F1"/>
    <w:rsid w:val="000E030C"/>
    <w:rsid w:val="000E052B"/>
    <w:rsid w:val="000E0E9D"/>
    <w:rsid w:val="000E100D"/>
    <w:rsid w:val="000E1184"/>
    <w:rsid w:val="000E1301"/>
    <w:rsid w:val="000E1641"/>
    <w:rsid w:val="000E252A"/>
    <w:rsid w:val="000E3279"/>
    <w:rsid w:val="000E341E"/>
    <w:rsid w:val="000E3902"/>
    <w:rsid w:val="000E3957"/>
    <w:rsid w:val="000E4474"/>
    <w:rsid w:val="000E447A"/>
    <w:rsid w:val="000E4497"/>
    <w:rsid w:val="000E4856"/>
    <w:rsid w:val="000E5067"/>
    <w:rsid w:val="000E5655"/>
    <w:rsid w:val="000E65B3"/>
    <w:rsid w:val="000E7AEC"/>
    <w:rsid w:val="000F06A6"/>
    <w:rsid w:val="000F25E0"/>
    <w:rsid w:val="000F27AA"/>
    <w:rsid w:val="000F47CA"/>
    <w:rsid w:val="000F5732"/>
    <w:rsid w:val="000F5B72"/>
    <w:rsid w:val="000F5F06"/>
    <w:rsid w:val="000F5FB8"/>
    <w:rsid w:val="000F746A"/>
    <w:rsid w:val="0010086E"/>
    <w:rsid w:val="00102861"/>
    <w:rsid w:val="001035D9"/>
    <w:rsid w:val="00103A89"/>
    <w:rsid w:val="00103AC3"/>
    <w:rsid w:val="00103BF5"/>
    <w:rsid w:val="00103F31"/>
    <w:rsid w:val="00104428"/>
    <w:rsid w:val="00106495"/>
    <w:rsid w:val="00106CCE"/>
    <w:rsid w:val="001070F4"/>
    <w:rsid w:val="00110932"/>
    <w:rsid w:val="00112C6B"/>
    <w:rsid w:val="00113F1B"/>
    <w:rsid w:val="00113FA7"/>
    <w:rsid w:val="00114F78"/>
    <w:rsid w:val="00115DAC"/>
    <w:rsid w:val="001160DA"/>
    <w:rsid w:val="0011651C"/>
    <w:rsid w:val="00116A55"/>
    <w:rsid w:val="00116B93"/>
    <w:rsid w:val="00116EDA"/>
    <w:rsid w:val="00117B17"/>
    <w:rsid w:val="00120067"/>
    <w:rsid w:val="001201A8"/>
    <w:rsid w:val="00120874"/>
    <w:rsid w:val="00121EB7"/>
    <w:rsid w:val="00121F4B"/>
    <w:rsid w:val="00122103"/>
    <w:rsid w:val="00122760"/>
    <w:rsid w:val="0012397D"/>
    <w:rsid w:val="00123E90"/>
    <w:rsid w:val="00123EF6"/>
    <w:rsid w:val="00124444"/>
    <w:rsid w:val="0012458B"/>
    <w:rsid w:val="00124891"/>
    <w:rsid w:val="00124DAE"/>
    <w:rsid w:val="0012550C"/>
    <w:rsid w:val="00125AF9"/>
    <w:rsid w:val="00125B0C"/>
    <w:rsid w:val="00126235"/>
    <w:rsid w:val="00126742"/>
    <w:rsid w:val="001267C9"/>
    <w:rsid w:val="00126809"/>
    <w:rsid w:val="00126B02"/>
    <w:rsid w:val="001278AE"/>
    <w:rsid w:val="00127950"/>
    <w:rsid w:val="00127BB9"/>
    <w:rsid w:val="00127E1C"/>
    <w:rsid w:val="0013021D"/>
    <w:rsid w:val="00130800"/>
    <w:rsid w:val="0013092A"/>
    <w:rsid w:val="001309C4"/>
    <w:rsid w:val="001310D8"/>
    <w:rsid w:val="00131CC1"/>
    <w:rsid w:val="001322D6"/>
    <w:rsid w:val="0013240F"/>
    <w:rsid w:val="00132545"/>
    <w:rsid w:val="001334F5"/>
    <w:rsid w:val="001338CE"/>
    <w:rsid w:val="001342EB"/>
    <w:rsid w:val="00134710"/>
    <w:rsid w:val="00135492"/>
    <w:rsid w:val="0013599C"/>
    <w:rsid w:val="00137B2B"/>
    <w:rsid w:val="001408D4"/>
    <w:rsid w:val="00140B3F"/>
    <w:rsid w:val="0014130C"/>
    <w:rsid w:val="00141F39"/>
    <w:rsid w:val="001425A3"/>
    <w:rsid w:val="001433AC"/>
    <w:rsid w:val="00143742"/>
    <w:rsid w:val="0014422B"/>
    <w:rsid w:val="0014445A"/>
    <w:rsid w:val="00145AE6"/>
    <w:rsid w:val="00145C45"/>
    <w:rsid w:val="00145D19"/>
    <w:rsid w:val="0014625A"/>
    <w:rsid w:val="00146B62"/>
    <w:rsid w:val="00146E2E"/>
    <w:rsid w:val="00150A2F"/>
    <w:rsid w:val="0015101C"/>
    <w:rsid w:val="00151FA5"/>
    <w:rsid w:val="001520AF"/>
    <w:rsid w:val="00152C21"/>
    <w:rsid w:val="001533A1"/>
    <w:rsid w:val="00153C9E"/>
    <w:rsid w:val="00153D34"/>
    <w:rsid w:val="001542AF"/>
    <w:rsid w:val="00156113"/>
    <w:rsid w:val="0015637F"/>
    <w:rsid w:val="0015728F"/>
    <w:rsid w:val="00157438"/>
    <w:rsid w:val="00160DA5"/>
    <w:rsid w:val="00161A9D"/>
    <w:rsid w:val="0016253C"/>
    <w:rsid w:val="00162718"/>
    <w:rsid w:val="001630FE"/>
    <w:rsid w:val="0016376A"/>
    <w:rsid w:val="00163CEB"/>
    <w:rsid w:val="00164335"/>
    <w:rsid w:val="0016443A"/>
    <w:rsid w:val="00164655"/>
    <w:rsid w:val="0016485E"/>
    <w:rsid w:val="001651E4"/>
    <w:rsid w:val="0016585F"/>
    <w:rsid w:val="0016590F"/>
    <w:rsid w:val="001672F9"/>
    <w:rsid w:val="00170143"/>
    <w:rsid w:val="00170B7A"/>
    <w:rsid w:val="00170F16"/>
    <w:rsid w:val="00170FF7"/>
    <w:rsid w:val="00171ECC"/>
    <w:rsid w:val="00171F28"/>
    <w:rsid w:val="00172558"/>
    <w:rsid w:val="00172B2A"/>
    <w:rsid w:val="0017359A"/>
    <w:rsid w:val="001741C7"/>
    <w:rsid w:val="00174B5A"/>
    <w:rsid w:val="00174FED"/>
    <w:rsid w:val="001752EA"/>
    <w:rsid w:val="00175AA9"/>
    <w:rsid w:val="00176AB9"/>
    <w:rsid w:val="00177432"/>
    <w:rsid w:val="001775F0"/>
    <w:rsid w:val="00177D64"/>
    <w:rsid w:val="00180CEB"/>
    <w:rsid w:val="001811E8"/>
    <w:rsid w:val="00181A56"/>
    <w:rsid w:val="00181B68"/>
    <w:rsid w:val="0018215B"/>
    <w:rsid w:val="0018235B"/>
    <w:rsid w:val="00182645"/>
    <w:rsid w:val="00182F41"/>
    <w:rsid w:val="0018301E"/>
    <w:rsid w:val="00183787"/>
    <w:rsid w:val="0018410F"/>
    <w:rsid w:val="001848EB"/>
    <w:rsid w:val="00185200"/>
    <w:rsid w:val="00185B7B"/>
    <w:rsid w:val="00185D76"/>
    <w:rsid w:val="00186416"/>
    <w:rsid w:val="00186584"/>
    <w:rsid w:val="0018796B"/>
    <w:rsid w:val="00187D2E"/>
    <w:rsid w:val="00190126"/>
    <w:rsid w:val="001902BB"/>
    <w:rsid w:val="00191589"/>
    <w:rsid w:val="00192CD9"/>
    <w:rsid w:val="00192EFD"/>
    <w:rsid w:val="001932E2"/>
    <w:rsid w:val="00193738"/>
    <w:rsid w:val="0019484B"/>
    <w:rsid w:val="00194959"/>
    <w:rsid w:val="00197502"/>
    <w:rsid w:val="00197C7C"/>
    <w:rsid w:val="00197D26"/>
    <w:rsid w:val="001A07E5"/>
    <w:rsid w:val="001A13ED"/>
    <w:rsid w:val="001A1A1C"/>
    <w:rsid w:val="001A1B24"/>
    <w:rsid w:val="001A3BDF"/>
    <w:rsid w:val="001A40B0"/>
    <w:rsid w:val="001A445E"/>
    <w:rsid w:val="001A4749"/>
    <w:rsid w:val="001A59C1"/>
    <w:rsid w:val="001A6B5F"/>
    <w:rsid w:val="001A6F1B"/>
    <w:rsid w:val="001A75B9"/>
    <w:rsid w:val="001A779A"/>
    <w:rsid w:val="001A7B50"/>
    <w:rsid w:val="001A7FA2"/>
    <w:rsid w:val="001B1B96"/>
    <w:rsid w:val="001B1D68"/>
    <w:rsid w:val="001B1F5E"/>
    <w:rsid w:val="001B2BBE"/>
    <w:rsid w:val="001B389E"/>
    <w:rsid w:val="001B427F"/>
    <w:rsid w:val="001B64A0"/>
    <w:rsid w:val="001B6B66"/>
    <w:rsid w:val="001B72D0"/>
    <w:rsid w:val="001B730A"/>
    <w:rsid w:val="001B797F"/>
    <w:rsid w:val="001C01FF"/>
    <w:rsid w:val="001C2183"/>
    <w:rsid w:val="001C22A4"/>
    <w:rsid w:val="001C2A5E"/>
    <w:rsid w:val="001C2A98"/>
    <w:rsid w:val="001C2C79"/>
    <w:rsid w:val="001C2CDA"/>
    <w:rsid w:val="001C2DF8"/>
    <w:rsid w:val="001C410F"/>
    <w:rsid w:val="001C4470"/>
    <w:rsid w:val="001C44F5"/>
    <w:rsid w:val="001C4AFD"/>
    <w:rsid w:val="001C577A"/>
    <w:rsid w:val="001C60D6"/>
    <w:rsid w:val="001C6428"/>
    <w:rsid w:val="001C668F"/>
    <w:rsid w:val="001C6964"/>
    <w:rsid w:val="001C6AF2"/>
    <w:rsid w:val="001C7458"/>
    <w:rsid w:val="001C74CB"/>
    <w:rsid w:val="001C788E"/>
    <w:rsid w:val="001C7AAD"/>
    <w:rsid w:val="001D001F"/>
    <w:rsid w:val="001D0382"/>
    <w:rsid w:val="001D0962"/>
    <w:rsid w:val="001D1D64"/>
    <w:rsid w:val="001D4E19"/>
    <w:rsid w:val="001D4FBC"/>
    <w:rsid w:val="001D55ED"/>
    <w:rsid w:val="001D650B"/>
    <w:rsid w:val="001D6CD1"/>
    <w:rsid w:val="001D6EA6"/>
    <w:rsid w:val="001D7866"/>
    <w:rsid w:val="001D7CE2"/>
    <w:rsid w:val="001D7D7A"/>
    <w:rsid w:val="001E0925"/>
    <w:rsid w:val="001E1AB5"/>
    <w:rsid w:val="001E1D54"/>
    <w:rsid w:val="001E3EE6"/>
    <w:rsid w:val="001E4BC7"/>
    <w:rsid w:val="001E51C5"/>
    <w:rsid w:val="001E52B9"/>
    <w:rsid w:val="001E53E3"/>
    <w:rsid w:val="001E5423"/>
    <w:rsid w:val="001E5E1C"/>
    <w:rsid w:val="001E6C9B"/>
    <w:rsid w:val="001E717C"/>
    <w:rsid w:val="001F0458"/>
    <w:rsid w:val="001F0852"/>
    <w:rsid w:val="001F0888"/>
    <w:rsid w:val="001F0DE8"/>
    <w:rsid w:val="001F1553"/>
    <w:rsid w:val="001F1B82"/>
    <w:rsid w:val="001F2450"/>
    <w:rsid w:val="001F2980"/>
    <w:rsid w:val="001F3433"/>
    <w:rsid w:val="001F3AA6"/>
    <w:rsid w:val="001F42DC"/>
    <w:rsid w:val="001F4EB8"/>
    <w:rsid w:val="001F6090"/>
    <w:rsid w:val="001F629F"/>
    <w:rsid w:val="001F6342"/>
    <w:rsid w:val="002002BD"/>
    <w:rsid w:val="002009A0"/>
    <w:rsid w:val="00200C0D"/>
    <w:rsid w:val="00200E28"/>
    <w:rsid w:val="00200E7C"/>
    <w:rsid w:val="00200F83"/>
    <w:rsid w:val="00201A37"/>
    <w:rsid w:val="00202895"/>
    <w:rsid w:val="00202B23"/>
    <w:rsid w:val="00204252"/>
    <w:rsid w:val="00205C62"/>
    <w:rsid w:val="00206854"/>
    <w:rsid w:val="00206F68"/>
    <w:rsid w:val="00207F17"/>
    <w:rsid w:val="0021171A"/>
    <w:rsid w:val="00211B6A"/>
    <w:rsid w:val="0021285B"/>
    <w:rsid w:val="00212AAF"/>
    <w:rsid w:val="00212AEE"/>
    <w:rsid w:val="002130C6"/>
    <w:rsid w:val="002136CD"/>
    <w:rsid w:val="002142C7"/>
    <w:rsid w:val="00214348"/>
    <w:rsid w:val="00214F62"/>
    <w:rsid w:val="002157AC"/>
    <w:rsid w:val="002162F4"/>
    <w:rsid w:val="00216A0B"/>
    <w:rsid w:val="002174FD"/>
    <w:rsid w:val="002202C8"/>
    <w:rsid w:val="00221C8C"/>
    <w:rsid w:val="00222265"/>
    <w:rsid w:val="00222296"/>
    <w:rsid w:val="00222FDC"/>
    <w:rsid w:val="00223082"/>
    <w:rsid w:val="002234DA"/>
    <w:rsid w:val="00224051"/>
    <w:rsid w:val="002246FF"/>
    <w:rsid w:val="002251E0"/>
    <w:rsid w:val="0022545A"/>
    <w:rsid w:val="00225481"/>
    <w:rsid w:val="00225BC3"/>
    <w:rsid w:val="0022622F"/>
    <w:rsid w:val="002265E2"/>
    <w:rsid w:val="0022734D"/>
    <w:rsid w:val="002274DB"/>
    <w:rsid w:val="002278A9"/>
    <w:rsid w:val="00227EE8"/>
    <w:rsid w:val="00230224"/>
    <w:rsid w:val="002304A8"/>
    <w:rsid w:val="002313A4"/>
    <w:rsid w:val="00231E77"/>
    <w:rsid w:val="00232E64"/>
    <w:rsid w:val="00235EFE"/>
    <w:rsid w:val="002361E9"/>
    <w:rsid w:val="002367B7"/>
    <w:rsid w:val="00236844"/>
    <w:rsid w:val="0023700D"/>
    <w:rsid w:val="0023703F"/>
    <w:rsid w:val="00237F00"/>
    <w:rsid w:val="00240F2D"/>
    <w:rsid w:val="0024223B"/>
    <w:rsid w:val="002422F5"/>
    <w:rsid w:val="002424F2"/>
    <w:rsid w:val="0024323F"/>
    <w:rsid w:val="00243D67"/>
    <w:rsid w:val="0024429E"/>
    <w:rsid w:val="00244311"/>
    <w:rsid w:val="00244F91"/>
    <w:rsid w:val="002455C6"/>
    <w:rsid w:val="00245CB6"/>
    <w:rsid w:val="00247052"/>
    <w:rsid w:val="00247458"/>
    <w:rsid w:val="00250828"/>
    <w:rsid w:val="00252126"/>
    <w:rsid w:val="00252130"/>
    <w:rsid w:val="002529A7"/>
    <w:rsid w:val="00252E12"/>
    <w:rsid w:val="0025336E"/>
    <w:rsid w:val="0025385C"/>
    <w:rsid w:val="002539C2"/>
    <w:rsid w:val="002547BD"/>
    <w:rsid w:val="00254FEB"/>
    <w:rsid w:val="002550C8"/>
    <w:rsid w:val="00255B41"/>
    <w:rsid w:val="00256142"/>
    <w:rsid w:val="00256148"/>
    <w:rsid w:val="002561B7"/>
    <w:rsid w:val="002567E4"/>
    <w:rsid w:val="00256F6A"/>
    <w:rsid w:val="002574E1"/>
    <w:rsid w:val="00260FA6"/>
    <w:rsid w:val="0026139E"/>
    <w:rsid w:val="00262E04"/>
    <w:rsid w:val="00264022"/>
    <w:rsid w:val="00264259"/>
    <w:rsid w:val="0026464B"/>
    <w:rsid w:val="00264B8C"/>
    <w:rsid w:val="002658C5"/>
    <w:rsid w:val="00265D0F"/>
    <w:rsid w:val="00266327"/>
    <w:rsid w:val="002669E9"/>
    <w:rsid w:val="0026729B"/>
    <w:rsid w:val="00267E50"/>
    <w:rsid w:val="00270C1D"/>
    <w:rsid w:val="00271E61"/>
    <w:rsid w:val="00272B80"/>
    <w:rsid w:val="0027319E"/>
    <w:rsid w:val="00273FA5"/>
    <w:rsid w:val="0027408F"/>
    <w:rsid w:val="00274A55"/>
    <w:rsid w:val="0027571B"/>
    <w:rsid w:val="00275C14"/>
    <w:rsid w:val="0027619B"/>
    <w:rsid w:val="0027661D"/>
    <w:rsid w:val="00277CA3"/>
    <w:rsid w:val="00280254"/>
    <w:rsid w:val="0028066C"/>
    <w:rsid w:val="002809E4"/>
    <w:rsid w:val="00282E11"/>
    <w:rsid w:val="00282EC8"/>
    <w:rsid w:val="00282FC2"/>
    <w:rsid w:val="00283617"/>
    <w:rsid w:val="0028395D"/>
    <w:rsid w:val="002856FC"/>
    <w:rsid w:val="00285886"/>
    <w:rsid w:val="00286454"/>
    <w:rsid w:val="0028677E"/>
    <w:rsid w:val="002873BE"/>
    <w:rsid w:val="00287EBC"/>
    <w:rsid w:val="00290218"/>
    <w:rsid w:val="00291BAF"/>
    <w:rsid w:val="00291D87"/>
    <w:rsid w:val="0029241B"/>
    <w:rsid w:val="002944D0"/>
    <w:rsid w:val="00295527"/>
    <w:rsid w:val="002960DC"/>
    <w:rsid w:val="00296579"/>
    <w:rsid w:val="00296898"/>
    <w:rsid w:val="00296ADE"/>
    <w:rsid w:val="002975A8"/>
    <w:rsid w:val="002977E6"/>
    <w:rsid w:val="002978E5"/>
    <w:rsid w:val="00297B55"/>
    <w:rsid w:val="00297B72"/>
    <w:rsid w:val="002A0BFC"/>
    <w:rsid w:val="002A136E"/>
    <w:rsid w:val="002A1D52"/>
    <w:rsid w:val="002A2026"/>
    <w:rsid w:val="002A24B2"/>
    <w:rsid w:val="002A2961"/>
    <w:rsid w:val="002A3855"/>
    <w:rsid w:val="002A4036"/>
    <w:rsid w:val="002A4C30"/>
    <w:rsid w:val="002A53A9"/>
    <w:rsid w:val="002A59ED"/>
    <w:rsid w:val="002A70A9"/>
    <w:rsid w:val="002A7C85"/>
    <w:rsid w:val="002B020B"/>
    <w:rsid w:val="002B0C42"/>
    <w:rsid w:val="002B139E"/>
    <w:rsid w:val="002B1603"/>
    <w:rsid w:val="002B35F7"/>
    <w:rsid w:val="002B384D"/>
    <w:rsid w:val="002B41E4"/>
    <w:rsid w:val="002B590C"/>
    <w:rsid w:val="002B60CA"/>
    <w:rsid w:val="002B6929"/>
    <w:rsid w:val="002B6E52"/>
    <w:rsid w:val="002B6F94"/>
    <w:rsid w:val="002C167B"/>
    <w:rsid w:val="002C21FC"/>
    <w:rsid w:val="002C2223"/>
    <w:rsid w:val="002C2663"/>
    <w:rsid w:val="002C2ACD"/>
    <w:rsid w:val="002C2CF7"/>
    <w:rsid w:val="002C3EAB"/>
    <w:rsid w:val="002C4410"/>
    <w:rsid w:val="002C4435"/>
    <w:rsid w:val="002C48BD"/>
    <w:rsid w:val="002C4B89"/>
    <w:rsid w:val="002C4CC0"/>
    <w:rsid w:val="002C6A9B"/>
    <w:rsid w:val="002C6FFF"/>
    <w:rsid w:val="002C724B"/>
    <w:rsid w:val="002C789A"/>
    <w:rsid w:val="002D0E7C"/>
    <w:rsid w:val="002D1398"/>
    <w:rsid w:val="002D18CF"/>
    <w:rsid w:val="002D19AE"/>
    <w:rsid w:val="002D19C8"/>
    <w:rsid w:val="002D1C12"/>
    <w:rsid w:val="002D1C88"/>
    <w:rsid w:val="002D1E53"/>
    <w:rsid w:val="002D215C"/>
    <w:rsid w:val="002D3A09"/>
    <w:rsid w:val="002D3A8F"/>
    <w:rsid w:val="002D3BA9"/>
    <w:rsid w:val="002D3F52"/>
    <w:rsid w:val="002D400F"/>
    <w:rsid w:val="002D46D3"/>
    <w:rsid w:val="002D50CC"/>
    <w:rsid w:val="002D7F7D"/>
    <w:rsid w:val="002E058C"/>
    <w:rsid w:val="002E0915"/>
    <w:rsid w:val="002E113A"/>
    <w:rsid w:val="002E1286"/>
    <w:rsid w:val="002E1742"/>
    <w:rsid w:val="002E261C"/>
    <w:rsid w:val="002E2EB3"/>
    <w:rsid w:val="002E3BC1"/>
    <w:rsid w:val="002E58B3"/>
    <w:rsid w:val="002E6061"/>
    <w:rsid w:val="002E60F5"/>
    <w:rsid w:val="002E6BD0"/>
    <w:rsid w:val="002E6C47"/>
    <w:rsid w:val="002E7661"/>
    <w:rsid w:val="002E7F97"/>
    <w:rsid w:val="002F03A2"/>
    <w:rsid w:val="002F18FB"/>
    <w:rsid w:val="002F1C81"/>
    <w:rsid w:val="002F3FB9"/>
    <w:rsid w:val="002F3FDC"/>
    <w:rsid w:val="002F41E0"/>
    <w:rsid w:val="002F42AD"/>
    <w:rsid w:val="002F6A0D"/>
    <w:rsid w:val="002F6BC7"/>
    <w:rsid w:val="002F70A0"/>
    <w:rsid w:val="002F7D10"/>
    <w:rsid w:val="00300910"/>
    <w:rsid w:val="00301946"/>
    <w:rsid w:val="003024D6"/>
    <w:rsid w:val="00303006"/>
    <w:rsid w:val="0030322A"/>
    <w:rsid w:val="00304E89"/>
    <w:rsid w:val="00305095"/>
    <w:rsid w:val="0030576B"/>
    <w:rsid w:val="00305A4B"/>
    <w:rsid w:val="00306AEA"/>
    <w:rsid w:val="00306FB7"/>
    <w:rsid w:val="0030795F"/>
    <w:rsid w:val="00310321"/>
    <w:rsid w:val="003104AF"/>
    <w:rsid w:val="0031051B"/>
    <w:rsid w:val="003109E4"/>
    <w:rsid w:val="00311AA8"/>
    <w:rsid w:val="003123CB"/>
    <w:rsid w:val="00312D21"/>
    <w:rsid w:val="00312D2B"/>
    <w:rsid w:val="003139C6"/>
    <w:rsid w:val="00313F9A"/>
    <w:rsid w:val="00314CA9"/>
    <w:rsid w:val="00315B9E"/>
    <w:rsid w:val="00315E58"/>
    <w:rsid w:val="00316467"/>
    <w:rsid w:val="00316F80"/>
    <w:rsid w:val="003170F5"/>
    <w:rsid w:val="003174CC"/>
    <w:rsid w:val="0031776F"/>
    <w:rsid w:val="0032089C"/>
    <w:rsid w:val="00320B3B"/>
    <w:rsid w:val="003211B6"/>
    <w:rsid w:val="00321FC0"/>
    <w:rsid w:val="0032247C"/>
    <w:rsid w:val="00322A5B"/>
    <w:rsid w:val="00323163"/>
    <w:rsid w:val="003235DC"/>
    <w:rsid w:val="00323C56"/>
    <w:rsid w:val="003242D7"/>
    <w:rsid w:val="00325D3B"/>
    <w:rsid w:val="00326F2C"/>
    <w:rsid w:val="00327768"/>
    <w:rsid w:val="003279BD"/>
    <w:rsid w:val="00330137"/>
    <w:rsid w:val="00330243"/>
    <w:rsid w:val="0033047C"/>
    <w:rsid w:val="00331BC6"/>
    <w:rsid w:val="00332156"/>
    <w:rsid w:val="00332E91"/>
    <w:rsid w:val="00333479"/>
    <w:rsid w:val="00333B9D"/>
    <w:rsid w:val="00333BD4"/>
    <w:rsid w:val="0033446A"/>
    <w:rsid w:val="003346E9"/>
    <w:rsid w:val="00334E4E"/>
    <w:rsid w:val="003351D9"/>
    <w:rsid w:val="00335FB5"/>
    <w:rsid w:val="00336523"/>
    <w:rsid w:val="00337CC6"/>
    <w:rsid w:val="00337DEF"/>
    <w:rsid w:val="003405BD"/>
    <w:rsid w:val="00341C1B"/>
    <w:rsid w:val="0034238E"/>
    <w:rsid w:val="0034275F"/>
    <w:rsid w:val="00342D27"/>
    <w:rsid w:val="00343628"/>
    <w:rsid w:val="00344C26"/>
    <w:rsid w:val="00345551"/>
    <w:rsid w:val="00346855"/>
    <w:rsid w:val="00346A47"/>
    <w:rsid w:val="00346BBD"/>
    <w:rsid w:val="00346C8A"/>
    <w:rsid w:val="00350420"/>
    <w:rsid w:val="0035067C"/>
    <w:rsid w:val="00351314"/>
    <w:rsid w:val="00351B58"/>
    <w:rsid w:val="00351CBA"/>
    <w:rsid w:val="00352066"/>
    <w:rsid w:val="00352681"/>
    <w:rsid w:val="00353960"/>
    <w:rsid w:val="00353A29"/>
    <w:rsid w:val="00353B3D"/>
    <w:rsid w:val="00353CA2"/>
    <w:rsid w:val="00354FD5"/>
    <w:rsid w:val="00355709"/>
    <w:rsid w:val="00355D98"/>
    <w:rsid w:val="003568D0"/>
    <w:rsid w:val="00357800"/>
    <w:rsid w:val="00357854"/>
    <w:rsid w:val="00357B62"/>
    <w:rsid w:val="00357B9E"/>
    <w:rsid w:val="00357E4D"/>
    <w:rsid w:val="00357EEC"/>
    <w:rsid w:val="00360836"/>
    <w:rsid w:val="00360B0C"/>
    <w:rsid w:val="00360CFA"/>
    <w:rsid w:val="003613A4"/>
    <w:rsid w:val="003636C1"/>
    <w:rsid w:val="003637FD"/>
    <w:rsid w:val="0036385B"/>
    <w:rsid w:val="00363F17"/>
    <w:rsid w:val="00364041"/>
    <w:rsid w:val="003642DA"/>
    <w:rsid w:val="00364C77"/>
    <w:rsid w:val="00364D0E"/>
    <w:rsid w:val="00364ED6"/>
    <w:rsid w:val="0036596A"/>
    <w:rsid w:val="00365E3B"/>
    <w:rsid w:val="00370065"/>
    <w:rsid w:val="00370504"/>
    <w:rsid w:val="00371942"/>
    <w:rsid w:val="00371C0C"/>
    <w:rsid w:val="00371DA9"/>
    <w:rsid w:val="00371F1A"/>
    <w:rsid w:val="00372444"/>
    <w:rsid w:val="003739F8"/>
    <w:rsid w:val="00373E9A"/>
    <w:rsid w:val="00373EA9"/>
    <w:rsid w:val="00374269"/>
    <w:rsid w:val="00374306"/>
    <w:rsid w:val="00374F1B"/>
    <w:rsid w:val="00375183"/>
    <w:rsid w:val="00375EF2"/>
    <w:rsid w:val="00376596"/>
    <w:rsid w:val="0037667F"/>
    <w:rsid w:val="00376CF1"/>
    <w:rsid w:val="00377251"/>
    <w:rsid w:val="00381636"/>
    <w:rsid w:val="00381B21"/>
    <w:rsid w:val="00383556"/>
    <w:rsid w:val="00383C28"/>
    <w:rsid w:val="00383F33"/>
    <w:rsid w:val="003843D8"/>
    <w:rsid w:val="00385340"/>
    <w:rsid w:val="00385ED8"/>
    <w:rsid w:val="00387FC5"/>
    <w:rsid w:val="00390B30"/>
    <w:rsid w:val="00390D6F"/>
    <w:rsid w:val="00391276"/>
    <w:rsid w:val="003919C0"/>
    <w:rsid w:val="00391B34"/>
    <w:rsid w:val="003922BA"/>
    <w:rsid w:val="00392631"/>
    <w:rsid w:val="00393017"/>
    <w:rsid w:val="00393DEF"/>
    <w:rsid w:val="00393F63"/>
    <w:rsid w:val="003944CB"/>
    <w:rsid w:val="003945C8"/>
    <w:rsid w:val="00394CAB"/>
    <w:rsid w:val="003958DE"/>
    <w:rsid w:val="00395998"/>
    <w:rsid w:val="00395E10"/>
    <w:rsid w:val="00396B36"/>
    <w:rsid w:val="003977FF"/>
    <w:rsid w:val="00397A0B"/>
    <w:rsid w:val="003A06E2"/>
    <w:rsid w:val="003A0BD1"/>
    <w:rsid w:val="003A15DC"/>
    <w:rsid w:val="003A17FA"/>
    <w:rsid w:val="003A1E6F"/>
    <w:rsid w:val="003A38A4"/>
    <w:rsid w:val="003A44A4"/>
    <w:rsid w:val="003A4D8E"/>
    <w:rsid w:val="003A5801"/>
    <w:rsid w:val="003A6366"/>
    <w:rsid w:val="003A63A1"/>
    <w:rsid w:val="003B0E4C"/>
    <w:rsid w:val="003B18D2"/>
    <w:rsid w:val="003B1B50"/>
    <w:rsid w:val="003B1BD5"/>
    <w:rsid w:val="003B2178"/>
    <w:rsid w:val="003B26C1"/>
    <w:rsid w:val="003B30CE"/>
    <w:rsid w:val="003B3811"/>
    <w:rsid w:val="003B4C18"/>
    <w:rsid w:val="003B4CA7"/>
    <w:rsid w:val="003B6853"/>
    <w:rsid w:val="003B76B2"/>
    <w:rsid w:val="003C0D51"/>
    <w:rsid w:val="003C1278"/>
    <w:rsid w:val="003C1739"/>
    <w:rsid w:val="003C235C"/>
    <w:rsid w:val="003C2A74"/>
    <w:rsid w:val="003C3844"/>
    <w:rsid w:val="003C3914"/>
    <w:rsid w:val="003C413A"/>
    <w:rsid w:val="003C497C"/>
    <w:rsid w:val="003C4B1D"/>
    <w:rsid w:val="003C6DC7"/>
    <w:rsid w:val="003C74D9"/>
    <w:rsid w:val="003C7E63"/>
    <w:rsid w:val="003C7F32"/>
    <w:rsid w:val="003D0658"/>
    <w:rsid w:val="003D0B00"/>
    <w:rsid w:val="003D0C1B"/>
    <w:rsid w:val="003D1557"/>
    <w:rsid w:val="003D1D2F"/>
    <w:rsid w:val="003D1F5C"/>
    <w:rsid w:val="003D27EF"/>
    <w:rsid w:val="003D33D6"/>
    <w:rsid w:val="003D3478"/>
    <w:rsid w:val="003D3E7C"/>
    <w:rsid w:val="003D42B4"/>
    <w:rsid w:val="003D4A89"/>
    <w:rsid w:val="003D4C49"/>
    <w:rsid w:val="003D4F9B"/>
    <w:rsid w:val="003D4FA8"/>
    <w:rsid w:val="003D4FFB"/>
    <w:rsid w:val="003D5113"/>
    <w:rsid w:val="003D51AB"/>
    <w:rsid w:val="003D53D3"/>
    <w:rsid w:val="003D59E9"/>
    <w:rsid w:val="003D611E"/>
    <w:rsid w:val="003D6C12"/>
    <w:rsid w:val="003E0BD3"/>
    <w:rsid w:val="003E2948"/>
    <w:rsid w:val="003E2EA0"/>
    <w:rsid w:val="003E455B"/>
    <w:rsid w:val="003E490A"/>
    <w:rsid w:val="003E4F7C"/>
    <w:rsid w:val="003E611B"/>
    <w:rsid w:val="003E64BD"/>
    <w:rsid w:val="003E701D"/>
    <w:rsid w:val="003E74C1"/>
    <w:rsid w:val="003E7B12"/>
    <w:rsid w:val="003F05F6"/>
    <w:rsid w:val="003F0970"/>
    <w:rsid w:val="003F1603"/>
    <w:rsid w:val="003F17E9"/>
    <w:rsid w:val="003F248F"/>
    <w:rsid w:val="003F2E9F"/>
    <w:rsid w:val="003F3222"/>
    <w:rsid w:val="003F40DD"/>
    <w:rsid w:val="003F4219"/>
    <w:rsid w:val="003F45A4"/>
    <w:rsid w:val="003F4811"/>
    <w:rsid w:val="003F576F"/>
    <w:rsid w:val="003F5FE4"/>
    <w:rsid w:val="003F793E"/>
    <w:rsid w:val="003F7F99"/>
    <w:rsid w:val="004004FE"/>
    <w:rsid w:val="004028D8"/>
    <w:rsid w:val="004031B0"/>
    <w:rsid w:val="004032C2"/>
    <w:rsid w:val="00403BC4"/>
    <w:rsid w:val="0040410E"/>
    <w:rsid w:val="00404396"/>
    <w:rsid w:val="004043DF"/>
    <w:rsid w:val="004050DE"/>
    <w:rsid w:val="00405892"/>
    <w:rsid w:val="00406B0F"/>
    <w:rsid w:val="00406D2E"/>
    <w:rsid w:val="0041075B"/>
    <w:rsid w:val="004109A6"/>
    <w:rsid w:val="0041113C"/>
    <w:rsid w:val="0041133E"/>
    <w:rsid w:val="00413A98"/>
    <w:rsid w:val="00413E85"/>
    <w:rsid w:val="004150E4"/>
    <w:rsid w:val="0041611B"/>
    <w:rsid w:val="00420453"/>
    <w:rsid w:val="00420827"/>
    <w:rsid w:val="00420A8F"/>
    <w:rsid w:val="00420AA6"/>
    <w:rsid w:val="00420E34"/>
    <w:rsid w:val="0042124F"/>
    <w:rsid w:val="004213C8"/>
    <w:rsid w:val="004213EA"/>
    <w:rsid w:val="0042160E"/>
    <w:rsid w:val="00423270"/>
    <w:rsid w:val="00423EDD"/>
    <w:rsid w:val="00424DE7"/>
    <w:rsid w:val="00424E96"/>
    <w:rsid w:val="00425FBF"/>
    <w:rsid w:val="004260A6"/>
    <w:rsid w:val="00426612"/>
    <w:rsid w:val="00426C53"/>
    <w:rsid w:val="00427348"/>
    <w:rsid w:val="004279E2"/>
    <w:rsid w:val="00427FBD"/>
    <w:rsid w:val="004301F2"/>
    <w:rsid w:val="0043038D"/>
    <w:rsid w:val="004313FE"/>
    <w:rsid w:val="00432405"/>
    <w:rsid w:val="00432951"/>
    <w:rsid w:val="00433765"/>
    <w:rsid w:val="004345E1"/>
    <w:rsid w:val="00434F74"/>
    <w:rsid w:val="00434FA6"/>
    <w:rsid w:val="00435385"/>
    <w:rsid w:val="00435959"/>
    <w:rsid w:val="00435EE8"/>
    <w:rsid w:val="00436D80"/>
    <w:rsid w:val="00440A23"/>
    <w:rsid w:val="00440FE2"/>
    <w:rsid w:val="00441A09"/>
    <w:rsid w:val="00441C29"/>
    <w:rsid w:val="004422B2"/>
    <w:rsid w:val="004422C8"/>
    <w:rsid w:val="00442477"/>
    <w:rsid w:val="00442D93"/>
    <w:rsid w:val="00442E11"/>
    <w:rsid w:val="00443C71"/>
    <w:rsid w:val="00444961"/>
    <w:rsid w:val="00445499"/>
    <w:rsid w:val="004457EF"/>
    <w:rsid w:val="00446B8E"/>
    <w:rsid w:val="0044738B"/>
    <w:rsid w:val="00447BEC"/>
    <w:rsid w:val="00447F02"/>
    <w:rsid w:val="00450DCF"/>
    <w:rsid w:val="00452290"/>
    <w:rsid w:val="00452F36"/>
    <w:rsid w:val="00453C24"/>
    <w:rsid w:val="004557F4"/>
    <w:rsid w:val="00460E97"/>
    <w:rsid w:val="0046126D"/>
    <w:rsid w:val="00461B1F"/>
    <w:rsid w:val="00463B6D"/>
    <w:rsid w:val="00463DFB"/>
    <w:rsid w:val="0046485D"/>
    <w:rsid w:val="00464B8C"/>
    <w:rsid w:val="00465277"/>
    <w:rsid w:val="00466C77"/>
    <w:rsid w:val="00466DD6"/>
    <w:rsid w:val="00466E72"/>
    <w:rsid w:val="00466F94"/>
    <w:rsid w:val="0046790B"/>
    <w:rsid w:val="00467EE7"/>
    <w:rsid w:val="0047078C"/>
    <w:rsid w:val="004708F6"/>
    <w:rsid w:val="00470B28"/>
    <w:rsid w:val="00470D35"/>
    <w:rsid w:val="0047152C"/>
    <w:rsid w:val="00471737"/>
    <w:rsid w:val="00471C68"/>
    <w:rsid w:val="004722B1"/>
    <w:rsid w:val="00472B83"/>
    <w:rsid w:val="00472F17"/>
    <w:rsid w:val="00473217"/>
    <w:rsid w:val="00474A41"/>
    <w:rsid w:val="0047519A"/>
    <w:rsid w:val="004755C1"/>
    <w:rsid w:val="0047667A"/>
    <w:rsid w:val="0047679F"/>
    <w:rsid w:val="00476815"/>
    <w:rsid w:val="00476958"/>
    <w:rsid w:val="00477592"/>
    <w:rsid w:val="00477A50"/>
    <w:rsid w:val="00477DD3"/>
    <w:rsid w:val="00480227"/>
    <w:rsid w:val="0048067A"/>
    <w:rsid w:val="004808A1"/>
    <w:rsid w:val="004810F5"/>
    <w:rsid w:val="00481308"/>
    <w:rsid w:val="004814AC"/>
    <w:rsid w:val="00481CDF"/>
    <w:rsid w:val="004829B4"/>
    <w:rsid w:val="00483265"/>
    <w:rsid w:val="00483A66"/>
    <w:rsid w:val="00483DCA"/>
    <w:rsid w:val="00483F19"/>
    <w:rsid w:val="00484762"/>
    <w:rsid w:val="004855EC"/>
    <w:rsid w:val="004861AA"/>
    <w:rsid w:val="004863CD"/>
    <w:rsid w:val="004869C0"/>
    <w:rsid w:val="00486E70"/>
    <w:rsid w:val="004901A2"/>
    <w:rsid w:val="004901E9"/>
    <w:rsid w:val="00490480"/>
    <w:rsid w:val="00490757"/>
    <w:rsid w:val="00490AEF"/>
    <w:rsid w:val="00491DF0"/>
    <w:rsid w:val="004921D8"/>
    <w:rsid w:val="00492BC7"/>
    <w:rsid w:val="0049307E"/>
    <w:rsid w:val="004936EF"/>
    <w:rsid w:val="0049405E"/>
    <w:rsid w:val="00496EDE"/>
    <w:rsid w:val="004973AE"/>
    <w:rsid w:val="004A0BD3"/>
    <w:rsid w:val="004A0D62"/>
    <w:rsid w:val="004A1CC8"/>
    <w:rsid w:val="004A21AD"/>
    <w:rsid w:val="004A2FBF"/>
    <w:rsid w:val="004A42DB"/>
    <w:rsid w:val="004A4595"/>
    <w:rsid w:val="004A47C5"/>
    <w:rsid w:val="004A51BC"/>
    <w:rsid w:val="004A541C"/>
    <w:rsid w:val="004A548D"/>
    <w:rsid w:val="004A566C"/>
    <w:rsid w:val="004A57C9"/>
    <w:rsid w:val="004A5D6C"/>
    <w:rsid w:val="004A61D8"/>
    <w:rsid w:val="004A6251"/>
    <w:rsid w:val="004A6461"/>
    <w:rsid w:val="004A647B"/>
    <w:rsid w:val="004A6893"/>
    <w:rsid w:val="004B0F24"/>
    <w:rsid w:val="004B0FC7"/>
    <w:rsid w:val="004B1477"/>
    <w:rsid w:val="004B1854"/>
    <w:rsid w:val="004B2641"/>
    <w:rsid w:val="004B27A1"/>
    <w:rsid w:val="004B312F"/>
    <w:rsid w:val="004B3992"/>
    <w:rsid w:val="004B4639"/>
    <w:rsid w:val="004B5891"/>
    <w:rsid w:val="004B5C1B"/>
    <w:rsid w:val="004B5DA8"/>
    <w:rsid w:val="004B60D1"/>
    <w:rsid w:val="004B689C"/>
    <w:rsid w:val="004B6CC4"/>
    <w:rsid w:val="004B6F94"/>
    <w:rsid w:val="004B7098"/>
    <w:rsid w:val="004B7385"/>
    <w:rsid w:val="004B74AA"/>
    <w:rsid w:val="004B7ED8"/>
    <w:rsid w:val="004C0043"/>
    <w:rsid w:val="004C0DDE"/>
    <w:rsid w:val="004C112B"/>
    <w:rsid w:val="004C1399"/>
    <w:rsid w:val="004C294D"/>
    <w:rsid w:val="004C39D1"/>
    <w:rsid w:val="004C3B6F"/>
    <w:rsid w:val="004C422C"/>
    <w:rsid w:val="004C4823"/>
    <w:rsid w:val="004C49F1"/>
    <w:rsid w:val="004C4FC0"/>
    <w:rsid w:val="004C5E24"/>
    <w:rsid w:val="004C691F"/>
    <w:rsid w:val="004C73E8"/>
    <w:rsid w:val="004C7D88"/>
    <w:rsid w:val="004D0775"/>
    <w:rsid w:val="004D0B49"/>
    <w:rsid w:val="004D0DE4"/>
    <w:rsid w:val="004D0EE4"/>
    <w:rsid w:val="004D1457"/>
    <w:rsid w:val="004D4D55"/>
    <w:rsid w:val="004D5E5B"/>
    <w:rsid w:val="004D62BB"/>
    <w:rsid w:val="004D6EE6"/>
    <w:rsid w:val="004D701F"/>
    <w:rsid w:val="004D7115"/>
    <w:rsid w:val="004D7EE3"/>
    <w:rsid w:val="004E1293"/>
    <w:rsid w:val="004E16A1"/>
    <w:rsid w:val="004E17A3"/>
    <w:rsid w:val="004E21FE"/>
    <w:rsid w:val="004E27B6"/>
    <w:rsid w:val="004E2DC3"/>
    <w:rsid w:val="004E30A8"/>
    <w:rsid w:val="004E3541"/>
    <w:rsid w:val="004E3F45"/>
    <w:rsid w:val="004E40F5"/>
    <w:rsid w:val="004E6474"/>
    <w:rsid w:val="004E6EBA"/>
    <w:rsid w:val="004E73CF"/>
    <w:rsid w:val="004F0C1D"/>
    <w:rsid w:val="004F14D2"/>
    <w:rsid w:val="004F18A8"/>
    <w:rsid w:val="004F1EE0"/>
    <w:rsid w:val="004F29A2"/>
    <w:rsid w:val="004F2BE9"/>
    <w:rsid w:val="004F3C6B"/>
    <w:rsid w:val="004F3DA1"/>
    <w:rsid w:val="004F51BE"/>
    <w:rsid w:val="004F5293"/>
    <w:rsid w:val="004F630F"/>
    <w:rsid w:val="004F68A4"/>
    <w:rsid w:val="004F735E"/>
    <w:rsid w:val="004F73B9"/>
    <w:rsid w:val="004F7676"/>
    <w:rsid w:val="00500A07"/>
    <w:rsid w:val="005029AC"/>
    <w:rsid w:val="00502E51"/>
    <w:rsid w:val="005033AC"/>
    <w:rsid w:val="005034F3"/>
    <w:rsid w:val="0050380E"/>
    <w:rsid w:val="00503E0C"/>
    <w:rsid w:val="00503EB6"/>
    <w:rsid w:val="00504DED"/>
    <w:rsid w:val="00505025"/>
    <w:rsid w:val="00505563"/>
    <w:rsid w:val="005055FA"/>
    <w:rsid w:val="00505F77"/>
    <w:rsid w:val="00506486"/>
    <w:rsid w:val="0050693E"/>
    <w:rsid w:val="00506F70"/>
    <w:rsid w:val="005072D7"/>
    <w:rsid w:val="00507454"/>
    <w:rsid w:val="0051056E"/>
    <w:rsid w:val="00510A2C"/>
    <w:rsid w:val="005111D5"/>
    <w:rsid w:val="005117B8"/>
    <w:rsid w:val="00511B5F"/>
    <w:rsid w:val="00513FD1"/>
    <w:rsid w:val="005143DA"/>
    <w:rsid w:val="005151D1"/>
    <w:rsid w:val="00515880"/>
    <w:rsid w:val="00515EC0"/>
    <w:rsid w:val="005167F1"/>
    <w:rsid w:val="005168D3"/>
    <w:rsid w:val="00516B79"/>
    <w:rsid w:val="00520488"/>
    <w:rsid w:val="00521F05"/>
    <w:rsid w:val="00522120"/>
    <w:rsid w:val="005230FC"/>
    <w:rsid w:val="00523F10"/>
    <w:rsid w:val="00524C18"/>
    <w:rsid w:val="0052509F"/>
    <w:rsid w:val="005251C8"/>
    <w:rsid w:val="00525ADF"/>
    <w:rsid w:val="00525E73"/>
    <w:rsid w:val="005262C9"/>
    <w:rsid w:val="00526456"/>
    <w:rsid w:val="00526554"/>
    <w:rsid w:val="00526D4F"/>
    <w:rsid w:val="00527598"/>
    <w:rsid w:val="00527883"/>
    <w:rsid w:val="00527D98"/>
    <w:rsid w:val="00527DB4"/>
    <w:rsid w:val="00527DBF"/>
    <w:rsid w:val="00530C8E"/>
    <w:rsid w:val="00530D9D"/>
    <w:rsid w:val="00532FFF"/>
    <w:rsid w:val="005334EA"/>
    <w:rsid w:val="00533DAE"/>
    <w:rsid w:val="00534A8A"/>
    <w:rsid w:val="00534CFB"/>
    <w:rsid w:val="00535553"/>
    <w:rsid w:val="005356CF"/>
    <w:rsid w:val="0053571C"/>
    <w:rsid w:val="005367E2"/>
    <w:rsid w:val="00536DFB"/>
    <w:rsid w:val="005379A9"/>
    <w:rsid w:val="00537BA6"/>
    <w:rsid w:val="00537BE0"/>
    <w:rsid w:val="00540960"/>
    <w:rsid w:val="0054172B"/>
    <w:rsid w:val="00542AF3"/>
    <w:rsid w:val="00543844"/>
    <w:rsid w:val="0054384E"/>
    <w:rsid w:val="0054495D"/>
    <w:rsid w:val="00544C45"/>
    <w:rsid w:val="00544CF0"/>
    <w:rsid w:val="0054546A"/>
    <w:rsid w:val="00545BF4"/>
    <w:rsid w:val="00546A65"/>
    <w:rsid w:val="00547B57"/>
    <w:rsid w:val="005507CC"/>
    <w:rsid w:val="00551676"/>
    <w:rsid w:val="005517C6"/>
    <w:rsid w:val="00551F2F"/>
    <w:rsid w:val="005523C3"/>
    <w:rsid w:val="00552741"/>
    <w:rsid w:val="005529CF"/>
    <w:rsid w:val="00553BFD"/>
    <w:rsid w:val="005540F2"/>
    <w:rsid w:val="00554500"/>
    <w:rsid w:val="00555254"/>
    <w:rsid w:val="00555C99"/>
    <w:rsid w:val="00556905"/>
    <w:rsid w:val="005569B6"/>
    <w:rsid w:val="00556F5A"/>
    <w:rsid w:val="005601FF"/>
    <w:rsid w:val="00560BCE"/>
    <w:rsid w:val="005610B7"/>
    <w:rsid w:val="0056123C"/>
    <w:rsid w:val="0056169A"/>
    <w:rsid w:val="00561C9E"/>
    <w:rsid w:val="00564A6F"/>
    <w:rsid w:val="00564C23"/>
    <w:rsid w:val="005656BF"/>
    <w:rsid w:val="00565ABA"/>
    <w:rsid w:val="00565CBC"/>
    <w:rsid w:val="00566084"/>
    <w:rsid w:val="0056658C"/>
    <w:rsid w:val="00566E0C"/>
    <w:rsid w:val="005672B4"/>
    <w:rsid w:val="005712A1"/>
    <w:rsid w:val="00571A7F"/>
    <w:rsid w:val="00571E27"/>
    <w:rsid w:val="005731CF"/>
    <w:rsid w:val="00573359"/>
    <w:rsid w:val="005734E9"/>
    <w:rsid w:val="0057391B"/>
    <w:rsid w:val="00573DEB"/>
    <w:rsid w:val="005754ED"/>
    <w:rsid w:val="00575B58"/>
    <w:rsid w:val="0057687E"/>
    <w:rsid w:val="005770A9"/>
    <w:rsid w:val="005774F5"/>
    <w:rsid w:val="005779CE"/>
    <w:rsid w:val="00577B2B"/>
    <w:rsid w:val="00577EE1"/>
    <w:rsid w:val="0058005B"/>
    <w:rsid w:val="005801E9"/>
    <w:rsid w:val="00580FE1"/>
    <w:rsid w:val="00581326"/>
    <w:rsid w:val="005816DF"/>
    <w:rsid w:val="00582D10"/>
    <w:rsid w:val="0058320C"/>
    <w:rsid w:val="0058526A"/>
    <w:rsid w:val="00585457"/>
    <w:rsid w:val="00587593"/>
    <w:rsid w:val="00587597"/>
    <w:rsid w:val="00590F09"/>
    <w:rsid w:val="00591488"/>
    <w:rsid w:val="005925BC"/>
    <w:rsid w:val="00592D96"/>
    <w:rsid w:val="005934D2"/>
    <w:rsid w:val="00595B27"/>
    <w:rsid w:val="005964B4"/>
    <w:rsid w:val="0059704E"/>
    <w:rsid w:val="00597315"/>
    <w:rsid w:val="00597BD4"/>
    <w:rsid w:val="005A0354"/>
    <w:rsid w:val="005A0A01"/>
    <w:rsid w:val="005A0FE8"/>
    <w:rsid w:val="005A2C8D"/>
    <w:rsid w:val="005A321F"/>
    <w:rsid w:val="005A33D9"/>
    <w:rsid w:val="005A3A59"/>
    <w:rsid w:val="005A42EA"/>
    <w:rsid w:val="005A446D"/>
    <w:rsid w:val="005A453B"/>
    <w:rsid w:val="005A4848"/>
    <w:rsid w:val="005A5CD0"/>
    <w:rsid w:val="005A74FD"/>
    <w:rsid w:val="005A79D3"/>
    <w:rsid w:val="005B0290"/>
    <w:rsid w:val="005B08C9"/>
    <w:rsid w:val="005B1B4D"/>
    <w:rsid w:val="005B2217"/>
    <w:rsid w:val="005B2A52"/>
    <w:rsid w:val="005B30DC"/>
    <w:rsid w:val="005B3974"/>
    <w:rsid w:val="005B4480"/>
    <w:rsid w:val="005B4FAB"/>
    <w:rsid w:val="005B505D"/>
    <w:rsid w:val="005B513E"/>
    <w:rsid w:val="005B5360"/>
    <w:rsid w:val="005B558D"/>
    <w:rsid w:val="005B55FB"/>
    <w:rsid w:val="005B5C01"/>
    <w:rsid w:val="005B5FFB"/>
    <w:rsid w:val="005B6314"/>
    <w:rsid w:val="005B6DB8"/>
    <w:rsid w:val="005B6F3B"/>
    <w:rsid w:val="005B741B"/>
    <w:rsid w:val="005B74EB"/>
    <w:rsid w:val="005B763B"/>
    <w:rsid w:val="005C2098"/>
    <w:rsid w:val="005C22B7"/>
    <w:rsid w:val="005C3D1A"/>
    <w:rsid w:val="005C59A8"/>
    <w:rsid w:val="005C5B3C"/>
    <w:rsid w:val="005C664B"/>
    <w:rsid w:val="005C7A91"/>
    <w:rsid w:val="005C7CD3"/>
    <w:rsid w:val="005D0AF9"/>
    <w:rsid w:val="005D1758"/>
    <w:rsid w:val="005D1E92"/>
    <w:rsid w:val="005D22B6"/>
    <w:rsid w:val="005D262F"/>
    <w:rsid w:val="005D273A"/>
    <w:rsid w:val="005D3463"/>
    <w:rsid w:val="005D4241"/>
    <w:rsid w:val="005D4276"/>
    <w:rsid w:val="005D4B6E"/>
    <w:rsid w:val="005D5BE5"/>
    <w:rsid w:val="005D5C55"/>
    <w:rsid w:val="005D6070"/>
    <w:rsid w:val="005D6DEB"/>
    <w:rsid w:val="005D71C0"/>
    <w:rsid w:val="005D7924"/>
    <w:rsid w:val="005D7D4D"/>
    <w:rsid w:val="005D7FC7"/>
    <w:rsid w:val="005E1112"/>
    <w:rsid w:val="005E17D1"/>
    <w:rsid w:val="005E2376"/>
    <w:rsid w:val="005E2619"/>
    <w:rsid w:val="005E353B"/>
    <w:rsid w:val="005E3776"/>
    <w:rsid w:val="005E4002"/>
    <w:rsid w:val="005E48E4"/>
    <w:rsid w:val="005E4D73"/>
    <w:rsid w:val="005E5EE6"/>
    <w:rsid w:val="005E6E39"/>
    <w:rsid w:val="005E6F86"/>
    <w:rsid w:val="005E708A"/>
    <w:rsid w:val="005E780C"/>
    <w:rsid w:val="005F00BB"/>
    <w:rsid w:val="005F282A"/>
    <w:rsid w:val="005F29B8"/>
    <w:rsid w:val="005F29C8"/>
    <w:rsid w:val="005F3664"/>
    <w:rsid w:val="005F3A08"/>
    <w:rsid w:val="005F422F"/>
    <w:rsid w:val="005F4469"/>
    <w:rsid w:val="005F4CD8"/>
    <w:rsid w:val="005F5108"/>
    <w:rsid w:val="005F533E"/>
    <w:rsid w:val="005F53C8"/>
    <w:rsid w:val="005F5476"/>
    <w:rsid w:val="005F5509"/>
    <w:rsid w:val="005F5D57"/>
    <w:rsid w:val="005F6078"/>
    <w:rsid w:val="005F6358"/>
    <w:rsid w:val="005F68BC"/>
    <w:rsid w:val="005F791F"/>
    <w:rsid w:val="00601F72"/>
    <w:rsid w:val="00601FE7"/>
    <w:rsid w:val="00602105"/>
    <w:rsid w:val="006023C6"/>
    <w:rsid w:val="0060299E"/>
    <w:rsid w:val="006033C4"/>
    <w:rsid w:val="0060386C"/>
    <w:rsid w:val="00605600"/>
    <w:rsid w:val="00605EB6"/>
    <w:rsid w:val="00606A14"/>
    <w:rsid w:val="00607ADF"/>
    <w:rsid w:val="00607FFD"/>
    <w:rsid w:val="006108DF"/>
    <w:rsid w:val="0061090D"/>
    <w:rsid w:val="006111CF"/>
    <w:rsid w:val="00611F0A"/>
    <w:rsid w:val="0061366D"/>
    <w:rsid w:val="006138B8"/>
    <w:rsid w:val="0061505C"/>
    <w:rsid w:val="00615396"/>
    <w:rsid w:val="00615D7E"/>
    <w:rsid w:val="00616611"/>
    <w:rsid w:val="00617D35"/>
    <w:rsid w:val="006206EC"/>
    <w:rsid w:val="006207AA"/>
    <w:rsid w:val="006216F4"/>
    <w:rsid w:val="00621C03"/>
    <w:rsid w:val="00621CB2"/>
    <w:rsid w:val="00621DD6"/>
    <w:rsid w:val="0062248F"/>
    <w:rsid w:val="00622DAD"/>
    <w:rsid w:val="006231D4"/>
    <w:rsid w:val="00623662"/>
    <w:rsid w:val="00623E52"/>
    <w:rsid w:val="00624A07"/>
    <w:rsid w:val="00627146"/>
    <w:rsid w:val="00627778"/>
    <w:rsid w:val="0062785A"/>
    <w:rsid w:val="00627C4D"/>
    <w:rsid w:val="006305A1"/>
    <w:rsid w:val="0063086A"/>
    <w:rsid w:val="006315B9"/>
    <w:rsid w:val="00631706"/>
    <w:rsid w:val="006338D4"/>
    <w:rsid w:val="006340BC"/>
    <w:rsid w:val="00634802"/>
    <w:rsid w:val="00635845"/>
    <w:rsid w:val="00635BB2"/>
    <w:rsid w:val="0063658A"/>
    <w:rsid w:val="00636C42"/>
    <w:rsid w:val="00636D60"/>
    <w:rsid w:val="00637EC8"/>
    <w:rsid w:val="0064022D"/>
    <w:rsid w:val="00640F31"/>
    <w:rsid w:val="00640F5E"/>
    <w:rsid w:val="00641F89"/>
    <w:rsid w:val="006420AB"/>
    <w:rsid w:val="00642421"/>
    <w:rsid w:val="0064271B"/>
    <w:rsid w:val="00642A60"/>
    <w:rsid w:val="006438BC"/>
    <w:rsid w:val="006446FB"/>
    <w:rsid w:val="006448ED"/>
    <w:rsid w:val="00644ACB"/>
    <w:rsid w:val="00645C80"/>
    <w:rsid w:val="00645CB6"/>
    <w:rsid w:val="006463FC"/>
    <w:rsid w:val="006467D7"/>
    <w:rsid w:val="00646864"/>
    <w:rsid w:val="00646AAD"/>
    <w:rsid w:val="006470B4"/>
    <w:rsid w:val="006475DA"/>
    <w:rsid w:val="00647F0E"/>
    <w:rsid w:val="00650118"/>
    <w:rsid w:val="00651A29"/>
    <w:rsid w:val="00651D21"/>
    <w:rsid w:val="0065275C"/>
    <w:rsid w:val="0065284B"/>
    <w:rsid w:val="00652DD1"/>
    <w:rsid w:val="006531F5"/>
    <w:rsid w:val="00653664"/>
    <w:rsid w:val="00653EBF"/>
    <w:rsid w:val="00654BA2"/>
    <w:rsid w:val="00655331"/>
    <w:rsid w:val="006558C0"/>
    <w:rsid w:val="00655F4F"/>
    <w:rsid w:val="0065674B"/>
    <w:rsid w:val="00656A9C"/>
    <w:rsid w:val="00656C63"/>
    <w:rsid w:val="0065781A"/>
    <w:rsid w:val="00657B05"/>
    <w:rsid w:val="00657F3A"/>
    <w:rsid w:val="0066156E"/>
    <w:rsid w:val="006617F6"/>
    <w:rsid w:val="006621C6"/>
    <w:rsid w:val="006625FA"/>
    <w:rsid w:val="00662862"/>
    <w:rsid w:val="006630E0"/>
    <w:rsid w:val="00663CEC"/>
    <w:rsid w:val="00664144"/>
    <w:rsid w:val="00664273"/>
    <w:rsid w:val="006651FE"/>
    <w:rsid w:val="00670B9F"/>
    <w:rsid w:val="006715BF"/>
    <w:rsid w:val="006717DA"/>
    <w:rsid w:val="006721BA"/>
    <w:rsid w:val="0067220C"/>
    <w:rsid w:val="00673CD9"/>
    <w:rsid w:val="00673D83"/>
    <w:rsid w:val="00674405"/>
    <w:rsid w:val="00674FB9"/>
    <w:rsid w:val="00676850"/>
    <w:rsid w:val="00676E29"/>
    <w:rsid w:val="00680154"/>
    <w:rsid w:val="0068039B"/>
    <w:rsid w:val="00680A31"/>
    <w:rsid w:val="00680B97"/>
    <w:rsid w:val="006811F2"/>
    <w:rsid w:val="00681F21"/>
    <w:rsid w:val="006827BC"/>
    <w:rsid w:val="006829CA"/>
    <w:rsid w:val="00683DFE"/>
    <w:rsid w:val="006843E0"/>
    <w:rsid w:val="006863BC"/>
    <w:rsid w:val="0068668A"/>
    <w:rsid w:val="006867B0"/>
    <w:rsid w:val="00686AFE"/>
    <w:rsid w:val="00687248"/>
    <w:rsid w:val="00687629"/>
    <w:rsid w:val="0069009E"/>
    <w:rsid w:val="00690133"/>
    <w:rsid w:val="00691768"/>
    <w:rsid w:val="006917AB"/>
    <w:rsid w:val="00691BD3"/>
    <w:rsid w:val="006923B1"/>
    <w:rsid w:val="00694462"/>
    <w:rsid w:val="00694FEB"/>
    <w:rsid w:val="006950DF"/>
    <w:rsid w:val="00695193"/>
    <w:rsid w:val="00695A3A"/>
    <w:rsid w:val="00695EB7"/>
    <w:rsid w:val="00695ED8"/>
    <w:rsid w:val="0069698C"/>
    <w:rsid w:val="006969CE"/>
    <w:rsid w:val="00697AB5"/>
    <w:rsid w:val="006A0A03"/>
    <w:rsid w:val="006A22D6"/>
    <w:rsid w:val="006A2907"/>
    <w:rsid w:val="006A3244"/>
    <w:rsid w:val="006A3642"/>
    <w:rsid w:val="006A4A4B"/>
    <w:rsid w:val="006A582D"/>
    <w:rsid w:val="006A5EF1"/>
    <w:rsid w:val="006A738A"/>
    <w:rsid w:val="006A7E21"/>
    <w:rsid w:val="006B0D0D"/>
    <w:rsid w:val="006B11C1"/>
    <w:rsid w:val="006B1F3B"/>
    <w:rsid w:val="006B31CD"/>
    <w:rsid w:val="006B39CA"/>
    <w:rsid w:val="006B4490"/>
    <w:rsid w:val="006B4A2F"/>
    <w:rsid w:val="006B593D"/>
    <w:rsid w:val="006B6AF9"/>
    <w:rsid w:val="006B7351"/>
    <w:rsid w:val="006C0AF7"/>
    <w:rsid w:val="006C10F7"/>
    <w:rsid w:val="006C133E"/>
    <w:rsid w:val="006C188F"/>
    <w:rsid w:val="006C1D65"/>
    <w:rsid w:val="006C2AE3"/>
    <w:rsid w:val="006C2F1D"/>
    <w:rsid w:val="006C44BB"/>
    <w:rsid w:val="006C4535"/>
    <w:rsid w:val="006C547E"/>
    <w:rsid w:val="006C64E7"/>
    <w:rsid w:val="006C6921"/>
    <w:rsid w:val="006C6EE6"/>
    <w:rsid w:val="006C7307"/>
    <w:rsid w:val="006D0606"/>
    <w:rsid w:val="006D0D42"/>
    <w:rsid w:val="006D0D82"/>
    <w:rsid w:val="006D1328"/>
    <w:rsid w:val="006D22E0"/>
    <w:rsid w:val="006D256C"/>
    <w:rsid w:val="006D280A"/>
    <w:rsid w:val="006D2816"/>
    <w:rsid w:val="006D2C3C"/>
    <w:rsid w:val="006D32F7"/>
    <w:rsid w:val="006D44EC"/>
    <w:rsid w:val="006D4A41"/>
    <w:rsid w:val="006D510F"/>
    <w:rsid w:val="006D51AE"/>
    <w:rsid w:val="006D56D6"/>
    <w:rsid w:val="006D5BE4"/>
    <w:rsid w:val="006D5E65"/>
    <w:rsid w:val="006D6108"/>
    <w:rsid w:val="006D71F3"/>
    <w:rsid w:val="006E0D60"/>
    <w:rsid w:val="006E12FB"/>
    <w:rsid w:val="006E1D76"/>
    <w:rsid w:val="006E2852"/>
    <w:rsid w:val="006E329C"/>
    <w:rsid w:val="006E3517"/>
    <w:rsid w:val="006E4156"/>
    <w:rsid w:val="006E4BA2"/>
    <w:rsid w:val="006E56B5"/>
    <w:rsid w:val="006E66ED"/>
    <w:rsid w:val="006E7235"/>
    <w:rsid w:val="006E7B93"/>
    <w:rsid w:val="006F04B9"/>
    <w:rsid w:val="006F0564"/>
    <w:rsid w:val="006F0BFF"/>
    <w:rsid w:val="006F0DB5"/>
    <w:rsid w:val="006F0E4B"/>
    <w:rsid w:val="006F1A2D"/>
    <w:rsid w:val="006F2864"/>
    <w:rsid w:val="006F3C72"/>
    <w:rsid w:val="006F3D38"/>
    <w:rsid w:val="006F4477"/>
    <w:rsid w:val="006F4CB0"/>
    <w:rsid w:val="006F50A9"/>
    <w:rsid w:val="006F524A"/>
    <w:rsid w:val="006F5E35"/>
    <w:rsid w:val="006F5FC1"/>
    <w:rsid w:val="006F73D4"/>
    <w:rsid w:val="006F753E"/>
    <w:rsid w:val="006F7F22"/>
    <w:rsid w:val="0070013C"/>
    <w:rsid w:val="00700208"/>
    <w:rsid w:val="0070221C"/>
    <w:rsid w:val="007028C9"/>
    <w:rsid w:val="00702C3F"/>
    <w:rsid w:val="00702D22"/>
    <w:rsid w:val="007035EA"/>
    <w:rsid w:val="00703602"/>
    <w:rsid w:val="00703BEB"/>
    <w:rsid w:val="00703BF4"/>
    <w:rsid w:val="0070417C"/>
    <w:rsid w:val="00704230"/>
    <w:rsid w:val="00705F91"/>
    <w:rsid w:val="007069D5"/>
    <w:rsid w:val="0070709A"/>
    <w:rsid w:val="00707492"/>
    <w:rsid w:val="00707500"/>
    <w:rsid w:val="007078E5"/>
    <w:rsid w:val="00707B40"/>
    <w:rsid w:val="007101A4"/>
    <w:rsid w:val="007102DD"/>
    <w:rsid w:val="007111E0"/>
    <w:rsid w:val="007112EF"/>
    <w:rsid w:val="00711456"/>
    <w:rsid w:val="00711779"/>
    <w:rsid w:val="007119EA"/>
    <w:rsid w:val="00711CD1"/>
    <w:rsid w:val="00712164"/>
    <w:rsid w:val="00712B8B"/>
    <w:rsid w:val="00712BD4"/>
    <w:rsid w:val="00713746"/>
    <w:rsid w:val="0071465E"/>
    <w:rsid w:val="0071578A"/>
    <w:rsid w:val="00715E2D"/>
    <w:rsid w:val="00716445"/>
    <w:rsid w:val="0071645F"/>
    <w:rsid w:val="007164B6"/>
    <w:rsid w:val="0071666F"/>
    <w:rsid w:val="00717598"/>
    <w:rsid w:val="00717CF2"/>
    <w:rsid w:val="00720A28"/>
    <w:rsid w:val="0072139B"/>
    <w:rsid w:val="00721447"/>
    <w:rsid w:val="0072195E"/>
    <w:rsid w:val="007223F7"/>
    <w:rsid w:val="00722F52"/>
    <w:rsid w:val="00723243"/>
    <w:rsid w:val="0072342C"/>
    <w:rsid w:val="0072369E"/>
    <w:rsid w:val="007242FA"/>
    <w:rsid w:val="00724548"/>
    <w:rsid w:val="00724FC4"/>
    <w:rsid w:val="00724FFE"/>
    <w:rsid w:val="00725529"/>
    <w:rsid w:val="007258E5"/>
    <w:rsid w:val="00725994"/>
    <w:rsid w:val="00726676"/>
    <w:rsid w:val="00727B93"/>
    <w:rsid w:val="00727C26"/>
    <w:rsid w:val="00730D69"/>
    <w:rsid w:val="00731643"/>
    <w:rsid w:val="00733A9F"/>
    <w:rsid w:val="00734DA2"/>
    <w:rsid w:val="00734F32"/>
    <w:rsid w:val="007353FF"/>
    <w:rsid w:val="0073595B"/>
    <w:rsid w:val="00735D0F"/>
    <w:rsid w:val="0073750D"/>
    <w:rsid w:val="0073763F"/>
    <w:rsid w:val="00737C26"/>
    <w:rsid w:val="00737EFD"/>
    <w:rsid w:val="007402D2"/>
    <w:rsid w:val="00740BA3"/>
    <w:rsid w:val="00740DC9"/>
    <w:rsid w:val="00740F8B"/>
    <w:rsid w:val="00741D28"/>
    <w:rsid w:val="00741FEB"/>
    <w:rsid w:val="007421E6"/>
    <w:rsid w:val="007421F9"/>
    <w:rsid w:val="0074225C"/>
    <w:rsid w:val="00742AB7"/>
    <w:rsid w:val="00743362"/>
    <w:rsid w:val="00743953"/>
    <w:rsid w:val="00744CC2"/>
    <w:rsid w:val="0074525F"/>
    <w:rsid w:val="00745506"/>
    <w:rsid w:val="00745745"/>
    <w:rsid w:val="00745802"/>
    <w:rsid w:val="00745884"/>
    <w:rsid w:val="00745B87"/>
    <w:rsid w:val="00745E17"/>
    <w:rsid w:val="00745F79"/>
    <w:rsid w:val="00746A43"/>
    <w:rsid w:val="00746FD7"/>
    <w:rsid w:val="007470F2"/>
    <w:rsid w:val="00750298"/>
    <w:rsid w:val="00750A6A"/>
    <w:rsid w:val="00750C76"/>
    <w:rsid w:val="00750E5D"/>
    <w:rsid w:val="0075123F"/>
    <w:rsid w:val="0075135C"/>
    <w:rsid w:val="00751691"/>
    <w:rsid w:val="0075192C"/>
    <w:rsid w:val="00751D7C"/>
    <w:rsid w:val="00752058"/>
    <w:rsid w:val="00753AFB"/>
    <w:rsid w:val="00754047"/>
    <w:rsid w:val="007540BD"/>
    <w:rsid w:val="00754393"/>
    <w:rsid w:val="00754AA2"/>
    <w:rsid w:val="00754D71"/>
    <w:rsid w:val="00754E0D"/>
    <w:rsid w:val="00755B6B"/>
    <w:rsid w:val="00756698"/>
    <w:rsid w:val="007574E3"/>
    <w:rsid w:val="00760D70"/>
    <w:rsid w:val="00761866"/>
    <w:rsid w:val="007619DF"/>
    <w:rsid w:val="00761D86"/>
    <w:rsid w:val="00762219"/>
    <w:rsid w:val="00762810"/>
    <w:rsid w:val="0076299F"/>
    <w:rsid w:val="007634B3"/>
    <w:rsid w:val="00763696"/>
    <w:rsid w:val="00763FF9"/>
    <w:rsid w:val="00764662"/>
    <w:rsid w:val="00764C92"/>
    <w:rsid w:val="00766657"/>
    <w:rsid w:val="0076716E"/>
    <w:rsid w:val="007671BB"/>
    <w:rsid w:val="007676CC"/>
    <w:rsid w:val="00770A8D"/>
    <w:rsid w:val="00771556"/>
    <w:rsid w:val="007720BD"/>
    <w:rsid w:val="007746ED"/>
    <w:rsid w:val="00774F09"/>
    <w:rsid w:val="00776059"/>
    <w:rsid w:val="007762EF"/>
    <w:rsid w:val="00776D54"/>
    <w:rsid w:val="007775FF"/>
    <w:rsid w:val="007778D5"/>
    <w:rsid w:val="007807CD"/>
    <w:rsid w:val="00780E2B"/>
    <w:rsid w:val="0078149A"/>
    <w:rsid w:val="00782CFC"/>
    <w:rsid w:val="00782F21"/>
    <w:rsid w:val="00783067"/>
    <w:rsid w:val="0078330B"/>
    <w:rsid w:val="00783AA9"/>
    <w:rsid w:val="007851A7"/>
    <w:rsid w:val="0078750D"/>
    <w:rsid w:val="00787C13"/>
    <w:rsid w:val="00790C4E"/>
    <w:rsid w:val="00791540"/>
    <w:rsid w:val="007917D9"/>
    <w:rsid w:val="007926F2"/>
    <w:rsid w:val="00792A75"/>
    <w:rsid w:val="00792E8C"/>
    <w:rsid w:val="007933BC"/>
    <w:rsid w:val="0079351F"/>
    <w:rsid w:val="00794586"/>
    <w:rsid w:val="007947A2"/>
    <w:rsid w:val="00795623"/>
    <w:rsid w:val="00795C11"/>
    <w:rsid w:val="00796559"/>
    <w:rsid w:val="00797054"/>
    <w:rsid w:val="00797774"/>
    <w:rsid w:val="007979E9"/>
    <w:rsid w:val="007A03F6"/>
    <w:rsid w:val="007A0BAE"/>
    <w:rsid w:val="007A15BA"/>
    <w:rsid w:val="007A15EC"/>
    <w:rsid w:val="007A1A98"/>
    <w:rsid w:val="007A1C34"/>
    <w:rsid w:val="007A4132"/>
    <w:rsid w:val="007A4C79"/>
    <w:rsid w:val="007A539D"/>
    <w:rsid w:val="007A5BA6"/>
    <w:rsid w:val="007A616C"/>
    <w:rsid w:val="007A668E"/>
    <w:rsid w:val="007A6766"/>
    <w:rsid w:val="007A732C"/>
    <w:rsid w:val="007A7619"/>
    <w:rsid w:val="007A78BB"/>
    <w:rsid w:val="007B00E2"/>
    <w:rsid w:val="007B00F3"/>
    <w:rsid w:val="007B029B"/>
    <w:rsid w:val="007B05A1"/>
    <w:rsid w:val="007B07C8"/>
    <w:rsid w:val="007B0CAB"/>
    <w:rsid w:val="007B0CC6"/>
    <w:rsid w:val="007B20E6"/>
    <w:rsid w:val="007B2169"/>
    <w:rsid w:val="007B25CA"/>
    <w:rsid w:val="007B2D59"/>
    <w:rsid w:val="007B2FBA"/>
    <w:rsid w:val="007B35AC"/>
    <w:rsid w:val="007B3698"/>
    <w:rsid w:val="007B4D72"/>
    <w:rsid w:val="007B64C9"/>
    <w:rsid w:val="007B6AF2"/>
    <w:rsid w:val="007B6C55"/>
    <w:rsid w:val="007C0572"/>
    <w:rsid w:val="007C0B92"/>
    <w:rsid w:val="007C0C72"/>
    <w:rsid w:val="007C0F42"/>
    <w:rsid w:val="007C1A6D"/>
    <w:rsid w:val="007C2870"/>
    <w:rsid w:val="007C331C"/>
    <w:rsid w:val="007C3C89"/>
    <w:rsid w:val="007C3F70"/>
    <w:rsid w:val="007C49A6"/>
    <w:rsid w:val="007C4EC5"/>
    <w:rsid w:val="007C4EC6"/>
    <w:rsid w:val="007C6DB4"/>
    <w:rsid w:val="007C72BC"/>
    <w:rsid w:val="007C742F"/>
    <w:rsid w:val="007C7671"/>
    <w:rsid w:val="007C7A31"/>
    <w:rsid w:val="007D07D6"/>
    <w:rsid w:val="007D0FED"/>
    <w:rsid w:val="007D179C"/>
    <w:rsid w:val="007D2293"/>
    <w:rsid w:val="007D28AD"/>
    <w:rsid w:val="007D28F2"/>
    <w:rsid w:val="007D2D92"/>
    <w:rsid w:val="007D43B1"/>
    <w:rsid w:val="007D46D9"/>
    <w:rsid w:val="007D4826"/>
    <w:rsid w:val="007D4A0B"/>
    <w:rsid w:val="007D51C9"/>
    <w:rsid w:val="007D5884"/>
    <w:rsid w:val="007D78E0"/>
    <w:rsid w:val="007E0A73"/>
    <w:rsid w:val="007E0B52"/>
    <w:rsid w:val="007E0C41"/>
    <w:rsid w:val="007E0ED8"/>
    <w:rsid w:val="007E1F4C"/>
    <w:rsid w:val="007E255A"/>
    <w:rsid w:val="007E28AE"/>
    <w:rsid w:val="007E2AC1"/>
    <w:rsid w:val="007E2B40"/>
    <w:rsid w:val="007E318C"/>
    <w:rsid w:val="007E485A"/>
    <w:rsid w:val="007E490C"/>
    <w:rsid w:val="007E4E69"/>
    <w:rsid w:val="007E590D"/>
    <w:rsid w:val="007E5A6C"/>
    <w:rsid w:val="007E5F8C"/>
    <w:rsid w:val="007E6104"/>
    <w:rsid w:val="007E72F9"/>
    <w:rsid w:val="007E77AC"/>
    <w:rsid w:val="007F1537"/>
    <w:rsid w:val="007F301E"/>
    <w:rsid w:val="007F3107"/>
    <w:rsid w:val="007F4D90"/>
    <w:rsid w:val="007F4EC2"/>
    <w:rsid w:val="007F5ECD"/>
    <w:rsid w:val="007F61C5"/>
    <w:rsid w:val="007F6DE3"/>
    <w:rsid w:val="007F7779"/>
    <w:rsid w:val="007F77CA"/>
    <w:rsid w:val="007F7DA0"/>
    <w:rsid w:val="007F7F5B"/>
    <w:rsid w:val="00800156"/>
    <w:rsid w:val="0080018D"/>
    <w:rsid w:val="008006EB"/>
    <w:rsid w:val="00800AC2"/>
    <w:rsid w:val="008016EA"/>
    <w:rsid w:val="008020BA"/>
    <w:rsid w:val="008026CF"/>
    <w:rsid w:val="00802761"/>
    <w:rsid w:val="00802CBB"/>
    <w:rsid w:val="00802FB9"/>
    <w:rsid w:val="00803847"/>
    <w:rsid w:val="00803D8E"/>
    <w:rsid w:val="00803E4D"/>
    <w:rsid w:val="008048E5"/>
    <w:rsid w:val="00805571"/>
    <w:rsid w:val="0080573A"/>
    <w:rsid w:val="00805D2A"/>
    <w:rsid w:val="00810060"/>
    <w:rsid w:val="008107D1"/>
    <w:rsid w:val="00810DAD"/>
    <w:rsid w:val="008123E1"/>
    <w:rsid w:val="00812515"/>
    <w:rsid w:val="00812F7C"/>
    <w:rsid w:val="00813970"/>
    <w:rsid w:val="00815372"/>
    <w:rsid w:val="0081597B"/>
    <w:rsid w:val="00816771"/>
    <w:rsid w:val="0081686B"/>
    <w:rsid w:val="00817AF9"/>
    <w:rsid w:val="00817B32"/>
    <w:rsid w:val="00820C78"/>
    <w:rsid w:val="00821EED"/>
    <w:rsid w:val="00822B21"/>
    <w:rsid w:val="00823C53"/>
    <w:rsid w:val="00823E5E"/>
    <w:rsid w:val="00826729"/>
    <w:rsid w:val="00826BDE"/>
    <w:rsid w:val="00826CDD"/>
    <w:rsid w:val="00827E88"/>
    <w:rsid w:val="00830E5D"/>
    <w:rsid w:val="00831441"/>
    <w:rsid w:val="00831E03"/>
    <w:rsid w:val="00834451"/>
    <w:rsid w:val="008348C4"/>
    <w:rsid w:val="00835CC3"/>
    <w:rsid w:val="00835EDD"/>
    <w:rsid w:val="00836012"/>
    <w:rsid w:val="0083653D"/>
    <w:rsid w:val="00836547"/>
    <w:rsid w:val="0083669B"/>
    <w:rsid w:val="00836C3B"/>
    <w:rsid w:val="00837133"/>
    <w:rsid w:val="00840D93"/>
    <w:rsid w:val="008424C4"/>
    <w:rsid w:val="00844DF9"/>
    <w:rsid w:val="0084534F"/>
    <w:rsid w:val="0084556C"/>
    <w:rsid w:val="008459C0"/>
    <w:rsid w:val="00845EDC"/>
    <w:rsid w:val="008464F8"/>
    <w:rsid w:val="00846D58"/>
    <w:rsid w:val="00850B9E"/>
    <w:rsid w:val="00850F89"/>
    <w:rsid w:val="008517DA"/>
    <w:rsid w:val="00851859"/>
    <w:rsid w:val="00852E66"/>
    <w:rsid w:val="00854822"/>
    <w:rsid w:val="00855634"/>
    <w:rsid w:val="00855B88"/>
    <w:rsid w:val="00855C34"/>
    <w:rsid w:val="00856102"/>
    <w:rsid w:val="008562C6"/>
    <w:rsid w:val="00856390"/>
    <w:rsid w:val="00856BFB"/>
    <w:rsid w:val="008605F1"/>
    <w:rsid w:val="00860734"/>
    <w:rsid w:val="00860C9A"/>
    <w:rsid w:val="00860FAA"/>
    <w:rsid w:val="0086126B"/>
    <w:rsid w:val="00861F5E"/>
    <w:rsid w:val="00862045"/>
    <w:rsid w:val="00863776"/>
    <w:rsid w:val="00864428"/>
    <w:rsid w:val="008648EE"/>
    <w:rsid w:val="00864E6C"/>
    <w:rsid w:val="00865972"/>
    <w:rsid w:val="008669B4"/>
    <w:rsid w:val="00866ABA"/>
    <w:rsid w:val="00866FEF"/>
    <w:rsid w:val="00867524"/>
    <w:rsid w:val="00867534"/>
    <w:rsid w:val="0086766C"/>
    <w:rsid w:val="008708AC"/>
    <w:rsid w:val="00870C0D"/>
    <w:rsid w:val="00870D16"/>
    <w:rsid w:val="00871224"/>
    <w:rsid w:val="00871697"/>
    <w:rsid w:val="00872B54"/>
    <w:rsid w:val="00873ED8"/>
    <w:rsid w:val="008741A3"/>
    <w:rsid w:val="008745A9"/>
    <w:rsid w:val="00876B3A"/>
    <w:rsid w:val="00876CE7"/>
    <w:rsid w:val="008778A6"/>
    <w:rsid w:val="00877F9A"/>
    <w:rsid w:val="008803D1"/>
    <w:rsid w:val="00880920"/>
    <w:rsid w:val="00880B46"/>
    <w:rsid w:val="008810BC"/>
    <w:rsid w:val="0088144A"/>
    <w:rsid w:val="00881F28"/>
    <w:rsid w:val="00882B00"/>
    <w:rsid w:val="0088322F"/>
    <w:rsid w:val="008835F3"/>
    <w:rsid w:val="00884CD6"/>
    <w:rsid w:val="00885504"/>
    <w:rsid w:val="00887078"/>
    <w:rsid w:val="0088748C"/>
    <w:rsid w:val="008874BC"/>
    <w:rsid w:val="00890F33"/>
    <w:rsid w:val="00891B44"/>
    <w:rsid w:val="00892817"/>
    <w:rsid w:val="0089390A"/>
    <w:rsid w:val="00893C03"/>
    <w:rsid w:val="00893C87"/>
    <w:rsid w:val="00893D27"/>
    <w:rsid w:val="00894BE1"/>
    <w:rsid w:val="00895C80"/>
    <w:rsid w:val="00895D18"/>
    <w:rsid w:val="008969E3"/>
    <w:rsid w:val="00896CFB"/>
    <w:rsid w:val="00897169"/>
    <w:rsid w:val="00897B1A"/>
    <w:rsid w:val="008A0245"/>
    <w:rsid w:val="008A14E5"/>
    <w:rsid w:val="008A19BA"/>
    <w:rsid w:val="008A1AB9"/>
    <w:rsid w:val="008A1D19"/>
    <w:rsid w:val="008A276E"/>
    <w:rsid w:val="008A2A64"/>
    <w:rsid w:val="008A314A"/>
    <w:rsid w:val="008A4342"/>
    <w:rsid w:val="008A4A5F"/>
    <w:rsid w:val="008A5116"/>
    <w:rsid w:val="008A558C"/>
    <w:rsid w:val="008A65BE"/>
    <w:rsid w:val="008A6EC3"/>
    <w:rsid w:val="008B0001"/>
    <w:rsid w:val="008B0294"/>
    <w:rsid w:val="008B087C"/>
    <w:rsid w:val="008B2FD7"/>
    <w:rsid w:val="008B3452"/>
    <w:rsid w:val="008B40FE"/>
    <w:rsid w:val="008B4E6F"/>
    <w:rsid w:val="008B4F5C"/>
    <w:rsid w:val="008B4FA0"/>
    <w:rsid w:val="008B5C14"/>
    <w:rsid w:val="008B5EFF"/>
    <w:rsid w:val="008B62F5"/>
    <w:rsid w:val="008B72D0"/>
    <w:rsid w:val="008B7307"/>
    <w:rsid w:val="008C02C5"/>
    <w:rsid w:val="008C19D4"/>
    <w:rsid w:val="008C226F"/>
    <w:rsid w:val="008C22BB"/>
    <w:rsid w:val="008C250E"/>
    <w:rsid w:val="008C25A1"/>
    <w:rsid w:val="008C2DFD"/>
    <w:rsid w:val="008C31D9"/>
    <w:rsid w:val="008C32C5"/>
    <w:rsid w:val="008C3329"/>
    <w:rsid w:val="008C37EC"/>
    <w:rsid w:val="008C58D5"/>
    <w:rsid w:val="008C58DC"/>
    <w:rsid w:val="008C6DA7"/>
    <w:rsid w:val="008C7F34"/>
    <w:rsid w:val="008D08A5"/>
    <w:rsid w:val="008D1486"/>
    <w:rsid w:val="008D1932"/>
    <w:rsid w:val="008D19A8"/>
    <w:rsid w:val="008D1FC8"/>
    <w:rsid w:val="008D2A32"/>
    <w:rsid w:val="008D408F"/>
    <w:rsid w:val="008D4259"/>
    <w:rsid w:val="008D44D7"/>
    <w:rsid w:val="008D4C06"/>
    <w:rsid w:val="008D4EC8"/>
    <w:rsid w:val="008D55BB"/>
    <w:rsid w:val="008D5FEE"/>
    <w:rsid w:val="008D79EA"/>
    <w:rsid w:val="008D7FE1"/>
    <w:rsid w:val="008E0D91"/>
    <w:rsid w:val="008E1B0B"/>
    <w:rsid w:val="008E25A8"/>
    <w:rsid w:val="008E2640"/>
    <w:rsid w:val="008E326C"/>
    <w:rsid w:val="008E32B1"/>
    <w:rsid w:val="008E3C3A"/>
    <w:rsid w:val="008E47C6"/>
    <w:rsid w:val="008E5AC6"/>
    <w:rsid w:val="008E5CED"/>
    <w:rsid w:val="008E5FC8"/>
    <w:rsid w:val="008E796E"/>
    <w:rsid w:val="008F0FB1"/>
    <w:rsid w:val="008F1096"/>
    <w:rsid w:val="008F160E"/>
    <w:rsid w:val="008F1645"/>
    <w:rsid w:val="008F1BD6"/>
    <w:rsid w:val="008F1BE7"/>
    <w:rsid w:val="008F2822"/>
    <w:rsid w:val="008F31EF"/>
    <w:rsid w:val="008F4110"/>
    <w:rsid w:val="008F459E"/>
    <w:rsid w:val="008F4E7C"/>
    <w:rsid w:val="008F5C53"/>
    <w:rsid w:val="008F5CFE"/>
    <w:rsid w:val="008F6039"/>
    <w:rsid w:val="008F61D6"/>
    <w:rsid w:val="008F6758"/>
    <w:rsid w:val="008F7846"/>
    <w:rsid w:val="008F7CDA"/>
    <w:rsid w:val="008F7E6E"/>
    <w:rsid w:val="00900A81"/>
    <w:rsid w:val="00900AE2"/>
    <w:rsid w:val="0090112D"/>
    <w:rsid w:val="009036AD"/>
    <w:rsid w:val="009037C1"/>
    <w:rsid w:val="00903AED"/>
    <w:rsid w:val="00903CF4"/>
    <w:rsid w:val="00904057"/>
    <w:rsid w:val="00904345"/>
    <w:rsid w:val="009047F9"/>
    <w:rsid w:val="00904D14"/>
    <w:rsid w:val="0090550C"/>
    <w:rsid w:val="009058C2"/>
    <w:rsid w:val="00905C4A"/>
    <w:rsid w:val="00905D6A"/>
    <w:rsid w:val="00906237"/>
    <w:rsid w:val="00906F60"/>
    <w:rsid w:val="00907428"/>
    <w:rsid w:val="00907CFC"/>
    <w:rsid w:val="00910067"/>
    <w:rsid w:val="00910911"/>
    <w:rsid w:val="00910F48"/>
    <w:rsid w:val="00911103"/>
    <w:rsid w:val="00911BE0"/>
    <w:rsid w:val="00911D58"/>
    <w:rsid w:val="00912502"/>
    <w:rsid w:val="00913645"/>
    <w:rsid w:val="00914F00"/>
    <w:rsid w:val="0091524F"/>
    <w:rsid w:val="00915486"/>
    <w:rsid w:val="00915B32"/>
    <w:rsid w:val="009160E4"/>
    <w:rsid w:val="00916900"/>
    <w:rsid w:val="00916AAC"/>
    <w:rsid w:val="009173A0"/>
    <w:rsid w:val="00920CF1"/>
    <w:rsid w:val="00921B46"/>
    <w:rsid w:val="00921FB4"/>
    <w:rsid w:val="00922E01"/>
    <w:rsid w:val="00923590"/>
    <w:rsid w:val="00923B3D"/>
    <w:rsid w:val="0092450B"/>
    <w:rsid w:val="009245AD"/>
    <w:rsid w:val="009255B9"/>
    <w:rsid w:val="0092655F"/>
    <w:rsid w:val="00926DE3"/>
    <w:rsid w:val="00927F08"/>
    <w:rsid w:val="0093248F"/>
    <w:rsid w:val="00932702"/>
    <w:rsid w:val="00933564"/>
    <w:rsid w:val="0093426C"/>
    <w:rsid w:val="00934596"/>
    <w:rsid w:val="00934D75"/>
    <w:rsid w:val="00934EAE"/>
    <w:rsid w:val="009359E2"/>
    <w:rsid w:val="009407ED"/>
    <w:rsid w:val="009410E0"/>
    <w:rsid w:val="00941AE2"/>
    <w:rsid w:val="00942351"/>
    <w:rsid w:val="00942A0C"/>
    <w:rsid w:val="00942BAA"/>
    <w:rsid w:val="009437C5"/>
    <w:rsid w:val="00943861"/>
    <w:rsid w:val="00944D4A"/>
    <w:rsid w:val="0094618C"/>
    <w:rsid w:val="00946B3D"/>
    <w:rsid w:val="00947511"/>
    <w:rsid w:val="00947A59"/>
    <w:rsid w:val="00947F64"/>
    <w:rsid w:val="00950074"/>
    <w:rsid w:val="00950BB5"/>
    <w:rsid w:val="00952592"/>
    <w:rsid w:val="00952C49"/>
    <w:rsid w:val="00953253"/>
    <w:rsid w:val="0095353C"/>
    <w:rsid w:val="00953EDE"/>
    <w:rsid w:val="00955F94"/>
    <w:rsid w:val="00956025"/>
    <w:rsid w:val="009562C4"/>
    <w:rsid w:val="0095661F"/>
    <w:rsid w:val="00956659"/>
    <w:rsid w:val="009566A0"/>
    <w:rsid w:val="00956C6C"/>
    <w:rsid w:val="009574AF"/>
    <w:rsid w:val="009574BB"/>
    <w:rsid w:val="0096015A"/>
    <w:rsid w:val="009606E9"/>
    <w:rsid w:val="00960D77"/>
    <w:rsid w:val="009615C3"/>
    <w:rsid w:val="00962326"/>
    <w:rsid w:val="00962DD4"/>
    <w:rsid w:val="0096490C"/>
    <w:rsid w:val="00965D83"/>
    <w:rsid w:val="00965E22"/>
    <w:rsid w:val="00965FC5"/>
    <w:rsid w:val="00966573"/>
    <w:rsid w:val="00966E4C"/>
    <w:rsid w:val="00966EEF"/>
    <w:rsid w:val="0096763C"/>
    <w:rsid w:val="00967AE9"/>
    <w:rsid w:val="00967EA7"/>
    <w:rsid w:val="00971549"/>
    <w:rsid w:val="00971743"/>
    <w:rsid w:val="00971F5D"/>
    <w:rsid w:val="009720EA"/>
    <w:rsid w:val="00972581"/>
    <w:rsid w:val="0097266B"/>
    <w:rsid w:val="00972942"/>
    <w:rsid w:val="00972D71"/>
    <w:rsid w:val="009734E0"/>
    <w:rsid w:val="00973FBB"/>
    <w:rsid w:val="0097477D"/>
    <w:rsid w:val="009748BE"/>
    <w:rsid w:val="00974E89"/>
    <w:rsid w:val="00975ADD"/>
    <w:rsid w:val="00975E29"/>
    <w:rsid w:val="00975F23"/>
    <w:rsid w:val="00980B48"/>
    <w:rsid w:val="00980EEE"/>
    <w:rsid w:val="009811F1"/>
    <w:rsid w:val="009812E4"/>
    <w:rsid w:val="00981858"/>
    <w:rsid w:val="0098188B"/>
    <w:rsid w:val="009819A5"/>
    <w:rsid w:val="00981C08"/>
    <w:rsid w:val="00981C3C"/>
    <w:rsid w:val="009823D8"/>
    <w:rsid w:val="00982F7F"/>
    <w:rsid w:val="009831A0"/>
    <w:rsid w:val="00983758"/>
    <w:rsid w:val="00984015"/>
    <w:rsid w:val="00984586"/>
    <w:rsid w:val="0098588F"/>
    <w:rsid w:val="00985A7F"/>
    <w:rsid w:val="00987133"/>
    <w:rsid w:val="00987ED5"/>
    <w:rsid w:val="00990006"/>
    <w:rsid w:val="00991536"/>
    <w:rsid w:val="0099153B"/>
    <w:rsid w:val="00991B41"/>
    <w:rsid w:val="0099202D"/>
    <w:rsid w:val="0099271E"/>
    <w:rsid w:val="00992729"/>
    <w:rsid w:val="00993339"/>
    <w:rsid w:val="00993C32"/>
    <w:rsid w:val="00994671"/>
    <w:rsid w:val="009948B6"/>
    <w:rsid w:val="009956E5"/>
    <w:rsid w:val="00996549"/>
    <w:rsid w:val="009975F9"/>
    <w:rsid w:val="009A032A"/>
    <w:rsid w:val="009A0662"/>
    <w:rsid w:val="009A1BCB"/>
    <w:rsid w:val="009A229D"/>
    <w:rsid w:val="009A2A1F"/>
    <w:rsid w:val="009A3EA0"/>
    <w:rsid w:val="009A53A9"/>
    <w:rsid w:val="009A5831"/>
    <w:rsid w:val="009A59BF"/>
    <w:rsid w:val="009A60A0"/>
    <w:rsid w:val="009A6802"/>
    <w:rsid w:val="009A681C"/>
    <w:rsid w:val="009A6921"/>
    <w:rsid w:val="009A7283"/>
    <w:rsid w:val="009A7490"/>
    <w:rsid w:val="009B0137"/>
    <w:rsid w:val="009B09D9"/>
    <w:rsid w:val="009B0AF5"/>
    <w:rsid w:val="009B1598"/>
    <w:rsid w:val="009B2739"/>
    <w:rsid w:val="009B2C26"/>
    <w:rsid w:val="009B2E60"/>
    <w:rsid w:val="009B3FF1"/>
    <w:rsid w:val="009B4048"/>
    <w:rsid w:val="009B41E2"/>
    <w:rsid w:val="009B435A"/>
    <w:rsid w:val="009B560A"/>
    <w:rsid w:val="009B59A3"/>
    <w:rsid w:val="009B5FD8"/>
    <w:rsid w:val="009B6FE9"/>
    <w:rsid w:val="009C12D1"/>
    <w:rsid w:val="009C358A"/>
    <w:rsid w:val="009C3D05"/>
    <w:rsid w:val="009C4451"/>
    <w:rsid w:val="009C4681"/>
    <w:rsid w:val="009C49D6"/>
    <w:rsid w:val="009C4E1C"/>
    <w:rsid w:val="009C5027"/>
    <w:rsid w:val="009C5287"/>
    <w:rsid w:val="009C530D"/>
    <w:rsid w:val="009C58F3"/>
    <w:rsid w:val="009C69C9"/>
    <w:rsid w:val="009C6A20"/>
    <w:rsid w:val="009C7C14"/>
    <w:rsid w:val="009C7F4F"/>
    <w:rsid w:val="009D00C8"/>
    <w:rsid w:val="009D0B36"/>
    <w:rsid w:val="009D19A8"/>
    <w:rsid w:val="009D30C4"/>
    <w:rsid w:val="009D3557"/>
    <w:rsid w:val="009D3578"/>
    <w:rsid w:val="009D38BC"/>
    <w:rsid w:val="009D3E63"/>
    <w:rsid w:val="009D5E9D"/>
    <w:rsid w:val="009D5F28"/>
    <w:rsid w:val="009D66F1"/>
    <w:rsid w:val="009D74D8"/>
    <w:rsid w:val="009E13E2"/>
    <w:rsid w:val="009E14F5"/>
    <w:rsid w:val="009E1955"/>
    <w:rsid w:val="009E1A87"/>
    <w:rsid w:val="009E1F72"/>
    <w:rsid w:val="009E25C7"/>
    <w:rsid w:val="009E3312"/>
    <w:rsid w:val="009E35CF"/>
    <w:rsid w:val="009E3C3F"/>
    <w:rsid w:val="009E424F"/>
    <w:rsid w:val="009E464E"/>
    <w:rsid w:val="009E5B4C"/>
    <w:rsid w:val="009E662A"/>
    <w:rsid w:val="009E669B"/>
    <w:rsid w:val="009E6A66"/>
    <w:rsid w:val="009E6CE2"/>
    <w:rsid w:val="009E6F42"/>
    <w:rsid w:val="009E7AF8"/>
    <w:rsid w:val="009F015B"/>
    <w:rsid w:val="009F01AA"/>
    <w:rsid w:val="009F0FED"/>
    <w:rsid w:val="009F2270"/>
    <w:rsid w:val="009F3FB1"/>
    <w:rsid w:val="009F453B"/>
    <w:rsid w:val="009F4F8A"/>
    <w:rsid w:val="009F5308"/>
    <w:rsid w:val="009F64F4"/>
    <w:rsid w:val="009F6F77"/>
    <w:rsid w:val="009F75A4"/>
    <w:rsid w:val="009F76AD"/>
    <w:rsid w:val="00A0018F"/>
    <w:rsid w:val="00A0033C"/>
    <w:rsid w:val="00A01065"/>
    <w:rsid w:val="00A01C89"/>
    <w:rsid w:val="00A01D65"/>
    <w:rsid w:val="00A02724"/>
    <w:rsid w:val="00A02C54"/>
    <w:rsid w:val="00A03E05"/>
    <w:rsid w:val="00A03F45"/>
    <w:rsid w:val="00A052EF"/>
    <w:rsid w:val="00A05654"/>
    <w:rsid w:val="00A06A7D"/>
    <w:rsid w:val="00A07AB6"/>
    <w:rsid w:val="00A10059"/>
    <w:rsid w:val="00A10380"/>
    <w:rsid w:val="00A103E8"/>
    <w:rsid w:val="00A10962"/>
    <w:rsid w:val="00A116BD"/>
    <w:rsid w:val="00A11C12"/>
    <w:rsid w:val="00A12165"/>
    <w:rsid w:val="00A1280E"/>
    <w:rsid w:val="00A13B10"/>
    <w:rsid w:val="00A13D0D"/>
    <w:rsid w:val="00A14782"/>
    <w:rsid w:val="00A14D52"/>
    <w:rsid w:val="00A155CB"/>
    <w:rsid w:val="00A1572B"/>
    <w:rsid w:val="00A1622C"/>
    <w:rsid w:val="00A1637A"/>
    <w:rsid w:val="00A1639E"/>
    <w:rsid w:val="00A168CB"/>
    <w:rsid w:val="00A16ABE"/>
    <w:rsid w:val="00A1760A"/>
    <w:rsid w:val="00A2091B"/>
    <w:rsid w:val="00A2125C"/>
    <w:rsid w:val="00A21B28"/>
    <w:rsid w:val="00A21DE3"/>
    <w:rsid w:val="00A22F31"/>
    <w:rsid w:val="00A231A2"/>
    <w:rsid w:val="00A235D5"/>
    <w:rsid w:val="00A2404E"/>
    <w:rsid w:val="00A24DD9"/>
    <w:rsid w:val="00A24DDE"/>
    <w:rsid w:val="00A24F4F"/>
    <w:rsid w:val="00A257A9"/>
    <w:rsid w:val="00A258CE"/>
    <w:rsid w:val="00A259A3"/>
    <w:rsid w:val="00A263F9"/>
    <w:rsid w:val="00A27DF8"/>
    <w:rsid w:val="00A30CD9"/>
    <w:rsid w:val="00A314B8"/>
    <w:rsid w:val="00A31CAB"/>
    <w:rsid w:val="00A31DEE"/>
    <w:rsid w:val="00A32305"/>
    <w:rsid w:val="00A32BBC"/>
    <w:rsid w:val="00A32C16"/>
    <w:rsid w:val="00A32F82"/>
    <w:rsid w:val="00A33674"/>
    <w:rsid w:val="00A33C5C"/>
    <w:rsid w:val="00A34C42"/>
    <w:rsid w:val="00A35479"/>
    <w:rsid w:val="00A35A82"/>
    <w:rsid w:val="00A35BA5"/>
    <w:rsid w:val="00A36162"/>
    <w:rsid w:val="00A36326"/>
    <w:rsid w:val="00A36AE7"/>
    <w:rsid w:val="00A376E6"/>
    <w:rsid w:val="00A37F22"/>
    <w:rsid w:val="00A40067"/>
    <w:rsid w:val="00A41288"/>
    <w:rsid w:val="00A41410"/>
    <w:rsid w:val="00A41463"/>
    <w:rsid w:val="00A415C5"/>
    <w:rsid w:val="00A426DB"/>
    <w:rsid w:val="00A4306E"/>
    <w:rsid w:val="00A4388D"/>
    <w:rsid w:val="00A43AE7"/>
    <w:rsid w:val="00A44C9A"/>
    <w:rsid w:val="00A44E3E"/>
    <w:rsid w:val="00A44EE2"/>
    <w:rsid w:val="00A44F40"/>
    <w:rsid w:val="00A45301"/>
    <w:rsid w:val="00A45981"/>
    <w:rsid w:val="00A46433"/>
    <w:rsid w:val="00A46498"/>
    <w:rsid w:val="00A4676D"/>
    <w:rsid w:val="00A46CFC"/>
    <w:rsid w:val="00A47FD5"/>
    <w:rsid w:val="00A5047A"/>
    <w:rsid w:val="00A50996"/>
    <w:rsid w:val="00A50E1A"/>
    <w:rsid w:val="00A51FF1"/>
    <w:rsid w:val="00A52FEB"/>
    <w:rsid w:val="00A539B2"/>
    <w:rsid w:val="00A53ACF"/>
    <w:rsid w:val="00A54571"/>
    <w:rsid w:val="00A54773"/>
    <w:rsid w:val="00A55E17"/>
    <w:rsid w:val="00A5669D"/>
    <w:rsid w:val="00A56CC7"/>
    <w:rsid w:val="00A602E4"/>
    <w:rsid w:val="00A6066D"/>
    <w:rsid w:val="00A60821"/>
    <w:rsid w:val="00A61D37"/>
    <w:rsid w:val="00A62029"/>
    <w:rsid w:val="00A62913"/>
    <w:rsid w:val="00A63B57"/>
    <w:rsid w:val="00A65B41"/>
    <w:rsid w:val="00A65DEA"/>
    <w:rsid w:val="00A67848"/>
    <w:rsid w:val="00A707D6"/>
    <w:rsid w:val="00A72E41"/>
    <w:rsid w:val="00A73708"/>
    <w:rsid w:val="00A7380D"/>
    <w:rsid w:val="00A74AA9"/>
    <w:rsid w:val="00A750FE"/>
    <w:rsid w:val="00A752CE"/>
    <w:rsid w:val="00A75D5D"/>
    <w:rsid w:val="00A7680D"/>
    <w:rsid w:val="00A768CE"/>
    <w:rsid w:val="00A76912"/>
    <w:rsid w:val="00A76C4E"/>
    <w:rsid w:val="00A76FFB"/>
    <w:rsid w:val="00A77273"/>
    <w:rsid w:val="00A809C7"/>
    <w:rsid w:val="00A80C76"/>
    <w:rsid w:val="00A814B7"/>
    <w:rsid w:val="00A81549"/>
    <w:rsid w:val="00A81926"/>
    <w:rsid w:val="00A825F4"/>
    <w:rsid w:val="00A8319F"/>
    <w:rsid w:val="00A83630"/>
    <w:rsid w:val="00A83869"/>
    <w:rsid w:val="00A83D4B"/>
    <w:rsid w:val="00A842BF"/>
    <w:rsid w:val="00A847F7"/>
    <w:rsid w:val="00A84908"/>
    <w:rsid w:val="00A84A4E"/>
    <w:rsid w:val="00A87915"/>
    <w:rsid w:val="00A9026C"/>
    <w:rsid w:val="00A909E0"/>
    <w:rsid w:val="00A90CE1"/>
    <w:rsid w:val="00A916FA"/>
    <w:rsid w:val="00A91B3F"/>
    <w:rsid w:val="00A922FC"/>
    <w:rsid w:val="00A924F1"/>
    <w:rsid w:val="00A931C3"/>
    <w:rsid w:val="00A935CF"/>
    <w:rsid w:val="00A937DC"/>
    <w:rsid w:val="00A952A7"/>
    <w:rsid w:val="00A960FD"/>
    <w:rsid w:val="00A9646D"/>
    <w:rsid w:val="00A965EF"/>
    <w:rsid w:val="00AA0718"/>
    <w:rsid w:val="00AA0F13"/>
    <w:rsid w:val="00AA1156"/>
    <w:rsid w:val="00AA1715"/>
    <w:rsid w:val="00AA1C8C"/>
    <w:rsid w:val="00AA28CB"/>
    <w:rsid w:val="00AA29C5"/>
    <w:rsid w:val="00AA3276"/>
    <w:rsid w:val="00AA3FD3"/>
    <w:rsid w:val="00AA45D1"/>
    <w:rsid w:val="00AA47C0"/>
    <w:rsid w:val="00AA4AD1"/>
    <w:rsid w:val="00AA4B00"/>
    <w:rsid w:val="00AA50DA"/>
    <w:rsid w:val="00AA5119"/>
    <w:rsid w:val="00AA5419"/>
    <w:rsid w:val="00AA6792"/>
    <w:rsid w:val="00AA73CA"/>
    <w:rsid w:val="00AA759C"/>
    <w:rsid w:val="00AA767B"/>
    <w:rsid w:val="00AA77B1"/>
    <w:rsid w:val="00AB07BD"/>
    <w:rsid w:val="00AB0D68"/>
    <w:rsid w:val="00AB0FFD"/>
    <w:rsid w:val="00AB1FE8"/>
    <w:rsid w:val="00AB221E"/>
    <w:rsid w:val="00AB22BE"/>
    <w:rsid w:val="00AB2FB9"/>
    <w:rsid w:val="00AB486F"/>
    <w:rsid w:val="00AB5E11"/>
    <w:rsid w:val="00AB6047"/>
    <w:rsid w:val="00AB6365"/>
    <w:rsid w:val="00AB685B"/>
    <w:rsid w:val="00AB7369"/>
    <w:rsid w:val="00AC01AD"/>
    <w:rsid w:val="00AC09D8"/>
    <w:rsid w:val="00AC0EF7"/>
    <w:rsid w:val="00AC1219"/>
    <w:rsid w:val="00AC14FE"/>
    <w:rsid w:val="00AC1AE6"/>
    <w:rsid w:val="00AC2D1C"/>
    <w:rsid w:val="00AC3884"/>
    <w:rsid w:val="00AC3DA6"/>
    <w:rsid w:val="00AC3EB5"/>
    <w:rsid w:val="00AC41A2"/>
    <w:rsid w:val="00AC4564"/>
    <w:rsid w:val="00AC4845"/>
    <w:rsid w:val="00AC4C71"/>
    <w:rsid w:val="00AC4DED"/>
    <w:rsid w:val="00AC53DE"/>
    <w:rsid w:val="00AC6D26"/>
    <w:rsid w:val="00AC7372"/>
    <w:rsid w:val="00AC749E"/>
    <w:rsid w:val="00AD1324"/>
    <w:rsid w:val="00AD1B9B"/>
    <w:rsid w:val="00AD22E6"/>
    <w:rsid w:val="00AD243D"/>
    <w:rsid w:val="00AD29C4"/>
    <w:rsid w:val="00AD2CED"/>
    <w:rsid w:val="00AD2F3E"/>
    <w:rsid w:val="00AD31D5"/>
    <w:rsid w:val="00AD3AB8"/>
    <w:rsid w:val="00AD3BFB"/>
    <w:rsid w:val="00AD403B"/>
    <w:rsid w:val="00AD418C"/>
    <w:rsid w:val="00AD4F12"/>
    <w:rsid w:val="00AD629E"/>
    <w:rsid w:val="00AD63A5"/>
    <w:rsid w:val="00AD66D5"/>
    <w:rsid w:val="00AD79CE"/>
    <w:rsid w:val="00AD7F16"/>
    <w:rsid w:val="00AE0659"/>
    <w:rsid w:val="00AE0843"/>
    <w:rsid w:val="00AE0B7F"/>
    <w:rsid w:val="00AE0FCC"/>
    <w:rsid w:val="00AE11A8"/>
    <w:rsid w:val="00AE1A8E"/>
    <w:rsid w:val="00AE2B5C"/>
    <w:rsid w:val="00AE47DA"/>
    <w:rsid w:val="00AE4D10"/>
    <w:rsid w:val="00AE4E53"/>
    <w:rsid w:val="00AE5769"/>
    <w:rsid w:val="00AE64EB"/>
    <w:rsid w:val="00AE6EA9"/>
    <w:rsid w:val="00AE7DC8"/>
    <w:rsid w:val="00AF0252"/>
    <w:rsid w:val="00AF027B"/>
    <w:rsid w:val="00AF0DFD"/>
    <w:rsid w:val="00AF1935"/>
    <w:rsid w:val="00AF1B2F"/>
    <w:rsid w:val="00AF26B7"/>
    <w:rsid w:val="00AF2D50"/>
    <w:rsid w:val="00AF3FA6"/>
    <w:rsid w:val="00AF4C5B"/>
    <w:rsid w:val="00AF4CA4"/>
    <w:rsid w:val="00AF4D68"/>
    <w:rsid w:val="00AF54F7"/>
    <w:rsid w:val="00AF577B"/>
    <w:rsid w:val="00AF65AC"/>
    <w:rsid w:val="00AF681D"/>
    <w:rsid w:val="00AF7058"/>
    <w:rsid w:val="00AF79A7"/>
    <w:rsid w:val="00AF7AB5"/>
    <w:rsid w:val="00B004F9"/>
    <w:rsid w:val="00B0054C"/>
    <w:rsid w:val="00B005F1"/>
    <w:rsid w:val="00B0155C"/>
    <w:rsid w:val="00B01739"/>
    <w:rsid w:val="00B01AE9"/>
    <w:rsid w:val="00B03585"/>
    <w:rsid w:val="00B0369F"/>
    <w:rsid w:val="00B03EF5"/>
    <w:rsid w:val="00B04D69"/>
    <w:rsid w:val="00B060B1"/>
    <w:rsid w:val="00B0756B"/>
    <w:rsid w:val="00B079B6"/>
    <w:rsid w:val="00B07EB9"/>
    <w:rsid w:val="00B07F9E"/>
    <w:rsid w:val="00B10026"/>
    <w:rsid w:val="00B10B63"/>
    <w:rsid w:val="00B10E28"/>
    <w:rsid w:val="00B10FDE"/>
    <w:rsid w:val="00B13564"/>
    <w:rsid w:val="00B136F0"/>
    <w:rsid w:val="00B13772"/>
    <w:rsid w:val="00B13D8E"/>
    <w:rsid w:val="00B14E23"/>
    <w:rsid w:val="00B14F28"/>
    <w:rsid w:val="00B157DE"/>
    <w:rsid w:val="00B15AE4"/>
    <w:rsid w:val="00B15C08"/>
    <w:rsid w:val="00B15D7C"/>
    <w:rsid w:val="00B1635D"/>
    <w:rsid w:val="00B17705"/>
    <w:rsid w:val="00B17749"/>
    <w:rsid w:val="00B1797E"/>
    <w:rsid w:val="00B20F1A"/>
    <w:rsid w:val="00B2103A"/>
    <w:rsid w:val="00B224BC"/>
    <w:rsid w:val="00B229DB"/>
    <w:rsid w:val="00B22C80"/>
    <w:rsid w:val="00B23B76"/>
    <w:rsid w:val="00B24040"/>
    <w:rsid w:val="00B2417B"/>
    <w:rsid w:val="00B24AA0"/>
    <w:rsid w:val="00B2540D"/>
    <w:rsid w:val="00B27125"/>
    <w:rsid w:val="00B272DB"/>
    <w:rsid w:val="00B2736C"/>
    <w:rsid w:val="00B3050F"/>
    <w:rsid w:val="00B3075B"/>
    <w:rsid w:val="00B3081E"/>
    <w:rsid w:val="00B3109C"/>
    <w:rsid w:val="00B322CC"/>
    <w:rsid w:val="00B32540"/>
    <w:rsid w:val="00B33DE4"/>
    <w:rsid w:val="00B346C7"/>
    <w:rsid w:val="00B35721"/>
    <w:rsid w:val="00B35AC5"/>
    <w:rsid w:val="00B37019"/>
    <w:rsid w:val="00B374FF"/>
    <w:rsid w:val="00B4040D"/>
    <w:rsid w:val="00B415BD"/>
    <w:rsid w:val="00B418B2"/>
    <w:rsid w:val="00B420B6"/>
    <w:rsid w:val="00B4223A"/>
    <w:rsid w:val="00B422D7"/>
    <w:rsid w:val="00B430F1"/>
    <w:rsid w:val="00B438C1"/>
    <w:rsid w:val="00B44000"/>
    <w:rsid w:val="00B443C4"/>
    <w:rsid w:val="00B447D8"/>
    <w:rsid w:val="00B44D94"/>
    <w:rsid w:val="00B44EA0"/>
    <w:rsid w:val="00B472E8"/>
    <w:rsid w:val="00B500E3"/>
    <w:rsid w:val="00B50B0E"/>
    <w:rsid w:val="00B50B24"/>
    <w:rsid w:val="00B50C2F"/>
    <w:rsid w:val="00B50FF2"/>
    <w:rsid w:val="00B519E6"/>
    <w:rsid w:val="00B52A74"/>
    <w:rsid w:val="00B531A1"/>
    <w:rsid w:val="00B53939"/>
    <w:rsid w:val="00B5396E"/>
    <w:rsid w:val="00B53D64"/>
    <w:rsid w:val="00B54EFA"/>
    <w:rsid w:val="00B55632"/>
    <w:rsid w:val="00B5691D"/>
    <w:rsid w:val="00B56B74"/>
    <w:rsid w:val="00B571C8"/>
    <w:rsid w:val="00B6015C"/>
    <w:rsid w:val="00B6090E"/>
    <w:rsid w:val="00B625E8"/>
    <w:rsid w:val="00B63BF4"/>
    <w:rsid w:val="00B642C0"/>
    <w:rsid w:val="00B648DA"/>
    <w:rsid w:val="00B64AFE"/>
    <w:rsid w:val="00B65014"/>
    <w:rsid w:val="00B658F8"/>
    <w:rsid w:val="00B65A3B"/>
    <w:rsid w:val="00B661D8"/>
    <w:rsid w:val="00B6656F"/>
    <w:rsid w:val="00B67B44"/>
    <w:rsid w:val="00B7036D"/>
    <w:rsid w:val="00B714C0"/>
    <w:rsid w:val="00B715D0"/>
    <w:rsid w:val="00B7249E"/>
    <w:rsid w:val="00B725D0"/>
    <w:rsid w:val="00B72EB7"/>
    <w:rsid w:val="00B73491"/>
    <w:rsid w:val="00B735D5"/>
    <w:rsid w:val="00B7414B"/>
    <w:rsid w:val="00B74A6C"/>
    <w:rsid w:val="00B74EBD"/>
    <w:rsid w:val="00B75506"/>
    <w:rsid w:val="00B758E9"/>
    <w:rsid w:val="00B76889"/>
    <w:rsid w:val="00B76FE0"/>
    <w:rsid w:val="00B7718B"/>
    <w:rsid w:val="00B771EA"/>
    <w:rsid w:val="00B800C2"/>
    <w:rsid w:val="00B8025A"/>
    <w:rsid w:val="00B805B7"/>
    <w:rsid w:val="00B8089D"/>
    <w:rsid w:val="00B80AE9"/>
    <w:rsid w:val="00B81851"/>
    <w:rsid w:val="00B818E9"/>
    <w:rsid w:val="00B82926"/>
    <w:rsid w:val="00B82FDC"/>
    <w:rsid w:val="00B836A7"/>
    <w:rsid w:val="00B83FDC"/>
    <w:rsid w:val="00B84651"/>
    <w:rsid w:val="00B8544D"/>
    <w:rsid w:val="00B85576"/>
    <w:rsid w:val="00B85B86"/>
    <w:rsid w:val="00B8624D"/>
    <w:rsid w:val="00B8684C"/>
    <w:rsid w:val="00B86B5B"/>
    <w:rsid w:val="00B86D5B"/>
    <w:rsid w:val="00B86F0F"/>
    <w:rsid w:val="00B87D66"/>
    <w:rsid w:val="00B91067"/>
    <w:rsid w:val="00B9119D"/>
    <w:rsid w:val="00B92C7C"/>
    <w:rsid w:val="00B92F3B"/>
    <w:rsid w:val="00B93AD9"/>
    <w:rsid w:val="00B93DC8"/>
    <w:rsid w:val="00B94617"/>
    <w:rsid w:val="00B95457"/>
    <w:rsid w:val="00B95D99"/>
    <w:rsid w:val="00B96588"/>
    <w:rsid w:val="00B96733"/>
    <w:rsid w:val="00B96E11"/>
    <w:rsid w:val="00B97EC8"/>
    <w:rsid w:val="00BA0031"/>
    <w:rsid w:val="00BA0DB9"/>
    <w:rsid w:val="00BA0FF8"/>
    <w:rsid w:val="00BA1220"/>
    <w:rsid w:val="00BA143B"/>
    <w:rsid w:val="00BA15B5"/>
    <w:rsid w:val="00BA1F0D"/>
    <w:rsid w:val="00BA2849"/>
    <w:rsid w:val="00BA2FCA"/>
    <w:rsid w:val="00BA40AB"/>
    <w:rsid w:val="00BA4DF3"/>
    <w:rsid w:val="00BA500E"/>
    <w:rsid w:val="00BA52A9"/>
    <w:rsid w:val="00BA5323"/>
    <w:rsid w:val="00BA5A4C"/>
    <w:rsid w:val="00BA5F3B"/>
    <w:rsid w:val="00BA6574"/>
    <w:rsid w:val="00BA695A"/>
    <w:rsid w:val="00BA6E5E"/>
    <w:rsid w:val="00BA7681"/>
    <w:rsid w:val="00BB1484"/>
    <w:rsid w:val="00BB4DFB"/>
    <w:rsid w:val="00BB54EF"/>
    <w:rsid w:val="00BB5545"/>
    <w:rsid w:val="00BB58E2"/>
    <w:rsid w:val="00BB5D19"/>
    <w:rsid w:val="00BB63A6"/>
    <w:rsid w:val="00BB6A5D"/>
    <w:rsid w:val="00BB6CFF"/>
    <w:rsid w:val="00BC1D87"/>
    <w:rsid w:val="00BC2D66"/>
    <w:rsid w:val="00BC3278"/>
    <w:rsid w:val="00BC3677"/>
    <w:rsid w:val="00BC37AB"/>
    <w:rsid w:val="00BC37C2"/>
    <w:rsid w:val="00BC3962"/>
    <w:rsid w:val="00BC4892"/>
    <w:rsid w:val="00BC4B27"/>
    <w:rsid w:val="00BC4D55"/>
    <w:rsid w:val="00BC60BB"/>
    <w:rsid w:val="00BC638F"/>
    <w:rsid w:val="00BC63E9"/>
    <w:rsid w:val="00BC6E4A"/>
    <w:rsid w:val="00BC78B7"/>
    <w:rsid w:val="00BC7976"/>
    <w:rsid w:val="00BC7B93"/>
    <w:rsid w:val="00BD003C"/>
    <w:rsid w:val="00BD05E4"/>
    <w:rsid w:val="00BD0ED6"/>
    <w:rsid w:val="00BD141B"/>
    <w:rsid w:val="00BD2674"/>
    <w:rsid w:val="00BD2E97"/>
    <w:rsid w:val="00BD41A5"/>
    <w:rsid w:val="00BD4DB9"/>
    <w:rsid w:val="00BD501C"/>
    <w:rsid w:val="00BD53E3"/>
    <w:rsid w:val="00BD666F"/>
    <w:rsid w:val="00BD6898"/>
    <w:rsid w:val="00BD6AA0"/>
    <w:rsid w:val="00BD6C66"/>
    <w:rsid w:val="00BD710C"/>
    <w:rsid w:val="00BD7367"/>
    <w:rsid w:val="00BD774B"/>
    <w:rsid w:val="00BD7D94"/>
    <w:rsid w:val="00BD7E28"/>
    <w:rsid w:val="00BE1600"/>
    <w:rsid w:val="00BE1C17"/>
    <w:rsid w:val="00BE2C26"/>
    <w:rsid w:val="00BE3E71"/>
    <w:rsid w:val="00BE4971"/>
    <w:rsid w:val="00BE4B67"/>
    <w:rsid w:val="00BE5201"/>
    <w:rsid w:val="00BE5561"/>
    <w:rsid w:val="00BF03C0"/>
    <w:rsid w:val="00BF04F3"/>
    <w:rsid w:val="00BF167A"/>
    <w:rsid w:val="00BF1ECF"/>
    <w:rsid w:val="00BF1F1C"/>
    <w:rsid w:val="00BF2072"/>
    <w:rsid w:val="00BF217B"/>
    <w:rsid w:val="00BF228F"/>
    <w:rsid w:val="00BF356E"/>
    <w:rsid w:val="00BF46F5"/>
    <w:rsid w:val="00BF4F89"/>
    <w:rsid w:val="00BF5A42"/>
    <w:rsid w:val="00BF5CEB"/>
    <w:rsid w:val="00BF5DAC"/>
    <w:rsid w:val="00BF6E4B"/>
    <w:rsid w:val="00C00117"/>
    <w:rsid w:val="00C006F9"/>
    <w:rsid w:val="00C00DFB"/>
    <w:rsid w:val="00C00FAB"/>
    <w:rsid w:val="00C010D6"/>
    <w:rsid w:val="00C02744"/>
    <w:rsid w:val="00C02A83"/>
    <w:rsid w:val="00C0378B"/>
    <w:rsid w:val="00C037A1"/>
    <w:rsid w:val="00C03C48"/>
    <w:rsid w:val="00C03D85"/>
    <w:rsid w:val="00C049FF"/>
    <w:rsid w:val="00C04A78"/>
    <w:rsid w:val="00C04DEB"/>
    <w:rsid w:val="00C05120"/>
    <w:rsid w:val="00C055CF"/>
    <w:rsid w:val="00C05A58"/>
    <w:rsid w:val="00C06E4A"/>
    <w:rsid w:val="00C06EF6"/>
    <w:rsid w:val="00C076BF"/>
    <w:rsid w:val="00C10573"/>
    <w:rsid w:val="00C108E8"/>
    <w:rsid w:val="00C10EC0"/>
    <w:rsid w:val="00C111E7"/>
    <w:rsid w:val="00C118B1"/>
    <w:rsid w:val="00C124FB"/>
    <w:rsid w:val="00C135D4"/>
    <w:rsid w:val="00C1360F"/>
    <w:rsid w:val="00C13FD1"/>
    <w:rsid w:val="00C143B8"/>
    <w:rsid w:val="00C15066"/>
    <w:rsid w:val="00C154AA"/>
    <w:rsid w:val="00C159F8"/>
    <w:rsid w:val="00C17843"/>
    <w:rsid w:val="00C17C92"/>
    <w:rsid w:val="00C20527"/>
    <w:rsid w:val="00C20818"/>
    <w:rsid w:val="00C209B1"/>
    <w:rsid w:val="00C21BE1"/>
    <w:rsid w:val="00C21BE6"/>
    <w:rsid w:val="00C24073"/>
    <w:rsid w:val="00C24428"/>
    <w:rsid w:val="00C2689B"/>
    <w:rsid w:val="00C26F79"/>
    <w:rsid w:val="00C27DED"/>
    <w:rsid w:val="00C27E85"/>
    <w:rsid w:val="00C302D4"/>
    <w:rsid w:val="00C30BD1"/>
    <w:rsid w:val="00C3106D"/>
    <w:rsid w:val="00C313CB"/>
    <w:rsid w:val="00C3169A"/>
    <w:rsid w:val="00C31A7F"/>
    <w:rsid w:val="00C31BA6"/>
    <w:rsid w:val="00C323C0"/>
    <w:rsid w:val="00C32624"/>
    <w:rsid w:val="00C326E1"/>
    <w:rsid w:val="00C3347F"/>
    <w:rsid w:val="00C33811"/>
    <w:rsid w:val="00C33D49"/>
    <w:rsid w:val="00C33EE9"/>
    <w:rsid w:val="00C345A6"/>
    <w:rsid w:val="00C347C7"/>
    <w:rsid w:val="00C348A7"/>
    <w:rsid w:val="00C358D7"/>
    <w:rsid w:val="00C361D9"/>
    <w:rsid w:val="00C36701"/>
    <w:rsid w:val="00C36E62"/>
    <w:rsid w:val="00C37B1B"/>
    <w:rsid w:val="00C37DA1"/>
    <w:rsid w:val="00C37E1F"/>
    <w:rsid w:val="00C406A7"/>
    <w:rsid w:val="00C4083C"/>
    <w:rsid w:val="00C4085A"/>
    <w:rsid w:val="00C40CDD"/>
    <w:rsid w:val="00C40FA9"/>
    <w:rsid w:val="00C41F0D"/>
    <w:rsid w:val="00C42081"/>
    <w:rsid w:val="00C42D37"/>
    <w:rsid w:val="00C4302D"/>
    <w:rsid w:val="00C435B7"/>
    <w:rsid w:val="00C43B42"/>
    <w:rsid w:val="00C44DD6"/>
    <w:rsid w:val="00C45108"/>
    <w:rsid w:val="00C46703"/>
    <w:rsid w:val="00C4677A"/>
    <w:rsid w:val="00C471D0"/>
    <w:rsid w:val="00C477E0"/>
    <w:rsid w:val="00C47C4E"/>
    <w:rsid w:val="00C50BF5"/>
    <w:rsid w:val="00C50DD6"/>
    <w:rsid w:val="00C51600"/>
    <w:rsid w:val="00C53E4A"/>
    <w:rsid w:val="00C54937"/>
    <w:rsid w:val="00C550F5"/>
    <w:rsid w:val="00C556BA"/>
    <w:rsid w:val="00C5667F"/>
    <w:rsid w:val="00C5693F"/>
    <w:rsid w:val="00C56AE9"/>
    <w:rsid w:val="00C57913"/>
    <w:rsid w:val="00C57B7C"/>
    <w:rsid w:val="00C60465"/>
    <w:rsid w:val="00C60476"/>
    <w:rsid w:val="00C6047C"/>
    <w:rsid w:val="00C604F8"/>
    <w:rsid w:val="00C60D83"/>
    <w:rsid w:val="00C6147A"/>
    <w:rsid w:val="00C61C66"/>
    <w:rsid w:val="00C61DAD"/>
    <w:rsid w:val="00C62487"/>
    <w:rsid w:val="00C62556"/>
    <w:rsid w:val="00C63232"/>
    <w:rsid w:val="00C63667"/>
    <w:rsid w:val="00C63FEB"/>
    <w:rsid w:val="00C645C3"/>
    <w:rsid w:val="00C646BA"/>
    <w:rsid w:val="00C64B39"/>
    <w:rsid w:val="00C650C6"/>
    <w:rsid w:val="00C6577C"/>
    <w:rsid w:val="00C65A22"/>
    <w:rsid w:val="00C65DBE"/>
    <w:rsid w:val="00C66063"/>
    <w:rsid w:val="00C66D20"/>
    <w:rsid w:val="00C66E0F"/>
    <w:rsid w:val="00C67332"/>
    <w:rsid w:val="00C675F3"/>
    <w:rsid w:val="00C676A6"/>
    <w:rsid w:val="00C70242"/>
    <w:rsid w:val="00C705A0"/>
    <w:rsid w:val="00C708D4"/>
    <w:rsid w:val="00C70B47"/>
    <w:rsid w:val="00C71060"/>
    <w:rsid w:val="00C7119C"/>
    <w:rsid w:val="00C720FC"/>
    <w:rsid w:val="00C72D7A"/>
    <w:rsid w:val="00C72F4B"/>
    <w:rsid w:val="00C73E13"/>
    <w:rsid w:val="00C741B5"/>
    <w:rsid w:val="00C750DB"/>
    <w:rsid w:val="00C759E4"/>
    <w:rsid w:val="00C7690F"/>
    <w:rsid w:val="00C80432"/>
    <w:rsid w:val="00C80823"/>
    <w:rsid w:val="00C8196C"/>
    <w:rsid w:val="00C81C23"/>
    <w:rsid w:val="00C81EDB"/>
    <w:rsid w:val="00C8204D"/>
    <w:rsid w:val="00C8541F"/>
    <w:rsid w:val="00C8580E"/>
    <w:rsid w:val="00C862C2"/>
    <w:rsid w:val="00C862FC"/>
    <w:rsid w:val="00C8632E"/>
    <w:rsid w:val="00C86F6F"/>
    <w:rsid w:val="00C87576"/>
    <w:rsid w:val="00C90E70"/>
    <w:rsid w:val="00C91AD0"/>
    <w:rsid w:val="00C91B62"/>
    <w:rsid w:val="00C92F5F"/>
    <w:rsid w:val="00C93BD1"/>
    <w:rsid w:val="00C93EF0"/>
    <w:rsid w:val="00C93F3F"/>
    <w:rsid w:val="00C94525"/>
    <w:rsid w:val="00C94ED2"/>
    <w:rsid w:val="00C95AE6"/>
    <w:rsid w:val="00C9608C"/>
    <w:rsid w:val="00C963C4"/>
    <w:rsid w:val="00C973E4"/>
    <w:rsid w:val="00C97B65"/>
    <w:rsid w:val="00CA0736"/>
    <w:rsid w:val="00CA0FB4"/>
    <w:rsid w:val="00CA1780"/>
    <w:rsid w:val="00CA1F86"/>
    <w:rsid w:val="00CA23FF"/>
    <w:rsid w:val="00CA2952"/>
    <w:rsid w:val="00CA3008"/>
    <w:rsid w:val="00CA3285"/>
    <w:rsid w:val="00CA3639"/>
    <w:rsid w:val="00CA399B"/>
    <w:rsid w:val="00CA52EC"/>
    <w:rsid w:val="00CA53BD"/>
    <w:rsid w:val="00CA5D6B"/>
    <w:rsid w:val="00CA6708"/>
    <w:rsid w:val="00CA7657"/>
    <w:rsid w:val="00CA7D9A"/>
    <w:rsid w:val="00CB0520"/>
    <w:rsid w:val="00CB14F5"/>
    <w:rsid w:val="00CB17D0"/>
    <w:rsid w:val="00CB25CB"/>
    <w:rsid w:val="00CB2CA9"/>
    <w:rsid w:val="00CB31D9"/>
    <w:rsid w:val="00CB39E3"/>
    <w:rsid w:val="00CB3B41"/>
    <w:rsid w:val="00CB4E0F"/>
    <w:rsid w:val="00CB4FEC"/>
    <w:rsid w:val="00CB510A"/>
    <w:rsid w:val="00CB6430"/>
    <w:rsid w:val="00CB6937"/>
    <w:rsid w:val="00CB7AB5"/>
    <w:rsid w:val="00CB7DCC"/>
    <w:rsid w:val="00CC0941"/>
    <w:rsid w:val="00CC28D4"/>
    <w:rsid w:val="00CC2C53"/>
    <w:rsid w:val="00CC30FE"/>
    <w:rsid w:val="00CC356D"/>
    <w:rsid w:val="00CC49FB"/>
    <w:rsid w:val="00CC4ABE"/>
    <w:rsid w:val="00CC4D12"/>
    <w:rsid w:val="00CC5226"/>
    <w:rsid w:val="00CC5AC7"/>
    <w:rsid w:val="00CC65A4"/>
    <w:rsid w:val="00CC6DA0"/>
    <w:rsid w:val="00CC6FDE"/>
    <w:rsid w:val="00CC72EC"/>
    <w:rsid w:val="00CC7449"/>
    <w:rsid w:val="00CD0B99"/>
    <w:rsid w:val="00CD1215"/>
    <w:rsid w:val="00CD1323"/>
    <w:rsid w:val="00CD1407"/>
    <w:rsid w:val="00CD2309"/>
    <w:rsid w:val="00CD2E5C"/>
    <w:rsid w:val="00CD3413"/>
    <w:rsid w:val="00CD35DA"/>
    <w:rsid w:val="00CD412F"/>
    <w:rsid w:val="00CD5C44"/>
    <w:rsid w:val="00CD6375"/>
    <w:rsid w:val="00CD6CA7"/>
    <w:rsid w:val="00CD6F6C"/>
    <w:rsid w:val="00CD7AAE"/>
    <w:rsid w:val="00CD7F47"/>
    <w:rsid w:val="00CE0A5D"/>
    <w:rsid w:val="00CE1127"/>
    <w:rsid w:val="00CE183E"/>
    <w:rsid w:val="00CE231F"/>
    <w:rsid w:val="00CE3361"/>
    <w:rsid w:val="00CE37F1"/>
    <w:rsid w:val="00CE401A"/>
    <w:rsid w:val="00CE4031"/>
    <w:rsid w:val="00CE445F"/>
    <w:rsid w:val="00CE60D0"/>
    <w:rsid w:val="00CE629B"/>
    <w:rsid w:val="00CE6327"/>
    <w:rsid w:val="00CE6519"/>
    <w:rsid w:val="00CE6921"/>
    <w:rsid w:val="00CF06A7"/>
    <w:rsid w:val="00CF1C25"/>
    <w:rsid w:val="00CF2823"/>
    <w:rsid w:val="00CF32E8"/>
    <w:rsid w:val="00CF3A3D"/>
    <w:rsid w:val="00CF3D0E"/>
    <w:rsid w:val="00CF3EAB"/>
    <w:rsid w:val="00CF41D5"/>
    <w:rsid w:val="00CF42EE"/>
    <w:rsid w:val="00CF4B03"/>
    <w:rsid w:val="00CF51C3"/>
    <w:rsid w:val="00CF782A"/>
    <w:rsid w:val="00CF7CCA"/>
    <w:rsid w:val="00D00E62"/>
    <w:rsid w:val="00D01A20"/>
    <w:rsid w:val="00D02D78"/>
    <w:rsid w:val="00D02FA9"/>
    <w:rsid w:val="00D033C0"/>
    <w:rsid w:val="00D03761"/>
    <w:rsid w:val="00D03AA5"/>
    <w:rsid w:val="00D03CDC"/>
    <w:rsid w:val="00D03E1D"/>
    <w:rsid w:val="00D04259"/>
    <w:rsid w:val="00D04934"/>
    <w:rsid w:val="00D04BA8"/>
    <w:rsid w:val="00D05EF0"/>
    <w:rsid w:val="00D061E2"/>
    <w:rsid w:val="00D06D98"/>
    <w:rsid w:val="00D07124"/>
    <w:rsid w:val="00D0717F"/>
    <w:rsid w:val="00D07B17"/>
    <w:rsid w:val="00D07FCB"/>
    <w:rsid w:val="00D10D8C"/>
    <w:rsid w:val="00D10DD7"/>
    <w:rsid w:val="00D11F7F"/>
    <w:rsid w:val="00D12C4B"/>
    <w:rsid w:val="00D13254"/>
    <w:rsid w:val="00D13D6D"/>
    <w:rsid w:val="00D1438E"/>
    <w:rsid w:val="00D1465F"/>
    <w:rsid w:val="00D149BF"/>
    <w:rsid w:val="00D16B4E"/>
    <w:rsid w:val="00D1711D"/>
    <w:rsid w:val="00D17A14"/>
    <w:rsid w:val="00D214CC"/>
    <w:rsid w:val="00D21619"/>
    <w:rsid w:val="00D21A81"/>
    <w:rsid w:val="00D21EFF"/>
    <w:rsid w:val="00D227BB"/>
    <w:rsid w:val="00D22A44"/>
    <w:rsid w:val="00D22DDB"/>
    <w:rsid w:val="00D230BD"/>
    <w:rsid w:val="00D231B8"/>
    <w:rsid w:val="00D23E62"/>
    <w:rsid w:val="00D24156"/>
    <w:rsid w:val="00D24E69"/>
    <w:rsid w:val="00D24F67"/>
    <w:rsid w:val="00D25AFB"/>
    <w:rsid w:val="00D25B00"/>
    <w:rsid w:val="00D25C26"/>
    <w:rsid w:val="00D266EC"/>
    <w:rsid w:val="00D26E66"/>
    <w:rsid w:val="00D26F1A"/>
    <w:rsid w:val="00D26F41"/>
    <w:rsid w:val="00D27E41"/>
    <w:rsid w:val="00D301D7"/>
    <w:rsid w:val="00D32103"/>
    <w:rsid w:val="00D339E5"/>
    <w:rsid w:val="00D34F7B"/>
    <w:rsid w:val="00D3588D"/>
    <w:rsid w:val="00D3604C"/>
    <w:rsid w:val="00D3626D"/>
    <w:rsid w:val="00D368D1"/>
    <w:rsid w:val="00D3734B"/>
    <w:rsid w:val="00D375C6"/>
    <w:rsid w:val="00D37632"/>
    <w:rsid w:val="00D3770A"/>
    <w:rsid w:val="00D37DAC"/>
    <w:rsid w:val="00D37EC1"/>
    <w:rsid w:val="00D40BF5"/>
    <w:rsid w:val="00D40D0A"/>
    <w:rsid w:val="00D427C0"/>
    <w:rsid w:val="00D4462C"/>
    <w:rsid w:val="00D4498F"/>
    <w:rsid w:val="00D45510"/>
    <w:rsid w:val="00D45799"/>
    <w:rsid w:val="00D45D76"/>
    <w:rsid w:val="00D461B9"/>
    <w:rsid w:val="00D4652D"/>
    <w:rsid w:val="00D50577"/>
    <w:rsid w:val="00D5179E"/>
    <w:rsid w:val="00D51A5C"/>
    <w:rsid w:val="00D51EAD"/>
    <w:rsid w:val="00D52C10"/>
    <w:rsid w:val="00D52F50"/>
    <w:rsid w:val="00D54A0D"/>
    <w:rsid w:val="00D54BD5"/>
    <w:rsid w:val="00D552B3"/>
    <w:rsid w:val="00D565E2"/>
    <w:rsid w:val="00D56B23"/>
    <w:rsid w:val="00D57950"/>
    <w:rsid w:val="00D60040"/>
    <w:rsid w:val="00D6006C"/>
    <w:rsid w:val="00D60655"/>
    <w:rsid w:val="00D60D4D"/>
    <w:rsid w:val="00D60D54"/>
    <w:rsid w:val="00D61272"/>
    <w:rsid w:val="00D61722"/>
    <w:rsid w:val="00D61B1F"/>
    <w:rsid w:val="00D62E2C"/>
    <w:rsid w:val="00D62E4E"/>
    <w:rsid w:val="00D63468"/>
    <w:rsid w:val="00D64014"/>
    <w:rsid w:val="00D64469"/>
    <w:rsid w:val="00D6567B"/>
    <w:rsid w:val="00D65D6A"/>
    <w:rsid w:val="00D6679F"/>
    <w:rsid w:val="00D67AB0"/>
    <w:rsid w:val="00D67C7B"/>
    <w:rsid w:val="00D67FFA"/>
    <w:rsid w:val="00D706AC"/>
    <w:rsid w:val="00D70F65"/>
    <w:rsid w:val="00D725DB"/>
    <w:rsid w:val="00D727FF"/>
    <w:rsid w:val="00D7362F"/>
    <w:rsid w:val="00D739E5"/>
    <w:rsid w:val="00D73FA7"/>
    <w:rsid w:val="00D74365"/>
    <w:rsid w:val="00D74494"/>
    <w:rsid w:val="00D75A02"/>
    <w:rsid w:val="00D75C97"/>
    <w:rsid w:val="00D75DB3"/>
    <w:rsid w:val="00D76699"/>
    <w:rsid w:val="00D77A8D"/>
    <w:rsid w:val="00D80A42"/>
    <w:rsid w:val="00D80AD0"/>
    <w:rsid w:val="00D80E2E"/>
    <w:rsid w:val="00D81438"/>
    <w:rsid w:val="00D82581"/>
    <w:rsid w:val="00D82BE8"/>
    <w:rsid w:val="00D842CD"/>
    <w:rsid w:val="00D844B6"/>
    <w:rsid w:val="00D84BCF"/>
    <w:rsid w:val="00D85A3F"/>
    <w:rsid w:val="00D86EA0"/>
    <w:rsid w:val="00D87403"/>
    <w:rsid w:val="00D87AAC"/>
    <w:rsid w:val="00D87D98"/>
    <w:rsid w:val="00D87DDB"/>
    <w:rsid w:val="00D916A1"/>
    <w:rsid w:val="00D91791"/>
    <w:rsid w:val="00D921AE"/>
    <w:rsid w:val="00D93BC8"/>
    <w:rsid w:val="00D93E44"/>
    <w:rsid w:val="00D947A0"/>
    <w:rsid w:val="00D95380"/>
    <w:rsid w:val="00D957E9"/>
    <w:rsid w:val="00D95AD0"/>
    <w:rsid w:val="00D95EF7"/>
    <w:rsid w:val="00D9640C"/>
    <w:rsid w:val="00D96EA8"/>
    <w:rsid w:val="00D97943"/>
    <w:rsid w:val="00DA05ED"/>
    <w:rsid w:val="00DA1BD3"/>
    <w:rsid w:val="00DA1E62"/>
    <w:rsid w:val="00DA2AD2"/>
    <w:rsid w:val="00DA4291"/>
    <w:rsid w:val="00DA5110"/>
    <w:rsid w:val="00DA5550"/>
    <w:rsid w:val="00DA62F9"/>
    <w:rsid w:val="00DA6E6A"/>
    <w:rsid w:val="00DA7AC1"/>
    <w:rsid w:val="00DA7E21"/>
    <w:rsid w:val="00DB016D"/>
    <w:rsid w:val="00DB1123"/>
    <w:rsid w:val="00DB1913"/>
    <w:rsid w:val="00DB1BE1"/>
    <w:rsid w:val="00DB42AD"/>
    <w:rsid w:val="00DB5462"/>
    <w:rsid w:val="00DB55E7"/>
    <w:rsid w:val="00DB59B9"/>
    <w:rsid w:val="00DB6958"/>
    <w:rsid w:val="00DB6B45"/>
    <w:rsid w:val="00DB6F50"/>
    <w:rsid w:val="00DC0354"/>
    <w:rsid w:val="00DC0AA4"/>
    <w:rsid w:val="00DC0CA4"/>
    <w:rsid w:val="00DC0F49"/>
    <w:rsid w:val="00DC12A2"/>
    <w:rsid w:val="00DC19B1"/>
    <w:rsid w:val="00DC1B47"/>
    <w:rsid w:val="00DC20EB"/>
    <w:rsid w:val="00DC2354"/>
    <w:rsid w:val="00DC2DD1"/>
    <w:rsid w:val="00DC300E"/>
    <w:rsid w:val="00DC43AC"/>
    <w:rsid w:val="00DC45C4"/>
    <w:rsid w:val="00DC469D"/>
    <w:rsid w:val="00DC4773"/>
    <w:rsid w:val="00DC4844"/>
    <w:rsid w:val="00DC4AAA"/>
    <w:rsid w:val="00DC4AF2"/>
    <w:rsid w:val="00DC5367"/>
    <w:rsid w:val="00DC560F"/>
    <w:rsid w:val="00DC5704"/>
    <w:rsid w:val="00DC5B4E"/>
    <w:rsid w:val="00DC5F32"/>
    <w:rsid w:val="00DC611F"/>
    <w:rsid w:val="00DC6456"/>
    <w:rsid w:val="00DC646A"/>
    <w:rsid w:val="00DD0BEA"/>
    <w:rsid w:val="00DD2429"/>
    <w:rsid w:val="00DD282B"/>
    <w:rsid w:val="00DD36CF"/>
    <w:rsid w:val="00DD3E33"/>
    <w:rsid w:val="00DD43F1"/>
    <w:rsid w:val="00DD4F11"/>
    <w:rsid w:val="00DD5444"/>
    <w:rsid w:val="00DD55FA"/>
    <w:rsid w:val="00DD6053"/>
    <w:rsid w:val="00DD6CD8"/>
    <w:rsid w:val="00DD6F0C"/>
    <w:rsid w:val="00DE0BD6"/>
    <w:rsid w:val="00DE11DC"/>
    <w:rsid w:val="00DE318D"/>
    <w:rsid w:val="00DE331F"/>
    <w:rsid w:val="00DE3641"/>
    <w:rsid w:val="00DE3A5F"/>
    <w:rsid w:val="00DE3ADC"/>
    <w:rsid w:val="00DE4166"/>
    <w:rsid w:val="00DE4977"/>
    <w:rsid w:val="00DE4EC8"/>
    <w:rsid w:val="00DE5B25"/>
    <w:rsid w:val="00DE5E61"/>
    <w:rsid w:val="00DE5F42"/>
    <w:rsid w:val="00DE614D"/>
    <w:rsid w:val="00DE618B"/>
    <w:rsid w:val="00DE62D1"/>
    <w:rsid w:val="00DE63A5"/>
    <w:rsid w:val="00DF04E6"/>
    <w:rsid w:val="00DF05D8"/>
    <w:rsid w:val="00DF1022"/>
    <w:rsid w:val="00DF1407"/>
    <w:rsid w:val="00DF1D69"/>
    <w:rsid w:val="00DF2127"/>
    <w:rsid w:val="00DF2E91"/>
    <w:rsid w:val="00DF324D"/>
    <w:rsid w:val="00DF35A9"/>
    <w:rsid w:val="00DF3B24"/>
    <w:rsid w:val="00DF3E33"/>
    <w:rsid w:val="00DF4165"/>
    <w:rsid w:val="00DF5244"/>
    <w:rsid w:val="00DF56CA"/>
    <w:rsid w:val="00DF58CB"/>
    <w:rsid w:val="00DF5A92"/>
    <w:rsid w:val="00DF5D59"/>
    <w:rsid w:val="00DF5DC8"/>
    <w:rsid w:val="00DF687C"/>
    <w:rsid w:val="00DF6BD9"/>
    <w:rsid w:val="00DF73F3"/>
    <w:rsid w:val="00E00E36"/>
    <w:rsid w:val="00E020B2"/>
    <w:rsid w:val="00E026CB"/>
    <w:rsid w:val="00E0273F"/>
    <w:rsid w:val="00E02AF9"/>
    <w:rsid w:val="00E05D09"/>
    <w:rsid w:val="00E0650F"/>
    <w:rsid w:val="00E06AEA"/>
    <w:rsid w:val="00E06C08"/>
    <w:rsid w:val="00E1032A"/>
    <w:rsid w:val="00E10FBF"/>
    <w:rsid w:val="00E13DEB"/>
    <w:rsid w:val="00E13EA9"/>
    <w:rsid w:val="00E13EEC"/>
    <w:rsid w:val="00E145AC"/>
    <w:rsid w:val="00E14C6B"/>
    <w:rsid w:val="00E14E05"/>
    <w:rsid w:val="00E16125"/>
    <w:rsid w:val="00E1679F"/>
    <w:rsid w:val="00E16BD6"/>
    <w:rsid w:val="00E179DA"/>
    <w:rsid w:val="00E200A2"/>
    <w:rsid w:val="00E213B4"/>
    <w:rsid w:val="00E222D9"/>
    <w:rsid w:val="00E226E5"/>
    <w:rsid w:val="00E233BE"/>
    <w:rsid w:val="00E23AE8"/>
    <w:rsid w:val="00E242A1"/>
    <w:rsid w:val="00E243D7"/>
    <w:rsid w:val="00E24481"/>
    <w:rsid w:val="00E257B4"/>
    <w:rsid w:val="00E26468"/>
    <w:rsid w:val="00E273EF"/>
    <w:rsid w:val="00E27611"/>
    <w:rsid w:val="00E30567"/>
    <w:rsid w:val="00E3068E"/>
    <w:rsid w:val="00E309E9"/>
    <w:rsid w:val="00E30CDB"/>
    <w:rsid w:val="00E30DB4"/>
    <w:rsid w:val="00E30EF9"/>
    <w:rsid w:val="00E3163E"/>
    <w:rsid w:val="00E3171F"/>
    <w:rsid w:val="00E31865"/>
    <w:rsid w:val="00E3302B"/>
    <w:rsid w:val="00E33671"/>
    <w:rsid w:val="00E342E5"/>
    <w:rsid w:val="00E34634"/>
    <w:rsid w:val="00E34822"/>
    <w:rsid w:val="00E36120"/>
    <w:rsid w:val="00E40042"/>
    <w:rsid w:val="00E405C7"/>
    <w:rsid w:val="00E40DA2"/>
    <w:rsid w:val="00E40FF3"/>
    <w:rsid w:val="00E418A5"/>
    <w:rsid w:val="00E421F3"/>
    <w:rsid w:val="00E42728"/>
    <w:rsid w:val="00E42B64"/>
    <w:rsid w:val="00E42EE0"/>
    <w:rsid w:val="00E433DF"/>
    <w:rsid w:val="00E4432D"/>
    <w:rsid w:val="00E4462D"/>
    <w:rsid w:val="00E44761"/>
    <w:rsid w:val="00E45772"/>
    <w:rsid w:val="00E45B12"/>
    <w:rsid w:val="00E46119"/>
    <w:rsid w:val="00E47101"/>
    <w:rsid w:val="00E47336"/>
    <w:rsid w:val="00E478E6"/>
    <w:rsid w:val="00E47CEB"/>
    <w:rsid w:val="00E50E1F"/>
    <w:rsid w:val="00E51648"/>
    <w:rsid w:val="00E52976"/>
    <w:rsid w:val="00E53A5B"/>
    <w:rsid w:val="00E54034"/>
    <w:rsid w:val="00E57B8B"/>
    <w:rsid w:val="00E6043C"/>
    <w:rsid w:val="00E6055D"/>
    <w:rsid w:val="00E60B40"/>
    <w:rsid w:val="00E61097"/>
    <w:rsid w:val="00E620A0"/>
    <w:rsid w:val="00E62A99"/>
    <w:rsid w:val="00E63AB3"/>
    <w:rsid w:val="00E64448"/>
    <w:rsid w:val="00E64696"/>
    <w:rsid w:val="00E64D23"/>
    <w:rsid w:val="00E64F16"/>
    <w:rsid w:val="00E64FD9"/>
    <w:rsid w:val="00E65924"/>
    <w:rsid w:val="00E65928"/>
    <w:rsid w:val="00E65DB2"/>
    <w:rsid w:val="00E662B6"/>
    <w:rsid w:val="00E66CBB"/>
    <w:rsid w:val="00E67C74"/>
    <w:rsid w:val="00E67CD8"/>
    <w:rsid w:val="00E67EA2"/>
    <w:rsid w:val="00E70B02"/>
    <w:rsid w:val="00E717A2"/>
    <w:rsid w:val="00E71AF9"/>
    <w:rsid w:val="00E71B45"/>
    <w:rsid w:val="00E72455"/>
    <w:rsid w:val="00E72DCD"/>
    <w:rsid w:val="00E73892"/>
    <w:rsid w:val="00E73A2B"/>
    <w:rsid w:val="00E75B4C"/>
    <w:rsid w:val="00E75D09"/>
    <w:rsid w:val="00E767E8"/>
    <w:rsid w:val="00E77F85"/>
    <w:rsid w:val="00E801F0"/>
    <w:rsid w:val="00E80F99"/>
    <w:rsid w:val="00E81A17"/>
    <w:rsid w:val="00E81D39"/>
    <w:rsid w:val="00E82EBD"/>
    <w:rsid w:val="00E82EC7"/>
    <w:rsid w:val="00E83198"/>
    <w:rsid w:val="00E83265"/>
    <w:rsid w:val="00E83DA3"/>
    <w:rsid w:val="00E84D98"/>
    <w:rsid w:val="00E858D6"/>
    <w:rsid w:val="00E8613F"/>
    <w:rsid w:val="00E8633C"/>
    <w:rsid w:val="00E86D04"/>
    <w:rsid w:val="00E90534"/>
    <w:rsid w:val="00E911FF"/>
    <w:rsid w:val="00E9313A"/>
    <w:rsid w:val="00E93162"/>
    <w:rsid w:val="00E93AD8"/>
    <w:rsid w:val="00E93ADB"/>
    <w:rsid w:val="00E96700"/>
    <w:rsid w:val="00E96CD4"/>
    <w:rsid w:val="00E97C00"/>
    <w:rsid w:val="00E97D9F"/>
    <w:rsid w:val="00EA02DC"/>
    <w:rsid w:val="00EA0CD2"/>
    <w:rsid w:val="00EA0F24"/>
    <w:rsid w:val="00EA13E0"/>
    <w:rsid w:val="00EA1693"/>
    <w:rsid w:val="00EA1A43"/>
    <w:rsid w:val="00EA24C9"/>
    <w:rsid w:val="00EA2981"/>
    <w:rsid w:val="00EA3202"/>
    <w:rsid w:val="00EA322B"/>
    <w:rsid w:val="00EA3469"/>
    <w:rsid w:val="00EA40C9"/>
    <w:rsid w:val="00EA4CDC"/>
    <w:rsid w:val="00EA53E6"/>
    <w:rsid w:val="00EA5926"/>
    <w:rsid w:val="00EA60F0"/>
    <w:rsid w:val="00EB0021"/>
    <w:rsid w:val="00EB02C1"/>
    <w:rsid w:val="00EB0E19"/>
    <w:rsid w:val="00EB1105"/>
    <w:rsid w:val="00EB1541"/>
    <w:rsid w:val="00EB197F"/>
    <w:rsid w:val="00EB4E14"/>
    <w:rsid w:val="00EB5012"/>
    <w:rsid w:val="00EB5CB3"/>
    <w:rsid w:val="00EB6094"/>
    <w:rsid w:val="00EB624F"/>
    <w:rsid w:val="00EB741A"/>
    <w:rsid w:val="00EB7FAF"/>
    <w:rsid w:val="00EC024C"/>
    <w:rsid w:val="00EC0797"/>
    <w:rsid w:val="00EC07D8"/>
    <w:rsid w:val="00EC09A8"/>
    <w:rsid w:val="00EC115C"/>
    <w:rsid w:val="00EC222D"/>
    <w:rsid w:val="00EC27E7"/>
    <w:rsid w:val="00EC3694"/>
    <w:rsid w:val="00EC3891"/>
    <w:rsid w:val="00EC45F5"/>
    <w:rsid w:val="00EC46AC"/>
    <w:rsid w:val="00EC5231"/>
    <w:rsid w:val="00EC5844"/>
    <w:rsid w:val="00EC58D8"/>
    <w:rsid w:val="00EC6283"/>
    <w:rsid w:val="00ED121A"/>
    <w:rsid w:val="00ED1DEE"/>
    <w:rsid w:val="00ED1FD5"/>
    <w:rsid w:val="00ED22F0"/>
    <w:rsid w:val="00ED2978"/>
    <w:rsid w:val="00ED2EBE"/>
    <w:rsid w:val="00ED4D45"/>
    <w:rsid w:val="00ED4FEB"/>
    <w:rsid w:val="00ED55E1"/>
    <w:rsid w:val="00ED59B6"/>
    <w:rsid w:val="00ED60A5"/>
    <w:rsid w:val="00ED619A"/>
    <w:rsid w:val="00ED621B"/>
    <w:rsid w:val="00ED657F"/>
    <w:rsid w:val="00ED6C08"/>
    <w:rsid w:val="00ED749D"/>
    <w:rsid w:val="00ED7A6A"/>
    <w:rsid w:val="00ED7E13"/>
    <w:rsid w:val="00EE021A"/>
    <w:rsid w:val="00EE05EE"/>
    <w:rsid w:val="00EE14D1"/>
    <w:rsid w:val="00EE375E"/>
    <w:rsid w:val="00EE3846"/>
    <w:rsid w:val="00EE46ED"/>
    <w:rsid w:val="00EE5336"/>
    <w:rsid w:val="00EE73D7"/>
    <w:rsid w:val="00EE7A40"/>
    <w:rsid w:val="00EF065D"/>
    <w:rsid w:val="00EF22EB"/>
    <w:rsid w:val="00EF2561"/>
    <w:rsid w:val="00EF30D4"/>
    <w:rsid w:val="00EF32F5"/>
    <w:rsid w:val="00EF3570"/>
    <w:rsid w:val="00EF3B9C"/>
    <w:rsid w:val="00EF4826"/>
    <w:rsid w:val="00EF5151"/>
    <w:rsid w:val="00EF52D7"/>
    <w:rsid w:val="00EF5552"/>
    <w:rsid w:val="00EF665D"/>
    <w:rsid w:val="00EF6A3B"/>
    <w:rsid w:val="00EF7863"/>
    <w:rsid w:val="00EF7E39"/>
    <w:rsid w:val="00EF7F43"/>
    <w:rsid w:val="00F0030A"/>
    <w:rsid w:val="00F01593"/>
    <w:rsid w:val="00F02016"/>
    <w:rsid w:val="00F02262"/>
    <w:rsid w:val="00F02267"/>
    <w:rsid w:val="00F0231B"/>
    <w:rsid w:val="00F0247D"/>
    <w:rsid w:val="00F024F6"/>
    <w:rsid w:val="00F032BE"/>
    <w:rsid w:val="00F05030"/>
    <w:rsid w:val="00F0549A"/>
    <w:rsid w:val="00F05A92"/>
    <w:rsid w:val="00F061D9"/>
    <w:rsid w:val="00F0770D"/>
    <w:rsid w:val="00F07D8F"/>
    <w:rsid w:val="00F10046"/>
    <w:rsid w:val="00F11845"/>
    <w:rsid w:val="00F11863"/>
    <w:rsid w:val="00F11BD1"/>
    <w:rsid w:val="00F11EF5"/>
    <w:rsid w:val="00F130A9"/>
    <w:rsid w:val="00F13219"/>
    <w:rsid w:val="00F13231"/>
    <w:rsid w:val="00F14772"/>
    <w:rsid w:val="00F148C0"/>
    <w:rsid w:val="00F14F73"/>
    <w:rsid w:val="00F15096"/>
    <w:rsid w:val="00F15242"/>
    <w:rsid w:val="00F156A8"/>
    <w:rsid w:val="00F15CD1"/>
    <w:rsid w:val="00F160F8"/>
    <w:rsid w:val="00F1637E"/>
    <w:rsid w:val="00F16C42"/>
    <w:rsid w:val="00F17B9A"/>
    <w:rsid w:val="00F206A2"/>
    <w:rsid w:val="00F20A59"/>
    <w:rsid w:val="00F20DBC"/>
    <w:rsid w:val="00F22B81"/>
    <w:rsid w:val="00F23A1F"/>
    <w:rsid w:val="00F2417F"/>
    <w:rsid w:val="00F243D3"/>
    <w:rsid w:val="00F24B82"/>
    <w:rsid w:val="00F271B5"/>
    <w:rsid w:val="00F27347"/>
    <w:rsid w:val="00F2738C"/>
    <w:rsid w:val="00F27BE6"/>
    <w:rsid w:val="00F27D4F"/>
    <w:rsid w:val="00F27D71"/>
    <w:rsid w:val="00F3187D"/>
    <w:rsid w:val="00F329E1"/>
    <w:rsid w:val="00F33530"/>
    <w:rsid w:val="00F336CA"/>
    <w:rsid w:val="00F337E9"/>
    <w:rsid w:val="00F34098"/>
    <w:rsid w:val="00F34532"/>
    <w:rsid w:val="00F34BA5"/>
    <w:rsid w:val="00F3622B"/>
    <w:rsid w:val="00F371A6"/>
    <w:rsid w:val="00F37870"/>
    <w:rsid w:val="00F40E9A"/>
    <w:rsid w:val="00F43247"/>
    <w:rsid w:val="00F4328F"/>
    <w:rsid w:val="00F43482"/>
    <w:rsid w:val="00F434DB"/>
    <w:rsid w:val="00F43570"/>
    <w:rsid w:val="00F43A7D"/>
    <w:rsid w:val="00F446D6"/>
    <w:rsid w:val="00F46087"/>
    <w:rsid w:val="00F46671"/>
    <w:rsid w:val="00F47637"/>
    <w:rsid w:val="00F50390"/>
    <w:rsid w:val="00F50F17"/>
    <w:rsid w:val="00F51B52"/>
    <w:rsid w:val="00F51FD5"/>
    <w:rsid w:val="00F52213"/>
    <w:rsid w:val="00F557E0"/>
    <w:rsid w:val="00F5603D"/>
    <w:rsid w:val="00F56928"/>
    <w:rsid w:val="00F56D94"/>
    <w:rsid w:val="00F572F8"/>
    <w:rsid w:val="00F605D8"/>
    <w:rsid w:val="00F607EE"/>
    <w:rsid w:val="00F60CF0"/>
    <w:rsid w:val="00F60D57"/>
    <w:rsid w:val="00F61B76"/>
    <w:rsid w:val="00F638A1"/>
    <w:rsid w:val="00F63945"/>
    <w:rsid w:val="00F63BA5"/>
    <w:rsid w:val="00F63EB6"/>
    <w:rsid w:val="00F647B0"/>
    <w:rsid w:val="00F65F20"/>
    <w:rsid w:val="00F66151"/>
    <w:rsid w:val="00F662CD"/>
    <w:rsid w:val="00F6651A"/>
    <w:rsid w:val="00F70050"/>
    <w:rsid w:val="00F701F0"/>
    <w:rsid w:val="00F71D41"/>
    <w:rsid w:val="00F72139"/>
    <w:rsid w:val="00F72A5C"/>
    <w:rsid w:val="00F73005"/>
    <w:rsid w:val="00F7376C"/>
    <w:rsid w:val="00F73D46"/>
    <w:rsid w:val="00F74665"/>
    <w:rsid w:val="00F74C33"/>
    <w:rsid w:val="00F74FB5"/>
    <w:rsid w:val="00F75642"/>
    <w:rsid w:val="00F756BC"/>
    <w:rsid w:val="00F7597A"/>
    <w:rsid w:val="00F76408"/>
    <w:rsid w:val="00F764BE"/>
    <w:rsid w:val="00F77369"/>
    <w:rsid w:val="00F776C8"/>
    <w:rsid w:val="00F80796"/>
    <w:rsid w:val="00F82CAE"/>
    <w:rsid w:val="00F83280"/>
    <w:rsid w:val="00F83F46"/>
    <w:rsid w:val="00F840AD"/>
    <w:rsid w:val="00F846A5"/>
    <w:rsid w:val="00F84A08"/>
    <w:rsid w:val="00F854BE"/>
    <w:rsid w:val="00F85D27"/>
    <w:rsid w:val="00F86A25"/>
    <w:rsid w:val="00F86A94"/>
    <w:rsid w:val="00F86ADA"/>
    <w:rsid w:val="00F86CE6"/>
    <w:rsid w:val="00F90197"/>
    <w:rsid w:val="00F90E75"/>
    <w:rsid w:val="00F90FD3"/>
    <w:rsid w:val="00F910F3"/>
    <w:rsid w:val="00F91330"/>
    <w:rsid w:val="00F91613"/>
    <w:rsid w:val="00F91AAC"/>
    <w:rsid w:val="00F92CCE"/>
    <w:rsid w:val="00F93C7F"/>
    <w:rsid w:val="00F94FCC"/>
    <w:rsid w:val="00F972D4"/>
    <w:rsid w:val="00FA293C"/>
    <w:rsid w:val="00FA2FF8"/>
    <w:rsid w:val="00FA3855"/>
    <w:rsid w:val="00FA3F2A"/>
    <w:rsid w:val="00FA4744"/>
    <w:rsid w:val="00FA479F"/>
    <w:rsid w:val="00FA555D"/>
    <w:rsid w:val="00FA58E9"/>
    <w:rsid w:val="00FA5CF4"/>
    <w:rsid w:val="00FA5DE0"/>
    <w:rsid w:val="00FA6472"/>
    <w:rsid w:val="00FA68E9"/>
    <w:rsid w:val="00FA6C03"/>
    <w:rsid w:val="00FA6FA4"/>
    <w:rsid w:val="00FA6FAD"/>
    <w:rsid w:val="00FB008B"/>
    <w:rsid w:val="00FB0C72"/>
    <w:rsid w:val="00FB0F73"/>
    <w:rsid w:val="00FB17BC"/>
    <w:rsid w:val="00FB2169"/>
    <w:rsid w:val="00FB22A8"/>
    <w:rsid w:val="00FB22AA"/>
    <w:rsid w:val="00FB2787"/>
    <w:rsid w:val="00FB2A4A"/>
    <w:rsid w:val="00FB309B"/>
    <w:rsid w:val="00FB389A"/>
    <w:rsid w:val="00FB3A98"/>
    <w:rsid w:val="00FB3D8A"/>
    <w:rsid w:val="00FB3F55"/>
    <w:rsid w:val="00FB4100"/>
    <w:rsid w:val="00FB44AC"/>
    <w:rsid w:val="00FB4C68"/>
    <w:rsid w:val="00FB5C67"/>
    <w:rsid w:val="00FB5F9F"/>
    <w:rsid w:val="00FB6527"/>
    <w:rsid w:val="00FB6696"/>
    <w:rsid w:val="00FB6ABD"/>
    <w:rsid w:val="00FB7ECD"/>
    <w:rsid w:val="00FC177D"/>
    <w:rsid w:val="00FC1D97"/>
    <w:rsid w:val="00FC297E"/>
    <w:rsid w:val="00FC2E46"/>
    <w:rsid w:val="00FC36FA"/>
    <w:rsid w:val="00FC4345"/>
    <w:rsid w:val="00FC49BD"/>
    <w:rsid w:val="00FC53ED"/>
    <w:rsid w:val="00FC6A13"/>
    <w:rsid w:val="00FC6ECA"/>
    <w:rsid w:val="00FC7947"/>
    <w:rsid w:val="00FC7C14"/>
    <w:rsid w:val="00FD09DA"/>
    <w:rsid w:val="00FD0D08"/>
    <w:rsid w:val="00FD1138"/>
    <w:rsid w:val="00FD1E7A"/>
    <w:rsid w:val="00FD2047"/>
    <w:rsid w:val="00FD2511"/>
    <w:rsid w:val="00FD2618"/>
    <w:rsid w:val="00FD2BA3"/>
    <w:rsid w:val="00FD3622"/>
    <w:rsid w:val="00FD4B28"/>
    <w:rsid w:val="00FD4D39"/>
    <w:rsid w:val="00FD4E90"/>
    <w:rsid w:val="00FD5726"/>
    <w:rsid w:val="00FD62AC"/>
    <w:rsid w:val="00FD65BE"/>
    <w:rsid w:val="00FD6804"/>
    <w:rsid w:val="00FD6F01"/>
    <w:rsid w:val="00FD6FCC"/>
    <w:rsid w:val="00FD72A9"/>
    <w:rsid w:val="00FD78E6"/>
    <w:rsid w:val="00FE0692"/>
    <w:rsid w:val="00FE0B94"/>
    <w:rsid w:val="00FE1935"/>
    <w:rsid w:val="00FE2710"/>
    <w:rsid w:val="00FE2C7E"/>
    <w:rsid w:val="00FE2EA8"/>
    <w:rsid w:val="00FE4618"/>
    <w:rsid w:val="00FE51FE"/>
    <w:rsid w:val="00FE53D9"/>
    <w:rsid w:val="00FE542D"/>
    <w:rsid w:val="00FE5921"/>
    <w:rsid w:val="00FE60A8"/>
    <w:rsid w:val="00FE625F"/>
    <w:rsid w:val="00FE6669"/>
    <w:rsid w:val="00FE669E"/>
    <w:rsid w:val="00FE6744"/>
    <w:rsid w:val="00FE68B2"/>
    <w:rsid w:val="00FE6F19"/>
    <w:rsid w:val="00FE7E03"/>
    <w:rsid w:val="00FF0284"/>
    <w:rsid w:val="00FF044F"/>
    <w:rsid w:val="00FF0DE9"/>
    <w:rsid w:val="00FF27C4"/>
    <w:rsid w:val="00FF32E2"/>
    <w:rsid w:val="00FF3527"/>
    <w:rsid w:val="00FF37DB"/>
    <w:rsid w:val="00FF3A0A"/>
    <w:rsid w:val="00FF3DD4"/>
    <w:rsid w:val="00FF3F85"/>
    <w:rsid w:val="00FF3F9C"/>
    <w:rsid w:val="00FF47FF"/>
    <w:rsid w:val="00FF4845"/>
    <w:rsid w:val="00FF6085"/>
    <w:rsid w:val="00FF6DC4"/>
    <w:rsid w:val="00FF706B"/>
    <w:rsid w:val="00FF7393"/>
    <w:rsid w:val="00FF7492"/>
    <w:rsid w:val="02225B04"/>
    <w:rsid w:val="0337738D"/>
    <w:rsid w:val="0376348B"/>
    <w:rsid w:val="04806B11"/>
    <w:rsid w:val="05015EA4"/>
    <w:rsid w:val="07944DAE"/>
    <w:rsid w:val="08053EFD"/>
    <w:rsid w:val="08F31CBC"/>
    <w:rsid w:val="09370DBB"/>
    <w:rsid w:val="0A2B71BE"/>
    <w:rsid w:val="0B550CF8"/>
    <w:rsid w:val="0BE91440"/>
    <w:rsid w:val="0BEF6A57"/>
    <w:rsid w:val="0C2A7A8F"/>
    <w:rsid w:val="0C957D9E"/>
    <w:rsid w:val="0C9E047D"/>
    <w:rsid w:val="0D587038"/>
    <w:rsid w:val="0DA87805"/>
    <w:rsid w:val="0F057A1D"/>
    <w:rsid w:val="0F362BEE"/>
    <w:rsid w:val="130927B2"/>
    <w:rsid w:val="13EB21F9"/>
    <w:rsid w:val="15160239"/>
    <w:rsid w:val="15C947BC"/>
    <w:rsid w:val="16B30054"/>
    <w:rsid w:val="18393F11"/>
    <w:rsid w:val="18BA03EC"/>
    <w:rsid w:val="19513DE9"/>
    <w:rsid w:val="19555CF5"/>
    <w:rsid w:val="19D43730"/>
    <w:rsid w:val="1A420699"/>
    <w:rsid w:val="1A562397"/>
    <w:rsid w:val="1AA255DC"/>
    <w:rsid w:val="1B446693"/>
    <w:rsid w:val="1BF9747E"/>
    <w:rsid w:val="1C5F6668"/>
    <w:rsid w:val="1D750D86"/>
    <w:rsid w:val="1E5B44E7"/>
    <w:rsid w:val="1EDF6D30"/>
    <w:rsid w:val="1F6C10DE"/>
    <w:rsid w:val="20EC5803"/>
    <w:rsid w:val="238E0DF3"/>
    <w:rsid w:val="23902475"/>
    <w:rsid w:val="248F5924"/>
    <w:rsid w:val="24D942F0"/>
    <w:rsid w:val="25B35AF5"/>
    <w:rsid w:val="26214108"/>
    <w:rsid w:val="26BE1474"/>
    <w:rsid w:val="26EA4592"/>
    <w:rsid w:val="26EB3E67"/>
    <w:rsid w:val="271E159B"/>
    <w:rsid w:val="279A4F13"/>
    <w:rsid w:val="28083CAF"/>
    <w:rsid w:val="28433F5A"/>
    <w:rsid w:val="28AF5856"/>
    <w:rsid w:val="29B33362"/>
    <w:rsid w:val="2A2B355E"/>
    <w:rsid w:val="2A557F75"/>
    <w:rsid w:val="2C1856FE"/>
    <w:rsid w:val="2C956D4E"/>
    <w:rsid w:val="2DAD00C8"/>
    <w:rsid w:val="303B19BB"/>
    <w:rsid w:val="305241D5"/>
    <w:rsid w:val="3150593A"/>
    <w:rsid w:val="315D3273"/>
    <w:rsid w:val="316D3DF6"/>
    <w:rsid w:val="317653A0"/>
    <w:rsid w:val="324266D0"/>
    <w:rsid w:val="32B9008D"/>
    <w:rsid w:val="32E75E2A"/>
    <w:rsid w:val="33F20F2A"/>
    <w:rsid w:val="35BF0856"/>
    <w:rsid w:val="37C4673A"/>
    <w:rsid w:val="392526A5"/>
    <w:rsid w:val="3A370C19"/>
    <w:rsid w:val="3ADE5D64"/>
    <w:rsid w:val="3B4E4C98"/>
    <w:rsid w:val="3BA819F4"/>
    <w:rsid w:val="3D1201AC"/>
    <w:rsid w:val="3D891FB8"/>
    <w:rsid w:val="3EB47508"/>
    <w:rsid w:val="3F19380F"/>
    <w:rsid w:val="3FDF6807"/>
    <w:rsid w:val="40471E5C"/>
    <w:rsid w:val="407F58F4"/>
    <w:rsid w:val="40F2256A"/>
    <w:rsid w:val="42F06635"/>
    <w:rsid w:val="43064E70"/>
    <w:rsid w:val="43EA39CC"/>
    <w:rsid w:val="43EF0FE2"/>
    <w:rsid w:val="43F82FDF"/>
    <w:rsid w:val="43FB7987"/>
    <w:rsid w:val="46C36F5E"/>
    <w:rsid w:val="47D236DF"/>
    <w:rsid w:val="47E04ECA"/>
    <w:rsid w:val="48CA281A"/>
    <w:rsid w:val="49975A5C"/>
    <w:rsid w:val="4A251E1B"/>
    <w:rsid w:val="4A4245CD"/>
    <w:rsid w:val="4A4F6337"/>
    <w:rsid w:val="4AE01685"/>
    <w:rsid w:val="4BE60F1D"/>
    <w:rsid w:val="4C013661"/>
    <w:rsid w:val="4C8311CB"/>
    <w:rsid w:val="4D6E221F"/>
    <w:rsid w:val="4DA16EA9"/>
    <w:rsid w:val="4DE41F8A"/>
    <w:rsid w:val="4E916F1E"/>
    <w:rsid w:val="4ECF5314"/>
    <w:rsid w:val="4EE01C53"/>
    <w:rsid w:val="4EE31744"/>
    <w:rsid w:val="4F710AFD"/>
    <w:rsid w:val="4F8A5A9D"/>
    <w:rsid w:val="505F14C7"/>
    <w:rsid w:val="518252DB"/>
    <w:rsid w:val="51EB2889"/>
    <w:rsid w:val="53D33B35"/>
    <w:rsid w:val="545C7FCE"/>
    <w:rsid w:val="55292E8A"/>
    <w:rsid w:val="55C72CD8"/>
    <w:rsid w:val="569267A7"/>
    <w:rsid w:val="576F1263"/>
    <w:rsid w:val="578810DA"/>
    <w:rsid w:val="59985FA3"/>
    <w:rsid w:val="59B368E2"/>
    <w:rsid w:val="5A2F0E8B"/>
    <w:rsid w:val="5A70032F"/>
    <w:rsid w:val="5BC44840"/>
    <w:rsid w:val="5C14118E"/>
    <w:rsid w:val="5C311D40"/>
    <w:rsid w:val="5D465377"/>
    <w:rsid w:val="5D6E4482"/>
    <w:rsid w:val="5DCB699B"/>
    <w:rsid w:val="5F765739"/>
    <w:rsid w:val="5FD403BA"/>
    <w:rsid w:val="601B2AEB"/>
    <w:rsid w:val="60663E56"/>
    <w:rsid w:val="60F2109D"/>
    <w:rsid w:val="616E49ED"/>
    <w:rsid w:val="62044554"/>
    <w:rsid w:val="625C563D"/>
    <w:rsid w:val="635A354E"/>
    <w:rsid w:val="63A430D3"/>
    <w:rsid w:val="64DE1478"/>
    <w:rsid w:val="65F16A93"/>
    <w:rsid w:val="6697565C"/>
    <w:rsid w:val="66CC0FE3"/>
    <w:rsid w:val="67A4786A"/>
    <w:rsid w:val="67D16185"/>
    <w:rsid w:val="68555E3C"/>
    <w:rsid w:val="687938F3"/>
    <w:rsid w:val="698D5D2B"/>
    <w:rsid w:val="69A27DD9"/>
    <w:rsid w:val="6A0C33B6"/>
    <w:rsid w:val="6ABC4ECB"/>
    <w:rsid w:val="6AD46799"/>
    <w:rsid w:val="6ADB7A47"/>
    <w:rsid w:val="6AEF52A0"/>
    <w:rsid w:val="6B142F59"/>
    <w:rsid w:val="6B2E730F"/>
    <w:rsid w:val="6BE62696"/>
    <w:rsid w:val="6C08062F"/>
    <w:rsid w:val="6D0A63C2"/>
    <w:rsid w:val="6DBC76BD"/>
    <w:rsid w:val="6E5378F4"/>
    <w:rsid w:val="707149AA"/>
    <w:rsid w:val="70B56644"/>
    <w:rsid w:val="72037883"/>
    <w:rsid w:val="72542898"/>
    <w:rsid w:val="72DC7A37"/>
    <w:rsid w:val="72DE4054"/>
    <w:rsid w:val="72FC77E5"/>
    <w:rsid w:val="73221F8B"/>
    <w:rsid w:val="74507348"/>
    <w:rsid w:val="748C2BD9"/>
    <w:rsid w:val="74A215D5"/>
    <w:rsid w:val="74C50E20"/>
    <w:rsid w:val="769211D6"/>
    <w:rsid w:val="779E44BF"/>
    <w:rsid w:val="77A52A33"/>
    <w:rsid w:val="788A2AAC"/>
    <w:rsid w:val="79D74B7F"/>
    <w:rsid w:val="7A590988"/>
    <w:rsid w:val="7AFB1A3F"/>
    <w:rsid w:val="7C3945CD"/>
    <w:rsid w:val="7C43369E"/>
    <w:rsid w:val="7CB73744"/>
    <w:rsid w:val="7CD82038"/>
    <w:rsid w:val="7DDBCC09"/>
    <w:rsid w:val="7E6F7172"/>
    <w:rsid w:val="7E7E7CFE"/>
    <w:rsid w:val="7EE03426"/>
    <w:rsid w:val="7F7A5E20"/>
    <w:rsid w:val="7F9A1827"/>
    <w:rsid w:val="7FEFFB7B"/>
    <w:rsid w:val="DFFFBE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60" w:lineRule="atLeast"/>
      <w:textAlignment w:val="baseline"/>
    </w:pPr>
    <w:rPr>
      <w:rFonts w:ascii="Times New Roman" w:hAnsi="Times New Roman" w:eastAsia="宋体" w:cs="Times New Roman"/>
      <w:sz w:val="24"/>
      <w:lang w:val="en-US" w:eastAsia="zh-CN" w:bidi="ar-SA"/>
    </w:rPr>
  </w:style>
  <w:style w:type="paragraph" w:styleId="2">
    <w:name w:val="heading 1"/>
    <w:basedOn w:val="1"/>
    <w:next w:val="1"/>
    <w:link w:val="68"/>
    <w:qFormat/>
    <w:uiPriority w:val="0"/>
    <w:pPr>
      <w:keepNext/>
      <w:spacing w:line="300" w:lineRule="auto"/>
      <w:jc w:val="both"/>
      <w:outlineLvl w:val="0"/>
    </w:pPr>
    <w:rPr>
      <w:rFonts w:ascii="Arial" w:hAnsi="Arial" w:eastAsia="仿宋_GB2312" w:cs="Arial"/>
      <w:b/>
      <w:sz w:val="28"/>
    </w:rPr>
  </w:style>
  <w:style w:type="paragraph" w:styleId="3">
    <w:name w:val="heading 2"/>
    <w:basedOn w:val="1"/>
    <w:next w:val="1"/>
    <w:link w:val="69"/>
    <w:qFormat/>
    <w:uiPriority w:val="0"/>
    <w:pPr>
      <w:keepNext/>
      <w:numPr>
        <w:ilvl w:val="0"/>
        <w:numId w:val="1"/>
      </w:numPr>
      <w:spacing w:line="300" w:lineRule="auto"/>
      <w:outlineLvl w:val="1"/>
    </w:pPr>
    <w:rPr>
      <w:rFonts w:ascii="Arial" w:hAnsi="Arial" w:eastAsia="仿宋_GB2312" w:cs="Arial"/>
      <w:b/>
      <w:bCs/>
      <w:sz w:val="28"/>
    </w:rPr>
  </w:style>
  <w:style w:type="paragraph" w:styleId="4">
    <w:name w:val="heading 3"/>
    <w:basedOn w:val="1"/>
    <w:next w:val="1"/>
    <w:link w:val="70"/>
    <w:qFormat/>
    <w:uiPriority w:val="0"/>
    <w:pPr>
      <w:keepNext/>
      <w:numPr>
        <w:ilvl w:val="1"/>
        <w:numId w:val="2"/>
      </w:numPr>
      <w:tabs>
        <w:tab w:val="left" w:pos="0"/>
        <w:tab w:val="left" w:pos="1200"/>
        <w:tab w:val="clear" w:pos="1740"/>
      </w:tabs>
      <w:spacing w:line="440" w:lineRule="atLeast"/>
      <w:ind w:left="1320" w:hanging="600"/>
      <w:jc w:val="both"/>
      <w:outlineLvl w:val="2"/>
    </w:pPr>
    <w:rPr>
      <w:rFonts w:ascii="仿宋_GB2312" w:hAnsi="Arial" w:eastAsia="仿宋_GB2312" w:cs="Arial"/>
      <w:sz w:val="28"/>
    </w:rPr>
  </w:style>
  <w:style w:type="paragraph" w:styleId="5">
    <w:name w:val="heading 4"/>
    <w:basedOn w:val="1"/>
    <w:next w:val="1"/>
    <w:link w:val="71"/>
    <w:qFormat/>
    <w:uiPriority w:val="0"/>
    <w:pPr>
      <w:keepNext/>
      <w:numPr>
        <w:ilvl w:val="0"/>
        <w:numId w:val="3"/>
      </w:numPr>
      <w:tabs>
        <w:tab w:val="clear" w:pos="1605"/>
      </w:tabs>
      <w:spacing w:line="440" w:lineRule="atLeast"/>
      <w:ind w:right="-22"/>
      <w:outlineLvl w:val="3"/>
    </w:pPr>
    <w:rPr>
      <w:rFonts w:ascii="仿宋_GB2312" w:eastAsia="仿宋_GB2312"/>
      <w:sz w:val="28"/>
    </w:rPr>
  </w:style>
  <w:style w:type="paragraph" w:styleId="6">
    <w:name w:val="heading 5"/>
    <w:basedOn w:val="1"/>
    <w:next w:val="1"/>
    <w:qFormat/>
    <w:uiPriority w:val="0"/>
    <w:pPr>
      <w:keepNext/>
      <w:spacing w:line="500" w:lineRule="exact"/>
      <w:jc w:val="center"/>
      <w:outlineLvl w:val="4"/>
    </w:pPr>
    <w:rPr>
      <w:rFonts w:ascii="楷体_GB2312" w:eastAsia="楷体_GB2312"/>
      <w:color w:val="000000"/>
      <w:sz w:val="28"/>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semiHidden/>
    <w:qFormat/>
    <w:uiPriority w:val="0"/>
    <w:pPr>
      <w:ind w:left="2520" w:leftChars="1200"/>
    </w:pPr>
  </w:style>
  <w:style w:type="paragraph" w:styleId="8">
    <w:name w:val="Normal Indent"/>
    <w:basedOn w:val="1"/>
    <w:semiHidden/>
    <w:qFormat/>
    <w:uiPriority w:val="0"/>
    <w:pPr>
      <w:adjustRightInd/>
      <w:spacing w:line="240" w:lineRule="auto"/>
      <w:ind w:firstLine="560" w:firstLineChars="200"/>
      <w:jc w:val="both"/>
      <w:textAlignment w:val="auto"/>
    </w:pPr>
    <w:rPr>
      <w:rFonts w:eastAsia="GungsuhChe"/>
      <w:color w:val="FF0000"/>
      <w:kern w:val="2"/>
      <w:sz w:val="28"/>
      <w:szCs w:val="24"/>
    </w:rPr>
  </w:style>
  <w:style w:type="paragraph" w:styleId="9">
    <w:name w:val="caption"/>
    <w:basedOn w:val="1"/>
    <w:next w:val="1"/>
    <w:qFormat/>
    <w:uiPriority w:val="35"/>
    <w:rPr>
      <w:rFonts w:ascii="Cambria" w:hAnsi="Cambria" w:eastAsia="黑体"/>
      <w:sz w:val="20"/>
    </w:rPr>
  </w:style>
  <w:style w:type="paragraph" w:styleId="10">
    <w:name w:val="Document Map"/>
    <w:basedOn w:val="1"/>
    <w:link w:val="41"/>
    <w:semiHidden/>
    <w:qFormat/>
    <w:uiPriority w:val="0"/>
    <w:pPr>
      <w:shd w:val="clear" w:color="auto" w:fill="000080"/>
    </w:pPr>
  </w:style>
  <w:style w:type="paragraph" w:styleId="11">
    <w:name w:val="annotation text"/>
    <w:basedOn w:val="1"/>
    <w:link w:val="42"/>
    <w:qFormat/>
    <w:uiPriority w:val="99"/>
  </w:style>
  <w:style w:type="paragraph" w:styleId="12">
    <w:name w:val="Body Text"/>
    <w:basedOn w:val="1"/>
    <w:link w:val="74"/>
    <w:qFormat/>
    <w:uiPriority w:val="0"/>
    <w:rPr>
      <w:rFonts w:eastAsia="隶书"/>
      <w:sz w:val="52"/>
    </w:rPr>
  </w:style>
  <w:style w:type="paragraph" w:styleId="13">
    <w:name w:val="Body Text Indent"/>
    <w:basedOn w:val="1"/>
    <w:link w:val="75"/>
    <w:qFormat/>
    <w:uiPriority w:val="0"/>
    <w:pPr>
      <w:spacing w:before="120" w:line="360" w:lineRule="auto"/>
      <w:ind w:left="1145"/>
    </w:pPr>
    <w:rPr>
      <w:rFonts w:ascii="楷体_GB2312" w:eastAsia="楷体_GB2312"/>
      <w:kern w:val="2"/>
      <w:sz w:val="28"/>
    </w:rPr>
  </w:style>
  <w:style w:type="paragraph" w:styleId="14">
    <w:name w:val="toc 5"/>
    <w:basedOn w:val="1"/>
    <w:next w:val="1"/>
    <w:semiHidden/>
    <w:qFormat/>
    <w:uiPriority w:val="0"/>
    <w:pPr>
      <w:ind w:left="1680" w:leftChars="800"/>
    </w:pPr>
  </w:style>
  <w:style w:type="paragraph" w:styleId="15">
    <w:name w:val="toc 3"/>
    <w:basedOn w:val="1"/>
    <w:next w:val="1"/>
    <w:semiHidden/>
    <w:qFormat/>
    <w:uiPriority w:val="0"/>
    <w:pPr>
      <w:ind w:left="840" w:leftChars="400"/>
    </w:pPr>
  </w:style>
  <w:style w:type="paragraph" w:styleId="16">
    <w:name w:val="Plain Text"/>
    <w:basedOn w:val="1"/>
    <w:link w:val="76"/>
    <w:qFormat/>
    <w:uiPriority w:val="0"/>
    <w:pPr>
      <w:adjustRightInd/>
      <w:spacing w:line="240" w:lineRule="auto"/>
      <w:jc w:val="both"/>
      <w:textAlignment w:val="auto"/>
    </w:pPr>
    <w:rPr>
      <w:rFonts w:ascii="宋体" w:hAnsi="Courier New"/>
      <w:kern w:val="2"/>
      <w:sz w:val="21"/>
    </w:rPr>
  </w:style>
  <w:style w:type="paragraph" w:styleId="17">
    <w:name w:val="toc 8"/>
    <w:basedOn w:val="1"/>
    <w:next w:val="1"/>
    <w:semiHidden/>
    <w:qFormat/>
    <w:uiPriority w:val="0"/>
    <w:pPr>
      <w:ind w:left="2940" w:leftChars="1400"/>
    </w:pPr>
  </w:style>
  <w:style w:type="paragraph" w:styleId="18">
    <w:name w:val="Date"/>
    <w:basedOn w:val="1"/>
    <w:next w:val="1"/>
    <w:link w:val="77"/>
    <w:qFormat/>
    <w:uiPriority w:val="0"/>
    <w:pPr>
      <w:jc w:val="both"/>
    </w:pPr>
    <w:rPr>
      <w:rFonts w:ascii="楷体_GB2312" w:eastAsia="楷体_GB2312"/>
      <w:b/>
      <w:sz w:val="28"/>
    </w:rPr>
  </w:style>
  <w:style w:type="paragraph" w:styleId="19">
    <w:name w:val="Body Text Indent 2"/>
    <w:basedOn w:val="1"/>
    <w:link w:val="78"/>
    <w:qFormat/>
    <w:uiPriority w:val="0"/>
    <w:pPr>
      <w:spacing w:before="120" w:line="360" w:lineRule="auto"/>
      <w:ind w:left="600" w:firstLine="480"/>
    </w:pPr>
    <w:rPr>
      <w:rFonts w:ascii="楷体_GB2312" w:eastAsia="楷体_GB2312"/>
      <w:kern w:val="2"/>
      <w:sz w:val="28"/>
    </w:rPr>
  </w:style>
  <w:style w:type="paragraph" w:styleId="20">
    <w:name w:val="Balloon Text"/>
    <w:basedOn w:val="1"/>
    <w:link w:val="79"/>
    <w:semiHidden/>
    <w:qFormat/>
    <w:uiPriority w:val="0"/>
    <w:rPr>
      <w:sz w:val="18"/>
      <w:szCs w:val="18"/>
    </w:rPr>
  </w:style>
  <w:style w:type="paragraph" w:styleId="21">
    <w:name w:val="footer"/>
    <w:basedOn w:val="1"/>
    <w:link w:val="43"/>
    <w:qFormat/>
    <w:uiPriority w:val="99"/>
    <w:pPr>
      <w:tabs>
        <w:tab w:val="center" w:pos="4153"/>
        <w:tab w:val="right" w:pos="8306"/>
      </w:tabs>
      <w:spacing w:line="240" w:lineRule="atLeast"/>
    </w:pPr>
    <w:rPr>
      <w:sz w:val="18"/>
    </w:rPr>
  </w:style>
  <w:style w:type="paragraph" w:styleId="22">
    <w:name w:val="header"/>
    <w:basedOn w:val="1"/>
    <w:link w:val="44"/>
    <w:qFormat/>
    <w:uiPriority w:val="99"/>
    <w:pPr>
      <w:pBdr>
        <w:bottom w:val="single" w:color="auto" w:sz="6" w:space="1"/>
      </w:pBdr>
      <w:tabs>
        <w:tab w:val="center" w:pos="4153"/>
        <w:tab w:val="right" w:pos="8306"/>
      </w:tabs>
      <w:snapToGrid w:val="0"/>
      <w:spacing w:line="240" w:lineRule="atLeast"/>
      <w:jc w:val="center"/>
    </w:pPr>
    <w:rPr>
      <w:sz w:val="18"/>
    </w:rPr>
  </w:style>
  <w:style w:type="paragraph" w:styleId="23">
    <w:name w:val="toc 1"/>
    <w:basedOn w:val="1"/>
    <w:next w:val="1"/>
    <w:qFormat/>
    <w:uiPriority w:val="39"/>
    <w:pPr>
      <w:tabs>
        <w:tab w:val="right" w:leader="dot" w:pos="9072"/>
      </w:tabs>
      <w:spacing w:line="360" w:lineRule="auto"/>
    </w:pPr>
    <w:rPr>
      <w:rFonts w:ascii="楷体_GB2312" w:eastAsia="楷体_GB2312"/>
      <w:b/>
      <w:bCs/>
      <w:sz w:val="30"/>
      <w:szCs w:val="30"/>
    </w:rPr>
  </w:style>
  <w:style w:type="paragraph" w:styleId="24">
    <w:name w:val="toc 4"/>
    <w:basedOn w:val="1"/>
    <w:next w:val="1"/>
    <w:semiHidden/>
    <w:qFormat/>
    <w:uiPriority w:val="0"/>
    <w:pPr>
      <w:ind w:left="1260" w:leftChars="600"/>
    </w:pPr>
  </w:style>
  <w:style w:type="paragraph" w:styleId="25">
    <w:name w:val="toc 6"/>
    <w:basedOn w:val="1"/>
    <w:next w:val="1"/>
    <w:semiHidden/>
    <w:qFormat/>
    <w:uiPriority w:val="0"/>
    <w:pPr>
      <w:ind w:left="2100" w:leftChars="1000"/>
    </w:pPr>
  </w:style>
  <w:style w:type="paragraph" w:styleId="26">
    <w:name w:val="Body Text Indent 3"/>
    <w:basedOn w:val="1"/>
    <w:link w:val="82"/>
    <w:qFormat/>
    <w:uiPriority w:val="0"/>
    <w:pPr>
      <w:spacing w:line="360" w:lineRule="auto"/>
      <w:ind w:left="600" w:firstLine="555"/>
      <w:outlineLvl w:val="0"/>
    </w:pPr>
    <w:rPr>
      <w:rFonts w:ascii="楷体_GB2312" w:eastAsia="楷体_GB2312"/>
      <w:kern w:val="2"/>
      <w:sz w:val="28"/>
    </w:rPr>
  </w:style>
  <w:style w:type="paragraph" w:styleId="27">
    <w:name w:val="toc 2"/>
    <w:basedOn w:val="1"/>
    <w:next w:val="1"/>
    <w:qFormat/>
    <w:uiPriority w:val="39"/>
    <w:pPr>
      <w:tabs>
        <w:tab w:val="right" w:leader="dot" w:pos="9072"/>
      </w:tabs>
      <w:spacing w:line="360" w:lineRule="auto"/>
      <w:ind w:left="480" w:leftChars="200"/>
    </w:pPr>
    <w:rPr>
      <w:rFonts w:eastAsia="楷体_GB2312"/>
    </w:rPr>
  </w:style>
  <w:style w:type="paragraph" w:styleId="28">
    <w:name w:val="toc 9"/>
    <w:basedOn w:val="1"/>
    <w:next w:val="1"/>
    <w:semiHidden/>
    <w:qFormat/>
    <w:uiPriority w:val="0"/>
    <w:pPr>
      <w:ind w:left="3360" w:leftChars="1600"/>
    </w:pPr>
  </w:style>
  <w:style w:type="paragraph" w:styleId="29">
    <w:name w:val="Body Text 2"/>
    <w:basedOn w:val="1"/>
    <w:link w:val="83"/>
    <w:qFormat/>
    <w:uiPriority w:val="0"/>
    <w:pPr>
      <w:spacing w:line="360" w:lineRule="auto"/>
      <w:ind w:right="2"/>
    </w:pPr>
    <w:rPr>
      <w:rFonts w:eastAsia="仿宋_GB2312"/>
      <w:sz w:val="28"/>
    </w:rPr>
  </w:style>
  <w:style w:type="paragraph" w:styleId="30">
    <w:name w:val="Normal (Web)"/>
    <w:basedOn w:val="1"/>
    <w:qFormat/>
    <w:uiPriority w:val="99"/>
    <w:pPr>
      <w:widowControl/>
      <w:adjustRightInd/>
      <w:spacing w:line="360" w:lineRule="auto"/>
      <w:textAlignment w:val="auto"/>
    </w:pPr>
    <w:rPr>
      <w:rFonts w:ascii="宋体" w:hAnsi="宋体"/>
      <w:sz w:val="18"/>
      <w:szCs w:val="18"/>
    </w:rPr>
  </w:style>
  <w:style w:type="paragraph" w:styleId="31">
    <w:name w:val="annotation subject"/>
    <w:basedOn w:val="11"/>
    <w:next w:val="11"/>
    <w:link w:val="84"/>
    <w:semiHidden/>
    <w:qFormat/>
    <w:uiPriority w:val="0"/>
    <w:rPr>
      <w:b/>
      <w:bCs/>
    </w:rPr>
  </w:style>
  <w:style w:type="paragraph" w:styleId="32">
    <w:name w:val="Body Text First Indent"/>
    <w:basedOn w:val="12"/>
    <w:link w:val="85"/>
    <w:qFormat/>
    <w:uiPriority w:val="0"/>
    <w:pPr>
      <w:adjustRightInd/>
      <w:spacing w:after="120" w:line="240" w:lineRule="auto"/>
      <w:ind w:firstLine="420"/>
      <w:jc w:val="both"/>
      <w:textAlignment w:val="auto"/>
    </w:pPr>
    <w:rPr>
      <w:rFonts w:eastAsia="宋体"/>
      <w:kern w:val="2"/>
      <w:sz w:val="21"/>
    </w:rPr>
  </w:style>
  <w:style w:type="table" w:styleId="34">
    <w:name w:val="Table Grid"/>
    <w:basedOn w:val="33"/>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6">
    <w:name w:val="Strong"/>
    <w:qFormat/>
    <w:uiPriority w:val="22"/>
    <w:rPr>
      <w:b/>
      <w:bCs/>
    </w:rPr>
  </w:style>
  <w:style w:type="character" w:styleId="37">
    <w:name w:val="page number"/>
    <w:qFormat/>
    <w:uiPriority w:val="0"/>
  </w:style>
  <w:style w:type="character" w:styleId="38">
    <w:name w:val="FollowedHyperlink"/>
    <w:qFormat/>
    <w:uiPriority w:val="0"/>
    <w:rPr>
      <w:color w:val="800080"/>
      <w:u w:val="single"/>
    </w:rPr>
  </w:style>
  <w:style w:type="character" w:styleId="39">
    <w:name w:val="Hyperlink"/>
    <w:qFormat/>
    <w:uiPriority w:val="99"/>
    <w:rPr>
      <w:color w:val="0000FF"/>
      <w:u w:val="single"/>
    </w:rPr>
  </w:style>
  <w:style w:type="character" w:styleId="40">
    <w:name w:val="annotation reference"/>
    <w:qFormat/>
    <w:uiPriority w:val="0"/>
    <w:rPr>
      <w:sz w:val="21"/>
      <w:szCs w:val="21"/>
    </w:rPr>
  </w:style>
  <w:style w:type="character" w:customStyle="1" w:styleId="41">
    <w:name w:val="文档结构图 Char1"/>
    <w:link w:val="10"/>
    <w:semiHidden/>
    <w:qFormat/>
    <w:uiPriority w:val="0"/>
    <w:rPr>
      <w:sz w:val="24"/>
      <w:shd w:val="clear" w:color="auto" w:fill="000080"/>
    </w:rPr>
  </w:style>
  <w:style w:type="character" w:customStyle="1" w:styleId="42">
    <w:name w:val="批注文字 Char1"/>
    <w:link w:val="11"/>
    <w:qFormat/>
    <w:uiPriority w:val="0"/>
    <w:rPr>
      <w:sz w:val="24"/>
    </w:rPr>
  </w:style>
  <w:style w:type="character" w:customStyle="1" w:styleId="43">
    <w:name w:val="页脚 Char2"/>
    <w:link w:val="21"/>
    <w:qFormat/>
    <w:uiPriority w:val="99"/>
    <w:rPr>
      <w:sz w:val="18"/>
    </w:rPr>
  </w:style>
  <w:style w:type="character" w:customStyle="1" w:styleId="44">
    <w:name w:val="页眉 Char2"/>
    <w:link w:val="22"/>
    <w:qFormat/>
    <w:uiPriority w:val="99"/>
    <w:rPr>
      <w:sz w:val="18"/>
    </w:rPr>
  </w:style>
  <w:style w:type="character" w:customStyle="1" w:styleId="45">
    <w:name w:val="中等深浅网格 2 字符"/>
    <w:link w:val="46"/>
    <w:qFormat/>
    <w:uiPriority w:val="1"/>
    <w:rPr>
      <w:rFonts w:ascii="Calibri" w:hAnsi="Calibri"/>
      <w:sz w:val="22"/>
      <w:szCs w:val="22"/>
      <w:lang w:val="en-US" w:eastAsia="zh-CN" w:bidi="ar-SA"/>
    </w:rPr>
  </w:style>
  <w:style w:type="paragraph" w:customStyle="1" w:styleId="46">
    <w:name w:val="中等深浅网格 21"/>
    <w:link w:val="45"/>
    <w:qFormat/>
    <w:uiPriority w:val="1"/>
    <w:rPr>
      <w:rFonts w:ascii="Calibri" w:hAnsi="Calibri" w:eastAsia="宋体" w:cs="Times New Roman"/>
      <w:sz w:val="22"/>
      <w:szCs w:val="22"/>
      <w:lang w:val="en-US" w:eastAsia="zh-CN" w:bidi="ar-SA"/>
    </w:rPr>
  </w:style>
  <w:style w:type="character" w:customStyle="1" w:styleId="47">
    <w:name w:val="unnamed11"/>
    <w:qFormat/>
    <w:uiPriority w:val="0"/>
    <w:rPr>
      <w:rFonts w:hint="eastAsia" w:ascii="宋体" w:hAnsi="宋体" w:eastAsia="宋体"/>
      <w:color w:val="000000"/>
      <w:sz w:val="18"/>
      <w:szCs w:val="18"/>
      <w:u w:val="none"/>
    </w:rPr>
  </w:style>
  <w:style w:type="character" w:customStyle="1" w:styleId="48">
    <w:name w:val="text1"/>
    <w:qFormat/>
    <w:uiPriority w:val="0"/>
    <w:rPr>
      <w:spacing w:val="10"/>
      <w:sz w:val="28"/>
      <w:szCs w:val="28"/>
    </w:rPr>
  </w:style>
  <w:style w:type="character" w:customStyle="1" w:styleId="49">
    <w:name w:val="nr1"/>
    <w:qFormat/>
    <w:uiPriority w:val="0"/>
    <w:rPr>
      <w:rFonts w:hint="eastAsia" w:ascii="楷体_GB2312" w:eastAsia="楷体_GB2312"/>
      <w:color w:val="000000"/>
      <w:sz w:val="24"/>
      <w:szCs w:val="24"/>
    </w:rPr>
  </w:style>
  <w:style w:type="character" w:customStyle="1" w:styleId="50">
    <w:name w:val="t12h291"/>
    <w:qFormat/>
    <w:uiPriority w:val="0"/>
    <w:rPr>
      <w:color w:val="000000"/>
      <w:sz w:val="24"/>
      <w:szCs w:val="24"/>
    </w:rPr>
  </w:style>
  <w:style w:type="character" w:customStyle="1" w:styleId="51">
    <w:name w:val="标题 5 Char"/>
    <w:qFormat/>
    <w:uiPriority w:val="0"/>
    <w:rPr>
      <w:rFonts w:ascii="楷体_GB2312" w:eastAsia="楷体_GB2312"/>
      <w:color w:val="000000"/>
      <w:sz w:val="28"/>
    </w:rPr>
  </w:style>
  <w:style w:type="paragraph" w:customStyle="1" w:styleId="52">
    <w:name w:val="Table Paragraph"/>
    <w:basedOn w:val="1"/>
    <w:qFormat/>
    <w:uiPriority w:val="1"/>
    <w:pPr>
      <w:autoSpaceDE w:val="0"/>
      <w:autoSpaceDN w:val="0"/>
      <w:adjustRightInd/>
      <w:spacing w:line="240" w:lineRule="auto"/>
      <w:textAlignment w:val="auto"/>
    </w:pPr>
    <w:rPr>
      <w:rFonts w:ascii="宋体" w:hAnsi="宋体" w:cs="宋体"/>
      <w:sz w:val="22"/>
      <w:szCs w:val="22"/>
      <w:lang w:val="zh-CN" w:bidi="zh-CN"/>
    </w:rPr>
  </w:style>
  <w:style w:type="paragraph" w:customStyle="1" w:styleId="53">
    <w:name w:val="无间隔1"/>
    <w:qFormat/>
    <w:uiPriority w:val="0"/>
    <w:pPr>
      <w:widowControl w:val="0"/>
      <w:jc w:val="both"/>
    </w:pPr>
    <w:rPr>
      <w:rFonts w:ascii="Calibri" w:hAnsi="Calibri" w:eastAsia="宋体" w:cs="Times New Roman"/>
      <w:kern w:val="2"/>
      <w:sz w:val="24"/>
      <w:szCs w:val="22"/>
      <w:lang w:val="en-US" w:eastAsia="zh-CN" w:bidi="ar-SA"/>
    </w:rPr>
  </w:style>
  <w:style w:type="paragraph" w:customStyle="1" w:styleId="54">
    <w:name w:val="彩色列表 - 着色 11"/>
    <w:basedOn w:val="1"/>
    <w:qFormat/>
    <w:uiPriority w:val="1"/>
    <w:pPr>
      <w:ind w:firstLine="420" w:firstLineChars="200"/>
    </w:pPr>
  </w:style>
  <w:style w:type="paragraph" w:customStyle="1" w:styleId="55">
    <w:name w:val="xl25"/>
    <w:basedOn w:val="1"/>
    <w:qFormat/>
    <w:uiPriority w:val="0"/>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56">
    <w:name w:val="xl28"/>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rFonts w:eastAsia="Arial Unicode MS"/>
      <w:szCs w:val="24"/>
    </w:rPr>
  </w:style>
  <w:style w:type="paragraph" w:customStyle="1" w:styleId="57">
    <w:name w:val="xl30"/>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58">
    <w:name w:val="Default"/>
    <w:qFormat/>
    <w:uiPriority w:val="0"/>
    <w:pPr>
      <w:widowControl w:val="0"/>
      <w:autoSpaceDE w:val="0"/>
      <w:autoSpaceDN w:val="0"/>
      <w:adjustRightInd w:val="0"/>
    </w:pPr>
    <w:rPr>
      <w:rFonts w:ascii="仿宋" w:hAnsi="Calibri" w:eastAsia="仿宋" w:cs="仿宋"/>
      <w:color w:val="000000"/>
      <w:sz w:val="24"/>
      <w:szCs w:val="24"/>
      <w:lang w:val="en-US" w:eastAsia="zh-CN" w:bidi="ar-SA"/>
    </w:rPr>
  </w:style>
  <w:style w:type="paragraph" w:customStyle="1" w:styleId="59">
    <w:name w:val="font5"/>
    <w:basedOn w:val="1"/>
    <w:qFormat/>
    <w:uiPriority w:val="0"/>
    <w:pPr>
      <w:widowControl/>
      <w:adjustRightInd/>
      <w:spacing w:before="100" w:beforeAutospacing="1" w:after="100" w:afterAutospacing="1" w:line="240" w:lineRule="auto"/>
      <w:textAlignment w:val="auto"/>
    </w:pPr>
    <w:rPr>
      <w:rFonts w:hint="eastAsia" w:ascii="宋体" w:hAnsi="宋体"/>
      <w:sz w:val="18"/>
      <w:szCs w:val="18"/>
    </w:rPr>
  </w:style>
  <w:style w:type="paragraph" w:customStyle="1" w:styleId="60">
    <w:name w:val="正文1"/>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paragraph" w:customStyle="1" w:styleId="61">
    <w:name w:val="正文11"/>
    <w:qFormat/>
    <w:uiPriority w:val="0"/>
    <w:pPr>
      <w:widowControl w:val="0"/>
      <w:adjustRightInd w:val="0"/>
      <w:spacing w:line="360" w:lineRule="atLeast"/>
      <w:jc w:val="center"/>
      <w:textAlignment w:val="baseline"/>
    </w:pPr>
    <w:rPr>
      <w:rFonts w:ascii="宋体" w:hAnsi="Times New Roman" w:eastAsia="宋体" w:cs="Times New Roman"/>
      <w:sz w:val="34"/>
      <w:lang w:val="en-US" w:eastAsia="zh-CN" w:bidi="ar-SA"/>
    </w:rPr>
  </w:style>
  <w:style w:type="paragraph" w:customStyle="1" w:styleId="62">
    <w:name w:val="Char Char1 Char"/>
    <w:basedOn w:val="1"/>
    <w:qFormat/>
    <w:uiPriority w:val="0"/>
    <w:pPr>
      <w:adjustRightInd/>
      <w:spacing w:line="240" w:lineRule="auto"/>
      <w:jc w:val="both"/>
      <w:textAlignment w:val="auto"/>
    </w:pPr>
    <w:rPr>
      <w:rFonts w:ascii="宋体" w:hAnsi="宋体" w:cs="Courier New"/>
      <w:kern w:val="2"/>
      <w:sz w:val="32"/>
      <w:szCs w:val="32"/>
    </w:rPr>
  </w:style>
  <w:style w:type="paragraph" w:customStyle="1" w:styleId="63">
    <w:name w:val="xl33"/>
    <w:basedOn w:val="1"/>
    <w:qFormat/>
    <w:uiPriority w:val="0"/>
    <w:pPr>
      <w:widowControl/>
      <w:pBdr>
        <w:top w:val="single" w:color="auto" w:sz="4" w:space="0"/>
        <w:bottom w:val="single" w:color="auto" w:sz="4" w:space="0"/>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64">
    <w:name w:val="Table Normal"/>
    <w:semiHidden/>
    <w:qFormat/>
    <w:uiPriority w:val="2"/>
    <w:pPr>
      <w:widowControl w:val="0"/>
      <w:autoSpaceDE w:val="0"/>
      <w:autoSpaceDN w:val="0"/>
    </w:pPr>
    <w:rPr>
      <w:rFonts w:ascii="Calibri" w:hAnsi="Calibri" w:eastAsia="Times New Roman"/>
      <w:sz w:val="22"/>
      <w:szCs w:val="22"/>
      <w:lang w:eastAsia="en-US"/>
    </w:rPr>
    <w:tblPr>
      <w:tblCellMar>
        <w:top w:w="0" w:type="dxa"/>
        <w:left w:w="0" w:type="dxa"/>
        <w:bottom w:w="0" w:type="dxa"/>
        <w:right w:w="0" w:type="dxa"/>
      </w:tblCellMar>
    </w:tblPr>
  </w:style>
  <w:style w:type="character" w:customStyle="1" w:styleId="65">
    <w:name w:val="fontstyle01"/>
    <w:qFormat/>
    <w:uiPriority w:val="0"/>
    <w:rPr>
      <w:rFonts w:hint="eastAsia" w:ascii="仿宋_GB2312" w:eastAsia="仿宋_GB2312"/>
      <w:color w:val="000000"/>
      <w:sz w:val="28"/>
      <w:szCs w:val="28"/>
    </w:rPr>
  </w:style>
  <w:style w:type="paragraph" w:customStyle="1" w:styleId="66">
    <w:name w:val="LO-Normal"/>
    <w:qFormat/>
    <w:uiPriority w:val="0"/>
    <w:pPr>
      <w:widowControl w:val="0"/>
      <w:suppressAutoHyphens/>
      <w:spacing w:line="360" w:lineRule="atLeast"/>
      <w:textAlignment w:val="baseline"/>
    </w:pPr>
    <w:rPr>
      <w:rFonts w:ascii="宋体" w:hAnsi="宋体" w:eastAsia="宋体" w:cs="Times New Roman"/>
      <w:sz w:val="34"/>
      <w:lang w:val="en-US" w:eastAsia="zh-CN" w:bidi="ar-SA"/>
    </w:rPr>
  </w:style>
  <w:style w:type="character" w:customStyle="1" w:styleId="67">
    <w:name w:val="text_jayku"/>
    <w:basedOn w:val="35"/>
    <w:qFormat/>
    <w:uiPriority w:val="0"/>
  </w:style>
  <w:style w:type="character" w:customStyle="1" w:styleId="68">
    <w:name w:val="标题 1 Char"/>
    <w:link w:val="2"/>
    <w:qFormat/>
    <w:uiPriority w:val="0"/>
    <w:rPr>
      <w:rFonts w:ascii="Arial" w:hAnsi="Arial" w:eastAsia="仿宋_GB2312" w:cs="Arial"/>
      <w:b/>
      <w:sz w:val="28"/>
    </w:rPr>
  </w:style>
  <w:style w:type="character" w:customStyle="1" w:styleId="69">
    <w:name w:val="标题 2 Char"/>
    <w:link w:val="3"/>
    <w:qFormat/>
    <w:uiPriority w:val="0"/>
    <w:rPr>
      <w:rFonts w:ascii="Arial" w:hAnsi="Arial" w:eastAsia="仿宋_GB2312" w:cs="Arial"/>
      <w:b/>
      <w:bCs/>
      <w:sz w:val="28"/>
    </w:rPr>
  </w:style>
  <w:style w:type="character" w:customStyle="1" w:styleId="70">
    <w:name w:val="标题 3 Char"/>
    <w:link w:val="4"/>
    <w:qFormat/>
    <w:uiPriority w:val="0"/>
    <w:rPr>
      <w:rFonts w:ascii="仿宋_GB2312" w:hAnsi="Arial" w:eastAsia="仿宋_GB2312" w:cs="Arial"/>
      <w:sz w:val="28"/>
    </w:rPr>
  </w:style>
  <w:style w:type="character" w:customStyle="1" w:styleId="71">
    <w:name w:val="标题 4 Char"/>
    <w:link w:val="5"/>
    <w:qFormat/>
    <w:uiPriority w:val="0"/>
    <w:rPr>
      <w:rFonts w:ascii="仿宋_GB2312" w:eastAsia="仿宋_GB2312"/>
      <w:sz w:val="28"/>
    </w:rPr>
  </w:style>
  <w:style w:type="character" w:customStyle="1" w:styleId="72">
    <w:name w:val="文档结构图 Char"/>
    <w:semiHidden/>
    <w:qFormat/>
    <w:uiPriority w:val="0"/>
    <w:rPr>
      <w:rFonts w:ascii="Times New Roman" w:hAnsi="Times New Roman" w:eastAsia="宋体" w:cs="Times New Roman"/>
      <w:kern w:val="0"/>
      <w:sz w:val="24"/>
      <w:szCs w:val="20"/>
      <w:shd w:val="clear" w:color="auto" w:fill="000080"/>
    </w:rPr>
  </w:style>
  <w:style w:type="character" w:customStyle="1" w:styleId="73">
    <w:name w:val="批注文字 Char"/>
    <w:semiHidden/>
    <w:qFormat/>
    <w:uiPriority w:val="99"/>
    <w:rPr>
      <w:rFonts w:ascii="Times New Roman" w:hAnsi="Times New Roman" w:eastAsia="宋体" w:cs="Times New Roman"/>
      <w:kern w:val="0"/>
      <w:sz w:val="24"/>
      <w:szCs w:val="20"/>
    </w:rPr>
  </w:style>
  <w:style w:type="character" w:customStyle="1" w:styleId="74">
    <w:name w:val="正文文本 Char"/>
    <w:link w:val="12"/>
    <w:qFormat/>
    <w:uiPriority w:val="0"/>
    <w:rPr>
      <w:rFonts w:eastAsia="隶书"/>
      <w:sz w:val="52"/>
    </w:rPr>
  </w:style>
  <w:style w:type="character" w:customStyle="1" w:styleId="75">
    <w:name w:val="正文文本缩进 Char"/>
    <w:link w:val="13"/>
    <w:qFormat/>
    <w:uiPriority w:val="0"/>
    <w:rPr>
      <w:rFonts w:ascii="楷体_GB2312" w:eastAsia="楷体_GB2312"/>
      <w:kern w:val="2"/>
      <w:sz w:val="28"/>
    </w:rPr>
  </w:style>
  <w:style w:type="character" w:customStyle="1" w:styleId="76">
    <w:name w:val="纯文本 Char"/>
    <w:link w:val="16"/>
    <w:qFormat/>
    <w:uiPriority w:val="0"/>
    <w:rPr>
      <w:rFonts w:ascii="宋体" w:hAnsi="Courier New"/>
      <w:kern w:val="2"/>
      <w:sz w:val="21"/>
    </w:rPr>
  </w:style>
  <w:style w:type="character" w:customStyle="1" w:styleId="77">
    <w:name w:val="日期 Char"/>
    <w:link w:val="18"/>
    <w:qFormat/>
    <w:uiPriority w:val="0"/>
    <w:rPr>
      <w:rFonts w:ascii="楷体_GB2312" w:eastAsia="楷体_GB2312"/>
      <w:b/>
      <w:sz w:val="28"/>
    </w:rPr>
  </w:style>
  <w:style w:type="character" w:customStyle="1" w:styleId="78">
    <w:name w:val="正文文本缩进 2 Char"/>
    <w:link w:val="19"/>
    <w:qFormat/>
    <w:uiPriority w:val="0"/>
    <w:rPr>
      <w:rFonts w:ascii="楷体_GB2312" w:eastAsia="楷体_GB2312"/>
      <w:kern w:val="2"/>
      <w:sz w:val="28"/>
    </w:rPr>
  </w:style>
  <w:style w:type="character" w:customStyle="1" w:styleId="79">
    <w:name w:val="批注框文本 Char"/>
    <w:link w:val="20"/>
    <w:semiHidden/>
    <w:qFormat/>
    <w:uiPriority w:val="0"/>
    <w:rPr>
      <w:sz w:val="18"/>
      <w:szCs w:val="18"/>
    </w:rPr>
  </w:style>
  <w:style w:type="character" w:customStyle="1" w:styleId="80">
    <w:name w:val="页脚 Char1"/>
    <w:qFormat/>
    <w:uiPriority w:val="99"/>
    <w:rPr>
      <w:sz w:val="18"/>
      <w:szCs w:val="18"/>
    </w:rPr>
  </w:style>
  <w:style w:type="character" w:customStyle="1" w:styleId="81">
    <w:name w:val="页眉 Char1"/>
    <w:qFormat/>
    <w:uiPriority w:val="99"/>
    <w:rPr>
      <w:rFonts w:ascii="Times New Roman" w:hAnsi="Times New Roman"/>
      <w:sz w:val="18"/>
      <w:szCs w:val="18"/>
    </w:rPr>
  </w:style>
  <w:style w:type="character" w:customStyle="1" w:styleId="82">
    <w:name w:val="正文文本缩进 3 Char"/>
    <w:link w:val="26"/>
    <w:qFormat/>
    <w:uiPriority w:val="0"/>
    <w:rPr>
      <w:rFonts w:ascii="楷体_GB2312" w:eastAsia="楷体_GB2312"/>
      <w:kern w:val="2"/>
      <w:sz w:val="28"/>
    </w:rPr>
  </w:style>
  <w:style w:type="character" w:customStyle="1" w:styleId="83">
    <w:name w:val="正文文本 2 Char"/>
    <w:link w:val="29"/>
    <w:qFormat/>
    <w:uiPriority w:val="0"/>
    <w:rPr>
      <w:rFonts w:eastAsia="仿宋_GB2312"/>
      <w:sz w:val="28"/>
    </w:rPr>
  </w:style>
  <w:style w:type="character" w:customStyle="1" w:styleId="84">
    <w:name w:val="批注主题 Char"/>
    <w:link w:val="31"/>
    <w:semiHidden/>
    <w:qFormat/>
    <w:uiPriority w:val="0"/>
    <w:rPr>
      <w:b/>
      <w:bCs/>
      <w:sz w:val="24"/>
    </w:rPr>
  </w:style>
  <w:style w:type="character" w:customStyle="1" w:styleId="85">
    <w:name w:val="正文首行缩进 Char"/>
    <w:link w:val="32"/>
    <w:qFormat/>
    <w:uiPriority w:val="0"/>
    <w:rPr>
      <w:kern w:val="2"/>
      <w:sz w:val="21"/>
    </w:rPr>
  </w:style>
  <w:style w:type="paragraph" w:customStyle="1" w:styleId="86">
    <w:name w:val="中等深浅网格 2 - 强调文字颜色 11"/>
    <w:link w:val="87"/>
    <w:qFormat/>
    <w:uiPriority w:val="1"/>
    <w:pPr>
      <w:spacing w:before="20" w:after="20" w:line="400" w:lineRule="exact"/>
    </w:pPr>
    <w:rPr>
      <w:rFonts w:ascii="Times New Roman" w:hAnsi="Times New Roman" w:eastAsia="宋体" w:cs="Times New Roman"/>
      <w:sz w:val="22"/>
      <w:szCs w:val="22"/>
      <w:lang w:val="en-US" w:eastAsia="zh-CN" w:bidi="ar-SA"/>
    </w:rPr>
  </w:style>
  <w:style w:type="character" w:customStyle="1" w:styleId="87">
    <w:name w:val="中等深浅网格 2 - 着色 1 字符"/>
    <w:link w:val="86"/>
    <w:qFormat/>
    <w:uiPriority w:val="1"/>
    <w:rPr>
      <w:sz w:val="22"/>
      <w:szCs w:val="22"/>
    </w:rPr>
  </w:style>
  <w:style w:type="character" w:customStyle="1" w:styleId="88">
    <w:name w:val="apple-style-span"/>
    <w:qFormat/>
    <w:uiPriority w:val="0"/>
  </w:style>
  <w:style w:type="paragraph" w:customStyle="1" w:styleId="89">
    <w:name w:val="浅色列表 - 强调文字颜色 31"/>
    <w:semiHidden/>
    <w:qFormat/>
    <w:uiPriority w:val="99"/>
    <w:rPr>
      <w:rFonts w:ascii="Times New Roman" w:hAnsi="Times New Roman" w:eastAsia="宋体" w:cs="Times New Roman"/>
      <w:sz w:val="24"/>
      <w:lang w:val="en-US" w:eastAsia="zh-CN" w:bidi="ar-SA"/>
    </w:rPr>
  </w:style>
  <w:style w:type="paragraph" w:customStyle="1" w:styleId="90">
    <w:name w:val="浅色网格 - 强调文字颜色 31"/>
    <w:basedOn w:val="1"/>
    <w:qFormat/>
    <w:uiPriority w:val="34"/>
    <w:pPr>
      <w:ind w:firstLine="420" w:firstLineChars="200"/>
    </w:pPr>
  </w:style>
  <w:style w:type="character" w:customStyle="1" w:styleId="91">
    <w:name w:val="apple-converted-space"/>
    <w:qFormat/>
    <w:uiPriority w:val="0"/>
  </w:style>
  <w:style w:type="character" w:customStyle="1" w:styleId="92">
    <w:name w:val="页眉 Char"/>
    <w:qFormat/>
    <w:uiPriority w:val="99"/>
    <w:rPr>
      <w:rFonts w:ascii="Times New Roman" w:hAnsi="Times New Roman"/>
      <w:sz w:val="18"/>
      <w:szCs w:val="18"/>
    </w:rPr>
  </w:style>
  <w:style w:type="character" w:customStyle="1" w:styleId="93">
    <w:name w:val="页脚 Char"/>
    <w:qFormat/>
    <w:uiPriority w:val="99"/>
    <w:rPr>
      <w:sz w:val="18"/>
      <w:szCs w:val="18"/>
    </w:rPr>
  </w:style>
  <w:style w:type="paragraph" w:customStyle="1" w:styleId="94">
    <w:name w:val="彩色列表 - 强调文字颜色 11"/>
    <w:basedOn w:val="1"/>
    <w:qFormat/>
    <w:uiPriority w:val="1"/>
    <w:pPr>
      <w:spacing w:before="20" w:after="20"/>
      <w:ind w:firstLine="420" w:firstLineChars="200"/>
    </w:pPr>
  </w:style>
  <w:style w:type="character" w:customStyle="1" w:styleId="95">
    <w:name w:val="font11"/>
    <w:qFormat/>
    <w:uiPriority w:val="0"/>
    <w:rPr>
      <w:rFonts w:hint="eastAsia" w:ascii="华文细黑" w:hAnsi="华文细黑" w:eastAsia="华文细黑" w:cs="华文细黑"/>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8" Type="http://schemas.openxmlformats.org/officeDocument/2006/relationships/fontTable" Target="fontTable.xml"/><Relationship Id="rId47" Type="http://schemas.openxmlformats.org/officeDocument/2006/relationships/customXml" Target="../customXml/item2.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19.png"/><Relationship Id="rId43" Type="http://schemas.openxmlformats.org/officeDocument/2006/relationships/image" Target="media/image18.png"/><Relationship Id="rId42" Type="http://schemas.openxmlformats.org/officeDocument/2006/relationships/image" Target="media/image17.png"/><Relationship Id="rId41" Type="http://schemas.openxmlformats.org/officeDocument/2006/relationships/image" Target="media/image16.png"/><Relationship Id="rId40" Type="http://schemas.openxmlformats.org/officeDocument/2006/relationships/image" Target="media/image15.png"/><Relationship Id="rId4" Type="http://schemas.openxmlformats.org/officeDocument/2006/relationships/endnotes" Target="endnotes.xml"/><Relationship Id="rId39" Type="http://schemas.openxmlformats.org/officeDocument/2006/relationships/image" Target="media/image14.png"/><Relationship Id="rId38" Type="http://schemas.openxmlformats.org/officeDocument/2006/relationships/image" Target="media/image13.png"/><Relationship Id="rId37" Type="http://schemas.openxmlformats.org/officeDocument/2006/relationships/image" Target="media/image12.png"/><Relationship Id="rId36" Type="http://schemas.openxmlformats.org/officeDocument/2006/relationships/image" Target="media/image11.png"/><Relationship Id="rId35" Type="http://schemas.openxmlformats.org/officeDocument/2006/relationships/image" Target="media/image10.png"/><Relationship Id="rId34" Type="http://schemas.openxmlformats.org/officeDocument/2006/relationships/image" Target="media/image9.png"/><Relationship Id="rId33" Type="http://schemas.openxmlformats.org/officeDocument/2006/relationships/image" Target="media/image8.png"/><Relationship Id="rId32" Type="http://schemas.openxmlformats.org/officeDocument/2006/relationships/image" Target="media/image7.png"/><Relationship Id="rId31" Type="http://schemas.openxmlformats.org/officeDocument/2006/relationships/image" Target="media/image6.png"/><Relationship Id="rId30" Type="http://schemas.openxmlformats.org/officeDocument/2006/relationships/image" Target="media/image5.png"/><Relationship Id="rId3" Type="http://schemas.openxmlformats.org/officeDocument/2006/relationships/footnotes" Target="footnotes.xml"/><Relationship Id="rId29" Type="http://schemas.openxmlformats.org/officeDocument/2006/relationships/image" Target="media/image4.png"/><Relationship Id="rId28" Type="http://schemas.openxmlformats.org/officeDocument/2006/relationships/image" Target="media/image3.png"/><Relationship Id="rId27" Type="http://schemas.openxmlformats.org/officeDocument/2006/relationships/chart" Target="charts/chart1.xml"/><Relationship Id="rId26" Type="http://schemas.openxmlformats.org/officeDocument/2006/relationships/image" Target="media/image2.png"/><Relationship Id="rId25" Type="http://schemas.openxmlformats.org/officeDocument/2006/relationships/theme" Target="theme/theme1.xml"/><Relationship Id="rId24" Type="http://schemas.openxmlformats.org/officeDocument/2006/relationships/header" Target="header14.xml"/><Relationship Id="rId23" Type="http://schemas.openxmlformats.org/officeDocument/2006/relationships/header" Target="header13.xml"/><Relationship Id="rId22" Type="http://schemas.openxmlformats.org/officeDocument/2006/relationships/header" Target="header12.xml"/><Relationship Id="rId21" Type="http://schemas.openxmlformats.org/officeDocument/2006/relationships/footer" Target="footer6.xml"/><Relationship Id="rId20" Type="http://schemas.openxmlformats.org/officeDocument/2006/relationships/footer" Target="footer5.xml"/><Relationship Id="rId2" Type="http://schemas.openxmlformats.org/officeDocument/2006/relationships/settings" Target="settings.xml"/><Relationship Id="rId19" Type="http://schemas.openxmlformats.org/officeDocument/2006/relationships/header" Target="header11.xml"/><Relationship Id="rId18" Type="http://schemas.openxmlformats.org/officeDocument/2006/relationships/header" Target="header10.xml"/><Relationship Id="rId17" Type="http://schemas.openxmlformats.org/officeDocument/2006/relationships/header" Target="header9.xml"/><Relationship Id="rId16" Type="http://schemas.openxmlformats.org/officeDocument/2006/relationships/footer" Target="footer4.xml"/><Relationship Id="rId15" Type="http://schemas.openxmlformats.org/officeDocument/2006/relationships/header" Target="header8.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oleObject" Target="file:///D:\&#23457;&#26680;&#32452;\2025&#24180;\&#24066;&#22330;&#20998;&#26512;\2025&#24180;1&#23395;&#24230;\&#25968;&#25454;&#27719;&#38598;&#20998;&#26512;&#65288;&#24635;&#34920;&#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54582239720035"/>
          <c:y val="0.0902062352338116"/>
          <c:w val="0.784083552055993"/>
          <c:h val="0.694440012179094"/>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c:v>
                </c:pt>
                <c:pt idx="1">
                  <c:v>2188.6</c:v>
                </c:pt>
                <c:pt idx="2">
                  <c:v>2184.3</c:v>
                </c:pt>
                <c:pt idx="3">
                  <c:v>2185.8</c:v>
                </c:pt>
                <c:pt idx="4">
                  <c:v>2183.2</c:v>
                </c:pt>
              </c:numCache>
            </c:numRef>
          </c:val>
        </c:ser>
        <c:dLbls>
          <c:showLegendKey val="0"/>
          <c:showVal val="0"/>
          <c:showCatName val="0"/>
          <c:showSerName val="0"/>
          <c:showPercent val="0"/>
          <c:showBubbleSize val="0"/>
        </c:dLbls>
        <c:gapWidth val="150"/>
        <c:axId val="380588416"/>
        <c:axId val="380589952"/>
      </c:barChart>
      <c:lineChart>
        <c:grouping val="standard"/>
        <c:varyColors val="0"/>
        <c:ser>
          <c:idx val="1"/>
          <c:order val="1"/>
          <c:tx>
            <c:strRef>
              <c:f>人口!$M$92</c:f>
              <c:strCache>
                <c:ptCount val="1"/>
                <c:pt idx="0">
                  <c:v>比上年增长</c:v>
                </c:pt>
              </c:strCache>
            </c:strRef>
          </c:tx>
          <c:marker>
            <c:symbol val="none"/>
          </c:marker>
          <c:dLbls>
            <c:dLbl>
              <c:idx val="0"/>
              <c:layout>
                <c:manualLayout>
                  <c:x val="-0.0472222222222222"/>
                  <c:y val="-0.032407407407407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27777777777778"/>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527777777777778"/>
                  <c:y val="-0.03703703703703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555555555555556"/>
                  <c:y val="-0.027777777777777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55555555555555"/>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0.0165768945022289</c:v>
                </c:pt>
                <c:pt idx="1">
                  <c:v>-0.000319736902206325</c:v>
                </c:pt>
                <c:pt idx="2">
                  <c:v>-0.00196472630905586</c:v>
                </c:pt>
                <c:pt idx="3">
                  <c:v>0.000686718857299873</c:v>
                </c:pt>
                <c:pt idx="4">
                  <c:v>-0.00118949583676475</c:v>
                </c:pt>
              </c:numCache>
            </c:numRef>
          </c:val>
          <c:smooth val="0"/>
        </c:ser>
        <c:dLbls>
          <c:showLegendKey val="0"/>
          <c:showVal val="0"/>
          <c:showCatName val="0"/>
          <c:showSerName val="0"/>
          <c:showPercent val="0"/>
          <c:showBubbleSize val="0"/>
        </c:dLbls>
        <c:marker val="0"/>
        <c:smooth val="0"/>
        <c:axId val="380617856"/>
        <c:axId val="380591488"/>
      </c:lineChart>
      <c:catAx>
        <c:axId val="380588416"/>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80589952"/>
        <c:crosses val="autoZero"/>
        <c:auto val="1"/>
        <c:lblAlgn val="ctr"/>
        <c:lblOffset val="100"/>
        <c:noMultiLvlLbl val="0"/>
      </c:catAx>
      <c:valAx>
        <c:axId val="380589952"/>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80588416"/>
        <c:crosses val="autoZero"/>
        <c:crossBetween val="between"/>
        <c:majorUnit val="500"/>
      </c:valAx>
      <c:catAx>
        <c:axId val="380617856"/>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80591488"/>
        <c:crosses val="autoZero"/>
        <c:auto val="1"/>
        <c:lblAlgn val="ctr"/>
        <c:lblOffset val="100"/>
        <c:noMultiLvlLbl val="0"/>
      </c:catAx>
      <c:valAx>
        <c:axId val="380591488"/>
        <c:scaling>
          <c:orientation val="minMax"/>
          <c:max val="0.05"/>
          <c:min val="-0.01"/>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80617856"/>
        <c:crosses val="max"/>
        <c:crossBetween val="between"/>
      </c:valAx>
    </c:plotArea>
    <c:legend>
      <c:legendPos val="r"/>
      <c:legendEntry>
        <c:idx val="2"/>
        <c:delete val="1"/>
      </c:legendEntry>
      <c:layout>
        <c:manualLayout>
          <c:xMode val="edge"/>
          <c:yMode val="edge"/>
          <c:x val="0.111111111111111"/>
          <c:y val="0.893981481481481"/>
          <c:w val="0.744444444444444"/>
          <c:h val="0.087037037037037"/>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legend>
    <c:plotVisOnly val="1"/>
    <c:dispBlanksAs val="gap"/>
    <c:showDLblsOverMax val="0"/>
    <c:extLst>
      <c:ext uri="{0b15fc19-7d7d-44ad-8c2d-2c3a37ce22c3}">
        <chartProps xmlns="https://web.wps.cn/et/2018/main" chartId="{a6c35e09-555d-4622-80d0-27110baf2e84}"/>
      </c:ext>
    </c:extLst>
  </c:chart>
  <c:txPr>
    <a:bodyPr/>
    <a:lstStyle/>
    <a:p>
      <a:pPr>
        <a:defRPr lang="zh-CN" sz="800">
          <a:latin typeface="Arial" panose="020B0604020202020204" pitchFamily="2" charset="0"/>
          <a:cs typeface="Arial" panose="020B0604020202020204" pitchFamily="2" charset="0"/>
        </a:defRPr>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F3A768D-FF90-4661-9AE7-20C7C4CD4E77}">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81</Pages>
  <Words>1927</Words>
  <Characters>2245</Characters>
  <Lines>440</Lines>
  <Paragraphs>123</Paragraphs>
  <TotalTime>47</TotalTime>
  <ScaleCrop>false</ScaleCrop>
  <LinksUpToDate>false</LinksUpToDate>
  <CharactersWithSpaces>2291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2024-11-06T02:22:00Z</dcterms:created>
  <dc:creator>djg</dc:creator>
  <cp:lastModifiedBy>诗霖</cp:lastModifiedBy>
  <cp:lastPrinted>2024-05-24T07:20:00Z</cp:lastPrinted>
  <dcterms:modified xsi:type="dcterms:W3CDTF">2026-03-05T08:47:07Z</dcterms:modified>
  <dc:title>电 话：82253558  传真：82253565</dc:title>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FA6564F9007D43C1B8007CD7FBFFBF75_13</vt:lpwstr>
  </property>
  <property fmtid="{D5CDD505-2E9C-101B-9397-08002B2CF9AE}" pid="4" name="KSOTemplateDocerSaveRecord">
    <vt:lpwstr>eyJoZGlkIjoiOTcwMTMwZTgwZjBhOWY5ZDIzMzA3YjZmYWI3ZGQ5NjUiLCJ1c2VySWQiOiIyMDkxMDc5NzUifQ==</vt:lpwstr>
  </property>
</Properties>
</file>