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1EB5E3">
      <w:pPr>
        <w:spacing w:line="300" w:lineRule="exact"/>
        <w:rPr>
          <w:rFonts w:ascii="Arial" w:hAnsi="Arial"/>
          <w:color w:val="auto"/>
        </w:rPr>
      </w:pPr>
    </w:p>
    <w:p w14:paraId="4734945D">
      <w:pPr>
        <w:spacing w:line="300" w:lineRule="exact"/>
        <w:rPr>
          <w:rFonts w:ascii="Arial" w:hAnsi="Arial"/>
          <w:color w:val="auto"/>
        </w:rPr>
      </w:pPr>
    </w:p>
    <w:p w14:paraId="472C97E4">
      <w:pPr>
        <w:spacing w:line="300" w:lineRule="exact"/>
        <w:rPr>
          <w:rFonts w:ascii="Arial" w:hAnsi="Arial"/>
          <w:color w:val="auto"/>
        </w:rPr>
      </w:pPr>
    </w:p>
    <w:p w14:paraId="14CBD315">
      <w:pPr>
        <w:spacing w:line="300" w:lineRule="exact"/>
        <w:rPr>
          <w:rFonts w:ascii="Arial" w:hAnsi="Arial"/>
          <w:color w:val="auto"/>
        </w:rPr>
      </w:pPr>
    </w:p>
    <w:p w14:paraId="6A6D8A84">
      <w:pPr>
        <w:spacing w:line="300" w:lineRule="exact"/>
        <w:rPr>
          <w:rFonts w:ascii="Arial" w:hAnsi="Arial"/>
          <w:color w:val="auto"/>
        </w:rPr>
      </w:pPr>
    </w:p>
    <w:p w14:paraId="0767EB82">
      <w:pPr>
        <w:spacing w:line="300" w:lineRule="exact"/>
        <w:rPr>
          <w:rFonts w:ascii="Arial" w:hAnsi="Arial"/>
          <w:color w:val="auto"/>
        </w:rPr>
      </w:pPr>
    </w:p>
    <w:p w14:paraId="38C28FE0">
      <w:pPr>
        <w:spacing w:line="300" w:lineRule="exact"/>
        <w:rPr>
          <w:rFonts w:ascii="Arial" w:hAnsi="Arial"/>
          <w:color w:val="auto"/>
        </w:rPr>
      </w:pPr>
    </w:p>
    <w:p w14:paraId="1B166051">
      <w:pPr>
        <w:spacing w:line="300" w:lineRule="exact"/>
        <w:rPr>
          <w:rFonts w:ascii="Arial" w:hAnsi="Arial"/>
          <w:color w:val="auto"/>
        </w:rPr>
      </w:pPr>
    </w:p>
    <w:p w14:paraId="4479B208">
      <w:pPr>
        <w:spacing w:line="300" w:lineRule="exact"/>
        <w:rPr>
          <w:rFonts w:ascii="Arial" w:hAnsi="Arial"/>
          <w:color w:val="auto"/>
        </w:rPr>
      </w:pPr>
    </w:p>
    <w:p w14:paraId="0BAFB600">
      <w:pPr>
        <w:spacing w:line="300" w:lineRule="exact"/>
        <w:rPr>
          <w:rFonts w:ascii="Arial" w:hAnsi="Arial"/>
          <w:color w:val="auto"/>
        </w:rPr>
      </w:pPr>
    </w:p>
    <w:p w14:paraId="6EE5D059">
      <w:pPr>
        <w:spacing w:line="300" w:lineRule="exact"/>
        <w:rPr>
          <w:rFonts w:ascii="Arial" w:hAnsi="Arial"/>
          <w:color w:val="auto"/>
        </w:rPr>
      </w:pPr>
    </w:p>
    <w:p w14:paraId="0176E8F0">
      <w:pPr>
        <w:spacing w:line="300" w:lineRule="exact"/>
        <w:rPr>
          <w:rFonts w:ascii="Arial" w:hAnsi="Arial"/>
          <w:color w:val="auto"/>
        </w:rPr>
      </w:pPr>
    </w:p>
    <w:p w14:paraId="49D2E361">
      <w:pPr>
        <w:spacing w:line="300" w:lineRule="exact"/>
        <w:rPr>
          <w:rFonts w:ascii="Arial" w:hAnsi="Arial"/>
          <w:color w:val="auto"/>
        </w:rPr>
      </w:pPr>
    </w:p>
    <w:p w14:paraId="3A69CFD0">
      <w:pPr>
        <w:spacing w:line="300" w:lineRule="exact"/>
        <w:rPr>
          <w:rFonts w:ascii="Arial" w:hAnsi="Arial"/>
          <w:color w:val="auto"/>
        </w:rPr>
      </w:pPr>
    </w:p>
    <w:p w14:paraId="0856401F">
      <w:pPr>
        <w:spacing w:line="300" w:lineRule="exact"/>
        <w:rPr>
          <w:rFonts w:ascii="Arial" w:hAnsi="Arial"/>
          <w:color w:val="auto"/>
        </w:rPr>
      </w:pPr>
    </w:p>
    <w:p w14:paraId="6FE6ABC4">
      <w:pPr>
        <w:spacing w:line="300" w:lineRule="exact"/>
        <w:rPr>
          <w:rFonts w:ascii="Arial" w:hAnsi="Arial"/>
          <w:color w:val="auto"/>
        </w:rPr>
      </w:pPr>
    </w:p>
    <w:p w14:paraId="7F587B7B">
      <w:pPr>
        <w:spacing w:line="300" w:lineRule="exact"/>
        <w:rPr>
          <w:rFonts w:ascii="Arial" w:hAnsi="Arial"/>
          <w:color w:val="auto"/>
        </w:rPr>
      </w:pPr>
    </w:p>
    <w:p w14:paraId="00861280">
      <w:pPr>
        <w:spacing w:line="300" w:lineRule="exact"/>
        <w:rPr>
          <w:rFonts w:ascii="Arial" w:hAnsi="Arial"/>
          <w:color w:val="auto"/>
        </w:rPr>
      </w:pPr>
    </w:p>
    <w:p w14:paraId="328072DF">
      <w:pPr>
        <w:spacing w:line="300" w:lineRule="exact"/>
        <w:rPr>
          <w:rFonts w:ascii="Arial" w:hAnsi="Arial"/>
          <w:color w:val="auto"/>
        </w:rPr>
      </w:pPr>
    </w:p>
    <w:p w14:paraId="04C39B99">
      <w:pPr>
        <w:spacing w:line="300" w:lineRule="exact"/>
        <w:rPr>
          <w:rFonts w:ascii="Arial" w:hAnsi="Arial"/>
          <w:color w:val="auto"/>
        </w:rPr>
      </w:pPr>
    </w:p>
    <w:p w14:paraId="5F34FF9B">
      <w:pPr>
        <w:spacing w:line="300" w:lineRule="exact"/>
        <w:rPr>
          <w:rFonts w:ascii="Arial" w:hAnsi="Arial"/>
          <w:color w:val="auto"/>
        </w:rPr>
      </w:pPr>
    </w:p>
    <w:p w14:paraId="0F3EB64A">
      <w:pPr>
        <w:spacing w:line="300" w:lineRule="exact"/>
        <w:rPr>
          <w:rFonts w:ascii="Arial" w:hAnsi="Arial"/>
          <w:color w:val="auto"/>
        </w:rPr>
      </w:pPr>
    </w:p>
    <w:p w14:paraId="73E3EFEC">
      <w:pPr>
        <w:spacing w:line="300" w:lineRule="exact"/>
        <w:rPr>
          <w:rFonts w:ascii="Arial" w:hAnsi="Arial"/>
          <w:color w:val="auto"/>
        </w:rPr>
      </w:pPr>
    </w:p>
    <w:p w14:paraId="0A783609">
      <w:pPr>
        <w:spacing w:line="300" w:lineRule="exact"/>
        <w:rPr>
          <w:rFonts w:ascii="Arial" w:hAnsi="Arial"/>
          <w:color w:val="auto"/>
        </w:rPr>
      </w:pPr>
    </w:p>
    <w:p w14:paraId="40BDB024">
      <w:pPr>
        <w:spacing w:line="300" w:lineRule="exact"/>
        <w:rPr>
          <w:rFonts w:ascii="Arial" w:hAnsi="Arial"/>
          <w:color w:val="auto"/>
        </w:rPr>
      </w:pPr>
    </w:p>
    <w:p w14:paraId="481B29BF">
      <w:pPr>
        <w:numPr>
          <w:ilvl w:val="0"/>
          <w:numId w:val="4"/>
        </w:numPr>
        <w:spacing w:line="300" w:lineRule="exact"/>
        <w:ind w:right="-93"/>
        <w:jc w:val="both"/>
        <w:outlineLvl w:val="0"/>
        <w:rPr>
          <w:rFonts w:ascii="Arial" w:hAnsi="Arial" w:eastAsia="方正黑体简体" w:cs="Arial"/>
          <w:b/>
          <w:bCs/>
          <w:color w:val="auto"/>
          <w:sz w:val="21"/>
          <w:szCs w:val="21"/>
        </w:rPr>
      </w:pPr>
      <w:r>
        <w:rPr>
          <w:rFonts w:hint="eastAsia" w:ascii="Arial" w:hAnsi="Arial" w:eastAsia="方正黑体简体" w:cs="Arial"/>
          <w:b/>
          <w:bCs/>
          <w:color w:val="auto"/>
          <w:sz w:val="21"/>
          <w:szCs w:val="21"/>
        </w:rPr>
        <w:t xml:space="preserve">估价项目名称： </w:t>
      </w:r>
    </w:p>
    <w:p w14:paraId="551D67F7">
      <w:pPr>
        <w:spacing w:line="300" w:lineRule="exact"/>
        <w:ind w:left="360"/>
        <w:jc w:val="both"/>
        <w:rPr>
          <w:rFonts w:ascii="Arial" w:hAnsi="Arial" w:eastAsia="方正黑体简体" w:cs="Arial"/>
          <w:color w:val="auto"/>
          <w:sz w:val="21"/>
          <w:szCs w:val="21"/>
        </w:rPr>
      </w:pPr>
      <w:r>
        <w:rPr>
          <w:rFonts w:hint="eastAsia" w:ascii="Arial" w:hAnsi="Arial" w:eastAsia="方正黑体简体" w:cs="Arial"/>
          <w:color w:val="auto"/>
          <w:sz w:val="21"/>
          <w:szCs w:val="21"/>
        </w:rPr>
        <w:t>北京市大兴区采育数字时尚小镇（育新花园）项目同地段、同品质市场租赁住房租金评估</w:t>
      </w:r>
    </w:p>
    <w:p w14:paraId="642A57EE">
      <w:pPr>
        <w:spacing w:line="300" w:lineRule="exact"/>
        <w:rPr>
          <w:rFonts w:ascii="Arial" w:hAnsi="Arial" w:eastAsia="方正黑体简体" w:cs="Arial"/>
          <w:b/>
          <w:bCs/>
          <w:color w:val="auto"/>
          <w:sz w:val="21"/>
          <w:szCs w:val="21"/>
        </w:rPr>
      </w:pPr>
    </w:p>
    <w:p w14:paraId="477C2033">
      <w:pPr>
        <w:numPr>
          <w:ilvl w:val="0"/>
          <w:numId w:val="4"/>
        </w:numPr>
        <w:spacing w:line="300" w:lineRule="exact"/>
        <w:jc w:val="both"/>
        <w:outlineLvl w:val="0"/>
        <w:rPr>
          <w:rFonts w:ascii="Arial" w:hAnsi="Arial" w:eastAsia="方正黑体简体" w:cs="Arial"/>
          <w:b/>
          <w:color w:val="auto"/>
          <w:sz w:val="21"/>
          <w:szCs w:val="21"/>
        </w:rPr>
      </w:pPr>
      <w:r>
        <w:rPr>
          <w:rFonts w:hint="eastAsia" w:ascii="Arial" w:hAnsi="Arial" w:eastAsia="方正黑体简体" w:cs="Arial"/>
          <w:b/>
          <w:color w:val="auto"/>
          <w:sz w:val="21"/>
          <w:szCs w:val="21"/>
        </w:rPr>
        <w:t>估价委托人：</w:t>
      </w:r>
    </w:p>
    <w:p w14:paraId="7FEC1D17">
      <w:pPr>
        <w:spacing w:line="300" w:lineRule="exact"/>
        <w:ind w:left="360"/>
        <w:jc w:val="both"/>
        <w:rPr>
          <w:rFonts w:ascii="Arial" w:hAnsi="Arial" w:eastAsia="方正黑体简体" w:cs="Arial"/>
          <w:color w:val="auto"/>
          <w:sz w:val="21"/>
          <w:szCs w:val="21"/>
        </w:rPr>
      </w:pPr>
      <w:r>
        <w:rPr>
          <w:rFonts w:hint="eastAsia" w:ascii="Arial" w:hAnsi="Arial" w:eastAsia="方正黑体简体" w:cs="Arial"/>
          <w:color w:val="auto"/>
          <w:sz w:val="21"/>
          <w:szCs w:val="21"/>
        </w:rPr>
        <w:t>北京市大兴区保障性住房建设投资有限公司</w:t>
      </w:r>
    </w:p>
    <w:p w14:paraId="2024F005">
      <w:pPr>
        <w:spacing w:line="300" w:lineRule="exact"/>
        <w:ind w:left="360"/>
        <w:jc w:val="both"/>
        <w:rPr>
          <w:rFonts w:ascii="Arial" w:hAnsi="Arial" w:eastAsia="方正黑体简体" w:cs="Arial"/>
          <w:color w:val="auto"/>
          <w:sz w:val="21"/>
          <w:szCs w:val="21"/>
        </w:rPr>
      </w:pPr>
    </w:p>
    <w:p w14:paraId="4418C29D">
      <w:pPr>
        <w:numPr>
          <w:ilvl w:val="0"/>
          <w:numId w:val="4"/>
        </w:numPr>
        <w:spacing w:line="300" w:lineRule="exact"/>
        <w:jc w:val="both"/>
        <w:outlineLvl w:val="0"/>
        <w:rPr>
          <w:rFonts w:ascii="Arial" w:hAnsi="Arial" w:eastAsia="方正黑体简体" w:cs="Arial"/>
          <w:b/>
          <w:color w:val="auto"/>
          <w:sz w:val="21"/>
          <w:szCs w:val="21"/>
        </w:rPr>
      </w:pPr>
      <w:r>
        <w:rPr>
          <w:rFonts w:hint="eastAsia" w:ascii="Arial" w:hAnsi="Arial" w:eastAsia="方正黑体简体" w:cs="Arial"/>
          <w:b/>
          <w:color w:val="auto"/>
          <w:sz w:val="21"/>
          <w:szCs w:val="21"/>
        </w:rPr>
        <w:t>房地产估价机构：</w:t>
      </w:r>
    </w:p>
    <w:p w14:paraId="04EECFDD">
      <w:pPr>
        <w:spacing w:line="300" w:lineRule="exact"/>
        <w:ind w:left="360"/>
        <w:jc w:val="both"/>
        <w:rPr>
          <w:rFonts w:ascii="Arial" w:hAnsi="Arial" w:eastAsia="方正黑体简体" w:cs="Arial"/>
          <w:color w:val="auto"/>
          <w:sz w:val="21"/>
          <w:szCs w:val="21"/>
        </w:rPr>
      </w:pPr>
      <w:r>
        <w:rPr>
          <w:rFonts w:hint="eastAsia" w:ascii="Arial" w:hAnsi="Arial" w:eastAsia="方正黑体简体" w:cs="Arial"/>
          <w:color w:val="auto"/>
          <w:sz w:val="21"/>
          <w:szCs w:val="21"/>
        </w:rPr>
        <w:t>北京康正宏基房地产评估有限公司</w:t>
      </w:r>
    </w:p>
    <w:p w14:paraId="58A9080E">
      <w:pPr>
        <w:spacing w:line="300" w:lineRule="exact"/>
        <w:jc w:val="both"/>
        <w:rPr>
          <w:rFonts w:ascii="Arial" w:hAnsi="Arial" w:eastAsia="方正黑体简体" w:cs="Arial"/>
          <w:b/>
          <w:color w:val="auto"/>
          <w:sz w:val="21"/>
          <w:szCs w:val="21"/>
        </w:rPr>
      </w:pPr>
    </w:p>
    <w:p w14:paraId="67A6F8D2">
      <w:pPr>
        <w:numPr>
          <w:ilvl w:val="0"/>
          <w:numId w:val="4"/>
        </w:numPr>
        <w:spacing w:line="300" w:lineRule="exact"/>
        <w:jc w:val="both"/>
        <w:outlineLvl w:val="0"/>
        <w:rPr>
          <w:rFonts w:ascii="Arial" w:hAnsi="Arial" w:eastAsia="方正黑体简体" w:cs="Arial"/>
          <w:b/>
          <w:color w:val="auto"/>
          <w:sz w:val="21"/>
          <w:szCs w:val="21"/>
        </w:rPr>
      </w:pPr>
      <w:r>
        <w:rPr>
          <w:rFonts w:hint="eastAsia" w:ascii="Arial" w:hAnsi="Arial" w:eastAsia="方正黑体简体" w:cs="Arial"/>
          <w:b/>
          <w:color w:val="auto"/>
          <w:sz w:val="21"/>
          <w:szCs w:val="21"/>
        </w:rPr>
        <w:t>注册房地产估价师：</w:t>
      </w:r>
    </w:p>
    <w:p w14:paraId="0BA4742C">
      <w:pPr>
        <w:spacing w:line="300" w:lineRule="exact"/>
        <w:ind w:left="360"/>
        <w:jc w:val="both"/>
        <w:rPr>
          <w:rFonts w:ascii="Arial" w:hAnsi="Arial" w:eastAsia="方正黑体简体" w:cs="Arial"/>
          <w:color w:val="auto"/>
          <w:sz w:val="21"/>
          <w:szCs w:val="21"/>
        </w:rPr>
      </w:pPr>
      <w:bookmarkStart w:id="0" w:name="_Hlk124349677"/>
      <w:r>
        <w:rPr>
          <w:rFonts w:hint="eastAsia" w:ascii="Arial" w:hAnsi="Arial" w:eastAsia="方正黑体简体"/>
          <w:color w:val="auto"/>
          <w:sz w:val="21"/>
          <w:szCs w:val="21"/>
        </w:rPr>
        <w:t>常  畅（注册号：1120250061）</w:t>
      </w:r>
      <w:r>
        <w:rPr>
          <w:rFonts w:ascii="Arial" w:hAnsi="Arial" w:eastAsia="方正黑体简体"/>
          <w:color w:val="auto"/>
          <w:sz w:val="21"/>
          <w:szCs w:val="21"/>
        </w:rPr>
        <w:t xml:space="preserve">  </w:t>
      </w:r>
      <w:r>
        <w:rPr>
          <w:rFonts w:hint="eastAsia" w:ascii="Arial" w:hAnsi="Arial" w:eastAsia="方正黑体简体"/>
          <w:color w:val="auto"/>
          <w:sz w:val="21"/>
          <w:szCs w:val="21"/>
        </w:rPr>
        <w:t>许皓源</w:t>
      </w:r>
      <w:r>
        <w:rPr>
          <w:rFonts w:hint="eastAsia" w:ascii="Arial" w:hAnsi="Arial" w:eastAsia="方正黑体简体" w:cs="Arial"/>
          <w:color w:val="auto"/>
          <w:sz w:val="21"/>
          <w:szCs w:val="21"/>
        </w:rPr>
        <w:t>（注册号：</w:t>
      </w:r>
      <w:r>
        <w:rPr>
          <w:rFonts w:hint="eastAsia" w:ascii="Arial" w:hAnsi="Arial" w:eastAsia="方正黑体简体"/>
          <w:color w:val="auto"/>
          <w:sz w:val="21"/>
          <w:szCs w:val="21"/>
        </w:rPr>
        <w:t>1119980019</w:t>
      </w:r>
      <w:r>
        <w:rPr>
          <w:rFonts w:hint="eastAsia" w:ascii="Arial" w:hAnsi="Arial" w:eastAsia="方正黑体简体" w:cs="Arial"/>
          <w:color w:val="auto"/>
          <w:sz w:val="21"/>
          <w:szCs w:val="21"/>
        </w:rPr>
        <w:t>）</w:t>
      </w:r>
      <w:bookmarkEnd w:id="0"/>
    </w:p>
    <w:p w14:paraId="3F097455">
      <w:pPr>
        <w:spacing w:line="300" w:lineRule="exact"/>
        <w:jc w:val="both"/>
        <w:rPr>
          <w:rFonts w:ascii="Arial" w:hAnsi="Arial" w:eastAsia="方正黑体简体" w:cs="Arial"/>
          <w:b/>
          <w:color w:val="auto"/>
          <w:sz w:val="21"/>
          <w:szCs w:val="21"/>
        </w:rPr>
      </w:pPr>
    </w:p>
    <w:p w14:paraId="68C0AB21">
      <w:pPr>
        <w:numPr>
          <w:ilvl w:val="0"/>
          <w:numId w:val="4"/>
        </w:numPr>
        <w:spacing w:line="300" w:lineRule="exact"/>
        <w:jc w:val="both"/>
        <w:outlineLvl w:val="0"/>
        <w:rPr>
          <w:rFonts w:ascii="Arial" w:hAnsi="Arial" w:eastAsia="方正黑体简体" w:cs="Arial"/>
          <w:b/>
          <w:color w:val="auto"/>
          <w:sz w:val="21"/>
          <w:szCs w:val="21"/>
        </w:rPr>
      </w:pPr>
      <w:r>
        <w:rPr>
          <w:rFonts w:ascii="Arial" w:hAnsi="Arial" w:eastAsia="方正黑体简体" w:cs="Arial"/>
          <w:b/>
          <w:color w:val="auto"/>
          <w:sz w:val="21"/>
          <w:szCs w:val="21"/>
        </w:rPr>
        <w:t>估价报告出具日期：</w:t>
      </w:r>
    </w:p>
    <w:p w14:paraId="4272116A">
      <w:pPr>
        <w:spacing w:line="300" w:lineRule="exact"/>
        <w:ind w:left="360"/>
        <w:jc w:val="both"/>
        <w:rPr>
          <w:rFonts w:ascii="Arial" w:hAnsi="Arial" w:eastAsia="方正黑体简体" w:cs="Arial"/>
          <w:color w:val="auto"/>
          <w:sz w:val="21"/>
          <w:szCs w:val="21"/>
        </w:rPr>
      </w:pPr>
      <w:r>
        <w:rPr>
          <w:rFonts w:ascii="Arial" w:hAnsi="Arial" w:eastAsia="方正黑体简体" w:cs="Arial"/>
          <w:color w:val="auto"/>
          <w:sz w:val="21"/>
          <w:szCs w:val="21"/>
        </w:rPr>
        <w:t>202</w:t>
      </w:r>
      <w:r>
        <w:rPr>
          <w:rFonts w:hint="eastAsia" w:ascii="Arial" w:hAnsi="Arial" w:eastAsia="方正黑体简体" w:cs="Arial"/>
          <w:color w:val="auto"/>
          <w:sz w:val="21"/>
          <w:szCs w:val="21"/>
        </w:rPr>
        <w:t>6</w:t>
      </w:r>
      <w:r>
        <w:rPr>
          <w:rFonts w:ascii="Arial" w:hAnsi="Arial" w:eastAsia="方正黑体简体" w:cs="Arial"/>
          <w:color w:val="auto"/>
          <w:sz w:val="21"/>
          <w:szCs w:val="21"/>
        </w:rPr>
        <w:t>年</w:t>
      </w:r>
      <w:r>
        <w:rPr>
          <w:rFonts w:hint="eastAsia" w:ascii="Arial" w:hAnsi="Arial" w:eastAsia="方正黑体简体" w:cs="Arial"/>
          <w:color w:val="auto"/>
          <w:sz w:val="21"/>
          <w:szCs w:val="21"/>
        </w:rPr>
        <w:t>3</w:t>
      </w:r>
      <w:r>
        <w:rPr>
          <w:rFonts w:ascii="Arial" w:hAnsi="Arial" w:eastAsia="方正黑体简体" w:cs="Arial"/>
          <w:color w:val="auto"/>
          <w:sz w:val="21"/>
          <w:szCs w:val="21"/>
        </w:rPr>
        <w:t>月</w:t>
      </w:r>
      <w:r>
        <w:rPr>
          <w:rFonts w:hint="eastAsia" w:ascii="Arial" w:hAnsi="Arial" w:eastAsia="方正黑体简体" w:cs="Arial"/>
          <w:color w:val="auto"/>
          <w:sz w:val="21"/>
          <w:szCs w:val="21"/>
        </w:rPr>
        <w:t>6</w:t>
      </w:r>
      <w:r>
        <w:rPr>
          <w:rFonts w:ascii="Arial" w:hAnsi="Arial" w:eastAsia="方正黑体简体" w:cs="Arial"/>
          <w:color w:val="auto"/>
          <w:sz w:val="21"/>
          <w:szCs w:val="21"/>
        </w:rPr>
        <w:t>日</w:t>
      </w:r>
    </w:p>
    <w:p w14:paraId="2D12F616">
      <w:pPr>
        <w:spacing w:line="300" w:lineRule="exact"/>
        <w:jc w:val="both"/>
        <w:rPr>
          <w:rFonts w:ascii="Arial" w:hAnsi="Arial" w:eastAsia="方正黑体简体" w:cs="Arial"/>
          <w:b/>
          <w:color w:val="auto"/>
          <w:sz w:val="21"/>
          <w:szCs w:val="21"/>
        </w:rPr>
      </w:pPr>
    </w:p>
    <w:p w14:paraId="4B777705">
      <w:pPr>
        <w:numPr>
          <w:ilvl w:val="0"/>
          <w:numId w:val="4"/>
        </w:numPr>
        <w:spacing w:line="300" w:lineRule="exact"/>
        <w:jc w:val="both"/>
        <w:outlineLvl w:val="0"/>
        <w:rPr>
          <w:rFonts w:ascii="Arial" w:hAnsi="Arial" w:eastAsia="方正黑体简体" w:cs="Arial"/>
          <w:color w:val="auto"/>
          <w:sz w:val="21"/>
          <w:szCs w:val="21"/>
        </w:rPr>
      </w:pPr>
      <w:r>
        <w:rPr>
          <w:rFonts w:hint="eastAsia" w:ascii="Arial" w:hAnsi="Arial" w:eastAsia="方正黑体简体" w:cs="Arial"/>
          <w:b/>
          <w:color w:val="auto"/>
          <w:sz w:val="21"/>
          <w:szCs w:val="21"/>
        </w:rPr>
        <w:t>估价报告编号：</w:t>
      </w:r>
    </w:p>
    <w:p w14:paraId="411DCA2A">
      <w:pPr>
        <w:spacing w:line="300" w:lineRule="exact"/>
        <w:ind w:left="360"/>
        <w:jc w:val="both"/>
        <w:rPr>
          <w:rFonts w:ascii="Arial" w:hAnsi="Arial" w:eastAsia="方正黑体简体" w:cs="Arial"/>
          <w:color w:val="auto"/>
          <w:sz w:val="21"/>
          <w:szCs w:val="21"/>
        </w:rPr>
        <w:sectPr>
          <w:headerReference r:id="rId6" w:type="first"/>
          <w:footerReference r:id="rId9" w:type="first"/>
          <w:headerReference r:id="rId5" w:type="default"/>
          <w:footerReference r:id="rId7" w:type="default"/>
          <w:footerReference r:id="rId8"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color w:val="auto"/>
          <w:sz w:val="21"/>
          <w:szCs w:val="21"/>
        </w:rPr>
        <w:t>康正评字2025-1-0814-F01ZLGJ6号</w:t>
      </w:r>
    </w:p>
    <w:p w14:paraId="2EE194CF">
      <w:pPr>
        <w:pStyle w:val="2"/>
        <w:spacing w:line="480" w:lineRule="auto"/>
        <w:jc w:val="center"/>
        <w:rPr>
          <w:rFonts w:eastAsia="方正黑体简体"/>
          <w:b w:val="0"/>
          <w:color w:val="auto"/>
          <w:kern w:val="2"/>
          <w:sz w:val="32"/>
          <w:szCs w:val="32"/>
        </w:rPr>
      </w:pPr>
      <w:bookmarkStart w:id="1" w:name="_Toc477252437"/>
      <w:bookmarkStart w:id="2" w:name="_Toc379795040"/>
      <w:bookmarkStart w:id="3" w:name="_Toc155267082"/>
      <w:r>
        <w:rPr>
          <w:rFonts w:eastAsia="方正黑体简体"/>
          <w:b w:val="0"/>
          <w:color w:val="auto"/>
          <w:kern w:val="2"/>
          <w:sz w:val="32"/>
          <w:szCs w:val="32"/>
        </w:rPr>
        <w:t>致估价委托人函</w:t>
      </w:r>
      <w:bookmarkEnd w:id="1"/>
      <w:bookmarkEnd w:id="2"/>
      <w:bookmarkEnd w:id="3"/>
    </w:p>
    <w:p w14:paraId="1F16A417">
      <w:pPr>
        <w:overflowPunct w:val="0"/>
        <w:spacing w:before="120" w:beforeLines="50" w:line="480" w:lineRule="auto"/>
        <w:jc w:val="both"/>
        <w:textAlignment w:val="auto"/>
        <w:rPr>
          <w:rFonts w:ascii="Arial" w:hAnsi="Arial" w:cs="Arial"/>
          <w:b/>
          <w:bCs/>
          <w:color w:val="auto"/>
          <w:sz w:val="21"/>
          <w:szCs w:val="21"/>
        </w:rPr>
      </w:pPr>
      <w:r>
        <w:rPr>
          <w:rFonts w:hint="eastAsia" w:ascii="Arial" w:hAnsi="Arial" w:cs="Arial"/>
          <w:b/>
          <w:bCs/>
          <w:color w:val="auto"/>
          <w:sz w:val="21"/>
          <w:szCs w:val="21"/>
        </w:rPr>
        <w:t>北京市大兴区保障性住房建设投资有限公司</w:t>
      </w:r>
      <w:r>
        <w:rPr>
          <w:rFonts w:ascii="Arial" w:hAnsi="Arial" w:cs="Arial"/>
          <w:b/>
          <w:bCs/>
          <w:color w:val="auto"/>
          <w:sz w:val="21"/>
          <w:szCs w:val="21"/>
        </w:rPr>
        <w:t>：</w:t>
      </w:r>
    </w:p>
    <w:p w14:paraId="42A1C67F">
      <w:pPr>
        <w:overflowPunct w:val="0"/>
        <w:spacing w:line="480" w:lineRule="auto"/>
        <w:ind w:firstLine="420" w:firstLineChars="200"/>
        <w:jc w:val="both"/>
        <w:textAlignment w:val="auto"/>
        <w:rPr>
          <w:rFonts w:ascii="Arial" w:hAnsi="Arial" w:cs="Arial"/>
          <w:color w:val="auto"/>
          <w:kern w:val="2"/>
          <w:sz w:val="21"/>
          <w:szCs w:val="21"/>
        </w:rPr>
      </w:pPr>
      <w:r>
        <w:rPr>
          <w:rFonts w:ascii="Arial" w:hAnsi="Arial" w:cs="Arial"/>
          <w:color w:val="auto"/>
          <w:kern w:val="2"/>
          <w:sz w:val="21"/>
          <w:szCs w:val="21"/>
        </w:rPr>
        <w:t>受贵单位委托，我公司对</w:t>
      </w:r>
      <w:r>
        <w:rPr>
          <w:rFonts w:hint="eastAsia" w:ascii="Arial" w:hAnsi="Arial" w:cs="Arial"/>
          <w:color w:val="auto"/>
          <w:kern w:val="2"/>
          <w:sz w:val="21"/>
          <w:szCs w:val="21"/>
        </w:rPr>
        <w:t>北京市大兴区采育数字时尚小镇（育新花园）项目同地段、同品质市场租赁住房租金进行了评估。</w:t>
      </w:r>
    </w:p>
    <w:p w14:paraId="5348BC32">
      <w:pPr>
        <w:overflowPunct w:val="0"/>
        <w:spacing w:line="480" w:lineRule="auto"/>
        <w:ind w:firstLine="422" w:firstLineChars="200"/>
        <w:jc w:val="both"/>
        <w:textAlignment w:val="auto"/>
        <w:rPr>
          <w:rFonts w:ascii="Arial" w:hAnsi="Arial" w:cs="Arial"/>
          <w:color w:val="auto"/>
          <w:sz w:val="21"/>
          <w:szCs w:val="21"/>
        </w:rPr>
      </w:pPr>
      <w:r>
        <w:rPr>
          <w:rFonts w:ascii="Arial" w:hAnsi="Arial" w:cs="Arial"/>
          <w:b/>
          <w:bCs/>
          <w:color w:val="auto"/>
          <w:sz w:val="21"/>
          <w:szCs w:val="21"/>
        </w:rPr>
        <w:t>估价目的：</w:t>
      </w:r>
      <w:r>
        <w:rPr>
          <w:rFonts w:hint="eastAsia" w:ascii="Arial" w:hAnsi="Arial"/>
          <w:color w:val="auto"/>
          <w:kern w:val="2"/>
          <w:sz w:val="21"/>
        </w:rPr>
        <w:t>为估价委托人了解估价对象房地产市场租金水平提供参考依据</w:t>
      </w:r>
      <w:r>
        <w:rPr>
          <w:rFonts w:ascii="Arial" w:hAnsi="Arial" w:cs="Arial"/>
          <w:color w:val="auto"/>
          <w:sz w:val="21"/>
          <w:szCs w:val="21"/>
        </w:rPr>
        <w:t>。</w:t>
      </w:r>
    </w:p>
    <w:p w14:paraId="28689DA3">
      <w:pPr>
        <w:overflowPunct w:val="0"/>
        <w:spacing w:line="480" w:lineRule="auto"/>
        <w:ind w:firstLine="422" w:firstLineChars="200"/>
        <w:jc w:val="both"/>
        <w:textAlignment w:val="auto"/>
        <w:rPr>
          <w:rFonts w:ascii="Arial" w:hAnsi="Arial" w:cs="Arial"/>
          <w:color w:val="auto"/>
          <w:sz w:val="21"/>
          <w:szCs w:val="21"/>
        </w:rPr>
      </w:pPr>
      <w:r>
        <w:rPr>
          <w:rFonts w:ascii="Arial" w:hAnsi="Arial" w:cs="Arial"/>
          <w:b/>
          <w:bCs/>
          <w:color w:val="auto"/>
          <w:sz w:val="21"/>
          <w:szCs w:val="21"/>
        </w:rPr>
        <w:t>估价对象：</w:t>
      </w:r>
      <w:r>
        <w:rPr>
          <w:rFonts w:hint="eastAsia" w:ascii="Arial" w:hAnsi="Arial" w:cs="Arial"/>
          <w:color w:val="auto"/>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w:t>
      </w:r>
      <w:r>
        <w:rPr>
          <w:rFonts w:hint="eastAsia" w:ascii="Arial" w:hAnsi="Arial" w:cs="Arial"/>
          <w:color w:val="auto"/>
          <w:kern w:val="2"/>
          <w:sz w:val="21"/>
          <w:szCs w:val="21"/>
        </w:rPr>
        <w:t>》</w:t>
      </w:r>
      <w:r>
        <w:rPr>
          <w:rFonts w:hint="eastAsia" w:ascii="Arial" w:hAnsi="Arial" w:cs="Arial"/>
          <w:color w:val="auto"/>
          <w:sz w:val="21"/>
          <w:szCs w:val="21"/>
        </w:rPr>
        <w:t>，估价对象为</w:t>
      </w:r>
      <w:r>
        <w:rPr>
          <w:rFonts w:hint="eastAsia" w:ascii="Arial" w:hAnsi="Arial" w:cs="Arial"/>
          <w:color w:val="auto"/>
          <w:kern w:val="2"/>
          <w:sz w:val="21"/>
          <w:szCs w:val="21"/>
        </w:rPr>
        <w:t>北京市大兴区采育数字时尚小镇（育新花园）共计1324套住宅用房，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现由北京市大兴区保障性住房建设投资有限公司负责房源出租及运营管理。</w:t>
      </w:r>
      <w:r>
        <w:rPr>
          <w:rFonts w:hint="eastAsia" w:ascii="Arial" w:hAnsi="Arial" w:cs="Arial"/>
          <w:color w:val="auto"/>
          <w:sz w:val="21"/>
          <w:szCs w:val="21"/>
        </w:rPr>
        <w:t>估价对象具体情况如下：</w:t>
      </w:r>
    </w:p>
    <w:p w14:paraId="50743707">
      <w:pPr>
        <w:overflowPunct w:val="0"/>
        <w:spacing w:line="240" w:lineRule="auto"/>
        <w:jc w:val="center"/>
        <w:textAlignment w:val="auto"/>
        <w:rPr>
          <w:rFonts w:ascii="Arial" w:hAnsi="Arial" w:cs="Arial"/>
          <w:b/>
          <w:bCs/>
          <w:color w:val="auto"/>
          <w:sz w:val="21"/>
          <w:szCs w:val="21"/>
        </w:rPr>
      </w:pPr>
      <w:r>
        <w:rPr>
          <w:rFonts w:hint="eastAsia" w:ascii="Arial" w:hAnsi="Arial" w:cs="Arial"/>
          <w:b/>
          <w:bCs/>
          <w:color w:val="auto"/>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4DF28285">
        <w:tblPrEx>
          <w:tblCellMar>
            <w:top w:w="0" w:type="dxa"/>
            <w:left w:w="108" w:type="dxa"/>
            <w:bottom w:w="0" w:type="dxa"/>
            <w:right w:w="108" w:type="dxa"/>
          </w:tblCellMar>
        </w:tblPrEx>
        <w:trPr>
          <w:trHeight w:val="276" w:hRule="atLeast"/>
          <w:tblHeader/>
        </w:trPr>
        <w:tc>
          <w:tcPr>
            <w:tcW w:w="779" w:type="dxa"/>
            <w:tcBorders>
              <w:top w:val="single" w:color="auto" w:sz="4" w:space="0"/>
              <w:left w:val="single" w:color="auto" w:sz="4" w:space="0"/>
              <w:bottom w:val="single" w:color="auto" w:sz="4" w:space="0"/>
              <w:right w:val="single" w:color="auto" w:sz="4" w:space="0"/>
            </w:tcBorders>
            <w:noWrap/>
            <w:vAlign w:val="center"/>
          </w:tcPr>
          <w:p w14:paraId="156FE5F5">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00D59664">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1CF71827">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4E664EE2">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45ED1AB7">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3426C223">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总</w:t>
            </w:r>
            <w:r>
              <w:rPr>
                <w:rFonts w:hint="eastAsia" w:ascii="华文细黑" w:hAnsi="华文细黑" w:eastAsia="华文细黑" w:cs="Arial"/>
                <w:b/>
                <w:bCs/>
                <w:color w:val="auto"/>
                <w:sz w:val="18"/>
                <w:szCs w:val="18"/>
              </w:rPr>
              <w:t>建筑</w:t>
            </w:r>
            <w:r>
              <w:rPr>
                <w:rFonts w:ascii="华文细黑" w:hAnsi="华文细黑" w:eastAsia="华文细黑" w:cs="Arial"/>
                <w:b/>
                <w:bCs/>
                <w:color w:val="auto"/>
                <w:sz w:val="18"/>
                <w:szCs w:val="18"/>
              </w:rPr>
              <w:t>面积（平方米）</w:t>
            </w:r>
          </w:p>
        </w:tc>
      </w:tr>
      <w:tr w14:paraId="66964EE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6B85FEEE">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一居室</w:t>
            </w:r>
          </w:p>
        </w:tc>
        <w:tc>
          <w:tcPr>
            <w:tcW w:w="1332" w:type="dxa"/>
            <w:tcBorders>
              <w:top w:val="nil"/>
              <w:left w:val="nil"/>
              <w:bottom w:val="single" w:color="auto" w:sz="4" w:space="0"/>
              <w:right w:val="single" w:color="auto" w:sz="4" w:space="0"/>
            </w:tcBorders>
            <w:noWrap/>
            <w:vAlign w:val="center"/>
          </w:tcPr>
          <w:p w14:paraId="0E91EFC4">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52.63-69.91</w:t>
            </w:r>
          </w:p>
        </w:tc>
        <w:tc>
          <w:tcPr>
            <w:tcW w:w="4482" w:type="dxa"/>
            <w:tcBorders>
              <w:top w:val="nil"/>
              <w:left w:val="nil"/>
              <w:bottom w:val="single" w:color="auto" w:sz="4" w:space="0"/>
              <w:right w:val="single" w:color="auto" w:sz="4" w:space="0"/>
            </w:tcBorders>
            <w:noWrap/>
            <w:vAlign w:val="center"/>
          </w:tcPr>
          <w:p w14:paraId="0FA7FD0F">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3AA3ED89">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3DDC6661">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378</w:t>
            </w:r>
          </w:p>
        </w:tc>
        <w:tc>
          <w:tcPr>
            <w:tcW w:w="1226" w:type="dxa"/>
            <w:tcBorders>
              <w:top w:val="nil"/>
              <w:left w:val="nil"/>
              <w:bottom w:val="single" w:color="auto" w:sz="4" w:space="0"/>
              <w:right w:val="single" w:color="auto" w:sz="4" w:space="0"/>
            </w:tcBorders>
            <w:noWrap/>
            <w:vAlign w:val="center"/>
          </w:tcPr>
          <w:p w14:paraId="4B506743">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25149.84</w:t>
            </w:r>
          </w:p>
        </w:tc>
      </w:tr>
      <w:tr w14:paraId="6F752A7C">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2F5CE9E7">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1A86066E">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22B176B1">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0D2317C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1653FEF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378</w:t>
            </w:r>
          </w:p>
        </w:tc>
        <w:tc>
          <w:tcPr>
            <w:tcW w:w="1226" w:type="dxa"/>
            <w:tcBorders>
              <w:top w:val="nil"/>
              <w:left w:val="nil"/>
              <w:bottom w:val="single" w:color="auto" w:sz="4" w:space="0"/>
              <w:right w:val="single" w:color="auto" w:sz="4" w:space="0"/>
            </w:tcBorders>
            <w:noWrap/>
            <w:vAlign w:val="center"/>
          </w:tcPr>
          <w:p w14:paraId="2F69231F">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color w:val="auto"/>
                <w:sz w:val="18"/>
                <w:szCs w:val="18"/>
              </w:rPr>
              <w:t>25149.84</w:t>
            </w:r>
          </w:p>
        </w:tc>
      </w:tr>
      <w:tr w14:paraId="411B1AAD">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7CEBC929">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两居室</w:t>
            </w:r>
          </w:p>
        </w:tc>
        <w:tc>
          <w:tcPr>
            <w:tcW w:w="1332" w:type="dxa"/>
            <w:tcBorders>
              <w:top w:val="nil"/>
              <w:left w:val="nil"/>
              <w:bottom w:val="single" w:color="auto" w:sz="4" w:space="0"/>
              <w:right w:val="single" w:color="auto" w:sz="4" w:space="0"/>
            </w:tcBorders>
            <w:noWrap/>
            <w:vAlign w:val="center"/>
          </w:tcPr>
          <w:p w14:paraId="7C911C4F">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72.82-88.38</w:t>
            </w:r>
          </w:p>
        </w:tc>
        <w:tc>
          <w:tcPr>
            <w:tcW w:w="4482" w:type="dxa"/>
            <w:tcBorders>
              <w:top w:val="nil"/>
              <w:left w:val="nil"/>
              <w:bottom w:val="single" w:color="auto" w:sz="4" w:space="0"/>
              <w:right w:val="single" w:color="auto" w:sz="4" w:space="0"/>
            </w:tcBorders>
            <w:noWrap/>
            <w:vAlign w:val="center"/>
          </w:tcPr>
          <w:p w14:paraId="65F7EA9F">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72F0D390">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1BF13A8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916</w:t>
            </w:r>
          </w:p>
        </w:tc>
        <w:tc>
          <w:tcPr>
            <w:tcW w:w="1226" w:type="dxa"/>
            <w:tcBorders>
              <w:top w:val="nil"/>
              <w:left w:val="nil"/>
              <w:bottom w:val="single" w:color="auto" w:sz="4" w:space="0"/>
              <w:right w:val="single" w:color="auto" w:sz="4" w:space="0"/>
            </w:tcBorders>
            <w:noWrap/>
            <w:vAlign w:val="center"/>
          </w:tcPr>
          <w:p w14:paraId="105FAA76">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78073.23</w:t>
            </w:r>
          </w:p>
        </w:tc>
      </w:tr>
      <w:tr w14:paraId="027B2D8C">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47DB4653">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4225B212">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73.53</w:t>
            </w:r>
          </w:p>
        </w:tc>
        <w:tc>
          <w:tcPr>
            <w:tcW w:w="4482" w:type="dxa"/>
            <w:tcBorders>
              <w:top w:val="nil"/>
              <w:left w:val="nil"/>
              <w:bottom w:val="single" w:color="auto" w:sz="4" w:space="0"/>
              <w:right w:val="single" w:color="auto" w:sz="4" w:space="0"/>
            </w:tcBorders>
            <w:noWrap/>
            <w:vAlign w:val="center"/>
          </w:tcPr>
          <w:p w14:paraId="3B2D472A">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育林街1号院1、2号楼</w:t>
            </w:r>
          </w:p>
        </w:tc>
        <w:tc>
          <w:tcPr>
            <w:tcW w:w="732" w:type="dxa"/>
            <w:tcBorders>
              <w:top w:val="nil"/>
              <w:left w:val="nil"/>
              <w:bottom w:val="single" w:color="auto" w:sz="4" w:space="0"/>
              <w:right w:val="single" w:color="auto" w:sz="4" w:space="0"/>
            </w:tcBorders>
            <w:noWrap/>
            <w:vAlign w:val="center"/>
          </w:tcPr>
          <w:p w14:paraId="530FDBF1">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北</w:t>
            </w:r>
          </w:p>
        </w:tc>
        <w:tc>
          <w:tcPr>
            <w:tcW w:w="708" w:type="dxa"/>
            <w:tcBorders>
              <w:top w:val="nil"/>
              <w:left w:val="nil"/>
              <w:bottom w:val="single" w:color="auto" w:sz="4" w:space="0"/>
              <w:right w:val="single" w:color="auto" w:sz="4" w:space="0"/>
            </w:tcBorders>
            <w:noWrap/>
            <w:vAlign w:val="center"/>
          </w:tcPr>
          <w:p w14:paraId="2275838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17</w:t>
            </w:r>
          </w:p>
        </w:tc>
        <w:tc>
          <w:tcPr>
            <w:tcW w:w="1226" w:type="dxa"/>
            <w:tcBorders>
              <w:top w:val="nil"/>
              <w:left w:val="nil"/>
              <w:bottom w:val="single" w:color="auto" w:sz="4" w:space="0"/>
              <w:right w:val="single" w:color="auto" w:sz="4" w:space="0"/>
            </w:tcBorders>
            <w:noWrap/>
            <w:vAlign w:val="center"/>
          </w:tcPr>
          <w:p w14:paraId="114440E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1250.01</w:t>
            </w:r>
          </w:p>
        </w:tc>
      </w:tr>
      <w:tr w14:paraId="42268FEC">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4A8F13D9">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6DF94A51">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0FA4F82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46D05A8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422D40D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933</w:t>
            </w:r>
          </w:p>
        </w:tc>
        <w:tc>
          <w:tcPr>
            <w:tcW w:w="1226" w:type="dxa"/>
            <w:tcBorders>
              <w:top w:val="nil"/>
              <w:left w:val="nil"/>
              <w:bottom w:val="single" w:color="auto" w:sz="4" w:space="0"/>
              <w:right w:val="single" w:color="auto" w:sz="4" w:space="0"/>
            </w:tcBorders>
            <w:noWrap/>
            <w:vAlign w:val="center"/>
          </w:tcPr>
          <w:p w14:paraId="5D1D252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79323.24</w:t>
            </w:r>
          </w:p>
        </w:tc>
      </w:tr>
      <w:tr w14:paraId="1CC0B2AC">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5C6C334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三居室</w:t>
            </w:r>
          </w:p>
        </w:tc>
        <w:tc>
          <w:tcPr>
            <w:tcW w:w="1332" w:type="dxa"/>
            <w:tcBorders>
              <w:top w:val="nil"/>
              <w:left w:val="nil"/>
              <w:bottom w:val="single" w:color="auto" w:sz="4" w:space="0"/>
              <w:right w:val="single" w:color="auto" w:sz="4" w:space="0"/>
            </w:tcBorders>
            <w:noWrap/>
            <w:vAlign w:val="center"/>
          </w:tcPr>
          <w:p w14:paraId="3DF78C13">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90.99-129.32</w:t>
            </w:r>
          </w:p>
        </w:tc>
        <w:tc>
          <w:tcPr>
            <w:tcW w:w="4482" w:type="dxa"/>
            <w:tcBorders>
              <w:top w:val="nil"/>
              <w:left w:val="nil"/>
              <w:bottom w:val="single" w:color="auto" w:sz="4" w:space="0"/>
              <w:right w:val="single" w:color="auto" w:sz="4" w:space="0"/>
            </w:tcBorders>
            <w:noWrap/>
            <w:vAlign w:val="center"/>
          </w:tcPr>
          <w:p w14:paraId="5CC57C9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1F4A3FFF">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7E85CC82">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13</w:t>
            </w:r>
          </w:p>
        </w:tc>
        <w:tc>
          <w:tcPr>
            <w:tcW w:w="1226" w:type="dxa"/>
            <w:tcBorders>
              <w:top w:val="nil"/>
              <w:left w:val="nil"/>
              <w:bottom w:val="single" w:color="auto" w:sz="4" w:space="0"/>
              <w:right w:val="single" w:color="auto" w:sz="4" w:space="0"/>
            </w:tcBorders>
            <w:noWrap/>
            <w:vAlign w:val="center"/>
          </w:tcPr>
          <w:p w14:paraId="6E03A43D">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1561.82</w:t>
            </w:r>
          </w:p>
        </w:tc>
      </w:tr>
      <w:tr w14:paraId="74916A2E">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2793235D">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52C0671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3A3F17E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21849DC9">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77A5E994">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w:t>
            </w:r>
          </w:p>
        </w:tc>
        <w:tc>
          <w:tcPr>
            <w:tcW w:w="1226" w:type="dxa"/>
            <w:tcBorders>
              <w:top w:val="nil"/>
              <w:left w:val="nil"/>
              <w:bottom w:val="single" w:color="auto" w:sz="4" w:space="0"/>
              <w:right w:val="single" w:color="auto" w:sz="4" w:space="0"/>
            </w:tcBorders>
            <w:noWrap/>
            <w:vAlign w:val="center"/>
          </w:tcPr>
          <w:p w14:paraId="32FED07F">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1564.82</w:t>
            </w:r>
          </w:p>
        </w:tc>
      </w:tr>
      <w:tr w14:paraId="6578F2B9">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09A362F2">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合计</w:t>
            </w:r>
          </w:p>
        </w:tc>
        <w:tc>
          <w:tcPr>
            <w:tcW w:w="1332" w:type="dxa"/>
            <w:tcBorders>
              <w:top w:val="nil"/>
              <w:left w:val="nil"/>
              <w:bottom w:val="single" w:color="auto" w:sz="4" w:space="0"/>
              <w:right w:val="single" w:color="auto" w:sz="4" w:space="0"/>
            </w:tcBorders>
            <w:noWrap/>
            <w:vAlign w:val="center"/>
          </w:tcPr>
          <w:p w14:paraId="5C1797AF">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w:t>
            </w:r>
          </w:p>
        </w:tc>
        <w:tc>
          <w:tcPr>
            <w:tcW w:w="4482" w:type="dxa"/>
            <w:tcBorders>
              <w:top w:val="nil"/>
              <w:left w:val="nil"/>
              <w:bottom w:val="single" w:color="auto" w:sz="4" w:space="0"/>
              <w:right w:val="single" w:color="auto" w:sz="4" w:space="0"/>
            </w:tcBorders>
            <w:noWrap/>
            <w:vAlign w:val="center"/>
          </w:tcPr>
          <w:p w14:paraId="1022F024">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2763473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26AF839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1324</w:t>
            </w:r>
          </w:p>
        </w:tc>
        <w:tc>
          <w:tcPr>
            <w:tcW w:w="1226" w:type="dxa"/>
            <w:tcBorders>
              <w:top w:val="nil"/>
              <w:left w:val="nil"/>
              <w:bottom w:val="single" w:color="auto" w:sz="4" w:space="0"/>
              <w:right w:val="single" w:color="auto" w:sz="4" w:space="0"/>
            </w:tcBorders>
            <w:noWrap/>
            <w:vAlign w:val="center"/>
          </w:tcPr>
          <w:p w14:paraId="3657E85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106034.90</w:t>
            </w:r>
          </w:p>
        </w:tc>
      </w:tr>
    </w:tbl>
    <w:p w14:paraId="6C0487FC">
      <w:pPr>
        <w:widowControl/>
        <w:adjustRightInd/>
        <w:spacing w:line="240" w:lineRule="auto"/>
        <w:jc w:val="center"/>
        <w:textAlignment w:val="auto"/>
        <w:rPr>
          <w:rFonts w:hint="eastAsia" w:ascii="华文细黑" w:hAnsi="华文细黑" w:eastAsia="华文细黑" w:cs="Arial"/>
          <w:color w:val="auto"/>
          <w:sz w:val="18"/>
          <w:szCs w:val="18"/>
        </w:rPr>
      </w:pPr>
    </w:p>
    <w:p w14:paraId="04E1B427">
      <w:pPr>
        <w:overflowPunct w:val="0"/>
        <w:spacing w:line="480" w:lineRule="auto"/>
        <w:ind w:firstLine="422" w:firstLineChars="200"/>
        <w:jc w:val="both"/>
        <w:textAlignment w:val="auto"/>
        <w:rPr>
          <w:rFonts w:ascii="Arial" w:hAnsi="Arial" w:cs="Arial"/>
          <w:color w:val="auto"/>
          <w:sz w:val="21"/>
          <w:szCs w:val="21"/>
        </w:rPr>
      </w:pPr>
      <w:r>
        <w:rPr>
          <w:rFonts w:ascii="Arial" w:hAnsi="Arial" w:cs="Arial"/>
          <w:b/>
          <w:bCs/>
          <w:color w:val="auto"/>
          <w:sz w:val="21"/>
          <w:szCs w:val="21"/>
        </w:rPr>
        <w:t>价值时点：</w:t>
      </w:r>
      <w:r>
        <w:rPr>
          <w:rFonts w:hint="eastAsia" w:ascii="Arial" w:hAnsi="Arial" w:cs="Arial"/>
          <w:color w:val="auto"/>
          <w:sz w:val="21"/>
          <w:szCs w:val="21"/>
        </w:rPr>
        <w:t>2025年12月26日（依据《估价委托书》确定）</w:t>
      </w:r>
    </w:p>
    <w:p w14:paraId="61C8FB55">
      <w:pPr>
        <w:overflowPunct w:val="0"/>
        <w:spacing w:line="480" w:lineRule="auto"/>
        <w:ind w:firstLine="422" w:firstLineChars="200"/>
        <w:jc w:val="both"/>
        <w:textAlignment w:val="auto"/>
        <w:rPr>
          <w:rFonts w:ascii="Arial" w:hAnsi="Arial" w:cs="Arial"/>
          <w:color w:val="auto"/>
          <w:sz w:val="21"/>
          <w:szCs w:val="21"/>
        </w:rPr>
      </w:pPr>
      <w:r>
        <w:rPr>
          <w:rFonts w:ascii="Arial" w:hAnsi="Arial" w:cs="Arial"/>
          <w:b/>
          <w:bCs/>
          <w:color w:val="auto"/>
          <w:sz w:val="21"/>
          <w:szCs w:val="21"/>
        </w:rPr>
        <w:t>价值类型：</w:t>
      </w:r>
      <w:r>
        <w:rPr>
          <w:rFonts w:hint="eastAsia" w:ascii="Arial" w:hAnsi="Arial" w:cs="Arial"/>
          <w:color w:val="auto"/>
          <w:sz w:val="21"/>
          <w:szCs w:val="21"/>
        </w:rPr>
        <w:t>根据房地产评估的技术规程和本次估价目的，本次估价采用的是市场价值标准。</w:t>
      </w:r>
      <w:bookmarkStart w:id="4" w:name="_Hlk118454962"/>
      <w:r>
        <w:rPr>
          <w:rFonts w:hint="eastAsia" w:ascii="Arial" w:hAnsi="Arial" w:cs="Arial"/>
          <w:color w:val="auto"/>
          <w:sz w:val="21"/>
          <w:szCs w:val="21"/>
        </w:rPr>
        <w:t>市场租赁住房租金是指市场租赁住房于价值时点在公开市场上的平均租金，</w:t>
      </w:r>
      <w:bookmarkEnd w:id="4"/>
      <w:r>
        <w:rPr>
          <w:rFonts w:hint="eastAsia" w:ascii="Arial" w:hAnsi="Arial" w:cs="Arial"/>
          <w:color w:val="auto"/>
          <w:sz w:val="21"/>
          <w:szCs w:val="21"/>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765ECA6F">
      <w:pPr>
        <w:overflowPunct w:val="0"/>
        <w:spacing w:line="480" w:lineRule="auto"/>
        <w:ind w:firstLine="422" w:firstLineChars="200"/>
        <w:jc w:val="both"/>
        <w:textAlignment w:val="auto"/>
        <w:rPr>
          <w:rFonts w:ascii="Arial" w:hAnsi="Arial" w:cs="Arial"/>
          <w:b/>
          <w:bCs/>
          <w:color w:val="auto"/>
          <w:sz w:val="21"/>
          <w:szCs w:val="21"/>
        </w:rPr>
      </w:pPr>
      <w:r>
        <w:rPr>
          <w:rFonts w:ascii="Arial" w:hAnsi="Arial" w:cs="Arial"/>
          <w:b/>
          <w:bCs/>
          <w:color w:val="auto"/>
          <w:sz w:val="21"/>
          <w:szCs w:val="21"/>
        </w:rPr>
        <w:t>估价方法：</w:t>
      </w:r>
      <w:r>
        <w:rPr>
          <w:rFonts w:ascii="Arial" w:hAnsi="Arial" w:cs="Arial"/>
          <w:bCs/>
          <w:color w:val="auto"/>
          <w:sz w:val="21"/>
          <w:szCs w:val="21"/>
        </w:rPr>
        <w:t>本次评估采用的估价方法为比较法</w:t>
      </w:r>
      <w:r>
        <w:rPr>
          <w:rFonts w:ascii="Arial" w:hAnsi="Arial" w:cs="Arial"/>
          <w:color w:val="auto"/>
          <w:sz w:val="21"/>
          <w:szCs w:val="21"/>
        </w:rPr>
        <w:t>。</w:t>
      </w:r>
    </w:p>
    <w:p w14:paraId="2D890D5F">
      <w:pPr>
        <w:overflowPunct w:val="0"/>
        <w:spacing w:line="480" w:lineRule="auto"/>
        <w:ind w:firstLine="422" w:firstLineChars="200"/>
        <w:jc w:val="both"/>
        <w:textAlignment w:val="auto"/>
        <w:rPr>
          <w:rFonts w:ascii="Arial" w:hAnsi="Arial" w:cs="Arial"/>
          <w:color w:val="auto"/>
          <w:sz w:val="21"/>
          <w:szCs w:val="21"/>
        </w:rPr>
      </w:pPr>
      <w:r>
        <w:rPr>
          <w:rFonts w:ascii="Arial" w:hAnsi="Arial" w:cs="Arial"/>
          <w:b/>
          <w:bCs/>
          <w:color w:val="auto"/>
          <w:sz w:val="21"/>
          <w:szCs w:val="21"/>
        </w:rPr>
        <w:t>估价结果：</w:t>
      </w:r>
      <w:r>
        <w:rPr>
          <w:rFonts w:ascii="Arial" w:hAnsi="Arial" w:cs="Arial"/>
          <w:color w:val="auto"/>
          <w:sz w:val="21"/>
          <w:szCs w:val="21"/>
        </w:rPr>
        <w:t>评估专业人员根据估价的目的，</w:t>
      </w:r>
      <w:r>
        <w:rPr>
          <w:rFonts w:hint="eastAsia" w:ascii="Arial" w:hAnsi="Arial" w:cs="Arial"/>
          <w:color w:val="auto"/>
          <w:sz w:val="21"/>
          <w:szCs w:val="21"/>
        </w:rPr>
        <w:t>遵循估价原则，</w:t>
      </w:r>
      <w:r>
        <w:rPr>
          <w:rFonts w:ascii="Arial" w:hAnsi="Arial" w:cs="Arial"/>
          <w:color w:val="auto"/>
          <w:sz w:val="21"/>
          <w:szCs w:val="21"/>
        </w:rPr>
        <w:t>按照估价的程序，采用科学的估价方法，在认真分析现有资料的基础上，通过仔细测算和认真分析各种影响房地产</w:t>
      </w:r>
      <w:r>
        <w:rPr>
          <w:rFonts w:hint="eastAsia" w:ascii="Arial" w:hAnsi="Arial" w:cs="Arial"/>
          <w:color w:val="auto"/>
          <w:sz w:val="21"/>
          <w:szCs w:val="21"/>
        </w:rPr>
        <w:t>租赁</w:t>
      </w:r>
      <w:r>
        <w:rPr>
          <w:rFonts w:ascii="Arial" w:hAnsi="Arial" w:cs="Arial"/>
          <w:color w:val="auto"/>
          <w:sz w:val="21"/>
          <w:szCs w:val="21"/>
        </w:rPr>
        <w:t>价格的因素，</w:t>
      </w:r>
      <w:r>
        <w:rPr>
          <w:rFonts w:hint="eastAsia" w:ascii="Arial" w:hAnsi="Arial" w:cs="Arial"/>
          <w:color w:val="auto"/>
          <w:sz w:val="21"/>
          <w:szCs w:val="21"/>
        </w:rPr>
        <w:t>最终</w:t>
      </w:r>
      <w:r>
        <w:rPr>
          <w:rFonts w:ascii="Arial" w:hAnsi="Arial" w:cs="Arial"/>
          <w:color w:val="auto"/>
          <w:sz w:val="21"/>
          <w:szCs w:val="21"/>
        </w:rPr>
        <w:t>确定</w:t>
      </w:r>
      <w:r>
        <w:rPr>
          <w:rFonts w:hint="eastAsia" w:ascii="Arial" w:hAnsi="Arial" w:cs="Arial"/>
          <w:color w:val="auto"/>
          <w:sz w:val="21"/>
          <w:szCs w:val="21"/>
        </w:rPr>
        <w:t>项目于价值时点2025年12月26日同地段、同品质市场租赁住房租金为：</w:t>
      </w:r>
    </w:p>
    <w:p w14:paraId="7DD2B187">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一居室（52.63-69.91</w:t>
      </w:r>
      <w:r>
        <w:rPr>
          <w:rFonts w:ascii="Arial" w:hAnsi="Arial" w:cs="Arial"/>
          <w:b/>
          <w:bCs/>
          <w:color w:val="auto"/>
          <w:sz w:val="21"/>
          <w:szCs w:val="21"/>
        </w:rPr>
        <w:t>平方米）</w:t>
      </w:r>
      <w:r>
        <w:rPr>
          <w:rFonts w:hint="eastAsia" w:ascii="Arial" w:hAnsi="Arial" w:cs="Arial"/>
          <w:b/>
          <w:bCs/>
          <w:color w:val="auto"/>
          <w:sz w:val="21"/>
          <w:szCs w:val="21"/>
        </w:rPr>
        <w:t>：21.46元/平方米·月</w:t>
      </w:r>
    </w:p>
    <w:p w14:paraId="16F174D7">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两居室（72.82-88.38</w:t>
      </w:r>
      <w:r>
        <w:rPr>
          <w:rFonts w:ascii="Arial" w:hAnsi="Arial" w:cs="Arial"/>
          <w:b/>
          <w:bCs/>
          <w:color w:val="auto"/>
          <w:sz w:val="21"/>
          <w:szCs w:val="21"/>
        </w:rPr>
        <w:t>平方米）</w:t>
      </w:r>
      <w:r>
        <w:rPr>
          <w:rFonts w:hint="eastAsia" w:ascii="Arial" w:hAnsi="Arial" w:cs="Arial"/>
          <w:b/>
          <w:bCs/>
          <w:color w:val="auto"/>
          <w:sz w:val="21"/>
          <w:szCs w:val="21"/>
        </w:rPr>
        <w:t>：17.28元/平方米·月</w:t>
      </w:r>
    </w:p>
    <w:p w14:paraId="481C2C0E">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三居室（90.99-129.32</w:t>
      </w:r>
      <w:r>
        <w:rPr>
          <w:rFonts w:ascii="Arial" w:hAnsi="Arial" w:cs="Arial"/>
          <w:b/>
          <w:bCs/>
          <w:color w:val="auto"/>
          <w:sz w:val="21"/>
          <w:szCs w:val="21"/>
        </w:rPr>
        <w:t>平方米</w:t>
      </w:r>
      <w:r>
        <w:rPr>
          <w:rFonts w:hint="eastAsia" w:ascii="Arial" w:hAnsi="Arial" w:cs="Arial"/>
          <w:b/>
          <w:bCs/>
          <w:color w:val="auto"/>
          <w:sz w:val="21"/>
          <w:szCs w:val="21"/>
        </w:rPr>
        <w:t>）：16.14元/平方米·月</w:t>
      </w:r>
    </w:p>
    <w:p w14:paraId="7BD2E7A7">
      <w:pPr>
        <w:overflowPunct w:val="0"/>
        <w:spacing w:line="480" w:lineRule="auto"/>
        <w:ind w:firstLine="360" w:firstLineChars="200"/>
        <w:jc w:val="both"/>
        <w:textAlignment w:val="auto"/>
        <w:rPr>
          <w:rFonts w:ascii="Arial" w:hAnsi="Arial" w:cs="Arial"/>
          <w:color w:val="auto"/>
          <w:sz w:val="18"/>
          <w:szCs w:val="18"/>
        </w:rPr>
      </w:pPr>
      <w:r>
        <w:rPr>
          <w:rFonts w:ascii="Arial" w:hAnsi="Arial" w:cs="Arial"/>
          <w:color w:val="auto"/>
          <w:sz w:val="18"/>
          <w:szCs w:val="18"/>
        </w:rPr>
        <w:t>注：1、</w:t>
      </w:r>
      <w:r>
        <w:rPr>
          <w:rFonts w:hint="eastAsia" w:ascii="Arial" w:hAnsi="Arial" w:cs="Arial"/>
          <w:color w:val="auto"/>
          <w:sz w:val="18"/>
          <w:szCs w:val="18"/>
        </w:rPr>
        <w:t>评估的详细结果、过程及有关说明，详见《估价结果报告》、《估价技术报告》。</w:t>
      </w:r>
    </w:p>
    <w:p w14:paraId="650DF850">
      <w:pPr>
        <w:overflowPunct w:val="0"/>
        <w:spacing w:line="480" w:lineRule="auto"/>
        <w:ind w:left="720" w:leftChars="150" w:hanging="360" w:hangingChars="200"/>
        <w:jc w:val="both"/>
        <w:textAlignment w:val="auto"/>
        <w:rPr>
          <w:rFonts w:ascii="Arial" w:hAnsi="Arial" w:cs="Arial"/>
          <w:color w:val="auto"/>
          <w:sz w:val="18"/>
          <w:szCs w:val="18"/>
        </w:rPr>
      </w:pPr>
      <w:r>
        <w:rPr>
          <w:rFonts w:ascii="Arial" w:hAnsi="Arial" w:cs="Arial"/>
          <w:color w:val="auto"/>
          <w:sz w:val="18"/>
          <w:szCs w:val="18"/>
        </w:rPr>
        <w:t xml:space="preserve">    </w:t>
      </w:r>
      <w:r>
        <w:rPr>
          <w:rFonts w:hint="eastAsia" w:ascii="Arial" w:hAnsi="Arial" w:cs="Arial"/>
          <w:color w:val="auto"/>
          <w:sz w:val="18"/>
          <w:szCs w:val="18"/>
        </w:rPr>
        <w:t>2</w:t>
      </w:r>
      <w:r>
        <w:rPr>
          <w:rFonts w:ascii="Arial" w:hAnsi="Arial" w:cs="Arial"/>
          <w:color w:val="auto"/>
          <w:sz w:val="18"/>
          <w:szCs w:val="18"/>
        </w:rPr>
        <w:t>、</w:t>
      </w:r>
      <w:r>
        <w:rPr>
          <w:rFonts w:hint="eastAsia" w:ascii="Arial" w:hAnsi="Arial" w:cs="Arial"/>
          <w:color w:val="auto"/>
          <w:sz w:val="18"/>
          <w:szCs w:val="18"/>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63FBFEA2">
      <w:pPr>
        <w:overflowPunct w:val="0"/>
        <w:spacing w:line="480" w:lineRule="auto"/>
        <w:ind w:firstLine="420" w:firstLineChars="200"/>
        <w:jc w:val="both"/>
        <w:textAlignment w:val="auto"/>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（转下页）</w:t>
      </w:r>
    </w:p>
    <w:p w14:paraId="55648A6E">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br w:type="page"/>
      </w:r>
    </w:p>
    <w:p w14:paraId="0D1F884A">
      <w:pPr>
        <w:overflowPunct w:val="0"/>
        <w:spacing w:line="480" w:lineRule="auto"/>
        <w:ind w:firstLine="420" w:firstLineChars="200"/>
        <w:jc w:val="both"/>
        <w:textAlignment w:val="auto"/>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（此页无正文）</w:t>
      </w:r>
    </w:p>
    <w:p w14:paraId="0DBC28B2">
      <w:pPr>
        <w:overflowPunct w:val="0"/>
        <w:spacing w:line="480" w:lineRule="auto"/>
        <w:ind w:firstLine="420" w:firstLineChars="200"/>
        <w:jc w:val="both"/>
        <w:textAlignment w:val="auto"/>
        <w:rPr>
          <w:rFonts w:hint="eastAsia" w:ascii="华文楷体" w:hAnsi="华文楷体" w:eastAsia="华文楷体" w:cs="华文楷体"/>
          <w:color w:val="auto"/>
          <w:sz w:val="21"/>
          <w:szCs w:val="21"/>
        </w:rPr>
      </w:pPr>
    </w:p>
    <w:p w14:paraId="0671F5C8">
      <w:pPr>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顺致</w:t>
      </w:r>
    </w:p>
    <w:p w14:paraId="5CEEA736">
      <w:pPr>
        <w:overflowPunct w:val="0"/>
        <w:spacing w:line="480" w:lineRule="auto"/>
        <w:ind w:firstLine="420" w:firstLineChars="200"/>
        <w:jc w:val="both"/>
        <w:textAlignment w:val="auto"/>
        <w:rPr>
          <w:rFonts w:ascii="Arial" w:hAnsi="Arial" w:cs="Arial"/>
          <w:color w:val="auto"/>
          <w:sz w:val="21"/>
          <w:szCs w:val="21"/>
        </w:rPr>
      </w:pPr>
    </w:p>
    <w:p w14:paraId="4A91AD3D">
      <w:pPr>
        <w:spacing w:line="480" w:lineRule="auto"/>
        <w:ind w:firstLine="1260" w:firstLineChars="600"/>
        <w:jc w:val="both"/>
        <w:rPr>
          <w:rFonts w:ascii="Arial" w:hAnsi="Arial" w:cs="Arial"/>
          <w:color w:val="auto"/>
          <w:sz w:val="21"/>
          <w:szCs w:val="21"/>
        </w:rPr>
      </w:pPr>
      <w:r>
        <w:rPr>
          <w:rFonts w:ascii="Arial" w:hAnsi="Arial" w:cs="Arial"/>
          <w:color w:val="auto"/>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4926D3E">
        <w:tblPrEx>
          <w:tblCellMar>
            <w:top w:w="0" w:type="dxa"/>
            <w:left w:w="108" w:type="dxa"/>
            <w:bottom w:w="0" w:type="dxa"/>
            <w:right w:w="108" w:type="dxa"/>
          </w:tblCellMar>
        </w:tblPrEx>
        <w:tc>
          <w:tcPr>
            <w:tcW w:w="3402" w:type="dxa"/>
          </w:tcPr>
          <w:p w14:paraId="51AFE935">
            <w:pPr>
              <w:spacing w:line="480" w:lineRule="auto"/>
              <w:rPr>
                <w:rFonts w:ascii="Arial" w:hAnsi="Arial" w:cs="Arial"/>
                <w:color w:val="auto"/>
                <w:sz w:val="21"/>
                <w:szCs w:val="21"/>
              </w:rPr>
            </w:pPr>
            <w:r>
              <w:rPr>
                <w:rFonts w:ascii="Arial" w:hAnsi="Arial" w:cs="Arial"/>
                <w:color w:val="auto"/>
                <w:sz w:val="21"/>
                <w:szCs w:val="21"/>
              </w:rPr>
              <w:t>北京康正宏基房地产评估有限公司</w:t>
            </w:r>
          </w:p>
        </w:tc>
      </w:tr>
      <w:tr w14:paraId="25048FE0">
        <w:tblPrEx>
          <w:tblCellMar>
            <w:top w:w="0" w:type="dxa"/>
            <w:left w:w="108" w:type="dxa"/>
            <w:bottom w:w="0" w:type="dxa"/>
            <w:right w:w="108" w:type="dxa"/>
          </w:tblCellMar>
        </w:tblPrEx>
        <w:trPr>
          <w:trHeight w:val="1298" w:hRule="atLeast"/>
        </w:trPr>
        <w:tc>
          <w:tcPr>
            <w:tcW w:w="3402" w:type="dxa"/>
          </w:tcPr>
          <w:p w14:paraId="6075DF4E">
            <w:pPr>
              <w:spacing w:line="480" w:lineRule="auto"/>
              <w:rPr>
                <w:rFonts w:ascii="Arial" w:hAnsi="Arial" w:cs="Arial"/>
                <w:color w:val="auto"/>
                <w:sz w:val="21"/>
                <w:szCs w:val="21"/>
              </w:rPr>
            </w:pPr>
            <w:r>
              <w:rPr>
                <w:rFonts w:ascii="Arial" w:hAnsi="Arial" w:cs="Arial"/>
                <w:color w:val="auto"/>
                <w:sz w:val="21"/>
                <w:szCs w:val="21"/>
              </w:rPr>
              <w:t>法定代表人：</w:t>
            </w:r>
          </w:p>
        </w:tc>
      </w:tr>
      <w:tr w14:paraId="7A1B8244">
        <w:tblPrEx>
          <w:tblCellMar>
            <w:top w:w="0" w:type="dxa"/>
            <w:left w:w="108" w:type="dxa"/>
            <w:bottom w:w="0" w:type="dxa"/>
            <w:right w:w="108" w:type="dxa"/>
          </w:tblCellMar>
        </w:tblPrEx>
        <w:tc>
          <w:tcPr>
            <w:tcW w:w="3402" w:type="dxa"/>
          </w:tcPr>
          <w:p w14:paraId="3B10445D">
            <w:pPr>
              <w:spacing w:line="480" w:lineRule="auto"/>
              <w:jc w:val="right"/>
              <w:rPr>
                <w:rFonts w:ascii="Arial" w:hAnsi="Arial" w:cs="Arial"/>
                <w:color w:val="auto"/>
                <w:sz w:val="21"/>
                <w:szCs w:val="21"/>
              </w:rPr>
            </w:pPr>
            <w:r>
              <w:rPr>
                <w:rFonts w:ascii="Arial" w:hAnsi="Arial" w:cs="Arial"/>
                <w:color w:val="auto"/>
                <w:sz w:val="21"/>
                <w:szCs w:val="21"/>
              </w:rPr>
              <w:t>二〇二</w:t>
            </w:r>
            <w:r>
              <w:rPr>
                <w:rFonts w:hint="eastAsia" w:ascii="Arial" w:hAnsi="Arial" w:cs="Arial"/>
                <w:color w:val="auto"/>
                <w:sz w:val="21"/>
                <w:szCs w:val="21"/>
              </w:rPr>
              <w:t>六</w:t>
            </w:r>
            <w:r>
              <w:rPr>
                <w:rFonts w:ascii="Arial" w:hAnsi="Arial" w:cs="Arial"/>
                <w:color w:val="auto"/>
                <w:sz w:val="21"/>
                <w:szCs w:val="21"/>
              </w:rPr>
              <w:t>年</w:t>
            </w:r>
            <w:r>
              <w:rPr>
                <w:rFonts w:hint="eastAsia" w:ascii="Arial" w:hAnsi="Arial" w:cs="Arial"/>
                <w:color w:val="auto"/>
                <w:sz w:val="21"/>
                <w:szCs w:val="21"/>
              </w:rPr>
              <w:t>三</w:t>
            </w:r>
            <w:r>
              <w:rPr>
                <w:rFonts w:ascii="Arial" w:hAnsi="Arial" w:cs="Arial"/>
                <w:color w:val="auto"/>
                <w:sz w:val="21"/>
                <w:szCs w:val="21"/>
              </w:rPr>
              <w:t>月</w:t>
            </w:r>
            <w:r>
              <w:rPr>
                <w:rFonts w:hint="eastAsia" w:ascii="Arial" w:hAnsi="Arial" w:cs="Arial"/>
                <w:color w:val="auto"/>
                <w:sz w:val="21"/>
                <w:szCs w:val="21"/>
              </w:rPr>
              <w:t>六</w:t>
            </w:r>
            <w:r>
              <w:rPr>
                <w:rFonts w:ascii="Arial" w:hAnsi="Arial" w:cs="Arial"/>
                <w:color w:val="auto"/>
                <w:sz w:val="21"/>
                <w:szCs w:val="21"/>
              </w:rPr>
              <w:t>日</w:t>
            </w:r>
          </w:p>
        </w:tc>
      </w:tr>
    </w:tbl>
    <w:p w14:paraId="0C616CC8">
      <w:pPr>
        <w:spacing w:line="480" w:lineRule="auto"/>
        <w:rPr>
          <w:rFonts w:ascii="Arial" w:hAnsi="Arial" w:cs="Arial"/>
          <w:color w:val="auto"/>
          <w:sz w:val="21"/>
          <w:szCs w:val="21"/>
        </w:rPr>
      </w:pPr>
    </w:p>
    <w:p w14:paraId="1096F4B9">
      <w:pPr>
        <w:rPr>
          <w:rFonts w:ascii="Arial" w:hAnsi="Arial" w:cs="Arial"/>
          <w:color w:val="auto"/>
          <w:sz w:val="21"/>
          <w:szCs w:val="21"/>
        </w:rPr>
      </w:pPr>
    </w:p>
    <w:p w14:paraId="0A371C4D">
      <w:pPr>
        <w:rPr>
          <w:rFonts w:ascii="Arial" w:hAnsi="Arial" w:cs="Arial"/>
          <w:color w:val="auto"/>
          <w:sz w:val="21"/>
          <w:szCs w:val="21"/>
        </w:rPr>
      </w:pPr>
    </w:p>
    <w:p w14:paraId="7F456732">
      <w:pPr>
        <w:rPr>
          <w:rFonts w:ascii="Arial" w:hAnsi="Arial" w:cs="Arial"/>
          <w:color w:val="auto"/>
          <w:sz w:val="21"/>
          <w:szCs w:val="21"/>
        </w:rPr>
      </w:pPr>
    </w:p>
    <w:p w14:paraId="2494F655">
      <w:pPr>
        <w:rPr>
          <w:rFonts w:ascii="Arial" w:hAnsi="Arial" w:cs="Arial"/>
          <w:color w:val="auto"/>
          <w:sz w:val="21"/>
          <w:szCs w:val="21"/>
        </w:rPr>
      </w:pPr>
    </w:p>
    <w:p w14:paraId="01BAD673">
      <w:pPr>
        <w:rPr>
          <w:rFonts w:ascii="Arial" w:hAnsi="Arial" w:cs="Arial"/>
          <w:color w:val="auto"/>
          <w:sz w:val="21"/>
          <w:szCs w:val="21"/>
        </w:rPr>
      </w:pPr>
    </w:p>
    <w:p w14:paraId="77C1BCC3">
      <w:pPr>
        <w:rPr>
          <w:rFonts w:ascii="Arial" w:hAnsi="Arial" w:cs="Arial"/>
          <w:color w:val="auto"/>
          <w:sz w:val="21"/>
          <w:szCs w:val="21"/>
        </w:rPr>
      </w:pPr>
    </w:p>
    <w:p w14:paraId="5E736D84">
      <w:pPr>
        <w:rPr>
          <w:rFonts w:ascii="Arial" w:hAnsi="Arial" w:cs="Arial"/>
          <w:color w:val="auto"/>
          <w:sz w:val="21"/>
          <w:szCs w:val="21"/>
        </w:rPr>
      </w:pPr>
    </w:p>
    <w:p w14:paraId="0D3D4848">
      <w:pPr>
        <w:rPr>
          <w:rFonts w:ascii="Arial" w:hAnsi="Arial" w:cs="Arial"/>
          <w:color w:val="auto"/>
          <w:sz w:val="21"/>
          <w:szCs w:val="21"/>
        </w:rPr>
      </w:pPr>
    </w:p>
    <w:p w14:paraId="030AB825">
      <w:pPr>
        <w:rPr>
          <w:rFonts w:ascii="Arial" w:hAnsi="Arial" w:eastAsia="方正黑体简体" w:cs="Arial"/>
          <w:color w:val="auto"/>
          <w:sz w:val="32"/>
          <w:szCs w:val="32"/>
        </w:rPr>
      </w:pPr>
      <w:r>
        <w:rPr>
          <w:rFonts w:hint="eastAsia" w:ascii="Arial" w:hAnsi="Arial" w:eastAsia="方正黑体简体" w:cs="Arial"/>
          <w:color w:val="auto"/>
          <w:sz w:val="32"/>
          <w:szCs w:val="32"/>
        </w:rPr>
        <w:br w:type="page"/>
      </w:r>
    </w:p>
    <w:p w14:paraId="4D470994">
      <w:pPr>
        <w:spacing w:line="480" w:lineRule="auto"/>
        <w:jc w:val="center"/>
        <w:outlineLvl w:val="0"/>
        <w:rPr>
          <w:rFonts w:ascii="Arial" w:hAnsi="Arial" w:eastAsia="方正黑体简体" w:cs="Arial"/>
          <w:color w:val="auto"/>
          <w:sz w:val="32"/>
          <w:szCs w:val="32"/>
        </w:rPr>
      </w:pPr>
      <w:r>
        <w:rPr>
          <w:rFonts w:hint="eastAsia" w:ascii="Arial" w:hAnsi="Arial" w:eastAsia="方正黑体简体" w:cs="Arial"/>
          <w:color w:val="auto"/>
          <w:sz w:val="32"/>
          <w:szCs w:val="32"/>
        </w:rPr>
        <w:t>目   录</w:t>
      </w:r>
    </w:p>
    <w:p w14:paraId="39475E11">
      <w:pPr>
        <w:pStyle w:val="23"/>
        <w:rPr>
          <w:rFonts w:hint="eastAsia" w:ascii="等线" w:hAnsi="等线" w:eastAsia="等线"/>
          <w:b w:val="0"/>
          <w:bCs w:val="0"/>
          <w:color w:val="auto"/>
          <w:kern w:val="2"/>
          <w:sz w:val="24"/>
          <w:szCs w:val="24"/>
        </w:rPr>
      </w:pPr>
      <w:r>
        <w:rPr>
          <w:rFonts w:ascii="宋体" w:hAnsi="宋体" w:eastAsia="宋体" w:cs="Arial"/>
          <w:color w:val="auto"/>
          <w:sz w:val="24"/>
          <w:szCs w:val="24"/>
        </w:rPr>
        <w:fldChar w:fldCharType="begin"/>
      </w:r>
      <w:r>
        <w:rPr>
          <w:rFonts w:ascii="宋体" w:hAnsi="宋体" w:eastAsia="宋体" w:cs="Arial"/>
          <w:color w:val="auto"/>
          <w:sz w:val="24"/>
          <w:szCs w:val="24"/>
        </w:rPr>
        <w:instrText xml:space="preserve"> TOC \o "1-3" \h \z </w:instrText>
      </w:r>
      <w:r>
        <w:rPr>
          <w:rFonts w:ascii="宋体" w:hAnsi="宋体" w:eastAsia="宋体" w:cs="Arial"/>
          <w:color w:val="auto"/>
          <w:sz w:val="24"/>
          <w:szCs w:val="24"/>
        </w:rPr>
        <w:fldChar w:fldCharType="separate"/>
      </w:r>
      <w:r>
        <w:rPr>
          <w:color w:val="auto"/>
        </w:rPr>
        <w:fldChar w:fldCharType="begin"/>
      </w:r>
      <w:r>
        <w:rPr>
          <w:color w:val="auto"/>
        </w:rPr>
        <w:instrText xml:space="preserve"> HYPERLINK \l "_Toc155267082" </w:instrText>
      </w:r>
      <w:r>
        <w:rPr>
          <w:color w:val="auto"/>
        </w:rPr>
        <w:fldChar w:fldCharType="separate"/>
      </w:r>
      <w:r>
        <w:rPr>
          <w:rStyle w:val="39"/>
          <w:rFonts w:eastAsia="方正黑体简体"/>
          <w:color w:val="auto"/>
          <w:sz w:val="24"/>
          <w:szCs w:val="24"/>
        </w:rPr>
        <w:t>致估价委托人函</w:t>
      </w:r>
      <w:r>
        <w:rPr>
          <w:color w:val="auto"/>
          <w:sz w:val="24"/>
          <w:szCs w:val="24"/>
        </w:rPr>
        <w:tab/>
      </w:r>
      <w:r>
        <w:rPr>
          <w:color w:val="auto"/>
          <w:sz w:val="24"/>
          <w:szCs w:val="24"/>
        </w:rPr>
        <w:fldChar w:fldCharType="begin"/>
      </w:r>
      <w:r>
        <w:rPr>
          <w:color w:val="auto"/>
          <w:sz w:val="24"/>
          <w:szCs w:val="24"/>
        </w:rPr>
        <w:instrText xml:space="preserve"> PAGEREF _Toc155267082 \h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fldChar w:fldCharType="end"/>
      </w:r>
    </w:p>
    <w:p w14:paraId="01F080DB">
      <w:pPr>
        <w:pStyle w:val="23"/>
        <w:rPr>
          <w:rFonts w:hint="eastAsia" w:ascii="等线" w:hAnsi="等线" w:eastAsia="等线"/>
          <w:b w:val="0"/>
          <w:bCs w:val="0"/>
          <w:color w:val="auto"/>
          <w:kern w:val="2"/>
          <w:sz w:val="24"/>
          <w:szCs w:val="24"/>
        </w:rPr>
      </w:pPr>
      <w:r>
        <w:rPr>
          <w:color w:val="auto"/>
        </w:rPr>
        <w:fldChar w:fldCharType="begin"/>
      </w:r>
      <w:r>
        <w:rPr>
          <w:color w:val="auto"/>
        </w:rPr>
        <w:instrText xml:space="preserve"> HYPERLINK \l "_Toc155267083" </w:instrText>
      </w:r>
      <w:r>
        <w:rPr>
          <w:color w:val="auto"/>
        </w:rPr>
        <w:fldChar w:fldCharType="separate"/>
      </w:r>
      <w:r>
        <w:rPr>
          <w:rStyle w:val="39"/>
          <w:rFonts w:eastAsia="方正黑体简体"/>
          <w:color w:val="auto"/>
          <w:sz w:val="24"/>
          <w:szCs w:val="24"/>
        </w:rPr>
        <w:t>估价师声明</w:t>
      </w:r>
      <w:r>
        <w:rPr>
          <w:color w:val="auto"/>
          <w:sz w:val="24"/>
          <w:szCs w:val="24"/>
        </w:rPr>
        <w:tab/>
      </w:r>
      <w:r>
        <w:rPr>
          <w:color w:val="auto"/>
          <w:sz w:val="24"/>
          <w:szCs w:val="24"/>
        </w:rPr>
        <w:fldChar w:fldCharType="begin"/>
      </w:r>
      <w:r>
        <w:rPr>
          <w:color w:val="auto"/>
          <w:sz w:val="24"/>
          <w:szCs w:val="24"/>
        </w:rPr>
        <w:instrText xml:space="preserve"> PAGEREF _Toc155267083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14:paraId="028BFA66">
      <w:pPr>
        <w:pStyle w:val="23"/>
        <w:rPr>
          <w:rFonts w:hint="eastAsia" w:ascii="等线" w:hAnsi="等线" w:eastAsia="等线"/>
          <w:b w:val="0"/>
          <w:bCs w:val="0"/>
          <w:color w:val="auto"/>
          <w:kern w:val="2"/>
          <w:sz w:val="24"/>
          <w:szCs w:val="24"/>
        </w:rPr>
      </w:pPr>
      <w:r>
        <w:rPr>
          <w:color w:val="auto"/>
        </w:rPr>
        <w:fldChar w:fldCharType="begin"/>
      </w:r>
      <w:r>
        <w:rPr>
          <w:color w:val="auto"/>
        </w:rPr>
        <w:instrText xml:space="preserve"> HYPERLINK \l "_Toc155267084" </w:instrText>
      </w:r>
      <w:r>
        <w:rPr>
          <w:color w:val="auto"/>
        </w:rPr>
        <w:fldChar w:fldCharType="separate"/>
      </w:r>
      <w:r>
        <w:rPr>
          <w:rStyle w:val="39"/>
          <w:rFonts w:eastAsia="方正黑体简体"/>
          <w:color w:val="auto"/>
          <w:sz w:val="24"/>
          <w:szCs w:val="24"/>
        </w:rPr>
        <w:t>估价假设和限制条件</w:t>
      </w:r>
      <w:r>
        <w:rPr>
          <w:color w:val="auto"/>
          <w:sz w:val="24"/>
          <w:szCs w:val="24"/>
        </w:rPr>
        <w:tab/>
      </w:r>
      <w:r>
        <w:rPr>
          <w:color w:val="auto"/>
          <w:sz w:val="24"/>
          <w:szCs w:val="24"/>
        </w:rPr>
        <w:fldChar w:fldCharType="begin"/>
      </w:r>
      <w:r>
        <w:rPr>
          <w:color w:val="auto"/>
          <w:sz w:val="24"/>
          <w:szCs w:val="24"/>
        </w:rPr>
        <w:instrText xml:space="preserve"> PAGEREF _Toc155267084 \h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14:paraId="4F11CE4F">
      <w:pPr>
        <w:pStyle w:val="23"/>
        <w:rPr>
          <w:rFonts w:hint="eastAsia" w:ascii="等线" w:hAnsi="等线" w:eastAsia="等线"/>
          <w:b w:val="0"/>
          <w:bCs w:val="0"/>
          <w:color w:val="auto"/>
          <w:kern w:val="2"/>
          <w:sz w:val="24"/>
          <w:szCs w:val="24"/>
        </w:rPr>
      </w:pPr>
      <w:r>
        <w:rPr>
          <w:color w:val="auto"/>
        </w:rPr>
        <w:fldChar w:fldCharType="begin"/>
      </w:r>
      <w:r>
        <w:rPr>
          <w:color w:val="auto"/>
        </w:rPr>
        <w:instrText xml:space="preserve"> HYPERLINK \l "_Toc155267085" </w:instrText>
      </w:r>
      <w:r>
        <w:rPr>
          <w:color w:val="auto"/>
        </w:rPr>
        <w:fldChar w:fldCharType="separate"/>
      </w:r>
      <w:r>
        <w:rPr>
          <w:rStyle w:val="39"/>
          <w:rFonts w:eastAsia="方正黑体简体"/>
          <w:color w:val="auto"/>
          <w:sz w:val="24"/>
          <w:szCs w:val="24"/>
        </w:rPr>
        <w:t>估价结果报告</w:t>
      </w:r>
      <w:r>
        <w:rPr>
          <w:color w:val="auto"/>
          <w:sz w:val="24"/>
          <w:szCs w:val="24"/>
        </w:rPr>
        <w:tab/>
      </w:r>
      <w:r>
        <w:rPr>
          <w:color w:val="auto"/>
          <w:sz w:val="24"/>
          <w:szCs w:val="24"/>
        </w:rPr>
        <w:fldChar w:fldCharType="begin"/>
      </w:r>
      <w:r>
        <w:rPr>
          <w:color w:val="auto"/>
          <w:sz w:val="24"/>
          <w:szCs w:val="24"/>
        </w:rPr>
        <w:instrText xml:space="preserve"> PAGEREF _Toc155267085 \h </w:instrText>
      </w:r>
      <w:r>
        <w:rPr>
          <w:color w:val="auto"/>
          <w:sz w:val="24"/>
          <w:szCs w:val="24"/>
        </w:rPr>
        <w:fldChar w:fldCharType="separate"/>
      </w:r>
      <w:r>
        <w:rPr>
          <w:color w:val="auto"/>
          <w:sz w:val="24"/>
          <w:szCs w:val="24"/>
        </w:rPr>
        <w:t>12</w:t>
      </w:r>
      <w:r>
        <w:rPr>
          <w:color w:val="auto"/>
          <w:sz w:val="24"/>
          <w:szCs w:val="24"/>
        </w:rPr>
        <w:fldChar w:fldCharType="end"/>
      </w:r>
      <w:r>
        <w:rPr>
          <w:color w:val="auto"/>
          <w:sz w:val="24"/>
          <w:szCs w:val="24"/>
        </w:rPr>
        <w:fldChar w:fldCharType="end"/>
      </w:r>
    </w:p>
    <w:p w14:paraId="79248076">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"_Toc155267086" </w:instrText>
      </w:r>
      <w:r>
        <w:rPr>
          <w:color w:val="auto"/>
        </w:rPr>
        <w:fldChar w:fldCharType="separate"/>
      </w:r>
      <w:r>
        <w:rPr>
          <w:rStyle w:val="39"/>
          <w:rFonts w:eastAsia="宋体"/>
          <w:color w:val="auto"/>
          <w:sz w:val="21"/>
          <w:szCs w:val="21"/>
        </w:rPr>
        <w:t>一、估价委托人</w:t>
      </w:r>
      <w:r>
        <w:rPr>
          <w:color w:val="auto"/>
          <w:sz w:val="21"/>
          <w:szCs w:val="21"/>
        </w:rPr>
        <w:tab/>
      </w:r>
      <w:r>
        <w:rPr>
          <w:color w:val="auto"/>
          <w:sz w:val="21"/>
          <w:szCs w:val="21"/>
        </w:rPr>
        <w:fldChar w:fldCharType="begin"/>
      </w:r>
      <w:r>
        <w:rPr>
          <w:color w:val="auto"/>
          <w:sz w:val="21"/>
          <w:szCs w:val="21"/>
        </w:rPr>
        <w:instrText xml:space="preserve"> PAGEREF _Toc155267086 \h </w:instrText>
      </w:r>
      <w:r>
        <w:rPr>
          <w:color w:val="auto"/>
          <w:sz w:val="21"/>
          <w:szCs w:val="21"/>
        </w:rPr>
        <w:fldChar w:fldCharType="separate"/>
      </w:r>
      <w:r>
        <w:rPr>
          <w:color w:val="auto"/>
          <w:sz w:val="21"/>
          <w:szCs w:val="21"/>
        </w:rPr>
        <w:t>12</w:t>
      </w:r>
      <w:r>
        <w:rPr>
          <w:color w:val="auto"/>
          <w:sz w:val="21"/>
          <w:szCs w:val="21"/>
        </w:rPr>
        <w:fldChar w:fldCharType="end"/>
      </w:r>
      <w:r>
        <w:rPr>
          <w:color w:val="auto"/>
          <w:sz w:val="21"/>
          <w:szCs w:val="21"/>
        </w:rPr>
        <w:fldChar w:fldCharType="end"/>
      </w:r>
    </w:p>
    <w:p w14:paraId="08612A47">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"_Toc155267087" </w:instrText>
      </w:r>
      <w:r>
        <w:rPr>
          <w:color w:val="auto"/>
        </w:rPr>
        <w:fldChar w:fldCharType="separate"/>
      </w:r>
      <w:r>
        <w:rPr>
          <w:rStyle w:val="39"/>
          <w:rFonts w:eastAsia="宋体"/>
          <w:color w:val="auto"/>
          <w:sz w:val="21"/>
          <w:szCs w:val="21"/>
        </w:rPr>
        <w:t>二、房地产估价机构</w:t>
      </w:r>
      <w:r>
        <w:rPr>
          <w:color w:val="auto"/>
          <w:sz w:val="21"/>
          <w:szCs w:val="21"/>
        </w:rPr>
        <w:tab/>
      </w:r>
      <w:r>
        <w:rPr>
          <w:color w:val="auto"/>
          <w:sz w:val="21"/>
          <w:szCs w:val="21"/>
        </w:rPr>
        <w:fldChar w:fldCharType="begin"/>
      </w:r>
      <w:r>
        <w:rPr>
          <w:color w:val="auto"/>
          <w:sz w:val="21"/>
          <w:szCs w:val="21"/>
        </w:rPr>
        <w:instrText xml:space="preserve"> PAGEREF _Toc155267087 \h </w:instrText>
      </w:r>
      <w:r>
        <w:rPr>
          <w:color w:val="auto"/>
          <w:sz w:val="21"/>
          <w:szCs w:val="21"/>
        </w:rPr>
        <w:fldChar w:fldCharType="separate"/>
      </w:r>
      <w:r>
        <w:rPr>
          <w:color w:val="auto"/>
          <w:sz w:val="21"/>
          <w:szCs w:val="21"/>
        </w:rPr>
        <w:t>12</w:t>
      </w:r>
      <w:r>
        <w:rPr>
          <w:color w:val="auto"/>
          <w:sz w:val="21"/>
          <w:szCs w:val="21"/>
        </w:rPr>
        <w:fldChar w:fldCharType="end"/>
      </w:r>
      <w:r>
        <w:rPr>
          <w:color w:val="auto"/>
          <w:sz w:val="21"/>
          <w:szCs w:val="21"/>
        </w:rPr>
        <w:fldChar w:fldCharType="end"/>
      </w:r>
    </w:p>
    <w:p w14:paraId="129F9F91">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"_Toc155267088" </w:instrText>
      </w:r>
      <w:r>
        <w:rPr>
          <w:color w:val="auto"/>
        </w:rPr>
        <w:fldChar w:fldCharType="separate"/>
      </w:r>
      <w:r>
        <w:rPr>
          <w:rStyle w:val="39"/>
          <w:rFonts w:eastAsia="宋体"/>
          <w:color w:val="auto"/>
          <w:sz w:val="21"/>
          <w:szCs w:val="21"/>
        </w:rPr>
        <w:t>三、估价目的</w:t>
      </w:r>
      <w:r>
        <w:rPr>
          <w:color w:val="auto"/>
          <w:sz w:val="21"/>
          <w:szCs w:val="21"/>
        </w:rPr>
        <w:tab/>
      </w:r>
      <w:r>
        <w:rPr>
          <w:color w:val="auto"/>
          <w:sz w:val="21"/>
          <w:szCs w:val="21"/>
        </w:rPr>
        <w:fldChar w:fldCharType="begin"/>
      </w:r>
      <w:r>
        <w:rPr>
          <w:color w:val="auto"/>
          <w:sz w:val="21"/>
          <w:szCs w:val="21"/>
        </w:rPr>
        <w:instrText xml:space="preserve"> PAGEREF _Toc155267088 \h </w:instrText>
      </w:r>
      <w:r>
        <w:rPr>
          <w:color w:val="auto"/>
          <w:sz w:val="21"/>
          <w:szCs w:val="21"/>
        </w:rPr>
        <w:fldChar w:fldCharType="separate"/>
      </w:r>
      <w:r>
        <w:rPr>
          <w:color w:val="auto"/>
          <w:sz w:val="21"/>
          <w:szCs w:val="21"/>
        </w:rPr>
        <w:t>12</w:t>
      </w:r>
      <w:r>
        <w:rPr>
          <w:color w:val="auto"/>
          <w:sz w:val="21"/>
          <w:szCs w:val="21"/>
        </w:rPr>
        <w:fldChar w:fldCharType="end"/>
      </w:r>
      <w:r>
        <w:rPr>
          <w:color w:val="auto"/>
          <w:sz w:val="21"/>
          <w:szCs w:val="21"/>
        </w:rPr>
        <w:fldChar w:fldCharType="end"/>
      </w:r>
    </w:p>
    <w:p w14:paraId="10B932E1">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"_Toc155267089" </w:instrText>
      </w:r>
      <w:r>
        <w:rPr>
          <w:color w:val="auto"/>
        </w:rPr>
        <w:fldChar w:fldCharType="separate"/>
      </w:r>
      <w:r>
        <w:rPr>
          <w:rStyle w:val="39"/>
          <w:rFonts w:eastAsia="宋体"/>
          <w:color w:val="auto"/>
          <w:sz w:val="21"/>
          <w:szCs w:val="21"/>
        </w:rPr>
        <w:t>四、估价对象</w:t>
      </w:r>
      <w:r>
        <w:rPr>
          <w:color w:val="auto"/>
          <w:sz w:val="21"/>
          <w:szCs w:val="21"/>
        </w:rPr>
        <w:tab/>
      </w:r>
      <w:r>
        <w:rPr>
          <w:color w:val="auto"/>
          <w:sz w:val="21"/>
          <w:szCs w:val="21"/>
        </w:rPr>
        <w:fldChar w:fldCharType="begin"/>
      </w:r>
      <w:r>
        <w:rPr>
          <w:color w:val="auto"/>
          <w:sz w:val="21"/>
          <w:szCs w:val="21"/>
        </w:rPr>
        <w:instrText xml:space="preserve"> PAGEREF _Toc155267089 \h </w:instrText>
      </w:r>
      <w:r>
        <w:rPr>
          <w:color w:val="auto"/>
          <w:sz w:val="21"/>
          <w:szCs w:val="21"/>
        </w:rPr>
        <w:fldChar w:fldCharType="separate"/>
      </w:r>
      <w:r>
        <w:rPr>
          <w:color w:val="auto"/>
          <w:sz w:val="21"/>
          <w:szCs w:val="21"/>
        </w:rPr>
        <w:t>12</w:t>
      </w:r>
      <w:r>
        <w:rPr>
          <w:color w:val="auto"/>
          <w:sz w:val="21"/>
          <w:szCs w:val="21"/>
        </w:rPr>
        <w:fldChar w:fldCharType="end"/>
      </w:r>
      <w:r>
        <w:rPr>
          <w:color w:val="auto"/>
          <w:sz w:val="21"/>
          <w:szCs w:val="21"/>
        </w:rPr>
        <w:fldChar w:fldCharType="end"/>
      </w:r>
    </w:p>
    <w:p w14:paraId="2BE193DE">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"_Toc155267090" </w:instrText>
      </w:r>
      <w:r>
        <w:rPr>
          <w:color w:val="auto"/>
        </w:rPr>
        <w:fldChar w:fldCharType="separate"/>
      </w:r>
      <w:r>
        <w:rPr>
          <w:rStyle w:val="39"/>
          <w:rFonts w:eastAsia="宋体"/>
          <w:color w:val="auto"/>
          <w:sz w:val="21"/>
          <w:szCs w:val="21"/>
        </w:rPr>
        <w:t>五、价值时点</w:t>
      </w:r>
      <w:r>
        <w:rPr>
          <w:color w:val="auto"/>
          <w:sz w:val="21"/>
          <w:szCs w:val="21"/>
        </w:rPr>
        <w:tab/>
      </w:r>
      <w:r>
        <w:rPr>
          <w:color w:val="auto"/>
          <w:sz w:val="21"/>
          <w:szCs w:val="21"/>
        </w:rPr>
        <w:fldChar w:fldCharType="begin"/>
      </w:r>
      <w:r>
        <w:rPr>
          <w:color w:val="auto"/>
          <w:sz w:val="21"/>
          <w:szCs w:val="21"/>
        </w:rPr>
        <w:instrText xml:space="preserve"> PAGEREF _Toc155267090 \h </w:instrText>
      </w:r>
      <w:r>
        <w:rPr>
          <w:color w:val="auto"/>
          <w:sz w:val="21"/>
          <w:szCs w:val="21"/>
        </w:rPr>
        <w:fldChar w:fldCharType="separate"/>
      </w:r>
      <w:r>
        <w:rPr>
          <w:color w:val="auto"/>
          <w:sz w:val="21"/>
          <w:szCs w:val="21"/>
        </w:rPr>
        <w:t>19</w:t>
      </w:r>
      <w:r>
        <w:rPr>
          <w:color w:val="auto"/>
          <w:sz w:val="21"/>
          <w:szCs w:val="21"/>
        </w:rPr>
        <w:fldChar w:fldCharType="end"/>
      </w:r>
      <w:r>
        <w:rPr>
          <w:color w:val="auto"/>
          <w:sz w:val="21"/>
          <w:szCs w:val="21"/>
        </w:rPr>
        <w:fldChar w:fldCharType="end"/>
      </w:r>
    </w:p>
    <w:p w14:paraId="07F272FC">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"_Toc155267091" </w:instrText>
      </w:r>
      <w:r>
        <w:rPr>
          <w:color w:val="auto"/>
        </w:rPr>
        <w:fldChar w:fldCharType="separate"/>
      </w:r>
      <w:r>
        <w:rPr>
          <w:rStyle w:val="39"/>
          <w:rFonts w:eastAsia="宋体"/>
          <w:color w:val="auto"/>
          <w:sz w:val="21"/>
          <w:szCs w:val="21"/>
        </w:rPr>
        <w:t>六、价值类型</w:t>
      </w:r>
      <w:r>
        <w:rPr>
          <w:color w:val="auto"/>
          <w:sz w:val="21"/>
          <w:szCs w:val="21"/>
        </w:rPr>
        <w:tab/>
      </w:r>
      <w:r>
        <w:rPr>
          <w:color w:val="auto"/>
          <w:sz w:val="21"/>
          <w:szCs w:val="21"/>
        </w:rPr>
        <w:fldChar w:fldCharType="begin"/>
      </w:r>
      <w:r>
        <w:rPr>
          <w:color w:val="auto"/>
          <w:sz w:val="21"/>
          <w:szCs w:val="21"/>
        </w:rPr>
        <w:instrText xml:space="preserve"> PAGEREF _Toc155267091 \h </w:instrText>
      </w:r>
      <w:r>
        <w:rPr>
          <w:color w:val="auto"/>
          <w:sz w:val="21"/>
          <w:szCs w:val="21"/>
        </w:rPr>
        <w:fldChar w:fldCharType="separate"/>
      </w:r>
      <w:r>
        <w:rPr>
          <w:color w:val="auto"/>
          <w:sz w:val="21"/>
          <w:szCs w:val="21"/>
        </w:rPr>
        <w:t>19</w:t>
      </w:r>
      <w:r>
        <w:rPr>
          <w:color w:val="auto"/>
          <w:sz w:val="21"/>
          <w:szCs w:val="21"/>
        </w:rPr>
        <w:fldChar w:fldCharType="end"/>
      </w:r>
      <w:r>
        <w:rPr>
          <w:color w:val="auto"/>
          <w:sz w:val="21"/>
          <w:szCs w:val="21"/>
        </w:rPr>
        <w:fldChar w:fldCharType="end"/>
      </w:r>
    </w:p>
    <w:p w14:paraId="7B31DE06">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"_Toc155267092" </w:instrText>
      </w:r>
      <w:r>
        <w:rPr>
          <w:color w:val="auto"/>
        </w:rPr>
        <w:fldChar w:fldCharType="separate"/>
      </w:r>
      <w:r>
        <w:rPr>
          <w:rStyle w:val="39"/>
          <w:rFonts w:eastAsia="宋体"/>
          <w:color w:val="auto"/>
          <w:sz w:val="21"/>
          <w:szCs w:val="21"/>
        </w:rPr>
        <w:t>七、估价原则</w:t>
      </w:r>
      <w:r>
        <w:rPr>
          <w:color w:val="auto"/>
          <w:sz w:val="21"/>
          <w:szCs w:val="21"/>
        </w:rPr>
        <w:tab/>
      </w:r>
      <w:r>
        <w:rPr>
          <w:color w:val="auto"/>
          <w:sz w:val="21"/>
          <w:szCs w:val="21"/>
        </w:rPr>
        <w:fldChar w:fldCharType="begin"/>
      </w:r>
      <w:r>
        <w:rPr>
          <w:color w:val="auto"/>
          <w:sz w:val="21"/>
          <w:szCs w:val="21"/>
        </w:rPr>
        <w:instrText xml:space="preserve"> PAGEREF _Toc155267092 \h </w:instrText>
      </w:r>
      <w:r>
        <w:rPr>
          <w:color w:val="auto"/>
          <w:sz w:val="21"/>
          <w:szCs w:val="21"/>
        </w:rPr>
        <w:fldChar w:fldCharType="separate"/>
      </w:r>
      <w:r>
        <w:rPr>
          <w:color w:val="auto"/>
          <w:sz w:val="21"/>
          <w:szCs w:val="21"/>
        </w:rPr>
        <w:t>20</w:t>
      </w:r>
      <w:r>
        <w:rPr>
          <w:color w:val="auto"/>
          <w:sz w:val="21"/>
          <w:szCs w:val="21"/>
        </w:rPr>
        <w:fldChar w:fldCharType="end"/>
      </w:r>
      <w:r>
        <w:rPr>
          <w:color w:val="auto"/>
          <w:sz w:val="21"/>
          <w:szCs w:val="21"/>
        </w:rPr>
        <w:fldChar w:fldCharType="end"/>
      </w:r>
    </w:p>
    <w:p w14:paraId="431F7A06">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"_Toc155267093" </w:instrText>
      </w:r>
      <w:r>
        <w:rPr>
          <w:color w:val="auto"/>
        </w:rPr>
        <w:fldChar w:fldCharType="separate"/>
      </w:r>
      <w:r>
        <w:rPr>
          <w:rStyle w:val="39"/>
          <w:rFonts w:eastAsia="宋体"/>
          <w:color w:val="auto"/>
          <w:sz w:val="21"/>
          <w:szCs w:val="21"/>
        </w:rPr>
        <w:t>八、估价依据</w:t>
      </w:r>
      <w:r>
        <w:rPr>
          <w:color w:val="auto"/>
          <w:sz w:val="21"/>
          <w:szCs w:val="21"/>
        </w:rPr>
        <w:tab/>
      </w:r>
      <w:r>
        <w:rPr>
          <w:color w:val="auto"/>
          <w:sz w:val="21"/>
          <w:szCs w:val="21"/>
        </w:rPr>
        <w:fldChar w:fldCharType="begin"/>
      </w:r>
      <w:r>
        <w:rPr>
          <w:color w:val="auto"/>
          <w:sz w:val="21"/>
          <w:szCs w:val="21"/>
        </w:rPr>
        <w:instrText xml:space="preserve"> PAGEREF _Toc155267093 \h </w:instrText>
      </w:r>
      <w:r>
        <w:rPr>
          <w:color w:val="auto"/>
          <w:sz w:val="21"/>
          <w:szCs w:val="21"/>
        </w:rPr>
        <w:fldChar w:fldCharType="separate"/>
      </w:r>
      <w:r>
        <w:rPr>
          <w:color w:val="auto"/>
          <w:sz w:val="21"/>
          <w:szCs w:val="21"/>
        </w:rPr>
        <w:t>21</w:t>
      </w:r>
      <w:r>
        <w:rPr>
          <w:color w:val="auto"/>
          <w:sz w:val="21"/>
          <w:szCs w:val="21"/>
        </w:rPr>
        <w:fldChar w:fldCharType="end"/>
      </w:r>
      <w:r>
        <w:rPr>
          <w:color w:val="auto"/>
          <w:sz w:val="21"/>
          <w:szCs w:val="21"/>
        </w:rPr>
        <w:fldChar w:fldCharType="end"/>
      </w:r>
    </w:p>
    <w:p w14:paraId="29991D1C">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"_Toc155267094" </w:instrText>
      </w:r>
      <w:r>
        <w:rPr>
          <w:color w:val="auto"/>
        </w:rPr>
        <w:fldChar w:fldCharType="separate"/>
      </w:r>
      <w:r>
        <w:rPr>
          <w:rStyle w:val="39"/>
          <w:rFonts w:eastAsia="宋体"/>
          <w:color w:val="auto"/>
          <w:sz w:val="21"/>
          <w:szCs w:val="21"/>
        </w:rPr>
        <w:t>九、估价方法</w:t>
      </w:r>
      <w:r>
        <w:rPr>
          <w:color w:val="auto"/>
          <w:sz w:val="21"/>
          <w:szCs w:val="21"/>
        </w:rPr>
        <w:tab/>
      </w:r>
      <w:r>
        <w:rPr>
          <w:color w:val="auto"/>
          <w:sz w:val="21"/>
          <w:szCs w:val="21"/>
        </w:rPr>
        <w:fldChar w:fldCharType="begin"/>
      </w:r>
      <w:r>
        <w:rPr>
          <w:color w:val="auto"/>
          <w:sz w:val="21"/>
          <w:szCs w:val="21"/>
        </w:rPr>
        <w:instrText xml:space="preserve"> PAGEREF _Toc155267094 \h </w:instrText>
      </w:r>
      <w:r>
        <w:rPr>
          <w:color w:val="auto"/>
          <w:sz w:val="21"/>
          <w:szCs w:val="21"/>
        </w:rPr>
        <w:fldChar w:fldCharType="separate"/>
      </w:r>
      <w:r>
        <w:rPr>
          <w:color w:val="auto"/>
          <w:sz w:val="21"/>
          <w:szCs w:val="21"/>
        </w:rPr>
        <w:t>24</w:t>
      </w:r>
      <w:r>
        <w:rPr>
          <w:color w:val="auto"/>
          <w:sz w:val="21"/>
          <w:szCs w:val="21"/>
        </w:rPr>
        <w:fldChar w:fldCharType="end"/>
      </w:r>
      <w:r>
        <w:rPr>
          <w:color w:val="auto"/>
          <w:sz w:val="21"/>
          <w:szCs w:val="21"/>
        </w:rPr>
        <w:fldChar w:fldCharType="end"/>
      </w:r>
    </w:p>
    <w:p w14:paraId="71FE8858">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"_Toc155267095" </w:instrText>
      </w:r>
      <w:r>
        <w:rPr>
          <w:color w:val="auto"/>
        </w:rPr>
        <w:fldChar w:fldCharType="separate"/>
      </w:r>
      <w:r>
        <w:rPr>
          <w:rStyle w:val="39"/>
          <w:rFonts w:eastAsia="宋体"/>
          <w:color w:val="auto"/>
          <w:sz w:val="21"/>
          <w:szCs w:val="21"/>
        </w:rPr>
        <w:t>十、估价结果</w:t>
      </w:r>
      <w:r>
        <w:rPr>
          <w:color w:val="auto"/>
          <w:sz w:val="21"/>
          <w:szCs w:val="21"/>
        </w:rPr>
        <w:tab/>
      </w:r>
      <w:r>
        <w:rPr>
          <w:color w:val="auto"/>
          <w:sz w:val="21"/>
          <w:szCs w:val="21"/>
        </w:rPr>
        <w:fldChar w:fldCharType="begin"/>
      </w:r>
      <w:r>
        <w:rPr>
          <w:color w:val="auto"/>
          <w:sz w:val="21"/>
          <w:szCs w:val="21"/>
        </w:rPr>
        <w:instrText xml:space="preserve"> PAGEREF _Toc155267095 \h </w:instrText>
      </w:r>
      <w:r>
        <w:rPr>
          <w:color w:val="auto"/>
          <w:sz w:val="21"/>
          <w:szCs w:val="21"/>
        </w:rPr>
        <w:fldChar w:fldCharType="separate"/>
      </w:r>
      <w:r>
        <w:rPr>
          <w:color w:val="auto"/>
          <w:sz w:val="21"/>
          <w:szCs w:val="21"/>
        </w:rPr>
        <w:t>25</w:t>
      </w:r>
      <w:r>
        <w:rPr>
          <w:color w:val="auto"/>
          <w:sz w:val="21"/>
          <w:szCs w:val="21"/>
        </w:rPr>
        <w:fldChar w:fldCharType="end"/>
      </w:r>
      <w:r>
        <w:rPr>
          <w:color w:val="auto"/>
          <w:sz w:val="21"/>
          <w:szCs w:val="21"/>
        </w:rPr>
        <w:fldChar w:fldCharType="end"/>
      </w:r>
    </w:p>
    <w:p w14:paraId="4CC19B9E">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"_Toc155267096" </w:instrText>
      </w:r>
      <w:r>
        <w:rPr>
          <w:color w:val="auto"/>
        </w:rPr>
        <w:fldChar w:fldCharType="separate"/>
      </w:r>
      <w:r>
        <w:rPr>
          <w:rStyle w:val="39"/>
          <w:rFonts w:eastAsia="宋体"/>
          <w:color w:val="auto"/>
          <w:sz w:val="21"/>
          <w:szCs w:val="21"/>
        </w:rPr>
        <w:t>十一、参与本次估价工作的评估专业人员</w:t>
      </w:r>
      <w:r>
        <w:rPr>
          <w:color w:val="auto"/>
          <w:sz w:val="21"/>
          <w:szCs w:val="21"/>
        </w:rPr>
        <w:tab/>
      </w:r>
      <w:r>
        <w:rPr>
          <w:color w:val="auto"/>
          <w:sz w:val="21"/>
          <w:szCs w:val="21"/>
        </w:rPr>
        <w:fldChar w:fldCharType="begin"/>
      </w:r>
      <w:r>
        <w:rPr>
          <w:color w:val="auto"/>
          <w:sz w:val="21"/>
          <w:szCs w:val="21"/>
        </w:rPr>
        <w:instrText xml:space="preserve"> PAGEREF _Toc155267096 \h </w:instrText>
      </w:r>
      <w:r>
        <w:rPr>
          <w:color w:val="auto"/>
          <w:sz w:val="21"/>
          <w:szCs w:val="21"/>
        </w:rPr>
        <w:fldChar w:fldCharType="separate"/>
      </w:r>
      <w:r>
        <w:rPr>
          <w:color w:val="auto"/>
          <w:sz w:val="21"/>
          <w:szCs w:val="21"/>
        </w:rPr>
        <w:t>26</w:t>
      </w:r>
      <w:r>
        <w:rPr>
          <w:color w:val="auto"/>
          <w:sz w:val="21"/>
          <w:szCs w:val="21"/>
        </w:rPr>
        <w:fldChar w:fldCharType="end"/>
      </w:r>
      <w:r>
        <w:rPr>
          <w:color w:val="auto"/>
          <w:sz w:val="21"/>
          <w:szCs w:val="21"/>
        </w:rPr>
        <w:fldChar w:fldCharType="end"/>
      </w:r>
    </w:p>
    <w:p w14:paraId="3A7BDBC8">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"_Toc155267097" </w:instrText>
      </w:r>
      <w:r>
        <w:rPr>
          <w:color w:val="auto"/>
        </w:rPr>
        <w:fldChar w:fldCharType="separate"/>
      </w:r>
      <w:r>
        <w:rPr>
          <w:rStyle w:val="39"/>
          <w:rFonts w:eastAsia="宋体"/>
          <w:color w:val="auto"/>
          <w:sz w:val="21"/>
          <w:szCs w:val="21"/>
        </w:rPr>
        <w:t>十二、实地查勘期</w:t>
      </w:r>
      <w:r>
        <w:rPr>
          <w:color w:val="auto"/>
          <w:sz w:val="21"/>
          <w:szCs w:val="21"/>
        </w:rPr>
        <w:tab/>
      </w:r>
      <w:r>
        <w:rPr>
          <w:color w:val="auto"/>
          <w:sz w:val="21"/>
          <w:szCs w:val="21"/>
        </w:rPr>
        <w:fldChar w:fldCharType="begin"/>
      </w:r>
      <w:r>
        <w:rPr>
          <w:color w:val="auto"/>
          <w:sz w:val="21"/>
          <w:szCs w:val="21"/>
        </w:rPr>
        <w:instrText xml:space="preserve"> PAGEREF _Toc155267097 \h </w:instrText>
      </w:r>
      <w:r>
        <w:rPr>
          <w:color w:val="auto"/>
          <w:sz w:val="21"/>
          <w:szCs w:val="21"/>
        </w:rPr>
        <w:fldChar w:fldCharType="separate"/>
      </w:r>
      <w:r>
        <w:rPr>
          <w:color w:val="auto"/>
          <w:sz w:val="21"/>
          <w:szCs w:val="21"/>
        </w:rPr>
        <w:t>26</w:t>
      </w:r>
      <w:r>
        <w:rPr>
          <w:color w:val="auto"/>
          <w:sz w:val="21"/>
          <w:szCs w:val="21"/>
        </w:rPr>
        <w:fldChar w:fldCharType="end"/>
      </w:r>
      <w:r>
        <w:rPr>
          <w:color w:val="auto"/>
          <w:sz w:val="21"/>
          <w:szCs w:val="21"/>
        </w:rPr>
        <w:fldChar w:fldCharType="end"/>
      </w:r>
    </w:p>
    <w:p w14:paraId="3CAB6A43">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"_Toc155267098" </w:instrText>
      </w:r>
      <w:r>
        <w:rPr>
          <w:color w:val="auto"/>
        </w:rPr>
        <w:fldChar w:fldCharType="separate"/>
      </w:r>
      <w:r>
        <w:rPr>
          <w:rStyle w:val="39"/>
          <w:rFonts w:eastAsia="宋体"/>
          <w:color w:val="auto"/>
          <w:sz w:val="21"/>
          <w:szCs w:val="21"/>
        </w:rPr>
        <w:t>十三、估价作业期</w:t>
      </w:r>
      <w:r>
        <w:rPr>
          <w:color w:val="auto"/>
          <w:sz w:val="21"/>
          <w:szCs w:val="21"/>
        </w:rPr>
        <w:tab/>
      </w:r>
      <w:r>
        <w:rPr>
          <w:color w:val="auto"/>
          <w:sz w:val="21"/>
          <w:szCs w:val="21"/>
        </w:rPr>
        <w:fldChar w:fldCharType="begin"/>
      </w:r>
      <w:r>
        <w:rPr>
          <w:color w:val="auto"/>
          <w:sz w:val="21"/>
          <w:szCs w:val="21"/>
        </w:rPr>
        <w:instrText xml:space="preserve"> PAGEREF _Toc155267098 \h </w:instrText>
      </w:r>
      <w:r>
        <w:rPr>
          <w:color w:val="auto"/>
          <w:sz w:val="21"/>
          <w:szCs w:val="21"/>
        </w:rPr>
        <w:fldChar w:fldCharType="separate"/>
      </w:r>
      <w:r>
        <w:rPr>
          <w:color w:val="auto"/>
          <w:sz w:val="21"/>
          <w:szCs w:val="21"/>
        </w:rPr>
        <w:t>26</w:t>
      </w:r>
      <w:r>
        <w:rPr>
          <w:color w:val="auto"/>
          <w:sz w:val="21"/>
          <w:szCs w:val="21"/>
        </w:rPr>
        <w:fldChar w:fldCharType="end"/>
      </w:r>
      <w:r>
        <w:rPr>
          <w:color w:val="auto"/>
          <w:sz w:val="21"/>
          <w:szCs w:val="21"/>
        </w:rPr>
        <w:fldChar w:fldCharType="end"/>
      </w:r>
    </w:p>
    <w:p w14:paraId="171867AE">
      <w:pPr>
        <w:pStyle w:val="23"/>
        <w:rPr>
          <w:rFonts w:hint="eastAsia" w:ascii="等线" w:hAnsi="等线" w:eastAsia="等线"/>
          <w:b w:val="0"/>
          <w:bCs w:val="0"/>
          <w:color w:val="auto"/>
          <w:kern w:val="2"/>
          <w:sz w:val="24"/>
          <w:szCs w:val="24"/>
        </w:rPr>
      </w:pPr>
      <w:r>
        <w:rPr>
          <w:color w:val="auto"/>
        </w:rPr>
        <w:fldChar w:fldCharType="begin"/>
      </w:r>
      <w:r>
        <w:rPr>
          <w:color w:val="auto"/>
        </w:rPr>
        <w:instrText xml:space="preserve"> HYPERLINK \l "_Toc155267099" </w:instrText>
      </w:r>
      <w:r>
        <w:rPr>
          <w:color w:val="auto"/>
        </w:rPr>
        <w:fldChar w:fldCharType="separate"/>
      </w:r>
      <w:r>
        <w:rPr>
          <w:rStyle w:val="39"/>
          <w:rFonts w:eastAsia="方正黑体简体"/>
          <w:color w:val="auto"/>
          <w:sz w:val="24"/>
          <w:szCs w:val="24"/>
        </w:rPr>
        <w:t>估价技术报告</w:t>
      </w:r>
      <w:r>
        <w:rPr>
          <w:color w:val="auto"/>
          <w:sz w:val="24"/>
          <w:szCs w:val="24"/>
        </w:rPr>
        <w:tab/>
      </w:r>
      <w:r>
        <w:rPr>
          <w:color w:val="auto"/>
          <w:sz w:val="24"/>
          <w:szCs w:val="24"/>
        </w:rPr>
        <w:fldChar w:fldCharType="begin"/>
      </w:r>
      <w:r>
        <w:rPr>
          <w:color w:val="auto"/>
          <w:sz w:val="24"/>
          <w:szCs w:val="24"/>
        </w:rPr>
        <w:instrText xml:space="preserve"> PAGEREF _Toc155267099 \h </w:instrText>
      </w:r>
      <w:r>
        <w:rPr>
          <w:color w:val="auto"/>
          <w:sz w:val="24"/>
          <w:szCs w:val="24"/>
        </w:rPr>
        <w:fldChar w:fldCharType="separate"/>
      </w:r>
      <w:r>
        <w:rPr>
          <w:color w:val="auto"/>
          <w:sz w:val="24"/>
          <w:szCs w:val="24"/>
        </w:rPr>
        <w:t>27</w:t>
      </w:r>
      <w:r>
        <w:rPr>
          <w:color w:val="auto"/>
          <w:sz w:val="24"/>
          <w:szCs w:val="24"/>
        </w:rPr>
        <w:fldChar w:fldCharType="end"/>
      </w:r>
      <w:r>
        <w:rPr>
          <w:color w:val="auto"/>
          <w:sz w:val="24"/>
          <w:szCs w:val="24"/>
        </w:rPr>
        <w:fldChar w:fldCharType="end"/>
      </w:r>
    </w:p>
    <w:p w14:paraId="1E4E41CC">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"_Toc155267100" </w:instrText>
      </w:r>
      <w:r>
        <w:rPr>
          <w:color w:val="auto"/>
        </w:rPr>
        <w:fldChar w:fldCharType="separate"/>
      </w:r>
      <w:r>
        <w:rPr>
          <w:rStyle w:val="39"/>
          <w:rFonts w:eastAsia="宋体"/>
          <w:color w:val="auto"/>
          <w:sz w:val="21"/>
          <w:szCs w:val="21"/>
        </w:rPr>
        <w:t>一、估价对象描述与分析</w:t>
      </w:r>
      <w:r>
        <w:rPr>
          <w:color w:val="auto"/>
          <w:sz w:val="21"/>
          <w:szCs w:val="21"/>
        </w:rPr>
        <w:tab/>
      </w:r>
      <w:r>
        <w:rPr>
          <w:color w:val="auto"/>
          <w:sz w:val="21"/>
          <w:szCs w:val="21"/>
        </w:rPr>
        <w:fldChar w:fldCharType="begin"/>
      </w:r>
      <w:r>
        <w:rPr>
          <w:color w:val="auto"/>
          <w:sz w:val="21"/>
          <w:szCs w:val="21"/>
        </w:rPr>
        <w:instrText xml:space="preserve"> PAGEREF _Toc155267100 \h </w:instrText>
      </w:r>
      <w:r>
        <w:rPr>
          <w:color w:val="auto"/>
          <w:sz w:val="21"/>
          <w:szCs w:val="21"/>
        </w:rPr>
        <w:fldChar w:fldCharType="separate"/>
      </w:r>
      <w:r>
        <w:rPr>
          <w:color w:val="auto"/>
          <w:sz w:val="21"/>
          <w:szCs w:val="21"/>
        </w:rPr>
        <w:t>27</w:t>
      </w:r>
      <w:r>
        <w:rPr>
          <w:color w:val="auto"/>
          <w:sz w:val="21"/>
          <w:szCs w:val="21"/>
        </w:rPr>
        <w:fldChar w:fldCharType="end"/>
      </w:r>
      <w:r>
        <w:rPr>
          <w:color w:val="auto"/>
          <w:sz w:val="21"/>
          <w:szCs w:val="21"/>
        </w:rPr>
        <w:fldChar w:fldCharType="end"/>
      </w:r>
    </w:p>
    <w:p w14:paraId="3B3F02CE">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"_Toc155267101" </w:instrText>
      </w:r>
      <w:r>
        <w:rPr>
          <w:color w:val="auto"/>
        </w:rPr>
        <w:fldChar w:fldCharType="separate"/>
      </w:r>
      <w:r>
        <w:rPr>
          <w:rStyle w:val="39"/>
          <w:rFonts w:eastAsia="宋体"/>
          <w:color w:val="auto"/>
          <w:sz w:val="21"/>
          <w:szCs w:val="21"/>
        </w:rPr>
        <w:t>（一）区位状况分析</w:t>
      </w:r>
      <w:r>
        <w:rPr>
          <w:color w:val="auto"/>
          <w:sz w:val="21"/>
          <w:szCs w:val="21"/>
        </w:rPr>
        <w:tab/>
      </w:r>
      <w:r>
        <w:rPr>
          <w:color w:val="auto"/>
          <w:sz w:val="21"/>
          <w:szCs w:val="21"/>
        </w:rPr>
        <w:fldChar w:fldCharType="begin"/>
      </w:r>
      <w:r>
        <w:rPr>
          <w:color w:val="auto"/>
          <w:sz w:val="21"/>
          <w:szCs w:val="21"/>
        </w:rPr>
        <w:instrText xml:space="preserve"> PAGEREF _Toc155267101 \h </w:instrText>
      </w:r>
      <w:r>
        <w:rPr>
          <w:color w:val="auto"/>
          <w:sz w:val="21"/>
          <w:szCs w:val="21"/>
        </w:rPr>
        <w:fldChar w:fldCharType="separate"/>
      </w:r>
      <w:r>
        <w:rPr>
          <w:color w:val="auto"/>
          <w:sz w:val="21"/>
          <w:szCs w:val="21"/>
        </w:rPr>
        <w:t>27</w:t>
      </w:r>
      <w:r>
        <w:rPr>
          <w:color w:val="auto"/>
          <w:sz w:val="21"/>
          <w:szCs w:val="21"/>
        </w:rPr>
        <w:fldChar w:fldCharType="end"/>
      </w:r>
      <w:r>
        <w:rPr>
          <w:color w:val="auto"/>
          <w:sz w:val="21"/>
          <w:szCs w:val="21"/>
        </w:rPr>
        <w:fldChar w:fldCharType="end"/>
      </w:r>
    </w:p>
    <w:p w14:paraId="7B5B6E8D">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"_Toc155267102" </w:instrText>
      </w:r>
      <w:r>
        <w:rPr>
          <w:color w:val="auto"/>
        </w:rPr>
        <w:fldChar w:fldCharType="separate"/>
      </w:r>
      <w:r>
        <w:rPr>
          <w:rStyle w:val="39"/>
          <w:rFonts w:eastAsia="宋体"/>
          <w:color w:val="auto"/>
          <w:sz w:val="21"/>
          <w:szCs w:val="21"/>
        </w:rPr>
        <w:t>（二）实物状况分析</w:t>
      </w:r>
      <w:r>
        <w:rPr>
          <w:color w:val="auto"/>
          <w:sz w:val="21"/>
          <w:szCs w:val="21"/>
        </w:rPr>
        <w:tab/>
      </w:r>
      <w:r>
        <w:rPr>
          <w:color w:val="auto"/>
          <w:sz w:val="21"/>
          <w:szCs w:val="21"/>
        </w:rPr>
        <w:fldChar w:fldCharType="begin"/>
      </w:r>
      <w:r>
        <w:rPr>
          <w:color w:val="auto"/>
          <w:sz w:val="21"/>
          <w:szCs w:val="21"/>
        </w:rPr>
        <w:instrText xml:space="preserve"> PAGEREF _Toc155267102 \h </w:instrText>
      </w:r>
      <w:r>
        <w:rPr>
          <w:color w:val="auto"/>
          <w:sz w:val="21"/>
          <w:szCs w:val="21"/>
        </w:rPr>
        <w:fldChar w:fldCharType="separate"/>
      </w:r>
      <w:r>
        <w:rPr>
          <w:color w:val="auto"/>
          <w:sz w:val="21"/>
          <w:szCs w:val="21"/>
        </w:rPr>
        <w:t>28</w:t>
      </w:r>
      <w:r>
        <w:rPr>
          <w:color w:val="auto"/>
          <w:sz w:val="21"/>
          <w:szCs w:val="21"/>
        </w:rPr>
        <w:fldChar w:fldCharType="end"/>
      </w:r>
      <w:r>
        <w:rPr>
          <w:color w:val="auto"/>
          <w:sz w:val="21"/>
          <w:szCs w:val="21"/>
        </w:rPr>
        <w:fldChar w:fldCharType="end"/>
      </w:r>
    </w:p>
    <w:p w14:paraId="7DAD0FA1">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"_Toc155267103" </w:instrText>
      </w:r>
      <w:r>
        <w:rPr>
          <w:color w:val="auto"/>
        </w:rPr>
        <w:fldChar w:fldCharType="separate"/>
      </w:r>
      <w:r>
        <w:rPr>
          <w:rStyle w:val="39"/>
          <w:rFonts w:eastAsia="宋体"/>
          <w:color w:val="auto"/>
          <w:sz w:val="21"/>
          <w:szCs w:val="21"/>
        </w:rPr>
        <w:t>（三）权益状况分析</w:t>
      </w:r>
      <w:r>
        <w:rPr>
          <w:color w:val="auto"/>
          <w:sz w:val="21"/>
          <w:szCs w:val="21"/>
        </w:rPr>
        <w:tab/>
      </w:r>
      <w:r>
        <w:rPr>
          <w:color w:val="auto"/>
          <w:sz w:val="21"/>
          <w:szCs w:val="21"/>
        </w:rPr>
        <w:fldChar w:fldCharType="begin"/>
      </w:r>
      <w:r>
        <w:rPr>
          <w:color w:val="auto"/>
          <w:sz w:val="21"/>
          <w:szCs w:val="21"/>
        </w:rPr>
        <w:instrText xml:space="preserve"> PAGEREF _Toc155267103 \h </w:instrText>
      </w:r>
      <w:r>
        <w:rPr>
          <w:color w:val="auto"/>
          <w:sz w:val="21"/>
          <w:szCs w:val="21"/>
        </w:rPr>
        <w:fldChar w:fldCharType="separate"/>
      </w:r>
      <w:r>
        <w:rPr>
          <w:color w:val="auto"/>
          <w:sz w:val="21"/>
          <w:szCs w:val="21"/>
        </w:rPr>
        <w:t>32</w:t>
      </w:r>
      <w:r>
        <w:rPr>
          <w:color w:val="auto"/>
          <w:sz w:val="21"/>
          <w:szCs w:val="21"/>
        </w:rPr>
        <w:fldChar w:fldCharType="end"/>
      </w:r>
      <w:r>
        <w:rPr>
          <w:color w:val="auto"/>
          <w:sz w:val="21"/>
          <w:szCs w:val="21"/>
        </w:rPr>
        <w:fldChar w:fldCharType="end"/>
      </w:r>
    </w:p>
    <w:p w14:paraId="733D8FCB">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"_Toc155267104" </w:instrText>
      </w:r>
      <w:r>
        <w:rPr>
          <w:color w:val="auto"/>
        </w:rPr>
        <w:fldChar w:fldCharType="separate"/>
      </w:r>
      <w:r>
        <w:rPr>
          <w:rStyle w:val="39"/>
          <w:rFonts w:eastAsia="宋体"/>
          <w:color w:val="auto"/>
          <w:sz w:val="21"/>
          <w:szCs w:val="21"/>
        </w:rPr>
        <w:t>二、市场背景描述与分析</w:t>
      </w:r>
      <w:r>
        <w:rPr>
          <w:color w:val="auto"/>
          <w:sz w:val="21"/>
          <w:szCs w:val="21"/>
        </w:rPr>
        <w:tab/>
      </w:r>
      <w:r>
        <w:rPr>
          <w:color w:val="auto"/>
          <w:sz w:val="21"/>
          <w:szCs w:val="21"/>
        </w:rPr>
        <w:fldChar w:fldCharType="begin"/>
      </w:r>
      <w:r>
        <w:rPr>
          <w:color w:val="auto"/>
          <w:sz w:val="21"/>
          <w:szCs w:val="21"/>
        </w:rPr>
        <w:instrText xml:space="preserve"> PAGEREF _Toc155267104 \h </w:instrText>
      </w:r>
      <w:r>
        <w:rPr>
          <w:color w:val="auto"/>
          <w:sz w:val="21"/>
          <w:szCs w:val="21"/>
        </w:rPr>
        <w:fldChar w:fldCharType="separate"/>
      </w:r>
      <w:r>
        <w:rPr>
          <w:color w:val="auto"/>
          <w:sz w:val="21"/>
          <w:szCs w:val="21"/>
        </w:rPr>
        <w:t>32</w:t>
      </w:r>
      <w:r>
        <w:rPr>
          <w:color w:val="auto"/>
          <w:sz w:val="21"/>
          <w:szCs w:val="21"/>
        </w:rPr>
        <w:fldChar w:fldCharType="end"/>
      </w:r>
      <w:r>
        <w:rPr>
          <w:color w:val="auto"/>
          <w:sz w:val="21"/>
          <w:szCs w:val="21"/>
        </w:rPr>
        <w:fldChar w:fldCharType="end"/>
      </w:r>
    </w:p>
    <w:p w14:paraId="1BC245C6">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"_Toc155267105" </w:instrText>
      </w:r>
      <w:r>
        <w:rPr>
          <w:color w:val="auto"/>
        </w:rPr>
        <w:fldChar w:fldCharType="separate"/>
      </w:r>
      <w:r>
        <w:rPr>
          <w:rStyle w:val="39"/>
          <w:rFonts w:eastAsia="宋体"/>
          <w:color w:val="auto"/>
          <w:sz w:val="21"/>
          <w:szCs w:val="21"/>
        </w:rPr>
        <w:t>三、最高最佳利用分析</w:t>
      </w:r>
      <w:r>
        <w:rPr>
          <w:color w:val="auto"/>
          <w:sz w:val="21"/>
          <w:szCs w:val="21"/>
        </w:rPr>
        <w:tab/>
      </w:r>
      <w:r>
        <w:rPr>
          <w:color w:val="auto"/>
          <w:sz w:val="21"/>
          <w:szCs w:val="21"/>
        </w:rPr>
        <w:fldChar w:fldCharType="begin"/>
      </w:r>
      <w:r>
        <w:rPr>
          <w:color w:val="auto"/>
          <w:sz w:val="21"/>
          <w:szCs w:val="21"/>
        </w:rPr>
        <w:instrText xml:space="preserve"> PAGEREF _Toc155267105 \h </w:instrText>
      </w:r>
      <w:r>
        <w:rPr>
          <w:color w:val="auto"/>
          <w:sz w:val="21"/>
          <w:szCs w:val="21"/>
        </w:rPr>
        <w:fldChar w:fldCharType="separate"/>
      </w:r>
      <w:r>
        <w:rPr>
          <w:color w:val="auto"/>
          <w:sz w:val="21"/>
          <w:szCs w:val="21"/>
        </w:rPr>
        <w:t>46</w:t>
      </w:r>
      <w:r>
        <w:rPr>
          <w:color w:val="auto"/>
          <w:sz w:val="21"/>
          <w:szCs w:val="21"/>
        </w:rPr>
        <w:fldChar w:fldCharType="end"/>
      </w:r>
      <w:r>
        <w:rPr>
          <w:color w:val="auto"/>
          <w:sz w:val="21"/>
          <w:szCs w:val="21"/>
        </w:rPr>
        <w:fldChar w:fldCharType="end"/>
      </w:r>
    </w:p>
    <w:p w14:paraId="06FB8D7B">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"_Toc155267106" </w:instrText>
      </w:r>
      <w:r>
        <w:rPr>
          <w:color w:val="auto"/>
        </w:rPr>
        <w:fldChar w:fldCharType="separate"/>
      </w:r>
      <w:r>
        <w:rPr>
          <w:rStyle w:val="39"/>
          <w:rFonts w:eastAsia="宋体"/>
          <w:color w:val="auto"/>
          <w:sz w:val="21"/>
          <w:szCs w:val="21"/>
        </w:rPr>
        <w:t>四、估价方法适用性分析</w:t>
      </w:r>
      <w:r>
        <w:rPr>
          <w:color w:val="auto"/>
          <w:sz w:val="21"/>
          <w:szCs w:val="21"/>
        </w:rPr>
        <w:tab/>
      </w:r>
      <w:r>
        <w:rPr>
          <w:color w:val="auto"/>
          <w:sz w:val="21"/>
          <w:szCs w:val="21"/>
        </w:rPr>
        <w:fldChar w:fldCharType="begin"/>
      </w:r>
      <w:r>
        <w:rPr>
          <w:color w:val="auto"/>
          <w:sz w:val="21"/>
          <w:szCs w:val="21"/>
        </w:rPr>
        <w:instrText xml:space="preserve"> PAGEREF _Toc155267106 \h </w:instrText>
      </w:r>
      <w:r>
        <w:rPr>
          <w:color w:val="auto"/>
          <w:sz w:val="21"/>
          <w:szCs w:val="21"/>
        </w:rPr>
        <w:fldChar w:fldCharType="separate"/>
      </w:r>
      <w:r>
        <w:rPr>
          <w:color w:val="auto"/>
          <w:sz w:val="21"/>
          <w:szCs w:val="21"/>
        </w:rPr>
        <w:t>48</w:t>
      </w:r>
      <w:r>
        <w:rPr>
          <w:color w:val="auto"/>
          <w:sz w:val="21"/>
          <w:szCs w:val="21"/>
        </w:rPr>
        <w:fldChar w:fldCharType="end"/>
      </w:r>
      <w:r>
        <w:rPr>
          <w:color w:val="auto"/>
          <w:sz w:val="21"/>
          <w:szCs w:val="21"/>
        </w:rPr>
        <w:fldChar w:fldCharType="end"/>
      </w:r>
    </w:p>
    <w:p w14:paraId="7B6F6545">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"_Toc155267107" </w:instrText>
      </w:r>
      <w:r>
        <w:rPr>
          <w:color w:val="auto"/>
        </w:rPr>
        <w:fldChar w:fldCharType="separate"/>
      </w:r>
      <w:r>
        <w:rPr>
          <w:rStyle w:val="39"/>
          <w:rFonts w:eastAsia="宋体"/>
          <w:color w:val="auto"/>
          <w:sz w:val="21"/>
          <w:szCs w:val="21"/>
        </w:rPr>
        <w:t>五、估价测算过程</w:t>
      </w:r>
      <w:r>
        <w:rPr>
          <w:color w:val="auto"/>
          <w:sz w:val="21"/>
          <w:szCs w:val="21"/>
        </w:rPr>
        <w:tab/>
      </w:r>
      <w:r>
        <w:rPr>
          <w:color w:val="auto"/>
          <w:sz w:val="21"/>
          <w:szCs w:val="21"/>
        </w:rPr>
        <w:fldChar w:fldCharType="begin"/>
      </w:r>
      <w:r>
        <w:rPr>
          <w:color w:val="auto"/>
          <w:sz w:val="21"/>
          <w:szCs w:val="21"/>
        </w:rPr>
        <w:instrText xml:space="preserve"> PAGEREF _Toc155267107 \h </w:instrText>
      </w:r>
      <w:r>
        <w:rPr>
          <w:color w:val="auto"/>
          <w:sz w:val="21"/>
          <w:szCs w:val="21"/>
        </w:rPr>
        <w:fldChar w:fldCharType="separate"/>
      </w:r>
      <w:r>
        <w:rPr>
          <w:color w:val="auto"/>
          <w:sz w:val="21"/>
          <w:szCs w:val="21"/>
        </w:rPr>
        <w:t>51</w:t>
      </w:r>
      <w:r>
        <w:rPr>
          <w:color w:val="auto"/>
          <w:sz w:val="21"/>
          <w:szCs w:val="21"/>
        </w:rPr>
        <w:fldChar w:fldCharType="end"/>
      </w:r>
      <w:r>
        <w:rPr>
          <w:color w:val="auto"/>
          <w:sz w:val="21"/>
          <w:szCs w:val="21"/>
        </w:rPr>
        <w:fldChar w:fldCharType="end"/>
      </w:r>
    </w:p>
    <w:p w14:paraId="7B8D141B">
      <w:pPr>
        <w:pStyle w:val="27"/>
        <w:rPr>
          <w:rFonts w:hint="eastAsia" w:ascii="等线" w:hAnsi="等线" w:eastAsia="等线"/>
          <w:color w:val="auto"/>
          <w:kern w:val="2"/>
          <w:sz w:val="21"/>
          <w:szCs w:val="21"/>
        </w:rPr>
      </w:pPr>
      <w:r>
        <w:rPr>
          <w:color w:val="auto"/>
        </w:rPr>
        <w:fldChar w:fldCharType="begin"/>
      </w:r>
      <w:r>
        <w:rPr>
          <w:color w:val="auto"/>
        </w:rPr>
        <w:instrText xml:space="preserve"> HYPERLINK \l "_Toc155267108" </w:instrText>
      </w:r>
      <w:r>
        <w:rPr>
          <w:color w:val="auto"/>
        </w:rPr>
        <w:fldChar w:fldCharType="separate"/>
      </w:r>
      <w:r>
        <w:rPr>
          <w:rStyle w:val="39"/>
          <w:rFonts w:eastAsia="宋体"/>
          <w:color w:val="auto"/>
          <w:sz w:val="21"/>
          <w:szCs w:val="21"/>
        </w:rPr>
        <w:t>六、估价结果确定</w:t>
      </w:r>
      <w:r>
        <w:rPr>
          <w:color w:val="auto"/>
          <w:sz w:val="21"/>
          <w:szCs w:val="21"/>
        </w:rPr>
        <w:tab/>
      </w:r>
      <w:r>
        <w:rPr>
          <w:color w:val="auto"/>
          <w:sz w:val="21"/>
          <w:szCs w:val="21"/>
        </w:rPr>
        <w:fldChar w:fldCharType="begin"/>
      </w:r>
      <w:r>
        <w:rPr>
          <w:color w:val="auto"/>
          <w:sz w:val="21"/>
          <w:szCs w:val="21"/>
        </w:rPr>
        <w:instrText xml:space="preserve"> PAGEREF _Toc155267108 \h </w:instrText>
      </w:r>
      <w:r>
        <w:rPr>
          <w:color w:val="auto"/>
          <w:sz w:val="21"/>
          <w:szCs w:val="21"/>
        </w:rPr>
        <w:fldChar w:fldCharType="separate"/>
      </w:r>
      <w:r>
        <w:rPr>
          <w:color w:val="auto"/>
          <w:sz w:val="21"/>
          <w:szCs w:val="21"/>
        </w:rPr>
        <w:t>79</w:t>
      </w:r>
      <w:r>
        <w:rPr>
          <w:color w:val="auto"/>
          <w:sz w:val="21"/>
          <w:szCs w:val="21"/>
        </w:rPr>
        <w:fldChar w:fldCharType="end"/>
      </w:r>
      <w:r>
        <w:rPr>
          <w:color w:val="auto"/>
          <w:sz w:val="21"/>
          <w:szCs w:val="21"/>
        </w:rPr>
        <w:fldChar w:fldCharType="end"/>
      </w:r>
    </w:p>
    <w:p w14:paraId="6E493C61">
      <w:pPr>
        <w:pStyle w:val="23"/>
        <w:rPr>
          <w:rFonts w:hint="eastAsia" w:ascii="等线" w:hAnsi="等线" w:eastAsia="等线"/>
          <w:b w:val="0"/>
          <w:bCs w:val="0"/>
          <w:color w:val="auto"/>
          <w:kern w:val="2"/>
          <w:sz w:val="24"/>
          <w:szCs w:val="24"/>
        </w:rPr>
      </w:pPr>
      <w:r>
        <w:rPr>
          <w:color w:val="auto"/>
        </w:rPr>
        <w:fldChar w:fldCharType="begin"/>
      </w:r>
      <w:r>
        <w:rPr>
          <w:color w:val="auto"/>
        </w:rPr>
        <w:instrText xml:space="preserve"> HYPERLINK \l "_Toc155267109" </w:instrText>
      </w:r>
      <w:r>
        <w:rPr>
          <w:color w:val="auto"/>
        </w:rPr>
        <w:fldChar w:fldCharType="separate"/>
      </w:r>
      <w:r>
        <w:rPr>
          <w:rStyle w:val="39"/>
          <w:rFonts w:eastAsia="方正黑体简体"/>
          <w:color w:val="auto"/>
          <w:sz w:val="24"/>
          <w:szCs w:val="24"/>
        </w:rPr>
        <w:t>附   件</w:t>
      </w:r>
      <w:r>
        <w:rPr>
          <w:color w:val="auto"/>
          <w:sz w:val="24"/>
          <w:szCs w:val="24"/>
        </w:rPr>
        <w:tab/>
      </w:r>
      <w:r>
        <w:rPr>
          <w:color w:val="auto"/>
          <w:sz w:val="24"/>
          <w:szCs w:val="24"/>
        </w:rPr>
        <w:fldChar w:fldCharType="begin"/>
      </w:r>
      <w:r>
        <w:rPr>
          <w:color w:val="auto"/>
          <w:sz w:val="24"/>
          <w:szCs w:val="24"/>
        </w:rPr>
        <w:instrText xml:space="preserve"> PAGEREF _Toc155267109 \h </w:instrText>
      </w:r>
      <w:r>
        <w:rPr>
          <w:color w:val="auto"/>
          <w:sz w:val="24"/>
          <w:szCs w:val="24"/>
        </w:rPr>
        <w:fldChar w:fldCharType="separate"/>
      </w:r>
      <w:r>
        <w:rPr>
          <w:color w:val="auto"/>
          <w:sz w:val="24"/>
          <w:szCs w:val="24"/>
        </w:rPr>
        <w:t>80</w:t>
      </w:r>
      <w:r>
        <w:rPr>
          <w:color w:val="auto"/>
          <w:sz w:val="24"/>
          <w:szCs w:val="24"/>
        </w:rPr>
        <w:fldChar w:fldCharType="end"/>
      </w:r>
      <w:r>
        <w:rPr>
          <w:color w:val="auto"/>
          <w:sz w:val="24"/>
          <w:szCs w:val="24"/>
        </w:rPr>
        <w:fldChar w:fldCharType="end"/>
      </w:r>
    </w:p>
    <w:p w14:paraId="0A9E36B9">
      <w:pPr>
        <w:numPr>
          <w:ilvl w:val="0"/>
          <w:numId w:val="5"/>
        </w:numPr>
        <w:spacing w:line="360" w:lineRule="auto"/>
        <w:jc w:val="both"/>
        <w:rPr>
          <w:rFonts w:ascii="Arial" w:hAnsi="Arial" w:cs="Arial"/>
          <w:color w:val="auto"/>
          <w:sz w:val="21"/>
          <w:szCs w:val="21"/>
        </w:rPr>
      </w:pPr>
      <w:r>
        <w:rPr>
          <w:rFonts w:ascii="宋体" w:hAnsi="宋体" w:cs="Arial"/>
          <w:color w:val="auto"/>
          <w:szCs w:val="24"/>
        </w:rPr>
        <w:fldChar w:fldCharType="end"/>
      </w:r>
      <w:r>
        <w:rPr>
          <w:rFonts w:hint="eastAsia" w:ascii="Arial" w:hAnsi="Arial" w:cs="Arial"/>
          <w:color w:val="auto"/>
          <w:sz w:val="21"/>
          <w:szCs w:val="21"/>
        </w:rPr>
        <w:t>《估价委托书》复印件</w:t>
      </w:r>
    </w:p>
    <w:p w14:paraId="72A616D2">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估价对象所在位置示意图</w:t>
      </w:r>
    </w:p>
    <w:p w14:paraId="68C6584B">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估价对象现状照片</w:t>
      </w:r>
    </w:p>
    <w:p w14:paraId="1C362591">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《北京市大兴区发展和改革委员会 关于转发大兴区采育镇城镇中心区定向安置房项目核准批复的通知》[京兴发改转（2010）3号]及附件复印件</w:t>
      </w:r>
    </w:p>
    <w:p w14:paraId="644BE9DD">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《国有土地使用证》[京兴国用（2010）出第00133、00134、00135号]部分复印件</w:t>
      </w:r>
    </w:p>
    <w:p w14:paraId="4F57BA58">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《北京市大兴区发展和改革委员会 关于转发大兴区采育镇区四号地01-0001A、B地块住宅混合公建用地、二类居住用地回迁安置房项目核准批复的通知》[京兴发改转（2012）27号]及附件复印件</w:t>
      </w:r>
    </w:p>
    <w:p w14:paraId="7394B3DB">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《北京市大兴区采育镇四号地01-0001A、01-0001B地块项目开发回购协议书补充协议》[兴采01-0001协字（2012）001号附件1]复印件</w:t>
      </w:r>
    </w:p>
    <w:p w14:paraId="2AC4DC5C">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《北京市大兴区住房和城乡建设委员会 关于采育数字时尚小镇保障性住房使用管理有关问题的请示》[京兴建文（2025）123号]复印件</w:t>
      </w:r>
    </w:p>
    <w:p w14:paraId="5D467C61">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《北京市大兴区住房和城乡建设委员会 关于采育数字时尚小镇保障性住房相关事宜专题会会议纪要》复印件</w:t>
      </w:r>
    </w:p>
    <w:p w14:paraId="741E6F99">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》[X京房权证兴字第144437、144436、144435、144444、1444440、144439、144442、144443、144449、144445、144447、194022号]复印件</w:t>
      </w:r>
    </w:p>
    <w:p w14:paraId="4EAC4308">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》[X京房权证兴字第100091、102139、102135、102136、102140、102137、102138、103831、102031、110683、110394、110393、110397、110396、110395、110392、110389号]复印件</w:t>
      </w:r>
    </w:p>
    <w:p w14:paraId="41946CE3">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》[X京房权证兴字第103107、103825号]复印件</w:t>
      </w:r>
    </w:p>
    <w:p w14:paraId="76221847">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》[X京房权证兴字第146943、146944、102030、100093、102028号]复印件</w:t>
      </w:r>
    </w:p>
    <w:p w14:paraId="150A5781">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《北京市房屋建筑和市政基础设施工程竣工验收备案表》[编号：1004大竣2012（建）0138号、1005大竣2012（建）0139号、1006大竣2012（建）0140号、1007大竣2012（建）0141号]复印件</w:t>
      </w:r>
    </w:p>
    <w:p w14:paraId="48CB9F25">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《北京市房屋建筑和市政基础设施工程竣工验收备案表》[编号：0327大竣2014（建）0049号、0149大竣2014（建）0029号、0150大竣2014（建）0030号、0151大竣2014（建）0031号]复印件</w:t>
      </w:r>
    </w:p>
    <w:p w14:paraId="46A51985">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《采育数字时尚小镇保障性住房趸组协议》及其附件复印件</w:t>
      </w:r>
    </w:p>
    <w:p w14:paraId="46D0DD4E">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估价委托人《营业执照（副本）》复印件</w:t>
      </w:r>
    </w:p>
    <w:p w14:paraId="55C6D8F2">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房地产估价机构《营业执照（副本）》复印件</w:t>
      </w:r>
    </w:p>
    <w:p w14:paraId="487D8D10">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房地产估价机构资质证书复印件</w:t>
      </w:r>
    </w:p>
    <w:p w14:paraId="13996DCA">
      <w:pPr>
        <w:numPr>
          <w:ilvl w:val="0"/>
          <w:numId w:val="5"/>
        </w:numPr>
        <w:spacing w:line="360" w:lineRule="auto"/>
        <w:jc w:val="both"/>
        <w:rPr>
          <w:rFonts w:ascii="Arial" w:hAnsi="Arial" w:cs="Arial"/>
          <w:color w:val="auto"/>
          <w:sz w:val="21"/>
          <w:szCs w:val="21"/>
        </w:rPr>
      </w:pPr>
      <w:r>
        <w:rPr>
          <w:rFonts w:hint="eastAsia" w:ascii="Arial" w:hAnsi="Arial" w:cs="Arial"/>
          <w:color w:val="auto"/>
          <w:sz w:val="21"/>
          <w:szCs w:val="21"/>
        </w:rPr>
        <w:t>评估专业人员执业证书复印件</w:t>
      </w:r>
    </w:p>
    <w:p w14:paraId="0015A319">
      <w:pPr>
        <w:spacing w:line="240" w:lineRule="auto"/>
        <w:jc w:val="both"/>
        <w:outlineLvl w:val="0"/>
        <w:rPr>
          <w:rFonts w:ascii="Arial" w:hAnsi="Arial" w:eastAsia="楷体_GB2312" w:cs="Arial"/>
          <w:i/>
          <w:color w:val="auto"/>
          <w:kern w:val="2"/>
          <w:sz w:val="28"/>
          <w:szCs w:val="28"/>
        </w:rPr>
        <w:sectPr>
          <w:headerReference r:id="rId12" w:type="first"/>
          <w:headerReference r:id="rId10" w:type="default"/>
          <w:headerReference r:id="rId11" w:type="even"/>
          <w:pgSz w:w="11907" w:h="16840"/>
          <w:pgMar w:top="1843" w:right="1134" w:bottom="1134" w:left="1134" w:header="1134" w:footer="907" w:gutter="340"/>
          <w:cols w:space="720" w:num="1"/>
          <w:docGrid w:linePitch="326" w:charSpace="0"/>
        </w:sectPr>
      </w:pPr>
    </w:p>
    <w:p w14:paraId="591E98D9">
      <w:pPr>
        <w:pStyle w:val="2"/>
        <w:spacing w:line="480" w:lineRule="auto"/>
        <w:jc w:val="center"/>
        <w:rPr>
          <w:rFonts w:eastAsia="方正黑体简体"/>
          <w:b w:val="0"/>
          <w:color w:val="auto"/>
          <w:kern w:val="2"/>
          <w:sz w:val="32"/>
          <w:szCs w:val="32"/>
        </w:rPr>
      </w:pPr>
      <w:bookmarkStart w:id="5" w:name="_Toc379795041"/>
      <w:bookmarkStart w:id="6" w:name="_Toc155267083"/>
      <w:r>
        <w:rPr>
          <w:rFonts w:hint="eastAsia" w:eastAsia="方正黑体简体"/>
          <w:b w:val="0"/>
          <w:color w:val="auto"/>
          <w:kern w:val="2"/>
          <w:sz w:val="32"/>
          <w:szCs w:val="32"/>
        </w:rPr>
        <w:t>估价师声明</w:t>
      </w:r>
      <w:bookmarkEnd w:id="5"/>
      <w:bookmarkEnd w:id="6"/>
    </w:p>
    <w:p w14:paraId="05DAA177">
      <w:pPr>
        <w:spacing w:line="480" w:lineRule="auto"/>
        <w:jc w:val="both"/>
        <w:outlineLvl w:val="0"/>
        <w:rPr>
          <w:rFonts w:ascii="Arial" w:hAnsi="Arial" w:cs="Arial"/>
          <w:color w:val="auto"/>
          <w:kern w:val="2"/>
          <w:sz w:val="21"/>
          <w:szCs w:val="21"/>
        </w:rPr>
      </w:pPr>
      <w:r>
        <w:rPr>
          <w:rFonts w:ascii="Arial" w:hAnsi="Arial" w:cs="Arial"/>
          <w:color w:val="auto"/>
          <w:kern w:val="2"/>
          <w:sz w:val="21"/>
          <w:szCs w:val="21"/>
        </w:rPr>
        <w:t>注册房地产估价师郑重声明：</w:t>
      </w:r>
    </w:p>
    <w:p w14:paraId="2F71112C">
      <w:pPr>
        <w:spacing w:line="480" w:lineRule="auto"/>
        <w:jc w:val="both"/>
        <w:outlineLvl w:val="0"/>
        <w:rPr>
          <w:rFonts w:ascii="Arial" w:hAnsi="Arial" w:cs="Arial"/>
          <w:color w:val="auto"/>
          <w:kern w:val="2"/>
          <w:sz w:val="21"/>
          <w:szCs w:val="21"/>
        </w:rPr>
      </w:pPr>
      <w:bookmarkStart w:id="7" w:name="_Toc168225811"/>
      <w:r>
        <w:rPr>
          <w:rFonts w:ascii="Arial" w:hAnsi="Arial" w:cs="Arial"/>
          <w:color w:val="auto"/>
          <w:kern w:val="2"/>
          <w:sz w:val="21"/>
          <w:szCs w:val="21"/>
        </w:rPr>
        <w:t>（一）注册房地产估价师在本估价报告中对事实的说明是真实的和准确的，没有虚假记载、误导性陈述和重大遗漏。</w:t>
      </w:r>
    </w:p>
    <w:p w14:paraId="1FAC8EA4">
      <w:pPr>
        <w:spacing w:line="480" w:lineRule="auto"/>
        <w:jc w:val="both"/>
        <w:outlineLvl w:val="0"/>
        <w:rPr>
          <w:rFonts w:ascii="Arial" w:hAnsi="Arial" w:cs="Arial"/>
          <w:color w:val="auto"/>
          <w:kern w:val="2"/>
          <w:sz w:val="21"/>
          <w:szCs w:val="21"/>
        </w:rPr>
      </w:pPr>
      <w:r>
        <w:rPr>
          <w:rFonts w:ascii="Arial" w:hAnsi="Arial" w:cs="Arial"/>
          <w:color w:val="auto"/>
          <w:kern w:val="2"/>
          <w:sz w:val="21"/>
          <w:szCs w:val="21"/>
        </w:rPr>
        <w:t>（二）本估价报告中的分析、意见和结论是注册房地产估价师独立、客观、公正的专业分析、意见和结论，但受到本估价报告中已说明的估价假设和限制条件的限制。</w:t>
      </w:r>
    </w:p>
    <w:p w14:paraId="39E8F242">
      <w:pPr>
        <w:spacing w:line="480" w:lineRule="auto"/>
        <w:jc w:val="both"/>
        <w:outlineLvl w:val="0"/>
        <w:rPr>
          <w:rFonts w:ascii="Arial" w:hAnsi="Arial" w:cs="Arial"/>
          <w:color w:val="auto"/>
          <w:kern w:val="2"/>
          <w:sz w:val="21"/>
          <w:szCs w:val="21"/>
        </w:rPr>
      </w:pPr>
      <w:r>
        <w:rPr>
          <w:rFonts w:ascii="Arial" w:hAnsi="Arial" w:cs="Arial"/>
          <w:color w:val="auto"/>
          <w:kern w:val="2"/>
          <w:sz w:val="21"/>
          <w:szCs w:val="21"/>
        </w:rPr>
        <w:t>（三）</w:t>
      </w:r>
      <w:r>
        <w:rPr>
          <w:rFonts w:hint="eastAsia" w:ascii="Arial" w:hAnsi="Arial" w:cs="Arial"/>
          <w:color w:val="auto"/>
          <w:kern w:val="2"/>
          <w:sz w:val="21"/>
          <w:szCs w:val="21"/>
        </w:rPr>
        <w:t>评估专业人员已对估价对象进行了实地查勘。我们</w:t>
      </w:r>
      <w:r>
        <w:rPr>
          <w:rFonts w:ascii="Arial" w:hAnsi="Arial" w:cs="Arial"/>
          <w:color w:val="auto"/>
          <w:kern w:val="2"/>
          <w:sz w:val="21"/>
          <w:szCs w:val="21"/>
        </w:rPr>
        <w:t>与估价报告中的估价对象没有现实或潜在的利益，与估价委托人及估价利害关系人没有利害关系，也对本估价报告中的估价对象、估价委托人及估价利害关系人没有偏见。</w:t>
      </w:r>
    </w:p>
    <w:p w14:paraId="38A2AF29">
      <w:pPr>
        <w:spacing w:line="480" w:lineRule="auto"/>
        <w:jc w:val="both"/>
        <w:outlineLvl w:val="0"/>
        <w:rPr>
          <w:rFonts w:ascii="Arial" w:hAnsi="Arial" w:cs="Arial"/>
          <w:color w:val="auto"/>
          <w:kern w:val="2"/>
          <w:sz w:val="21"/>
          <w:szCs w:val="21"/>
        </w:rPr>
      </w:pPr>
      <w:r>
        <w:rPr>
          <w:rFonts w:ascii="Arial" w:hAnsi="Arial" w:cs="Arial"/>
          <w:color w:val="auto"/>
          <w:kern w:val="2"/>
          <w:sz w:val="21"/>
          <w:szCs w:val="21"/>
        </w:rPr>
        <w:t>（四）注册房地产估价师依照中华人民共和国国家标准《房地产估价规范》</w:t>
      </w:r>
      <w:bookmarkStart w:id="8" w:name="_Hlk130229083"/>
      <w:r>
        <w:rPr>
          <w:rFonts w:ascii="Arial" w:hAnsi="Arial" w:cs="Arial"/>
          <w:color w:val="auto"/>
          <w:kern w:val="2"/>
          <w:sz w:val="21"/>
          <w:szCs w:val="21"/>
        </w:rPr>
        <w:t>[GB/T</w:t>
      </w:r>
      <w:r>
        <w:rPr>
          <w:rFonts w:hint="eastAsia" w:ascii="Arial" w:hAnsi="Arial" w:cs="Arial"/>
          <w:color w:val="auto"/>
          <w:kern w:val="2"/>
          <w:sz w:val="21"/>
          <w:szCs w:val="21"/>
        </w:rPr>
        <w:t xml:space="preserve"> </w:t>
      </w:r>
      <w:r>
        <w:rPr>
          <w:rFonts w:ascii="Arial" w:hAnsi="Arial" w:cs="Arial"/>
          <w:color w:val="auto"/>
          <w:kern w:val="2"/>
          <w:sz w:val="21"/>
          <w:szCs w:val="21"/>
        </w:rPr>
        <w:t>50291-2015]</w:t>
      </w:r>
      <w:bookmarkEnd w:id="8"/>
      <w:r>
        <w:rPr>
          <w:rFonts w:hint="eastAsia" w:ascii="Arial" w:hAnsi="Arial" w:cs="Arial"/>
          <w:color w:val="auto"/>
          <w:kern w:val="2"/>
          <w:sz w:val="21"/>
          <w:szCs w:val="21"/>
        </w:rPr>
        <w:t>、《</w:t>
      </w:r>
      <w:r>
        <w:rPr>
          <w:rFonts w:ascii="Arial" w:hAnsi="Arial" w:cs="Arial"/>
          <w:color w:val="auto"/>
          <w:kern w:val="2"/>
          <w:sz w:val="21"/>
          <w:szCs w:val="21"/>
        </w:rPr>
        <w:t>房地产估价基本术语标</w:t>
      </w:r>
      <w:r>
        <w:rPr>
          <w:rFonts w:hint="eastAsia" w:ascii="Arial" w:hAnsi="Arial" w:cs="Arial"/>
          <w:color w:val="auto"/>
          <w:kern w:val="2"/>
          <w:sz w:val="21"/>
          <w:szCs w:val="21"/>
        </w:rPr>
        <w:t>准》</w:t>
      </w:r>
      <w:bookmarkStart w:id="9" w:name="_Hlk130229088"/>
      <w:r>
        <w:rPr>
          <w:rFonts w:ascii="Arial" w:hAnsi="Arial" w:cs="Arial"/>
          <w:color w:val="auto"/>
          <w:kern w:val="2"/>
          <w:sz w:val="21"/>
          <w:szCs w:val="21"/>
        </w:rPr>
        <w:t>[GB/T</w:t>
      </w:r>
      <w:r>
        <w:rPr>
          <w:rFonts w:hint="eastAsia" w:ascii="Arial" w:hAnsi="Arial" w:cs="Arial"/>
          <w:color w:val="auto"/>
          <w:kern w:val="2"/>
          <w:sz w:val="21"/>
          <w:szCs w:val="21"/>
        </w:rPr>
        <w:t xml:space="preserve"> </w:t>
      </w:r>
      <w:r>
        <w:rPr>
          <w:rFonts w:ascii="Arial" w:hAnsi="Arial" w:cs="Arial"/>
          <w:color w:val="auto"/>
          <w:kern w:val="2"/>
          <w:sz w:val="21"/>
          <w:szCs w:val="21"/>
        </w:rPr>
        <w:t>50899-2013]</w:t>
      </w:r>
      <w:bookmarkEnd w:id="9"/>
      <w:r>
        <w:rPr>
          <w:rFonts w:ascii="Arial" w:hAnsi="Arial" w:cs="Arial"/>
          <w:color w:val="auto"/>
          <w:kern w:val="2"/>
          <w:sz w:val="21"/>
          <w:szCs w:val="21"/>
        </w:rPr>
        <w:t>以及相关房地产估价专项标准，撰写本估价报告。</w:t>
      </w:r>
    </w:p>
    <w:p w14:paraId="542681EC">
      <w:pPr>
        <w:rPr>
          <w:rFonts w:ascii="Arial" w:hAnsi="Arial" w:eastAsia="楷体_GB2312" w:cs="Arial"/>
          <w:color w:val="auto"/>
          <w:kern w:val="2"/>
          <w:sz w:val="28"/>
        </w:rPr>
        <w:sectPr>
          <w:headerReference r:id="rId15" w:type="first"/>
          <w:footerReference r:id="rId16" w:type="first"/>
          <w:headerReference r:id="rId13" w:type="default"/>
          <w:headerReference r:id="rId14" w:type="even"/>
          <w:pgSz w:w="11907" w:h="16840"/>
          <w:pgMar w:top="1843" w:right="1134" w:bottom="1134" w:left="1134" w:header="1134" w:footer="907" w:gutter="340"/>
          <w:cols w:space="720" w:num="1"/>
          <w:docGrid w:linePitch="326" w:charSpace="0"/>
        </w:sectPr>
      </w:pPr>
    </w:p>
    <w:p w14:paraId="64532641">
      <w:pPr>
        <w:pStyle w:val="2"/>
        <w:spacing w:line="480" w:lineRule="auto"/>
        <w:jc w:val="center"/>
        <w:rPr>
          <w:rFonts w:eastAsia="方正黑体简体"/>
          <w:b w:val="0"/>
          <w:color w:val="auto"/>
          <w:kern w:val="2"/>
          <w:sz w:val="32"/>
          <w:szCs w:val="32"/>
        </w:rPr>
      </w:pPr>
      <w:bookmarkStart w:id="10" w:name="_Toc155267084"/>
      <w:bookmarkStart w:id="11" w:name="_Toc379795042"/>
      <w:r>
        <w:rPr>
          <w:rFonts w:hint="eastAsia" w:eastAsia="方正黑体简体"/>
          <w:b w:val="0"/>
          <w:color w:val="auto"/>
          <w:kern w:val="2"/>
          <w:sz w:val="32"/>
          <w:szCs w:val="32"/>
        </w:rPr>
        <w:t>估价假设和限制条件</w:t>
      </w:r>
      <w:bookmarkEnd w:id="10"/>
      <w:bookmarkEnd w:id="11"/>
    </w:p>
    <w:p w14:paraId="64EF7E8D">
      <w:pPr>
        <w:spacing w:line="480" w:lineRule="auto"/>
        <w:jc w:val="both"/>
        <w:outlineLvl w:val="0"/>
        <w:rPr>
          <w:rFonts w:ascii="Arial" w:hAnsi="Arial" w:cs="Arial"/>
          <w:b/>
          <w:color w:val="auto"/>
          <w:kern w:val="2"/>
          <w:sz w:val="21"/>
          <w:szCs w:val="21"/>
        </w:rPr>
      </w:pPr>
      <w:r>
        <w:rPr>
          <w:rFonts w:ascii="Arial" w:hAnsi="Arial" w:cs="Arial"/>
          <w:b/>
          <w:color w:val="auto"/>
          <w:kern w:val="2"/>
          <w:sz w:val="21"/>
          <w:szCs w:val="21"/>
        </w:rPr>
        <w:t>（一）</w:t>
      </w:r>
      <w:r>
        <w:rPr>
          <w:rFonts w:hint="eastAsia" w:ascii="Arial" w:hAnsi="Arial" w:cs="Arial"/>
          <w:b/>
          <w:color w:val="auto"/>
          <w:kern w:val="2"/>
          <w:sz w:val="21"/>
          <w:szCs w:val="21"/>
        </w:rPr>
        <w:t>本次估价的一般假设</w:t>
      </w:r>
    </w:p>
    <w:p w14:paraId="52D6D97D">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1.在</w:t>
      </w:r>
      <w:r>
        <w:rPr>
          <w:rFonts w:hint="eastAsia" w:ascii="Arial" w:hAnsi="Arial" w:cs="Arial"/>
          <w:color w:val="auto"/>
          <w:kern w:val="2"/>
          <w:sz w:val="21"/>
          <w:szCs w:val="21"/>
        </w:rPr>
        <w:t>估价时段</w:t>
      </w:r>
      <w:r>
        <w:rPr>
          <w:rFonts w:ascii="Arial" w:hAnsi="Arial" w:cs="Arial"/>
          <w:color w:val="auto"/>
          <w:kern w:val="2"/>
          <w:sz w:val="21"/>
          <w:szCs w:val="21"/>
        </w:rPr>
        <w:t>的房地产</w:t>
      </w:r>
      <w:r>
        <w:rPr>
          <w:rFonts w:hint="eastAsia" w:ascii="Arial" w:hAnsi="Arial" w:cs="Arial"/>
          <w:color w:val="auto"/>
          <w:kern w:val="2"/>
          <w:sz w:val="21"/>
          <w:szCs w:val="21"/>
        </w:rPr>
        <w:t>租赁</w:t>
      </w:r>
      <w:r>
        <w:rPr>
          <w:rFonts w:ascii="Arial" w:hAnsi="Arial" w:cs="Arial"/>
          <w:color w:val="auto"/>
          <w:kern w:val="2"/>
          <w:sz w:val="21"/>
          <w:szCs w:val="21"/>
        </w:rPr>
        <w:t>市场为公开、平等、自愿的交易市场。</w:t>
      </w:r>
    </w:p>
    <w:p w14:paraId="17626A54">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2.</w:t>
      </w:r>
      <w:r>
        <w:rPr>
          <w:rFonts w:ascii="Arial" w:hAnsi="Arial" w:cs="Arial"/>
          <w:color w:val="auto"/>
          <w:kern w:val="2"/>
          <w:sz w:val="21"/>
        </w:rPr>
        <w:t>以估价对象为符合法律、法规规定，在市场上可进行出租的房地产为假设前提。</w:t>
      </w:r>
    </w:p>
    <w:p w14:paraId="3595CACB">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rPr>
        <w:t>3</w:t>
      </w:r>
      <w:r>
        <w:rPr>
          <w:rFonts w:ascii="Arial" w:hAnsi="Arial" w:cs="Arial"/>
          <w:color w:val="auto"/>
          <w:kern w:val="2"/>
          <w:sz w:val="21"/>
        </w:rPr>
        <w:t>.以</w:t>
      </w:r>
      <w:r>
        <w:rPr>
          <w:rFonts w:hint="eastAsia" w:ascii="Arial" w:hAnsi="Arial" w:cs="Arial"/>
          <w:color w:val="auto"/>
          <w:kern w:val="2"/>
          <w:sz w:val="21"/>
        </w:rPr>
        <w:t>估价委托人</w:t>
      </w:r>
      <w:r>
        <w:rPr>
          <w:rFonts w:ascii="Arial" w:hAnsi="Arial" w:cs="Arial"/>
          <w:color w:val="auto"/>
          <w:kern w:val="2"/>
          <w:sz w:val="21"/>
        </w:rPr>
        <w:t>能按照设定用途</w:t>
      </w:r>
      <w:r>
        <w:rPr>
          <w:rFonts w:hint="eastAsia" w:ascii="宋体" w:hAnsi="宋体"/>
          <w:color w:val="auto"/>
          <w:kern w:val="2"/>
          <w:sz w:val="21"/>
        </w:rPr>
        <w:t>正常使用并可持续对外出租</w:t>
      </w:r>
      <w:r>
        <w:rPr>
          <w:rFonts w:ascii="Arial" w:hAnsi="Arial" w:cs="Arial"/>
          <w:color w:val="auto"/>
          <w:kern w:val="2"/>
          <w:sz w:val="21"/>
        </w:rPr>
        <w:t>为假设前提。</w:t>
      </w:r>
    </w:p>
    <w:p w14:paraId="4E91A304">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4.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44279F0E">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5</w:t>
      </w:r>
      <w:r>
        <w:rPr>
          <w:rFonts w:hint="eastAsia" w:ascii="Arial" w:hAnsi="Arial" w:cs="Arial"/>
          <w:color w:val="auto"/>
          <w:kern w:val="2"/>
          <w:sz w:val="21"/>
          <w:szCs w:val="21"/>
        </w:rPr>
        <w:t>.本次估价结果是在满足全部假设与限制条件下，于价值时点2025年12月26日，</w:t>
      </w:r>
      <w:r>
        <w:rPr>
          <w:rFonts w:hint="eastAsia" w:ascii="Arial" w:hAnsi="Arial" w:cs="Arial"/>
          <w:color w:val="auto"/>
          <w:sz w:val="21"/>
          <w:szCs w:val="21"/>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3F0DA451">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6</w:t>
      </w:r>
      <w:r>
        <w:rPr>
          <w:rFonts w:hint="eastAsia" w:ascii="Arial" w:hAnsi="Arial" w:cs="Arial"/>
          <w:color w:val="auto"/>
          <w:kern w:val="2"/>
          <w:sz w:val="21"/>
          <w:szCs w:val="21"/>
        </w:rPr>
        <w:t>.本次估价所涉及</w:t>
      </w:r>
      <w:r>
        <w:rPr>
          <w:rFonts w:ascii="Arial" w:hAnsi="Arial" w:cs="Arial"/>
          <w:color w:val="auto"/>
          <w:kern w:val="2"/>
          <w:sz w:val="21"/>
          <w:szCs w:val="21"/>
        </w:rPr>
        <w:t>估价对象</w:t>
      </w:r>
      <w:r>
        <w:rPr>
          <w:rFonts w:hint="eastAsia" w:ascii="Arial" w:hAnsi="Arial" w:cs="Arial"/>
          <w:color w:val="auto"/>
          <w:kern w:val="2"/>
          <w:sz w:val="21"/>
          <w:szCs w:val="21"/>
        </w:rPr>
        <w:t>坐落、户型、建筑面积、朝向、套数、装修及设备等情况均以估价委托人提供的《估价委托书》、</w:t>
      </w:r>
      <w:r>
        <w:rPr>
          <w:rFonts w:hint="eastAsia" w:ascii="Arial" w:hAnsi="Arial" w:cs="Arial"/>
          <w:color w:val="auto"/>
          <w:sz w:val="21"/>
          <w:szCs w:val="21"/>
        </w:rPr>
        <w:t>《采育数字时尚小镇保障性住房趸组协议》及其附件</w:t>
      </w:r>
      <w:r>
        <w:rPr>
          <w:rFonts w:ascii="Arial" w:hAnsi="Arial" w:cs="Arial"/>
          <w:color w:val="auto"/>
          <w:kern w:val="2"/>
          <w:sz w:val="21"/>
          <w:szCs w:val="21"/>
        </w:rPr>
        <w:t>为</w:t>
      </w:r>
      <w:r>
        <w:rPr>
          <w:rFonts w:ascii="Arial" w:hAnsi="Arial" w:cs="Arial"/>
          <w:color w:val="auto"/>
          <w:sz w:val="21"/>
          <w:szCs w:val="21"/>
        </w:rPr>
        <w:t>依据。</w:t>
      </w:r>
      <w:r>
        <w:rPr>
          <w:rFonts w:ascii="Arial" w:hAnsi="Arial" w:cs="Arial"/>
          <w:color w:val="auto"/>
          <w:kern w:val="2"/>
          <w:sz w:val="21"/>
        </w:rPr>
        <w:t>如上述情况发生变化，估价结果需做相应调整，在此提请报告使用者注意。</w:t>
      </w:r>
    </w:p>
    <w:p w14:paraId="0965952A">
      <w:pPr>
        <w:spacing w:line="480" w:lineRule="auto"/>
        <w:ind w:firstLine="420" w:firstLineChars="200"/>
        <w:jc w:val="both"/>
        <w:rPr>
          <w:rFonts w:ascii="Arial" w:hAnsi="Arial" w:cs="Arial"/>
          <w:color w:val="auto"/>
          <w:kern w:val="2"/>
          <w:sz w:val="21"/>
          <w:szCs w:val="21"/>
        </w:rPr>
      </w:pPr>
      <w:r>
        <w:rPr>
          <w:rFonts w:ascii="Arial" w:hAnsi="Arial" w:cs="Arial"/>
          <w:color w:val="auto"/>
          <w:sz w:val="21"/>
          <w:szCs w:val="21"/>
        </w:rPr>
        <w:t>7.</w:t>
      </w:r>
      <w:r>
        <w:rPr>
          <w:rFonts w:ascii="Arial" w:hAnsi="Arial" w:cs="Arial"/>
          <w:color w:val="auto"/>
          <w:kern w:val="2"/>
          <w:sz w:val="21"/>
          <w:szCs w:val="21"/>
        </w:rPr>
        <w:t>评估专业人员</w:t>
      </w:r>
      <w:r>
        <w:rPr>
          <w:rFonts w:hint="eastAsia" w:ascii="Arial" w:hAnsi="Arial" w:cs="Arial"/>
          <w:color w:val="auto"/>
          <w:kern w:val="2"/>
          <w:sz w:val="21"/>
          <w:szCs w:val="21"/>
        </w:rPr>
        <w:t>仅</w:t>
      </w:r>
      <w:r>
        <w:rPr>
          <w:rFonts w:ascii="Arial" w:hAnsi="Arial" w:cs="Arial"/>
          <w:color w:val="auto"/>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91828A7">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8.任何有关估价对象的运作方式、程序符合国家、地方的有关法律、法规。</w:t>
      </w:r>
    </w:p>
    <w:p w14:paraId="4EDC5194">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9.本次估价结果未考虑国家宏观政策发生重大变化以及遇有自然力和其他不可抗力对估价结果的影响。</w:t>
      </w:r>
    </w:p>
    <w:p w14:paraId="75327C78">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10</w:t>
      </w:r>
      <w:r>
        <w:rPr>
          <w:rFonts w:hint="eastAsia" w:ascii="Arial" w:hAnsi="Arial" w:cs="Arial"/>
          <w:color w:val="auto"/>
          <w:kern w:val="2"/>
          <w:sz w:val="21"/>
          <w:szCs w:val="21"/>
        </w:rPr>
        <w:t>.</w:t>
      </w:r>
      <w:r>
        <w:rPr>
          <w:rFonts w:ascii="Arial" w:hAnsi="Arial" w:cs="Arial"/>
          <w:color w:val="auto"/>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color w:val="auto"/>
          <w:kern w:val="2"/>
          <w:sz w:val="21"/>
          <w:szCs w:val="21"/>
        </w:rPr>
        <w:t>租赁价格水平</w:t>
      </w:r>
      <w:bookmarkEnd w:id="12"/>
      <w:r>
        <w:rPr>
          <w:rFonts w:ascii="Arial" w:hAnsi="Arial" w:cs="Arial"/>
          <w:color w:val="auto"/>
          <w:kern w:val="2"/>
          <w:sz w:val="21"/>
          <w:szCs w:val="21"/>
        </w:rPr>
        <w:t>的影响。</w:t>
      </w:r>
    </w:p>
    <w:p w14:paraId="2CDE0267">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1</w:t>
      </w:r>
      <w:r>
        <w:rPr>
          <w:rFonts w:ascii="Arial" w:hAnsi="Arial" w:cs="Arial"/>
          <w:color w:val="auto"/>
          <w:kern w:val="2"/>
          <w:sz w:val="21"/>
          <w:szCs w:val="21"/>
        </w:rPr>
        <w:t>1</w:t>
      </w:r>
      <w:r>
        <w:rPr>
          <w:rFonts w:hint="eastAsia" w:ascii="Arial" w:hAnsi="Arial" w:cs="Arial"/>
          <w:color w:val="auto"/>
          <w:kern w:val="2"/>
          <w:sz w:val="21"/>
          <w:szCs w:val="21"/>
        </w:rPr>
        <w:t>.评估专业人员于2025年</w:t>
      </w:r>
      <w:r>
        <w:rPr>
          <w:rFonts w:hint="eastAsia" w:ascii="Arial" w:hAnsi="Arial" w:cs="Arial"/>
          <w:color w:val="auto"/>
          <w:kern w:val="2"/>
          <w:sz w:val="21"/>
          <w:szCs w:val="21"/>
          <w:lang w:val="en-US" w:eastAsia="zh-CN"/>
        </w:rPr>
        <w:t>10</w:t>
      </w:r>
      <w:r>
        <w:rPr>
          <w:rFonts w:hint="eastAsia" w:ascii="Arial" w:hAnsi="Arial" w:cs="Arial"/>
          <w:color w:val="auto"/>
          <w:kern w:val="2"/>
          <w:sz w:val="21"/>
          <w:szCs w:val="21"/>
        </w:rPr>
        <w:t>月</w:t>
      </w:r>
      <w:r>
        <w:rPr>
          <w:rFonts w:hint="eastAsia" w:ascii="Arial" w:hAnsi="Arial" w:cs="Arial"/>
          <w:color w:val="auto"/>
          <w:kern w:val="2"/>
          <w:sz w:val="21"/>
          <w:szCs w:val="21"/>
          <w:lang w:val="en-US" w:eastAsia="zh-CN"/>
        </w:rPr>
        <w:t>27</w:t>
      </w:r>
      <w:r>
        <w:rPr>
          <w:rFonts w:hint="eastAsia" w:ascii="Arial" w:hAnsi="Arial" w:cs="Arial"/>
          <w:color w:val="auto"/>
          <w:kern w:val="2"/>
          <w:sz w:val="21"/>
          <w:szCs w:val="21"/>
        </w:rPr>
        <w:t>日对估价对象现状利用状况进行了实地查勘。本次评估设定估价对象在价值时点2025年12月26日的现状利用状况同实地勘察日利用状况相同。</w:t>
      </w:r>
    </w:p>
    <w:p w14:paraId="5C0EF82B">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1</w:t>
      </w:r>
      <w:r>
        <w:rPr>
          <w:rFonts w:ascii="Arial" w:hAnsi="Arial" w:cs="Arial"/>
          <w:color w:val="auto"/>
          <w:kern w:val="2"/>
          <w:sz w:val="21"/>
          <w:szCs w:val="21"/>
        </w:rPr>
        <w:t>2</w:t>
      </w:r>
      <w:r>
        <w:rPr>
          <w:rFonts w:hint="eastAsia" w:ascii="Arial" w:hAnsi="Arial" w:cs="Arial"/>
          <w:color w:val="auto"/>
          <w:kern w:val="2"/>
          <w:sz w:val="21"/>
          <w:szCs w:val="21"/>
        </w:rPr>
        <w:t>.根据估价目的，本次估价未考虑抵押、租赁、地役、查封等他项权利影响，故设定估价对象于价值时点不存在抵押、租赁、地役、查封等他项权利限制。</w:t>
      </w:r>
    </w:p>
    <w:p w14:paraId="45535FCA">
      <w:pPr>
        <w:spacing w:line="480" w:lineRule="auto"/>
        <w:jc w:val="both"/>
        <w:outlineLvl w:val="0"/>
        <w:rPr>
          <w:rFonts w:ascii="Arial" w:hAnsi="Arial" w:cs="Arial"/>
          <w:b/>
          <w:color w:val="auto"/>
          <w:kern w:val="2"/>
          <w:sz w:val="21"/>
          <w:szCs w:val="21"/>
        </w:rPr>
      </w:pPr>
      <w:r>
        <w:rPr>
          <w:rFonts w:ascii="Arial" w:hAnsi="Arial" w:cs="Arial"/>
          <w:b/>
          <w:color w:val="auto"/>
          <w:kern w:val="2"/>
          <w:sz w:val="21"/>
          <w:szCs w:val="21"/>
        </w:rPr>
        <w:t>（</w:t>
      </w:r>
      <w:r>
        <w:rPr>
          <w:rFonts w:hint="eastAsia" w:ascii="Arial" w:hAnsi="Arial" w:cs="Arial"/>
          <w:b/>
          <w:color w:val="auto"/>
          <w:kern w:val="2"/>
          <w:sz w:val="21"/>
          <w:szCs w:val="21"/>
        </w:rPr>
        <w:t>二</w:t>
      </w:r>
      <w:r>
        <w:rPr>
          <w:rFonts w:ascii="Arial" w:hAnsi="Arial" w:cs="Arial"/>
          <w:b/>
          <w:color w:val="auto"/>
          <w:kern w:val="2"/>
          <w:sz w:val="21"/>
          <w:szCs w:val="21"/>
        </w:rPr>
        <w:t>）</w:t>
      </w:r>
      <w:r>
        <w:rPr>
          <w:rFonts w:hint="eastAsia" w:ascii="Arial" w:hAnsi="Arial" w:cs="Arial"/>
          <w:b/>
          <w:color w:val="auto"/>
          <w:kern w:val="2"/>
          <w:sz w:val="21"/>
          <w:szCs w:val="21"/>
        </w:rPr>
        <w:t>本次估价的未定事项假设</w:t>
      </w:r>
    </w:p>
    <w:p w14:paraId="2A8E9DE1">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无。</w:t>
      </w:r>
    </w:p>
    <w:p w14:paraId="3C4B7DE1">
      <w:pPr>
        <w:spacing w:line="480" w:lineRule="auto"/>
        <w:jc w:val="both"/>
        <w:outlineLvl w:val="0"/>
        <w:rPr>
          <w:rFonts w:ascii="Arial" w:hAnsi="Arial" w:cs="Arial"/>
          <w:b/>
          <w:color w:val="auto"/>
          <w:kern w:val="2"/>
          <w:sz w:val="21"/>
          <w:szCs w:val="21"/>
        </w:rPr>
      </w:pPr>
      <w:r>
        <w:rPr>
          <w:rFonts w:ascii="Arial" w:hAnsi="Arial" w:cs="Arial"/>
          <w:b/>
          <w:color w:val="auto"/>
          <w:kern w:val="2"/>
          <w:sz w:val="21"/>
          <w:szCs w:val="21"/>
        </w:rPr>
        <w:t>（</w:t>
      </w:r>
      <w:r>
        <w:rPr>
          <w:rFonts w:hint="eastAsia" w:ascii="Arial" w:hAnsi="Arial" w:cs="Arial"/>
          <w:b/>
          <w:color w:val="auto"/>
          <w:kern w:val="2"/>
          <w:sz w:val="21"/>
          <w:szCs w:val="21"/>
        </w:rPr>
        <w:t>三</w:t>
      </w:r>
      <w:r>
        <w:rPr>
          <w:rFonts w:ascii="Arial" w:hAnsi="Arial" w:cs="Arial"/>
          <w:b/>
          <w:color w:val="auto"/>
          <w:kern w:val="2"/>
          <w:sz w:val="21"/>
          <w:szCs w:val="21"/>
        </w:rPr>
        <w:t>）</w:t>
      </w:r>
      <w:r>
        <w:rPr>
          <w:rFonts w:hint="eastAsia" w:ascii="Arial" w:hAnsi="Arial" w:cs="Arial"/>
          <w:b/>
          <w:color w:val="auto"/>
          <w:kern w:val="2"/>
          <w:sz w:val="21"/>
          <w:szCs w:val="21"/>
        </w:rPr>
        <w:t>本次估价的</w:t>
      </w:r>
      <w:bookmarkStart w:id="13" w:name="_Hlk118391731"/>
      <w:r>
        <w:rPr>
          <w:rFonts w:hint="eastAsia" w:ascii="Arial" w:hAnsi="Arial" w:cs="Arial"/>
          <w:b/>
          <w:color w:val="auto"/>
          <w:kern w:val="2"/>
          <w:sz w:val="21"/>
          <w:szCs w:val="21"/>
        </w:rPr>
        <w:t>背离事实假设</w:t>
      </w:r>
      <w:bookmarkEnd w:id="13"/>
    </w:p>
    <w:p w14:paraId="372902F8">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于价值时点，估价对象已竣工，</w:t>
      </w:r>
      <w:r>
        <w:rPr>
          <w:rFonts w:hint="eastAsia" w:ascii="Arial" w:hAnsi="Arial" w:cs="Arial"/>
          <w:color w:val="auto"/>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color w:val="auto"/>
          <w:kern w:val="2"/>
          <w:sz w:val="21"/>
          <w:szCs w:val="21"/>
        </w:rPr>
        <w:t>，</w:t>
      </w:r>
      <w:r>
        <w:rPr>
          <w:rFonts w:hint="eastAsia" w:ascii="Arial" w:hAnsi="Arial" w:cs="Arial"/>
          <w:color w:val="auto"/>
          <w:sz w:val="21"/>
          <w:szCs w:val="21"/>
        </w:rPr>
        <w:t>估价对象共计</w:t>
      </w:r>
      <w:r>
        <w:rPr>
          <w:rFonts w:hint="eastAsia" w:ascii="Arial" w:hAnsi="Arial" w:cs="Arial"/>
          <w:color w:val="auto"/>
          <w:kern w:val="2"/>
          <w:sz w:val="21"/>
          <w:szCs w:val="21"/>
        </w:rPr>
        <w:t>1324套住宅用房，其中已转化人才公租房500套现状室内装修情况为精装修，安置房剩余房源824套现状为毛坯，后续由北京市大兴区保障性住房建设投资有限公司按实际情况分期分批对824套剩余房源进行装修，估价对象全部房源均按照精装修标准配租，故本次评估室内装修情况均设定为精装修。</w:t>
      </w:r>
    </w:p>
    <w:p w14:paraId="3B63C2F4">
      <w:pPr>
        <w:spacing w:line="480" w:lineRule="auto"/>
        <w:jc w:val="both"/>
        <w:outlineLvl w:val="0"/>
        <w:rPr>
          <w:rFonts w:ascii="Arial" w:hAnsi="Arial" w:cs="Arial"/>
          <w:b/>
          <w:color w:val="auto"/>
          <w:kern w:val="2"/>
          <w:sz w:val="21"/>
          <w:szCs w:val="21"/>
        </w:rPr>
      </w:pPr>
      <w:r>
        <w:rPr>
          <w:rFonts w:ascii="Arial" w:hAnsi="Arial" w:cs="Arial"/>
          <w:b/>
          <w:color w:val="auto"/>
          <w:kern w:val="2"/>
          <w:sz w:val="21"/>
          <w:szCs w:val="21"/>
        </w:rPr>
        <w:t>（</w:t>
      </w:r>
      <w:r>
        <w:rPr>
          <w:rFonts w:hint="eastAsia" w:ascii="Arial" w:hAnsi="Arial" w:cs="Arial"/>
          <w:b/>
          <w:color w:val="auto"/>
          <w:kern w:val="2"/>
          <w:sz w:val="21"/>
          <w:szCs w:val="21"/>
        </w:rPr>
        <w:t>四</w:t>
      </w:r>
      <w:r>
        <w:rPr>
          <w:rFonts w:ascii="Arial" w:hAnsi="Arial" w:cs="Arial"/>
          <w:b/>
          <w:color w:val="auto"/>
          <w:kern w:val="2"/>
          <w:sz w:val="21"/>
          <w:szCs w:val="21"/>
        </w:rPr>
        <w:t>）</w:t>
      </w:r>
      <w:r>
        <w:rPr>
          <w:rFonts w:hint="eastAsia" w:ascii="Arial" w:hAnsi="Arial" w:cs="Arial"/>
          <w:b/>
          <w:color w:val="auto"/>
          <w:kern w:val="2"/>
          <w:sz w:val="21"/>
          <w:szCs w:val="21"/>
        </w:rPr>
        <w:t>本次估价的</w:t>
      </w:r>
      <w:bookmarkStart w:id="14" w:name="_Hlk124791168"/>
      <w:r>
        <w:rPr>
          <w:rFonts w:hint="eastAsia" w:ascii="Arial" w:hAnsi="Arial" w:cs="Arial"/>
          <w:b/>
          <w:color w:val="auto"/>
          <w:kern w:val="2"/>
          <w:sz w:val="21"/>
          <w:szCs w:val="21"/>
        </w:rPr>
        <w:t>不相一致假设</w:t>
      </w:r>
      <w:bookmarkEnd w:id="14"/>
    </w:p>
    <w:p w14:paraId="7D3AE2D4">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无。</w:t>
      </w:r>
    </w:p>
    <w:p w14:paraId="571CD733">
      <w:pPr>
        <w:spacing w:line="480" w:lineRule="auto"/>
        <w:jc w:val="both"/>
        <w:outlineLvl w:val="0"/>
        <w:rPr>
          <w:rFonts w:ascii="Arial" w:hAnsi="Arial" w:cs="Arial"/>
          <w:b/>
          <w:color w:val="auto"/>
          <w:kern w:val="2"/>
          <w:sz w:val="21"/>
          <w:szCs w:val="21"/>
        </w:rPr>
      </w:pPr>
      <w:r>
        <w:rPr>
          <w:rFonts w:ascii="Arial" w:hAnsi="Arial" w:cs="Arial"/>
          <w:b/>
          <w:color w:val="auto"/>
          <w:kern w:val="2"/>
          <w:sz w:val="21"/>
          <w:szCs w:val="21"/>
        </w:rPr>
        <w:t>（</w:t>
      </w:r>
      <w:r>
        <w:rPr>
          <w:rFonts w:hint="eastAsia" w:ascii="Arial" w:hAnsi="Arial" w:cs="Arial"/>
          <w:b/>
          <w:color w:val="auto"/>
          <w:kern w:val="2"/>
          <w:sz w:val="21"/>
          <w:szCs w:val="21"/>
        </w:rPr>
        <w:t>五</w:t>
      </w:r>
      <w:r>
        <w:rPr>
          <w:rFonts w:ascii="Arial" w:hAnsi="Arial" w:cs="Arial"/>
          <w:b/>
          <w:color w:val="auto"/>
          <w:kern w:val="2"/>
          <w:sz w:val="21"/>
          <w:szCs w:val="21"/>
        </w:rPr>
        <w:t>）</w:t>
      </w:r>
      <w:r>
        <w:rPr>
          <w:rFonts w:hint="eastAsia" w:ascii="Arial" w:hAnsi="Arial" w:cs="Arial"/>
          <w:b/>
          <w:color w:val="auto"/>
          <w:kern w:val="2"/>
          <w:sz w:val="21"/>
          <w:szCs w:val="21"/>
        </w:rPr>
        <w:t>本次估价的依据不足假设</w:t>
      </w:r>
    </w:p>
    <w:p w14:paraId="0878A6DB">
      <w:pPr>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1.截至价值时点，估价对象中北京市大兴区育林街1号院（育新花园北里）4号楼1单元401号等489套剩余房源，产权单位为北京丽富房地产开发有限公司，根据</w:t>
      </w:r>
      <w:r>
        <w:rPr>
          <w:rFonts w:hint="eastAsia" w:ascii="Arial" w:hAnsi="Arial" w:cs="Arial"/>
          <w:color w:val="auto"/>
          <w:sz w:val="21"/>
          <w:szCs w:val="21"/>
        </w:rPr>
        <w:t>《北京市大兴区采育镇四号地01-0001A、01-0001B地块项目开发回购协议书补充协议》[兴采01-0001协字（2012）001号附件1]、《采育数字时尚小镇保障性住房趸组协议》及其附件，</w:t>
      </w:r>
      <w:r>
        <w:rPr>
          <w:rFonts w:hint="eastAsia" w:ascii="Arial" w:hAnsi="Arial" w:cs="Arial"/>
          <w:color w:val="auto"/>
          <w:kern w:val="2"/>
          <w:sz w:val="21"/>
          <w:szCs w:val="21"/>
        </w:rPr>
        <w:t>经区政府批准已由兴创投资有限公司回购，但暂未办理产权过户手续。经与估价委托人确认，兴创投资有限公司对上述租赁房屋享有合法、完整的占有、使用、收益及出租的权利，房屋来源合法，不存在任何抵押、租赁、查封等权利受限情形，并以估价对象可正常办理产权过户手续为前提，再此提请报告使用者注意。</w:t>
      </w:r>
    </w:p>
    <w:p w14:paraId="17A5E58B">
      <w:pPr>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2.截至报告出具日，估价未提供估价对象北京市大兴区育林街1号院5、8、16号楼；大兴区育林街2号院21、22、23号楼；大兴区育林街8号院1、2、3、4、7、9、11、12、13号楼；大兴区育仁街1号院3、7、8、9号楼所对应的</w:t>
      </w: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》，根据《采育数字时尚小镇保障性住房趸组协议》及其附件描述，经与估价委托人确认，本次评估设定上述楼栋均已取得《</w:t>
      </w:r>
      <w:r>
        <w:rPr>
          <w:rFonts w:hint="eastAsia" w:ascii="Arial" w:hAnsi="Arial" w:cs="Arial"/>
          <w:color w:val="auto"/>
          <w:sz w:val="21"/>
          <w:szCs w:val="21"/>
          <w:lang w:eastAsia="zh-CN"/>
        </w:rPr>
        <w:t>房屋所有权证</w:t>
      </w:r>
      <w:r>
        <w:rPr>
          <w:rFonts w:hint="eastAsia" w:ascii="Arial" w:hAnsi="Arial" w:cs="Arial"/>
          <w:color w:val="auto"/>
          <w:sz w:val="21"/>
          <w:szCs w:val="21"/>
        </w:rPr>
        <w:t>》，</w:t>
      </w:r>
      <w:r>
        <w:rPr>
          <w:rFonts w:hint="eastAsia" w:ascii="Arial" w:hAnsi="Arial" w:cs="Arial"/>
          <w:color w:val="auto"/>
          <w:kern w:val="2"/>
          <w:sz w:val="21"/>
          <w:szCs w:val="21"/>
        </w:rPr>
        <w:t>房屋所有权人为北京兴创投资有限公司，再此提请报告使用者注意。</w:t>
      </w:r>
    </w:p>
    <w:p w14:paraId="5263D1FF">
      <w:pPr>
        <w:spacing w:line="480" w:lineRule="auto"/>
        <w:jc w:val="both"/>
        <w:outlineLvl w:val="0"/>
        <w:rPr>
          <w:rFonts w:ascii="Arial" w:hAnsi="Arial" w:cs="Arial"/>
          <w:b/>
          <w:color w:val="auto"/>
          <w:kern w:val="2"/>
          <w:sz w:val="21"/>
          <w:szCs w:val="21"/>
        </w:rPr>
      </w:pPr>
      <w:r>
        <w:rPr>
          <w:rFonts w:ascii="Arial" w:hAnsi="Arial" w:cs="Arial"/>
          <w:b/>
          <w:color w:val="auto"/>
          <w:kern w:val="2"/>
          <w:sz w:val="21"/>
          <w:szCs w:val="21"/>
        </w:rPr>
        <w:t>（</w:t>
      </w:r>
      <w:r>
        <w:rPr>
          <w:rFonts w:hint="eastAsia" w:ascii="Arial" w:hAnsi="Arial" w:cs="Arial"/>
          <w:b/>
          <w:color w:val="auto"/>
          <w:kern w:val="2"/>
          <w:sz w:val="21"/>
          <w:szCs w:val="21"/>
        </w:rPr>
        <w:t>六</w:t>
      </w:r>
      <w:r>
        <w:rPr>
          <w:rFonts w:ascii="Arial" w:hAnsi="Arial" w:cs="Arial"/>
          <w:b/>
          <w:color w:val="auto"/>
          <w:kern w:val="2"/>
          <w:sz w:val="21"/>
          <w:szCs w:val="21"/>
        </w:rPr>
        <w:t>）</w:t>
      </w:r>
      <w:r>
        <w:rPr>
          <w:rFonts w:hint="eastAsia" w:ascii="Arial" w:hAnsi="Arial" w:cs="Arial"/>
          <w:b/>
          <w:color w:val="auto"/>
          <w:kern w:val="2"/>
          <w:sz w:val="21"/>
          <w:szCs w:val="21"/>
        </w:rPr>
        <w:t>估价报告使用限制</w:t>
      </w:r>
    </w:p>
    <w:p w14:paraId="5A7C0EEF">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1.使用范围：本估价报告只能由估价报告载明的报告使用者使用，且只能用于本报告载明的唯一估价目的和用途。</w:t>
      </w:r>
    </w:p>
    <w:p w14:paraId="6455C4DB">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496E0430">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3.除估价委托人、估价委托合同中约定的其他估价报告使用人和法律、行政法规规定的估价报告使用人之外，其他任何机构和个人不能成为估价报告的使用人。</w:t>
      </w:r>
    </w:p>
    <w:p w14:paraId="1CA37E3B">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4.估价报告使用人应当正确理解估价结论。估价结论不等同于估价对象可实现价格，估价结论不应当被认为是对估价对象可实现价格的保证。</w:t>
      </w:r>
    </w:p>
    <w:p w14:paraId="472E5A46">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5.</w:t>
      </w:r>
      <w:r>
        <w:rPr>
          <w:rFonts w:ascii="Arial" w:hAnsi="Arial" w:cs="Arial"/>
          <w:color w:val="auto"/>
          <w:kern w:val="2"/>
          <w:sz w:val="21"/>
          <w:szCs w:val="21"/>
        </w:rPr>
        <w:t>本</w:t>
      </w:r>
      <w:r>
        <w:rPr>
          <w:rFonts w:ascii="Arial" w:hAnsi="Arial" w:cs="Arial"/>
          <w:color w:val="auto"/>
          <w:sz w:val="21"/>
          <w:szCs w:val="21"/>
        </w:rPr>
        <w:t>估价报告</w:t>
      </w:r>
      <w:r>
        <w:rPr>
          <w:rFonts w:ascii="Arial" w:hAnsi="Arial" w:cs="Arial"/>
          <w:color w:val="auto"/>
          <w:kern w:val="2"/>
          <w:sz w:val="21"/>
          <w:szCs w:val="21"/>
        </w:rPr>
        <w:t>评估目的是</w:t>
      </w:r>
      <w:r>
        <w:rPr>
          <w:rFonts w:hint="eastAsia" w:ascii="Arial" w:hAnsi="Arial"/>
          <w:color w:val="auto"/>
          <w:kern w:val="2"/>
          <w:sz w:val="21"/>
        </w:rPr>
        <w:t>为估价委托人了解估价对象房地产市场租金水平提供参考依据</w:t>
      </w:r>
      <w:r>
        <w:rPr>
          <w:rFonts w:ascii="Arial" w:hAnsi="Arial" w:cs="Arial"/>
          <w:color w:val="auto"/>
          <w:kern w:val="2"/>
          <w:sz w:val="21"/>
          <w:szCs w:val="21"/>
        </w:rPr>
        <w:t>，不做其他评估目的之用。如果估价对象的评估条件或目的发生变化，需重新进行评估。</w:t>
      </w:r>
    </w:p>
    <w:p w14:paraId="584A1C26">
      <w:pPr>
        <w:spacing w:line="480" w:lineRule="auto"/>
        <w:ind w:firstLine="420" w:firstLineChars="200"/>
        <w:jc w:val="both"/>
        <w:rPr>
          <w:rFonts w:ascii="Arial" w:hAnsi="Arial" w:cs="Arial"/>
          <w:color w:val="auto"/>
          <w:kern w:val="2"/>
          <w:sz w:val="21"/>
          <w:szCs w:val="21"/>
        </w:rPr>
      </w:pPr>
      <w:r>
        <w:rPr>
          <w:rFonts w:hint="eastAsia" w:ascii="Arial" w:hAnsi="Arial" w:cs="Arial"/>
          <w:color w:val="auto"/>
          <w:sz w:val="21"/>
          <w:szCs w:val="21"/>
        </w:rPr>
        <w:t>6</w:t>
      </w:r>
      <w:r>
        <w:rPr>
          <w:rFonts w:ascii="Arial" w:hAnsi="Arial" w:cs="Arial"/>
          <w:color w:val="auto"/>
          <w:sz w:val="21"/>
          <w:szCs w:val="21"/>
        </w:rPr>
        <w:t>.</w:t>
      </w:r>
      <w:r>
        <w:rPr>
          <w:rFonts w:hint="eastAsia" w:ascii="Arial" w:hAnsi="Arial" w:cs="Arial"/>
          <w:color w:val="auto"/>
          <w:kern w:val="2"/>
          <w:sz w:val="21"/>
          <w:szCs w:val="21"/>
        </w:rPr>
        <w:t>估价委托人应对其提供的评估相关资料的真实性、完整性和合法性负责</w:t>
      </w:r>
      <w:r>
        <w:rPr>
          <w:rFonts w:ascii="Arial" w:hAnsi="Arial" w:cs="Arial"/>
          <w:color w:val="auto"/>
          <w:kern w:val="2"/>
          <w:sz w:val="21"/>
          <w:szCs w:val="21"/>
        </w:rPr>
        <w:t>。如因资料失实或资料提供人有所隐匿而导致估价结果失真，估价机构不承担相应的责任。</w:t>
      </w:r>
    </w:p>
    <w:p w14:paraId="2E26CD26">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1990180">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8</w:t>
      </w:r>
      <w:r>
        <w:rPr>
          <w:rFonts w:ascii="Arial" w:hAnsi="Arial" w:cs="Arial"/>
          <w:color w:val="auto"/>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5DB450C">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9</w:t>
      </w:r>
      <w:r>
        <w:rPr>
          <w:rFonts w:ascii="Arial" w:hAnsi="Arial" w:cs="Arial"/>
          <w:color w:val="auto"/>
          <w:sz w:val="21"/>
          <w:szCs w:val="21"/>
        </w:rPr>
        <w:t>.本估价报告在估价机构盖章和注册房地产估价师签字</w:t>
      </w:r>
      <w:r>
        <w:rPr>
          <w:rFonts w:hint="eastAsia" w:ascii="Arial" w:hAnsi="Arial" w:cs="Arial"/>
          <w:color w:val="auto"/>
          <w:sz w:val="21"/>
          <w:szCs w:val="21"/>
        </w:rPr>
        <w:t>或盖章</w:t>
      </w:r>
      <w:r>
        <w:rPr>
          <w:rFonts w:ascii="Arial" w:hAnsi="Arial" w:cs="Arial"/>
          <w:color w:val="auto"/>
          <w:sz w:val="21"/>
          <w:szCs w:val="21"/>
        </w:rPr>
        <w:t>的条件下有效。</w:t>
      </w:r>
    </w:p>
    <w:p w14:paraId="47F4A404">
      <w:pPr>
        <w:spacing w:line="480" w:lineRule="auto"/>
        <w:ind w:firstLine="420" w:firstLineChars="200"/>
        <w:jc w:val="both"/>
        <w:rPr>
          <w:rFonts w:ascii="Arial" w:hAnsi="Arial" w:cs="Arial"/>
          <w:color w:val="auto"/>
          <w:sz w:val="21"/>
          <w:szCs w:val="21"/>
        </w:rPr>
      </w:pPr>
      <w:r>
        <w:rPr>
          <w:rFonts w:hint="eastAsia" w:ascii="Arial" w:hAnsi="Arial" w:cs="Arial"/>
          <w:color w:val="auto"/>
          <w:kern w:val="2"/>
          <w:sz w:val="21"/>
          <w:szCs w:val="21"/>
        </w:rPr>
        <w:t>10</w:t>
      </w:r>
      <w:r>
        <w:rPr>
          <w:rFonts w:ascii="Arial" w:hAnsi="Arial" w:cs="Arial"/>
          <w:color w:val="auto"/>
          <w:kern w:val="2"/>
          <w:sz w:val="21"/>
          <w:szCs w:val="21"/>
        </w:rPr>
        <w:t>.</w:t>
      </w:r>
      <w:r>
        <w:rPr>
          <w:rFonts w:ascii="Arial" w:hAnsi="Arial" w:cs="Arial"/>
          <w:color w:val="auto"/>
          <w:sz w:val="21"/>
          <w:szCs w:val="21"/>
        </w:rPr>
        <w:t>价值时点后，估价报告有效期内估价对象的质量及价格标准发生变化，并对估价对象租赁价值产生明显影响时，不能直接使用本次估价结论</w:t>
      </w:r>
      <w:r>
        <w:rPr>
          <w:rFonts w:hint="eastAsia" w:ascii="Arial" w:hAnsi="Arial" w:cs="Arial"/>
          <w:color w:val="auto"/>
          <w:sz w:val="21"/>
          <w:szCs w:val="21"/>
        </w:rPr>
        <w:t>。</w:t>
      </w:r>
    </w:p>
    <w:p w14:paraId="0F45124F">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11.</w:t>
      </w:r>
      <w:r>
        <w:rPr>
          <w:rFonts w:ascii="Arial" w:hAnsi="Arial" w:cs="Arial"/>
          <w:color w:val="auto"/>
          <w:sz w:val="21"/>
          <w:szCs w:val="21"/>
        </w:rPr>
        <w:t>本次估价未考虑特殊交易方式对估价结果的影响。</w:t>
      </w:r>
    </w:p>
    <w:p w14:paraId="67DC26E8">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12.根据评估专业人员调查，于价值时点，估价对象存在抵押情况，根据本次估价目的，不考虑抵押权对估价结果的影响。</w:t>
      </w:r>
    </w:p>
    <w:p w14:paraId="03CD73B1">
      <w:pPr>
        <w:spacing w:line="480" w:lineRule="auto"/>
        <w:ind w:firstLine="420" w:firstLineChars="200"/>
        <w:jc w:val="both"/>
        <w:rPr>
          <w:rFonts w:ascii="Arial" w:hAnsi="Arial" w:cs="Arial"/>
          <w:color w:val="auto"/>
          <w:sz w:val="21"/>
          <w:szCs w:val="21"/>
        </w:rPr>
      </w:pPr>
      <w:r>
        <w:rPr>
          <w:rFonts w:hint="eastAsia" w:ascii="Arial" w:hAnsi="Arial" w:cs="Arial"/>
          <w:color w:val="auto"/>
          <w:kern w:val="2"/>
          <w:sz w:val="21"/>
          <w:szCs w:val="21"/>
        </w:rPr>
        <w:t>13</w:t>
      </w:r>
      <w:r>
        <w:rPr>
          <w:rFonts w:ascii="Arial" w:hAnsi="Arial" w:cs="Arial"/>
          <w:color w:val="auto"/>
          <w:kern w:val="2"/>
          <w:sz w:val="21"/>
          <w:szCs w:val="21"/>
        </w:rPr>
        <w:t>.本估价报告</w:t>
      </w:r>
      <w:r>
        <w:rPr>
          <w:rFonts w:hint="eastAsia" w:ascii="Arial" w:hAnsi="Arial" w:cs="Arial"/>
          <w:color w:val="auto"/>
          <w:kern w:val="2"/>
          <w:sz w:val="21"/>
          <w:szCs w:val="21"/>
        </w:rPr>
        <w:t>自报告出具日起计算，自</w:t>
      </w:r>
      <w:r>
        <w:rPr>
          <w:rFonts w:ascii="Arial" w:hAnsi="Arial" w:cs="Arial"/>
          <w:color w:val="auto"/>
          <w:kern w:val="2"/>
          <w:sz w:val="21"/>
          <w:szCs w:val="21"/>
        </w:rPr>
        <w:t>202</w:t>
      </w:r>
      <w:r>
        <w:rPr>
          <w:rFonts w:hint="eastAsia" w:ascii="Arial" w:hAnsi="Arial" w:cs="Arial"/>
          <w:color w:val="auto"/>
          <w:kern w:val="2"/>
          <w:sz w:val="21"/>
          <w:szCs w:val="21"/>
        </w:rPr>
        <w:t>6</w:t>
      </w:r>
      <w:r>
        <w:rPr>
          <w:rFonts w:ascii="Arial" w:hAnsi="Arial" w:cs="Arial"/>
          <w:color w:val="auto"/>
          <w:kern w:val="2"/>
          <w:sz w:val="21"/>
          <w:szCs w:val="21"/>
        </w:rPr>
        <w:t>年</w:t>
      </w:r>
      <w:r>
        <w:rPr>
          <w:rFonts w:hint="eastAsia" w:ascii="Arial" w:hAnsi="Arial" w:cs="Arial"/>
          <w:color w:val="auto"/>
          <w:kern w:val="2"/>
          <w:sz w:val="21"/>
          <w:szCs w:val="21"/>
        </w:rPr>
        <w:t>3</w:t>
      </w:r>
      <w:r>
        <w:rPr>
          <w:rFonts w:ascii="Arial" w:hAnsi="Arial" w:cs="Arial"/>
          <w:color w:val="auto"/>
          <w:kern w:val="2"/>
          <w:sz w:val="21"/>
          <w:szCs w:val="21"/>
        </w:rPr>
        <w:t>月</w:t>
      </w:r>
      <w:r>
        <w:rPr>
          <w:rFonts w:hint="eastAsia" w:ascii="Arial" w:hAnsi="Arial" w:cs="Arial"/>
          <w:color w:val="auto"/>
          <w:kern w:val="2"/>
          <w:sz w:val="21"/>
          <w:szCs w:val="21"/>
        </w:rPr>
        <w:t>6</w:t>
      </w:r>
      <w:r>
        <w:rPr>
          <w:rFonts w:ascii="Arial" w:hAnsi="Arial" w:cs="Arial"/>
          <w:color w:val="auto"/>
          <w:kern w:val="2"/>
          <w:sz w:val="21"/>
          <w:szCs w:val="21"/>
        </w:rPr>
        <w:t>日</w:t>
      </w:r>
      <w:r>
        <w:rPr>
          <w:rFonts w:hint="eastAsia" w:ascii="Arial" w:hAnsi="Arial" w:cs="Arial"/>
          <w:color w:val="auto"/>
          <w:kern w:val="2"/>
          <w:sz w:val="21"/>
          <w:szCs w:val="21"/>
        </w:rPr>
        <w:t>至</w:t>
      </w:r>
      <w:r>
        <w:rPr>
          <w:rFonts w:ascii="Arial" w:hAnsi="Arial" w:cs="Arial"/>
          <w:color w:val="auto"/>
          <w:kern w:val="2"/>
          <w:sz w:val="21"/>
          <w:szCs w:val="21"/>
        </w:rPr>
        <w:t>202</w:t>
      </w:r>
      <w:r>
        <w:rPr>
          <w:rFonts w:hint="eastAsia" w:ascii="Arial" w:hAnsi="Arial" w:cs="Arial"/>
          <w:color w:val="auto"/>
          <w:kern w:val="2"/>
          <w:sz w:val="21"/>
          <w:szCs w:val="21"/>
        </w:rPr>
        <w:t>7年3月5日有效</w:t>
      </w:r>
      <w:r>
        <w:rPr>
          <w:rFonts w:ascii="Arial" w:hAnsi="Arial" w:cs="Arial"/>
          <w:color w:val="auto"/>
          <w:kern w:val="2"/>
          <w:sz w:val="21"/>
          <w:szCs w:val="21"/>
        </w:rPr>
        <w:t>。</w:t>
      </w:r>
    </w:p>
    <w:bookmarkEnd w:id="7"/>
    <w:p w14:paraId="7BDC05DE">
      <w:pPr>
        <w:spacing w:line="480" w:lineRule="auto"/>
        <w:jc w:val="both"/>
        <w:rPr>
          <w:rFonts w:ascii="Arial" w:hAnsi="Arial" w:cs="Arial"/>
          <w:color w:val="auto"/>
          <w:kern w:val="2"/>
          <w:sz w:val="21"/>
          <w:szCs w:val="21"/>
        </w:rPr>
        <w:sectPr>
          <w:pgSz w:w="11907" w:h="16840"/>
          <w:pgMar w:top="1843" w:right="1134" w:bottom="1134" w:left="1134" w:header="1134" w:footer="907" w:gutter="340"/>
          <w:cols w:space="720" w:num="1"/>
          <w:docGrid w:linePitch="326" w:charSpace="0"/>
        </w:sectPr>
      </w:pPr>
    </w:p>
    <w:p w14:paraId="42DA1B2C">
      <w:pPr>
        <w:pStyle w:val="2"/>
        <w:spacing w:line="360" w:lineRule="auto"/>
        <w:jc w:val="center"/>
        <w:rPr>
          <w:rFonts w:eastAsia="方正黑体简体"/>
          <w:b w:val="0"/>
          <w:color w:val="auto"/>
          <w:kern w:val="2"/>
          <w:sz w:val="32"/>
          <w:szCs w:val="32"/>
        </w:rPr>
      </w:pPr>
      <w:bookmarkStart w:id="15" w:name="_Toc168225812"/>
      <w:bookmarkStart w:id="16" w:name="_Toc155267085"/>
      <w:r>
        <w:rPr>
          <w:rFonts w:hint="eastAsia" w:eastAsia="方正黑体简体"/>
          <w:b w:val="0"/>
          <w:color w:val="auto"/>
          <w:kern w:val="2"/>
          <w:sz w:val="32"/>
          <w:szCs w:val="32"/>
        </w:rPr>
        <w:t>估价结果报告</w:t>
      </w:r>
      <w:bookmarkEnd w:id="15"/>
      <w:bookmarkEnd w:id="16"/>
    </w:p>
    <w:p w14:paraId="445134D6">
      <w:pPr>
        <w:pStyle w:val="3"/>
        <w:numPr>
          <w:ilvl w:val="0"/>
          <w:numId w:val="0"/>
        </w:numPr>
        <w:wordWrap w:val="0"/>
        <w:overflowPunct w:val="0"/>
        <w:spacing w:line="480" w:lineRule="auto"/>
        <w:ind w:left="358" w:hanging="358" w:hangingChars="170"/>
        <w:jc w:val="both"/>
        <w:textAlignment w:val="auto"/>
        <w:rPr>
          <w:rFonts w:eastAsia="宋体"/>
          <w:b w:val="0"/>
          <w:color w:val="auto"/>
          <w:kern w:val="2"/>
          <w:sz w:val="21"/>
          <w:szCs w:val="21"/>
        </w:rPr>
      </w:pPr>
      <w:bookmarkStart w:id="17" w:name="_Toc216083223"/>
      <w:bookmarkStart w:id="18" w:name="_Toc155267086"/>
      <w:r>
        <w:rPr>
          <w:rFonts w:eastAsia="宋体"/>
          <w:color w:val="auto"/>
          <w:kern w:val="2"/>
          <w:sz w:val="21"/>
          <w:szCs w:val="21"/>
        </w:rPr>
        <w:t>一</w:t>
      </w:r>
      <w:bookmarkEnd w:id="17"/>
      <w:r>
        <w:rPr>
          <w:rFonts w:eastAsia="宋体"/>
          <w:color w:val="auto"/>
          <w:kern w:val="2"/>
          <w:sz w:val="21"/>
          <w:szCs w:val="21"/>
        </w:rPr>
        <w:t>、估价委托人</w:t>
      </w:r>
      <w:bookmarkEnd w:id="18"/>
    </w:p>
    <w:p w14:paraId="7A64C503">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单位名称：</w:t>
      </w:r>
      <w:r>
        <w:rPr>
          <w:rFonts w:hint="eastAsia" w:ascii="Arial" w:hAnsi="Arial" w:cs="Arial"/>
          <w:color w:val="auto"/>
          <w:sz w:val="21"/>
          <w:szCs w:val="21"/>
        </w:rPr>
        <w:t>北京市大兴区保障性住房建设投资有限公司</w:t>
      </w:r>
    </w:p>
    <w:p w14:paraId="06E70B0A">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地    址：北京市大兴区新源大街兴创总部公园-2栋</w:t>
      </w:r>
    </w:p>
    <w:p w14:paraId="689F375A">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联 系 人：崔梦杰</w:t>
      </w:r>
    </w:p>
    <w:p w14:paraId="3F1B64CB">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电    话：15001339691</w:t>
      </w:r>
    </w:p>
    <w:p w14:paraId="18F68535">
      <w:pPr>
        <w:wordWrap w:val="0"/>
        <w:overflowPunct w:val="0"/>
        <w:spacing w:line="480" w:lineRule="auto"/>
        <w:ind w:firstLine="420" w:firstLineChars="200"/>
        <w:jc w:val="both"/>
        <w:textAlignment w:val="auto"/>
        <w:rPr>
          <w:rFonts w:ascii="Arial" w:hAnsi="Arial" w:cs="Arial"/>
          <w:color w:val="auto"/>
          <w:sz w:val="21"/>
          <w:szCs w:val="21"/>
        </w:rPr>
      </w:pPr>
    </w:p>
    <w:p w14:paraId="44610457">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19" w:name="_Toc155267087"/>
      <w:bookmarkStart w:id="20" w:name="_Toc168225814"/>
      <w:r>
        <w:rPr>
          <w:rFonts w:eastAsia="宋体"/>
          <w:color w:val="auto"/>
          <w:kern w:val="2"/>
          <w:sz w:val="21"/>
          <w:szCs w:val="21"/>
        </w:rPr>
        <w:t>二、房地产估价机构</w:t>
      </w:r>
      <w:bookmarkEnd w:id="19"/>
      <w:bookmarkEnd w:id="20"/>
    </w:p>
    <w:p w14:paraId="58F05F63">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受托机构：北京康正宏基房地产评估有限公司</w:t>
      </w:r>
    </w:p>
    <w:p w14:paraId="18883461">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资质级别：壹级</w:t>
      </w:r>
    </w:p>
    <w:p w14:paraId="3C4E37CB">
      <w:pPr>
        <w:overflowPunct w:val="0"/>
        <w:spacing w:line="480" w:lineRule="auto"/>
        <w:ind w:firstLine="420" w:firstLineChars="200"/>
        <w:jc w:val="both"/>
        <w:textAlignment w:val="auto"/>
        <w:rPr>
          <w:rFonts w:ascii="Arial" w:hAnsi="Arial"/>
          <w:color w:val="auto"/>
          <w:sz w:val="21"/>
          <w:szCs w:val="21"/>
        </w:rPr>
      </w:pPr>
      <w:r>
        <w:rPr>
          <w:rFonts w:hint="eastAsia" w:ascii="Arial" w:hAnsi="Arial"/>
          <w:color w:val="auto"/>
          <w:sz w:val="21"/>
          <w:szCs w:val="21"/>
        </w:rPr>
        <w:t>资格证书号：建房估备字[2013第]081号</w:t>
      </w:r>
    </w:p>
    <w:p w14:paraId="1FBF3652">
      <w:pPr>
        <w:overflowPunct w:val="0"/>
        <w:spacing w:line="480" w:lineRule="auto"/>
        <w:ind w:firstLine="420" w:firstLineChars="200"/>
        <w:jc w:val="both"/>
        <w:textAlignment w:val="auto"/>
        <w:rPr>
          <w:rFonts w:ascii="Arial" w:hAnsi="Arial"/>
          <w:color w:val="auto"/>
          <w:sz w:val="21"/>
          <w:szCs w:val="21"/>
        </w:rPr>
      </w:pPr>
      <w:r>
        <w:rPr>
          <w:rFonts w:hint="eastAsia" w:ascii="Arial" w:hAnsi="Arial"/>
          <w:color w:val="auto"/>
          <w:sz w:val="21"/>
          <w:szCs w:val="21"/>
        </w:rPr>
        <w:t>有效期限：</w:t>
      </w:r>
      <w:r>
        <w:rPr>
          <w:rFonts w:ascii="Arial" w:hAnsi="Arial"/>
          <w:color w:val="auto"/>
          <w:sz w:val="21"/>
          <w:szCs w:val="21"/>
        </w:rPr>
        <w:t>202</w:t>
      </w:r>
      <w:r>
        <w:rPr>
          <w:rFonts w:hint="eastAsia" w:ascii="Arial" w:hAnsi="Arial"/>
          <w:color w:val="auto"/>
          <w:sz w:val="21"/>
          <w:szCs w:val="21"/>
          <w:lang w:val="en-US" w:eastAsia="zh-CN"/>
        </w:rPr>
        <w:t>5</w:t>
      </w:r>
      <w:r>
        <w:rPr>
          <w:rFonts w:hint="eastAsia" w:ascii="Arial" w:hAnsi="Arial"/>
          <w:color w:val="auto"/>
          <w:sz w:val="21"/>
          <w:szCs w:val="21"/>
        </w:rPr>
        <w:t>年</w:t>
      </w:r>
      <w:r>
        <w:rPr>
          <w:rFonts w:hint="eastAsia" w:ascii="Arial" w:hAnsi="Arial"/>
          <w:color w:val="auto"/>
          <w:sz w:val="21"/>
          <w:szCs w:val="21"/>
          <w:lang w:val="en-US" w:eastAsia="zh-CN"/>
        </w:rPr>
        <w:t>07</w:t>
      </w:r>
      <w:r>
        <w:rPr>
          <w:rFonts w:hint="eastAsia" w:ascii="Arial" w:hAnsi="Arial"/>
          <w:color w:val="auto"/>
          <w:sz w:val="21"/>
          <w:szCs w:val="21"/>
        </w:rPr>
        <w:t>月</w:t>
      </w:r>
      <w:r>
        <w:rPr>
          <w:rFonts w:hint="eastAsia" w:ascii="Arial" w:hAnsi="Arial"/>
          <w:color w:val="auto"/>
          <w:sz w:val="21"/>
          <w:szCs w:val="21"/>
          <w:lang w:val="en-US" w:eastAsia="zh-CN"/>
        </w:rPr>
        <w:t>01</w:t>
      </w:r>
      <w:r>
        <w:rPr>
          <w:rFonts w:hint="eastAsia" w:ascii="Arial" w:hAnsi="Arial"/>
          <w:color w:val="auto"/>
          <w:sz w:val="21"/>
          <w:szCs w:val="21"/>
        </w:rPr>
        <w:t>日至</w:t>
      </w:r>
      <w:r>
        <w:rPr>
          <w:rFonts w:ascii="Arial" w:hAnsi="Arial"/>
          <w:color w:val="auto"/>
          <w:sz w:val="21"/>
          <w:szCs w:val="21"/>
        </w:rPr>
        <w:t>202</w:t>
      </w:r>
      <w:r>
        <w:rPr>
          <w:rFonts w:hint="eastAsia" w:ascii="Arial" w:hAnsi="Arial"/>
          <w:color w:val="auto"/>
          <w:sz w:val="21"/>
          <w:szCs w:val="21"/>
          <w:lang w:val="en-US" w:eastAsia="zh-CN"/>
        </w:rPr>
        <w:t>8</w:t>
      </w:r>
      <w:r>
        <w:rPr>
          <w:rFonts w:hint="eastAsia" w:ascii="Arial" w:hAnsi="Arial"/>
          <w:color w:val="auto"/>
          <w:sz w:val="21"/>
          <w:szCs w:val="21"/>
        </w:rPr>
        <w:t>年</w:t>
      </w:r>
      <w:r>
        <w:rPr>
          <w:rFonts w:hint="eastAsia" w:ascii="Arial" w:hAnsi="Arial"/>
          <w:color w:val="auto"/>
          <w:sz w:val="21"/>
          <w:szCs w:val="21"/>
          <w:lang w:val="en-US" w:eastAsia="zh-CN"/>
        </w:rPr>
        <w:t>06</w:t>
      </w:r>
      <w:r>
        <w:rPr>
          <w:rFonts w:hint="eastAsia" w:ascii="Arial" w:hAnsi="Arial"/>
          <w:color w:val="auto"/>
          <w:sz w:val="21"/>
          <w:szCs w:val="21"/>
        </w:rPr>
        <w:t>月</w:t>
      </w:r>
      <w:r>
        <w:rPr>
          <w:rFonts w:hint="eastAsia" w:ascii="Arial" w:hAnsi="Arial"/>
          <w:color w:val="auto"/>
          <w:sz w:val="21"/>
          <w:szCs w:val="21"/>
          <w:lang w:val="en-US" w:eastAsia="zh-CN"/>
        </w:rPr>
        <w:t>30</w:t>
      </w:r>
      <w:r>
        <w:rPr>
          <w:rFonts w:hint="eastAsia" w:ascii="Arial" w:hAnsi="Arial"/>
          <w:color w:val="auto"/>
          <w:sz w:val="21"/>
          <w:szCs w:val="21"/>
        </w:rPr>
        <w:t>日</w:t>
      </w:r>
    </w:p>
    <w:p w14:paraId="0593BDE3">
      <w:pPr>
        <w:overflowPunct w:val="0"/>
        <w:spacing w:line="480" w:lineRule="auto"/>
        <w:ind w:firstLine="420" w:firstLineChars="200"/>
        <w:jc w:val="both"/>
        <w:textAlignment w:val="auto"/>
        <w:rPr>
          <w:rFonts w:ascii="Arial" w:hAnsi="Arial"/>
          <w:color w:val="auto"/>
          <w:sz w:val="21"/>
          <w:szCs w:val="21"/>
        </w:rPr>
      </w:pPr>
      <w:r>
        <w:rPr>
          <w:rFonts w:hint="eastAsia" w:ascii="Arial" w:hAnsi="Arial"/>
          <w:color w:val="auto"/>
          <w:sz w:val="21"/>
          <w:szCs w:val="21"/>
        </w:rPr>
        <w:t>注册地址：北京市丰台区芳城园一区16号楼2层2门配套公建01</w:t>
      </w:r>
    </w:p>
    <w:p w14:paraId="0FE855A1">
      <w:pPr>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法定代表人：齐宏</w:t>
      </w:r>
    </w:p>
    <w:p w14:paraId="5F29C2C0">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联</w:t>
      </w:r>
      <w:r>
        <w:rPr>
          <w:rFonts w:hint="eastAsia" w:ascii="Arial" w:hAnsi="Arial" w:cs="Arial"/>
          <w:color w:val="auto"/>
          <w:sz w:val="21"/>
          <w:szCs w:val="21"/>
        </w:rPr>
        <w:t xml:space="preserve"> </w:t>
      </w:r>
      <w:r>
        <w:rPr>
          <w:rFonts w:ascii="Arial" w:hAnsi="Arial" w:cs="Arial"/>
          <w:color w:val="auto"/>
          <w:sz w:val="21"/>
          <w:szCs w:val="21"/>
        </w:rPr>
        <w:t>系</w:t>
      </w:r>
      <w:r>
        <w:rPr>
          <w:rFonts w:hint="eastAsia" w:ascii="Arial" w:hAnsi="Arial" w:cs="Arial"/>
          <w:color w:val="auto"/>
          <w:sz w:val="21"/>
          <w:szCs w:val="21"/>
        </w:rPr>
        <w:t xml:space="preserve"> </w:t>
      </w:r>
      <w:r>
        <w:rPr>
          <w:rFonts w:ascii="Arial" w:hAnsi="Arial" w:cs="Arial"/>
          <w:color w:val="auto"/>
          <w:sz w:val="21"/>
          <w:szCs w:val="21"/>
        </w:rPr>
        <w:t>人：</w:t>
      </w:r>
      <w:r>
        <w:rPr>
          <w:rFonts w:hint="eastAsia" w:ascii="Arial" w:hAnsi="Arial" w:cs="Arial"/>
          <w:color w:val="auto"/>
          <w:sz w:val="21"/>
          <w:szCs w:val="21"/>
        </w:rPr>
        <w:t>李诗霖</w:t>
      </w:r>
    </w:p>
    <w:p w14:paraId="6021219B">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联系电话：010-82253558</w:t>
      </w:r>
    </w:p>
    <w:p w14:paraId="721319B0">
      <w:pPr>
        <w:wordWrap w:val="0"/>
        <w:overflowPunct w:val="0"/>
        <w:spacing w:line="480" w:lineRule="auto"/>
        <w:ind w:firstLine="420" w:firstLineChars="200"/>
        <w:jc w:val="both"/>
        <w:textAlignment w:val="auto"/>
        <w:rPr>
          <w:rFonts w:ascii="Arial" w:hAnsi="Arial" w:cs="Arial"/>
          <w:color w:val="auto"/>
          <w:kern w:val="2"/>
          <w:sz w:val="21"/>
          <w:szCs w:val="21"/>
        </w:rPr>
      </w:pPr>
    </w:p>
    <w:p w14:paraId="61CD61BB">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21" w:name="_Toc155267088"/>
      <w:bookmarkStart w:id="22" w:name="_Toc168225815"/>
      <w:r>
        <w:rPr>
          <w:rFonts w:eastAsia="宋体"/>
          <w:color w:val="auto"/>
          <w:kern w:val="2"/>
          <w:sz w:val="21"/>
          <w:szCs w:val="21"/>
        </w:rPr>
        <w:t>三、估价目的</w:t>
      </w:r>
      <w:bookmarkEnd w:id="21"/>
      <w:bookmarkEnd w:id="22"/>
    </w:p>
    <w:p w14:paraId="1F2B393F">
      <w:pPr>
        <w:wordWrap w:val="0"/>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olor w:val="auto"/>
          <w:kern w:val="2"/>
          <w:sz w:val="21"/>
        </w:rPr>
        <w:t>为估价委托人了解估价对象房地产市场租金水平提供参考依据</w:t>
      </w:r>
      <w:r>
        <w:rPr>
          <w:rFonts w:ascii="Arial" w:hAnsi="Arial" w:cs="Arial"/>
          <w:color w:val="auto"/>
          <w:sz w:val="21"/>
          <w:szCs w:val="21"/>
        </w:rPr>
        <w:t>。</w:t>
      </w:r>
      <w:r>
        <w:rPr>
          <w:rFonts w:ascii="Arial" w:hAnsi="Arial" w:cs="Arial"/>
          <w:color w:val="auto"/>
          <w:kern w:val="2"/>
          <w:sz w:val="21"/>
          <w:szCs w:val="21"/>
        </w:rPr>
        <w:t xml:space="preserve"> </w:t>
      </w:r>
    </w:p>
    <w:p w14:paraId="583FF875">
      <w:pPr>
        <w:wordWrap w:val="0"/>
        <w:overflowPunct w:val="0"/>
        <w:spacing w:line="480" w:lineRule="auto"/>
        <w:ind w:firstLine="420" w:firstLineChars="200"/>
        <w:jc w:val="both"/>
        <w:textAlignment w:val="auto"/>
        <w:rPr>
          <w:rFonts w:ascii="Arial" w:hAnsi="Arial" w:cs="Arial"/>
          <w:color w:val="auto"/>
          <w:sz w:val="21"/>
          <w:szCs w:val="21"/>
        </w:rPr>
      </w:pPr>
    </w:p>
    <w:p w14:paraId="292B80CA">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23" w:name="_Toc155267089"/>
      <w:bookmarkStart w:id="24" w:name="_Toc168225816"/>
      <w:r>
        <w:rPr>
          <w:rFonts w:eastAsia="宋体"/>
          <w:color w:val="auto"/>
          <w:kern w:val="2"/>
          <w:sz w:val="21"/>
          <w:szCs w:val="21"/>
        </w:rPr>
        <w:t>四、估价对象</w:t>
      </w:r>
      <w:bookmarkEnd w:id="23"/>
      <w:bookmarkEnd w:id="24"/>
    </w:p>
    <w:p w14:paraId="04F88886">
      <w:pPr>
        <w:wordWrap w:val="0"/>
        <w:overflowPunct w:val="0"/>
        <w:spacing w:line="480" w:lineRule="auto"/>
        <w:jc w:val="both"/>
        <w:textAlignment w:val="auto"/>
        <w:rPr>
          <w:rFonts w:ascii="Arial" w:hAnsi="Arial" w:cs="Arial"/>
          <w:b/>
          <w:color w:val="auto"/>
          <w:kern w:val="2"/>
          <w:sz w:val="21"/>
          <w:szCs w:val="21"/>
        </w:rPr>
      </w:pPr>
      <w:r>
        <w:rPr>
          <w:rFonts w:ascii="Arial" w:hAnsi="Arial" w:cs="Arial"/>
          <w:b/>
          <w:color w:val="auto"/>
          <w:kern w:val="2"/>
          <w:sz w:val="21"/>
          <w:szCs w:val="21"/>
        </w:rPr>
        <w:t>（一）估价对象范围</w:t>
      </w:r>
    </w:p>
    <w:p w14:paraId="4D9A2690">
      <w:pPr>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sz w:val="21"/>
          <w:szCs w:val="21"/>
        </w:rPr>
        <w:t>根据《采育数字时尚小镇保障性住房趸组协议》及其附件、《</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北京市大兴区采育镇四号地01-0001A、01-0001B地块项目开发回购协议书补充协议》[兴采01-0001协字（2012）001号附件1]及《估价委托书》，估价对象中</w:t>
      </w:r>
      <w:r>
        <w:rPr>
          <w:rFonts w:hint="eastAsia" w:ascii="Arial" w:hAnsi="Arial" w:cs="Arial"/>
          <w:color w:val="auto"/>
          <w:kern w:val="2"/>
          <w:sz w:val="21"/>
          <w:szCs w:val="21"/>
        </w:rPr>
        <w:t>北京市大兴区育林街1号院（育新花园北里）4号楼1单元401号等489套住宅用房，建筑面积37037.43平方米，由北京丽富房地产开发有限公司于2011年通过挂牌方式合法取得并开发，证载产权单位为北京丽富房地产开发有限公司。兴创投资有限公司</w:t>
      </w:r>
      <w:r>
        <w:rPr>
          <w:rFonts w:ascii="Arial" w:hAnsi="Arial" w:cs="Arial"/>
          <w:color w:val="auto"/>
          <w:kern w:val="2"/>
          <w:sz w:val="21"/>
          <w:szCs w:val="21"/>
        </w:rPr>
        <w:t>于房屋建成后，按住宅回购价格 9000元/平方米向该公司完成房源回购，并已于 2014年9月全额付清全部回购款项</w:t>
      </w:r>
      <w:r>
        <w:rPr>
          <w:rFonts w:hint="eastAsia" w:ascii="Arial" w:hAnsi="Arial" w:cs="Arial"/>
          <w:color w:val="auto"/>
          <w:kern w:val="2"/>
          <w:sz w:val="21"/>
          <w:szCs w:val="21"/>
        </w:rPr>
        <w:t>。</w:t>
      </w:r>
      <w:r>
        <w:rPr>
          <w:rFonts w:ascii="Arial" w:hAnsi="Arial" w:cs="Arial"/>
          <w:color w:val="auto"/>
          <w:kern w:val="2"/>
          <w:sz w:val="21"/>
          <w:szCs w:val="21"/>
        </w:rPr>
        <w:t>截至</w:t>
      </w:r>
      <w:r>
        <w:rPr>
          <w:rFonts w:hint="eastAsia" w:ascii="Arial" w:hAnsi="Arial" w:cs="Arial"/>
          <w:color w:val="auto"/>
          <w:kern w:val="2"/>
          <w:sz w:val="21"/>
          <w:szCs w:val="21"/>
        </w:rPr>
        <w:t>报告出具日，上述房屋尚未办理不动产权变更登记。经与估价委托人确认，兴创投资有限公司对上述租赁房屋享有合法、完整的占有、使用、收益及出租的权利，房屋来源合法，不存在任何抵押、租赁、查封等权利受限情形。</w:t>
      </w:r>
    </w:p>
    <w:p w14:paraId="2DC650C2">
      <w:pPr>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sz w:val="21"/>
          <w:szCs w:val="21"/>
        </w:rPr>
        <w:t>根据《</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100091、102139、102135、102136、102140、102137、102138、103831、102031、110683、110394、110393、110397、110396、110395、110392、110389号]、《估价委托书》、《采育数字时尚小镇保障性住房趸组协议》及其附件，估价对象中</w:t>
      </w:r>
      <w:r>
        <w:rPr>
          <w:rFonts w:hint="eastAsia" w:ascii="Arial" w:hAnsi="Arial" w:cs="Arial"/>
          <w:color w:val="auto"/>
          <w:kern w:val="2"/>
          <w:sz w:val="21"/>
          <w:szCs w:val="21"/>
        </w:rPr>
        <w:t>北京市大兴区育林街2号院（育新花园中里）1号楼1单元101号等508套住宅用房，建筑面积42042.19平方米，房屋所有权人为北京兴创投资有限公司，房屋性质均为商品房。</w:t>
      </w:r>
    </w:p>
    <w:p w14:paraId="2C14F247">
      <w:pPr>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sz w:val="21"/>
          <w:szCs w:val="21"/>
        </w:rPr>
        <w:t>根据《</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》[X京房权证兴字第103107、103825号]、《估价委托书》、《采育数字时尚小镇保障性住房趸组协议》及其附件，估价对象</w:t>
      </w:r>
      <w:r>
        <w:rPr>
          <w:rFonts w:hint="eastAsia" w:ascii="Arial" w:hAnsi="Arial" w:cs="Arial"/>
          <w:color w:val="auto"/>
          <w:kern w:val="2"/>
          <w:sz w:val="21"/>
          <w:szCs w:val="21"/>
        </w:rPr>
        <w:t>北京市大兴区育林街8号院（育新花园西里）1号楼1单元102号等239套住宅用房，建筑面积19701.92平方米，房屋所有权人为北京兴创投资有限公司，房屋性质均为商品房。</w:t>
      </w:r>
    </w:p>
    <w:p w14:paraId="3A9F526E">
      <w:pPr>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sz w:val="21"/>
          <w:szCs w:val="21"/>
        </w:rPr>
        <w:t>根据《</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》[X京房权证兴字第146943、146944、102030、100093、102028号]、《估价委托书》、《采育数字时尚小镇保障性住房趸组协议》及其附件，估价对象</w:t>
      </w:r>
      <w:r>
        <w:rPr>
          <w:rFonts w:hint="eastAsia" w:ascii="Arial" w:hAnsi="Arial" w:cs="Arial"/>
          <w:color w:val="auto"/>
          <w:kern w:val="2"/>
          <w:sz w:val="21"/>
          <w:szCs w:val="21"/>
        </w:rPr>
        <w:t>北京市大兴区育仁街1号院（育新花园南里）1号楼2单元1501号等88套住宅用房，建筑面积7253.36平方米，房屋所有权人为北京兴创投资有限公司，房屋性质包含商品房、定向安置房。</w:t>
      </w:r>
    </w:p>
    <w:p w14:paraId="0D2A0820">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另根据《北京市大兴区住房和城乡建设委员会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关于采育数字时尚小镇保障性住房相关事宜专题会会议纪要》、《采育数字时尚小镇保障性住房趸组协议》及其附件、《估价委托书》，估价对象为</w:t>
      </w:r>
      <w:r>
        <w:rPr>
          <w:rFonts w:hint="eastAsia" w:ascii="Arial" w:hAnsi="Arial" w:cs="Arial"/>
          <w:color w:val="auto"/>
          <w:kern w:val="2"/>
          <w:sz w:val="21"/>
          <w:szCs w:val="21"/>
        </w:rPr>
        <w:t>北京市大兴区采育数字时尚小镇（育新花园）共计1324套住宅用房，其中已转化人才公租房500套（现状为精装修），安置房剩余房源824套（现状为毛坯），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由北京市大兴区保障性住房建设投资有限公司负责房源出租及运营管理。估价对象</w:t>
      </w:r>
      <w:r>
        <w:rPr>
          <w:rFonts w:hint="eastAsia" w:ascii="Arial" w:hAnsi="Arial" w:cs="Arial"/>
          <w:color w:val="auto"/>
          <w:sz w:val="21"/>
          <w:szCs w:val="21"/>
        </w:rPr>
        <w:t>具体情况如下：</w:t>
      </w:r>
    </w:p>
    <w:p w14:paraId="20867604">
      <w:pPr>
        <w:overflowPunct w:val="0"/>
        <w:spacing w:line="360" w:lineRule="auto"/>
        <w:jc w:val="center"/>
        <w:textAlignment w:val="auto"/>
        <w:rPr>
          <w:rFonts w:ascii="Arial" w:hAnsi="Arial" w:cs="Arial"/>
          <w:b/>
          <w:bCs/>
          <w:color w:val="auto"/>
          <w:sz w:val="21"/>
          <w:szCs w:val="21"/>
        </w:rPr>
      </w:pPr>
      <w:r>
        <w:rPr>
          <w:rFonts w:hint="eastAsia" w:ascii="Arial" w:hAnsi="Arial" w:cs="Arial"/>
          <w:b/>
          <w:bCs/>
          <w:color w:val="auto"/>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008"/>
        <w:gridCol w:w="612"/>
        <w:gridCol w:w="924"/>
        <w:gridCol w:w="1604"/>
      </w:tblGrid>
      <w:tr w14:paraId="0EF7143D">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616A2861">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409C0288">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面积（平方米）</w:t>
            </w:r>
          </w:p>
        </w:tc>
        <w:tc>
          <w:tcPr>
            <w:tcW w:w="4008" w:type="dxa"/>
            <w:tcBorders>
              <w:top w:val="single" w:color="auto" w:sz="4" w:space="0"/>
              <w:left w:val="nil"/>
              <w:bottom w:val="single" w:color="auto" w:sz="4" w:space="0"/>
              <w:right w:val="single" w:color="auto" w:sz="4" w:space="0"/>
            </w:tcBorders>
            <w:noWrap/>
            <w:vAlign w:val="center"/>
          </w:tcPr>
          <w:p w14:paraId="3C19E77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所在楼栋</w:t>
            </w:r>
          </w:p>
        </w:tc>
        <w:tc>
          <w:tcPr>
            <w:tcW w:w="612" w:type="dxa"/>
            <w:tcBorders>
              <w:top w:val="single" w:color="auto" w:sz="4" w:space="0"/>
              <w:left w:val="nil"/>
              <w:bottom w:val="single" w:color="auto" w:sz="4" w:space="0"/>
              <w:right w:val="single" w:color="auto" w:sz="4" w:space="0"/>
            </w:tcBorders>
            <w:noWrap/>
            <w:vAlign w:val="center"/>
          </w:tcPr>
          <w:p w14:paraId="48D15B5B">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朝向</w:t>
            </w:r>
          </w:p>
        </w:tc>
        <w:tc>
          <w:tcPr>
            <w:tcW w:w="924" w:type="dxa"/>
            <w:tcBorders>
              <w:top w:val="single" w:color="auto" w:sz="4" w:space="0"/>
              <w:left w:val="nil"/>
              <w:bottom w:val="single" w:color="auto" w:sz="4" w:space="0"/>
              <w:right w:val="single" w:color="auto" w:sz="4" w:space="0"/>
            </w:tcBorders>
            <w:noWrap/>
            <w:vAlign w:val="center"/>
          </w:tcPr>
          <w:p w14:paraId="22AA8275">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套数（套）</w:t>
            </w:r>
          </w:p>
        </w:tc>
        <w:tc>
          <w:tcPr>
            <w:tcW w:w="1604" w:type="dxa"/>
            <w:tcBorders>
              <w:top w:val="single" w:color="auto" w:sz="4" w:space="0"/>
              <w:left w:val="nil"/>
              <w:bottom w:val="single" w:color="auto" w:sz="4" w:space="0"/>
              <w:right w:val="single" w:color="auto" w:sz="4" w:space="0"/>
            </w:tcBorders>
            <w:noWrap/>
            <w:vAlign w:val="center"/>
          </w:tcPr>
          <w:p w14:paraId="025B9887">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总</w:t>
            </w:r>
            <w:r>
              <w:rPr>
                <w:rFonts w:hint="eastAsia" w:ascii="华文细黑" w:hAnsi="华文细黑" w:eastAsia="华文细黑" w:cs="Arial"/>
                <w:b/>
                <w:bCs/>
                <w:color w:val="auto"/>
                <w:sz w:val="18"/>
                <w:szCs w:val="18"/>
              </w:rPr>
              <w:t>建筑</w:t>
            </w:r>
            <w:r>
              <w:rPr>
                <w:rFonts w:ascii="华文细黑" w:hAnsi="华文细黑" w:eastAsia="华文细黑" w:cs="Arial"/>
                <w:b/>
                <w:bCs/>
                <w:color w:val="auto"/>
                <w:sz w:val="18"/>
                <w:szCs w:val="18"/>
              </w:rPr>
              <w:t>面积（平方米）</w:t>
            </w:r>
          </w:p>
        </w:tc>
      </w:tr>
      <w:tr w14:paraId="304ACC5B">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37D02D8C">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一居室</w:t>
            </w:r>
          </w:p>
        </w:tc>
        <w:tc>
          <w:tcPr>
            <w:tcW w:w="1332" w:type="dxa"/>
            <w:tcBorders>
              <w:top w:val="nil"/>
              <w:left w:val="nil"/>
              <w:bottom w:val="single" w:color="auto" w:sz="4" w:space="0"/>
              <w:right w:val="single" w:color="auto" w:sz="4" w:space="0"/>
            </w:tcBorders>
            <w:noWrap/>
            <w:vAlign w:val="center"/>
          </w:tcPr>
          <w:p w14:paraId="487025F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52.63-69.91</w:t>
            </w:r>
          </w:p>
        </w:tc>
        <w:tc>
          <w:tcPr>
            <w:tcW w:w="4008" w:type="dxa"/>
            <w:tcBorders>
              <w:top w:val="nil"/>
              <w:left w:val="nil"/>
              <w:bottom w:val="single" w:color="auto" w:sz="4" w:space="0"/>
              <w:right w:val="single" w:color="auto" w:sz="4" w:space="0"/>
            </w:tcBorders>
            <w:noWrap/>
            <w:vAlign w:val="center"/>
          </w:tcPr>
          <w:p w14:paraId="116DEB06">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育林街1号院4、5、20号楼；育林街2号院4、6、7、12、13、14、15、17、18、23号楼；育林街8号院2-4、7、8号楼；育仁街1号院5、6、7、10号楼</w:t>
            </w:r>
          </w:p>
        </w:tc>
        <w:tc>
          <w:tcPr>
            <w:tcW w:w="612" w:type="dxa"/>
            <w:tcBorders>
              <w:top w:val="nil"/>
              <w:left w:val="nil"/>
              <w:bottom w:val="single" w:color="auto" w:sz="4" w:space="0"/>
              <w:right w:val="single" w:color="auto" w:sz="4" w:space="0"/>
            </w:tcBorders>
            <w:noWrap/>
            <w:vAlign w:val="center"/>
          </w:tcPr>
          <w:p w14:paraId="40DDFAAE">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924" w:type="dxa"/>
            <w:tcBorders>
              <w:top w:val="nil"/>
              <w:left w:val="nil"/>
              <w:bottom w:val="single" w:color="auto" w:sz="4" w:space="0"/>
              <w:right w:val="single" w:color="auto" w:sz="4" w:space="0"/>
            </w:tcBorders>
            <w:noWrap/>
            <w:vAlign w:val="center"/>
          </w:tcPr>
          <w:p w14:paraId="1EE6B337">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378</w:t>
            </w:r>
          </w:p>
        </w:tc>
        <w:tc>
          <w:tcPr>
            <w:tcW w:w="1604" w:type="dxa"/>
            <w:tcBorders>
              <w:top w:val="nil"/>
              <w:left w:val="nil"/>
              <w:bottom w:val="single" w:color="auto" w:sz="4" w:space="0"/>
              <w:right w:val="single" w:color="auto" w:sz="4" w:space="0"/>
            </w:tcBorders>
            <w:noWrap/>
            <w:vAlign w:val="center"/>
          </w:tcPr>
          <w:p w14:paraId="1375FBD5">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25149.84</w:t>
            </w:r>
          </w:p>
        </w:tc>
      </w:tr>
      <w:tr w14:paraId="08E022E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408E9ED1">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3A6F970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008" w:type="dxa"/>
            <w:tcBorders>
              <w:top w:val="nil"/>
              <w:left w:val="nil"/>
              <w:bottom w:val="single" w:color="auto" w:sz="4" w:space="0"/>
              <w:right w:val="single" w:color="auto" w:sz="4" w:space="0"/>
            </w:tcBorders>
            <w:noWrap/>
            <w:vAlign w:val="center"/>
          </w:tcPr>
          <w:p w14:paraId="660114D2">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612" w:type="dxa"/>
            <w:tcBorders>
              <w:top w:val="nil"/>
              <w:left w:val="nil"/>
              <w:bottom w:val="single" w:color="auto" w:sz="4" w:space="0"/>
              <w:right w:val="single" w:color="auto" w:sz="4" w:space="0"/>
            </w:tcBorders>
            <w:noWrap/>
            <w:vAlign w:val="center"/>
          </w:tcPr>
          <w:p w14:paraId="5288A81C">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924" w:type="dxa"/>
            <w:tcBorders>
              <w:top w:val="nil"/>
              <w:left w:val="nil"/>
              <w:bottom w:val="single" w:color="auto" w:sz="4" w:space="0"/>
              <w:right w:val="single" w:color="auto" w:sz="4" w:space="0"/>
            </w:tcBorders>
            <w:noWrap/>
            <w:vAlign w:val="center"/>
          </w:tcPr>
          <w:p w14:paraId="5FA6229F">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378</w:t>
            </w:r>
          </w:p>
        </w:tc>
        <w:tc>
          <w:tcPr>
            <w:tcW w:w="1604" w:type="dxa"/>
            <w:tcBorders>
              <w:top w:val="nil"/>
              <w:left w:val="nil"/>
              <w:bottom w:val="single" w:color="auto" w:sz="4" w:space="0"/>
              <w:right w:val="single" w:color="auto" w:sz="4" w:space="0"/>
            </w:tcBorders>
            <w:noWrap/>
            <w:vAlign w:val="center"/>
          </w:tcPr>
          <w:p w14:paraId="038B0F8C">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color w:val="auto"/>
                <w:sz w:val="18"/>
                <w:szCs w:val="18"/>
              </w:rPr>
              <w:t>25149.84</w:t>
            </w:r>
          </w:p>
        </w:tc>
      </w:tr>
      <w:tr w14:paraId="57E882B7">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19A80F33">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两居室</w:t>
            </w:r>
          </w:p>
        </w:tc>
        <w:tc>
          <w:tcPr>
            <w:tcW w:w="1332" w:type="dxa"/>
            <w:tcBorders>
              <w:top w:val="nil"/>
              <w:left w:val="nil"/>
              <w:bottom w:val="single" w:color="auto" w:sz="4" w:space="0"/>
              <w:right w:val="single" w:color="auto" w:sz="4" w:space="0"/>
            </w:tcBorders>
            <w:noWrap/>
            <w:vAlign w:val="center"/>
          </w:tcPr>
          <w:p w14:paraId="5F5BE719">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72.82-88.38</w:t>
            </w:r>
          </w:p>
        </w:tc>
        <w:tc>
          <w:tcPr>
            <w:tcW w:w="4008" w:type="dxa"/>
            <w:tcBorders>
              <w:top w:val="nil"/>
              <w:left w:val="nil"/>
              <w:bottom w:val="single" w:color="auto" w:sz="4" w:space="0"/>
              <w:right w:val="single" w:color="auto" w:sz="4" w:space="0"/>
            </w:tcBorders>
            <w:noWrap/>
            <w:vAlign w:val="center"/>
          </w:tcPr>
          <w:p w14:paraId="63BDA689">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育林街1号院1-3、8-10、15、17、22、23号楼；育林街2号院1-4、6-13、15、17-23号楼；育林街8号院1-4、6-9、11-13号楼；育仁街1号院1-3、6、8-9、13-15号楼</w:t>
            </w:r>
          </w:p>
        </w:tc>
        <w:tc>
          <w:tcPr>
            <w:tcW w:w="612" w:type="dxa"/>
            <w:tcBorders>
              <w:top w:val="nil"/>
              <w:left w:val="nil"/>
              <w:bottom w:val="single" w:color="auto" w:sz="4" w:space="0"/>
              <w:right w:val="single" w:color="auto" w:sz="4" w:space="0"/>
            </w:tcBorders>
            <w:noWrap/>
            <w:vAlign w:val="center"/>
          </w:tcPr>
          <w:p w14:paraId="7DAACAA7">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924" w:type="dxa"/>
            <w:tcBorders>
              <w:top w:val="nil"/>
              <w:left w:val="nil"/>
              <w:bottom w:val="single" w:color="auto" w:sz="4" w:space="0"/>
              <w:right w:val="single" w:color="auto" w:sz="4" w:space="0"/>
            </w:tcBorders>
            <w:noWrap/>
            <w:vAlign w:val="center"/>
          </w:tcPr>
          <w:p w14:paraId="1C2D76A9">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916</w:t>
            </w:r>
          </w:p>
        </w:tc>
        <w:tc>
          <w:tcPr>
            <w:tcW w:w="1604" w:type="dxa"/>
            <w:tcBorders>
              <w:top w:val="nil"/>
              <w:left w:val="nil"/>
              <w:bottom w:val="single" w:color="auto" w:sz="4" w:space="0"/>
              <w:right w:val="single" w:color="auto" w:sz="4" w:space="0"/>
            </w:tcBorders>
            <w:noWrap/>
            <w:vAlign w:val="center"/>
          </w:tcPr>
          <w:p w14:paraId="172DECF7">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78073.23</w:t>
            </w:r>
          </w:p>
        </w:tc>
      </w:tr>
      <w:tr w14:paraId="14BBCED7">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0DEB8F29">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20DFC1D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73.53</w:t>
            </w:r>
          </w:p>
        </w:tc>
        <w:tc>
          <w:tcPr>
            <w:tcW w:w="4008" w:type="dxa"/>
            <w:tcBorders>
              <w:top w:val="nil"/>
              <w:left w:val="nil"/>
              <w:bottom w:val="single" w:color="auto" w:sz="4" w:space="0"/>
              <w:right w:val="single" w:color="auto" w:sz="4" w:space="0"/>
            </w:tcBorders>
            <w:noWrap/>
            <w:vAlign w:val="center"/>
          </w:tcPr>
          <w:p w14:paraId="431CBD9C">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育林街1号院1、2号楼</w:t>
            </w:r>
          </w:p>
        </w:tc>
        <w:tc>
          <w:tcPr>
            <w:tcW w:w="612" w:type="dxa"/>
            <w:tcBorders>
              <w:top w:val="nil"/>
              <w:left w:val="nil"/>
              <w:bottom w:val="single" w:color="auto" w:sz="4" w:space="0"/>
              <w:right w:val="single" w:color="auto" w:sz="4" w:space="0"/>
            </w:tcBorders>
            <w:noWrap/>
            <w:vAlign w:val="center"/>
          </w:tcPr>
          <w:p w14:paraId="40A2D55A">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北</w:t>
            </w:r>
          </w:p>
        </w:tc>
        <w:tc>
          <w:tcPr>
            <w:tcW w:w="924" w:type="dxa"/>
            <w:tcBorders>
              <w:top w:val="nil"/>
              <w:left w:val="nil"/>
              <w:bottom w:val="single" w:color="auto" w:sz="4" w:space="0"/>
              <w:right w:val="single" w:color="auto" w:sz="4" w:space="0"/>
            </w:tcBorders>
            <w:noWrap/>
            <w:vAlign w:val="center"/>
          </w:tcPr>
          <w:p w14:paraId="41DFA2B4">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17</w:t>
            </w:r>
          </w:p>
        </w:tc>
        <w:tc>
          <w:tcPr>
            <w:tcW w:w="1604" w:type="dxa"/>
            <w:tcBorders>
              <w:top w:val="nil"/>
              <w:left w:val="nil"/>
              <w:bottom w:val="single" w:color="auto" w:sz="4" w:space="0"/>
              <w:right w:val="single" w:color="auto" w:sz="4" w:space="0"/>
            </w:tcBorders>
            <w:noWrap/>
            <w:vAlign w:val="center"/>
          </w:tcPr>
          <w:p w14:paraId="3B71B865">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1250.01</w:t>
            </w:r>
          </w:p>
        </w:tc>
      </w:tr>
      <w:tr w14:paraId="47473E7B">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03FAC0E9">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45C763F7">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008" w:type="dxa"/>
            <w:tcBorders>
              <w:top w:val="nil"/>
              <w:left w:val="nil"/>
              <w:bottom w:val="single" w:color="auto" w:sz="4" w:space="0"/>
              <w:right w:val="single" w:color="auto" w:sz="4" w:space="0"/>
            </w:tcBorders>
            <w:noWrap/>
            <w:vAlign w:val="center"/>
          </w:tcPr>
          <w:p w14:paraId="0D52D2D9">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612" w:type="dxa"/>
            <w:tcBorders>
              <w:top w:val="nil"/>
              <w:left w:val="nil"/>
              <w:bottom w:val="single" w:color="auto" w:sz="4" w:space="0"/>
              <w:right w:val="single" w:color="auto" w:sz="4" w:space="0"/>
            </w:tcBorders>
            <w:noWrap/>
            <w:vAlign w:val="center"/>
          </w:tcPr>
          <w:p w14:paraId="3D6F99B0">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924" w:type="dxa"/>
            <w:tcBorders>
              <w:top w:val="nil"/>
              <w:left w:val="nil"/>
              <w:bottom w:val="single" w:color="auto" w:sz="4" w:space="0"/>
              <w:right w:val="single" w:color="auto" w:sz="4" w:space="0"/>
            </w:tcBorders>
            <w:noWrap/>
            <w:vAlign w:val="center"/>
          </w:tcPr>
          <w:p w14:paraId="7D67BA0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933</w:t>
            </w:r>
          </w:p>
        </w:tc>
        <w:tc>
          <w:tcPr>
            <w:tcW w:w="1604" w:type="dxa"/>
            <w:tcBorders>
              <w:top w:val="nil"/>
              <w:left w:val="nil"/>
              <w:bottom w:val="single" w:color="auto" w:sz="4" w:space="0"/>
              <w:right w:val="single" w:color="auto" w:sz="4" w:space="0"/>
            </w:tcBorders>
            <w:noWrap/>
            <w:vAlign w:val="center"/>
          </w:tcPr>
          <w:p w14:paraId="0F583DCB">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79323.24</w:t>
            </w:r>
          </w:p>
        </w:tc>
      </w:tr>
      <w:tr w14:paraId="467BEB86">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1334D532">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三居室</w:t>
            </w:r>
          </w:p>
        </w:tc>
        <w:tc>
          <w:tcPr>
            <w:tcW w:w="1332" w:type="dxa"/>
            <w:tcBorders>
              <w:top w:val="nil"/>
              <w:left w:val="nil"/>
              <w:bottom w:val="single" w:color="auto" w:sz="4" w:space="0"/>
              <w:right w:val="single" w:color="auto" w:sz="4" w:space="0"/>
            </w:tcBorders>
            <w:noWrap/>
            <w:vAlign w:val="center"/>
          </w:tcPr>
          <w:p w14:paraId="6CE390D7">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90.99-129.32</w:t>
            </w:r>
          </w:p>
        </w:tc>
        <w:tc>
          <w:tcPr>
            <w:tcW w:w="4008" w:type="dxa"/>
            <w:tcBorders>
              <w:top w:val="nil"/>
              <w:left w:val="nil"/>
              <w:bottom w:val="single" w:color="auto" w:sz="4" w:space="0"/>
              <w:right w:val="single" w:color="auto" w:sz="4" w:space="0"/>
            </w:tcBorders>
            <w:noWrap/>
            <w:vAlign w:val="center"/>
          </w:tcPr>
          <w:p w14:paraId="7138725A">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育林街1号院9、16号楼；育林街2号院7、8、10、11、12、18号楼；育林街8号院8号楼</w:t>
            </w:r>
          </w:p>
        </w:tc>
        <w:tc>
          <w:tcPr>
            <w:tcW w:w="612" w:type="dxa"/>
            <w:tcBorders>
              <w:top w:val="nil"/>
              <w:left w:val="nil"/>
              <w:bottom w:val="single" w:color="auto" w:sz="4" w:space="0"/>
              <w:right w:val="single" w:color="auto" w:sz="4" w:space="0"/>
            </w:tcBorders>
            <w:noWrap/>
            <w:vAlign w:val="center"/>
          </w:tcPr>
          <w:p w14:paraId="1D87D66A">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924" w:type="dxa"/>
            <w:tcBorders>
              <w:top w:val="nil"/>
              <w:left w:val="nil"/>
              <w:bottom w:val="single" w:color="auto" w:sz="4" w:space="0"/>
              <w:right w:val="single" w:color="auto" w:sz="4" w:space="0"/>
            </w:tcBorders>
            <w:noWrap/>
            <w:vAlign w:val="center"/>
          </w:tcPr>
          <w:p w14:paraId="7F3973C0">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13</w:t>
            </w:r>
          </w:p>
        </w:tc>
        <w:tc>
          <w:tcPr>
            <w:tcW w:w="1604" w:type="dxa"/>
            <w:tcBorders>
              <w:top w:val="nil"/>
              <w:left w:val="nil"/>
              <w:bottom w:val="single" w:color="auto" w:sz="4" w:space="0"/>
              <w:right w:val="single" w:color="auto" w:sz="4" w:space="0"/>
            </w:tcBorders>
            <w:noWrap/>
            <w:vAlign w:val="center"/>
          </w:tcPr>
          <w:p w14:paraId="5A1A8562">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1561.82</w:t>
            </w:r>
          </w:p>
        </w:tc>
      </w:tr>
      <w:tr w14:paraId="05F7FA26">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1B07553D">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035DCBAC">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008" w:type="dxa"/>
            <w:tcBorders>
              <w:top w:val="nil"/>
              <w:left w:val="nil"/>
              <w:bottom w:val="single" w:color="auto" w:sz="4" w:space="0"/>
              <w:right w:val="single" w:color="auto" w:sz="4" w:space="0"/>
            </w:tcBorders>
            <w:noWrap/>
            <w:vAlign w:val="center"/>
          </w:tcPr>
          <w:p w14:paraId="405B360A">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612" w:type="dxa"/>
            <w:tcBorders>
              <w:top w:val="nil"/>
              <w:left w:val="nil"/>
              <w:bottom w:val="single" w:color="auto" w:sz="4" w:space="0"/>
              <w:right w:val="single" w:color="auto" w:sz="4" w:space="0"/>
            </w:tcBorders>
            <w:noWrap/>
            <w:vAlign w:val="center"/>
          </w:tcPr>
          <w:p w14:paraId="0634EC1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924" w:type="dxa"/>
            <w:tcBorders>
              <w:top w:val="nil"/>
              <w:left w:val="nil"/>
              <w:bottom w:val="single" w:color="auto" w:sz="4" w:space="0"/>
              <w:right w:val="single" w:color="auto" w:sz="4" w:space="0"/>
            </w:tcBorders>
            <w:noWrap/>
            <w:vAlign w:val="center"/>
          </w:tcPr>
          <w:p w14:paraId="3751C24A">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w:t>
            </w:r>
          </w:p>
        </w:tc>
        <w:tc>
          <w:tcPr>
            <w:tcW w:w="1604" w:type="dxa"/>
            <w:tcBorders>
              <w:top w:val="nil"/>
              <w:left w:val="nil"/>
              <w:bottom w:val="single" w:color="auto" w:sz="4" w:space="0"/>
              <w:right w:val="single" w:color="auto" w:sz="4" w:space="0"/>
            </w:tcBorders>
            <w:noWrap/>
            <w:vAlign w:val="center"/>
          </w:tcPr>
          <w:p w14:paraId="5697507F">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1564.82</w:t>
            </w:r>
          </w:p>
        </w:tc>
      </w:tr>
      <w:tr w14:paraId="5AEC1DBC">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15442766">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合计</w:t>
            </w:r>
          </w:p>
        </w:tc>
        <w:tc>
          <w:tcPr>
            <w:tcW w:w="1332" w:type="dxa"/>
            <w:tcBorders>
              <w:top w:val="nil"/>
              <w:left w:val="nil"/>
              <w:bottom w:val="single" w:color="auto" w:sz="4" w:space="0"/>
              <w:right w:val="single" w:color="auto" w:sz="4" w:space="0"/>
            </w:tcBorders>
            <w:noWrap/>
            <w:vAlign w:val="center"/>
          </w:tcPr>
          <w:p w14:paraId="72A8323E">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w:t>
            </w:r>
          </w:p>
        </w:tc>
        <w:tc>
          <w:tcPr>
            <w:tcW w:w="4008" w:type="dxa"/>
            <w:tcBorders>
              <w:top w:val="nil"/>
              <w:left w:val="nil"/>
              <w:bottom w:val="single" w:color="auto" w:sz="4" w:space="0"/>
              <w:right w:val="single" w:color="auto" w:sz="4" w:space="0"/>
            </w:tcBorders>
            <w:noWrap/>
            <w:vAlign w:val="center"/>
          </w:tcPr>
          <w:p w14:paraId="399C6B9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612" w:type="dxa"/>
            <w:tcBorders>
              <w:top w:val="nil"/>
              <w:left w:val="nil"/>
              <w:bottom w:val="single" w:color="auto" w:sz="4" w:space="0"/>
              <w:right w:val="single" w:color="auto" w:sz="4" w:space="0"/>
            </w:tcBorders>
            <w:noWrap/>
            <w:vAlign w:val="center"/>
          </w:tcPr>
          <w:p w14:paraId="40D8251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924" w:type="dxa"/>
            <w:tcBorders>
              <w:top w:val="nil"/>
              <w:left w:val="nil"/>
              <w:bottom w:val="single" w:color="auto" w:sz="4" w:space="0"/>
              <w:right w:val="single" w:color="auto" w:sz="4" w:space="0"/>
            </w:tcBorders>
            <w:noWrap/>
            <w:vAlign w:val="center"/>
          </w:tcPr>
          <w:p w14:paraId="3F13EE1F">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1324</w:t>
            </w:r>
          </w:p>
        </w:tc>
        <w:tc>
          <w:tcPr>
            <w:tcW w:w="1604" w:type="dxa"/>
            <w:tcBorders>
              <w:top w:val="nil"/>
              <w:left w:val="nil"/>
              <w:bottom w:val="single" w:color="auto" w:sz="4" w:space="0"/>
              <w:right w:val="single" w:color="auto" w:sz="4" w:space="0"/>
            </w:tcBorders>
            <w:noWrap/>
            <w:vAlign w:val="center"/>
          </w:tcPr>
          <w:p w14:paraId="7AA30462">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106034.90</w:t>
            </w:r>
          </w:p>
        </w:tc>
      </w:tr>
    </w:tbl>
    <w:p w14:paraId="2F3D9222">
      <w:pPr>
        <w:overflowPunct w:val="0"/>
        <w:spacing w:before="120" w:beforeLines="50" w:line="480" w:lineRule="auto"/>
        <w:ind w:firstLine="420" w:firstLineChars="200"/>
        <w:jc w:val="both"/>
        <w:textAlignment w:val="auto"/>
        <w:rPr>
          <w:rFonts w:ascii="Arial" w:hAnsi="Arial" w:cs="Arial"/>
          <w:color w:val="auto"/>
          <w:sz w:val="21"/>
          <w:szCs w:val="21"/>
        </w:rPr>
      </w:pPr>
      <w:r>
        <w:rPr>
          <w:rFonts w:hint="eastAsia" w:ascii="Arial" w:hAnsi="Arial" w:cs="Arial"/>
          <w:color w:val="auto"/>
          <w:kern w:val="2"/>
          <w:sz w:val="21"/>
          <w:szCs w:val="21"/>
        </w:rPr>
        <w:t>于价值时点，估价对象所属由于已全部竣工，</w:t>
      </w:r>
      <w:r>
        <w:rPr>
          <w:rFonts w:hint="eastAsia" w:ascii="Arial" w:hAnsi="Arial" w:cs="Arial"/>
          <w:color w:val="auto"/>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color w:val="auto"/>
          <w:kern w:val="2"/>
          <w:sz w:val="21"/>
          <w:szCs w:val="21"/>
        </w:rPr>
        <w:t>，</w:t>
      </w:r>
      <w:r>
        <w:rPr>
          <w:rFonts w:hint="eastAsia" w:ascii="Arial" w:hAnsi="Arial" w:cs="Arial"/>
          <w:color w:val="auto"/>
          <w:sz w:val="21"/>
          <w:szCs w:val="21"/>
        </w:rPr>
        <w:t>估价对象</w:t>
      </w:r>
      <w:r>
        <w:rPr>
          <w:rFonts w:hint="eastAsia" w:ascii="Arial" w:hAnsi="Arial" w:cs="Arial"/>
          <w:color w:val="auto"/>
          <w:kern w:val="2"/>
          <w:sz w:val="21"/>
          <w:szCs w:val="21"/>
        </w:rPr>
        <w:t>1324套住宅用房，其中已转化人才公租房500套现状室内装修情况均为精装修，安置房剩余房源824套现状为毛坯，后续由北京市大兴区保障性住房建设投资有限公司按实际情况分期分批对824套剩余房源进行装修，估价对象全部房源均按照精装修标准配租，故本次评估室内装修情况均设定为精装修。</w:t>
      </w:r>
    </w:p>
    <w:p w14:paraId="681BFE36">
      <w:pPr>
        <w:rPr>
          <w:rFonts w:ascii="Arial" w:hAnsi="Arial" w:cs="Arial"/>
          <w:color w:val="auto"/>
          <w:kern w:val="2"/>
          <w:sz w:val="21"/>
          <w:szCs w:val="21"/>
        </w:rPr>
      </w:pPr>
      <w:r>
        <w:rPr>
          <w:rFonts w:hint="eastAsia" w:ascii="Arial" w:hAnsi="Arial" w:cs="Arial"/>
          <w:color w:val="auto"/>
          <w:kern w:val="2"/>
          <w:sz w:val="21"/>
          <w:szCs w:val="21"/>
        </w:rPr>
        <w:br w:type="page"/>
      </w:r>
    </w:p>
    <w:p w14:paraId="14F451FC">
      <w:pPr>
        <w:overflowPunct w:val="0"/>
        <w:spacing w:line="480" w:lineRule="auto"/>
        <w:jc w:val="center"/>
        <w:textAlignment w:val="auto"/>
        <w:rPr>
          <w:color w:val="auto"/>
        </w:rPr>
      </w:pPr>
      <w:r>
        <w:rPr>
          <w:rFonts w:hint="eastAsia" w:ascii="Arial" w:hAnsi="Arial" w:cs="Arial"/>
          <w:color w:val="auto"/>
          <w:kern w:val="2"/>
          <w:sz w:val="21"/>
          <w:szCs w:val="21"/>
        </w:rPr>
        <w:t>估价对象位置示意图</w:t>
      </w:r>
      <w:r>
        <w:rPr>
          <w:color w:val="auto"/>
        </w:rPr>
        <w:t xml:space="preserve"> </w:t>
      </w:r>
    </w:p>
    <w:p w14:paraId="7BF9E764">
      <w:pPr>
        <w:overflowPunct w:val="0"/>
        <w:spacing w:line="480" w:lineRule="auto"/>
        <w:jc w:val="center"/>
        <w:textAlignment w:val="auto"/>
        <w:rPr>
          <w:rFonts w:ascii="Arial" w:hAnsi="Arial" w:cs="Arial"/>
          <w:color w:val="auto"/>
          <w:kern w:val="2"/>
          <w:sz w:val="21"/>
          <w:szCs w:val="21"/>
        </w:rPr>
      </w:pPr>
      <w:r>
        <w:rPr>
          <w:color w:val="auto"/>
        </w:rPr>
        <mc:AlternateContent>
          <mc:Choice Requires="wps">
            <w:drawing>
              <wp:anchor distT="0" distB="0" distL="114300" distR="114300" simplePos="0" relativeHeight="251662336" behindDoc="0" locked="0" layoutInCell="1" allowOverlap="1">
                <wp:simplePos x="0" y="0"/>
                <wp:positionH relativeFrom="column">
                  <wp:posOffset>3472180</wp:posOffset>
                </wp:positionH>
                <wp:positionV relativeFrom="paragraph">
                  <wp:posOffset>2343785</wp:posOffset>
                </wp:positionV>
                <wp:extent cx="1057275" cy="390525"/>
                <wp:effectExtent l="4445" t="287655" r="5080" b="7620"/>
                <wp:wrapNone/>
                <wp:docPr id="28"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6216"/>
                            <a:gd name="adj2" fmla="val -120081"/>
                            <a:gd name="adj3" fmla="val 16667"/>
                          </a:avLst>
                        </a:prstGeom>
                        <a:solidFill>
                          <a:srgbClr val="FF0000"/>
                        </a:solidFill>
                        <a:ln w="9525">
                          <a:solidFill>
                            <a:srgbClr val="000000"/>
                          </a:solidFill>
                          <a:miter lim="800000"/>
                        </a:ln>
                      </wps:spPr>
                      <wps:txbx>
                        <w:txbxContent>
                          <w:p w14:paraId="212B50AC">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73.4pt;margin-top:184.55pt;height:30.75pt;width:83.25pt;z-index:251662336;mso-width-relative:page;mso-height-relative:page;" fillcolor="#FF0000" filled="t" stroked="t" coordsize="21600,21600" o:gfxdata="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TmrcvXAAAACwEAAA8AAAAAAAAAAQAgAAAAIgAA&#10;AGRycy9kb3ducmV2LnhtbFBLAQIUABQAAAAIAIdO4kA3vgf8ewIAAAoFAAAOAAAAAAAAAAEAIAAA&#10;ACYBAABkcnMvZTJvRG9jLnhtbFBLBQYAAAAABgAGAFkBAAATBgAAAAA=&#10;" adj="817,-15137,14400">
                <v:fill on="t" focussize="0,0"/>
                <v:stroke color="#000000" miterlimit="8" joinstyle="miter"/>
                <v:imagedata o:title=""/>
                <o:lock v:ext="edit" aspectratio="f"/>
                <v:textbox>
                  <w:txbxContent>
                    <w:p w14:paraId="212B50AC">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v:textbox>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1452880</wp:posOffset>
                </wp:positionH>
                <wp:positionV relativeFrom="paragraph">
                  <wp:posOffset>819785</wp:posOffset>
                </wp:positionV>
                <wp:extent cx="1057275" cy="390525"/>
                <wp:effectExtent l="4445" t="4445" r="203200" b="458470"/>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6216"/>
                            <a:gd name="adj2" fmla="val 160894"/>
                            <a:gd name="adj3" fmla="val 16667"/>
                          </a:avLst>
                        </a:prstGeom>
                        <a:solidFill>
                          <a:srgbClr val="FF0000"/>
                        </a:solidFill>
                        <a:ln w="9525">
                          <a:solidFill>
                            <a:srgbClr val="000000"/>
                          </a:solidFill>
                          <a:miter lim="800000"/>
                        </a:ln>
                      </wps:spPr>
                      <wps:txbx>
                        <w:txbxContent>
                          <w:p w14:paraId="65D135E7">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14.4pt;margin-top:64.55pt;height:30.75pt;width:83.25pt;z-index:251661312;mso-width-relative:page;mso-height-relative:page;" fillcolor="#FF0000" filled="t" stroked="t" coordsize="21600,21600" o:gfxdata="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n8anjaAAAACwEAAA8AAAAAAAAAAQAgAAAAIgAA&#10;AGRycy9kb3ducmV2LnhtbFBLAQIUABQAAAAIAIdO4kAZy93HeAIAAAgFAAAOAAAAAAAAAAEAIAAA&#10;ACkBAABkcnMvZTJvRG9jLnhtbFBLBQYAAAAABgAGAFkBAAATBgAAAAA=&#10;" adj="25103,45553,14400">
                <v:fill on="t" focussize="0,0"/>
                <v:stroke color="#000000" miterlimit="8" joinstyle="miter"/>
                <v:imagedata o:title=""/>
                <o:lock v:ext="edit" aspectratio="f"/>
                <v:textbox>
                  <w:txbxContent>
                    <w:p w14:paraId="65D135E7">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v:textbox>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1993900</wp:posOffset>
                </wp:positionH>
                <wp:positionV relativeFrom="paragraph">
                  <wp:posOffset>133985</wp:posOffset>
                </wp:positionV>
                <wp:extent cx="1057275" cy="390525"/>
                <wp:effectExtent l="4445" t="4445" r="157480" b="549910"/>
                <wp:wrapNone/>
                <wp:docPr id="5"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1891"/>
                            <a:gd name="adj2" fmla="val 184308"/>
                            <a:gd name="adj3" fmla="val 16667"/>
                          </a:avLst>
                        </a:prstGeom>
                        <a:solidFill>
                          <a:srgbClr val="FF0000"/>
                        </a:solidFill>
                        <a:ln w="9525">
                          <a:solidFill>
                            <a:srgbClr val="000000"/>
                          </a:solidFill>
                          <a:miter lim="800000"/>
                        </a:ln>
                      </wps:spPr>
                      <wps:txbx>
                        <w:txbxContent>
                          <w:p w14:paraId="7CF91CA5">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57pt;margin-top:10.55pt;height:30.75pt;width:83.25pt;z-index:251660288;mso-width-relative:page;mso-height-relative:page;" fillcolor="#FF0000" filled="t" stroked="t" coordsize="21600,21600" o:gfxdata="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G3ibrYAAAACQEAAA8AAAAAAAAAAQAgAAAAIgAA&#10;AGRycy9kb3ducmV2LnhtbFBLAQIUABQAAAAIAIdO4kD6e6fgegIAAAcFAAAOAAAAAAAAAAEAIAAA&#10;ACcBAABkcnMvZTJvRG9jLnhtbFBLBQYAAAAABgAGAFkBAAATBgAAAAA=&#10;" adj="24168,50611,14400">
                <v:fill on="t" focussize="0,0"/>
                <v:stroke color="#000000" miterlimit="8" joinstyle="miter"/>
                <v:imagedata o:title=""/>
                <o:lock v:ext="edit" aspectratio="f"/>
                <v:textbox>
                  <w:txbxContent>
                    <w:p w14:paraId="7CF91CA5">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v:textbox>
              </v:shap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3319780</wp:posOffset>
                </wp:positionH>
                <wp:positionV relativeFrom="paragraph">
                  <wp:posOffset>507365</wp:posOffset>
                </wp:positionV>
                <wp:extent cx="1057275" cy="390525"/>
                <wp:effectExtent l="4445" t="4445" r="5080" b="610870"/>
                <wp:wrapNone/>
                <wp:docPr id="559770231"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7657"/>
                            <a:gd name="adj2" fmla="val 199918"/>
                            <a:gd name="adj3" fmla="val 16667"/>
                          </a:avLst>
                        </a:prstGeom>
                        <a:solidFill>
                          <a:srgbClr val="FF0000"/>
                        </a:solidFill>
                        <a:ln w="9525">
                          <a:solidFill>
                            <a:srgbClr val="000000"/>
                          </a:solidFill>
                          <a:miter lim="800000"/>
                        </a:ln>
                      </wps:spPr>
                      <wps:txbx>
                        <w:txbxContent>
                          <w:p w14:paraId="000D3AF4">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61.4pt;margin-top:39.95pt;height:30.75pt;width:83.25pt;z-index:251659264;mso-width-relative:page;mso-height-relative:page;" fillcolor="#FF0000" filled="t" stroked="t" coordsize="21600,21600" o:gfxdata="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Y62rTbAAAACgEAAA8AAAAAAAAA&#10;AQAgAAAAIgAAAGRycy9kb3ducmV2LnhtbFBLAQIUABQAAAAIAIdO4kAFXZsqgAIAABAFAAAOAAAA&#10;AAAAAAEAIAAAACoBAABkcnMvZTJvRG9jLnhtbFBLBQYAAAAABgAGAFkBAAAcBgAAAAA=&#10;" adj="506,53982,14400">
                <v:fill on="t" focussize="0,0"/>
                <v:stroke color="#000000" miterlimit="8" joinstyle="miter"/>
                <v:imagedata o:title=""/>
                <o:lock v:ext="edit" aspectratio="f"/>
                <v:textbox>
                  <w:txbxContent>
                    <w:p w14:paraId="000D3AF4">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v:textbox>
              </v:shape>
            </w:pict>
          </mc:Fallback>
        </mc:AlternateContent>
      </w:r>
      <w:r>
        <w:rPr>
          <w:color w:val="auto"/>
        </w:rPr>
        <w:drawing>
          <wp:inline distT="0" distB="0" distL="114300" distR="114300">
            <wp:extent cx="4674870" cy="3115310"/>
            <wp:effectExtent l="0" t="0" r="381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4674870" cy="3115310"/>
                    </a:xfrm>
                    <a:prstGeom prst="rect">
                      <a:avLst/>
                    </a:prstGeom>
                    <a:noFill/>
                    <a:ln>
                      <a:noFill/>
                    </a:ln>
                  </pic:spPr>
                </pic:pic>
              </a:graphicData>
            </a:graphic>
          </wp:inline>
        </w:drawing>
      </w:r>
    </w:p>
    <w:p w14:paraId="3D2EE608">
      <w:pPr>
        <w:wordWrap w:val="0"/>
        <w:overflowPunct w:val="0"/>
        <w:spacing w:line="480" w:lineRule="auto"/>
        <w:jc w:val="both"/>
        <w:textAlignment w:val="auto"/>
        <w:rPr>
          <w:rFonts w:ascii="Arial" w:hAnsi="Arial" w:cs="Arial"/>
          <w:b/>
          <w:color w:val="auto"/>
          <w:kern w:val="2"/>
          <w:sz w:val="21"/>
          <w:szCs w:val="21"/>
        </w:rPr>
      </w:pPr>
      <w:r>
        <w:rPr>
          <w:rFonts w:ascii="Arial" w:hAnsi="Arial" w:cs="Arial"/>
          <w:b/>
          <w:color w:val="auto"/>
          <w:kern w:val="2"/>
          <w:sz w:val="21"/>
          <w:szCs w:val="21"/>
        </w:rPr>
        <w:t>（二）土地基本状况</w:t>
      </w:r>
    </w:p>
    <w:p w14:paraId="4B3BA0BD">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1.</w:t>
      </w:r>
      <w:r>
        <w:rPr>
          <w:rFonts w:hint="eastAsia" w:ascii="Arial" w:hAnsi="Arial" w:cs="Arial"/>
          <w:color w:val="auto"/>
          <w:sz w:val="21"/>
          <w:szCs w:val="21"/>
        </w:rPr>
        <w:t>根据《采育数字时尚小镇保障性住房趸组协议》及其附件及《</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》[X京房权证兴字第144437、144436、144435、144444、1444440、144439、144442、144443、144449、144445、144447、194022号]，估价对象中</w:t>
      </w:r>
      <w:r>
        <w:rPr>
          <w:rFonts w:hint="eastAsia" w:ascii="Arial" w:hAnsi="Arial" w:cs="Arial"/>
          <w:color w:val="auto"/>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color w:val="auto"/>
          <w:kern w:val="2"/>
          <w:sz w:val="21"/>
          <w:szCs w:val="21"/>
        </w:rPr>
        <w:t>于房屋建成后回购</w:t>
      </w:r>
      <w:r>
        <w:rPr>
          <w:rFonts w:hint="eastAsia" w:ascii="Arial" w:hAnsi="Arial" w:cs="Arial"/>
          <w:color w:val="auto"/>
          <w:kern w:val="2"/>
          <w:sz w:val="21"/>
          <w:szCs w:val="21"/>
        </w:rPr>
        <w:t>。</w:t>
      </w:r>
      <w:r>
        <w:rPr>
          <w:rFonts w:ascii="Arial" w:hAnsi="Arial" w:cs="Arial"/>
          <w:color w:val="auto"/>
          <w:kern w:val="2"/>
          <w:sz w:val="21"/>
          <w:szCs w:val="21"/>
        </w:rPr>
        <w:t>截至</w:t>
      </w:r>
      <w:r>
        <w:rPr>
          <w:rFonts w:hint="eastAsia" w:ascii="Arial" w:hAnsi="Arial" w:cs="Arial"/>
          <w:color w:val="auto"/>
          <w:kern w:val="2"/>
          <w:sz w:val="21"/>
          <w:szCs w:val="21"/>
        </w:rPr>
        <w:t>报告出具日，上述房屋尚未办理不动产权变更登记。所属宗地现状四至为东至育仁街，南至育林街，西至福源路，北至育胜街。</w:t>
      </w:r>
    </w:p>
    <w:p w14:paraId="499258B6">
      <w:pPr>
        <w:wordWrap w:val="0"/>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color w:val="auto"/>
          <w:sz w:val="21"/>
          <w:szCs w:val="21"/>
        </w:rPr>
        <w:t>土地使用权人为北京兴创投资有限公司，使用权类型</w:t>
      </w:r>
      <w:r>
        <w:rPr>
          <w:rFonts w:hint="eastAsia" w:ascii="Arial" w:hAnsi="Arial" w:cs="Arial"/>
          <w:color w:val="auto"/>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0E622718">
      <w:pPr>
        <w:wordWrap w:val="0"/>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color w:val="auto"/>
          <w:sz w:val="21"/>
          <w:szCs w:val="21"/>
        </w:rPr>
        <w:t>土地使用权人为北京兴创投资有限公司，使用权类型</w:t>
      </w:r>
      <w:r>
        <w:rPr>
          <w:rFonts w:hint="eastAsia" w:ascii="Arial" w:hAnsi="Arial" w:cs="Arial"/>
          <w:color w:val="auto"/>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6682898D">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color w:val="auto"/>
          <w:sz w:val="21"/>
          <w:szCs w:val="21"/>
        </w:rPr>
        <w:t>土地使用权人为北京兴创投资有限公司，使用权类型</w:t>
      </w:r>
      <w:r>
        <w:rPr>
          <w:rFonts w:hint="eastAsia" w:ascii="Arial" w:hAnsi="Arial" w:cs="Arial"/>
          <w:color w:val="auto"/>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38E3CB27">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2</w:t>
      </w:r>
      <w:r>
        <w:rPr>
          <w:rFonts w:ascii="Arial" w:hAnsi="Arial" w:cs="Arial"/>
          <w:color w:val="auto"/>
          <w:sz w:val="21"/>
          <w:szCs w:val="21"/>
        </w:rPr>
        <w:t>.估价对象所属项目用地呈</w:t>
      </w:r>
      <w:r>
        <w:rPr>
          <w:rFonts w:hint="eastAsia" w:ascii="Arial" w:hAnsi="Arial" w:cs="Arial"/>
          <w:color w:val="auto"/>
          <w:sz w:val="21"/>
          <w:szCs w:val="21"/>
        </w:rPr>
        <w:t>较</w:t>
      </w:r>
      <w:r>
        <w:rPr>
          <w:rFonts w:ascii="Arial" w:hAnsi="Arial" w:cs="Arial"/>
          <w:color w:val="auto"/>
          <w:sz w:val="21"/>
          <w:szCs w:val="21"/>
        </w:rPr>
        <w:t>规则形状，</w:t>
      </w:r>
      <w:r>
        <w:rPr>
          <w:rFonts w:hint="eastAsia" w:ascii="Arial" w:hAnsi="Arial" w:cs="Arial"/>
          <w:color w:val="auto"/>
          <w:sz w:val="21"/>
          <w:szCs w:val="21"/>
        </w:rPr>
        <w:t>对利用无不良影响，</w:t>
      </w:r>
      <w:r>
        <w:rPr>
          <w:rFonts w:ascii="Arial" w:hAnsi="Arial" w:cs="Arial"/>
          <w:color w:val="auto"/>
          <w:sz w:val="21"/>
          <w:szCs w:val="21"/>
        </w:rPr>
        <w:t>场地</w:t>
      </w:r>
      <w:r>
        <w:rPr>
          <w:rFonts w:hint="eastAsia" w:ascii="Arial" w:hAnsi="Arial" w:cs="Arial"/>
          <w:color w:val="auto"/>
          <w:sz w:val="21"/>
          <w:szCs w:val="21"/>
        </w:rPr>
        <w:t>呈</w:t>
      </w:r>
      <w:r>
        <w:rPr>
          <w:rFonts w:ascii="Arial" w:hAnsi="Arial" w:cs="Arial"/>
          <w:color w:val="auto"/>
          <w:sz w:val="21"/>
          <w:szCs w:val="21"/>
        </w:rPr>
        <w:t>较平坦地势</w:t>
      </w:r>
      <w:r>
        <w:rPr>
          <w:rFonts w:hint="eastAsia" w:ascii="Arial" w:hAnsi="Arial" w:cs="Arial"/>
          <w:color w:val="auto"/>
          <w:sz w:val="21"/>
          <w:szCs w:val="21"/>
        </w:rPr>
        <w:t>，工程地质条件良好，无不良地质现象</w:t>
      </w:r>
      <w:r>
        <w:rPr>
          <w:rFonts w:ascii="Arial" w:hAnsi="Arial" w:cs="Arial"/>
          <w:color w:val="auto"/>
          <w:sz w:val="21"/>
          <w:szCs w:val="21"/>
        </w:rPr>
        <w:t>。</w:t>
      </w:r>
      <w:r>
        <w:rPr>
          <w:rFonts w:hint="eastAsia" w:ascii="Arial" w:hAnsi="Arial" w:cs="Arial"/>
          <w:color w:val="auto"/>
          <w:sz w:val="21"/>
          <w:szCs w:val="21"/>
        </w:rPr>
        <w:t>估价对象现状已完成开发建设，土地利用程度高。</w:t>
      </w:r>
    </w:p>
    <w:p w14:paraId="15F56459">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3</w:t>
      </w:r>
      <w:r>
        <w:rPr>
          <w:rFonts w:ascii="Arial" w:hAnsi="Arial" w:cs="Arial"/>
          <w:color w:val="auto"/>
          <w:sz w:val="21"/>
          <w:szCs w:val="21"/>
        </w:rPr>
        <w:t>.</w:t>
      </w:r>
      <w:r>
        <w:rPr>
          <w:rFonts w:hint="eastAsia" w:ascii="Arial" w:hAnsi="Arial" w:cs="Arial"/>
          <w:color w:val="auto"/>
          <w:sz w:val="21"/>
          <w:szCs w:val="21"/>
        </w:rPr>
        <w:t>开发程度</w:t>
      </w:r>
      <w:r>
        <w:rPr>
          <w:rFonts w:ascii="Arial" w:hAnsi="Arial" w:cs="Arial"/>
          <w:color w:val="auto"/>
          <w:sz w:val="21"/>
          <w:szCs w:val="21"/>
        </w:rPr>
        <w:t>：</w:t>
      </w:r>
    </w:p>
    <w:p w14:paraId="02176142">
      <w:pPr>
        <w:wordWrap w:val="0"/>
        <w:overflowPunct w:val="0"/>
        <w:spacing w:line="480" w:lineRule="auto"/>
        <w:ind w:firstLine="420" w:firstLineChars="200"/>
        <w:jc w:val="both"/>
        <w:textAlignment w:val="auto"/>
        <w:rPr>
          <w:rFonts w:ascii="Arial" w:hAnsi="Arial" w:cs="Arial"/>
          <w:color w:val="auto"/>
          <w:kern w:val="2"/>
          <w:sz w:val="21"/>
          <w:szCs w:val="21"/>
        </w:rPr>
      </w:pPr>
      <w:r>
        <w:rPr>
          <w:rFonts w:ascii="Arial" w:hAnsi="Arial" w:cs="Arial"/>
          <w:color w:val="auto"/>
          <w:kern w:val="2"/>
          <w:sz w:val="21"/>
          <w:szCs w:val="21"/>
        </w:rPr>
        <w:t>估价对象所在区域市政基础设施完备，为</w:t>
      </w:r>
      <w:r>
        <w:rPr>
          <w:rFonts w:hint="eastAsia" w:ascii="Arial" w:hAnsi="Arial" w:cs="Arial"/>
          <w:color w:val="auto"/>
          <w:kern w:val="2"/>
          <w:sz w:val="21"/>
          <w:szCs w:val="21"/>
        </w:rPr>
        <w:t>“七</w:t>
      </w:r>
      <w:r>
        <w:rPr>
          <w:rFonts w:ascii="Arial" w:hAnsi="Arial" w:cs="Arial"/>
          <w:color w:val="auto"/>
          <w:kern w:val="2"/>
          <w:sz w:val="21"/>
          <w:szCs w:val="21"/>
        </w:rPr>
        <w:t>通</w:t>
      </w:r>
      <w:r>
        <w:rPr>
          <w:rFonts w:hint="eastAsia" w:ascii="Arial" w:hAnsi="Arial" w:cs="Arial"/>
          <w:color w:val="auto"/>
          <w:kern w:val="2"/>
          <w:sz w:val="21"/>
          <w:szCs w:val="21"/>
        </w:rPr>
        <w:t>”</w:t>
      </w:r>
      <w:r>
        <w:rPr>
          <w:rFonts w:ascii="Arial" w:hAnsi="Arial" w:cs="Arial"/>
          <w:color w:val="auto"/>
          <w:kern w:val="2"/>
          <w:sz w:val="21"/>
          <w:szCs w:val="21"/>
        </w:rPr>
        <w:t>（即通路、通电、通讯</w:t>
      </w:r>
      <w:r>
        <w:rPr>
          <w:rFonts w:hint="eastAsia" w:ascii="Arial" w:hAnsi="Arial" w:cs="Arial"/>
          <w:color w:val="auto"/>
          <w:kern w:val="2"/>
          <w:sz w:val="21"/>
          <w:szCs w:val="21"/>
        </w:rPr>
        <w:t>、</w:t>
      </w:r>
      <w:r>
        <w:rPr>
          <w:rFonts w:ascii="Arial" w:hAnsi="Arial" w:cs="Arial"/>
          <w:color w:val="auto"/>
          <w:kern w:val="2"/>
          <w:sz w:val="21"/>
          <w:szCs w:val="21"/>
        </w:rPr>
        <w:t>通上水、通下水、通燃气、通热力），且保证程度高。</w:t>
      </w:r>
    </w:p>
    <w:p w14:paraId="55FAD9EC">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kern w:val="2"/>
          <w:sz w:val="21"/>
          <w:szCs w:val="21"/>
        </w:rPr>
        <w:t>综上所述，</w:t>
      </w:r>
      <w:r>
        <w:rPr>
          <w:rFonts w:ascii="Arial" w:hAnsi="Arial" w:cs="Arial"/>
          <w:color w:val="auto"/>
          <w:kern w:val="2"/>
          <w:sz w:val="21"/>
          <w:szCs w:val="21"/>
        </w:rPr>
        <w:t>估价对象</w:t>
      </w:r>
      <w:r>
        <w:rPr>
          <w:rFonts w:hint="eastAsia" w:ascii="Arial" w:hAnsi="Arial" w:cs="Arial"/>
          <w:color w:val="auto"/>
          <w:kern w:val="2"/>
          <w:sz w:val="21"/>
          <w:szCs w:val="21"/>
        </w:rPr>
        <w:t>所在区域</w:t>
      </w:r>
      <w:r>
        <w:rPr>
          <w:rFonts w:ascii="Arial" w:hAnsi="Arial" w:cs="Arial"/>
          <w:color w:val="auto"/>
          <w:kern w:val="2"/>
          <w:sz w:val="21"/>
          <w:szCs w:val="21"/>
        </w:rPr>
        <w:t>土地实物状况较好，场地地势平坦，地质条件良好，基础设施完备，宗地条件有利于估价对象利用，对估价对象租赁价格无不良影响</w:t>
      </w:r>
      <w:r>
        <w:rPr>
          <w:rFonts w:hint="eastAsia" w:ascii="Arial" w:hAnsi="Arial" w:cs="Arial"/>
          <w:color w:val="auto"/>
          <w:sz w:val="21"/>
          <w:szCs w:val="21"/>
        </w:rPr>
        <w:t>。</w:t>
      </w:r>
    </w:p>
    <w:p w14:paraId="13870E61">
      <w:pPr>
        <w:wordWrap w:val="0"/>
        <w:overflowPunct w:val="0"/>
        <w:spacing w:line="480" w:lineRule="auto"/>
        <w:ind w:firstLine="422" w:firstLineChars="200"/>
        <w:jc w:val="both"/>
        <w:textAlignment w:val="auto"/>
        <w:rPr>
          <w:rFonts w:ascii="Arial" w:hAnsi="Arial" w:cs="Arial"/>
          <w:b/>
          <w:color w:val="auto"/>
          <w:kern w:val="2"/>
          <w:sz w:val="21"/>
          <w:szCs w:val="21"/>
        </w:rPr>
      </w:pPr>
      <w:r>
        <w:rPr>
          <w:rFonts w:ascii="Arial" w:hAnsi="Arial" w:cs="Arial"/>
          <w:b/>
          <w:color w:val="auto"/>
          <w:kern w:val="2"/>
          <w:sz w:val="21"/>
          <w:szCs w:val="21"/>
        </w:rPr>
        <w:t>（</w:t>
      </w:r>
      <w:r>
        <w:rPr>
          <w:rFonts w:hint="eastAsia" w:ascii="Arial" w:hAnsi="Arial" w:cs="Arial"/>
          <w:b/>
          <w:color w:val="auto"/>
          <w:kern w:val="2"/>
          <w:sz w:val="21"/>
          <w:szCs w:val="21"/>
        </w:rPr>
        <w:t>三</w:t>
      </w:r>
      <w:r>
        <w:rPr>
          <w:rFonts w:ascii="Arial" w:hAnsi="Arial" w:cs="Arial"/>
          <w:b/>
          <w:color w:val="auto"/>
          <w:kern w:val="2"/>
          <w:sz w:val="21"/>
          <w:szCs w:val="21"/>
        </w:rPr>
        <w:t>）建筑物基本状况</w:t>
      </w:r>
    </w:p>
    <w:p w14:paraId="3F3F48F9">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1．建设规模：估价对象所属</w:t>
      </w:r>
      <w:r>
        <w:rPr>
          <w:rFonts w:ascii="Arial" w:hAnsi="Arial" w:cs="Arial"/>
          <w:color w:val="auto"/>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color w:val="auto"/>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79DF58F6">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color w:val="auto"/>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color w:val="auto"/>
          <w:sz w:val="21"/>
          <w:szCs w:val="21"/>
        </w:rPr>
        <w:t>估价对象具体情况如下：</w:t>
      </w:r>
    </w:p>
    <w:p w14:paraId="0864D3C6">
      <w:pPr>
        <w:overflowPunct w:val="0"/>
        <w:spacing w:line="240" w:lineRule="auto"/>
        <w:jc w:val="center"/>
        <w:textAlignment w:val="auto"/>
        <w:rPr>
          <w:rFonts w:ascii="Arial" w:hAnsi="Arial" w:cs="Arial"/>
          <w:b/>
          <w:bCs/>
          <w:color w:val="auto"/>
          <w:sz w:val="21"/>
          <w:szCs w:val="21"/>
        </w:rPr>
      </w:pPr>
      <w:r>
        <w:rPr>
          <w:rFonts w:hint="eastAsia" w:ascii="Arial" w:hAnsi="Arial" w:cs="Arial"/>
          <w:b/>
          <w:bCs/>
          <w:color w:val="auto"/>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44BA4A62">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1F1D16E4">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3A03F901">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45745C7A">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1C0C883E">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27D376C9">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7680C2B3">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总</w:t>
            </w:r>
            <w:r>
              <w:rPr>
                <w:rFonts w:hint="eastAsia" w:ascii="华文细黑" w:hAnsi="华文细黑" w:eastAsia="华文细黑" w:cs="Arial"/>
                <w:b/>
                <w:bCs/>
                <w:color w:val="auto"/>
                <w:sz w:val="18"/>
                <w:szCs w:val="18"/>
              </w:rPr>
              <w:t>建筑</w:t>
            </w:r>
            <w:r>
              <w:rPr>
                <w:rFonts w:ascii="华文细黑" w:hAnsi="华文细黑" w:eastAsia="华文细黑" w:cs="Arial"/>
                <w:b/>
                <w:bCs/>
                <w:color w:val="auto"/>
                <w:sz w:val="18"/>
                <w:szCs w:val="18"/>
              </w:rPr>
              <w:t>面积（平方米）</w:t>
            </w:r>
          </w:p>
        </w:tc>
      </w:tr>
      <w:tr w14:paraId="624ECD52">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39C46718">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一居室</w:t>
            </w:r>
          </w:p>
        </w:tc>
        <w:tc>
          <w:tcPr>
            <w:tcW w:w="1332" w:type="dxa"/>
            <w:tcBorders>
              <w:top w:val="nil"/>
              <w:left w:val="nil"/>
              <w:bottom w:val="single" w:color="auto" w:sz="4" w:space="0"/>
              <w:right w:val="single" w:color="auto" w:sz="4" w:space="0"/>
            </w:tcBorders>
            <w:noWrap/>
            <w:vAlign w:val="center"/>
          </w:tcPr>
          <w:p w14:paraId="3EB3E739">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52.63-69.91</w:t>
            </w:r>
          </w:p>
        </w:tc>
        <w:tc>
          <w:tcPr>
            <w:tcW w:w="4482" w:type="dxa"/>
            <w:tcBorders>
              <w:top w:val="nil"/>
              <w:left w:val="nil"/>
              <w:bottom w:val="single" w:color="auto" w:sz="4" w:space="0"/>
              <w:right w:val="single" w:color="auto" w:sz="4" w:space="0"/>
            </w:tcBorders>
            <w:noWrap/>
            <w:vAlign w:val="center"/>
          </w:tcPr>
          <w:p w14:paraId="16BA57F1">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05CC710D">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0F19B18E">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378</w:t>
            </w:r>
          </w:p>
        </w:tc>
        <w:tc>
          <w:tcPr>
            <w:tcW w:w="1226" w:type="dxa"/>
            <w:tcBorders>
              <w:top w:val="nil"/>
              <w:left w:val="nil"/>
              <w:bottom w:val="single" w:color="auto" w:sz="4" w:space="0"/>
              <w:right w:val="single" w:color="auto" w:sz="4" w:space="0"/>
            </w:tcBorders>
            <w:noWrap/>
            <w:vAlign w:val="center"/>
          </w:tcPr>
          <w:p w14:paraId="67BD400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25149.84</w:t>
            </w:r>
          </w:p>
        </w:tc>
      </w:tr>
      <w:tr w14:paraId="17B3D365">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0427AF24">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01769E39">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3EA08F47">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30A574D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567FCCBE">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378</w:t>
            </w:r>
          </w:p>
        </w:tc>
        <w:tc>
          <w:tcPr>
            <w:tcW w:w="1226" w:type="dxa"/>
            <w:tcBorders>
              <w:top w:val="nil"/>
              <w:left w:val="nil"/>
              <w:bottom w:val="single" w:color="auto" w:sz="4" w:space="0"/>
              <w:right w:val="single" w:color="auto" w:sz="4" w:space="0"/>
            </w:tcBorders>
            <w:noWrap/>
            <w:vAlign w:val="center"/>
          </w:tcPr>
          <w:p w14:paraId="7FDE8C2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color w:val="auto"/>
                <w:sz w:val="18"/>
                <w:szCs w:val="18"/>
              </w:rPr>
              <w:t>25149.84</w:t>
            </w:r>
          </w:p>
        </w:tc>
      </w:tr>
      <w:tr w14:paraId="0545B086">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68C17CB7">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两居室</w:t>
            </w:r>
          </w:p>
        </w:tc>
        <w:tc>
          <w:tcPr>
            <w:tcW w:w="1332" w:type="dxa"/>
            <w:tcBorders>
              <w:top w:val="nil"/>
              <w:left w:val="nil"/>
              <w:bottom w:val="single" w:color="auto" w:sz="4" w:space="0"/>
              <w:right w:val="single" w:color="auto" w:sz="4" w:space="0"/>
            </w:tcBorders>
            <w:noWrap/>
            <w:vAlign w:val="center"/>
          </w:tcPr>
          <w:p w14:paraId="61DA6D11">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72.82-88.38</w:t>
            </w:r>
          </w:p>
        </w:tc>
        <w:tc>
          <w:tcPr>
            <w:tcW w:w="4482" w:type="dxa"/>
            <w:tcBorders>
              <w:top w:val="nil"/>
              <w:left w:val="nil"/>
              <w:bottom w:val="single" w:color="auto" w:sz="4" w:space="0"/>
              <w:right w:val="single" w:color="auto" w:sz="4" w:space="0"/>
            </w:tcBorders>
            <w:noWrap/>
            <w:vAlign w:val="center"/>
          </w:tcPr>
          <w:p w14:paraId="1397174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2665643A">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1AC2BF98">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916</w:t>
            </w:r>
          </w:p>
        </w:tc>
        <w:tc>
          <w:tcPr>
            <w:tcW w:w="1226" w:type="dxa"/>
            <w:tcBorders>
              <w:top w:val="nil"/>
              <w:left w:val="nil"/>
              <w:bottom w:val="single" w:color="auto" w:sz="4" w:space="0"/>
              <w:right w:val="single" w:color="auto" w:sz="4" w:space="0"/>
            </w:tcBorders>
            <w:noWrap/>
            <w:vAlign w:val="center"/>
          </w:tcPr>
          <w:p w14:paraId="3C3CD860">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78073.23</w:t>
            </w:r>
          </w:p>
        </w:tc>
      </w:tr>
      <w:tr w14:paraId="0A7EA5BA">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5D91A965">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381C61AE">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73.53</w:t>
            </w:r>
          </w:p>
        </w:tc>
        <w:tc>
          <w:tcPr>
            <w:tcW w:w="4482" w:type="dxa"/>
            <w:tcBorders>
              <w:top w:val="nil"/>
              <w:left w:val="nil"/>
              <w:bottom w:val="single" w:color="auto" w:sz="4" w:space="0"/>
              <w:right w:val="single" w:color="auto" w:sz="4" w:space="0"/>
            </w:tcBorders>
            <w:noWrap/>
            <w:vAlign w:val="center"/>
          </w:tcPr>
          <w:p w14:paraId="33DC2FD2">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育林街1号院1、2号楼</w:t>
            </w:r>
          </w:p>
        </w:tc>
        <w:tc>
          <w:tcPr>
            <w:tcW w:w="732" w:type="dxa"/>
            <w:tcBorders>
              <w:top w:val="nil"/>
              <w:left w:val="nil"/>
              <w:bottom w:val="single" w:color="auto" w:sz="4" w:space="0"/>
              <w:right w:val="single" w:color="auto" w:sz="4" w:space="0"/>
            </w:tcBorders>
            <w:noWrap/>
            <w:vAlign w:val="center"/>
          </w:tcPr>
          <w:p w14:paraId="21235C70">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北</w:t>
            </w:r>
          </w:p>
        </w:tc>
        <w:tc>
          <w:tcPr>
            <w:tcW w:w="708" w:type="dxa"/>
            <w:tcBorders>
              <w:top w:val="nil"/>
              <w:left w:val="nil"/>
              <w:bottom w:val="single" w:color="auto" w:sz="4" w:space="0"/>
              <w:right w:val="single" w:color="auto" w:sz="4" w:space="0"/>
            </w:tcBorders>
            <w:noWrap/>
            <w:vAlign w:val="center"/>
          </w:tcPr>
          <w:p w14:paraId="649E03A9">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17</w:t>
            </w:r>
          </w:p>
        </w:tc>
        <w:tc>
          <w:tcPr>
            <w:tcW w:w="1226" w:type="dxa"/>
            <w:tcBorders>
              <w:top w:val="nil"/>
              <w:left w:val="nil"/>
              <w:bottom w:val="single" w:color="auto" w:sz="4" w:space="0"/>
              <w:right w:val="single" w:color="auto" w:sz="4" w:space="0"/>
            </w:tcBorders>
            <w:noWrap/>
            <w:vAlign w:val="center"/>
          </w:tcPr>
          <w:p w14:paraId="1CFF5578">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1250.01</w:t>
            </w:r>
          </w:p>
        </w:tc>
      </w:tr>
      <w:tr w14:paraId="6C79C3A8">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37A88ED6">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587C7F6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3B30A68D">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54724D0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400215A1">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933</w:t>
            </w:r>
          </w:p>
        </w:tc>
        <w:tc>
          <w:tcPr>
            <w:tcW w:w="1226" w:type="dxa"/>
            <w:tcBorders>
              <w:top w:val="nil"/>
              <w:left w:val="nil"/>
              <w:bottom w:val="single" w:color="auto" w:sz="4" w:space="0"/>
              <w:right w:val="single" w:color="auto" w:sz="4" w:space="0"/>
            </w:tcBorders>
            <w:noWrap/>
            <w:vAlign w:val="center"/>
          </w:tcPr>
          <w:p w14:paraId="2B04A6A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79323.24</w:t>
            </w:r>
          </w:p>
        </w:tc>
      </w:tr>
      <w:tr w14:paraId="5845499D">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1653FB52">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三居室</w:t>
            </w:r>
          </w:p>
        </w:tc>
        <w:tc>
          <w:tcPr>
            <w:tcW w:w="1332" w:type="dxa"/>
            <w:tcBorders>
              <w:top w:val="nil"/>
              <w:left w:val="nil"/>
              <w:bottom w:val="single" w:color="auto" w:sz="4" w:space="0"/>
              <w:right w:val="single" w:color="auto" w:sz="4" w:space="0"/>
            </w:tcBorders>
            <w:noWrap/>
            <w:vAlign w:val="center"/>
          </w:tcPr>
          <w:p w14:paraId="2EDD32DC">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90.99-129.32</w:t>
            </w:r>
          </w:p>
        </w:tc>
        <w:tc>
          <w:tcPr>
            <w:tcW w:w="4482" w:type="dxa"/>
            <w:tcBorders>
              <w:top w:val="nil"/>
              <w:left w:val="nil"/>
              <w:bottom w:val="single" w:color="auto" w:sz="4" w:space="0"/>
              <w:right w:val="single" w:color="auto" w:sz="4" w:space="0"/>
            </w:tcBorders>
            <w:noWrap/>
            <w:vAlign w:val="center"/>
          </w:tcPr>
          <w:p w14:paraId="76F4F2FE">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2E1AE8A5">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595BCAD8">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13</w:t>
            </w:r>
          </w:p>
        </w:tc>
        <w:tc>
          <w:tcPr>
            <w:tcW w:w="1226" w:type="dxa"/>
            <w:tcBorders>
              <w:top w:val="nil"/>
              <w:left w:val="nil"/>
              <w:bottom w:val="single" w:color="auto" w:sz="4" w:space="0"/>
              <w:right w:val="single" w:color="auto" w:sz="4" w:space="0"/>
            </w:tcBorders>
            <w:noWrap/>
            <w:vAlign w:val="center"/>
          </w:tcPr>
          <w:p w14:paraId="3181B68F">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1561.82</w:t>
            </w:r>
          </w:p>
        </w:tc>
      </w:tr>
      <w:tr w14:paraId="08A89922">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525F8AE">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4CC2139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4C763C61">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6EF73BBD">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1DBBAE1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w:t>
            </w:r>
          </w:p>
        </w:tc>
        <w:tc>
          <w:tcPr>
            <w:tcW w:w="1226" w:type="dxa"/>
            <w:tcBorders>
              <w:top w:val="nil"/>
              <w:left w:val="nil"/>
              <w:bottom w:val="single" w:color="auto" w:sz="4" w:space="0"/>
              <w:right w:val="single" w:color="auto" w:sz="4" w:space="0"/>
            </w:tcBorders>
            <w:noWrap/>
            <w:vAlign w:val="center"/>
          </w:tcPr>
          <w:p w14:paraId="44122F2D">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1564.82</w:t>
            </w:r>
          </w:p>
        </w:tc>
      </w:tr>
      <w:tr w14:paraId="532D3B6F">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47076147">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合计</w:t>
            </w:r>
          </w:p>
        </w:tc>
        <w:tc>
          <w:tcPr>
            <w:tcW w:w="1332" w:type="dxa"/>
            <w:tcBorders>
              <w:top w:val="nil"/>
              <w:left w:val="nil"/>
              <w:bottom w:val="single" w:color="auto" w:sz="4" w:space="0"/>
              <w:right w:val="single" w:color="auto" w:sz="4" w:space="0"/>
            </w:tcBorders>
            <w:noWrap/>
            <w:vAlign w:val="center"/>
          </w:tcPr>
          <w:p w14:paraId="012BB5EA">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w:t>
            </w:r>
          </w:p>
        </w:tc>
        <w:tc>
          <w:tcPr>
            <w:tcW w:w="4482" w:type="dxa"/>
            <w:tcBorders>
              <w:top w:val="nil"/>
              <w:left w:val="nil"/>
              <w:bottom w:val="single" w:color="auto" w:sz="4" w:space="0"/>
              <w:right w:val="single" w:color="auto" w:sz="4" w:space="0"/>
            </w:tcBorders>
            <w:noWrap/>
            <w:vAlign w:val="center"/>
          </w:tcPr>
          <w:p w14:paraId="04EE92AD">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4F7DA0F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2194BF7D">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1324</w:t>
            </w:r>
          </w:p>
        </w:tc>
        <w:tc>
          <w:tcPr>
            <w:tcW w:w="1226" w:type="dxa"/>
            <w:tcBorders>
              <w:top w:val="nil"/>
              <w:left w:val="nil"/>
              <w:bottom w:val="single" w:color="auto" w:sz="4" w:space="0"/>
              <w:right w:val="single" w:color="auto" w:sz="4" w:space="0"/>
            </w:tcBorders>
            <w:noWrap/>
            <w:vAlign w:val="center"/>
          </w:tcPr>
          <w:p w14:paraId="6282E8E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106034.90</w:t>
            </w:r>
          </w:p>
        </w:tc>
      </w:tr>
    </w:tbl>
    <w:p w14:paraId="094DEB8B">
      <w:pPr>
        <w:overflowPunct w:val="0"/>
        <w:spacing w:before="240" w:beforeLines="100"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2.建筑结构：估价对象所属楼宇建筑结构为</w:t>
      </w:r>
      <w:r>
        <w:rPr>
          <w:rFonts w:hint="eastAsia" w:ascii="Arial" w:hAnsi="Arial" w:cs="Arial"/>
          <w:color w:val="auto"/>
          <w:kern w:val="2"/>
          <w:sz w:val="21"/>
          <w:szCs w:val="21"/>
        </w:rPr>
        <w:t>钢筋混凝土结构</w:t>
      </w:r>
      <w:r>
        <w:rPr>
          <w:rFonts w:hint="eastAsia" w:ascii="Arial" w:hAnsi="Arial" w:cs="Arial"/>
          <w:color w:val="auto"/>
          <w:sz w:val="21"/>
          <w:szCs w:val="21"/>
        </w:rPr>
        <w:t>。</w:t>
      </w:r>
      <w:bookmarkStart w:id="25" w:name="OLE_LINK2"/>
      <w:bookmarkStart w:id="26" w:name="OLE_LINK3"/>
    </w:p>
    <w:p w14:paraId="0D51DB49">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3.建筑外观：</w:t>
      </w:r>
      <w:r>
        <w:rPr>
          <w:rFonts w:hint="eastAsia" w:ascii="Arial" w:hAnsi="Arial" w:cs="Arial"/>
          <w:color w:val="auto"/>
          <w:kern w:val="2"/>
          <w:sz w:val="21"/>
          <w:szCs w:val="21"/>
        </w:rPr>
        <w:t>估价对象为高层板楼</w:t>
      </w:r>
      <w:r>
        <w:rPr>
          <w:rFonts w:hint="eastAsia" w:ascii="Arial" w:hAnsi="Arial" w:cs="Arial"/>
          <w:color w:val="auto"/>
          <w:sz w:val="21"/>
          <w:szCs w:val="21"/>
        </w:rPr>
        <w:t>。</w:t>
      </w:r>
    </w:p>
    <w:p w14:paraId="1856444E">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4087346F">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5.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1DF366D6">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color w:val="auto"/>
          <w:sz w:val="21"/>
          <w:szCs w:val="21"/>
        </w:rPr>
        <w:t>%</w:t>
      </w:r>
      <w:r>
        <w:rPr>
          <w:rFonts w:hint="eastAsia" w:ascii="Arial" w:hAnsi="Arial" w:cs="Arial"/>
          <w:color w:val="auto"/>
          <w:sz w:val="21"/>
          <w:szCs w:val="21"/>
        </w:rPr>
        <w:t>。</w:t>
      </w:r>
    </w:p>
    <w:p w14:paraId="1DBCD16C">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color w:val="auto"/>
          <w:sz w:val="21"/>
          <w:szCs w:val="21"/>
        </w:rPr>
        <w:t>%</w:t>
      </w:r>
      <w:r>
        <w:rPr>
          <w:rFonts w:hint="eastAsia" w:ascii="Arial" w:hAnsi="Arial" w:cs="Arial"/>
          <w:color w:val="auto"/>
          <w:sz w:val="21"/>
          <w:szCs w:val="21"/>
        </w:rPr>
        <w:t>。</w:t>
      </w:r>
    </w:p>
    <w:p w14:paraId="6FBAE01E">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7.户型设计：估价对象均为平层结构，分为三种户型，分别为一居室、两居室、三居室。其中一居室378套、两居室933套、三居室13套。</w:t>
      </w:r>
    </w:p>
    <w:p w14:paraId="6F34CE77">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8</w:t>
      </w:r>
      <w:r>
        <w:rPr>
          <w:rFonts w:ascii="Arial" w:hAnsi="Arial" w:cs="Arial"/>
          <w:color w:val="auto"/>
          <w:sz w:val="21"/>
          <w:szCs w:val="21"/>
        </w:rPr>
        <w:t>.</w:t>
      </w:r>
      <w:r>
        <w:rPr>
          <w:rFonts w:hint="eastAsia" w:ascii="Arial" w:hAnsi="Arial" w:cs="Arial"/>
          <w:color w:val="auto"/>
          <w:sz w:val="21"/>
          <w:szCs w:val="21"/>
        </w:rPr>
        <w:t>朝向：估价对象一居室、三居室均南北朝向；两居室有南北、南朝向，其中南北朝向916套、</w:t>
      </w:r>
      <w:r>
        <w:rPr>
          <w:rFonts w:hint="eastAsia" w:ascii="Arial" w:hAnsi="Arial" w:cs="Arial"/>
          <w:color w:val="auto"/>
          <w:sz w:val="21"/>
          <w:szCs w:val="21"/>
          <w:lang w:val="en-US" w:eastAsia="zh-CN"/>
        </w:rPr>
        <w:t>南</w:t>
      </w:r>
      <w:r>
        <w:rPr>
          <w:rFonts w:hint="eastAsia" w:ascii="Arial" w:hAnsi="Arial" w:cs="Arial"/>
          <w:color w:val="auto"/>
          <w:sz w:val="21"/>
          <w:szCs w:val="21"/>
        </w:rPr>
        <w:t>朝向17套。</w:t>
      </w:r>
    </w:p>
    <w:p w14:paraId="57E196E7">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9.综合服务管理设施：估价对象所属小区为封闭式管理，门口设有快递柜、小区内设有垃圾分类收集点。估价对象商品房享有同样的配套设施，估价对象所在楼栋一层配备管理用房等。</w:t>
      </w:r>
    </w:p>
    <w:p w14:paraId="0466F683">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10.水电气费执行标准：估价对象执行民水民电标准。</w:t>
      </w:r>
    </w:p>
    <w:bookmarkEnd w:id="25"/>
    <w:bookmarkEnd w:id="26"/>
    <w:p w14:paraId="7D0BA3DA">
      <w:pPr>
        <w:spacing w:line="480" w:lineRule="auto"/>
        <w:rPr>
          <w:rFonts w:ascii="Arial" w:hAnsi="Arial" w:cs="Arial"/>
          <w:b/>
          <w:color w:val="auto"/>
          <w:kern w:val="2"/>
          <w:sz w:val="21"/>
          <w:szCs w:val="21"/>
        </w:rPr>
      </w:pPr>
      <w:r>
        <w:rPr>
          <w:rFonts w:hint="eastAsia" w:ascii="Arial" w:hAnsi="Arial" w:cs="Arial"/>
          <w:b/>
          <w:color w:val="auto"/>
          <w:kern w:val="2"/>
          <w:sz w:val="21"/>
          <w:szCs w:val="21"/>
        </w:rPr>
        <w:t>（四）对价格影响的分析</w:t>
      </w:r>
    </w:p>
    <w:p w14:paraId="4299DF1A">
      <w:pPr>
        <w:spacing w:line="480" w:lineRule="auto"/>
        <w:ind w:firstLine="420" w:firstLineChars="200"/>
        <w:rPr>
          <w:rFonts w:ascii="Arial" w:hAnsi="Arial" w:cs="Arial"/>
          <w:color w:val="auto"/>
          <w:sz w:val="21"/>
          <w:szCs w:val="21"/>
        </w:rPr>
      </w:pPr>
      <w:r>
        <w:rPr>
          <w:rFonts w:ascii="Arial" w:hAnsi="Arial" w:cs="Arial"/>
          <w:color w:val="auto"/>
          <w:sz w:val="21"/>
          <w:szCs w:val="21"/>
        </w:rPr>
        <w:t>估价对象作为</w:t>
      </w:r>
      <w:r>
        <w:rPr>
          <w:rFonts w:hint="eastAsia" w:ascii="Arial" w:hAnsi="Arial" w:cs="Arial"/>
          <w:color w:val="auto"/>
          <w:sz w:val="21"/>
          <w:szCs w:val="21"/>
        </w:rPr>
        <w:t>住宅用房</w:t>
      </w:r>
      <w:r>
        <w:rPr>
          <w:rFonts w:ascii="Arial" w:hAnsi="Arial" w:cs="Arial"/>
          <w:color w:val="auto"/>
          <w:sz w:val="21"/>
          <w:szCs w:val="21"/>
        </w:rPr>
        <w:t>使用，通用性相对较好，能完全满足大部分</w:t>
      </w:r>
      <w:r>
        <w:rPr>
          <w:rFonts w:hint="eastAsia" w:ascii="Arial" w:hAnsi="Arial" w:cs="Arial"/>
          <w:color w:val="auto"/>
          <w:sz w:val="21"/>
          <w:szCs w:val="21"/>
        </w:rPr>
        <w:t>承</w:t>
      </w:r>
      <w:r>
        <w:rPr>
          <w:rFonts w:ascii="Arial" w:hAnsi="Arial" w:cs="Arial"/>
          <w:color w:val="auto"/>
          <w:sz w:val="21"/>
          <w:szCs w:val="21"/>
        </w:rPr>
        <w:t>租者的需求，因此</w:t>
      </w:r>
      <w:r>
        <w:rPr>
          <w:rFonts w:hint="eastAsia" w:ascii="Arial" w:hAnsi="Arial" w:cs="Arial"/>
          <w:color w:val="auto"/>
          <w:sz w:val="21"/>
          <w:szCs w:val="21"/>
        </w:rPr>
        <w:t>不会</w:t>
      </w:r>
      <w:r>
        <w:rPr>
          <w:rFonts w:ascii="Arial" w:hAnsi="Arial" w:cs="Arial"/>
          <w:color w:val="auto"/>
          <w:sz w:val="21"/>
          <w:szCs w:val="21"/>
        </w:rPr>
        <w:t>影响其租金价格水平。</w:t>
      </w:r>
    </w:p>
    <w:p w14:paraId="2410BA7E">
      <w:pPr>
        <w:spacing w:line="480" w:lineRule="auto"/>
        <w:rPr>
          <w:rFonts w:ascii="Arial" w:hAnsi="Arial" w:cs="Arial"/>
          <w:b/>
          <w:color w:val="auto"/>
          <w:kern w:val="2"/>
          <w:sz w:val="21"/>
          <w:szCs w:val="21"/>
        </w:rPr>
      </w:pPr>
      <w:r>
        <w:rPr>
          <w:rFonts w:hint="eastAsia" w:ascii="Arial" w:hAnsi="Arial" w:cs="Arial"/>
          <w:b/>
          <w:color w:val="auto"/>
          <w:kern w:val="2"/>
          <w:sz w:val="21"/>
          <w:szCs w:val="21"/>
        </w:rPr>
        <w:t>（五）他项权利状况</w:t>
      </w:r>
    </w:p>
    <w:p w14:paraId="30CF49A4">
      <w:pPr>
        <w:spacing w:line="480" w:lineRule="auto"/>
        <w:ind w:firstLine="420" w:firstLineChars="200"/>
        <w:rPr>
          <w:rFonts w:ascii="Arial" w:hAnsi="Arial" w:cs="Arial"/>
          <w:color w:val="auto"/>
          <w:kern w:val="2"/>
          <w:sz w:val="21"/>
          <w:szCs w:val="21"/>
        </w:rPr>
      </w:pPr>
      <w:r>
        <w:rPr>
          <w:rFonts w:hint="eastAsia" w:ascii="Arial" w:hAnsi="Arial" w:cs="Arial"/>
          <w:color w:val="auto"/>
          <w:sz w:val="21"/>
          <w:szCs w:val="21"/>
        </w:rPr>
        <w:t>根据估价委托人提供的资料及评估专业人员实地查勘，于价值时点，未发现估价对象存在抵押、</w:t>
      </w:r>
      <w:r>
        <w:rPr>
          <w:rFonts w:hint="eastAsia" w:ascii="Arial" w:hAnsi="Arial" w:cs="Arial"/>
          <w:color w:val="auto"/>
          <w:kern w:val="2"/>
          <w:sz w:val="21"/>
          <w:szCs w:val="21"/>
        </w:rPr>
        <w:t>租赁、地役、查封等他项权利</w:t>
      </w:r>
      <w:r>
        <w:rPr>
          <w:rFonts w:hint="eastAsia" w:ascii="Arial" w:hAnsi="Arial" w:cs="Arial"/>
          <w:color w:val="auto"/>
          <w:sz w:val="21"/>
          <w:szCs w:val="21"/>
        </w:rPr>
        <w:t>。</w:t>
      </w:r>
      <w:r>
        <w:rPr>
          <w:rFonts w:hint="eastAsia" w:ascii="Arial" w:hAnsi="Arial" w:cs="Arial"/>
          <w:color w:val="auto"/>
          <w:kern w:val="2"/>
          <w:sz w:val="21"/>
          <w:szCs w:val="21"/>
        </w:rPr>
        <w:t>根据估价目的，本次估价未考虑租赁、地役、查封等他项权利影响，故设定估价对象于价值时点不存在抵押、租赁、地役、查封等他项权利限制。</w:t>
      </w:r>
    </w:p>
    <w:p w14:paraId="1B48F890">
      <w:pPr>
        <w:overflowPunct w:val="0"/>
        <w:spacing w:line="480" w:lineRule="auto"/>
        <w:ind w:firstLine="420" w:firstLineChars="200"/>
        <w:jc w:val="both"/>
        <w:textAlignment w:val="auto"/>
        <w:rPr>
          <w:rFonts w:ascii="Arial" w:hAnsi="Arial" w:cs="Arial"/>
          <w:color w:val="auto"/>
          <w:sz w:val="21"/>
          <w:szCs w:val="21"/>
        </w:rPr>
      </w:pPr>
    </w:p>
    <w:p w14:paraId="597479F0">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27" w:name="_Toc168225817"/>
      <w:bookmarkStart w:id="28" w:name="_Toc155267090"/>
      <w:r>
        <w:rPr>
          <w:rFonts w:eastAsia="宋体"/>
          <w:color w:val="auto"/>
          <w:kern w:val="2"/>
          <w:sz w:val="21"/>
          <w:szCs w:val="21"/>
        </w:rPr>
        <w:t>五</w:t>
      </w:r>
      <w:bookmarkEnd w:id="27"/>
      <w:r>
        <w:rPr>
          <w:rFonts w:eastAsia="宋体"/>
          <w:color w:val="auto"/>
          <w:kern w:val="2"/>
          <w:sz w:val="21"/>
          <w:szCs w:val="21"/>
        </w:rPr>
        <w:t>、价值时点</w:t>
      </w:r>
      <w:bookmarkEnd w:id="28"/>
    </w:p>
    <w:p w14:paraId="6476CCEB">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2025年12月26日</w:t>
      </w:r>
      <w:r>
        <w:rPr>
          <w:rFonts w:ascii="Arial" w:hAnsi="Arial" w:cs="Arial"/>
          <w:color w:val="auto"/>
          <w:sz w:val="21"/>
          <w:szCs w:val="21"/>
        </w:rPr>
        <w:t>（</w:t>
      </w:r>
      <w:r>
        <w:rPr>
          <w:rFonts w:hint="eastAsia" w:ascii="Arial" w:hAnsi="Arial" w:cs="Arial"/>
          <w:color w:val="auto"/>
          <w:sz w:val="21"/>
          <w:szCs w:val="21"/>
        </w:rPr>
        <w:t>根据《估价委托书》确定</w:t>
      </w:r>
      <w:r>
        <w:rPr>
          <w:rFonts w:ascii="Arial" w:hAnsi="Arial" w:cs="Arial"/>
          <w:color w:val="auto"/>
          <w:sz w:val="21"/>
          <w:szCs w:val="21"/>
        </w:rPr>
        <w:t>）</w:t>
      </w:r>
    </w:p>
    <w:p w14:paraId="3CA04051">
      <w:pPr>
        <w:wordWrap w:val="0"/>
        <w:overflowPunct w:val="0"/>
        <w:spacing w:line="480" w:lineRule="auto"/>
        <w:ind w:firstLine="420" w:firstLineChars="200"/>
        <w:jc w:val="both"/>
        <w:textAlignment w:val="auto"/>
        <w:rPr>
          <w:rFonts w:ascii="Arial" w:hAnsi="Arial" w:cs="Arial"/>
          <w:color w:val="auto"/>
          <w:sz w:val="21"/>
          <w:szCs w:val="21"/>
        </w:rPr>
      </w:pPr>
    </w:p>
    <w:p w14:paraId="6AD0414F">
      <w:pPr>
        <w:pStyle w:val="3"/>
        <w:numPr>
          <w:ilvl w:val="0"/>
          <w:numId w:val="0"/>
        </w:numPr>
        <w:overflowPunct w:val="0"/>
        <w:spacing w:line="480" w:lineRule="auto"/>
        <w:ind w:left="358" w:hanging="358" w:hangingChars="170"/>
        <w:jc w:val="both"/>
        <w:textAlignment w:val="auto"/>
        <w:rPr>
          <w:rFonts w:eastAsia="宋体"/>
          <w:color w:val="auto"/>
          <w:kern w:val="2"/>
          <w:sz w:val="21"/>
          <w:szCs w:val="21"/>
        </w:rPr>
      </w:pPr>
      <w:bookmarkStart w:id="29" w:name="_Toc168225818"/>
      <w:bookmarkStart w:id="30" w:name="_Toc155267091"/>
      <w:r>
        <w:rPr>
          <w:rFonts w:eastAsia="宋体"/>
          <w:color w:val="auto"/>
          <w:kern w:val="2"/>
          <w:sz w:val="21"/>
          <w:szCs w:val="21"/>
        </w:rPr>
        <w:t>六</w:t>
      </w:r>
      <w:bookmarkEnd w:id="29"/>
      <w:r>
        <w:rPr>
          <w:rFonts w:eastAsia="宋体"/>
          <w:color w:val="auto"/>
          <w:kern w:val="2"/>
          <w:sz w:val="21"/>
          <w:szCs w:val="21"/>
        </w:rPr>
        <w:t>、价值类型</w:t>
      </w:r>
      <w:bookmarkEnd w:id="30"/>
    </w:p>
    <w:p w14:paraId="52666464">
      <w:pPr>
        <w:spacing w:line="480" w:lineRule="auto"/>
        <w:rPr>
          <w:rFonts w:ascii="Arial" w:hAnsi="Arial" w:cs="Arial"/>
          <w:b/>
          <w:color w:val="auto"/>
          <w:kern w:val="2"/>
          <w:sz w:val="21"/>
          <w:szCs w:val="21"/>
        </w:rPr>
      </w:pPr>
      <w:r>
        <w:rPr>
          <w:rFonts w:hint="eastAsia" w:ascii="Arial" w:hAnsi="Arial" w:cs="Arial"/>
          <w:b/>
          <w:color w:val="auto"/>
          <w:kern w:val="2"/>
          <w:sz w:val="21"/>
          <w:szCs w:val="21"/>
        </w:rPr>
        <w:t>（一）价值类型</w:t>
      </w:r>
    </w:p>
    <w:p w14:paraId="3D26315C">
      <w:pPr>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ascii="Arial" w:hAnsi="Arial" w:cs="Arial"/>
          <w:color w:val="auto"/>
          <w:sz w:val="21"/>
          <w:szCs w:val="21"/>
        </w:rPr>
        <w:t xml:space="preserve"> </w:t>
      </w:r>
    </w:p>
    <w:p w14:paraId="7D4078E0">
      <w:pPr>
        <w:spacing w:line="480" w:lineRule="auto"/>
        <w:rPr>
          <w:rFonts w:ascii="Arial" w:hAnsi="Arial" w:cs="Arial"/>
          <w:b/>
          <w:color w:val="auto"/>
          <w:kern w:val="2"/>
          <w:sz w:val="21"/>
          <w:szCs w:val="21"/>
        </w:rPr>
      </w:pPr>
      <w:r>
        <w:rPr>
          <w:rFonts w:hint="eastAsia" w:ascii="Arial" w:hAnsi="Arial" w:cs="Arial"/>
          <w:b/>
          <w:color w:val="auto"/>
          <w:kern w:val="2"/>
          <w:sz w:val="21"/>
          <w:szCs w:val="21"/>
        </w:rPr>
        <w:t>（二）设定条件</w:t>
      </w:r>
    </w:p>
    <w:p w14:paraId="2D6A1D24">
      <w:pPr>
        <w:spacing w:line="480" w:lineRule="auto"/>
        <w:ind w:firstLine="420" w:firstLineChars="200"/>
        <w:rPr>
          <w:rFonts w:ascii="Arial" w:hAnsi="Arial" w:cs="Arial"/>
          <w:color w:val="auto"/>
          <w:sz w:val="21"/>
          <w:szCs w:val="21"/>
        </w:rPr>
      </w:pPr>
      <w:r>
        <w:rPr>
          <w:rFonts w:ascii="Arial" w:hAnsi="Arial" w:cs="Arial"/>
          <w:color w:val="auto"/>
          <w:sz w:val="21"/>
          <w:szCs w:val="21"/>
        </w:rPr>
        <w:t>估价结果中的房地产租金价格是指估价对象</w:t>
      </w:r>
      <w:r>
        <w:rPr>
          <w:rFonts w:hint="eastAsia" w:ascii="Arial" w:hAnsi="Arial" w:cs="Arial"/>
          <w:color w:val="auto"/>
          <w:sz w:val="21"/>
          <w:szCs w:val="21"/>
        </w:rPr>
        <w:t>房地产于价值时点2025年12月26日，</w:t>
      </w:r>
      <w:r>
        <w:rPr>
          <w:rFonts w:ascii="Arial" w:hAnsi="Arial" w:cs="Arial"/>
          <w:color w:val="auto"/>
          <w:sz w:val="21"/>
          <w:szCs w:val="21"/>
        </w:rPr>
        <w:t>估价对象在规划利用条件及下述设定条件下</w:t>
      </w:r>
      <w:r>
        <w:rPr>
          <w:rFonts w:hint="eastAsia" w:ascii="Arial" w:hAnsi="Arial" w:cs="Arial"/>
          <w:color w:val="auto"/>
          <w:sz w:val="21"/>
          <w:szCs w:val="21"/>
        </w:rPr>
        <w:t>项目同地段、同品质住宅用房房地产</w:t>
      </w:r>
      <w:r>
        <w:rPr>
          <w:rFonts w:ascii="Arial" w:hAnsi="Arial" w:cs="Arial"/>
          <w:color w:val="auto"/>
          <w:sz w:val="21"/>
          <w:szCs w:val="21"/>
        </w:rPr>
        <w:t>的市场租金价格：</w:t>
      </w:r>
    </w:p>
    <w:p w14:paraId="5AECB9FB">
      <w:pPr>
        <w:spacing w:line="480" w:lineRule="auto"/>
        <w:ind w:firstLine="420" w:firstLineChars="200"/>
        <w:rPr>
          <w:rFonts w:ascii="Arial" w:hAnsi="Arial" w:cs="Arial"/>
          <w:color w:val="auto"/>
          <w:sz w:val="21"/>
          <w:szCs w:val="21"/>
        </w:rPr>
      </w:pPr>
      <w:r>
        <w:rPr>
          <w:rFonts w:ascii="Arial" w:hAnsi="Arial" w:cs="Arial"/>
          <w:color w:val="auto"/>
          <w:sz w:val="21"/>
          <w:szCs w:val="21"/>
        </w:rPr>
        <w:t>租金估价结果</w:t>
      </w:r>
      <w:r>
        <w:rPr>
          <w:rFonts w:hint="eastAsia" w:ascii="Arial" w:hAnsi="Arial" w:cs="Arial"/>
          <w:color w:val="auto"/>
          <w:sz w:val="21"/>
          <w:szCs w:val="21"/>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46A7AC19">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31" w:name="_Toc155267092"/>
      <w:bookmarkStart w:id="32" w:name="_Toc168225819"/>
      <w:r>
        <w:rPr>
          <w:rFonts w:eastAsia="宋体"/>
          <w:color w:val="auto"/>
          <w:kern w:val="2"/>
          <w:sz w:val="21"/>
          <w:szCs w:val="21"/>
        </w:rPr>
        <w:t>七、估价原则</w:t>
      </w:r>
      <w:bookmarkEnd w:id="31"/>
      <w:bookmarkEnd w:id="32"/>
    </w:p>
    <w:p w14:paraId="298213B9">
      <w:pPr>
        <w:wordWrap w:val="0"/>
        <w:overflowPunct w:val="0"/>
        <w:spacing w:line="480" w:lineRule="auto"/>
        <w:ind w:firstLine="424" w:firstLineChars="202"/>
        <w:jc w:val="both"/>
        <w:textAlignment w:val="auto"/>
        <w:rPr>
          <w:rFonts w:ascii="Arial" w:hAnsi="Arial" w:cs="Arial"/>
          <w:color w:val="auto"/>
          <w:sz w:val="21"/>
          <w:szCs w:val="21"/>
        </w:rPr>
      </w:pPr>
      <w:r>
        <w:rPr>
          <w:rFonts w:ascii="Arial" w:hAnsi="Arial" w:cs="Arial"/>
          <w:color w:val="auto"/>
          <w:sz w:val="21"/>
          <w:szCs w:val="21"/>
        </w:rPr>
        <w:t xml:space="preserve">我们在本次估价时遵循了以下原则： </w:t>
      </w:r>
    </w:p>
    <w:p w14:paraId="7E3B7579">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（一）独立、客观、公正原则</w:t>
      </w:r>
    </w:p>
    <w:p w14:paraId="4A1697EB">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独立、客观、公正原则要求</w:t>
      </w:r>
      <w:r>
        <w:rPr>
          <w:rFonts w:hint="eastAsia" w:ascii="Arial" w:hAnsi="Arial" w:cs="Arial"/>
          <w:color w:val="auto"/>
          <w:sz w:val="21"/>
          <w:szCs w:val="21"/>
        </w:rPr>
        <w:t>评估专业人员</w:t>
      </w:r>
      <w:r>
        <w:rPr>
          <w:rFonts w:ascii="Arial" w:hAnsi="Arial" w:cs="Arial"/>
          <w:color w:val="auto"/>
          <w:sz w:val="21"/>
          <w:szCs w:val="21"/>
        </w:rPr>
        <w:t>站在中立的立场上，评估出对各方当事人来说均是公平合理的价格。独立、客观、公正原则是房地产估价的基本原则，也是房地产估价中的最高行为准则。</w:t>
      </w:r>
    </w:p>
    <w:p w14:paraId="5FCF010A">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（二）</w:t>
      </w:r>
      <w:r>
        <w:rPr>
          <w:rFonts w:hint="eastAsia" w:ascii="Arial" w:hAnsi="Arial" w:cs="Arial"/>
          <w:b/>
          <w:color w:val="auto"/>
          <w:sz w:val="21"/>
          <w:szCs w:val="21"/>
        </w:rPr>
        <w:t>合法原则</w:t>
      </w:r>
      <w:bookmarkStart w:id="77" w:name="_GoBack"/>
      <w:bookmarkEnd w:id="77"/>
    </w:p>
    <w:p w14:paraId="2367C157">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5E70DEE0">
      <w:pPr>
        <w:wordWrap w:val="0"/>
        <w:overflowPunct w:val="0"/>
        <w:spacing w:line="480" w:lineRule="auto"/>
        <w:ind w:firstLine="420" w:firstLineChars="200"/>
        <w:jc w:val="both"/>
        <w:textAlignment w:val="auto"/>
        <w:rPr>
          <w:rFonts w:ascii="Arial" w:hAnsi="Arial" w:cs="Arial"/>
          <w:b/>
          <w:color w:val="auto"/>
          <w:sz w:val="21"/>
          <w:szCs w:val="21"/>
        </w:rPr>
      </w:pPr>
      <w:r>
        <w:rPr>
          <w:rFonts w:hint="eastAsia" w:ascii="Arial" w:hAnsi="Arial" w:cs="Arial"/>
          <w:color w:val="auto"/>
          <w:sz w:val="21"/>
          <w:szCs w:val="21"/>
        </w:rPr>
        <w:t>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w:t>
      </w:r>
      <w:r>
        <w:rPr>
          <w:rFonts w:hint="eastAsia" w:ascii="Arial" w:hAnsi="Arial" w:cs="Arial"/>
          <w:color w:val="auto"/>
          <w:kern w:val="2"/>
          <w:sz w:val="21"/>
          <w:szCs w:val="21"/>
        </w:rPr>
        <w:t>、</w:t>
      </w: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》[X京房权证兴字第100091、102139、102135、102136、102140、102137、102138、103831、102031、110683、110394、110393、110397、110396、110395、110392、110389号]、《</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》[X京房权证兴字第103107、103825号]、《</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》[X京房权证兴字第146943、146944、102030、100093、102028号]、《采育数字时尚小镇保障性住房趸组协议》及其附件</w:t>
      </w:r>
      <w:r>
        <w:rPr>
          <w:rFonts w:hint="eastAsia" w:ascii="Arial" w:hAnsi="Arial" w:cs="Arial"/>
          <w:color w:val="auto"/>
          <w:kern w:val="2"/>
          <w:sz w:val="21"/>
          <w:szCs w:val="21"/>
        </w:rPr>
        <w:t>，产权合法，使用合法。</w:t>
      </w:r>
    </w:p>
    <w:p w14:paraId="2B232107">
      <w:pPr>
        <w:wordWrap w:val="0"/>
        <w:overflowPunct w:val="0"/>
        <w:spacing w:line="480" w:lineRule="auto"/>
        <w:jc w:val="both"/>
        <w:textAlignment w:val="auto"/>
        <w:rPr>
          <w:rFonts w:ascii="Arial" w:hAnsi="Arial" w:cs="Arial"/>
          <w:b/>
          <w:color w:val="auto"/>
          <w:sz w:val="21"/>
          <w:szCs w:val="21"/>
        </w:rPr>
      </w:pPr>
      <w:r>
        <w:rPr>
          <w:rFonts w:hint="eastAsia" w:ascii="Arial" w:hAnsi="Arial" w:cs="Arial"/>
          <w:b/>
          <w:color w:val="auto"/>
          <w:sz w:val="21"/>
          <w:szCs w:val="21"/>
        </w:rPr>
        <w:t>（三）</w:t>
      </w:r>
      <w:r>
        <w:rPr>
          <w:rFonts w:ascii="Arial" w:hAnsi="Arial" w:cs="Arial"/>
          <w:b/>
          <w:color w:val="auto"/>
          <w:sz w:val="21"/>
          <w:szCs w:val="21"/>
        </w:rPr>
        <w:t>最高最佳利用原则</w:t>
      </w:r>
    </w:p>
    <w:p w14:paraId="7DB6C15C">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724F2FC">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w:t>
      </w:r>
      <w:r>
        <w:rPr>
          <w:rFonts w:hint="eastAsia" w:ascii="Arial" w:hAnsi="Arial" w:cs="Arial"/>
          <w:b/>
          <w:color w:val="auto"/>
          <w:sz w:val="21"/>
          <w:szCs w:val="21"/>
        </w:rPr>
        <w:t>四</w:t>
      </w:r>
      <w:r>
        <w:rPr>
          <w:rFonts w:ascii="Arial" w:hAnsi="Arial" w:cs="Arial"/>
          <w:b/>
          <w:color w:val="auto"/>
          <w:sz w:val="21"/>
          <w:szCs w:val="21"/>
        </w:rPr>
        <w:t>）替代原则</w:t>
      </w:r>
    </w:p>
    <w:p w14:paraId="0F8AA476">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54D40075">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4226E2E">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w:t>
      </w:r>
      <w:r>
        <w:rPr>
          <w:rFonts w:hint="eastAsia" w:ascii="Arial" w:hAnsi="Arial" w:cs="Arial"/>
          <w:b/>
          <w:color w:val="auto"/>
          <w:sz w:val="21"/>
          <w:szCs w:val="21"/>
        </w:rPr>
        <w:t>五</w:t>
      </w:r>
      <w:r>
        <w:rPr>
          <w:rFonts w:ascii="Arial" w:hAnsi="Arial" w:cs="Arial"/>
          <w:b/>
          <w:color w:val="auto"/>
          <w:sz w:val="21"/>
          <w:szCs w:val="21"/>
        </w:rPr>
        <w:t>）价值时点原则</w:t>
      </w:r>
    </w:p>
    <w:p w14:paraId="17E9C736">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E8C16B0">
      <w:pPr>
        <w:wordWrap w:val="0"/>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F675B">
      <w:pPr>
        <w:wordWrap w:val="0"/>
        <w:overflowPunct w:val="0"/>
        <w:spacing w:line="480" w:lineRule="auto"/>
        <w:jc w:val="both"/>
        <w:textAlignment w:val="auto"/>
        <w:rPr>
          <w:rFonts w:ascii="Arial" w:hAnsi="Arial" w:cs="Arial"/>
          <w:b/>
          <w:color w:val="auto"/>
          <w:sz w:val="21"/>
          <w:szCs w:val="21"/>
        </w:rPr>
      </w:pPr>
      <w:r>
        <w:rPr>
          <w:rFonts w:hint="eastAsia" w:ascii="Arial" w:hAnsi="Arial" w:cs="Arial"/>
          <w:b/>
          <w:color w:val="auto"/>
          <w:sz w:val="21"/>
          <w:szCs w:val="21"/>
        </w:rPr>
        <w:t>（六）一贯性原则</w:t>
      </w:r>
    </w:p>
    <w:p w14:paraId="043CECFF">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在不同时间为了同一估价目的对同一或同类房地产再次或多次进行估价时，应采用相同的估价方法或对待方式。</w:t>
      </w:r>
    </w:p>
    <w:p w14:paraId="305CAB6F">
      <w:pPr>
        <w:wordWrap w:val="0"/>
        <w:overflowPunct w:val="0"/>
        <w:spacing w:line="480" w:lineRule="auto"/>
        <w:ind w:firstLine="420" w:firstLineChars="200"/>
        <w:jc w:val="both"/>
        <w:textAlignment w:val="auto"/>
        <w:rPr>
          <w:rFonts w:ascii="Arial" w:hAnsi="Arial" w:cs="Arial"/>
          <w:color w:val="auto"/>
          <w:sz w:val="21"/>
          <w:szCs w:val="21"/>
        </w:rPr>
      </w:pPr>
    </w:p>
    <w:p w14:paraId="6E298F06">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33" w:name="_Toc168225820"/>
      <w:bookmarkStart w:id="34" w:name="_Toc155267093"/>
      <w:r>
        <w:rPr>
          <w:rFonts w:eastAsia="宋体"/>
          <w:color w:val="auto"/>
          <w:kern w:val="2"/>
          <w:sz w:val="21"/>
          <w:szCs w:val="21"/>
        </w:rPr>
        <w:t>八、估价</w:t>
      </w:r>
      <w:bookmarkEnd w:id="33"/>
      <w:r>
        <w:rPr>
          <w:rFonts w:eastAsia="宋体"/>
          <w:color w:val="auto"/>
          <w:kern w:val="2"/>
          <w:sz w:val="21"/>
          <w:szCs w:val="21"/>
        </w:rPr>
        <w:t>依据</w:t>
      </w:r>
      <w:bookmarkEnd w:id="34"/>
    </w:p>
    <w:p w14:paraId="4B60C0E1">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（一）有关的法律、法规</w:t>
      </w:r>
    </w:p>
    <w:p w14:paraId="59D46090">
      <w:pPr>
        <w:wordWrap w:val="0"/>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43895293">
      <w:pPr>
        <w:wordWrap w:val="0"/>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2.《中华人民共和国资产评估法》（2016年7月2日第十二届全国人民代表大会常务委员会第二十一次会议通过 2016年3月16日中华人民共和国主席令第46号公布 自2016年12月1日起施行）</w:t>
      </w:r>
    </w:p>
    <w:p w14:paraId="06319837">
      <w:pPr>
        <w:wordWrap w:val="0"/>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3.《中华人民共和国城镇国有土地使用权出让和转让暂行条例》（1</w:t>
      </w:r>
      <w:r>
        <w:rPr>
          <w:rFonts w:ascii="Arial" w:hAnsi="Arial" w:cs="Arial"/>
          <w:color w:val="auto"/>
          <w:sz w:val="21"/>
          <w:szCs w:val="21"/>
        </w:rPr>
        <w:t>990</w:t>
      </w:r>
      <w:r>
        <w:rPr>
          <w:rFonts w:hint="eastAsia" w:ascii="Arial" w:hAnsi="Arial" w:cs="Arial"/>
          <w:color w:val="auto"/>
          <w:sz w:val="21"/>
          <w:szCs w:val="21"/>
        </w:rPr>
        <w:t>年5月1</w:t>
      </w:r>
      <w:r>
        <w:rPr>
          <w:rFonts w:ascii="Arial" w:hAnsi="Arial" w:cs="Arial"/>
          <w:color w:val="auto"/>
          <w:sz w:val="21"/>
          <w:szCs w:val="21"/>
        </w:rPr>
        <w:t>9</w:t>
      </w:r>
      <w:r>
        <w:rPr>
          <w:rFonts w:hint="eastAsia" w:ascii="Arial" w:hAnsi="Arial" w:cs="Arial"/>
          <w:color w:val="auto"/>
          <w:sz w:val="21"/>
          <w:szCs w:val="21"/>
        </w:rPr>
        <w:t>日中华人民共和国国务院令第5</w:t>
      </w:r>
      <w:r>
        <w:rPr>
          <w:rFonts w:ascii="Arial" w:hAnsi="Arial" w:cs="Arial"/>
          <w:color w:val="auto"/>
          <w:sz w:val="21"/>
          <w:szCs w:val="21"/>
        </w:rPr>
        <w:t>5</w:t>
      </w:r>
      <w:r>
        <w:rPr>
          <w:rFonts w:hint="eastAsia" w:ascii="Arial" w:hAnsi="Arial" w:cs="Arial"/>
          <w:color w:val="auto"/>
          <w:sz w:val="21"/>
          <w:szCs w:val="21"/>
        </w:rPr>
        <w:t>号发布　根据2</w:t>
      </w:r>
      <w:r>
        <w:rPr>
          <w:rFonts w:ascii="Arial" w:hAnsi="Arial" w:cs="Arial"/>
          <w:color w:val="auto"/>
          <w:sz w:val="21"/>
          <w:szCs w:val="21"/>
        </w:rPr>
        <w:t>020</w:t>
      </w:r>
      <w:r>
        <w:rPr>
          <w:rFonts w:hint="eastAsia" w:ascii="Arial" w:hAnsi="Arial" w:cs="Arial"/>
          <w:color w:val="auto"/>
          <w:sz w:val="21"/>
          <w:szCs w:val="21"/>
        </w:rPr>
        <w:t>年1</w:t>
      </w:r>
      <w:r>
        <w:rPr>
          <w:rFonts w:ascii="Arial" w:hAnsi="Arial" w:cs="Arial"/>
          <w:color w:val="auto"/>
          <w:sz w:val="21"/>
          <w:szCs w:val="21"/>
        </w:rPr>
        <w:t>1</w:t>
      </w:r>
      <w:r>
        <w:rPr>
          <w:rFonts w:hint="eastAsia" w:ascii="Arial" w:hAnsi="Arial" w:cs="Arial"/>
          <w:color w:val="auto"/>
          <w:sz w:val="21"/>
          <w:szCs w:val="21"/>
        </w:rPr>
        <w:t>月2</w:t>
      </w:r>
      <w:r>
        <w:rPr>
          <w:rFonts w:ascii="Arial" w:hAnsi="Arial" w:cs="Arial"/>
          <w:color w:val="auto"/>
          <w:sz w:val="21"/>
          <w:szCs w:val="21"/>
        </w:rPr>
        <w:t>9</w:t>
      </w:r>
      <w:r>
        <w:rPr>
          <w:rFonts w:hint="eastAsia" w:ascii="Arial" w:hAnsi="Arial" w:cs="Arial"/>
          <w:color w:val="auto"/>
          <w:sz w:val="21"/>
          <w:szCs w:val="21"/>
        </w:rPr>
        <w:t>日《国务院关于修改和废止部分行政法规的决定》修订）</w:t>
      </w:r>
    </w:p>
    <w:p w14:paraId="37A91C0B">
      <w:pPr>
        <w:wordWrap w:val="0"/>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4.《中华人民共和国民法典》（2020年5月28日第十三届全国人大三次会议表决通过，自2021年1月1日起施行）</w:t>
      </w:r>
    </w:p>
    <w:p w14:paraId="6DA5B653">
      <w:pPr>
        <w:wordWrap w:val="0"/>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6FB58A30">
      <w:pPr>
        <w:wordWrap w:val="0"/>
        <w:overflowPunct w:val="0"/>
        <w:spacing w:line="480" w:lineRule="auto"/>
        <w:jc w:val="both"/>
        <w:textAlignment w:val="auto"/>
        <w:rPr>
          <w:rFonts w:hint="eastAsia" w:ascii="Arial" w:hAnsi="Arial" w:cs="Arial"/>
          <w:color w:val="auto"/>
          <w:sz w:val="21"/>
          <w:szCs w:val="21"/>
        </w:rPr>
      </w:pPr>
      <w:r>
        <w:rPr>
          <w:rFonts w:hint="eastAsia" w:ascii="Arial" w:hAnsi="Arial" w:cs="Arial"/>
          <w:color w:val="auto"/>
          <w:sz w:val="21"/>
          <w:szCs w:val="21"/>
        </w:rPr>
        <w:t>6</w:t>
      </w:r>
      <w:r>
        <w:rPr>
          <w:rFonts w:ascii="Arial" w:hAnsi="Arial" w:cs="Arial"/>
          <w:color w:val="auto"/>
          <w:sz w:val="21"/>
          <w:szCs w:val="21"/>
        </w:rPr>
        <w:t>.</w:t>
      </w:r>
      <w:r>
        <w:rPr>
          <w:rFonts w:hint="eastAsia" w:ascii="Arial" w:hAnsi="Arial" w:cs="Arial"/>
          <w:color w:val="auto"/>
          <w:sz w:val="21"/>
          <w:szCs w:val="21"/>
        </w:rPr>
        <w:t>《关于完善住房租赁有关税收政策的公告》（财务部 税务总局 住房城乡建设部公告2</w:t>
      </w:r>
      <w:r>
        <w:rPr>
          <w:rFonts w:ascii="Arial" w:hAnsi="Arial" w:cs="Arial"/>
          <w:color w:val="auto"/>
          <w:sz w:val="21"/>
          <w:szCs w:val="21"/>
        </w:rPr>
        <w:t>021</w:t>
      </w:r>
      <w:r>
        <w:rPr>
          <w:rFonts w:hint="eastAsia" w:ascii="Arial" w:hAnsi="Arial" w:cs="Arial"/>
          <w:color w:val="auto"/>
          <w:sz w:val="21"/>
          <w:szCs w:val="21"/>
        </w:rPr>
        <w:t>年第2</w:t>
      </w:r>
      <w:r>
        <w:rPr>
          <w:rFonts w:ascii="Arial" w:hAnsi="Arial" w:cs="Arial"/>
          <w:color w:val="auto"/>
          <w:sz w:val="21"/>
          <w:szCs w:val="21"/>
        </w:rPr>
        <w:t>4</w:t>
      </w:r>
      <w:r>
        <w:rPr>
          <w:rFonts w:hint="eastAsia" w:ascii="Arial" w:hAnsi="Arial" w:cs="Arial"/>
          <w:color w:val="auto"/>
          <w:sz w:val="21"/>
          <w:szCs w:val="21"/>
        </w:rPr>
        <w:t>号）</w:t>
      </w:r>
    </w:p>
    <w:p w14:paraId="62E019AB">
      <w:pPr>
        <w:wordWrap w:val="0"/>
        <w:overflowPunct w:val="0"/>
        <w:spacing w:line="480" w:lineRule="auto"/>
        <w:jc w:val="both"/>
        <w:textAlignment w:val="auto"/>
        <w:rPr>
          <w:rFonts w:hint="eastAsia" w:ascii="Arial" w:hAnsi="Arial" w:cs="Arial"/>
          <w:color w:val="auto"/>
          <w:sz w:val="21"/>
          <w:szCs w:val="21"/>
        </w:rPr>
      </w:pPr>
      <w:r>
        <w:rPr>
          <w:rFonts w:hint="eastAsia" w:ascii="Arial" w:hAnsi="Arial" w:cs="Arial"/>
          <w:color w:val="auto"/>
          <w:sz w:val="21"/>
          <w:szCs w:val="21"/>
          <w:lang w:val="en-US" w:eastAsia="zh-CN"/>
        </w:rPr>
        <w:t>7.</w:t>
      </w:r>
      <w:r>
        <w:rPr>
          <w:rFonts w:hint="eastAsia" w:ascii="Arial" w:hAnsi="Arial" w:cs="Arial"/>
          <w:color w:val="auto"/>
          <w:sz w:val="21"/>
          <w:szCs w:val="21"/>
        </w:rPr>
        <w:t>《住房租赁条例》（2025年7月16日中华人民共和国国务院令第812号公布，自2025年9月15日起施行）</w:t>
      </w:r>
    </w:p>
    <w:p w14:paraId="6DF15EBD">
      <w:pPr>
        <w:wordWrap w:val="0"/>
        <w:overflowPunct w:val="0"/>
        <w:spacing w:line="480" w:lineRule="auto"/>
        <w:jc w:val="both"/>
        <w:textAlignment w:val="auto"/>
        <w:rPr>
          <w:rFonts w:ascii="Arial" w:hAnsi="Arial" w:cs="Arial"/>
          <w:color w:val="auto"/>
          <w:sz w:val="21"/>
          <w:szCs w:val="21"/>
        </w:rPr>
      </w:pPr>
      <w:r>
        <w:rPr>
          <w:rFonts w:ascii="Arial" w:hAnsi="Arial" w:cs="Arial"/>
          <w:b/>
          <w:color w:val="auto"/>
          <w:sz w:val="21"/>
          <w:szCs w:val="21"/>
        </w:rPr>
        <w:t>（</w:t>
      </w:r>
      <w:r>
        <w:rPr>
          <w:rFonts w:hint="eastAsia" w:ascii="Arial" w:hAnsi="Arial" w:cs="Arial"/>
          <w:b/>
          <w:color w:val="auto"/>
          <w:sz w:val="21"/>
          <w:szCs w:val="21"/>
        </w:rPr>
        <w:t>二</w:t>
      </w:r>
      <w:r>
        <w:rPr>
          <w:rFonts w:ascii="Arial" w:hAnsi="Arial" w:cs="Arial"/>
          <w:b/>
          <w:color w:val="auto"/>
          <w:sz w:val="21"/>
          <w:szCs w:val="21"/>
        </w:rPr>
        <w:t>）</w:t>
      </w:r>
      <w:r>
        <w:rPr>
          <w:rFonts w:hint="eastAsia" w:ascii="Arial" w:hAnsi="Arial" w:cs="Arial"/>
          <w:b/>
          <w:color w:val="auto"/>
          <w:sz w:val="21"/>
          <w:szCs w:val="21"/>
        </w:rPr>
        <w:t>技术标准</w:t>
      </w:r>
    </w:p>
    <w:p w14:paraId="5FCC62E8">
      <w:pPr>
        <w:numPr>
          <w:ilvl w:val="0"/>
          <w:numId w:val="6"/>
        </w:numPr>
        <w:wordWrap w:val="0"/>
        <w:overflowPunct w:val="0"/>
        <w:spacing w:line="480" w:lineRule="auto"/>
        <w:ind w:left="0" w:firstLine="0"/>
        <w:jc w:val="both"/>
        <w:textAlignment w:val="auto"/>
        <w:rPr>
          <w:rFonts w:ascii="Arial" w:hAnsi="Arial" w:cs="Arial"/>
          <w:color w:val="auto"/>
          <w:sz w:val="21"/>
          <w:szCs w:val="21"/>
        </w:rPr>
      </w:pPr>
      <w:r>
        <w:rPr>
          <w:rFonts w:ascii="Arial" w:hAnsi="Arial" w:cs="Arial"/>
          <w:color w:val="auto"/>
          <w:sz w:val="21"/>
          <w:szCs w:val="21"/>
        </w:rPr>
        <w:t>《房地产估价规范》[GB/T</w:t>
      </w:r>
      <w:r>
        <w:rPr>
          <w:rFonts w:hint="eastAsia" w:ascii="Arial" w:hAnsi="Arial" w:cs="Arial"/>
          <w:color w:val="auto"/>
          <w:sz w:val="21"/>
          <w:szCs w:val="21"/>
        </w:rPr>
        <w:t xml:space="preserve"> </w:t>
      </w:r>
      <w:r>
        <w:rPr>
          <w:rFonts w:ascii="Arial" w:hAnsi="Arial" w:cs="Arial"/>
          <w:color w:val="auto"/>
          <w:sz w:val="21"/>
          <w:szCs w:val="21"/>
        </w:rPr>
        <w:t>50291-2015]</w:t>
      </w:r>
    </w:p>
    <w:p w14:paraId="3EFB4E00">
      <w:pPr>
        <w:numPr>
          <w:ilvl w:val="0"/>
          <w:numId w:val="6"/>
        </w:numPr>
        <w:wordWrap w:val="0"/>
        <w:overflowPunct w:val="0"/>
        <w:spacing w:line="480" w:lineRule="auto"/>
        <w:ind w:left="0" w:firstLine="0"/>
        <w:jc w:val="both"/>
        <w:textAlignment w:val="auto"/>
        <w:rPr>
          <w:rFonts w:ascii="Arial" w:hAnsi="Arial" w:cs="Arial"/>
          <w:b/>
          <w:color w:val="auto"/>
          <w:sz w:val="21"/>
          <w:szCs w:val="21"/>
        </w:rPr>
      </w:pPr>
      <w:r>
        <w:rPr>
          <w:rFonts w:hint="eastAsia" w:ascii="Arial" w:hAnsi="Arial" w:cs="Arial"/>
          <w:color w:val="auto"/>
          <w:sz w:val="21"/>
          <w:szCs w:val="21"/>
        </w:rPr>
        <w:t>《</w:t>
      </w:r>
      <w:r>
        <w:rPr>
          <w:rFonts w:ascii="Arial" w:hAnsi="Arial" w:cs="Arial"/>
          <w:color w:val="auto"/>
          <w:sz w:val="21"/>
          <w:szCs w:val="21"/>
        </w:rPr>
        <w:t>房地产估价基本术语标</w:t>
      </w:r>
      <w:r>
        <w:rPr>
          <w:rFonts w:hint="eastAsia" w:ascii="Arial" w:hAnsi="Arial" w:cs="Arial"/>
          <w:color w:val="auto"/>
          <w:sz w:val="21"/>
          <w:szCs w:val="21"/>
        </w:rPr>
        <w:t>准》</w:t>
      </w:r>
      <w:r>
        <w:rPr>
          <w:rFonts w:ascii="Arial" w:hAnsi="Arial" w:cs="Arial"/>
          <w:color w:val="auto"/>
          <w:sz w:val="21"/>
          <w:szCs w:val="21"/>
        </w:rPr>
        <w:t>[GB/T</w:t>
      </w:r>
      <w:r>
        <w:rPr>
          <w:rFonts w:hint="eastAsia" w:ascii="Arial" w:hAnsi="Arial" w:cs="Arial"/>
          <w:color w:val="auto"/>
          <w:sz w:val="21"/>
          <w:szCs w:val="21"/>
        </w:rPr>
        <w:t xml:space="preserve"> </w:t>
      </w:r>
      <w:r>
        <w:rPr>
          <w:rFonts w:ascii="Arial" w:hAnsi="Arial" w:cs="Arial"/>
          <w:color w:val="auto"/>
          <w:sz w:val="21"/>
          <w:szCs w:val="21"/>
        </w:rPr>
        <w:t>50899-2013]</w:t>
      </w:r>
    </w:p>
    <w:p w14:paraId="49EC292C">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w:t>
      </w:r>
      <w:r>
        <w:rPr>
          <w:rFonts w:hint="eastAsia" w:ascii="Arial" w:hAnsi="Arial" w:cs="Arial"/>
          <w:b/>
          <w:color w:val="auto"/>
          <w:sz w:val="21"/>
          <w:szCs w:val="21"/>
        </w:rPr>
        <w:t>三</w:t>
      </w:r>
      <w:r>
        <w:rPr>
          <w:rFonts w:ascii="Arial" w:hAnsi="Arial" w:cs="Arial"/>
          <w:b/>
          <w:color w:val="auto"/>
          <w:sz w:val="21"/>
          <w:szCs w:val="21"/>
        </w:rPr>
        <w:t>）估价委托人提供的资料</w:t>
      </w:r>
    </w:p>
    <w:p w14:paraId="03F4484B">
      <w:pPr>
        <w:numPr>
          <w:ilvl w:val="0"/>
          <w:numId w:val="7"/>
        </w:numPr>
        <w:overflowPunct w:val="0"/>
        <w:spacing w:line="480" w:lineRule="auto"/>
        <w:ind w:left="0" w:firstLine="0"/>
        <w:jc w:val="both"/>
        <w:textAlignment w:val="auto"/>
        <w:rPr>
          <w:rFonts w:ascii="Arial" w:hAnsi="Arial" w:cs="Arial"/>
          <w:color w:val="auto"/>
          <w:sz w:val="21"/>
          <w:szCs w:val="21"/>
        </w:rPr>
      </w:pPr>
      <w:r>
        <w:rPr>
          <w:rFonts w:hint="eastAsia" w:ascii="Arial" w:hAnsi="Arial" w:cs="Arial"/>
          <w:color w:val="auto"/>
          <w:sz w:val="21"/>
          <w:szCs w:val="21"/>
        </w:rPr>
        <w:t>《估价委托书》</w:t>
      </w:r>
    </w:p>
    <w:p w14:paraId="4D86076A">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《北京市大兴区发展和改革委员会 关于转发大兴区采育镇城镇中心区定向安置房项目核准批复的通知》[京兴发改转（2010）3号]及附件复印件</w:t>
      </w:r>
    </w:p>
    <w:p w14:paraId="29D740C1">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《国有土地使用证》[京兴国用（2010）出第00133、00134、00135号]部分复印件</w:t>
      </w:r>
    </w:p>
    <w:p w14:paraId="41DBFE62">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《北京市大兴区发展和改革委员会 关于转发大兴区采育镇区四号地01-0001A、B地块住宅混合公建用地、二类居住用地回迁安置房项目核准批复的通知》[京兴发改转（2012）27号]及附件复印件</w:t>
      </w:r>
    </w:p>
    <w:p w14:paraId="2FBAE060">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《北京市大兴区采育镇四号地01-0001A、01-0001B地块项目开发回购协议书补充协议》[兴采01-0001协字（2012）001号附件1]复印件</w:t>
      </w:r>
    </w:p>
    <w:p w14:paraId="2F3E967F">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《北京市大兴区住房和城乡建设委员会 关于采育数字时尚小镇保障性住房使用管理有关问题的请示》[京兴建文（2025）123号]复印件</w:t>
      </w:r>
    </w:p>
    <w:p w14:paraId="0F2054E4">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《北京市大兴区住房和城乡建设委员会 关于采育数字时尚小镇保障性住房相关事宜专题会会议纪要》复印件</w:t>
      </w:r>
    </w:p>
    <w:p w14:paraId="66655EA1">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》[X京房权证兴字第144437、144436、144435、144444、1444440、144439、144442、144443、144449、144445、144447、194022号]复印件</w:t>
      </w:r>
    </w:p>
    <w:p w14:paraId="59EC4258">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》[X京房权证兴字第100091、102139、102135、102136、102140、102137、102138、103831、102031、110683、110394、110393、110397、110396、110395、110392、110389号]复印件</w:t>
      </w:r>
    </w:p>
    <w:p w14:paraId="57BA0D79">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》[X京房权证兴字第103107、103825号]复印件</w:t>
      </w:r>
    </w:p>
    <w:p w14:paraId="17A3BD31">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》[X京房权证兴字第146943、146944、102030、100093、102028号]复印件</w:t>
      </w:r>
    </w:p>
    <w:p w14:paraId="7F9DB94B">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《北京市房屋建筑和市政基础设施工程竣工验收备案表》[编号：1004大竣2012（建）0138号、1005大竣2012（建）0139号、1006大竣2012（建）0140号、1007大竣2012（建）0141号]复印件</w:t>
      </w:r>
    </w:p>
    <w:p w14:paraId="60DA70CC">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《北京市房屋建筑和市政基础设施工程竣工验收备案表》[编号：0327大竣2014（建）0049号、0149大竣2014（建）0029号、0150大竣2014（建）0030号、0151大竣2014（建）0031号]复印件</w:t>
      </w:r>
    </w:p>
    <w:p w14:paraId="37263A5F">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《采育数字时尚小镇保障性住房趸组协议》及其附件复印件</w:t>
      </w:r>
    </w:p>
    <w:p w14:paraId="509A1671">
      <w:pPr>
        <w:numPr>
          <w:ilvl w:val="0"/>
          <w:numId w:val="7"/>
        </w:numPr>
        <w:overflowPunct w:val="0"/>
        <w:spacing w:line="480" w:lineRule="auto"/>
        <w:jc w:val="both"/>
        <w:textAlignment w:val="auto"/>
        <w:rPr>
          <w:rFonts w:ascii="Arial" w:hAnsi="Arial" w:cs="Arial"/>
          <w:color w:val="auto"/>
          <w:sz w:val="21"/>
          <w:szCs w:val="21"/>
        </w:rPr>
      </w:pPr>
      <w:r>
        <w:rPr>
          <w:rFonts w:hint="eastAsia" w:ascii="Arial" w:hAnsi="Arial" w:cs="Arial"/>
          <w:color w:val="auto"/>
          <w:sz w:val="21"/>
          <w:szCs w:val="21"/>
        </w:rPr>
        <w:t>估价委托人《营业执照（副本）》复印件</w:t>
      </w:r>
    </w:p>
    <w:p w14:paraId="425BD547">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（四）评估专业人员实地查勘的有关资料</w:t>
      </w:r>
    </w:p>
    <w:p w14:paraId="5811D1AB">
      <w:pPr>
        <w:wordWrap w:val="0"/>
        <w:overflowPunct w:val="0"/>
        <w:spacing w:line="480" w:lineRule="auto"/>
        <w:jc w:val="both"/>
        <w:textAlignment w:val="auto"/>
        <w:rPr>
          <w:rFonts w:ascii="Arial" w:hAnsi="Arial" w:cs="Arial"/>
          <w:b/>
          <w:color w:val="auto"/>
          <w:sz w:val="21"/>
          <w:szCs w:val="21"/>
        </w:rPr>
      </w:pPr>
      <w:r>
        <w:rPr>
          <w:rFonts w:ascii="Arial" w:hAnsi="Arial" w:cs="Arial"/>
          <w:b/>
          <w:color w:val="auto"/>
          <w:sz w:val="21"/>
          <w:szCs w:val="21"/>
        </w:rPr>
        <w:t>（五）</w:t>
      </w:r>
      <w:r>
        <w:rPr>
          <w:rFonts w:hint="eastAsia" w:ascii="Arial" w:hAnsi="Arial" w:cs="Arial"/>
          <w:b/>
          <w:color w:val="auto"/>
          <w:sz w:val="21"/>
          <w:szCs w:val="21"/>
        </w:rPr>
        <w:t>房地产</w:t>
      </w:r>
      <w:r>
        <w:rPr>
          <w:rFonts w:ascii="Arial" w:hAnsi="Arial" w:cs="Arial"/>
          <w:b/>
          <w:color w:val="auto"/>
          <w:sz w:val="21"/>
          <w:szCs w:val="21"/>
        </w:rPr>
        <w:t>估价机构资质证书</w:t>
      </w:r>
    </w:p>
    <w:p w14:paraId="3EA574E6">
      <w:pPr>
        <w:wordWrap w:val="0"/>
        <w:overflowPunct w:val="0"/>
        <w:spacing w:line="360" w:lineRule="auto"/>
        <w:ind w:firstLine="420" w:firstLineChars="200"/>
        <w:jc w:val="both"/>
        <w:textAlignment w:val="auto"/>
        <w:rPr>
          <w:rFonts w:ascii="Arial" w:hAnsi="Arial" w:cs="Arial"/>
          <w:color w:val="auto"/>
          <w:sz w:val="21"/>
          <w:szCs w:val="21"/>
        </w:rPr>
      </w:pPr>
      <w:bookmarkStart w:id="35" w:name="_Toc168225821"/>
    </w:p>
    <w:p w14:paraId="6C8264FB">
      <w:pPr>
        <w:pStyle w:val="3"/>
        <w:numPr>
          <w:ilvl w:val="0"/>
          <w:numId w:val="8"/>
        </w:numPr>
        <w:wordWrap w:val="0"/>
        <w:overflowPunct w:val="0"/>
        <w:spacing w:line="480" w:lineRule="auto"/>
        <w:ind w:left="358" w:hanging="358"/>
        <w:jc w:val="both"/>
        <w:textAlignment w:val="auto"/>
        <w:rPr>
          <w:rFonts w:eastAsia="宋体"/>
          <w:color w:val="auto"/>
          <w:kern w:val="2"/>
          <w:sz w:val="21"/>
          <w:szCs w:val="21"/>
        </w:rPr>
      </w:pPr>
      <w:bookmarkStart w:id="36" w:name="_Toc155267094"/>
      <w:r>
        <w:rPr>
          <w:rFonts w:eastAsia="宋体"/>
          <w:color w:val="auto"/>
          <w:kern w:val="2"/>
          <w:sz w:val="21"/>
          <w:szCs w:val="21"/>
        </w:rPr>
        <w:t>估价方法</w:t>
      </w:r>
      <w:bookmarkEnd w:id="35"/>
      <w:bookmarkEnd w:id="36"/>
    </w:p>
    <w:p w14:paraId="6168F1AF">
      <w:pPr>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ascii="Arial" w:hAnsi="Arial" w:cs="Arial"/>
          <w:color w:val="auto"/>
          <w:sz w:val="21"/>
          <w:szCs w:val="21"/>
        </w:rPr>
        <w:t>由于本次评估是</w:t>
      </w:r>
      <w:r>
        <w:rPr>
          <w:rFonts w:hint="eastAsia" w:ascii="Arial" w:hAnsi="Arial"/>
          <w:color w:val="auto"/>
          <w:kern w:val="2"/>
          <w:sz w:val="21"/>
        </w:rPr>
        <w:t>为估价委托人了解估价对象房地产市场租金水平提供参考依据</w:t>
      </w:r>
      <w:r>
        <w:rPr>
          <w:rFonts w:ascii="Arial" w:hAnsi="Arial" w:cs="Arial"/>
          <w:color w:val="auto"/>
          <w:sz w:val="21"/>
          <w:szCs w:val="21"/>
        </w:rPr>
        <w:t>，因此我们在认真分析研究估价对象的相关资料，并通过对邻近地区同类物业调查的基础上，根据《房地产估价规范》</w:t>
      </w:r>
      <w:r>
        <w:rPr>
          <w:rFonts w:hint="eastAsia" w:ascii="Arial" w:hAnsi="Arial" w:cs="Arial"/>
          <w:color w:val="auto"/>
          <w:sz w:val="21"/>
          <w:szCs w:val="21"/>
        </w:rPr>
        <w:t>（</w:t>
      </w:r>
      <w:r>
        <w:rPr>
          <w:rFonts w:ascii="Arial" w:hAnsi="Arial" w:cs="Arial"/>
          <w:color w:val="auto"/>
          <w:sz w:val="21"/>
          <w:szCs w:val="21"/>
        </w:rPr>
        <w:t>GB/T</w:t>
      </w:r>
      <w:r>
        <w:rPr>
          <w:rFonts w:hint="eastAsia" w:ascii="Arial" w:hAnsi="Arial" w:cs="Arial"/>
          <w:color w:val="auto"/>
          <w:sz w:val="21"/>
          <w:szCs w:val="21"/>
        </w:rPr>
        <w:t xml:space="preserve"> </w:t>
      </w:r>
      <w:r>
        <w:rPr>
          <w:rFonts w:ascii="Arial" w:hAnsi="Arial" w:cs="Arial"/>
          <w:color w:val="auto"/>
          <w:sz w:val="21"/>
          <w:szCs w:val="21"/>
        </w:rPr>
        <w:t>50291-2015</w:t>
      </w:r>
      <w:r>
        <w:rPr>
          <w:rFonts w:hint="eastAsia" w:ascii="Arial" w:hAnsi="Arial" w:cs="Arial"/>
          <w:color w:val="auto"/>
          <w:sz w:val="21"/>
          <w:szCs w:val="21"/>
        </w:rPr>
        <w:t>）</w:t>
      </w:r>
      <w:r>
        <w:rPr>
          <w:rFonts w:ascii="Arial" w:hAnsi="Arial" w:cs="Arial"/>
          <w:color w:val="auto"/>
          <w:sz w:val="21"/>
          <w:szCs w:val="21"/>
        </w:rPr>
        <w:t>的估价程序，选用</w:t>
      </w:r>
      <w:r>
        <w:rPr>
          <w:rFonts w:hint="eastAsia" w:ascii="Arial" w:hAnsi="Arial" w:cs="Arial"/>
          <w:color w:val="auto"/>
          <w:sz w:val="21"/>
          <w:szCs w:val="21"/>
        </w:rPr>
        <w:t>比较法</w:t>
      </w:r>
      <w:r>
        <w:rPr>
          <w:rFonts w:ascii="Arial" w:hAnsi="Arial" w:cs="Arial"/>
          <w:color w:val="auto"/>
          <w:sz w:val="21"/>
          <w:szCs w:val="21"/>
        </w:rPr>
        <w:t>为主方法进行估价</w:t>
      </w:r>
      <w:r>
        <w:rPr>
          <w:rFonts w:hint="eastAsia" w:ascii="Arial" w:hAnsi="Arial" w:cs="Arial"/>
          <w:color w:val="auto"/>
          <w:sz w:val="21"/>
          <w:szCs w:val="21"/>
        </w:rPr>
        <w:t>，进而确定</w:t>
      </w:r>
      <w:r>
        <w:rPr>
          <w:rFonts w:hint="eastAsia" w:ascii="Arial" w:hAnsi="Arial"/>
          <w:color w:val="auto"/>
          <w:sz w:val="21"/>
          <w:szCs w:val="21"/>
        </w:rPr>
        <w:t>估价对象</w:t>
      </w:r>
      <w:r>
        <w:rPr>
          <w:rFonts w:hint="eastAsia" w:ascii="Arial" w:hAnsi="Arial" w:cs="Arial"/>
          <w:color w:val="auto"/>
          <w:sz w:val="21"/>
          <w:szCs w:val="21"/>
        </w:rPr>
        <w:t>市场租金价格水平。</w:t>
      </w:r>
    </w:p>
    <w:p w14:paraId="120CB433">
      <w:pPr>
        <w:pStyle w:val="60"/>
        <w:wordWrap w:val="0"/>
        <w:overflowPunct w:val="0"/>
        <w:autoSpaceDE w:val="0"/>
        <w:autoSpaceDN w:val="0"/>
        <w:spacing w:line="480" w:lineRule="auto"/>
        <w:ind w:right="140"/>
        <w:jc w:val="both"/>
        <w:textAlignment w:val="auto"/>
        <w:rPr>
          <w:rFonts w:ascii="Arial" w:hAnsi="Arial" w:cs="Arial"/>
          <w:b/>
          <w:color w:val="auto"/>
          <w:sz w:val="21"/>
          <w:szCs w:val="21"/>
        </w:rPr>
      </w:pPr>
      <w:r>
        <w:rPr>
          <w:rFonts w:hint="eastAsia" w:ascii="Arial" w:hAnsi="Arial" w:cs="Arial"/>
          <w:b/>
          <w:color w:val="auto"/>
          <w:sz w:val="21"/>
          <w:szCs w:val="21"/>
        </w:rPr>
        <w:t>（一）估价思路</w:t>
      </w:r>
      <w:r>
        <w:rPr>
          <w:rFonts w:ascii="Arial" w:hAnsi="Arial" w:cs="Arial"/>
          <w:b/>
          <w:color w:val="auto"/>
          <w:sz w:val="21"/>
          <w:szCs w:val="21"/>
        </w:rPr>
        <w:t xml:space="preserve"> </w:t>
      </w:r>
    </w:p>
    <w:p w14:paraId="0C69B20B">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ascii="Arial" w:hAnsi="Arial" w:cs="Arial"/>
          <w:color w:val="auto"/>
          <w:sz w:val="21"/>
          <w:szCs w:val="21"/>
        </w:rPr>
        <w:t>本次选用比较法对估价对象的市场租金水平进行测算，具体测算思路如下：</w:t>
      </w:r>
    </w:p>
    <w:p w14:paraId="4DDFF53C">
      <w:pPr>
        <w:pStyle w:val="60"/>
        <w:wordWrap w:val="0"/>
        <w:overflowPunct w:val="0"/>
        <w:autoSpaceDE w:val="0"/>
        <w:autoSpaceDN w:val="0"/>
        <w:snapToGrid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1.</w:t>
      </w:r>
      <w:r>
        <w:rPr>
          <w:rFonts w:hint="eastAsia" w:ascii="Arial" w:hAnsi="Arial" w:cs="Arial"/>
          <w:color w:val="auto"/>
          <w:sz w:val="21"/>
          <w:szCs w:val="21"/>
        </w:rPr>
        <w:t>首先，根据估价委托人提供的</w:t>
      </w:r>
      <w:r>
        <w:rPr>
          <w:rFonts w:hint="eastAsia" w:ascii="Arial" w:hAnsi="Arial" w:cs="Arial"/>
          <w:color w:val="auto"/>
          <w:kern w:val="2"/>
          <w:sz w:val="21"/>
        </w:rPr>
        <w:t>《</w:t>
      </w:r>
      <w:r>
        <w:rPr>
          <w:rFonts w:hint="eastAsia" w:ascii="Arial" w:hAnsi="Arial" w:cs="Arial"/>
          <w:color w:val="auto"/>
          <w:kern w:val="2"/>
          <w:sz w:val="21"/>
          <w:szCs w:val="21"/>
        </w:rPr>
        <w:t>估价委托书</w:t>
      </w:r>
      <w:r>
        <w:rPr>
          <w:rFonts w:hint="eastAsia" w:ascii="Arial" w:hAnsi="Arial" w:cs="Arial"/>
          <w:color w:val="auto"/>
          <w:kern w:val="2"/>
          <w:sz w:val="21"/>
        </w:rPr>
        <w:t>》、</w:t>
      </w:r>
      <w:r>
        <w:rPr>
          <w:rFonts w:hint="eastAsia" w:ascii="Arial" w:hAnsi="Arial" w:cs="Arial"/>
          <w:color w:val="auto"/>
          <w:sz w:val="21"/>
          <w:szCs w:val="21"/>
        </w:rPr>
        <w:t>《采育数字时尚小镇保障性住房趸组协议》及其附件，本次评估的标准房设定如下，标准房是指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3B22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3CFE334">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w:t>
            </w:r>
          </w:p>
        </w:tc>
        <w:tc>
          <w:tcPr>
            <w:tcW w:w="1625" w:type="dxa"/>
          </w:tcPr>
          <w:p w14:paraId="794C04A6">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户型</w:t>
            </w:r>
          </w:p>
        </w:tc>
        <w:tc>
          <w:tcPr>
            <w:tcW w:w="1693" w:type="dxa"/>
          </w:tcPr>
          <w:p w14:paraId="745B4E6F">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建筑面积（㎡）</w:t>
            </w:r>
          </w:p>
        </w:tc>
        <w:tc>
          <w:tcPr>
            <w:tcW w:w="1557" w:type="dxa"/>
          </w:tcPr>
          <w:p w14:paraId="6DDCFB85">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朝向</w:t>
            </w:r>
          </w:p>
        </w:tc>
        <w:tc>
          <w:tcPr>
            <w:tcW w:w="1491" w:type="dxa"/>
          </w:tcPr>
          <w:p w14:paraId="51AA1F9E">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楼层</w:t>
            </w:r>
          </w:p>
        </w:tc>
        <w:tc>
          <w:tcPr>
            <w:tcW w:w="1491" w:type="dxa"/>
          </w:tcPr>
          <w:p w14:paraId="068BC572">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装修</w:t>
            </w:r>
          </w:p>
        </w:tc>
      </w:tr>
      <w:tr w14:paraId="199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0CDE6C4">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标准房1</w:t>
            </w:r>
          </w:p>
        </w:tc>
        <w:tc>
          <w:tcPr>
            <w:tcW w:w="1625" w:type="dxa"/>
          </w:tcPr>
          <w:p w14:paraId="661AC9D0">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一居室</w:t>
            </w:r>
          </w:p>
        </w:tc>
        <w:tc>
          <w:tcPr>
            <w:tcW w:w="1693" w:type="dxa"/>
          </w:tcPr>
          <w:p w14:paraId="2CBD1DE2">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69.39</w:t>
            </w:r>
          </w:p>
        </w:tc>
        <w:tc>
          <w:tcPr>
            <w:tcW w:w="1557" w:type="dxa"/>
          </w:tcPr>
          <w:p w14:paraId="6E304176">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4C4C4E51">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26655C68">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r w14:paraId="5CEF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B2697ED">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标准房2</w:t>
            </w:r>
          </w:p>
        </w:tc>
        <w:tc>
          <w:tcPr>
            <w:tcW w:w="1625" w:type="dxa"/>
          </w:tcPr>
          <w:p w14:paraId="229F34AB">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两两居</w:t>
            </w:r>
          </w:p>
        </w:tc>
        <w:tc>
          <w:tcPr>
            <w:tcW w:w="1693" w:type="dxa"/>
          </w:tcPr>
          <w:p w14:paraId="50B4483B">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87.36</w:t>
            </w:r>
          </w:p>
        </w:tc>
        <w:tc>
          <w:tcPr>
            <w:tcW w:w="1557" w:type="dxa"/>
          </w:tcPr>
          <w:p w14:paraId="2F43DD8B">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5996FCBB">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106A669B">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r w14:paraId="5AFA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8B3CEE1">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标准房3</w:t>
            </w:r>
          </w:p>
        </w:tc>
        <w:tc>
          <w:tcPr>
            <w:tcW w:w="1625" w:type="dxa"/>
          </w:tcPr>
          <w:p w14:paraId="0514687B">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三</w:t>
            </w:r>
            <w:r>
              <w:rPr>
                <w:rFonts w:ascii="Arial" w:hAnsi="Arial" w:eastAsia="华文细黑" w:cs="Arial"/>
                <w:color w:val="auto"/>
                <w:sz w:val="18"/>
                <w:szCs w:val="18"/>
              </w:rPr>
              <w:t>居室</w:t>
            </w:r>
          </w:p>
        </w:tc>
        <w:tc>
          <w:tcPr>
            <w:tcW w:w="1693" w:type="dxa"/>
          </w:tcPr>
          <w:p w14:paraId="7AF8E8E2">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128.85</w:t>
            </w:r>
          </w:p>
        </w:tc>
        <w:tc>
          <w:tcPr>
            <w:tcW w:w="1557" w:type="dxa"/>
          </w:tcPr>
          <w:p w14:paraId="3A0B1AC4">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570EA3FF">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67B662D3">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bl>
    <w:p w14:paraId="4722B7C1">
      <w:pPr>
        <w:pStyle w:val="60"/>
        <w:wordWrap w:val="0"/>
        <w:overflowPunct w:val="0"/>
        <w:autoSpaceDE w:val="0"/>
        <w:autoSpaceDN w:val="0"/>
        <w:spacing w:before="120" w:beforeLines="50"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2.在估价对象周边区域选取适当数量</w:t>
      </w:r>
      <w:r>
        <w:rPr>
          <w:rFonts w:hint="eastAsia" w:ascii="Arial" w:hAnsi="Arial" w:cs="Arial"/>
          <w:color w:val="auto"/>
          <w:sz w:val="21"/>
          <w:szCs w:val="21"/>
        </w:rPr>
        <w:t>住宅项目</w:t>
      </w:r>
      <w:r>
        <w:rPr>
          <w:rFonts w:ascii="Arial" w:hAnsi="Arial" w:cs="Arial"/>
          <w:color w:val="auto"/>
          <w:sz w:val="21"/>
          <w:szCs w:val="21"/>
        </w:rPr>
        <w:t>，结合估价机构市场调查，选取可比小区。</w:t>
      </w:r>
    </w:p>
    <w:p w14:paraId="19F04AFF">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3.将所选可比小区与评估对象标准房进行比较，进行区位状况调整和实物状况调整，计算各可比实例比准租金，得到</w:t>
      </w:r>
      <w:r>
        <w:rPr>
          <w:rFonts w:hint="eastAsia" w:ascii="Arial" w:hAnsi="Arial" w:cs="Arial"/>
          <w:color w:val="auto"/>
          <w:sz w:val="21"/>
          <w:szCs w:val="21"/>
        </w:rPr>
        <w:t>估价对象标准房</w:t>
      </w:r>
      <w:r>
        <w:rPr>
          <w:rFonts w:ascii="Arial" w:hAnsi="Arial" w:cs="Arial"/>
          <w:color w:val="auto"/>
          <w:sz w:val="21"/>
          <w:szCs w:val="21"/>
        </w:rPr>
        <w:t>租金水平。</w:t>
      </w:r>
    </w:p>
    <w:p w14:paraId="3279D0FC">
      <w:pPr>
        <w:pStyle w:val="60"/>
        <w:wordWrap w:val="0"/>
        <w:overflowPunct w:val="0"/>
        <w:autoSpaceDE w:val="0"/>
        <w:autoSpaceDN w:val="0"/>
        <w:spacing w:line="480" w:lineRule="auto"/>
        <w:jc w:val="both"/>
        <w:textAlignment w:val="auto"/>
        <w:rPr>
          <w:rFonts w:ascii="Arial" w:hAnsi="Arial" w:cs="Arial"/>
          <w:b/>
          <w:color w:val="auto"/>
          <w:sz w:val="21"/>
          <w:szCs w:val="21"/>
        </w:rPr>
      </w:pPr>
      <w:r>
        <w:rPr>
          <w:rFonts w:hint="eastAsia" w:ascii="Arial" w:hAnsi="Arial" w:cs="Arial"/>
          <w:b/>
          <w:color w:val="auto"/>
          <w:sz w:val="21"/>
          <w:szCs w:val="21"/>
        </w:rPr>
        <w:t>（二）估价方法</w:t>
      </w:r>
      <w:r>
        <w:rPr>
          <w:rFonts w:ascii="Arial" w:hAnsi="Arial" w:cs="Arial"/>
          <w:b/>
          <w:color w:val="auto"/>
          <w:sz w:val="21"/>
          <w:szCs w:val="21"/>
        </w:rPr>
        <w:t xml:space="preserve"> </w:t>
      </w:r>
    </w:p>
    <w:p w14:paraId="06531DCE">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比较法，是在求取估价对象房地产</w:t>
      </w:r>
      <w:r>
        <w:rPr>
          <w:rFonts w:hint="eastAsia" w:ascii="Arial" w:hAnsi="Arial" w:cs="Arial"/>
          <w:color w:val="auto"/>
          <w:sz w:val="21"/>
          <w:szCs w:val="21"/>
        </w:rPr>
        <w:t>市场租金水平</w:t>
      </w:r>
      <w:r>
        <w:rPr>
          <w:rFonts w:ascii="Arial" w:hAnsi="Arial" w:cs="Arial"/>
          <w:color w:val="auto"/>
          <w:sz w:val="21"/>
          <w:szCs w:val="21"/>
        </w:rPr>
        <w:t>时，根据替代原则，将估价对象与在较近时期内已发生交易的类似房地产</w:t>
      </w:r>
      <w:r>
        <w:rPr>
          <w:rFonts w:hint="eastAsia" w:ascii="Arial" w:hAnsi="Arial" w:cs="Arial"/>
          <w:color w:val="auto"/>
          <w:sz w:val="21"/>
          <w:szCs w:val="21"/>
        </w:rPr>
        <w:t>租赁</w:t>
      </w:r>
      <w:r>
        <w:rPr>
          <w:rFonts w:ascii="Arial" w:hAnsi="Arial" w:cs="Arial"/>
          <w:color w:val="auto"/>
          <w:sz w:val="21"/>
          <w:szCs w:val="21"/>
        </w:rPr>
        <w:t>交易实例进行对照比较，并依据后者已知的价格，参照该房地产的交易情况、期日、区域及实物状况的差别，修正得出估价对象房地产</w:t>
      </w:r>
      <w:r>
        <w:rPr>
          <w:rFonts w:hint="eastAsia" w:ascii="Arial" w:hAnsi="Arial" w:cs="Arial"/>
          <w:color w:val="auto"/>
          <w:sz w:val="21"/>
          <w:szCs w:val="21"/>
        </w:rPr>
        <w:t>市场租金水平</w:t>
      </w:r>
      <w:r>
        <w:rPr>
          <w:rFonts w:ascii="Arial" w:hAnsi="Arial" w:cs="Arial"/>
          <w:color w:val="auto"/>
          <w:sz w:val="21"/>
          <w:szCs w:val="21"/>
        </w:rPr>
        <w:t>的方法。本次估价采用比较法思路评估租金价格水平。</w:t>
      </w:r>
    </w:p>
    <w:p w14:paraId="3DAB1B89">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w:t>
      </w:r>
      <w:r>
        <w:rPr>
          <w:rFonts w:ascii="Arial" w:hAnsi="Arial" w:cs="Arial"/>
          <w:color w:val="auto"/>
          <w:sz w:val="21"/>
          <w:szCs w:val="21"/>
        </w:rPr>
        <w:t>采用</w:t>
      </w:r>
      <w:r>
        <w:rPr>
          <w:rFonts w:hint="eastAsia" w:ascii="Arial" w:hAnsi="Arial" w:cs="Arial"/>
          <w:color w:val="auto"/>
          <w:sz w:val="21"/>
          <w:szCs w:val="21"/>
        </w:rPr>
        <w:t>比较法</w:t>
      </w:r>
      <w:r>
        <w:rPr>
          <w:rFonts w:ascii="Arial" w:hAnsi="Arial" w:cs="Arial"/>
          <w:color w:val="auto"/>
          <w:sz w:val="21"/>
          <w:szCs w:val="21"/>
        </w:rPr>
        <w:t>的理由</w:t>
      </w:r>
      <w:r>
        <w:rPr>
          <w:rFonts w:hint="eastAsia" w:ascii="Arial" w:hAnsi="Arial" w:cs="Arial"/>
          <w:color w:val="auto"/>
          <w:sz w:val="21"/>
          <w:szCs w:val="21"/>
        </w:rPr>
        <w:t>：</w:t>
      </w:r>
    </w:p>
    <w:p w14:paraId="684C3D58">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color w:val="auto"/>
          <w:sz w:val="21"/>
          <w:szCs w:val="21"/>
        </w:rPr>
        <w:t>住宅</w:t>
      </w:r>
      <w:r>
        <w:rPr>
          <w:rFonts w:ascii="Arial" w:hAnsi="Arial" w:cs="Arial"/>
          <w:color w:val="auto"/>
          <w:sz w:val="21"/>
          <w:szCs w:val="21"/>
        </w:rPr>
        <w:t>出租的公开信息，可通过因素修正得出估价对象所在区域</w:t>
      </w:r>
      <w:r>
        <w:rPr>
          <w:rFonts w:hint="eastAsia" w:ascii="Arial" w:hAnsi="Arial" w:cs="Arial"/>
          <w:color w:val="auto"/>
          <w:sz w:val="21"/>
          <w:szCs w:val="21"/>
        </w:rPr>
        <w:t>住宅</w:t>
      </w:r>
      <w:r>
        <w:rPr>
          <w:rFonts w:ascii="Arial" w:hAnsi="Arial" w:cs="Arial"/>
          <w:color w:val="auto"/>
          <w:sz w:val="21"/>
          <w:szCs w:val="21"/>
        </w:rPr>
        <w:t>租赁价格水平</w:t>
      </w:r>
      <w:r>
        <w:rPr>
          <w:rFonts w:hint="eastAsia" w:ascii="Arial" w:hAnsi="Arial" w:cs="Arial"/>
          <w:color w:val="auto"/>
          <w:sz w:val="21"/>
          <w:szCs w:val="21"/>
        </w:rPr>
        <w:t>。</w:t>
      </w:r>
      <w:r>
        <w:rPr>
          <w:rFonts w:ascii="Arial" w:hAnsi="Arial" w:cs="Arial"/>
          <w:color w:val="auto"/>
          <w:sz w:val="21"/>
          <w:szCs w:val="21"/>
        </w:rPr>
        <w:t>同时</w:t>
      </w:r>
      <w:r>
        <w:rPr>
          <w:rFonts w:hint="eastAsia" w:ascii="Arial" w:hAnsi="Arial" w:cs="Arial"/>
          <w:color w:val="auto"/>
          <w:sz w:val="21"/>
          <w:szCs w:val="21"/>
        </w:rPr>
        <w:t>，</w:t>
      </w:r>
      <w:r>
        <w:rPr>
          <w:rFonts w:ascii="Arial" w:hAnsi="Arial" w:cs="Arial"/>
          <w:color w:val="auto"/>
          <w:sz w:val="21"/>
          <w:szCs w:val="21"/>
        </w:rPr>
        <w:t>通过区域因素修正得出估价对象相邻或相似区域</w:t>
      </w:r>
      <w:r>
        <w:rPr>
          <w:rFonts w:hint="eastAsia" w:ascii="Arial" w:hAnsi="Arial" w:cs="Arial"/>
          <w:color w:val="auto"/>
          <w:sz w:val="21"/>
          <w:szCs w:val="21"/>
        </w:rPr>
        <w:t>住宅</w:t>
      </w:r>
      <w:r>
        <w:rPr>
          <w:rFonts w:ascii="Arial" w:hAnsi="Arial" w:cs="Arial"/>
          <w:color w:val="auto"/>
          <w:sz w:val="21"/>
          <w:szCs w:val="21"/>
        </w:rPr>
        <w:t>租赁价格水平</w:t>
      </w:r>
      <w:r>
        <w:rPr>
          <w:rFonts w:hint="eastAsia" w:ascii="Arial" w:hAnsi="Arial" w:cs="Arial"/>
          <w:color w:val="auto"/>
          <w:sz w:val="21"/>
          <w:szCs w:val="21"/>
        </w:rPr>
        <w:t>。</w:t>
      </w:r>
    </w:p>
    <w:p w14:paraId="4FDA4C5C">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2.</w:t>
      </w:r>
      <w:r>
        <w:rPr>
          <w:rFonts w:ascii="Arial" w:hAnsi="Arial" w:cs="Arial"/>
          <w:color w:val="auto"/>
          <w:sz w:val="21"/>
          <w:szCs w:val="21"/>
        </w:rPr>
        <w:t>不采用成本法、假设开发法、收益法的理由</w:t>
      </w:r>
      <w:r>
        <w:rPr>
          <w:rFonts w:hint="eastAsia" w:ascii="Arial" w:hAnsi="Arial" w:cs="Arial"/>
          <w:color w:val="auto"/>
          <w:sz w:val="21"/>
          <w:szCs w:val="21"/>
        </w:rPr>
        <w:t>：</w:t>
      </w:r>
    </w:p>
    <w:p w14:paraId="04B034C6">
      <w:pPr>
        <w:pStyle w:val="60"/>
        <w:wordWrap w:val="0"/>
        <w:overflowPunct w:val="0"/>
        <w:autoSpaceDE w:val="0"/>
        <w:autoSpaceDN w:val="0"/>
        <w:spacing w:line="480" w:lineRule="auto"/>
        <w:ind w:firstLine="420"/>
        <w:jc w:val="both"/>
        <w:textAlignment w:val="auto"/>
        <w:rPr>
          <w:rFonts w:ascii="Arial" w:hAnsi="Arial" w:cs="Arial"/>
          <w:color w:val="auto"/>
          <w:sz w:val="21"/>
          <w:szCs w:val="21"/>
        </w:rPr>
      </w:pPr>
      <w:r>
        <w:rPr>
          <w:rFonts w:hint="eastAsia" w:hAnsi="宋体" w:cs="Arial"/>
          <w:color w:val="auto"/>
          <w:sz w:val="21"/>
          <w:szCs w:val="21"/>
        </w:rPr>
        <w:t>（1）估价对象适用比较法，且已优先采用比较法进行评估，故不再采用成本法进行测算。</w:t>
      </w:r>
    </w:p>
    <w:p w14:paraId="76E5511D">
      <w:pPr>
        <w:pStyle w:val="60"/>
        <w:wordWrap w:val="0"/>
        <w:overflowPunct w:val="0"/>
        <w:autoSpaceDE w:val="0"/>
        <w:autoSpaceDN w:val="0"/>
        <w:spacing w:line="480" w:lineRule="auto"/>
        <w:ind w:firstLine="420"/>
        <w:jc w:val="both"/>
        <w:textAlignment w:val="auto"/>
        <w:rPr>
          <w:rFonts w:hint="eastAsia" w:hAnsi="宋体" w:cs="Arial"/>
          <w:color w:val="auto"/>
          <w:sz w:val="21"/>
          <w:szCs w:val="21"/>
        </w:rPr>
      </w:pPr>
      <w:r>
        <w:rPr>
          <w:rFonts w:hint="eastAsia" w:hAnsi="宋体" w:cs="Arial"/>
          <w:color w:val="auto"/>
          <w:sz w:val="21"/>
          <w:szCs w:val="21"/>
        </w:rPr>
        <w:t>（2）假设开发法可评估房地产市场价值，但不适于租赁价格的评估。</w:t>
      </w:r>
    </w:p>
    <w:p w14:paraId="5665C6C9">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hint="eastAsia" w:hAnsi="宋体" w:cs="Arial"/>
          <w:color w:val="auto"/>
          <w:sz w:val="21"/>
          <w:szCs w:val="21"/>
        </w:rPr>
        <w:t>（3）</w:t>
      </w:r>
      <w:r>
        <w:rPr>
          <w:rFonts w:ascii="Arial" w:hAnsi="Arial" w:cs="Arial"/>
          <w:color w:val="auto"/>
          <w:sz w:val="21"/>
          <w:szCs w:val="21"/>
        </w:rPr>
        <w:t>收益法适用于有现实收益或潜在收益的土地或房地产估价。估价对象用途</w:t>
      </w:r>
      <w:r>
        <w:rPr>
          <w:rFonts w:hint="eastAsia" w:ascii="Arial" w:hAnsi="Arial" w:cs="Arial"/>
          <w:color w:val="auto"/>
          <w:kern w:val="2"/>
          <w:sz w:val="21"/>
          <w:szCs w:val="21"/>
        </w:rPr>
        <w:t>设定为保障性租赁住房</w:t>
      </w:r>
      <w:r>
        <w:rPr>
          <w:rFonts w:ascii="Arial" w:hAnsi="Arial" w:cs="Arial"/>
          <w:color w:val="auto"/>
          <w:sz w:val="21"/>
          <w:szCs w:val="21"/>
        </w:rPr>
        <w:t>，能对外出租，为收益性物业，估价对象虽具有潜在租金收益，租金水平也相对稳定，而由于受到国人传统的购房理念以及固定资产投资、保值需求等的影响，目前估价对象所在区域同类商品房业态租售比差距较大，采用房屋交易价格测算出的房屋租金不能反映正常的市场租金水平，故未采用收益法</w:t>
      </w:r>
      <w:r>
        <w:rPr>
          <w:rFonts w:hint="eastAsia" w:ascii="Arial" w:hAnsi="Arial" w:cs="Arial"/>
          <w:color w:val="auto"/>
          <w:sz w:val="21"/>
          <w:szCs w:val="21"/>
        </w:rPr>
        <w:t>。</w:t>
      </w:r>
      <w:r>
        <w:rPr>
          <w:rFonts w:ascii="Arial" w:hAnsi="Arial" w:cs="Arial"/>
          <w:color w:val="auto"/>
          <w:sz w:val="21"/>
          <w:szCs w:val="21"/>
        </w:rPr>
        <w:t xml:space="preserve"> </w:t>
      </w:r>
    </w:p>
    <w:p w14:paraId="1987F399">
      <w:pPr>
        <w:pStyle w:val="60"/>
        <w:wordWrap w:val="0"/>
        <w:overflowPunct w:val="0"/>
        <w:autoSpaceDE w:val="0"/>
        <w:autoSpaceDN w:val="0"/>
        <w:spacing w:line="480" w:lineRule="auto"/>
        <w:ind w:right="142" w:firstLine="420" w:firstLineChars="200"/>
        <w:jc w:val="both"/>
        <w:textAlignment w:val="auto"/>
        <w:rPr>
          <w:rFonts w:ascii="Arial" w:hAnsi="Arial" w:cs="Arial"/>
          <w:color w:val="auto"/>
          <w:sz w:val="21"/>
          <w:szCs w:val="21"/>
        </w:rPr>
      </w:pPr>
    </w:p>
    <w:p w14:paraId="0F99019D">
      <w:pPr>
        <w:pStyle w:val="3"/>
        <w:numPr>
          <w:ilvl w:val="0"/>
          <w:numId w:val="0"/>
        </w:numPr>
        <w:wordWrap w:val="0"/>
        <w:overflowPunct w:val="0"/>
        <w:spacing w:line="480" w:lineRule="auto"/>
        <w:ind w:left="358" w:hanging="358" w:hangingChars="170"/>
        <w:jc w:val="both"/>
        <w:textAlignment w:val="auto"/>
        <w:rPr>
          <w:rFonts w:eastAsia="宋体"/>
          <w:color w:val="auto"/>
          <w:kern w:val="2"/>
          <w:sz w:val="21"/>
          <w:szCs w:val="21"/>
        </w:rPr>
      </w:pPr>
      <w:bookmarkStart w:id="37" w:name="_Toc155267095"/>
      <w:bookmarkStart w:id="38" w:name="_Toc168225822"/>
      <w:r>
        <w:rPr>
          <w:rFonts w:eastAsia="宋体"/>
          <w:color w:val="auto"/>
          <w:kern w:val="2"/>
          <w:sz w:val="21"/>
          <w:szCs w:val="21"/>
        </w:rPr>
        <w:t>十、估价结果</w:t>
      </w:r>
      <w:bookmarkEnd w:id="37"/>
      <w:bookmarkEnd w:id="38"/>
    </w:p>
    <w:p w14:paraId="7BDF8D05">
      <w:pPr>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评估专业人员根据估价的目的，</w:t>
      </w:r>
      <w:r>
        <w:rPr>
          <w:rFonts w:hint="eastAsia" w:ascii="Arial" w:hAnsi="Arial" w:cs="Arial"/>
          <w:color w:val="auto"/>
          <w:sz w:val="21"/>
          <w:szCs w:val="21"/>
        </w:rPr>
        <w:t>遵循估价原则，</w:t>
      </w:r>
      <w:r>
        <w:rPr>
          <w:rFonts w:ascii="Arial" w:hAnsi="Arial" w:cs="Arial"/>
          <w:color w:val="auto"/>
          <w:sz w:val="21"/>
          <w:szCs w:val="21"/>
        </w:rPr>
        <w:t>按照估价的程序，采用科学的估价方法，在认真分析现有资料的基础上，通过仔细测算和认真分析各种影响房地产</w:t>
      </w:r>
      <w:r>
        <w:rPr>
          <w:rFonts w:hint="eastAsia" w:ascii="Arial" w:hAnsi="Arial" w:cs="Arial"/>
          <w:color w:val="auto"/>
          <w:sz w:val="21"/>
          <w:szCs w:val="21"/>
        </w:rPr>
        <w:t>租赁</w:t>
      </w:r>
      <w:r>
        <w:rPr>
          <w:rFonts w:ascii="Arial" w:hAnsi="Arial" w:cs="Arial"/>
          <w:color w:val="auto"/>
          <w:sz w:val="21"/>
          <w:szCs w:val="21"/>
        </w:rPr>
        <w:t>价格的因素，</w:t>
      </w:r>
      <w:r>
        <w:rPr>
          <w:rFonts w:hint="eastAsia" w:ascii="Arial" w:hAnsi="Arial" w:cs="Arial"/>
          <w:color w:val="auto"/>
          <w:sz w:val="21"/>
          <w:szCs w:val="21"/>
        </w:rPr>
        <w:t>最终</w:t>
      </w:r>
      <w:r>
        <w:rPr>
          <w:rFonts w:ascii="Arial" w:hAnsi="Arial" w:cs="Arial"/>
          <w:color w:val="auto"/>
          <w:sz w:val="21"/>
          <w:szCs w:val="21"/>
        </w:rPr>
        <w:t>确定</w:t>
      </w:r>
      <w:r>
        <w:rPr>
          <w:rFonts w:hint="eastAsia" w:ascii="Arial" w:hAnsi="Arial" w:cs="Arial"/>
          <w:color w:val="auto"/>
          <w:sz w:val="21"/>
          <w:szCs w:val="21"/>
        </w:rPr>
        <w:t xml:space="preserve">项目于价值时点2025年12月26日同地段、同品质市场租赁住房租金为： </w:t>
      </w:r>
    </w:p>
    <w:p w14:paraId="4A31E05E">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一居室（52.63-69.91</w:t>
      </w:r>
      <w:r>
        <w:rPr>
          <w:rFonts w:ascii="Arial" w:hAnsi="Arial" w:cs="Arial"/>
          <w:b/>
          <w:bCs/>
          <w:color w:val="auto"/>
          <w:sz w:val="21"/>
          <w:szCs w:val="21"/>
        </w:rPr>
        <w:t>平方米）</w:t>
      </w:r>
      <w:r>
        <w:rPr>
          <w:rFonts w:hint="eastAsia" w:ascii="Arial" w:hAnsi="Arial" w:cs="Arial"/>
          <w:b/>
          <w:bCs/>
          <w:color w:val="auto"/>
          <w:sz w:val="21"/>
          <w:szCs w:val="21"/>
        </w:rPr>
        <w:t>：21.46元/平方米·月</w:t>
      </w:r>
    </w:p>
    <w:p w14:paraId="7679512F">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两居室（72.82-88.38</w:t>
      </w:r>
      <w:r>
        <w:rPr>
          <w:rFonts w:ascii="Arial" w:hAnsi="Arial" w:cs="Arial"/>
          <w:b/>
          <w:bCs/>
          <w:color w:val="auto"/>
          <w:sz w:val="21"/>
          <w:szCs w:val="21"/>
        </w:rPr>
        <w:t>平方米）</w:t>
      </w:r>
      <w:r>
        <w:rPr>
          <w:rFonts w:hint="eastAsia" w:ascii="Arial" w:hAnsi="Arial" w:cs="Arial"/>
          <w:b/>
          <w:bCs/>
          <w:color w:val="auto"/>
          <w:sz w:val="21"/>
          <w:szCs w:val="21"/>
        </w:rPr>
        <w:t>：17.28元/平方米·月</w:t>
      </w:r>
    </w:p>
    <w:p w14:paraId="272C6C84">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三居室（90.99-129.32</w:t>
      </w:r>
      <w:r>
        <w:rPr>
          <w:rFonts w:ascii="Arial" w:hAnsi="Arial" w:cs="Arial"/>
          <w:b/>
          <w:bCs/>
          <w:color w:val="auto"/>
          <w:sz w:val="21"/>
          <w:szCs w:val="21"/>
        </w:rPr>
        <w:t>平方米</w:t>
      </w:r>
      <w:r>
        <w:rPr>
          <w:rFonts w:hint="eastAsia" w:ascii="Arial" w:hAnsi="Arial" w:cs="Arial"/>
          <w:b/>
          <w:bCs/>
          <w:color w:val="auto"/>
          <w:sz w:val="21"/>
          <w:szCs w:val="21"/>
        </w:rPr>
        <w:t>）：16.14元/平方米·月</w:t>
      </w:r>
    </w:p>
    <w:p w14:paraId="6E4BC1EB">
      <w:pPr>
        <w:overflowPunct w:val="0"/>
        <w:spacing w:line="480" w:lineRule="auto"/>
        <w:ind w:firstLine="360" w:firstLineChars="200"/>
        <w:jc w:val="both"/>
        <w:textAlignment w:val="auto"/>
        <w:rPr>
          <w:rFonts w:ascii="Arial" w:hAnsi="Arial" w:cs="Arial"/>
          <w:color w:val="auto"/>
          <w:sz w:val="18"/>
          <w:szCs w:val="18"/>
        </w:rPr>
      </w:pPr>
      <w:r>
        <w:rPr>
          <w:rFonts w:ascii="Arial" w:hAnsi="Arial" w:cs="Arial"/>
          <w:color w:val="auto"/>
          <w:sz w:val="18"/>
          <w:szCs w:val="18"/>
        </w:rPr>
        <w:t>注：1、</w:t>
      </w:r>
      <w:r>
        <w:rPr>
          <w:rFonts w:hint="eastAsia" w:ascii="Arial" w:hAnsi="Arial" w:cs="Arial"/>
          <w:color w:val="auto"/>
          <w:sz w:val="18"/>
          <w:szCs w:val="18"/>
        </w:rPr>
        <w:t>评估的详细结果、过程及有关说明，详见《估价结果报告》、《估价技术报告》。</w:t>
      </w:r>
    </w:p>
    <w:p w14:paraId="6B5B3686">
      <w:pPr>
        <w:overflowPunct w:val="0"/>
        <w:spacing w:line="480" w:lineRule="auto"/>
        <w:ind w:left="720" w:leftChars="150" w:hanging="360" w:hangingChars="200"/>
        <w:jc w:val="both"/>
        <w:textAlignment w:val="auto"/>
        <w:rPr>
          <w:rFonts w:hint="eastAsia" w:ascii="Arial" w:hAnsi="Arial" w:cs="Arial"/>
          <w:color w:val="auto"/>
          <w:sz w:val="18"/>
          <w:szCs w:val="18"/>
        </w:rPr>
      </w:pPr>
      <w:r>
        <w:rPr>
          <w:rFonts w:ascii="Arial" w:hAnsi="Arial" w:cs="Arial"/>
          <w:color w:val="auto"/>
          <w:sz w:val="18"/>
          <w:szCs w:val="18"/>
        </w:rPr>
        <w:t xml:space="preserve">   </w:t>
      </w:r>
      <w:r>
        <w:rPr>
          <w:rFonts w:hint="eastAsia" w:ascii="Arial" w:hAnsi="Arial" w:cs="Arial"/>
          <w:color w:val="auto"/>
          <w:sz w:val="18"/>
          <w:szCs w:val="18"/>
        </w:rPr>
        <w:t>2</w:t>
      </w:r>
      <w:r>
        <w:rPr>
          <w:rFonts w:ascii="Arial" w:hAnsi="Arial" w:cs="Arial"/>
          <w:color w:val="auto"/>
          <w:sz w:val="18"/>
          <w:szCs w:val="18"/>
        </w:rPr>
        <w:t>、</w:t>
      </w:r>
      <w:r>
        <w:rPr>
          <w:rFonts w:hint="eastAsia" w:ascii="Arial" w:hAnsi="Arial" w:cs="Arial"/>
          <w:color w:val="auto"/>
          <w:sz w:val="18"/>
          <w:szCs w:val="18"/>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0CE76445">
      <w:pPr>
        <w:overflowPunct w:val="0"/>
        <w:spacing w:line="480" w:lineRule="auto"/>
        <w:ind w:left="720" w:leftChars="150" w:hanging="360" w:hangingChars="200"/>
        <w:jc w:val="both"/>
        <w:textAlignment w:val="auto"/>
        <w:rPr>
          <w:rFonts w:hint="eastAsia" w:ascii="Arial" w:hAnsi="Arial" w:cs="Arial"/>
          <w:color w:val="auto"/>
          <w:sz w:val="18"/>
          <w:szCs w:val="18"/>
        </w:rPr>
      </w:pPr>
    </w:p>
    <w:p w14:paraId="2547B116">
      <w:pPr>
        <w:pStyle w:val="3"/>
        <w:numPr>
          <w:ilvl w:val="0"/>
          <w:numId w:val="0"/>
        </w:numPr>
        <w:overflowPunct w:val="0"/>
        <w:spacing w:line="480" w:lineRule="auto"/>
        <w:jc w:val="both"/>
        <w:textAlignment w:val="auto"/>
        <w:rPr>
          <w:rFonts w:eastAsia="宋体"/>
          <w:color w:val="auto"/>
          <w:kern w:val="2"/>
          <w:sz w:val="21"/>
          <w:szCs w:val="21"/>
        </w:rPr>
      </w:pPr>
      <w:bookmarkStart w:id="39" w:name="_Toc168225824"/>
      <w:bookmarkStart w:id="40" w:name="_Toc155267096"/>
      <w:r>
        <w:rPr>
          <w:rFonts w:eastAsia="宋体"/>
          <w:color w:val="auto"/>
          <w:kern w:val="2"/>
          <w:sz w:val="21"/>
          <w:szCs w:val="21"/>
        </w:rPr>
        <w:t>十</w:t>
      </w:r>
      <w:bookmarkEnd w:id="39"/>
      <w:r>
        <w:rPr>
          <w:rFonts w:eastAsia="宋体"/>
          <w:color w:val="auto"/>
          <w:kern w:val="2"/>
          <w:sz w:val="21"/>
          <w:szCs w:val="21"/>
        </w:rPr>
        <w:t>一、参与本次估价工作的</w:t>
      </w:r>
      <w:r>
        <w:rPr>
          <w:rFonts w:hint="eastAsia" w:eastAsia="宋体"/>
          <w:color w:val="auto"/>
          <w:kern w:val="2"/>
          <w:sz w:val="21"/>
          <w:szCs w:val="21"/>
        </w:rPr>
        <w:t>评估专业</w:t>
      </w:r>
      <w:r>
        <w:rPr>
          <w:rFonts w:eastAsia="宋体"/>
          <w:color w:val="auto"/>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1437CCD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4A615CF4">
            <w:pPr>
              <w:tabs>
                <w:tab w:val="left" w:pos="5160"/>
              </w:tabs>
              <w:overflowPunct w:val="0"/>
              <w:spacing w:line="240" w:lineRule="auto"/>
              <w:rPr>
                <w:rFonts w:ascii="Arial" w:hAnsi="Arial" w:cs="Arial"/>
                <w:b/>
                <w:color w:val="auto"/>
                <w:sz w:val="21"/>
                <w:szCs w:val="21"/>
              </w:rPr>
            </w:pPr>
            <w:r>
              <w:rPr>
                <w:rFonts w:ascii="Arial" w:hAnsi="Arial" w:cs="Arial"/>
                <w:b/>
                <w:color w:val="auto"/>
                <w:kern w:val="2"/>
                <w:sz w:val="21"/>
                <w:szCs w:val="21"/>
              </w:rPr>
              <w:t>注册房地产估价师</w:t>
            </w:r>
          </w:p>
        </w:tc>
      </w:tr>
      <w:tr w14:paraId="1DA221F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3BB92F0A">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姓</w:t>
            </w:r>
            <w:r>
              <w:rPr>
                <w:rFonts w:hint="eastAsia" w:ascii="Arial" w:hAnsi="Arial" w:cs="Arial"/>
                <w:color w:val="auto"/>
                <w:sz w:val="21"/>
                <w:szCs w:val="21"/>
              </w:rPr>
              <w:t xml:space="preserve">  </w:t>
            </w:r>
            <w:r>
              <w:rPr>
                <w:rFonts w:ascii="Arial" w:hAnsi="Arial" w:cs="Arial"/>
                <w:color w:val="auto"/>
                <w:sz w:val="21"/>
                <w:szCs w:val="21"/>
              </w:rPr>
              <w:t>名</w:t>
            </w:r>
          </w:p>
        </w:tc>
        <w:tc>
          <w:tcPr>
            <w:tcW w:w="2197" w:type="dxa"/>
            <w:vAlign w:val="center"/>
          </w:tcPr>
          <w:p w14:paraId="4A4E668D">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注册号</w:t>
            </w:r>
          </w:p>
        </w:tc>
        <w:tc>
          <w:tcPr>
            <w:tcW w:w="2774" w:type="dxa"/>
            <w:vAlign w:val="center"/>
          </w:tcPr>
          <w:p w14:paraId="3CC119D9">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签名</w:t>
            </w:r>
          </w:p>
        </w:tc>
        <w:tc>
          <w:tcPr>
            <w:tcW w:w="2582" w:type="dxa"/>
            <w:vAlign w:val="center"/>
          </w:tcPr>
          <w:p w14:paraId="57095F84">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签名日期</w:t>
            </w:r>
          </w:p>
        </w:tc>
      </w:tr>
      <w:tr w14:paraId="1B8F948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6FFD1654">
            <w:pPr>
              <w:tabs>
                <w:tab w:val="left" w:pos="5160"/>
              </w:tabs>
              <w:overflowPunct w:val="0"/>
              <w:spacing w:line="240" w:lineRule="auto"/>
              <w:rPr>
                <w:rFonts w:ascii="Arial" w:hAnsi="Arial" w:cs="Arial"/>
                <w:color w:val="auto"/>
                <w:sz w:val="21"/>
                <w:szCs w:val="21"/>
              </w:rPr>
            </w:pPr>
            <w:r>
              <w:rPr>
                <w:rFonts w:hint="eastAsia" w:ascii="Arial" w:hAnsi="Arial" w:cs="Arial"/>
                <w:color w:val="auto"/>
                <w:sz w:val="21"/>
                <w:szCs w:val="21"/>
              </w:rPr>
              <w:t>常  畅</w:t>
            </w:r>
          </w:p>
        </w:tc>
        <w:tc>
          <w:tcPr>
            <w:tcW w:w="2197" w:type="dxa"/>
            <w:vAlign w:val="center"/>
          </w:tcPr>
          <w:p w14:paraId="5B4E976A">
            <w:pPr>
              <w:tabs>
                <w:tab w:val="left" w:pos="5160"/>
              </w:tabs>
              <w:overflowPunct w:val="0"/>
              <w:spacing w:line="240" w:lineRule="auto"/>
              <w:rPr>
                <w:rFonts w:ascii="Arial" w:hAnsi="Arial" w:cs="Arial"/>
                <w:color w:val="auto"/>
                <w:sz w:val="21"/>
                <w:szCs w:val="21"/>
              </w:rPr>
            </w:pPr>
            <w:r>
              <w:rPr>
                <w:rFonts w:hint="eastAsia" w:ascii="Arial" w:hAnsi="Arial" w:eastAsia="方正黑体简体"/>
                <w:color w:val="auto"/>
                <w:sz w:val="21"/>
                <w:szCs w:val="21"/>
              </w:rPr>
              <w:t>1120250061</w:t>
            </w:r>
          </w:p>
        </w:tc>
        <w:tc>
          <w:tcPr>
            <w:tcW w:w="2774" w:type="dxa"/>
            <w:vAlign w:val="center"/>
          </w:tcPr>
          <w:p w14:paraId="7113A3EF">
            <w:pPr>
              <w:tabs>
                <w:tab w:val="left" w:pos="5160"/>
              </w:tabs>
              <w:overflowPunct w:val="0"/>
              <w:spacing w:line="240" w:lineRule="auto"/>
              <w:rPr>
                <w:rFonts w:ascii="Arial" w:hAnsi="Arial" w:cs="Arial"/>
                <w:color w:val="auto"/>
                <w:sz w:val="21"/>
                <w:szCs w:val="21"/>
              </w:rPr>
            </w:pPr>
          </w:p>
        </w:tc>
        <w:tc>
          <w:tcPr>
            <w:tcW w:w="2582" w:type="dxa"/>
            <w:vAlign w:val="center"/>
          </w:tcPr>
          <w:p w14:paraId="1984ED48">
            <w:pPr>
              <w:tabs>
                <w:tab w:val="left" w:pos="5160"/>
              </w:tabs>
              <w:wordWrap w:val="0"/>
              <w:overflowPunct w:val="0"/>
              <w:spacing w:line="240" w:lineRule="auto"/>
              <w:ind w:firstLine="420" w:firstLineChars="200"/>
              <w:jc w:val="right"/>
              <w:rPr>
                <w:rFonts w:ascii="Arial" w:hAnsi="Arial" w:cs="Arial"/>
                <w:color w:val="auto"/>
                <w:sz w:val="21"/>
                <w:szCs w:val="21"/>
              </w:rPr>
            </w:pPr>
            <w:r>
              <w:rPr>
                <w:rFonts w:ascii="Arial" w:hAnsi="Arial" w:cs="Arial"/>
                <w:color w:val="auto"/>
                <w:sz w:val="21"/>
                <w:szCs w:val="21"/>
              </w:rPr>
              <w:t>年</w:t>
            </w:r>
            <w:r>
              <w:rPr>
                <w:rFonts w:hint="eastAsia" w:ascii="Arial" w:hAnsi="Arial" w:cs="Arial"/>
                <w:color w:val="auto"/>
                <w:sz w:val="21"/>
                <w:szCs w:val="21"/>
              </w:rPr>
              <w:t xml:space="preserve">    </w:t>
            </w:r>
            <w:r>
              <w:rPr>
                <w:rFonts w:ascii="Arial" w:hAnsi="Arial" w:cs="Arial"/>
                <w:color w:val="auto"/>
                <w:sz w:val="21"/>
                <w:szCs w:val="21"/>
              </w:rPr>
              <w:t>月</w:t>
            </w:r>
            <w:r>
              <w:rPr>
                <w:rFonts w:hint="eastAsia" w:ascii="Arial" w:hAnsi="Arial" w:cs="Arial"/>
                <w:color w:val="auto"/>
                <w:sz w:val="21"/>
                <w:szCs w:val="21"/>
              </w:rPr>
              <w:t xml:space="preserve">    </w:t>
            </w:r>
            <w:r>
              <w:rPr>
                <w:rFonts w:ascii="Arial" w:hAnsi="Arial" w:cs="Arial"/>
                <w:color w:val="auto"/>
                <w:sz w:val="21"/>
                <w:szCs w:val="21"/>
              </w:rPr>
              <w:t>日</w:t>
            </w:r>
          </w:p>
        </w:tc>
      </w:tr>
      <w:tr w14:paraId="5B1F597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6E421A24">
            <w:pPr>
              <w:tabs>
                <w:tab w:val="left" w:pos="5160"/>
              </w:tabs>
              <w:overflowPunct w:val="0"/>
              <w:spacing w:line="240" w:lineRule="auto"/>
              <w:rPr>
                <w:rFonts w:ascii="Arial" w:hAnsi="Arial" w:cs="Arial"/>
                <w:color w:val="auto"/>
                <w:sz w:val="21"/>
                <w:szCs w:val="21"/>
              </w:rPr>
            </w:pPr>
            <w:r>
              <w:rPr>
                <w:rFonts w:hint="eastAsia" w:ascii="Arial" w:hAnsi="Arial" w:cs="Arial"/>
                <w:color w:val="auto"/>
                <w:sz w:val="21"/>
                <w:szCs w:val="21"/>
              </w:rPr>
              <w:t>许皓源</w:t>
            </w:r>
          </w:p>
        </w:tc>
        <w:tc>
          <w:tcPr>
            <w:tcW w:w="2197" w:type="dxa"/>
            <w:vAlign w:val="center"/>
          </w:tcPr>
          <w:p w14:paraId="78F1D721">
            <w:pPr>
              <w:tabs>
                <w:tab w:val="left" w:pos="5160"/>
              </w:tabs>
              <w:overflowPunct w:val="0"/>
              <w:spacing w:line="240" w:lineRule="auto"/>
              <w:rPr>
                <w:rFonts w:ascii="Arial" w:hAnsi="Arial" w:cs="Arial"/>
                <w:color w:val="auto"/>
                <w:sz w:val="21"/>
                <w:szCs w:val="21"/>
              </w:rPr>
            </w:pPr>
            <w:r>
              <w:rPr>
                <w:rFonts w:ascii="Arial" w:hAnsi="Arial" w:eastAsia="方正黑体简体"/>
                <w:color w:val="auto"/>
                <w:sz w:val="21"/>
                <w:szCs w:val="21"/>
              </w:rPr>
              <w:t>1119980019</w:t>
            </w:r>
          </w:p>
        </w:tc>
        <w:tc>
          <w:tcPr>
            <w:tcW w:w="2774" w:type="dxa"/>
            <w:vAlign w:val="center"/>
          </w:tcPr>
          <w:p w14:paraId="70D6F729">
            <w:pPr>
              <w:tabs>
                <w:tab w:val="left" w:pos="5160"/>
              </w:tabs>
              <w:overflowPunct w:val="0"/>
              <w:spacing w:line="240" w:lineRule="auto"/>
              <w:rPr>
                <w:rFonts w:ascii="Arial" w:hAnsi="Arial" w:cs="Arial"/>
                <w:color w:val="auto"/>
                <w:sz w:val="21"/>
                <w:szCs w:val="21"/>
              </w:rPr>
            </w:pPr>
          </w:p>
        </w:tc>
        <w:tc>
          <w:tcPr>
            <w:tcW w:w="2582" w:type="dxa"/>
            <w:vAlign w:val="center"/>
          </w:tcPr>
          <w:p w14:paraId="01D4C893">
            <w:pPr>
              <w:tabs>
                <w:tab w:val="left" w:pos="5160"/>
              </w:tabs>
              <w:wordWrap w:val="0"/>
              <w:overflowPunct w:val="0"/>
              <w:spacing w:line="240" w:lineRule="auto"/>
              <w:ind w:firstLine="420" w:firstLineChars="200"/>
              <w:jc w:val="right"/>
              <w:rPr>
                <w:rFonts w:ascii="Arial" w:hAnsi="Arial" w:cs="Arial"/>
                <w:color w:val="auto"/>
                <w:sz w:val="21"/>
                <w:szCs w:val="21"/>
              </w:rPr>
            </w:pPr>
            <w:r>
              <w:rPr>
                <w:rFonts w:ascii="Arial" w:hAnsi="Arial" w:cs="Arial"/>
                <w:color w:val="auto"/>
                <w:sz w:val="21"/>
                <w:szCs w:val="21"/>
              </w:rPr>
              <w:t>年</w:t>
            </w:r>
            <w:r>
              <w:rPr>
                <w:rFonts w:hint="eastAsia" w:ascii="Arial" w:hAnsi="Arial" w:cs="Arial"/>
                <w:color w:val="auto"/>
                <w:sz w:val="21"/>
                <w:szCs w:val="21"/>
              </w:rPr>
              <w:t xml:space="preserve">    </w:t>
            </w:r>
            <w:r>
              <w:rPr>
                <w:rFonts w:ascii="Arial" w:hAnsi="Arial" w:cs="Arial"/>
                <w:color w:val="auto"/>
                <w:sz w:val="21"/>
                <w:szCs w:val="21"/>
              </w:rPr>
              <w:t>月</w:t>
            </w:r>
            <w:r>
              <w:rPr>
                <w:rFonts w:hint="eastAsia" w:ascii="Arial" w:hAnsi="Arial" w:cs="Arial"/>
                <w:color w:val="auto"/>
                <w:sz w:val="21"/>
                <w:szCs w:val="21"/>
              </w:rPr>
              <w:t xml:space="preserve">    </w:t>
            </w:r>
            <w:r>
              <w:rPr>
                <w:rFonts w:ascii="Arial" w:hAnsi="Arial" w:cs="Arial"/>
                <w:color w:val="auto"/>
                <w:sz w:val="21"/>
                <w:szCs w:val="21"/>
              </w:rPr>
              <w:t>日</w:t>
            </w:r>
          </w:p>
        </w:tc>
      </w:tr>
      <w:tr w14:paraId="71B0455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5CB6F3B5">
            <w:pPr>
              <w:tabs>
                <w:tab w:val="left" w:pos="5160"/>
              </w:tabs>
              <w:overflowPunct w:val="0"/>
              <w:spacing w:line="240" w:lineRule="auto"/>
              <w:rPr>
                <w:rFonts w:ascii="Arial" w:hAnsi="Arial" w:cs="Arial"/>
                <w:b/>
                <w:color w:val="auto"/>
                <w:kern w:val="2"/>
                <w:sz w:val="21"/>
                <w:szCs w:val="21"/>
              </w:rPr>
            </w:pPr>
            <w:r>
              <w:rPr>
                <w:rFonts w:hint="eastAsia" w:ascii="Arial" w:hAnsi="Arial" w:cs="Arial"/>
                <w:b/>
                <w:color w:val="auto"/>
                <w:kern w:val="2"/>
                <w:sz w:val="21"/>
                <w:szCs w:val="21"/>
              </w:rPr>
              <w:t>其他评估专业</w:t>
            </w:r>
            <w:r>
              <w:rPr>
                <w:rFonts w:ascii="Arial" w:hAnsi="Arial" w:cs="Arial"/>
                <w:b/>
                <w:color w:val="auto"/>
                <w:kern w:val="2"/>
                <w:sz w:val="21"/>
                <w:szCs w:val="21"/>
              </w:rPr>
              <w:t>人员</w:t>
            </w:r>
            <w:r>
              <w:rPr>
                <w:rFonts w:hint="eastAsia" w:ascii="Arial" w:hAnsi="Arial" w:cs="Arial"/>
                <w:b/>
                <w:color w:val="auto"/>
                <w:kern w:val="2"/>
                <w:sz w:val="21"/>
                <w:szCs w:val="21"/>
              </w:rPr>
              <w:t xml:space="preserve"> </w:t>
            </w:r>
          </w:p>
        </w:tc>
      </w:tr>
      <w:tr w14:paraId="60BE29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25FF0BF">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姓</w:t>
            </w:r>
            <w:r>
              <w:rPr>
                <w:rFonts w:hint="eastAsia" w:ascii="Arial" w:hAnsi="Arial" w:cs="Arial"/>
                <w:color w:val="auto"/>
                <w:sz w:val="21"/>
                <w:szCs w:val="21"/>
              </w:rPr>
              <w:t xml:space="preserve">  </w:t>
            </w:r>
            <w:r>
              <w:rPr>
                <w:rFonts w:ascii="Arial" w:hAnsi="Arial" w:cs="Arial"/>
                <w:color w:val="auto"/>
                <w:sz w:val="21"/>
                <w:szCs w:val="21"/>
              </w:rPr>
              <w:t>名</w:t>
            </w:r>
          </w:p>
        </w:tc>
        <w:tc>
          <w:tcPr>
            <w:tcW w:w="2197" w:type="dxa"/>
            <w:vAlign w:val="center"/>
          </w:tcPr>
          <w:p w14:paraId="05A38B68">
            <w:pPr>
              <w:tabs>
                <w:tab w:val="left" w:pos="5160"/>
              </w:tabs>
              <w:overflowPunct w:val="0"/>
              <w:spacing w:line="240" w:lineRule="auto"/>
              <w:rPr>
                <w:rFonts w:ascii="Arial" w:hAnsi="Arial" w:cs="Arial"/>
                <w:color w:val="auto"/>
                <w:sz w:val="21"/>
                <w:szCs w:val="21"/>
              </w:rPr>
            </w:pPr>
            <w:r>
              <w:rPr>
                <w:rFonts w:ascii="Arial" w:hAnsi="Arial" w:cs="Arial"/>
                <w:color w:val="auto"/>
                <w:kern w:val="2"/>
                <w:sz w:val="21"/>
                <w:szCs w:val="21"/>
              </w:rPr>
              <w:t>相关资格或职称</w:t>
            </w:r>
          </w:p>
        </w:tc>
        <w:tc>
          <w:tcPr>
            <w:tcW w:w="2774" w:type="dxa"/>
            <w:vAlign w:val="center"/>
          </w:tcPr>
          <w:p w14:paraId="6E27DB36">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签名</w:t>
            </w:r>
          </w:p>
        </w:tc>
        <w:tc>
          <w:tcPr>
            <w:tcW w:w="2582" w:type="dxa"/>
            <w:vAlign w:val="center"/>
          </w:tcPr>
          <w:p w14:paraId="0A119CEF">
            <w:pPr>
              <w:tabs>
                <w:tab w:val="left" w:pos="5160"/>
              </w:tabs>
              <w:overflowPunct w:val="0"/>
              <w:spacing w:line="240" w:lineRule="auto"/>
              <w:rPr>
                <w:rFonts w:ascii="Arial" w:hAnsi="Arial" w:cs="Arial"/>
                <w:color w:val="auto"/>
                <w:sz w:val="21"/>
                <w:szCs w:val="21"/>
              </w:rPr>
            </w:pPr>
            <w:r>
              <w:rPr>
                <w:rFonts w:ascii="Arial" w:hAnsi="Arial" w:cs="Arial"/>
                <w:color w:val="auto"/>
                <w:sz w:val="21"/>
                <w:szCs w:val="21"/>
              </w:rPr>
              <w:t>签名日期</w:t>
            </w:r>
          </w:p>
        </w:tc>
      </w:tr>
      <w:tr w14:paraId="422A8B2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7A3BD80E">
            <w:pPr>
              <w:tabs>
                <w:tab w:val="left" w:pos="5160"/>
              </w:tabs>
              <w:overflowPunct w:val="0"/>
              <w:spacing w:line="240" w:lineRule="auto"/>
              <w:rPr>
                <w:rFonts w:ascii="Arial" w:hAnsi="Arial" w:cs="Arial"/>
                <w:color w:val="auto"/>
                <w:sz w:val="21"/>
                <w:szCs w:val="21"/>
              </w:rPr>
            </w:pPr>
            <w:r>
              <w:rPr>
                <w:rFonts w:hint="eastAsia" w:ascii="Arial" w:hAnsi="Arial" w:cs="Arial"/>
                <w:color w:val="auto"/>
                <w:sz w:val="21"/>
                <w:szCs w:val="21"/>
              </w:rPr>
              <w:t>——</w:t>
            </w:r>
          </w:p>
        </w:tc>
        <w:tc>
          <w:tcPr>
            <w:tcW w:w="2197" w:type="dxa"/>
            <w:vAlign w:val="center"/>
          </w:tcPr>
          <w:p w14:paraId="64DC9CD3">
            <w:pPr>
              <w:tabs>
                <w:tab w:val="left" w:pos="5160"/>
              </w:tabs>
              <w:overflowPunct w:val="0"/>
              <w:spacing w:line="240" w:lineRule="auto"/>
              <w:rPr>
                <w:rFonts w:ascii="Arial" w:hAnsi="Arial" w:cs="Arial"/>
                <w:color w:val="auto"/>
                <w:sz w:val="21"/>
                <w:szCs w:val="21"/>
              </w:rPr>
            </w:pPr>
            <w:r>
              <w:rPr>
                <w:rFonts w:hint="eastAsia" w:ascii="Arial" w:hAnsi="Arial" w:cs="Arial"/>
                <w:color w:val="auto"/>
                <w:sz w:val="21"/>
                <w:szCs w:val="21"/>
              </w:rPr>
              <w:t>——</w:t>
            </w:r>
          </w:p>
        </w:tc>
        <w:tc>
          <w:tcPr>
            <w:tcW w:w="2774" w:type="dxa"/>
            <w:vAlign w:val="center"/>
          </w:tcPr>
          <w:p w14:paraId="7E7941B6">
            <w:pPr>
              <w:tabs>
                <w:tab w:val="left" w:pos="5160"/>
              </w:tabs>
              <w:overflowPunct w:val="0"/>
              <w:spacing w:line="240" w:lineRule="auto"/>
              <w:rPr>
                <w:rFonts w:ascii="Arial" w:hAnsi="Arial" w:cs="Arial"/>
                <w:color w:val="auto"/>
                <w:sz w:val="21"/>
                <w:szCs w:val="21"/>
              </w:rPr>
            </w:pPr>
          </w:p>
        </w:tc>
        <w:tc>
          <w:tcPr>
            <w:tcW w:w="2582" w:type="dxa"/>
            <w:vAlign w:val="center"/>
          </w:tcPr>
          <w:p w14:paraId="0CDAD503">
            <w:pPr>
              <w:tabs>
                <w:tab w:val="left" w:pos="5160"/>
              </w:tabs>
              <w:wordWrap w:val="0"/>
              <w:overflowPunct w:val="0"/>
              <w:spacing w:line="240" w:lineRule="auto"/>
              <w:ind w:firstLine="420" w:firstLineChars="200"/>
              <w:jc w:val="right"/>
              <w:rPr>
                <w:rFonts w:ascii="Arial" w:hAnsi="Arial" w:cs="Arial"/>
                <w:color w:val="auto"/>
                <w:sz w:val="21"/>
                <w:szCs w:val="21"/>
              </w:rPr>
            </w:pPr>
            <w:r>
              <w:rPr>
                <w:rFonts w:ascii="Arial" w:hAnsi="Arial" w:cs="Arial"/>
                <w:color w:val="auto"/>
                <w:sz w:val="21"/>
                <w:szCs w:val="21"/>
              </w:rPr>
              <w:t>年</w:t>
            </w:r>
            <w:r>
              <w:rPr>
                <w:rFonts w:hint="eastAsia" w:ascii="Arial" w:hAnsi="Arial" w:cs="Arial"/>
                <w:color w:val="auto"/>
                <w:sz w:val="21"/>
                <w:szCs w:val="21"/>
              </w:rPr>
              <w:t xml:space="preserve">    </w:t>
            </w:r>
            <w:r>
              <w:rPr>
                <w:rFonts w:ascii="Arial" w:hAnsi="Arial" w:cs="Arial"/>
                <w:color w:val="auto"/>
                <w:sz w:val="21"/>
                <w:szCs w:val="21"/>
              </w:rPr>
              <w:t>月</w:t>
            </w:r>
            <w:r>
              <w:rPr>
                <w:rFonts w:hint="eastAsia" w:ascii="Arial" w:hAnsi="Arial" w:cs="Arial"/>
                <w:color w:val="auto"/>
                <w:sz w:val="21"/>
                <w:szCs w:val="21"/>
              </w:rPr>
              <w:t xml:space="preserve">    </w:t>
            </w:r>
            <w:r>
              <w:rPr>
                <w:rFonts w:ascii="Arial" w:hAnsi="Arial" w:cs="Arial"/>
                <w:color w:val="auto"/>
                <w:sz w:val="21"/>
                <w:szCs w:val="21"/>
              </w:rPr>
              <w:t>日</w:t>
            </w:r>
          </w:p>
        </w:tc>
      </w:tr>
    </w:tbl>
    <w:p w14:paraId="75299123">
      <w:pPr>
        <w:overflowPunct w:val="0"/>
        <w:spacing w:line="480" w:lineRule="auto"/>
        <w:jc w:val="both"/>
        <w:textAlignment w:val="auto"/>
        <w:rPr>
          <w:rFonts w:ascii="Arial" w:hAnsi="Arial" w:cs="Arial"/>
          <w:color w:val="auto"/>
          <w:kern w:val="2"/>
          <w:sz w:val="21"/>
          <w:szCs w:val="21"/>
        </w:rPr>
      </w:pPr>
    </w:p>
    <w:p w14:paraId="56B1E579">
      <w:pPr>
        <w:pStyle w:val="3"/>
        <w:numPr>
          <w:ilvl w:val="0"/>
          <w:numId w:val="0"/>
        </w:numPr>
        <w:overflowPunct w:val="0"/>
        <w:spacing w:line="480" w:lineRule="auto"/>
        <w:jc w:val="both"/>
        <w:textAlignment w:val="auto"/>
        <w:rPr>
          <w:rFonts w:eastAsia="宋体"/>
          <w:color w:val="auto"/>
          <w:kern w:val="2"/>
          <w:sz w:val="21"/>
          <w:szCs w:val="21"/>
        </w:rPr>
      </w:pPr>
      <w:bookmarkStart w:id="41" w:name="_Toc155267097"/>
      <w:r>
        <w:rPr>
          <w:rFonts w:eastAsia="宋体"/>
          <w:color w:val="auto"/>
          <w:kern w:val="2"/>
          <w:sz w:val="21"/>
          <w:szCs w:val="21"/>
        </w:rPr>
        <w:t>十二、实地查勘期</w:t>
      </w:r>
      <w:bookmarkEnd w:id="41"/>
    </w:p>
    <w:p w14:paraId="01BD333E">
      <w:pPr>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lang w:val="en-US" w:eastAsia="zh-CN"/>
        </w:rPr>
        <w:t>10</w:t>
      </w:r>
      <w:r>
        <w:rPr>
          <w:rFonts w:ascii="Arial" w:hAnsi="Arial" w:cs="Arial"/>
          <w:color w:val="auto"/>
          <w:sz w:val="21"/>
          <w:szCs w:val="21"/>
        </w:rPr>
        <w:t>月</w:t>
      </w:r>
      <w:r>
        <w:rPr>
          <w:rFonts w:hint="eastAsia" w:ascii="Arial" w:hAnsi="Arial" w:cs="Arial"/>
          <w:color w:val="auto"/>
          <w:sz w:val="21"/>
          <w:szCs w:val="21"/>
          <w:lang w:val="en-US" w:eastAsia="zh-CN"/>
        </w:rPr>
        <w:t>27</w:t>
      </w:r>
      <w:r>
        <w:rPr>
          <w:rFonts w:ascii="Arial" w:hAnsi="Arial" w:cs="Arial"/>
          <w:color w:val="auto"/>
          <w:sz w:val="21"/>
          <w:szCs w:val="21"/>
        </w:rPr>
        <w:t>日</w:t>
      </w:r>
    </w:p>
    <w:p w14:paraId="526394A9">
      <w:pPr>
        <w:overflowPunct w:val="0"/>
        <w:spacing w:line="480" w:lineRule="auto"/>
        <w:jc w:val="both"/>
        <w:textAlignment w:val="auto"/>
        <w:rPr>
          <w:rFonts w:ascii="Arial" w:hAnsi="Arial" w:cs="Arial"/>
          <w:color w:val="auto"/>
          <w:kern w:val="2"/>
          <w:sz w:val="21"/>
          <w:szCs w:val="21"/>
        </w:rPr>
      </w:pPr>
    </w:p>
    <w:p w14:paraId="514AE7A5">
      <w:pPr>
        <w:pStyle w:val="3"/>
        <w:numPr>
          <w:ilvl w:val="0"/>
          <w:numId w:val="0"/>
        </w:numPr>
        <w:overflowPunct w:val="0"/>
        <w:spacing w:line="480" w:lineRule="auto"/>
        <w:jc w:val="both"/>
        <w:textAlignment w:val="auto"/>
        <w:rPr>
          <w:rFonts w:eastAsia="宋体"/>
          <w:color w:val="auto"/>
          <w:kern w:val="2"/>
          <w:sz w:val="21"/>
          <w:szCs w:val="21"/>
        </w:rPr>
      </w:pPr>
      <w:bookmarkStart w:id="42" w:name="_Toc155267098"/>
      <w:bookmarkStart w:id="43" w:name="_Toc168225825"/>
      <w:r>
        <w:rPr>
          <w:rFonts w:eastAsia="宋体"/>
          <w:color w:val="auto"/>
          <w:kern w:val="2"/>
          <w:sz w:val="21"/>
          <w:szCs w:val="21"/>
        </w:rPr>
        <w:t>十三、估价作业期</w:t>
      </w:r>
      <w:bookmarkEnd w:id="42"/>
      <w:bookmarkEnd w:id="43"/>
      <w:r>
        <w:rPr>
          <w:rFonts w:hint="eastAsia" w:eastAsia="宋体"/>
          <w:color w:val="auto"/>
          <w:kern w:val="2"/>
          <w:sz w:val="21"/>
          <w:szCs w:val="21"/>
        </w:rPr>
        <w:t xml:space="preserve">  </w:t>
      </w:r>
    </w:p>
    <w:p w14:paraId="41A58407">
      <w:pPr>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lang w:val="en-US" w:eastAsia="zh-CN"/>
        </w:rPr>
        <w:t>10</w:t>
      </w:r>
      <w:r>
        <w:rPr>
          <w:rFonts w:ascii="Arial" w:hAnsi="Arial" w:cs="Arial"/>
          <w:color w:val="auto"/>
          <w:sz w:val="21"/>
          <w:szCs w:val="21"/>
        </w:rPr>
        <w:t>月</w:t>
      </w:r>
      <w:r>
        <w:rPr>
          <w:rFonts w:hint="eastAsia" w:ascii="Arial" w:hAnsi="Arial" w:cs="Arial"/>
          <w:color w:val="auto"/>
          <w:sz w:val="21"/>
          <w:szCs w:val="21"/>
          <w:lang w:val="en-US" w:eastAsia="zh-CN"/>
        </w:rPr>
        <w:t>27</w:t>
      </w:r>
      <w:r>
        <w:rPr>
          <w:rFonts w:ascii="Arial" w:hAnsi="Arial" w:cs="Arial"/>
          <w:color w:val="auto"/>
          <w:sz w:val="21"/>
          <w:szCs w:val="21"/>
        </w:rPr>
        <w:t>日至202</w:t>
      </w:r>
      <w:r>
        <w:rPr>
          <w:rFonts w:hint="eastAsia" w:ascii="Arial" w:hAnsi="Arial" w:cs="Arial"/>
          <w:color w:val="auto"/>
          <w:sz w:val="21"/>
          <w:szCs w:val="21"/>
        </w:rPr>
        <w:t>6</w:t>
      </w:r>
      <w:r>
        <w:rPr>
          <w:rFonts w:ascii="Arial" w:hAnsi="Arial" w:cs="Arial"/>
          <w:color w:val="auto"/>
          <w:sz w:val="21"/>
          <w:szCs w:val="21"/>
        </w:rPr>
        <w:t>年</w:t>
      </w:r>
      <w:r>
        <w:rPr>
          <w:rFonts w:hint="eastAsia" w:ascii="Arial" w:hAnsi="Arial" w:cs="Arial"/>
          <w:color w:val="auto"/>
          <w:sz w:val="21"/>
          <w:szCs w:val="21"/>
        </w:rPr>
        <w:t>3</w:t>
      </w:r>
      <w:r>
        <w:rPr>
          <w:rFonts w:ascii="Arial" w:hAnsi="Arial" w:cs="Arial"/>
          <w:color w:val="auto"/>
          <w:sz w:val="21"/>
          <w:szCs w:val="21"/>
        </w:rPr>
        <w:t>月</w:t>
      </w:r>
      <w:r>
        <w:rPr>
          <w:rFonts w:hint="eastAsia" w:ascii="Arial" w:hAnsi="Arial" w:cs="Arial"/>
          <w:color w:val="auto"/>
          <w:sz w:val="21"/>
          <w:szCs w:val="21"/>
        </w:rPr>
        <w:t>6</w:t>
      </w:r>
      <w:r>
        <w:rPr>
          <w:rFonts w:ascii="Arial" w:hAnsi="Arial" w:cs="Arial"/>
          <w:color w:val="auto"/>
          <w:sz w:val="21"/>
          <w:szCs w:val="21"/>
        </w:rPr>
        <w:t>日</w:t>
      </w:r>
    </w:p>
    <w:p w14:paraId="05C6C747">
      <w:pPr>
        <w:overflowPunct w:val="0"/>
        <w:spacing w:line="480" w:lineRule="auto"/>
        <w:jc w:val="both"/>
        <w:textAlignment w:val="auto"/>
        <w:outlineLvl w:val="0"/>
        <w:rPr>
          <w:rFonts w:ascii="Arial" w:hAnsi="Arial" w:cs="Arial"/>
          <w:b/>
          <w:color w:val="auto"/>
          <w:kern w:val="2"/>
          <w:sz w:val="21"/>
          <w:szCs w:val="21"/>
        </w:rPr>
        <w:sectPr>
          <w:headerReference r:id="rId19" w:type="first"/>
          <w:headerReference r:id="rId17" w:type="default"/>
          <w:footerReference r:id="rId20" w:type="default"/>
          <w:headerReference r:id="rId18" w:type="even"/>
          <w:footerReference r:id="rId21" w:type="even"/>
          <w:pgSz w:w="11907" w:h="16840"/>
          <w:pgMar w:top="1843" w:right="1134" w:bottom="1134" w:left="1134" w:header="1134" w:footer="907" w:gutter="340"/>
          <w:cols w:space="720" w:num="1"/>
          <w:docGrid w:linePitch="326" w:charSpace="0"/>
        </w:sectPr>
      </w:pPr>
    </w:p>
    <w:p w14:paraId="35D7B441">
      <w:pPr>
        <w:pStyle w:val="2"/>
        <w:spacing w:line="480" w:lineRule="auto"/>
        <w:jc w:val="center"/>
        <w:rPr>
          <w:rFonts w:eastAsia="方正黑体简体"/>
          <w:b w:val="0"/>
          <w:color w:val="auto"/>
          <w:kern w:val="2"/>
          <w:sz w:val="32"/>
          <w:szCs w:val="32"/>
        </w:rPr>
      </w:pPr>
      <w:bookmarkStart w:id="44" w:name="_Toc525655431"/>
      <w:bookmarkStart w:id="45" w:name="_Toc155267099"/>
      <w:r>
        <w:rPr>
          <w:rFonts w:hint="eastAsia" w:eastAsia="方正黑体简体"/>
          <w:b w:val="0"/>
          <w:color w:val="auto"/>
          <w:kern w:val="2"/>
          <w:sz w:val="32"/>
          <w:szCs w:val="32"/>
        </w:rPr>
        <w:t>估价技术报告</w:t>
      </w:r>
      <w:bookmarkEnd w:id="44"/>
      <w:bookmarkEnd w:id="45"/>
    </w:p>
    <w:p w14:paraId="2F2AE3B4">
      <w:pPr>
        <w:pStyle w:val="3"/>
        <w:numPr>
          <w:ilvl w:val="0"/>
          <w:numId w:val="0"/>
        </w:numPr>
        <w:spacing w:line="480" w:lineRule="auto"/>
        <w:ind w:left="358" w:hanging="358" w:hangingChars="170"/>
        <w:jc w:val="both"/>
        <w:rPr>
          <w:rFonts w:eastAsia="宋体"/>
          <w:color w:val="auto"/>
          <w:kern w:val="2"/>
          <w:sz w:val="21"/>
          <w:szCs w:val="21"/>
        </w:rPr>
      </w:pPr>
      <w:bookmarkStart w:id="46" w:name="_Toc525655432"/>
      <w:bookmarkStart w:id="47" w:name="_Toc155267100"/>
      <w:r>
        <w:rPr>
          <w:rFonts w:eastAsia="宋体"/>
          <w:color w:val="auto"/>
          <w:kern w:val="2"/>
          <w:sz w:val="21"/>
          <w:szCs w:val="21"/>
        </w:rPr>
        <w:t>一、估价对象描述与分析</w:t>
      </w:r>
      <w:bookmarkEnd w:id="46"/>
      <w:bookmarkEnd w:id="47"/>
    </w:p>
    <w:p w14:paraId="1B6E2BD0">
      <w:pPr>
        <w:pStyle w:val="3"/>
        <w:numPr>
          <w:ilvl w:val="0"/>
          <w:numId w:val="0"/>
        </w:numPr>
        <w:spacing w:line="480" w:lineRule="auto"/>
        <w:ind w:left="360" w:hanging="361" w:hangingChars="171"/>
        <w:jc w:val="both"/>
        <w:rPr>
          <w:rFonts w:eastAsia="宋体"/>
          <w:color w:val="auto"/>
          <w:kern w:val="2"/>
          <w:sz w:val="21"/>
          <w:szCs w:val="21"/>
        </w:rPr>
      </w:pPr>
      <w:bookmarkStart w:id="48" w:name="_Toc525655433"/>
      <w:bookmarkStart w:id="49" w:name="_Toc155267101"/>
      <w:r>
        <w:rPr>
          <w:rFonts w:eastAsia="宋体"/>
          <w:color w:val="auto"/>
          <w:kern w:val="2"/>
          <w:sz w:val="21"/>
          <w:szCs w:val="21"/>
        </w:rPr>
        <w:t>（</w:t>
      </w:r>
      <w:r>
        <w:rPr>
          <w:rFonts w:hint="eastAsia" w:eastAsia="宋体"/>
          <w:color w:val="auto"/>
          <w:kern w:val="2"/>
          <w:sz w:val="21"/>
          <w:szCs w:val="21"/>
        </w:rPr>
        <w:t>一</w:t>
      </w:r>
      <w:r>
        <w:rPr>
          <w:rFonts w:eastAsia="宋体"/>
          <w:color w:val="auto"/>
          <w:kern w:val="2"/>
          <w:sz w:val="21"/>
          <w:szCs w:val="21"/>
        </w:rPr>
        <w:t>）区位状况分析</w:t>
      </w:r>
      <w:bookmarkEnd w:id="48"/>
      <w:bookmarkEnd w:id="49"/>
    </w:p>
    <w:p w14:paraId="6C937F9C">
      <w:pPr>
        <w:spacing w:line="480" w:lineRule="auto"/>
        <w:ind w:firstLine="420" w:firstLineChars="200"/>
        <w:jc w:val="both"/>
        <w:rPr>
          <w:rFonts w:ascii="Arial" w:hAnsi="Arial" w:cs="Arial"/>
          <w:color w:val="auto"/>
          <w:kern w:val="2"/>
          <w:sz w:val="21"/>
          <w:szCs w:val="21"/>
        </w:rPr>
      </w:pPr>
      <w:r>
        <w:rPr>
          <w:rFonts w:ascii="Arial" w:hAnsi="Arial" w:cs="Arial"/>
          <w:color w:val="auto"/>
          <w:sz w:val="21"/>
          <w:szCs w:val="21"/>
        </w:rPr>
        <w:t>1.位置状况</w:t>
      </w:r>
      <w:r>
        <w:rPr>
          <w:rFonts w:hint="eastAsia" w:ascii="Arial" w:hAnsi="Arial" w:cs="Arial"/>
          <w:color w:val="auto"/>
          <w:sz w:val="21"/>
          <w:szCs w:val="21"/>
        </w:rPr>
        <w:t xml:space="preserve">  </w:t>
      </w:r>
      <w:r>
        <w:rPr>
          <w:rFonts w:hint="eastAsia" w:ascii="Arial" w:hAnsi="Arial" w:cs="Arial"/>
          <w:color w:val="auto"/>
          <w:kern w:val="2"/>
          <w:sz w:val="21"/>
          <w:szCs w:val="21"/>
        </w:rPr>
        <w:t xml:space="preserve">  </w:t>
      </w:r>
    </w:p>
    <w:p w14:paraId="71937496">
      <w:pPr>
        <w:spacing w:line="480" w:lineRule="auto"/>
        <w:ind w:firstLine="420" w:firstLineChars="200"/>
        <w:jc w:val="both"/>
        <w:rPr>
          <w:rFonts w:ascii="Arial" w:hAnsi="Arial" w:cs="Arial"/>
          <w:color w:val="auto"/>
          <w:kern w:val="2"/>
          <w:sz w:val="21"/>
          <w:szCs w:val="21"/>
        </w:rPr>
      </w:pPr>
      <w:r>
        <w:rPr>
          <w:rFonts w:ascii="Arial" w:hAnsi="Arial" w:cs="Arial"/>
          <w:color w:val="auto"/>
          <w:kern w:val="2"/>
          <w:sz w:val="21"/>
          <w:szCs w:val="21"/>
        </w:rPr>
        <w:t>估价对象位于北京市</w:t>
      </w:r>
      <w:r>
        <w:rPr>
          <w:rFonts w:hint="eastAsia" w:ascii="Arial" w:hAnsi="Arial" w:cs="Arial"/>
          <w:color w:val="auto"/>
          <w:kern w:val="2"/>
          <w:sz w:val="21"/>
          <w:szCs w:val="21"/>
        </w:rPr>
        <w:t>大兴区采育镇</w:t>
      </w:r>
      <w:r>
        <w:rPr>
          <w:rFonts w:ascii="Arial" w:hAnsi="Arial" w:cs="Arial"/>
          <w:color w:val="auto"/>
          <w:kern w:val="2"/>
          <w:sz w:val="21"/>
          <w:szCs w:val="21"/>
        </w:rPr>
        <w:t>，临近</w:t>
      </w:r>
      <w:r>
        <w:rPr>
          <w:rFonts w:hint="eastAsia" w:ascii="Arial" w:hAnsi="Arial" w:cs="Arial"/>
          <w:color w:val="auto"/>
          <w:kern w:val="2"/>
          <w:sz w:val="21"/>
          <w:szCs w:val="21"/>
        </w:rPr>
        <w:t>首都环线高速</w:t>
      </w:r>
      <w:r>
        <w:rPr>
          <w:rFonts w:ascii="Arial" w:hAnsi="Arial" w:cs="Arial"/>
          <w:color w:val="auto"/>
          <w:kern w:val="2"/>
          <w:sz w:val="21"/>
          <w:szCs w:val="21"/>
        </w:rPr>
        <w:t>京</w:t>
      </w:r>
      <w:r>
        <w:rPr>
          <w:rFonts w:hint="eastAsia" w:ascii="Arial" w:hAnsi="Arial" w:cs="Arial"/>
          <w:color w:val="auto"/>
          <w:kern w:val="2"/>
          <w:sz w:val="21"/>
          <w:szCs w:val="21"/>
          <w:lang w:val="en-US" w:eastAsia="zh-CN"/>
        </w:rPr>
        <w:t>沪</w:t>
      </w:r>
      <w:r>
        <w:rPr>
          <w:rFonts w:ascii="Arial" w:hAnsi="Arial" w:cs="Arial"/>
          <w:color w:val="auto"/>
          <w:kern w:val="2"/>
          <w:sz w:val="21"/>
          <w:szCs w:val="21"/>
        </w:rPr>
        <w:t>高速，土地级别属于北京市基准地价</w:t>
      </w:r>
      <w:r>
        <w:rPr>
          <w:rFonts w:hint="eastAsia" w:ascii="Arial" w:hAnsi="Arial" w:cs="Arial"/>
          <w:color w:val="auto"/>
          <w:kern w:val="2"/>
          <w:sz w:val="21"/>
          <w:szCs w:val="21"/>
        </w:rPr>
        <w:t>住宅</w:t>
      </w:r>
      <w:r>
        <w:rPr>
          <w:rFonts w:ascii="Arial" w:hAnsi="Arial" w:cs="Arial"/>
          <w:color w:val="auto"/>
          <w:kern w:val="2"/>
          <w:sz w:val="21"/>
          <w:szCs w:val="21"/>
        </w:rPr>
        <w:t>类</w:t>
      </w:r>
      <w:r>
        <w:rPr>
          <w:rFonts w:hint="eastAsia" w:ascii="Arial" w:hAnsi="Arial" w:cs="Arial"/>
          <w:color w:val="auto"/>
          <w:kern w:val="2"/>
          <w:sz w:val="21"/>
          <w:szCs w:val="21"/>
        </w:rPr>
        <w:t>九</w:t>
      </w:r>
      <w:r>
        <w:rPr>
          <w:rFonts w:ascii="Arial" w:hAnsi="Arial" w:cs="Arial"/>
          <w:color w:val="auto"/>
          <w:kern w:val="2"/>
          <w:sz w:val="21"/>
          <w:szCs w:val="21"/>
        </w:rPr>
        <w:t>级，</w:t>
      </w:r>
      <w:r>
        <w:rPr>
          <w:rFonts w:hint="eastAsia" w:ascii="Arial" w:hAnsi="Arial" w:cs="Arial"/>
          <w:color w:val="auto"/>
          <w:kern w:val="2"/>
          <w:sz w:val="21"/>
          <w:szCs w:val="21"/>
        </w:rPr>
        <w:t>IX</w:t>
      </w:r>
      <w:r>
        <w:rPr>
          <w:rFonts w:ascii="Arial" w:hAnsi="Arial" w:cs="Arial"/>
          <w:color w:val="auto"/>
          <w:kern w:val="2"/>
          <w:sz w:val="21"/>
          <w:szCs w:val="21"/>
        </w:rPr>
        <w:t>-</w:t>
      </w:r>
      <w:r>
        <w:rPr>
          <w:rFonts w:hint="eastAsia" w:ascii="Arial" w:hAnsi="Arial" w:cs="Arial"/>
          <w:color w:val="auto"/>
          <w:kern w:val="2"/>
          <w:sz w:val="21"/>
          <w:szCs w:val="21"/>
        </w:rPr>
        <w:t>亦</w:t>
      </w:r>
      <w:r>
        <w:rPr>
          <w:rFonts w:ascii="Arial" w:hAnsi="Arial" w:cs="Arial"/>
          <w:color w:val="auto"/>
          <w:kern w:val="2"/>
          <w:sz w:val="21"/>
          <w:szCs w:val="21"/>
        </w:rPr>
        <w:t>2区片，地理位置状况</w:t>
      </w:r>
      <w:r>
        <w:rPr>
          <w:rFonts w:hint="eastAsia" w:ascii="Arial" w:hAnsi="Arial" w:cs="Arial"/>
          <w:color w:val="auto"/>
          <w:kern w:val="2"/>
          <w:sz w:val="21"/>
          <w:szCs w:val="21"/>
        </w:rPr>
        <w:t>一般</w:t>
      </w:r>
      <w:r>
        <w:rPr>
          <w:rFonts w:ascii="Arial" w:hAnsi="Arial" w:cs="Arial"/>
          <w:color w:val="auto"/>
          <w:kern w:val="2"/>
          <w:sz w:val="21"/>
          <w:szCs w:val="21"/>
        </w:rPr>
        <w:t>。</w:t>
      </w:r>
    </w:p>
    <w:p w14:paraId="40EC9481">
      <w:pPr>
        <w:spacing w:line="480" w:lineRule="auto"/>
        <w:ind w:firstLine="420" w:firstLineChars="200"/>
        <w:jc w:val="both"/>
        <w:rPr>
          <w:rFonts w:ascii="Arial" w:hAnsi="Arial" w:cs="Arial"/>
          <w:color w:val="auto"/>
          <w:sz w:val="21"/>
          <w:szCs w:val="21"/>
        </w:rPr>
      </w:pPr>
      <w:r>
        <w:rPr>
          <w:rFonts w:ascii="Arial" w:hAnsi="Arial" w:cs="Arial"/>
          <w:color w:val="auto"/>
          <w:sz w:val="21"/>
          <w:szCs w:val="21"/>
        </w:rPr>
        <w:t>2.居住社区成熟度</w:t>
      </w:r>
    </w:p>
    <w:p w14:paraId="4F09F600">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估价对象周边2公里内有兴创荣墅、住总兴创如遇、恒盛波尔多小镇、路劲御合院、阳光波尔多、北京城建宽院国誉府等，居住小区规模一般，入住率一般，综合评价居住区成熟度一般。</w:t>
      </w:r>
    </w:p>
    <w:p w14:paraId="4C2F2F5F">
      <w:pPr>
        <w:spacing w:line="480" w:lineRule="auto"/>
        <w:ind w:firstLine="420" w:firstLineChars="200"/>
        <w:jc w:val="both"/>
        <w:rPr>
          <w:rFonts w:ascii="Arial" w:hAnsi="Arial" w:cs="Arial"/>
          <w:color w:val="auto"/>
          <w:sz w:val="21"/>
          <w:szCs w:val="21"/>
        </w:rPr>
      </w:pPr>
      <w:r>
        <w:rPr>
          <w:rFonts w:ascii="Arial" w:hAnsi="Arial" w:cs="Arial"/>
          <w:color w:val="auto"/>
          <w:sz w:val="21"/>
          <w:szCs w:val="21"/>
        </w:rPr>
        <w:t>3.</w:t>
      </w:r>
      <w:r>
        <w:rPr>
          <w:rFonts w:hint="eastAsia" w:ascii="Arial" w:hAnsi="Arial" w:cs="Arial"/>
          <w:color w:val="auto"/>
          <w:sz w:val="21"/>
          <w:szCs w:val="21"/>
        </w:rPr>
        <w:t>交</w:t>
      </w:r>
      <w:r>
        <w:rPr>
          <w:rFonts w:ascii="Arial" w:hAnsi="Arial" w:cs="Arial"/>
          <w:color w:val="auto"/>
          <w:sz w:val="21"/>
          <w:szCs w:val="21"/>
        </w:rPr>
        <w:t>通状况</w:t>
      </w:r>
    </w:p>
    <w:p w14:paraId="49393364">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估价对象紧邻城市次干道——福源路、采星路、采源路、采福路，紧邻城市支路——育仁街、育林街、育胜街、育富街，周边路网较密集；周边2公里范围内无轨道交通站点，周边1公里内有926路、955路、兴20路、兴32路、兴43路、兴940路等公交线路途径并设立站点，综合评价交通便捷度一般。</w:t>
      </w:r>
    </w:p>
    <w:p w14:paraId="3275620A">
      <w:pPr>
        <w:spacing w:line="480" w:lineRule="auto"/>
        <w:ind w:firstLine="420" w:firstLineChars="200"/>
        <w:jc w:val="both"/>
        <w:rPr>
          <w:rFonts w:ascii="Arial" w:hAnsi="Arial" w:cs="Arial"/>
          <w:color w:val="auto"/>
          <w:sz w:val="21"/>
          <w:szCs w:val="21"/>
        </w:rPr>
      </w:pPr>
      <w:r>
        <w:rPr>
          <w:rFonts w:ascii="Arial" w:hAnsi="Arial" w:cs="Arial"/>
          <w:color w:val="auto"/>
          <w:sz w:val="21"/>
          <w:szCs w:val="21"/>
        </w:rPr>
        <w:t>4.</w:t>
      </w:r>
      <w:r>
        <w:rPr>
          <w:rFonts w:hint="eastAsia" w:ascii="Arial" w:hAnsi="Arial" w:cs="Arial"/>
          <w:color w:val="auto"/>
          <w:sz w:val="21"/>
          <w:szCs w:val="21"/>
        </w:rPr>
        <w:t>商业繁华度</w:t>
      </w:r>
    </w:p>
    <w:p w14:paraId="5C3EE3E3">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估价对象周边有绿地缤纷荟（采育店）、王府井首航生活广场等商业场所，综合商业繁华度一般。</w:t>
      </w:r>
    </w:p>
    <w:p w14:paraId="73B95587">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5.</w:t>
      </w:r>
      <w:r>
        <w:rPr>
          <w:rFonts w:ascii="Arial" w:hAnsi="Arial" w:cs="Arial"/>
          <w:color w:val="auto"/>
          <w:sz w:val="21"/>
          <w:szCs w:val="21"/>
        </w:rPr>
        <w:t>环境状况</w:t>
      </w:r>
    </w:p>
    <w:p w14:paraId="2813029F">
      <w:pPr>
        <w:spacing w:line="480" w:lineRule="auto"/>
        <w:ind w:firstLine="420" w:firstLineChars="200"/>
        <w:jc w:val="both"/>
        <w:rPr>
          <w:rFonts w:ascii="Arial" w:hAnsi="Arial" w:cs="Arial"/>
          <w:color w:val="auto"/>
          <w:kern w:val="2"/>
          <w:sz w:val="21"/>
          <w:szCs w:val="21"/>
        </w:rPr>
      </w:pPr>
      <w:r>
        <w:rPr>
          <w:rFonts w:hint="eastAsia" w:ascii="Arial" w:hAnsi="Arial" w:cs="Arial"/>
          <w:color w:val="auto"/>
          <w:kern w:val="2"/>
          <w:sz w:val="21"/>
          <w:szCs w:val="21"/>
        </w:rPr>
        <w:t>估价对象2公里周边有采育公园、凤河等自然景观，</w:t>
      </w:r>
      <w:r>
        <w:rPr>
          <w:rFonts w:hint="eastAsia" w:ascii="Arial" w:hAnsi="Arial" w:cs="Arial"/>
          <w:color w:val="auto"/>
          <w:sz w:val="21"/>
          <w:szCs w:val="21"/>
        </w:rPr>
        <w:t>5公里范围内无污染源，</w:t>
      </w:r>
      <w:r>
        <w:rPr>
          <w:rFonts w:hint="eastAsia" w:ascii="Arial" w:hAnsi="Arial" w:cs="Arial"/>
          <w:color w:val="auto"/>
          <w:kern w:val="2"/>
          <w:sz w:val="21"/>
          <w:szCs w:val="21"/>
        </w:rPr>
        <w:t>自然与人文环境一般</w:t>
      </w:r>
      <w:r>
        <w:rPr>
          <w:rFonts w:hint="eastAsia" w:ascii="Arial" w:hAnsi="Arial" w:cs="Arial"/>
          <w:color w:val="auto"/>
          <w:sz w:val="21"/>
          <w:szCs w:val="21"/>
        </w:rPr>
        <w:t>。</w:t>
      </w:r>
    </w:p>
    <w:p w14:paraId="7C585ADC">
      <w:pPr>
        <w:spacing w:line="480" w:lineRule="auto"/>
        <w:ind w:firstLine="420" w:firstLineChars="200"/>
        <w:jc w:val="both"/>
        <w:rPr>
          <w:rFonts w:ascii="Arial" w:hAnsi="Arial" w:cs="Arial"/>
          <w:i/>
          <w:color w:val="auto"/>
          <w:sz w:val="21"/>
          <w:szCs w:val="21"/>
        </w:rPr>
      </w:pPr>
      <w:r>
        <w:rPr>
          <w:rFonts w:hint="eastAsia" w:ascii="Arial" w:hAnsi="Arial" w:cs="Arial"/>
          <w:color w:val="auto"/>
          <w:sz w:val="21"/>
          <w:szCs w:val="21"/>
        </w:rPr>
        <w:t>6.</w:t>
      </w:r>
      <w:r>
        <w:rPr>
          <w:rFonts w:ascii="Arial" w:hAnsi="Arial" w:cs="Arial"/>
          <w:color w:val="auto"/>
          <w:sz w:val="21"/>
          <w:szCs w:val="21"/>
        </w:rPr>
        <w:t>外部配套设施状况</w:t>
      </w:r>
    </w:p>
    <w:p w14:paraId="64A2A69A">
      <w:pPr>
        <w:spacing w:line="480" w:lineRule="auto"/>
        <w:ind w:firstLine="420" w:firstLineChars="200"/>
        <w:jc w:val="both"/>
        <w:rPr>
          <w:rFonts w:ascii="Arial" w:hAnsi="Arial" w:cs="Arial"/>
          <w:color w:val="auto"/>
          <w:sz w:val="21"/>
          <w:szCs w:val="21"/>
        </w:rPr>
      </w:pPr>
      <w:r>
        <w:rPr>
          <w:rFonts w:hint="eastAsia" w:ascii="Arial" w:hAnsi="Arial" w:cs="Arial"/>
          <w:color w:val="auto"/>
          <w:kern w:val="2"/>
          <w:sz w:val="21"/>
          <w:szCs w:val="21"/>
        </w:rPr>
        <w:t>估价对象</w:t>
      </w:r>
      <w:r>
        <w:rPr>
          <w:rFonts w:ascii="Arial" w:hAnsi="Arial" w:cs="Arial"/>
          <w:color w:val="auto"/>
          <w:sz w:val="21"/>
          <w:szCs w:val="21"/>
        </w:rPr>
        <w:t>所处区域目前已拥有完善的基础设施配套保障，区内大部分区域基础设施配套目前可达到</w:t>
      </w:r>
      <w:r>
        <w:rPr>
          <w:rFonts w:hint="eastAsia" w:ascii="Arial" w:hAnsi="Arial" w:cs="Arial"/>
          <w:color w:val="auto"/>
          <w:sz w:val="21"/>
          <w:szCs w:val="21"/>
        </w:rPr>
        <w:t>“七</w:t>
      </w:r>
      <w:r>
        <w:rPr>
          <w:rFonts w:ascii="Arial" w:hAnsi="Arial" w:cs="Arial"/>
          <w:color w:val="auto"/>
          <w:sz w:val="21"/>
          <w:szCs w:val="21"/>
        </w:rPr>
        <w:t>通</w:t>
      </w:r>
      <w:r>
        <w:rPr>
          <w:rFonts w:hint="eastAsia" w:ascii="Arial" w:hAnsi="Arial" w:cs="Arial"/>
          <w:color w:val="auto"/>
          <w:sz w:val="21"/>
          <w:szCs w:val="21"/>
        </w:rPr>
        <w:t>”</w:t>
      </w:r>
      <w:r>
        <w:rPr>
          <w:rFonts w:ascii="Arial" w:hAnsi="Arial" w:cs="Arial"/>
          <w:color w:val="auto"/>
          <w:sz w:val="21"/>
          <w:szCs w:val="21"/>
        </w:rPr>
        <w:t>（通路、通电、通讯、供水、排水</w:t>
      </w:r>
      <w:r>
        <w:rPr>
          <w:rFonts w:hint="eastAsia" w:ascii="Arial" w:hAnsi="Arial" w:cs="Arial"/>
          <w:color w:val="auto"/>
          <w:sz w:val="21"/>
          <w:szCs w:val="21"/>
        </w:rPr>
        <w:t>、通暖、通燃气</w:t>
      </w:r>
      <w:r>
        <w:rPr>
          <w:rFonts w:ascii="Arial" w:hAnsi="Arial" w:cs="Arial"/>
          <w:color w:val="auto"/>
          <w:sz w:val="21"/>
          <w:szCs w:val="21"/>
        </w:rPr>
        <w:t>）条件，且保证程度高。</w:t>
      </w:r>
    </w:p>
    <w:p w14:paraId="4EDE4560">
      <w:pPr>
        <w:spacing w:line="480" w:lineRule="auto"/>
        <w:ind w:firstLine="420" w:firstLineChars="200"/>
        <w:jc w:val="both"/>
        <w:rPr>
          <w:rFonts w:ascii="Arial" w:hAnsi="Arial" w:cs="Arial"/>
          <w:color w:val="auto"/>
          <w:kern w:val="2"/>
          <w:sz w:val="21"/>
          <w:szCs w:val="21"/>
        </w:rPr>
      </w:pPr>
      <w:bookmarkStart w:id="50" w:name="_Toc525655434"/>
      <w:r>
        <w:rPr>
          <w:rFonts w:hint="eastAsia" w:ascii="Arial" w:hAnsi="Arial" w:cs="Arial"/>
          <w:color w:val="auto"/>
          <w:kern w:val="2"/>
          <w:sz w:val="21"/>
          <w:szCs w:val="21"/>
        </w:rPr>
        <w:t>估价对象所在区域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p w14:paraId="40184F23">
      <w:pPr>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6.总体评价</w:t>
      </w:r>
    </w:p>
    <w:p w14:paraId="7FA0D4B1">
      <w:pPr>
        <w:spacing w:line="480" w:lineRule="auto"/>
        <w:ind w:firstLine="420" w:firstLineChars="200"/>
        <w:jc w:val="both"/>
        <w:rPr>
          <w:rFonts w:ascii="Arial" w:hAnsi="Arial" w:cs="Arial"/>
          <w:color w:val="auto"/>
          <w:kern w:val="2"/>
          <w:sz w:val="21"/>
          <w:szCs w:val="21"/>
        </w:rPr>
      </w:pPr>
      <w:r>
        <w:rPr>
          <w:rFonts w:hint="eastAsia" w:ascii="Arial" w:hAnsi="Arial" w:cs="Arial"/>
          <w:color w:val="auto"/>
          <w:sz w:val="21"/>
          <w:szCs w:val="21"/>
        </w:rPr>
        <w:t>估价对象地理位置状况一般，居住社区成熟度一般，交通便捷度一般，商业繁华度一般，环境状况一般</w:t>
      </w:r>
      <w:r>
        <w:rPr>
          <w:rFonts w:ascii="Arial" w:hAnsi="Arial" w:cs="Arial"/>
          <w:color w:val="auto"/>
          <w:sz w:val="21"/>
          <w:szCs w:val="21"/>
        </w:rPr>
        <w:t>，区内大部分区域基础设施配套目前可达到</w:t>
      </w:r>
      <w:r>
        <w:rPr>
          <w:rFonts w:hint="eastAsia" w:ascii="Arial" w:hAnsi="Arial" w:cs="Arial"/>
          <w:color w:val="auto"/>
          <w:sz w:val="21"/>
          <w:szCs w:val="21"/>
        </w:rPr>
        <w:t>“七</w:t>
      </w:r>
      <w:r>
        <w:rPr>
          <w:rFonts w:ascii="Arial" w:hAnsi="Arial" w:cs="Arial"/>
          <w:color w:val="auto"/>
          <w:sz w:val="21"/>
          <w:szCs w:val="21"/>
        </w:rPr>
        <w:t>通</w:t>
      </w:r>
      <w:r>
        <w:rPr>
          <w:rFonts w:hint="eastAsia" w:ascii="Arial" w:hAnsi="Arial" w:cs="Arial"/>
          <w:color w:val="auto"/>
          <w:sz w:val="21"/>
          <w:szCs w:val="21"/>
        </w:rPr>
        <w:t>”，公共配套设施状况一般。</w:t>
      </w:r>
      <w:r>
        <w:rPr>
          <w:rFonts w:ascii="Arial" w:hAnsi="Arial" w:cs="Arial"/>
          <w:color w:val="auto"/>
          <w:sz w:val="21"/>
          <w:szCs w:val="21"/>
        </w:rPr>
        <w:t>区域规划</w:t>
      </w:r>
      <w:r>
        <w:rPr>
          <w:rFonts w:hint="eastAsia" w:ascii="Arial" w:hAnsi="Arial" w:cs="Arial"/>
          <w:color w:val="auto"/>
          <w:sz w:val="21"/>
          <w:szCs w:val="21"/>
        </w:rPr>
        <w:t>无特殊限制</w:t>
      </w:r>
      <w:r>
        <w:rPr>
          <w:rFonts w:ascii="Arial" w:hAnsi="Arial" w:cs="Arial"/>
          <w:color w:val="auto"/>
          <w:sz w:val="21"/>
          <w:szCs w:val="21"/>
        </w:rPr>
        <w:t>。</w:t>
      </w:r>
      <w:bookmarkEnd w:id="50"/>
      <w:r>
        <w:rPr>
          <w:rFonts w:ascii="Arial" w:hAnsi="Arial" w:cs="Arial"/>
          <w:color w:val="auto"/>
          <w:sz w:val="21"/>
          <w:szCs w:val="21"/>
        </w:rPr>
        <w:t>总体评价影响估价对象的</w:t>
      </w:r>
      <w:r>
        <w:rPr>
          <w:rFonts w:hint="eastAsia" w:ascii="Arial" w:hAnsi="Arial" w:cs="Arial"/>
          <w:color w:val="auto"/>
          <w:sz w:val="21"/>
          <w:szCs w:val="21"/>
        </w:rPr>
        <w:t>区位条件一般</w:t>
      </w:r>
      <w:r>
        <w:rPr>
          <w:rFonts w:ascii="Arial" w:hAnsi="Arial" w:cs="Arial"/>
          <w:color w:val="auto"/>
          <w:sz w:val="21"/>
          <w:szCs w:val="21"/>
        </w:rPr>
        <w:t>。</w:t>
      </w:r>
    </w:p>
    <w:p w14:paraId="580C887B">
      <w:pPr>
        <w:pStyle w:val="3"/>
        <w:numPr>
          <w:ilvl w:val="0"/>
          <w:numId w:val="0"/>
        </w:numPr>
        <w:spacing w:line="480" w:lineRule="auto"/>
        <w:ind w:left="360" w:hanging="361" w:hangingChars="171"/>
        <w:jc w:val="both"/>
        <w:rPr>
          <w:rFonts w:eastAsia="宋体"/>
          <w:color w:val="auto"/>
          <w:kern w:val="2"/>
          <w:sz w:val="21"/>
          <w:szCs w:val="21"/>
        </w:rPr>
      </w:pPr>
      <w:bookmarkStart w:id="51" w:name="_Toc525655435"/>
      <w:bookmarkStart w:id="52" w:name="_Toc155267102"/>
      <w:r>
        <w:rPr>
          <w:rFonts w:eastAsia="宋体"/>
          <w:color w:val="auto"/>
          <w:kern w:val="2"/>
          <w:sz w:val="21"/>
          <w:szCs w:val="21"/>
        </w:rPr>
        <w:t>（</w:t>
      </w:r>
      <w:r>
        <w:rPr>
          <w:rFonts w:hint="eastAsia" w:eastAsia="宋体"/>
          <w:color w:val="auto"/>
          <w:kern w:val="2"/>
          <w:sz w:val="21"/>
          <w:szCs w:val="21"/>
        </w:rPr>
        <w:t>二</w:t>
      </w:r>
      <w:r>
        <w:rPr>
          <w:rFonts w:eastAsia="宋体"/>
          <w:color w:val="auto"/>
          <w:kern w:val="2"/>
          <w:sz w:val="21"/>
          <w:szCs w:val="21"/>
        </w:rPr>
        <w:t>）实物状况分析</w:t>
      </w:r>
      <w:bookmarkEnd w:id="51"/>
      <w:bookmarkEnd w:id="52"/>
    </w:p>
    <w:p w14:paraId="73DCAC06">
      <w:pPr>
        <w:spacing w:line="480" w:lineRule="auto"/>
        <w:ind w:firstLine="420" w:firstLineChars="200"/>
        <w:jc w:val="both"/>
        <w:rPr>
          <w:rFonts w:ascii="Arial" w:hAnsi="Arial" w:cs="Arial"/>
          <w:color w:val="auto"/>
          <w:sz w:val="21"/>
          <w:szCs w:val="21"/>
        </w:rPr>
      </w:pPr>
      <w:r>
        <w:rPr>
          <w:rFonts w:ascii="Arial" w:hAnsi="Arial" w:cs="Arial"/>
          <w:color w:val="auto"/>
          <w:sz w:val="21"/>
          <w:szCs w:val="21"/>
        </w:rPr>
        <w:t>1.土地实物状况</w:t>
      </w:r>
    </w:p>
    <w:p w14:paraId="73C05E1C">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kern w:val="2"/>
          <w:sz w:val="21"/>
          <w:szCs w:val="21"/>
        </w:rPr>
        <w:t>（1）</w:t>
      </w:r>
      <w:r>
        <w:rPr>
          <w:rFonts w:hint="eastAsia" w:ascii="Arial" w:hAnsi="Arial" w:cs="Arial"/>
          <w:color w:val="auto"/>
          <w:sz w:val="21"/>
          <w:szCs w:val="21"/>
        </w:rPr>
        <w:t>根据《采育数字时尚小镇保障性住房趸组协议》及其附件及《</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》[X京房权证兴字第144437、144436、144435、144444、1444440、144439、144442、144443、144449、144445、144447、194022号]，估价对象中</w:t>
      </w:r>
      <w:r>
        <w:rPr>
          <w:rFonts w:hint="eastAsia" w:ascii="Arial" w:hAnsi="Arial" w:cs="Arial"/>
          <w:color w:val="auto"/>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color w:val="auto"/>
          <w:kern w:val="2"/>
          <w:sz w:val="21"/>
          <w:szCs w:val="21"/>
        </w:rPr>
        <w:t>于房屋建成后回购</w:t>
      </w:r>
      <w:r>
        <w:rPr>
          <w:rFonts w:hint="eastAsia" w:ascii="Arial" w:hAnsi="Arial" w:cs="Arial"/>
          <w:color w:val="auto"/>
          <w:kern w:val="2"/>
          <w:sz w:val="21"/>
          <w:szCs w:val="21"/>
        </w:rPr>
        <w:t>。</w:t>
      </w:r>
      <w:r>
        <w:rPr>
          <w:rFonts w:ascii="Arial" w:hAnsi="Arial" w:cs="Arial"/>
          <w:color w:val="auto"/>
          <w:kern w:val="2"/>
          <w:sz w:val="21"/>
          <w:szCs w:val="21"/>
        </w:rPr>
        <w:t>截至</w:t>
      </w:r>
      <w:r>
        <w:rPr>
          <w:rFonts w:hint="eastAsia" w:ascii="Arial" w:hAnsi="Arial" w:cs="Arial"/>
          <w:color w:val="auto"/>
          <w:kern w:val="2"/>
          <w:sz w:val="21"/>
          <w:szCs w:val="21"/>
        </w:rPr>
        <w:t>报告出具日，上述房屋尚未办理不动产权变更登记。所属宗地现状四至为东至育仁街，南至育林街，西至福源路，北至育胜街。</w:t>
      </w:r>
    </w:p>
    <w:p w14:paraId="35E742CC">
      <w:pPr>
        <w:wordWrap w:val="0"/>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color w:val="auto"/>
          <w:sz w:val="21"/>
          <w:szCs w:val="21"/>
        </w:rPr>
        <w:t>土地使用权人为北京兴创投资有限公司，使用权类型</w:t>
      </w:r>
      <w:r>
        <w:rPr>
          <w:rFonts w:hint="eastAsia" w:ascii="Arial" w:hAnsi="Arial" w:cs="Arial"/>
          <w:color w:val="auto"/>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03FA51DF">
      <w:pPr>
        <w:wordWrap w:val="0"/>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color w:val="auto"/>
          <w:sz w:val="21"/>
          <w:szCs w:val="21"/>
        </w:rPr>
        <w:t>土地使用权人为北京兴创投资有限公司，使用权类型</w:t>
      </w:r>
      <w:r>
        <w:rPr>
          <w:rFonts w:hint="eastAsia" w:ascii="Arial" w:hAnsi="Arial" w:cs="Arial"/>
          <w:color w:val="auto"/>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35238F9C">
      <w:pPr>
        <w:wordWrap w:val="0"/>
        <w:overflowPunct w:val="0"/>
        <w:spacing w:line="480" w:lineRule="auto"/>
        <w:ind w:firstLine="420" w:firstLineChars="200"/>
        <w:jc w:val="both"/>
        <w:textAlignment w:val="auto"/>
        <w:rPr>
          <w:rFonts w:ascii="Arial" w:hAnsi="Arial" w:cs="Arial"/>
          <w:color w:val="auto"/>
          <w:kern w:val="2"/>
          <w:sz w:val="21"/>
          <w:szCs w:val="21"/>
        </w:rPr>
      </w:pPr>
      <w:r>
        <w:rPr>
          <w:rFonts w:hint="eastAsia" w:ascii="Arial" w:hAnsi="Arial" w:cs="Arial"/>
          <w:color w:val="auto"/>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color w:val="auto"/>
          <w:sz w:val="21"/>
          <w:szCs w:val="21"/>
        </w:rPr>
        <w:t>土地使用权人为北京兴创投资有限公司，使用权类型</w:t>
      </w:r>
      <w:r>
        <w:rPr>
          <w:rFonts w:hint="eastAsia" w:ascii="Arial" w:hAnsi="Arial" w:cs="Arial"/>
          <w:color w:val="auto"/>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304924F8">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（2）</w:t>
      </w:r>
      <w:r>
        <w:rPr>
          <w:rFonts w:ascii="Arial" w:hAnsi="Arial" w:cs="Arial"/>
          <w:color w:val="auto"/>
          <w:sz w:val="21"/>
          <w:szCs w:val="21"/>
        </w:rPr>
        <w:t>估价对象所属项目用地呈</w:t>
      </w:r>
      <w:r>
        <w:rPr>
          <w:rFonts w:hint="eastAsia" w:ascii="Arial" w:hAnsi="Arial" w:cs="Arial"/>
          <w:color w:val="auto"/>
          <w:sz w:val="21"/>
          <w:szCs w:val="21"/>
        </w:rPr>
        <w:t>较</w:t>
      </w:r>
      <w:r>
        <w:rPr>
          <w:rFonts w:ascii="Arial" w:hAnsi="Arial" w:cs="Arial"/>
          <w:color w:val="auto"/>
          <w:sz w:val="21"/>
          <w:szCs w:val="21"/>
        </w:rPr>
        <w:t>规则形状，</w:t>
      </w:r>
      <w:r>
        <w:rPr>
          <w:rFonts w:hint="eastAsia" w:ascii="Arial" w:hAnsi="Arial" w:cs="Arial"/>
          <w:color w:val="auto"/>
          <w:sz w:val="21"/>
          <w:szCs w:val="21"/>
        </w:rPr>
        <w:t>对利用无不良影响，</w:t>
      </w:r>
      <w:r>
        <w:rPr>
          <w:rFonts w:ascii="Arial" w:hAnsi="Arial" w:cs="Arial"/>
          <w:color w:val="auto"/>
          <w:sz w:val="21"/>
          <w:szCs w:val="21"/>
        </w:rPr>
        <w:t>场地</w:t>
      </w:r>
      <w:r>
        <w:rPr>
          <w:rFonts w:hint="eastAsia" w:ascii="Arial" w:hAnsi="Arial" w:cs="Arial"/>
          <w:color w:val="auto"/>
          <w:sz w:val="21"/>
          <w:szCs w:val="21"/>
        </w:rPr>
        <w:t>呈</w:t>
      </w:r>
      <w:r>
        <w:rPr>
          <w:rFonts w:ascii="Arial" w:hAnsi="Arial" w:cs="Arial"/>
          <w:color w:val="auto"/>
          <w:sz w:val="21"/>
          <w:szCs w:val="21"/>
        </w:rPr>
        <w:t>较平坦地势</w:t>
      </w:r>
      <w:r>
        <w:rPr>
          <w:rFonts w:hint="eastAsia" w:ascii="Arial" w:hAnsi="Arial" w:cs="Arial"/>
          <w:color w:val="auto"/>
          <w:sz w:val="21"/>
          <w:szCs w:val="21"/>
        </w:rPr>
        <w:t>，工程地质条件良好，无不良地质现象</w:t>
      </w:r>
      <w:r>
        <w:rPr>
          <w:rFonts w:ascii="Arial" w:hAnsi="Arial" w:cs="Arial"/>
          <w:color w:val="auto"/>
          <w:sz w:val="21"/>
          <w:szCs w:val="21"/>
        </w:rPr>
        <w:t>。</w:t>
      </w:r>
      <w:r>
        <w:rPr>
          <w:rFonts w:hint="eastAsia" w:ascii="Arial" w:hAnsi="Arial" w:cs="Arial"/>
          <w:color w:val="auto"/>
          <w:sz w:val="21"/>
          <w:szCs w:val="21"/>
        </w:rPr>
        <w:t>估价对象现状已完成开发建设，土地利用程度高。</w:t>
      </w:r>
    </w:p>
    <w:p w14:paraId="011C1B02">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（3）开发程度</w:t>
      </w:r>
      <w:r>
        <w:rPr>
          <w:rFonts w:ascii="Arial" w:hAnsi="Arial" w:cs="Arial"/>
          <w:color w:val="auto"/>
          <w:sz w:val="21"/>
          <w:szCs w:val="21"/>
        </w:rPr>
        <w:t>：</w:t>
      </w:r>
    </w:p>
    <w:p w14:paraId="2E44D832">
      <w:pPr>
        <w:overflowPunct w:val="0"/>
        <w:spacing w:line="480" w:lineRule="auto"/>
        <w:ind w:firstLine="420" w:firstLineChars="200"/>
        <w:jc w:val="both"/>
        <w:textAlignment w:val="auto"/>
        <w:rPr>
          <w:rFonts w:ascii="Arial" w:hAnsi="Arial" w:cs="Arial"/>
          <w:color w:val="auto"/>
          <w:kern w:val="2"/>
          <w:sz w:val="21"/>
          <w:szCs w:val="21"/>
        </w:rPr>
      </w:pPr>
      <w:r>
        <w:rPr>
          <w:rFonts w:ascii="Arial" w:hAnsi="Arial" w:cs="Arial"/>
          <w:color w:val="auto"/>
          <w:kern w:val="2"/>
          <w:sz w:val="21"/>
          <w:szCs w:val="21"/>
        </w:rPr>
        <w:t>估价对象所在区域市政基础设施完备，为“</w:t>
      </w:r>
      <w:r>
        <w:rPr>
          <w:rFonts w:hint="eastAsia" w:ascii="Arial" w:hAnsi="Arial" w:cs="Arial"/>
          <w:color w:val="auto"/>
          <w:kern w:val="2"/>
          <w:sz w:val="21"/>
          <w:szCs w:val="21"/>
        </w:rPr>
        <w:t>七</w:t>
      </w:r>
      <w:r>
        <w:rPr>
          <w:rFonts w:ascii="Arial" w:hAnsi="Arial" w:cs="Arial"/>
          <w:color w:val="auto"/>
          <w:kern w:val="2"/>
          <w:sz w:val="21"/>
          <w:szCs w:val="21"/>
        </w:rPr>
        <w:t>通”（即通路、通电、通讯</w:t>
      </w:r>
      <w:r>
        <w:rPr>
          <w:rFonts w:hint="eastAsia" w:ascii="Arial" w:hAnsi="Arial" w:cs="Arial"/>
          <w:color w:val="auto"/>
          <w:kern w:val="2"/>
          <w:sz w:val="21"/>
          <w:szCs w:val="21"/>
        </w:rPr>
        <w:t>、</w:t>
      </w:r>
      <w:r>
        <w:rPr>
          <w:rFonts w:ascii="Arial" w:hAnsi="Arial" w:cs="Arial"/>
          <w:color w:val="auto"/>
          <w:kern w:val="2"/>
          <w:sz w:val="21"/>
          <w:szCs w:val="21"/>
        </w:rPr>
        <w:t>通上水、通下水、通燃气、通热力），且保证程度高。</w:t>
      </w:r>
    </w:p>
    <w:p w14:paraId="2226C00C">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kern w:val="2"/>
          <w:sz w:val="21"/>
          <w:szCs w:val="21"/>
        </w:rPr>
        <w:t>综上所述，</w:t>
      </w:r>
      <w:r>
        <w:rPr>
          <w:rFonts w:ascii="Arial" w:hAnsi="Arial" w:cs="Arial"/>
          <w:color w:val="auto"/>
          <w:kern w:val="2"/>
          <w:sz w:val="21"/>
          <w:szCs w:val="21"/>
        </w:rPr>
        <w:t>估价对象</w:t>
      </w:r>
      <w:r>
        <w:rPr>
          <w:rFonts w:hint="eastAsia" w:ascii="Arial" w:hAnsi="Arial" w:cs="Arial"/>
          <w:color w:val="auto"/>
          <w:kern w:val="2"/>
          <w:sz w:val="21"/>
          <w:szCs w:val="21"/>
        </w:rPr>
        <w:t>所在区域</w:t>
      </w:r>
      <w:r>
        <w:rPr>
          <w:rFonts w:ascii="Arial" w:hAnsi="Arial" w:cs="Arial"/>
          <w:color w:val="auto"/>
          <w:kern w:val="2"/>
          <w:sz w:val="21"/>
          <w:szCs w:val="21"/>
        </w:rPr>
        <w:t>土地实物状况较好，场地地势平坦，地质条件良好，基础设施完备，宗地条件有利于估价对象利用，对估价对象租赁价格无不良影响</w:t>
      </w:r>
      <w:r>
        <w:rPr>
          <w:rFonts w:hint="eastAsia" w:ascii="Arial" w:hAnsi="Arial" w:cs="Arial"/>
          <w:color w:val="auto"/>
          <w:sz w:val="21"/>
          <w:szCs w:val="21"/>
        </w:rPr>
        <w:t>。</w:t>
      </w:r>
    </w:p>
    <w:p w14:paraId="43A24F15">
      <w:pPr>
        <w:spacing w:line="480" w:lineRule="auto"/>
        <w:ind w:firstLine="420" w:firstLineChars="200"/>
        <w:jc w:val="both"/>
        <w:rPr>
          <w:rFonts w:ascii="Arial" w:hAnsi="Arial" w:cs="Arial"/>
          <w:color w:val="auto"/>
          <w:sz w:val="21"/>
          <w:szCs w:val="21"/>
        </w:rPr>
      </w:pPr>
      <w:r>
        <w:rPr>
          <w:rFonts w:ascii="Arial" w:hAnsi="Arial" w:cs="Arial"/>
          <w:color w:val="auto"/>
          <w:sz w:val="21"/>
          <w:szCs w:val="21"/>
        </w:rPr>
        <w:t>2.建筑物实物状况</w:t>
      </w:r>
    </w:p>
    <w:p w14:paraId="44C0BC19">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（1）建设规模：估价对象所属</w:t>
      </w:r>
      <w:r>
        <w:rPr>
          <w:rFonts w:ascii="Arial" w:hAnsi="Arial" w:cs="Arial"/>
          <w:color w:val="auto"/>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color w:val="auto"/>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30FCD69C">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color w:val="auto"/>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color w:val="auto"/>
          <w:sz w:val="21"/>
          <w:szCs w:val="21"/>
        </w:rPr>
        <w:t>估价对象具体情况如下：</w:t>
      </w:r>
    </w:p>
    <w:p w14:paraId="6EC1FC1B">
      <w:pPr>
        <w:overflowPunct w:val="0"/>
        <w:spacing w:line="240" w:lineRule="auto"/>
        <w:jc w:val="center"/>
        <w:textAlignment w:val="auto"/>
        <w:rPr>
          <w:rFonts w:ascii="Arial" w:hAnsi="Arial" w:cs="Arial"/>
          <w:b/>
          <w:bCs/>
          <w:color w:val="auto"/>
          <w:sz w:val="21"/>
          <w:szCs w:val="21"/>
        </w:rPr>
      </w:pPr>
      <w:r>
        <w:rPr>
          <w:rFonts w:hint="eastAsia" w:ascii="Arial" w:hAnsi="Arial" w:cs="Arial"/>
          <w:b/>
          <w:bCs/>
          <w:color w:val="auto"/>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2BC6EF46">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22F1850E">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268A3DA2">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206B37A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4C421C24">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1F3E6633">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37E37331">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总</w:t>
            </w:r>
            <w:r>
              <w:rPr>
                <w:rFonts w:hint="eastAsia" w:ascii="华文细黑" w:hAnsi="华文细黑" w:eastAsia="华文细黑" w:cs="Arial"/>
                <w:b/>
                <w:bCs/>
                <w:color w:val="auto"/>
                <w:sz w:val="18"/>
                <w:szCs w:val="18"/>
              </w:rPr>
              <w:t>建筑</w:t>
            </w:r>
            <w:r>
              <w:rPr>
                <w:rFonts w:ascii="华文细黑" w:hAnsi="华文细黑" w:eastAsia="华文细黑" w:cs="Arial"/>
                <w:b/>
                <w:bCs/>
                <w:color w:val="auto"/>
                <w:sz w:val="18"/>
                <w:szCs w:val="18"/>
              </w:rPr>
              <w:t>面积（平方米）</w:t>
            </w:r>
          </w:p>
        </w:tc>
      </w:tr>
      <w:tr w14:paraId="4AA7CF6A">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9D62D6B">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一居室</w:t>
            </w:r>
          </w:p>
        </w:tc>
        <w:tc>
          <w:tcPr>
            <w:tcW w:w="1332" w:type="dxa"/>
            <w:tcBorders>
              <w:top w:val="nil"/>
              <w:left w:val="nil"/>
              <w:bottom w:val="single" w:color="auto" w:sz="4" w:space="0"/>
              <w:right w:val="single" w:color="auto" w:sz="4" w:space="0"/>
            </w:tcBorders>
            <w:noWrap/>
            <w:vAlign w:val="center"/>
          </w:tcPr>
          <w:p w14:paraId="7899254E">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52.63-69.91</w:t>
            </w:r>
          </w:p>
        </w:tc>
        <w:tc>
          <w:tcPr>
            <w:tcW w:w="4482" w:type="dxa"/>
            <w:tcBorders>
              <w:top w:val="nil"/>
              <w:left w:val="nil"/>
              <w:bottom w:val="single" w:color="auto" w:sz="4" w:space="0"/>
              <w:right w:val="single" w:color="auto" w:sz="4" w:space="0"/>
            </w:tcBorders>
            <w:noWrap/>
            <w:vAlign w:val="center"/>
          </w:tcPr>
          <w:p w14:paraId="26390D76">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75C61F89">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4CB4C966">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378</w:t>
            </w:r>
          </w:p>
        </w:tc>
        <w:tc>
          <w:tcPr>
            <w:tcW w:w="1226" w:type="dxa"/>
            <w:tcBorders>
              <w:top w:val="nil"/>
              <w:left w:val="nil"/>
              <w:bottom w:val="single" w:color="auto" w:sz="4" w:space="0"/>
              <w:right w:val="single" w:color="auto" w:sz="4" w:space="0"/>
            </w:tcBorders>
            <w:noWrap/>
            <w:vAlign w:val="center"/>
          </w:tcPr>
          <w:p w14:paraId="4E9F26FE">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25149.84</w:t>
            </w:r>
          </w:p>
        </w:tc>
      </w:tr>
      <w:tr w14:paraId="7B9B21A6">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22CCF9FD">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2C9F28A4">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70E6EB39">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65DAED21">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1AC7FBE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378</w:t>
            </w:r>
          </w:p>
        </w:tc>
        <w:tc>
          <w:tcPr>
            <w:tcW w:w="1226" w:type="dxa"/>
            <w:tcBorders>
              <w:top w:val="nil"/>
              <w:left w:val="nil"/>
              <w:bottom w:val="single" w:color="auto" w:sz="4" w:space="0"/>
              <w:right w:val="single" w:color="auto" w:sz="4" w:space="0"/>
            </w:tcBorders>
            <w:noWrap/>
            <w:vAlign w:val="center"/>
          </w:tcPr>
          <w:p w14:paraId="0517C2DC">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color w:val="auto"/>
                <w:sz w:val="18"/>
                <w:szCs w:val="18"/>
              </w:rPr>
              <w:t>25149.84</w:t>
            </w:r>
          </w:p>
        </w:tc>
      </w:tr>
      <w:tr w14:paraId="2C6B5C83">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0966D232">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两居室</w:t>
            </w:r>
          </w:p>
        </w:tc>
        <w:tc>
          <w:tcPr>
            <w:tcW w:w="1332" w:type="dxa"/>
            <w:tcBorders>
              <w:top w:val="nil"/>
              <w:left w:val="nil"/>
              <w:bottom w:val="single" w:color="auto" w:sz="4" w:space="0"/>
              <w:right w:val="single" w:color="auto" w:sz="4" w:space="0"/>
            </w:tcBorders>
            <w:noWrap/>
            <w:vAlign w:val="center"/>
          </w:tcPr>
          <w:p w14:paraId="489A896D">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72.82-88.38</w:t>
            </w:r>
          </w:p>
        </w:tc>
        <w:tc>
          <w:tcPr>
            <w:tcW w:w="4482" w:type="dxa"/>
            <w:tcBorders>
              <w:top w:val="nil"/>
              <w:left w:val="nil"/>
              <w:bottom w:val="single" w:color="auto" w:sz="4" w:space="0"/>
              <w:right w:val="single" w:color="auto" w:sz="4" w:space="0"/>
            </w:tcBorders>
            <w:noWrap/>
            <w:vAlign w:val="center"/>
          </w:tcPr>
          <w:p w14:paraId="6B96FC74">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1A5FD086">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68CF6B2F">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916</w:t>
            </w:r>
          </w:p>
        </w:tc>
        <w:tc>
          <w:tcPr>
            <w:tcW w:w="1226" w:type="dxa"/>
            <w:tcBorders>
              <w:top w:val="nil"/>
              <w:left w:val="nil"/>
              <w:bottom w:val="single" w:color="auto" w:sz="4" w:space="0"/>
              <w:right w:val="single" w:color="auto" w:sz="4" w:space="0"/>
            </w:tcBorders>
            <w:noWrap/>
            <w:vAlign w:val="center"/>
          </w:tcPr>
          <w:p w14:paraId="784FE75A">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78073.23</w:t>
            </w:r>
          </w:p>
        </w:tc>
      </w:tr>
      <w:tr w14:paraId="584EFD4D">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DC8C7F6">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0AABEEF4">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73.53</w:t>
            </w:r>
          </w:p>
        </w:tc>
        <w:tc>
          <w:tcPr>
            <w:tcW w:w="4482" w:type="dxa"/>
            <w:tcBorders>
              <w:top w:val="nil"/>
              <w:left w:val="nil"/>
              <w:bottom w:val="single" w:color="auto" w:sz="4" w:space="0"/>
              <w:right w:val="single" w:color="auto" w:sz="4" w:space="0"/>
            </w:tcBorders>
            <w:noWrap/>
            <w:vAlign w:val="center"/>
          </w:tcPr>
          <w:p w14:paraId="00FABE2B">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育林街1号院1、2号楼</w:t>
            </w:r>
          </w:p>
        </w:tc>
        <w:tc>
          <w:tcPr>
            <w:tcW w:w="732" w:type="dxa"/>
            <w:tcBorders>
              <w:top w:val="nil"/>
              <w:left w:val="nil"/>
              <w:bottom w:val="single" w:color="auto" w:sz="4" w:space="0"/>
              <w:right w:val="single" w:color="auto" w:sz="4" w:space="0"/>
            </w:tcBorders>
            <w:noWrap/>
            <w:vAlign w:val="center"/>
          </w:tcPr>
          <w:p w14:paraId="2E5E1B97">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北</w:t>
            </w:r>
          </w:p>
        </w:tc>
        <w:tc>
          <w:tcPr>
            <w:tcW w:w="708" w:type="dxa"/>
            <w:tcBorders>
              <w:top w:val="nil"/>
              <w:left w:val="nil"/>
              <w:bottom w:val="single" w:color="auto" w:sz="4" w:space="0"/>
              <w:right w:val="single" w:color="auto" w:sz="4" w:space="0"/>
            </w:tcBorders>
            <w:noWrap/>
            <w:vAlign w:val="center"/>
          </w:tcPr>
          <w:p w14:paraId="6B552A86">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17</w:t>
            </w:r>
          </w:p>
        </w:tc>
        <w:tc>
          <w:tcPr>
            <w:tcW w:w="1226" w:type="dxa"/>
            <w:tcBorders>
              <w:top w:val="nil"/>
              <w:left w:val="nil"/>
              <w:bottom w:val="single" w:color="auto" w:sz="4" w:space="0"/>
              <w:right w:val="single" w:color="auto" w:sz="4" w:space="0"/>
            </w:tcBorders>
            <w:noWrap/>
            <w:vAlign w:val="center"/>
          </w:tcPr>
          <w:p w14:paraId="3D4D44A3">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1250.01</w:t>
            </w:r>
          </w:p>
        </w:tc>
      </w:tr>
      <w:tr w14:paraId="0F58BB66">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695855E0">
            <w:pPr>
              <w:widowControl/>
              <w:adjustRightInd/>
              <w:spacing w:line="240" w:lineRule="auto"/>
              <w:jc w:val="both"/>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7CE3699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3B5678F5">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7F6B245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4C5E3FE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933</w:t>
            </w:r>
          </w:p>
        </w:tc>
        <w:tc>
          <w:tcPr>
            <w:tcW w:w="1226" w:type="dxa"/>
            <w:tcBorders>
              <w:top w:val="nil"/>
              <w:left w:val="nil"/>
              <w:bottom w:val="single" w:color="auto" w:sz="4" w:space="0"/>
              <w:right w:val="single" w:color="auto" w:sz="4" w:space="0"/>
            </w:tcBorders>
            <w:noWrap/>
            <w:vAlign w:val="center"/>
          </w:tcPr>
          <w:p w14:paraId="56C6452D">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79323.24</w:t>
            </w:r>
          </w:p>
        </w:tc>
      </w:tr>
      <w:tr w14:paraId="004D02A9">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5A19E8AF">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三居室</w:t>
            </w:r>
          </w:p>
        </w:tc>
        <w:tc>
          <w:tcPr>
            <w:tcW w:w="1332" w:type="dxa"/>
            <w:tcBorders>
              <w:top w:val="nil"/>
              <w:left w:val="nil"/>
              <w:bottom w:val="single" w:color="auto" w:sz="4" w:space="0"/>
              <w:right w:val="single" w:color="auto" w:sz="4" w:space="0"/>
            </w:tcBorders>
            <w:noWrap/>
            <w:vAlign w:val="center"/>
          </w:tcPr>
          <w:p w14:paraId="2F0056FE">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90.99-129.32</w:t>
            </w:r>
          </w:p>
        </w:tc>
        <w:tc>
          <w:tcPr>
            <w:tcW w:w="4482" w:type="dxa"/>
            <w:tcBorders>
              <w:top w:val="nil"/>
              <w:left w:val="nil"/>
              <w:bottom w:val="single" w:color="auto" w:sz="4" w:space="0"/>
              <w:right w:val="single" w:color="auto" w:sz="4" w:space="0"/>
            </w:tcBorders>
            <w:noWrap/>
            <w:vAlign w:val="center"/>
          </w:tcPr>
          <w:p w14:paraId="3B162ACF">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5C752D8D">
            <w:pPr>
              <w:widowControl/>
              <w:adjustRightInd/>
              <w:spacing w:line="240" w:lineRule="auto"/>
              <w:jc w:val="center"/>
              <w:textAlignment w:val="auto"/>
              <w:rPr>
                <w:rFonts w:hint="eastAsia" w:ascii="华文细黑" w:hAnsi="华文细黑" w:eastAsia="华文细黑" w:cs="Arial"/>
                <w:color w:val="auto"/>
                <w:sz w:val="18"/>
                <w:szCs w:val="18"/>
              </w:rPr>
            </w:pPr>
            <w:r>
              <w:rPr>
                <w:rFonts w:ascii="华文细黑" w:hAnsi="华文细黑" w:eastAsia="华文细黑" w:cs="Arial"/>
                <w:color w:val="auto"/>
                <w:sz w:val="18"/>
                <w:szCs w:val="18"/>
              </w:rPr>
              <w:t>南北</w:t>
            </w:r>
          </w:p>
        </w:tc>
        <w:tc>
          <w:tcPr>
            <w:tcW w:w="708" w:type="dxa"/>
            <w:tcBorders>
              <w:top w:val="nil"/>
              <w:left w:val="nil"/>
              <w:bottom w:val="single" w:color="auto" w:sz="4" w:space="0"/>
              <w:right w:val="single" w:color="auto" w:sz="4" w:space="0"/>
            </w:tcBorders>
            <w:noWrap/>
            <w:vAlign w:val="center"/>
          </w:tcPr>
          <w:p w14:paraId="166158B6">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13</w:t>
            </w:r>
          </w:p>
        </w:tc>
        <w:tc>
          <w:tcPr>
            <w:tcW w:w="1226" w:type="dxa"/>
            <w:tcBorders>
              <w:top w:val="nil"/>
              <w:left w:val="nil"/>
              <w:bottom w:val="single" w:color="auto" w:sz="4" w:space="0"/>
              <w:right w:val="single" w:color="auto" w:sz="4" w:space="0"/>
            </w:tcBorders>
            <w:noWrap/>
            <w:vAlign w:val="center"/>
          </w:tcPr>
          <w:p w14:paraId="2F94F378">
            <w:pPr>
              <w:widowControl/>
              <w:adjustRightInd/>
              <w:spacing w:line="240" w:lineRule="auto"/>
              <w:jc w:val="center"/>
              <w:textAlignment w:val="auto"/>
              <w:rPr>
                <w:rFonts w:hint="eastAsia" w:ascii="华文细黑" w:hAnsi="华文细黑" w:eastAsia="华文细黑" w:cs="Arial"/>
                <w:color w:val="auto"/>
                <w:sz w:val="18"/>
                <w:szCs w:val="18"/>
              </w:rPr>
            </w:pPr>
            <w:r>
              <w:rPr>
                <w:rFonts w:hint="eastAsia" w:ascii="华文细黑" w:hAnsi="华文细黑" w:eastAsia="华文细黑" w:cs="Arial"/>
                <w:color w:val="auto"/>
                <w:sz w:val="18"/>
                <w:szCs w:val="18"/>
              </w:rPr>
              <w:t>1561.82</w:t>
            </w:r>
          </w:p>
        </w:tc>
      </w:tr>
      <w:tr w14:paraId="461AECD0">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256BCC7C">
            <w:pPr>
              <w:widowControl/>
              <w:adjustRightInd/>
              <w:spacing w:line="240" w:lineRule="auto"/>
              <w:jc w:val="center"/>
              <w:textAlignment w:val="auto"/>
              <w:rPr>
                <w:rFonts w:hint="eastAsia" w:ascii="华文细黑" w:hAnsi="华文细黑" w:eastAsia="华文细黑" w:cs="Arial"/>
                <w:b/>
                <w:bCs/>
                <w:color w:val="auto"/>
                <w:sz w:val="18"/>
                <w:szCs w:val="18"/>
              </w:rPr>
            </w:pPr>
          </w:p>
        </w:tc>
        <w:tc>
          <w:tcPr>
            <w:tcW w:w="1332" w:type="dxa"/>
            <w:tcBorders>
              <w:top w:val="nil"/>
              <w:left w:val="nil"/>
              <w:bottom w:val="single" w:color="auto" w:sz="4" w:space="0"/>
              <w:right w:val="single" w:color="auto" w:sz="4" w:space="0"/>
            </w:tcBorders>
            <w:noWrap/>
            <w:vAlign w:val="center"/>
          </w:tcPr>
          <w:p w14:paraId="339088A4">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小计</w:t>
            </w:r>
          </w:p>
        </w:tc>
        <w:tc>
          <w:tcPr>
            <w:tcW w:w="4482" w:type="dxa"/>
            <w:tcBorders>
              <w:top w:val="nil"/>
              <w:left w:val="nil"/>
              <w:bottom w:val="single" w:color="auto" w:sz="4" w:space="0"/>
              <w:right w:val="single" w:color="auto" w:sz="4" w:space="0"/>
            </w:tcBorders>
            <w:noWrap/>
            <w:vAlign w:val="center"/>
          </w:tcPr>
          <w:p w14:paraId="4AD6CA67">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2D1FAE8E">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33784EF6">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w:t>
            </w:r>
          </w:p>
        </w:tc>
        <w:tc>
          <w:tcPr>
            <w:tcW w:w="1226" w:type="dxa"/>
            <w:tcBorders>
              <w:top w:val="nil"/>
              <w:left w:val="nil"/>
              <w:bottom w:val="single" w:color="auto" w:sz="4" w:space="0"/>
              <w:right w:val="single" w:color="auto" w:sz="4" w:space="0"/>
            </w:tcBorders>
            <w:noWrap/>
            <w:vAlign w:val="center"/>
          </w:tcPr>
          <w:p w14:paraId="2979F0E3">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1564.82</w:t>
            </w:r>
          </w:p>
        </w:tc>
      </w:tr>
      <w:tr w14:paraId="0B7FCB62">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11FBB1D2">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合计</w:t>
            </w:r>
          </w:p>
        </w:tc>
        <w:tc>
          <w:tcPr>
            <w:tcW w:w="1332" w:type="dxa"/>
            <w:tcBorders>
              <w:top w:val="nil"/>
              <w:left w:val="nil"/>
              <w:bottom w:val="single" w:color="auto" w:sz="4" w:space="0"/>
              <w:right w:val="single" w:color="auto" w:sz="4" w:space="0"/>
            </w:tcBorders>
            <w:noWrap/>
            <w:vAlign w:val="center"/>
          </w:tcPr>
          <w:p w14:paraId="7FE178FC">
            <w:pPr>
              <w:widowControl/>
              <w:adjustRightInd/>
              <w:spacing w:line="240" w:lineRule="auto"/>
              <w:jc w:val="center"/>
              <w:textAlignment w:val="auto"/>
              <w:rPr>
                <w:rFonts w:hint="eastAsia" w:ascii="华文细黑" w:hAnsi="华文细黑" w:eastAsia="华文细黑" w:cs="Arial"/>
                <w:b/>
                <w:bCs/>
                <w:color w:val="auto"/>
                <w:sz w:val="18"/>
                <w:szCs w:val="18"/>
              </w:rPr>
            </w:pPr>
            <w:r>
              <w:rPr>
                <w:rFonts w:ascii="华文细黑" w:hAnsi="华文细黑" w:eastAsia="华文细黑" w:cs="Arial"/>
                <w:b/>
                <w:bCs/>
                <w:color w:val="auto"/>
                <w:sz w:val="18"/>
                <w:szCs w:val="18"/>
              </w:rPr>
              <w:t>-</w:t>
            </w:r>
          </w:p>
        </w:tc>
        <w:tc>
          <w:tcPr>
            <w:tcW w:w="4482" w:type="dxa"/>
            <w:tcBorders>
              <w:top w:val="nil"/>
              <w:left w:val="nil"/>
              <w:bottom w:val="single" w:color="auto" w:sz="4" w:space="0"/>
              <w:right w:val="single" w:color="auto" w:sz="4" w:space="0"/>
            </w:tcBorders>
            <w:noWrap/>
            <w:vAlign w:val="center"/>
          </w:tcPr>
          <w:p w14:paraId="07EB687E">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32" w:type="dxa"/>
            <w:tcBorders>
              <w:top w:val="nil"/>
              <w:left w:val="nil"/>
              <w:bottom w:val="single" w:color="auto" w:sz="4" w:space="0"/>
              <w:right w:val="single" w:color="auto" w:sz="4" w:space="0"/>
            </w:tcBorders>
            <w:noWrap/>
            <w:vAlign w:val="center"/>
          </w:tcPr>
          <w:p w14:paraId="6D145082">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w:t>
            </w:r>
          </w:p>
        </w:tc>
        <w:tc>
          <w:tcPr>
            <w:tcW w:w="708" w:type="dxa"/>
            <w:tcBorders>
              <w:top w:val="nil"/>
              <w:left w:val="nil"/>
              <w:bottom w:val="single" w:color="auto" w:sz="4" w:space="0"/>
              <w:right w:val="single" w:color="auto" w:sz="4" w:space="0"/>
            </w:tcBorders>
            <w:noWrap/>
            <w:vAlign w:val="center"/>
          </w:tcPr>
          <w:p w14:paraId="3F6187E8">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1324</w:t>
            </w:r>
          </w:p>
        </w:tc>
        <w:tc>
          <w:tcPr>
            <w:tcW w:w="1226" w:type="dxa"/>
            <w:tcBorders>
              <w:top w:val="nil"/>
              <w:left w:val="nil"/>
              <w:bottom w:val="single" w:color="auto" w:sz="4" w:space="0"/>
              <w:right w:val="single" w:color="auto" w:sz="4" w:space="0"/>
            </w:tcBorders>
            <w:noWrap/>
            <w:vAlign w:val="center"/>
          </w:tcPr>
          <w:p w14:paraId="1BA7B2B7">
            <w:pPr>
              <w:widowControl/>
              <w:adjustRightInd/>
              <w:spacing w:line="240" w:lineRule="auto"/>
              <w:jc w:val="center"/>
              <w:textAlignment w:val="auto"/>
              <w:rPr>
                <w:rFonts w:hint="eastAsia" w:ascii="华文细黑" w:hAnsi="华文细黑" w:eastAsia="华文细黑" w:cs="Arial"/>
                <w:b/>
                <w:bCs/>
                <w:color w:val="auto"/>
                <w:sz w:val="18"/>
                <w:szCs w:val="18"/>
              </w:rPr>
            </w:pPr>
            <w:r>
              <w:rPr>
                <w:rFonts w:hint="eastAsia" w:ascii="华文细黑" w:hAnsi="华文细黑" w:eastAsia="华文细黑" w:cs="Arial"/>
                <w:b/>
                <w:bCs/>
                <w:color w:val="auto"/>
                <w:sz w:val="18"/>
                <w:szCs w:val="18"/>
              </w:rPr>
              <w:t>106034.90</w:t>
            </w:r>
          </w:p>
        </w:tc>
      </w:tr>
    </w:tbl>
    <w:p w14:paraId="40AA2B38">
      <w:pPr>
        <w:overflowPunct w:val="0"/>
        <w:spacing w:before="240" w:beforeLines="100"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（2）建筑结构：估价对象所属楼宇建筑结构为</w:t>
      </w:r>
      <w:r>
        <w:rPr>
          <w:rFonts w:hint="eastAsia" w:ascii="Arial" w:hAnsi="Arial" w:cs="Arial"/>
          <w:color w:val="auto"/>
          <w:kern w:val="2"/>
          <w:sz w:val="21"/>
          <w:szCs w:val="21"/>
        </w:rPr>
        <w:t>钢筋混凝土结构</w:t>
      </w:r>
      <w:r>
        <w:rPr>
          <w:rFonts w:hint="eastAsia" w:ascii="Arial" w:hAnsi="Arial" w:cs="Arial"/>
          <w:color w:val="auto"/>
          <w:sz w:val="21"/>
          <w:szCs w:val="21"/>
        </w:rPr>
        <w:t>。</w:t>
      </w:r>
    </w:p>
    <w:p w14:paraId="5B48DB29">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（3）建筑外观：</w:t>
      </w:r>
      <w:r>
        <w:rPr>
          <w:rFonts w:hint="eastAsia" w:ascii="Arial" w:hAnsi="Arial" w:cs="Arial"/>
          <w:color w:val="auto"/>
          <w:kern w:val="2"/>
          <w:sz w:val="21"/>
          <w:szCs w:val="21"/>
        </w:rPr>
        <w:t>估价对象为高层板楼</w:t>
      </w:r>
      <w:r>
        <w:rPr>
          <w:rFonts w:hint="eastAsia" w:ascii="Arial" w:hAnsi="Arial" w:cs="Arial"/>
          <w:color w:val="auto"/>
          <w:sz w:val="21"/>
          <w:szCs w:val="21"/>
        </w:rPr>
        <w:t>。</w:t>
      </w:r>
    </w:p>
    <w:p w14:paraId="150C893E">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1CF9BEBB">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5）装饰装修：根据《估价委托书》及估价人员实地查勘，估价对象均为精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416D00B">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color w:val="auto"/>
          <w:sz w:val="21"/>
          <w:szCs w:val="21"/>
        </w:rPr>
        <w:t>%</w:t>
      </w:r>
      <w:r>
        <w:rPr>
          <w:rFonts w:hint="eastAsia" w:ascii="Arial" w:hAnsi="Arial" w:cs="Arial"/>
          <w:color w:val="auto"/>
          <w:sz w:val="21"/>
          <w:szCs w:val="21"/>
        </w:rPr>
        <w:t>。</w:t>
      </w:r>
    </w:p>
    <w:p w14:paraId="6A38141B">
      <w:pPr>
        <w:wordWrap w:val="0"/>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color w:val="auto"/>
          <w:sz w:val="21"/>
          <w:szCs w:val="21"/>
        </w:rPr>
        <w:t>%</w:t>
      </w:r>
      <w:r>
        <w:rPr>
          <w:rFonts w:hint="eastAsia" w:ascii="Arial" w:hAnsi="Arial" w:cs="Arial"/>
          <w:color w:val="auto"/>
          <w:sz w:val="21"/>
          <w:szCs w:val="21"/>
        </w:rPr>
        <w:t>。</w:t>
      </w:r>
    </w:p>
    <w:p w14:paraId="04682F0C">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（7）户型设计：估价对象均为平层结构，分为三种户型，分别为一居室、两居室、三居室。其中一居室378套、两居室933套、三居室13套。</w:t>
      </w:r>
    </w:p>
    <w:p w14:paraId="2BE18DAB">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（8）朝向：估价对象一居室、三居室均南北朝向；两居室有南北、南朝向，其中南北朝向916套、</w:t>
      </w:r>
      <w:r>
        <w:rPr>
          <w:rFonts w:hint="eastAsia" w:ascii="Arial" w:hAnsi="Arial" w:cs="Arial"/>
          <w:color w:val="auto"/>
          <w:sz w:val="21"/>
          <w:szCs w:val="21"/>
          <w:lang w:val="en-US" w:eastAsia="zh-CN"/>
        </w:rPr>
        <w:t>南</w:t>
      </w:r>
      <w:r>
        <w:rPr>
          <w:rFonts w:hint="eastAsia" w:ascii="Arial" w:hAnsi="Arial" w:cs="Arial"/>
          <w:color w:val="auto"/>
          <w:sz w:val="21"/>
          <w:szCs w:val="21"/>
        </w:rPr>
        <w:t>朝向17套。</w:t>
      </w:r>
    </w:p>
    <w:p w14:paraId="07049657">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（9）综合服务管理设施：估价对象所属小区为封闭式管理，门口设有快递柜、小区内设有垃圾分类收集点。估价对象享有同样的配套设施，估价对象所在楼栋一层配备管理用房等。</w:t>
      </w:r>
    </w:p>
    <w:p w14:paraId="56084A71">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（10）水电气费执行标准：估价对象执行民水民电标准。</w:t>
      </w:r>
    </w:p>
    <w:p w14:paraId="171CABCB">
      <w:pPr>
        <w:spacing w:line="480" w:lineRule="auto"/>
        <w:ind w:firstLine="420" w:firstLineChars="200"/>
        <w:rPr>
          <w:rFonts w:ascii="Arial" w:hAnsi="Arial" w:cs="Arial"/>
          <w:color w:val="auto"/>
          <w:sz w:val="21"/>
          <w:szCs w:val="21"/>
        </w:rPr>
      </w:pPr>
      <w:r>
        <w:rPr>
          <w:rFonts w:hint="eastAsia" w:ascii="Arial" w:hAnsi="Arial" w:cs="Arial"/>
          <w:color w:val="auto"/>
          <w:sz w:val="21"/>
          <w:szCs w:val="21"/>
        </w:rPr>
        <w:t>3</w:t>
      </w:r>
      <w:r>
        <w:rPr>
          <w:rFonts w:ascii="Arial" w:hAnsi="Arial" w:cs="Arial"/>
          <w:color w:val="auto"/>
          <w:sz w:val="21"/>
          <w:szCs w:val="21"/>
        </w:rPr>
        <w:t>.</w:t>
      </w:r>
      <w:r>
        <w:rPr>
          <w:rFonts w:hint="eastAsia" w:ascii="Arial" w:hAnsi="Arial" w:cs="Arial"/>
          <w:color w:val="auto"/>
          <w:sz w:val="21"/>
          <w:szCs w:val="21"/>
        </w:rPr>
        <w:t>对价格影响的分析</w:t>
      </w:r>
    </w:p>
    <w:p w14:paraId="41F73CF3">
      <w:pPr>
        <w:spacing w:line="480" w:lineRule="auto"/>
        <w:ind w:firstLine="420" w:firstLineChars="200"/>
        <w:rPr>
          <w:rFonts w:ascii="Arial" w:hAnsi="Arial" w:cs="Arial"/>
          <w:color w:val="auto"/>
          <w:sz w:val="21"/>
          <w:szCs w:val="21"/>
        </w:rPr>
      </w:pPr>
      <w:r>
        <w:rPr>
          <w:rFonts w:ascii="Arial" w:hAnsi="Arial" w:cs="Arial"/>
          <w:color w:val="auto"/>
          <w:sz w:val="21"/>
          <w:szCs w:val="21"/>
        </w:rPr>
        <w:t>估价对象作为</w:t>
      </w:r>
      <w:r>
        <w:rPr>
          <w:rFonts w:hint="eastAsia" w:ascii="Arial" w:hAnsi="Arial" w:cs="Arial"/>
          <w:color w:val="auto"/>
          <w:kern w:val="2"/>
          <w:sz w:val="21"/>
          <w:szCs w:val="21"/>
        </w:rPr>
        <w:t>住宅用房</w:t>
      </w:r>
      <w:r>
        <w:rPr>
          <w:rFonts w:ascii="Arial" w:hAnsi="Arial" w:cs="Arial"/>
          <w:color w:val="auto"/>
          <w:sz w:val="21"/>
          <w:szCs w:val="21"/>
        </w:rPr>
        <w:t>使用，通用性相对较好，能完全满足大部分</w:t>
      </w:r>
      <w:r>
        <w:rPr>
          <w:rFonts w:hint="eastAsia" w:ascii="Arial" w:hAnsi="Arial" w:cs="Arial"/>
          <w:color w:val="auto"/>
          <w:sz w:val="21"/>
          <w:szCs w:val="21"/>
        </w:rPr>
        <w:t>承</w:t>
      </w:r>
      <w:r>
        <w:rPr>
          <w:rFonts w:ascii="Arial" w:hAnsi="Arial" w:cs="Arial"/>
          <w:color w:val="auto"/>
          <w:sz w:val="21"/>
          <w:szCs w:val="21"/>
        </w:rPr>
        <w:t>租者的需求，因此将会在一定程度上影响其租金价格水平。</w:t>
      </w:r>
    </w:p>
    <w:p w14:paraId="44EA0494">
      <w:pPr>
        <w:pStyle w:val="3"/>
        <w:numPr>
          <w:ilvl w:val="0"/>
          <w:numId w:val="0"/>
        </w:numPr>
        <w:spacing w:line="480" w:lineRule="auto"/>
        <w:ind w:left="360" w:hanging="361" w:hangingChars="171"/>
        <w:jc w:val="both"/>
        <w:rPr>
          <w:rFonts w:eastAsia="宋体"/>
          <w:color w:val="auto"/>
          <w:kern w:val="2"/>
          <w:sz w:val="21"/>
          <w:szCs w:val="21"/>
        </w:rPr>
      </w:pPr>
      <w:bookmarkStart w:id="53" w:name="_Toc525655436"/>
      <w:bookmarkStart w:id="54" w:name="_Toc155267103"/>
      <w:r>
        <w:rPr>
          <w:rFonts w:eastAsia="宋体"/>
          <w:color w:val="auto"/>
          <w:kern w:val="2"/>
          <w:sz w:val="21"/>
          <w:szCs w:val="21"/>
        </w:rPr>
        <w:t>（</w:t>
      </w:r>
      <w:r>
        <w:rPr>
          <w:rFonts w:hint="eastAsia" w:eastAsia="宋体"/>
          <w:color w:val="auto"/>
          <w:kern w:val="2"/>
          <w:sz w:val="21"/>
          <w:szCs w:val="21"/>
        </w:rPr>
        <w:t>三</w:t>
      </w:r>
      <w:r>
        <w:rPr>
          <w:rFonts w:eastAsia="宋体"/>
          <w:color w:val="auto"/>
          <w:kern w:val="2"/>
          <w:sz w:val="21"/>
          <w:szCs w:val="21"/>
        </w:rPr>
        <w:t>）权益状况分析</w:t>
      </w:r>
      <w:bookmarkEnd w:id="53"/>
      <w:bookmarkEnd w:id="54"/>
    </w:p>
    <w:p w14:paraId="60BE747C">
      <w:pPr>
        <w:spacing w:line="480" w:lineRule="auto"/>
        <w:ind w:firstLine="420" w:firstLineChars="200"/>
        <w:rPr>
          <w:rFonts w:ascii="Arial" w:hAnsi="Arial" w:cs="Arial"/>
          <w:color w:val="auto"/>
          <w:kern w:val="2"/>
          <w:sz w:val="21"/>
          <w:szCs w:val="21"/>
        </w:rPr>
      </w:pPr>
      <w:bookmarkStart w:id="55" w:name="_Toc525655437"/>
      <w:r>
        <w:rPr>
          <w:rFonts w:hint="eastAsia" w:ascii="Arial" w:hAnsi="Arial" w:cs="Arial"/>
          <w:color w:val="auto"/>
          <w:sz w:val="21"/>
          <w:szCs w:val="21"/>
        </w:rPr>
        <w:t>根据估价委托人提供的资料及评估专业人员实地查勘，于价值时点，未发现估价对象存在抵押、</w:t>
      </w:r>
      <w:r>
        <w:rPr>
          <w:rFonts w:hint="eastAsia" w:ascii="Arial" w:hAnsi="Arial" w:cs="Arial"/>
          <w:color w:val="auto"/>
          <w:kern w:val="2"/>
          <w:sz w:val="21"/>
          <w:szCs w:val="21"/>
        </w:rPr>
        <w:t>租赁、地役、查封等他项权利</w:t>
      </w:r>
      <w:r>
        <w:rPr>
          <w:rFonts w:hint="eastAsia" w:ascii="Arial" w:hAnsi="Arial" w:cs="Arial"/>
          <w:color w:val="auto"/>
          <w:sz w:val="21"/>
          <w:szCs w:val="21"/>
        </w:rPr>
        <w:t>。</w:t>
      </w:r>
      <w:r>
        <w:rPr>
          <w:rFonts w:hint="eastAsia" w:ascii="Arial" w:hAnsi="Arial" w:cs="Arial"/>
          <w:color w:val="auto"/>
          <w:kern w:val="2"/>
          <w:sz w:val="21"/>
          <w:szCs w:val="21"/>
        </w:rPr>
        <w:t>根据估价目的，本次估价未考虑抵押、租赁、地役、查封等他项权利影响，故设定估价对象于价值时点不存在租赁、地役、查封等他项权利限制。</w:t>
      </w:r>
      <w:bookmarkStart w:id="56" w:name="_Toc155267104"/>
    </w:p>
    <w:p w14:paraId="0587A745">
      <w:pPr>
        <w:spacing w:line="480" w:lineRule="auto"/>
        <w:ind w:firstLine="420" w:firstLineChars="200"/>
        <w:rPr>
          <w:rFonts w:ascii="Arial" w:hAnsi="Arial" w:cs="Arial"/>
          <w:color w:val="auto"/>
          <w:kern w:val="2"/>
          <w:sz w:val="21"/>
          <w:szCs w:val="21"/>
        </w:rPr>
      </w:pPr>
    </w:p>
    <w:p w14:paraId="4028BCF6">
      <w:pPr>
        <w:pStyle w:val="3"/>
        <w:numPr>
          <w:ilvl w:val="0"/>
          <w:numId w:val="0"/>
        </w:numPr>
        <w:spacing w:line="480" w:lineRule="auto"/>
        <w:ind w:left="358" w:hanging="358" w:hangingChars="170"/>
        <w:jc w:val="both"/>
        <w:rPr>
          <w:rFonts w:eastAsia="宋体"/>
          <w:color w:val="auto"/>
          <w:kern w:val="2"/>
          <w:sz w:val="21"/>
          <w:szCs w:val="21"/>
        </w:rPr>
      </w:pPr>
      <w:r>
        <w:rPr>
          <w:rFonts w:eastAsia="宋体"/>
          <w:color w:val="auto"/>
          <w:kern w:val="2"/>
          <w:sz w:val="21"/>
          <w:szCs w:val="21"/>
        </w:rPr>
        <w:t>二、市场背景描述与分析</w:t>
      </w:r>
      <w:bookmarkEnd w:id="55"/>
      <w:bookmarkEnd w:id="56"/>
    </w:p>
    <w:p w14:paraId="75E5FA5D">
      <w:pPr>
        <w:overflowPunct w:val="0"/>
        <w:spacing w:line="480" w:lineRule="auto"/>
        <w:ind w:right="205"/>
        <w:jc w:val="both"/>
        <w:textAlignment w:val="auto"/>
        <w:rPr>
          <w:rFonts w:ascii="Arial" w:hAnsi="Arial"/>
          <w:b/>
          <w:bCs/>
          <w:color w:val="auto"/>
          <w:sz w:val="21"/>
          <w:szCs w:val="21"/>
        </w:rPr>
      </w:pPr>
      <w:bookmarkStart w:id="57" w:name="_Toc525655438"/>
      <w:r>
        <w:rPr>
          <w:rFonts w:hint="eastAsia" w:ascii="Arial" w:hAnsi="Arial"/>
          <w:b/>
          <w:bCs/>
          <w:color w:val="auto"/>
          <w:sz w:val="21"/>
          <w:szCs w:val="21"/>
        </w:rPr>
        <w:t>（一）类似房地产市场状况</w:t>
      </w:r>
    </w:p>
    <w:p w14:paraId="12C2A930">
      <w:pPr>
        <w:overflowPunct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1.宏观环境</w:t>
      </w:r>
    </w:p>
    <w:p w14:paraId="50E16363">
      <w:pPr>
        <w:widowControl/>
        <w:adjustRightInd/>
        <w:spacing w:line="480" w:lineRule="auto"/>
        <w:ind w:firstLine="525" w:firstLineChars="250"/>
        <w:jc w:val="both"/>
        <w:textAlignment w:val="auto"/>
        <w:rPr>
          <w:rFonts w:ascii="Arial" w:hAnsi="Arial"/>
          <w:color w:val="auto"/>
          <w:sz w:val="21"/>
          <w:szCs w:val="21"/>
        </w:rPr>
      </w:pPr>
      <w:bookmarkStart w:id="58" w:name="OLE_LINK34"/>
      <w:bookmarkStart w:id="59" w:name="OLE_LINK33"/>
      <w:r>
        <w:rPr>
          <w:rFonts w:hint="eastAsia" w:ascii="Arial" w:hAnsi="Arial"/>
          <w:color w:val="auto"/>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71AEBBB5">
      <w:pPr>
        <w:widowControl/>
        <w:adjustRightInd/>
        <w:spacing w:line="480" w:lineRule="auto"/>
        <w:ind w:firstLine="525" w:firstLineChars="250"/>
        <w:jc w:val="both"/>
        <w:textAlignment w:val="auto"/>
        <w:rPr>
          <w:rFonts w:ascii="Arial" w:hAnsi="Arial"/>
          <w:color w:val="auto"/>
          <w:sz w:val="21"/>
          <w:szCs w:val="21"/>
        </w:rPr>
      </w:pPr>
      <w:r>
        <w:rPr>
          <w:rFonts w:ascii="Arial" w:hAnsi="Arial"/>
          <w:color w:val="auto"/>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auto"/>
          <w:sz w:val="21"/>
          <w:szCs w:val="21"/>
        </w:rPr>
        <w:t>。</w:t>
      </w:r>
    </w:p>
    <w:p w14:paraId="5763FA6D">
      <w:pPr>
        <w:overflowPunct w:val="0"/>
        <w:spacing w:line="240" w:lineRule="auto"/>
        <w:jc w:val="center"/>
        <w:rPr>
          <w:rFonts w:ascii="Arial" w:hAnsi="Arial" w:eastAsia="方正黑体简体"/>
          <w:bCs/>
          <w:color w:val="auto"/>
          <w:szCs w:val="24"/>
        </w:rPr>
      </w:pPr>
      <w:r>
        <w:rPr>
          <w:rFonts w:ascii="Arial" w:hAnsi="Arial" w:eastAsia="方正黑体简体"/>
          <w:bCs/>
          <w:color w:val="auto"/>
          <w:szCs w:val="24"/>
        </w:rPr>
        <w:t>20</w:t>
      </w:r>
      <w:r>
        <w:rPr>
          <w:rFonts w:hint="eastAsia" w:ascii="Arial" w:hAnsi="Arial" w:eastAsia="方正黑体简体"/>
          <w:bCs/>
          <w:color w:val="auto"/>
          <w:szCs w:val="24"/>
        </w:rPr>
        <w:t>20</w:t>
      </w:r>
      <w:r>
        <w:rPr>
          <w:rFonts w:ascii="Arial" w:hAnsi="Arial" w:eastAsia="方正黑体简体"/>
          <w:bCs/>
          <w:color w:val="auto"/>
          <w:szCs w:val="24"/>
        </w:rPr>
        <w:t>-202</w:t>
      </w:r>
      <w:r>
        <w:rPr>
          <w:rFonts w:hint="eastAsia" w:ascii="Arial" w:hAnsi="Arial" w:eastAsia="方正黑体简体"/>
          <w:bCs/>
          <w:color w:val="auto"/>
          <w:szCs w:val="24"/>
        </w:rPr>
        <w:t>4年常住人口增量及增长速度</w:t>
      </w:r>
    </w:p>
    <w:p w14:paraId="318B0230">
      <w:pPr>
        <w:widowControl/>
        <w:adjustRightInd/>
        <w:spacing w:line="480" w:lineRule="auto"/>
        <w:jc w:val="center"/>
        <w:textAlignment w:val="auto"/>
        <w:rPr>
          <w:rFonts w:ascii="Arial" w:hAnsi="Arial"/>
          <w:color w:val="auto"/>
          <w:sz w:val="21"/>
          <w:szCs w:val="21"/>
        </w:rPr>
      </w:pPr>
      <w:r>
        <w:rPr>
          <w:rFonts w:ascii="Arial" w:hAnsi="Arial" w:eastAsia="仿宋" w:cs="Arial"/>
          <w:color w:val="auto"/>
          <w:sz w:val="28"/>
          <w:szCs w:val="28"/>
        </w:rPr>
        <w:drawing>
          <wp:inline distT="0" distB="0" distL="114300" distR="114300">
            <wp:extent cx="5906135" cy="2407285"/>
            <wp:effectExtent l="4445" t="4445" r="17780" b="1143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58"/>
    <w:bookmarkEnd w:id="59"/>
    <w:p w14:paraId="3CDFB611">
      <w:pPr>
        <w:widowControl/>
        <w:adjustRightInd/>
        <w:spacing w:line="480" w:lineRule="auto"/>
        <w:ind w:firstLine="525" w:firstLineChars="250"/>
        <w:jc w:val="both"/>
        <w:textAlignment w:val="auto"/>
        <w:rPr>
          <w:rFonts w:ascii="Arial" w:hAnsi="Arial"/>
          <w:color w:val="auto"/>
          <w:sz w:val="21"/>
          <w:szCs w:val="21"/>
        </w:rPr>
      </w:pPr>
      <w:r>
        <w:rPr>
          <w:rFonts w:hint="eastAsia" w:ascii="Arial" w:hAnsi="Arial"/>
          <w:color w:val="auto"/>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6D5880B7">
      <w:pPr>
        <w:widowControl/>
        <w:adjustRightInd/>
        <w:spacing w:line="480" w:lineRule="auto"/>
        <w:ind w:firstLine="525" w:firstLineChars="250"/>
        <w:jc w:val="both"/>
        <w:textAlignment w:val="auto"/>
        <w:rPr>
          <w:rFonts w:ascii="Arial" w:hAnsi="Arial"/>
          <w:color w:val="auto"/>
          <w:sz w:val="21"/>
          <w:szCs w:val="21"/>
        </w:rPr>
      </w:pPr>
      <w:r>
        <w:rPr>
          <w:rFonts w:hint="eastAsia" w:ascii="Arial" w:hAnsi="Arial"/>
          <w:color w:val="auto"/>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774EE4D0">
      <w:pPr>
        <w:widowControl/>
        <w:adjustRightInd/>
        <w:spacing w:line="480" w:lineRule="auto"/>
        <w:ind w:firstLine="525" w:firstLineChars="250"/>
        <w:jc w:val="both"/>
        <w:textAlignment w:val="auto"/>
        <w:rPr>
          <w:rFonts w:ascii="Arial" w:hAnsi="Arial"/>
          <w:color w:val="auto"/>
          <w:sz w:val="21"/>
          <w:szCs w:val="21"/>
        </w:rPr>
      </w:pPr>
      <w:r>
        <w:rPr>
          <w:rFonts w:hint="eastAsia" w:ascii="Arial" w:hAnsi="Arial"/>
          <w:color w:val="auto"/>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28ACF4FA">
      <w:pPr>
        <w:widowControl/>
        <w:adjustRightInd/>
        <w:spacing w:line="480" w:lineRule="auto"/>
        <w:ind w:firstLine="525" w:firstLineChars="250"/>
        <w:jc w:val="both"/>
        <w:textAlignment w:val="auto"/>
        <w:rPr>
          <w:rFonts w:ascii="Arial" w:hAnsi="Arial"/>
          <w:color w:val="auto"/>
          <w:sz w:val="21"/>
          <w:szCs w:val="21"/>
        </w:rPr>
      </w:pPr>
      <w:r>
        <w:rPr>
          <w:rFonts w:hint="eastAsia" w:ascii="Arial" w:hAnsi="Arial"/>
          <w:color w:val="auto"/>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0E3EE694">
      <w:pPr>
        <w:widowControl/>
        <w:adjustRightInd/>
        <w:spacing w:line="480" w:lineRule="auto"/>
        <w:ind w:firstLine="525" w:firstLineChars="250"/>
        <w:jc w:val="both"/>
        <w:textAlignment w:val="auto"/>
        <w:rPr>
          <w:rFonts w:ascii="Arial" w:hAnsi="Arial"/>
          <w:color w:val="auto"/>
          <w:sz w:val="21"/>
          <w:szCs w:val="21"/>
        </w:rPr>
      </w:pPr>
      <w:r>
        <w:rPr>
          <w:rFonts w:hint="eastAsia" w:ascii="Arial" w:hAnsi="Arial"/>
          <w:color w:val="auto"/>
          <w:sz w:val="21"/>
          <w:szCs w:val="21"/>
        </w:rPr>
        <w:t>北京市房屋竣工面积787.8万平方米，同比增长6.1%。其中，住宅竣工面积403.3万平方米，下降1.5%；办公楼23.2万平方米，下降33%；商业营业用房78.7万平方米，增长1.2倍。</w:t>
      </w:r>
    </w:p>
    <w:p w14:paraId="1E206162">
      <w:pPr>
        <w:widowControl/>
        <w:adjustRightInd/>
        <w:spacing w:line="480" w:lineRule="auto"/>
        <w:ind w:firstLine="525" w:firstLineChars="250"/>
        <w:jc w:val="both"/>
        <w:textAlignment w:val="auto"/>
        <w:rPr>
          <w:rFonts w:ascii="Arial" w:hAnsi="Arial"/>
          <w:color w:val="auto"/>
          <w:sz w:val="21"/>
          <w:szCs w:val="21"/>
        </w:rPr>
      </w:pPr>
      <w:r>
        <w:rPr>
          <w:rFonts w:hint="eastAsia" w:ascii="Arial" w:hAnsi="Arial"/>
          <w:color w:val="auto"/>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5B44A71F">
      <w:pPr>
        <w:widowControl/>
        <w:overflowPunct w:val="0"/>
        <w:adjustRightInd/>
        <w:spacing w:line="480" w:lineRule="auto"/>
        <w:ind w:firstLine="420" w:firstLineChars="200"/>
        <w:jc w:val="both"/>
        <w:textAlignment w:val="auto"/>
        <w:rPr>
          <w:rFonts w:ascii="Arial" w:hAnsi="Arial"/>
          <w:color w:val="auto"/>
          <w:sz w:val="21"/>
          <w:szCs w:val="21"/>
        </w:rPr>
      </w:pPr>
      <w:r>
        <w:rPr>
          <w:rFonts w:ascii="Arial" w:hAnsi="Arial"/>
          <w:color w:val="auto"/>
          <w:sz w:val="21"/>
          <w:szCs w:val="21"/>
        </w:rPr>
        <w:t>2.</w:t>
      </w:r>
      <w:r>
        <w:rPr>
          <w:rFonts w:hint="eastAsia" w:ascii="Arial" w:hAnsi="Arial"/>
          <w:color w:val="auto"/>
          <w:sz w:val="21"/>
          <w:szCs w:val="21"/>
        </w:rPr>
        <w:t>土地市场</w:t>
      </w:r>
    </w:p>
    <w:p w14:paraId="73CC24C7">
      <w:pPr>
        <w:widowControl/>
        <w:overflowPunct w:val="0"/>
        <w:adjustRightInd/>
        <w:spacing w:line="480" w:lineRule="auto"/>
        <w:ind w:firstLine="420" w:firstLineChars="200"/>
        <w:jc w:val="both"/>
        <w:textAlignment w:val="auto"/>
        <w:rPr>
          <w:rFonts w:ascii="Arial" w:hAnsi="Arial"/>
          <w:color w:val="auto"/>
          <w:sz w:val="21"/>
          <w:szCs w:val="21"/>
        </w:rPr>
      </w:pPr>
      <w:r>
        <w:rPr>
          <w:rFonts w:hint="eastAsia" w:ascii="Arial" w:hAnsi="Arial"/>
          <w:color w:val="auto"/>
          <w:sz w:val="21"/>
          <w:szCs w:val="21"/>
        </w:rPr>
        <w:t>（1）土地供求情况</w:t>
      </w:r>
    </w:p>
    <w:p w14:paraId="79ABE24C">
      <w:pPr>
        <w:widowControl/>
        <w:adjustRightInd/>
        <w:spacing w:line="480" w:lineRule="auto"/>
        <w:ind w:firstLine="525" w:firstLineChars="250"/>
        <w:jc w:val="both"/>
        <w:textAlignment w:val="auto"/>
        <w:rPr>
          <w:rFonts w:ascii="Arial" w:hAnsi="Arial"/>
          <w:color w:val="auto"/>
          <w:sz w:val="21"/>
          <w:szCs w:val="21"/>
        </w:rPr>
      </w:pPr>
      <w:r>
        <w:rPr>
          <w:rFonts w:ascii="Arial" w:hAnsi="Arial"/>
          <w:color w:val="auto"/>
          <w:sz w:val="21"/>
          <w:szCs w:val="21"/>
        </w:rPr>
        <w:t>202</w:t>
      </w:r>
      <w:r>
        <w:rPr>
          <w:rFonts w:hint="eastAsia" w:ascii="Arial" w:hAnsi="Arial"/>
          <w:color w:val="auto"/>
          <w:sz w:val="21"/>
          <w:szCs w:val="21"/>
        </w:rPr>
        <w:t>5</w:t>
      </w:r>
      <w:r>
        <w:rPr>
          <w:rFonts w:ascii="Arial" w:hAnsi="Arial"/>
          <w:color w:val="auto"/>
          <w:sz w:val="21"/>
          <w:szCs w:val="21"/>
        </w:rPr>
        <w:t>年</w:t>
      </w:r>
      <w:r>
        <w:rPr>
          <w:rFonts w:hint="eastAsia" w:ascii="Arial" w:hAnsi="Arial"/>
          <w:color w:val="auto"/>
          <w:sz w:val="21"/>
          <w:szCs w:val="21"/>
        </w:rPr>
        <w:t>三季度</w:t>
      </w:r>
      <w:r>
        <w:rPr>
          <w:rFonts w:ascii="Arial" w:hAnsi="Arial"/>
          <w:color w:val="auto"/>
          <w:sz w:val="21"/>
          <w:szCs w:val="21"/>
        </w:rPr>
        <w:t>北京商品住宅用地共推出</w:t>
      </w:r>
      <w:r>
        <w:rPr>
          <w:rFonts w:hint="eastAsia" w:ascii="Arial" w:hAnsi="Arial"/>
          <w:color w:val="auto"/>
          <w:sz w:val="21"/>
          <w:szCs w:val="21"/>
        </w:rPr>
        <w:t>8</w:t>
      </w:r>
      <w:r>
        <w:rPr>
          <w:rFonts w:ascii="Arial" w:hAnsi="Arial"/>
          <w:color w:val="auto"/>
          <w:sz w:val="21"/>
          <w:szCs w:val="21"/>
        </w:rPr>
        <w:t>宗，累计供应规划建面</w:t>
      </w:r>
      <w:r>
        <w:rPr>
          <w:rFonts w:hint="eastAsia" w:ascii="Arial" w:hAnsi="Arial"/>
          <w:color w:val="auto"/>
          <w:sz w:val="21"/>
          <w:szCs w:val="21"/>
        </w:rPr>
        <w:t>44.96</w:t>
      </w:r>
      <w:r>
        <w:rPr>
          <w:rFonts w:ascii="Arial" w:hAnsi="Arial"/>
          <w:color w:val="auto"/>
          <w:sz w:val="21"/>
          <w:szCs w:val="21"/>
        </w:rPr>
        <w:t>万</w:t>
      </w:r>
      <w:r>
        <w:rPr>
          <w:rFonts w:hint="eastAsia" w:ascii="Arial" w:hAnsi="Arial"/>
          <w:color w:val="auto"/>
          <w:sz w:val="21"/>
          <w:szCs w:val="21"/>
        </w:rPr>
        <w:t>平方米</w:t>
      </w:r>
      <w:r>
        <w:rPr>
          <w:rFonts w:ascii="Arial" w:hAnsi="Arial"/>
          <w:color w:val="auto"/>
          <w:sz w:val="21"/>
          <w:szCs w:val="21"/>
        </w:rPr>
        <w:t>，同比</w:t>
      </w:r>
      <w:r>
        <w:rPr>
          <w:rFonts w:hint="eastAsia" w:ascii="Arial" w:hAnsi="Arial"/>
          <w:color w:val="auto"/>
          <w:sz w:val="21"/>
          <w:szCs w:val="21"/>
        </w:rPr>
        <w:t>下降57.1</w:t>
      </w:r>
      <w:r>
        <w:rPr>
          <w:rFonts w:ascii="Arial" w:hAnsi="Arial"/>
          <w:color w:val="auto"/>
          <w:sz w:val="21"/>
          <w:szCs w:val="21"/>
        </w:rPr>
        <w:t>%；202</w:t>
      </w:r>
      <w:r>
        <w:rPr>
          <w:rFonts w:hint="eastAsia" w:ascii="Arial" w:hAnsi="Arial"/>
          <w:color w:val="auto"/>
          <w:sz w:val="21"/>
          <w:szCs w:val="21"/>
        </w:rPr>
        <w:t>5</w:t>
      </w:r>
      <w:r>
        <w:rPr>
          <w:rFonts w:ascii="Arial" w:hAnsi="Arial"/>
          <w:color w:val="auto"/>
          <w:sz w:val="21"/>
          <w:szCs w:val="21"/>
        </w:rPr>
        <w:t>年</w:t>
      </w:r>
      <w:r>
        <w:rPr>
          <w:rFonts w:hint="eastAsia" w:ascii="Arial" w:hAnsi="Arial"/>
          <w:color w:val="auto"/>
          <w:sz w:val="21"/>
          <w:szCs w:val="21"/>
        </w:rPr>
        <w:t>三季度</w:t>
      </w:r>
      <w:r>
        <w:rPr>
          <w:rFonts w:ascii="Arial" w:hAnsi="Arial"/>
          <w:color w:val="auto"/>
          <w:sz w:val="21"/>
          <w:szCs w:val="21"/>
        </w:rPr>
        <w:t>北京商品住宅用地</w:t>
      </w:r>
      <w:r>
        <w:rPr>
          <w:rFonts w:hint="eastAsia" w:ascii="Arial" w:hAnsi="Arial"/>
          <w:color w:val="auto"/>
          <w:sz w:val="21"/>
          <w:szCs w:val="21"/>
        </w:rPr>
        <w:t>共</w:t>
      </w:r>
      <w:r>
        <w:rPr>
          <w:rFonts w:ascii="Arial" w:hAnsi="Arial"/>
          <w:color w:val="auto"/>
          <w:sz w:val="21"/>
          <w:szCs w:val="21"/>
        </w:rPr>
        <w:t>成交</w:t>
      </w:r>
      <w:r>
        <w:rPr>
          <w:rFonts w:hint="eastAsia" w:ascii="Arial" w:hAnsi="Arial"/>
          <w:color w:val="auto"/>
          <w:sz w:val="21"/>
          <w:szCs w:val="21"/>
        </w:rPr>
        <w:t>7</w:t>
      </w:r>
      <w:r>
        <w:rPr>
          <w:rFonts w:ascii="Arial" w:hAnsi="Arial"/>
          <w:color w:val="auto"/>
          <w:sz w:val="21"/>
          <w:szCs w:val="21"/>
        </w:rPr>
        <w:t>宗，成交规划建面</w:t>
      </w:r>
      <w:r>
        <w:rPr>
          <w:rFonts w:hint="eastAsia" w:ascii="Arial" w:hAnsi="Arial"/>
          <w:color w:val="auto"/>
          <w:sz w:val="21"/>
          <w:szCs w:val="21"/>
        </w:rPr>
        <w:t>32.01</w:t>
      </w:r>
      <w:r>
        <w:rPr>
          <w:rFonts w:ascii="Arial" w:hAnsi="Arial"/>
          <w:color w:val="auto"/>
          <w:sz w:val="21"/>
          <w:szCs w:val="21"/>
        </w:rPr>
        <w:t>万</w:t>
      </w:r>
      <w:r>
        <w:rPr>
          <w:rFonts w:hint="eastAsia" w:ascii="Arial" w:hAnsi="Arial"/>
          <w:color w:val="auto"/>
          <w:sz w:val="21"/>
          <w:szCs w:val="21"/>
        </w:rPr>
        <w:t>平方米</w:t>
      </w:r>
      <w:r>
        <w:rPr>
          <w:rFonts w:ascii="Arial" w:hAnsi="Arial"/>
          <w:color w:val="auto"/>
          <w:sz w:val="21"/>
          <w:szCs w:val="21"/>
        </w:rPr>
        <w:t>，同比下降</w:t>
      </w:r>
      <w:r>
        <w:rPr>
          <w:rFonts w:hint="eastAsia" w:ascii="Arial" w:hAnsi="Arial"/>
          <w:color w:val="auto"/>
          <w:sz w:val="21"/>
          <w:szCs w:val="21"/>
        </w:rPr>
        <w:t>70.8</w:t>
      </w:r>
      <w:r>
        <w:rPr>
          <w:rFonts w:ascii="Arial" w:hAnsi="Arial"/>
          <w:color w:val="auto"/>
          <w:sz w:val="21"/>
          <w:szCs w:val="21"/>
        </w:rPr>
        <w:t>%；</w:t>
      </w:r>
      <w:r>
        <w:rPr>
          <w:rFonts w:hint="eastAsia" w:ascii="Arial" w:hAnsi="Arial"/>
          <w:color w:val="auto"/>
          <w:sz w:val="21"/>
          <w:szCs w:val="21"/>
        </w:rPr>
        <w:t>土地成交价款合计115.77亿元，同比下降58.7%。与上半年相比，三季度土地市场明显转冷，住宅用地供求规模显著下降，除太阳宫地块外，均底价成交。</w:t>
      </w:r>
    </w:p>
    <w:p w14:paraId="52156F20">
      <w:pPr>
        <w:overflowPunct w:val="0"/>
        <w:spacing w:line="360" w:lineRule="auto"/>
        <w:jc w:val="center"/>
        <w:rPr>
          <w:rFonts w:ascii="Arial" w:hAnsi="Arial" w:eastAsia="仿宋_GB2312"/>
          <w:b/>
          <w:bCs/>
          <w:color w:val="auto"/>
          <w:szCs w:val="24"/>
        </w:rPr>
      </w:pPr>
      <w:r>
        <w:rPr>
          <w:color w:val="auto"/>
        </w:rPr>
        <w:drawing>
          <wp:inline distT="0" distB="0" distL="114300" distR="114300">
            <wp:extent cx="4442460" cy="2246630"/>
            <wp:effectExtent l="0" t="0" r="762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8"/>
                    <a:stretch>
                      <a:fillRect/>
                    </a:stretch>
                  </pic:blipFill>
                  <pic:spPr>
                    <a:xfrm>
                      <a:off x="0" y="0"/>
                      <a:ext cx="4442460" cy="2246630"/>
                    </a:xfrm>
                    <a:prstGeom prst="rect">
                      <a:avLst/>
                    </a:prstGeom>
                    <a:noFill/>
                    <a:ln>
                      <a:noFill/>
                    </a:ln>
                  </pic:spPr>
                </pic:pic>
              </a:graphicData>
            </a:graphic>
          </wp:inline>
        </w:drawing>
      </w:r>
    </w:p>
    <w:p w14:paraId="1B54FFA9">
      <w:pPr>
        <w:widowControl/>
        <w:overflowPunct w:val="0"/>
        <w:adjustRightInd/>
        <w:spacing w:line="480" w:lineRule="auto"/>
        <w:ind w:firstLine="420" w:firstLineChars="200"/>
        <w:jc w:val="both"/>
        <w:textAlignment w:val="auto"/>
        <w:rPr>
          <w:rFonts w:ascii="Arial" w:hAnsi="Arial"/>
          <w:color w:val="auto"/>
          <w:sz w:val="21"/>
          <w:szCs w:val="21"/>
        </w:rPr>
      </w:pPr>
      <w:r>
        <w:rPr>
          <w:rFonts w:hint="eastAsia" w:ascii="Arial" w:hAnsi="Arial"/>
          <w:color w:val="auto"/>
          <w:sz w:val="21"/>
          <w:szCs w:val="21"/>
        </w:rPr>
        <w:t>（2）土地成交情况</w:t>
      </w:r>
    </w:p>
    <w:p w14:paraId="26E0B27D">
      <w:pPr>
        <w:widowControl/>
        <w:adjustRightInd/>
        <w:spacing w:line="480" w:lineRule="auto"/>
        <w:ind w:firstLine="525" w:firstLineChars="250"/>
        <w:jc w:val="both"/>
        <w:textAlignment w:val="auto"/>
        <w:rPr>
          <w:rFonts w:ascii="Arial" w:hAnsi="Arial"/>
          <w:color w:val="auto"/>
          <w:sz w:val="21"/>
          <w:szCs w:val="21"/>
        </w:rPr>
      </w:pPr>
      <w:r>
        <w:rPr>
          <w:rFonts w:ascii="Arial" w:hAnsi="Arial"/>
          <w:color w:val="auto"/>
          <w:sz w:val="21"/>
          <w:szCs w:val="21"/>
        </w:rPr>
        <w:t>2025年</w:t>
      </w:r>
      <w:r>
        <w:rPr>
          <w:rFonts w:hint="eastAsia" w:ascii="Arial" w:hAnsi="Arial"/>
          <w:color w:val="auto"/>
          <w:sz w:val="21"/>
          <w:szCs w:val="21"/>
        </w:rPr>
        <w:t>三季度</w:t>
      </w:r>
      <w:r>
        <w:rPr>
          <w:rFonts w:ascii="Arial" w:hAnsi="Arial"/>
          <w:color w:val="auto"/>
          <w:sz w:val="21"/>
          <w:szCs w:val="21"/>
        </w:rPr>
        <w:t>，北京市商品住宅用地中心城区朝阳、丰台累计成交</w:t>
      </w:r>
      <w:r>
        <w:rPr>
          <w:rFonts w:hint="eastAsia" w:ascii="Arial" w:hAnsi="Arial"/>
          <w:color w:val="auto"/>
          <w:sz w:val="21"/>
          <w:szCs w:val="21"/>
        </w:rPr>
        <w:t>3</w:t>
      </w:r>
      <w:r>
        <w:rPr>
          <w:rFonts w:ascii="Arial" w:hAnsi="Arial"/>
          <w:color w:val="auto"/>
          <w:sz w:val="21"/>
          <w:szCs w:val="21"/>
        </w:rPr>
        <w:t>宗宅地，累计成交规划建面</w:t>
      </w:r>
      <w:r>
        <w:rPr>
          <w:rFonts w:hint="eastAsia" w:ascii="Arial" w:hAnsi="Arial"/>
          <w:color w:val="auto"/>
          <w:sz w:val="21"/>
          <w:szCs w:val="21"/>
        </w:rPr>
        <w:t>11.61</w:t>
      </w:r>
      <w:r>
        <w:rPr>
          <w:rFonts w:ascii="Arial" w:hAnsi="Arial"/>
          <w:color w:val="auto"/>
          <w:sz w:val="21"/>
          <w:szCs w:val="21"/>
        </w:rPr>
        <w:t>万</w:t>
      </w:r>
      <w:r>
        <w:rPr>
          <w:rFonts w:hint="eastAsia" w:ascii="Arial" w:hAnsi="Arial"/>
          <w:color w:val="auto"/>
          <w:sz w:val="21"/>
          <w:szCs w:val="21"/>
        </w:rPr>
        <w:t>平方米</w:t>
      </w:r>
      <w:r>
        <w:rPr>
          <w:rFonts w:ascii="Arial" w:hAnsi="Arial"/>
          <w:color w:val="auto"/>
          <w:sz w:val="21"/>
          <w:szCs w:val="21"/>
        </w:rPr>
        <w:t>，占比</w:t>
      </w:r>
      <w:r>
        <w:rPr>
          <w:rFonts w:hint="eastAsia" w:ascii="Arial" w:hAnsi="Arial"/>
          <w:color w:val="auto"/>
          <w:sz w:val="21"/>
          <w:szCs w:val="21"/>
        </w:rPr>
        <w:t>36</w:t>
      </w:r>
      <w:r>
        <w:rPr>
          <w:rFonts w:ascii="Arial" w:hAnsi="Arial"/>
          <w:color w:val="auto"/>
          <w:sz w:val="21"/>
          <w:szCs w:val="21"/>
        </w:rPr>
        <w:t>%，较上年同期增长</w:t>
      </w:r>
      <w:r>
        <w:rPr>
          <w:rFonts w:hint="eastAsia" w:ascii="Arial" w:hAnsi="Arial"/>
          <w:color w:val="auto"/>
          <w:sz w:val="21"/>
          <w:szCs w:val="21"/>
        </w:rPr>
        <w:t>21</w:t>
      </w:r>
      <w:r>
        <w:rPr>
          <w:rFonts w:ascii="Arial" w:hAnsi="Arial"/>
          <w:color w:val="auto"/>
          <w:sz w:val="21"/>
          <w:szCs w:val="21"/>
        </w:rPr>
        <w:t>个百分点。近郊区主要集中在</w:t>
      </w:r>
      <w:r>
        <w:rPr>
          <w:rFonts w:hint="eastAsia" w:ascii="Arial" w:hAnsi="Arial"/>
          <w:color w:val="auto"/>
          <w:sz w:val="21"/>
          <w:szCs w:val="21"/>
        </w:rPr>
        <w:t>昌平、门头沟和</w:t>
      </w:r>
      <w:r>
        <w:rPr>
          <w:rFonts w:ascii="Arial" w:hAnsi="Arial"/>
          <w:color w:val="auto"/>
          <w:sz w:val="21"/>
          <w:szCs w:val="21"/>
        </w:rPr>
        <w:t>顺义，累计成交</w:t>
      </w:r>
      <w:r>
        <w:rPr>
          <w:rFonts w:hint="eastAsia" w:ascii="Arial" w:hAnsi="Arial"/>
          <w:color w:val="auto"/>
          <w:sz w:val="21"/>
          <w:szCs w:val="21"/>
        </w:rPr>
        <w:t>16.78</w:t>
      </w:r>
      <w:r>
        <w:rPr>
          <w:rFonts w:ascii="Arial" w:hAnsi="Arial"/>
          <w:color w:val="auto"/>
          <w:sz w:val="21"/>
          <w:szCs w:val="21"/>
        </w:rPr>
        <w:t>万</w:t>
      </w:r>
      <w:r>
        <w:rPr>
          <w:rFonts w:hint="eastAsia" w:ascii="Arial" w:hAnsi="Arial"/>
          <w:color w:val="auto"/>
          <w:sz w:val="21"/>
          <w:szCs w:val="21"/>
        </w:rPr>
        <w:t>平方米</w:t>
      </w:r>
      <w:r>
        <w:rPr>
          <w:rFonts w:ascii="Arial" w:hAnsi="Arial"/>
          <w:color w:val="auto"/>
          <w:sz w:val="21"/>
          <w:szCs w:val="21"/>
        </w:rPr>
        <w:t>，占比为</w:t>
      </w:r>
      <w:r>
        <w:rPr>
          <w:rFonts w:hint="eastAsia" w:ascii="Arial" w:hAnsi="Arial"/>
          <w:color w:val="auto"/>
          <w:sz w:val="21"/>
          <w:szCs w:val="21"/>
        </w:rPr>
        <w:t>52</w:t>
      </w:r>
      <w:r>
        <w:rPr>
          <w:rFonts w:ascii="Arial" w:hAnsi="Arial"/>
          <w:color w:val="auto"/>
          <w:sz w:val="21"/>
          <w:szCs w:val="21"/>
        </w:rPr>
        <w:t>%，较去年同期下降</w:t>
      </w:r>
      <w:r>
        <w:rPr>
          <w:rFonts w:hint="eastAsia" w:ascii="Arial" w:hAnsi="Arial"/>
          <w:color w:val="auto"/>
          <w:sz w:val="21"/>
          <w:szCs w:val="21"/>
        </w:rPr>
        <w:t>33</w:t>
      </w:r>
      <w:r>
        <w:rPr>
          <w:rFonts w:ascii="Arial" w:hAnsi="Arial"/>
          <w:color w:val="auto"/>
          <w:sz w:val="21"/>
          <w:szCs w:val="21"/>
        </w:rPr>
        <w:t>个百分点；</w:t>
      </w:r>
      <w:r>
        <w:rPr>
          <w:rFonts w:hint="eastAsia" w:ascii="Arial" w:hAnsi="Arial"/>
          <w:color w:val="auto"/>
          <w:sz w:val="21"/>
          <w:szCs w:val="21"/>
        </w:rPr>
        <w:t>延庆</w:t>
      </w:r>
      <w:r>
        <w:rPr>
          <w:rFonts w:ascii="Arial" w:hAnsi="Arial"/>
          <w:color w:val="auto"/>
          <w:sz w:val="21"/>
          <w:szCs w:val="21"/>
        </w:rPr>
        <w:t>区成交</w:t>
      </w:r>
      <w:r>
        <w:rPr>
          <w:rFonts w:hint="eastAsia" w:ascii="Arial" w:hAnsi="Arial"/>
          <w:color w:val="auto"/>
          <w:sz w:val="21"/>
          <w:szCs w:val="21"/>
        </w:rPr>
        <w:t>1宗宅地，占比11%。</w:t>
      </w:r>
    </w:p>
    <w:p w14:paraId="152C32D0">
      <w:pPr>
        <w:overflowPunct w:val="0"/>
        <w:spacing w:line="360" w:lineRule="auto"/>
        <w:jc w:val="center"/>
        <w:textAlignment w:val="auto"/>
        <w:rPr>
          <w:rFonts w:ascii="Arial" w:hAnsi="Arial" w:eastAsia="仿宋_GB2312"/>
          <w:bCs/>
          <w:color w:val="auto"/>
          <w:sz w:val="28"/>
          <w:szCs w:val="28"/>
        </w:rPr>
      </w:pPr>
      <w:r>
        <w:rPr>
          <w:color w:val="auto"/>
        </w:rPr>
        <w:drawing>
          <wp:inline distT="0" distB="0" distL="114300" distR="114300">
            <wp:extent cx="5906135" cy="2948940"/>
            <wp:effectExtent l="0" t="0" r="6985"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9"/>
                    <a:stretch>
                      <a:fillRect/>
                    </a:stretch>
                  </pic:blipFill>
                  <pic:spPr>
                    <a:xfrm>
                      <a:off x="0" y="0"/>
                      <a:ext cx="5906135" cy="2948940"/>
                    </a:xfrm>
                    <a:prstGeom prst="rect">
                      <a:avLst/>
                    </a:prstGeom>
                    <a:noFill/>
                    <a:ln>
                      <a:noFill/>
                    </a:ln>
                  </pic:spPr>
                </pic:pic>
              </a:graphicData>
            </a:graphic>
          </wp:inline>
        </w:drawing>
      </w:r>
    </w:p>
    <w:p w14:paraId="5BA62163">
      <w:pPr>
        <w:widowControl/>
        <w:overflowPunct w:val="0"/>
        <w:adjustRightInd/>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color w:val="auto"/>
          <w:sz w:val="21"/>
          <w:szCs w:val="28"/>
        </w:rPr>
        <w:t>。</w:t>
      </w:r>
    </w:p>
    <w:p w14:paraId="0F5BCC47">
      <w:pPr>
        <w:widowControl/>
        <w:overflowPunct w:val="0"/>
        <w:adjustRightInd/>
        <w:spacing w:line="480" w:lineRule="auto"/>
        <w:jc w:val="center"/>
        <w:textAlignment w:val="auto"/>
        <w:rPr>
          <w:color w:val="auto"/>
        </w:rPr>
      </w:pPr>
      <w:r>
        <w:rPr>
          <w:color w:val="auto"/>
        </w:rPr>
        <w:drawing>
          <wp:inline distT="0" distB="0" distL="114300" distR="114300">
            <wp:extent cx="3623310" cy="3129915"/>
            <wp:effectExtent l="0" t="0" r="381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0"/>
                    <a:stretch>
                      <a:fillRect/>
                    </a:stretch>
                  </pic:blipFill>
                  <pic:spPr>
                    <a:xfrm>
                      <a:off x="0" y="0"/>
                      <a:ext cx="3623310" cy="3129915"/>
                    </a:xfrm>
                    <a:prstGeom prst="rect">
                      <a:avLst/>
                    </a:prstGeom>
                    <a:noFill/>
                    <a:ln>
                      <a:noFill/>
                    </a:ln>
                  </pic:spPr>
                </pic:pic>
              </a:graphicData>
            </a:graphic>
          </wp:inline>
        </w:drawing>
      </w:r>
    </w:p>
    <w:p w14:paraId="4FB87631">
      <w:pPr>
        <w:overflowPunct w:val="0"/>
        <w:spacing w:line="480" w:lineRule="auto"/>
        <w:ind w:firstLine="420" w:firstLineChars="200"/>
        <w:jc w:val="both"/>
        <w:textAlignment w:val="auto"/>
        <w:rPr>
          <w:rFonts w:ascii="Arial" w:hAnsi="Arial" w:cs="宋体"/>
          <w:color w:val="auto"/>
          <w:sz w:val="21"/>
          <w:szCs w:val="21"/>
        </w:rPr>
      </w:pPr>
      <w:r>
        <w:rPr>
          <w:rFonts w:hint="eastAsia" w:ascii="Arial" w:hAnsi="Arial" w:cs="宋体"/>
          <w:color w:val="auto"/>
          <w:sz w:val="21"/>
          <w:szCs w:val="21"/>
        </w:rPr>
        <w:t>（</w:t>
      </w:r>
      <w:r>
        <w:rPr>
          <w:rFonts w:hint="eastAsia" w:ascii="Arial" w:hAnsi="Arial"/>
          <w:color w:val="auto"/>
          <w:sz w:val="21"/>
        </w:rPr>
        <w:t>3</w:t>
      </w:r>
      <w:r>
        <w:rPr>
          <w:rFonts w:hint="eastAsia" w:ascii="Arial" w:hAnsi="Arial" w:cs="宋体"/>
          <w:color w:val="auto"/>
          <w:sz w:val="21"/>
          <w:szCs w:val="21"/>
        </w:rPr>
        <w:t>）土地成交价格</w:t>
      </w:r>
    </w:p>
    <w:p w14:paraId="729B0AB1">
      <w:pPr>
        <w:widowControl/>
        <w:overflowPunct w:val="0"/>
        <w:adjustRightInd/>
        <w:spacing w:line="480" w:lineRule="auto"/>
        <w:ind w:firstLine="420" w:firstLineChars="200"/>
        <w:jc w:val="both"/>
        <w:textAlignment w:val="auto"/>
        <w:rPr>
          <w:rFonts w:ascii="Arial" w:hAnsi="Arial"/>
          <w:color w:val="auto"/>
          <w:sz w:val="21"/>
          <w:szCs w:val="21"/>
        </w:rPr>
      </w:pPr>
      <w:r>
        <w:rPr>
          <w:rFonts w:ascii="Arial" w:hAnsi="Arial"/>
          <w:color w:val="auto"/>
          <w:sz w:val="21"/>
          <w:szCs w:val="21"/>
        </w:rPr>
        <w:t>2025年</w:t>
      </w:r>
      <w:r>
        <w:rPr>
          <w:rFonts w:hint="eastAsia" w:ascii="Arial" w:hAnsi="Arial"/>
          <w:color w:val="auto"/>
          <w:sz w:val="21"/>
          <w:szCs w:val="21"/>
        </w:rPr>
        <w:t>三季度</w:t>
      </w:r>
      <w:r>
        <w:rPr>
          <w:rFonts w:ascii="Arial" w:hAnsi="Arial"/>
          <w:color w:val="auto"/>
          <w:sz w:val="21"/>
          <w:szCs w:val="21"/>
        </w:rPr>
        <w:t>，在</w:t>
      </w:r>
      <w:r>
        <w:rPr>
          <w:rFonts w:hint="eastAsia" w:ascii="Arial" w:hAnsi="Arial"/>
          <w:color w:val="auto"/>
          <w:sz w:val="21"/>
          <w:szCs w:val="21"/>
        </w:rPr>
        <w:t>朝阳太阳宫、呼家楼以及丰台岳各庄</w:t>
      </w:r>
      <w:r>
        <w:rPr>
          <w:rFonts w:ascii="Arial" w:hAnsi="Arial"/>
          <w:color w:val="auto"/>
          <w:sz w:val="21"/>
          <w:szCs w:val="21"/>
        </w:rPr>
        <w:t>地块带动下，北京宅地整体成交楼面均价</w:t>
      </w:r>
      <w:r>
        <w:rPr>
          <w:rFonts w:hint="eastAsia" w:ascii="Arial" w:hAnsi="Arial"/>
          <w:color w:val="auto"/>
          <w:sz w:val="21"/>
          <w:szCs w:val="21"/>
        </w:rPr>
        <w:t>36161</w:t>
      </w:r>
      <w:r>
        <w:rPr>
          <w:rFonts w:ascii="Arial" w:hAnsi="Arial"/>
          <w:color w:val="auto"/>
          <w:sz w:val="21"/>
          <w:szCs w:val="21"/>
        </w:rPr>
        <w:t>元/</w:t>
      </w:r>
      <w:r>
        <w:rPr>
          <w:rFonts w:hint="eastAsia" w:ascii="Arial" w:hAnsi="Arial"/>
          <w:color w:val="auto"/>
          <w:sz w:val="21"/>
          <w:szCs w:val="21"/>
        </w:rPr>
        <w:t>平方米</w:t>
      </w:r>
      <w:r>
        <w:rPr>
          <w:rFonts w:ascii="Arial" w:hAnsi="Arial"/>
          <w:color w:val="auto"/>
          <w:sz w:val="21"/>
          <w:szCs w:val="21"/>
        </w:rPr>
        <w:t>，同比增长</w:t>
      </w:r>
      <w:r>
        <w:rPr>
          <w:rFonts w:hint="eastAsia" w:ascii="Arial" w:hAnsi="Arial"/>
          <w:color w:val="auto"/>
          <w:sz w:val="21"/>
          <w:szCs w:val="21"/>
        </w:rPr>
        <w:t>41.4</w:t>
      </w:r>
      <w:r>
        <w:rPr>
          <w:rFonts w:ascii="Arial" w:hAnsi="Arial"/>
          <w:color w:val="auto"/>
          <w:sz w:val="21"/>
          <w:szCs w:val="21"/>
        </w:rPr>
        <w:t>%。溢价率方面，受</w:t>
      </w:r>
      <w:r>
        <w:rPr>
          <w:rFonts w:hint="eastAsia" w:ascii="Arial" w:hAnsi="Arial"/>
          <w:color w:val="auto"/>
          <w:sz w:val="21"/>
          <w:szCs w:val="21"/>
        </w:rPr>
        <w:t>朝阳太阳宫</w:t>
      </w:r>
      <w:r>
        <w:rPr>
          <w:rFonts w:ascii="Arial" w:hAnsi="Arial"/>
          <w:color w:val="auto"/>
          <w:sz w:val="21"/>
          <w:szCs w:val="21"/>
        </w:rPr>
        <w:t>高溢价地块的带动下，</w:t>
      </w:r>
      <w:r>
        <w:rPr>
          <w:rFonts w:hint="eastAsia" w:ascii="Arial" w:hAnsi="Arial"/>
          <w:color w:val="auto"/>
          <w:sz w:val="21"/>
          <w:szCs w:val="21"/>
        </w:rPr>
        <w:t>三季度</w:t>
      </w:r>
      <w:r>
        <w:rPr>
          <w:rFonts w:ascii="Arial" w:hAnsi="Arial"/>
          <w:color w:val="auto"/>
          <w:sz w:val="21"/>
          <w:szCs w:val="21"/>
        </w:rPr>
        <w:t>北京宅地成交溢价率</w:t>
      </w:r>
      <w:r>
        <w:rPr>
          <w:rFonts w:hint="eastAsia" w:ascii="Arial" w:hAnsi="Arial"/>
          <w:color w:val="auto"/>
          <w:sz w:val="21"/>
          <w:szCs w:val="21"/>
        </w:rPr>
        <w:t>11.7</w:t>
      </w:r>
      <w:r>
        <w:rPr>
          <w:rFonts w:ascii="Arial" w:hAnsi="Arial"/>
          <w:color w:val="auto"/>
          <w:sz w:val="21"/>
          <w:szCs w:val="21"/>
        </w:rPr>
        <w:t>%，同比提升</w:t>
      </w:r>
      <w:r>
        <w:rPr>
          <w:rFonts w:hint="eastAsia" w:ascii="Arial" w:hAnsi="Arial"/>
          <w:color w:val="auto"/>
          <w:sz w:val="21"/>
          <w:szCs w:val="21"/>
        </w:rPr>
        <w:t>10.4</w:t>
      </w:r>
      <w:r>
        <w:rPr>
          <w:rFonts w:ascii="Arial" w:hAnsi="Arial"/>
          <w:color w:val="auto"/>
          <w:sz w:val="21"/>
          <w:szCs w:val="21"/>
        </w:rPr>
        <w:t>个百分点。整体来看</w:t>
      </w:r>
      <w:r>
        <w:rPr>
          <w:rFonts w:hint="eastAsia" w:ascii="Arial" w:hAnsi="Arial"/>
          <w:color w:val="auto"/>
          <w:sz w:val="21"/>
          <w:szCs w:val="21"/>
        </w:rPr>
        <w:t>，三季度北京宅地市场热度较低，仅太阳宫地块热度较高，经过超330轮现场举牌竞价成交，溢价率39.18%</w:t>
      </w:r>
      <w:r>
        <w:rPr>
          <w:rFonts w:ascii="Arial" w:hAnsi="Arial"/>
          <w:color w:val="auto"/>
          <w:sz w:val="21"/>
          <w:szCs w:val="21"/>
        </w:rPr>
        <w:t>，</w:t>
      </w:r>
      <w:r>
        <w:rPr>
          <w:rFonts w:hint="eastAsia" w:ascii="Arial" w:hAnsi="Arial"/>
          <w:color w:val="auto"/>
          <w:sz w:val="21"/>
          <w:szCs w:val="21"/>
        </w:rPr>
        <w:t>而其余6</w:t>
      </w:r>
      <w:r>
        <w:rPr>
          <w:rFonts w:ascii="Arial" w:hAnsi="Arial"/>
          <w:color w:val="auto"/>
          <w:sz w:val="21"/>
          <w:szCs w:val="21"/>
        </w:rPr>
        <w:t>宗地块</w:t>
      </w:r>
      <w:r>
        <w:rPr>
          <w:rFonts w:hint="eastAsia" w:ascii="Arial" w:hAnsi="Arial"/>
          <w:color w:val="auto"/>
          <w:sz w:val="21"/>
          <w:szCs w:val="21"/>
        </w:rPr>
        <w:t>均</w:t>
      </w:r>
      <w:r>
        <w:rPr>
          <w:rFonts w:ascii="Arial" w:hAnsi="Arial"/>
          <w:color w:val="auto"/>
          <w:sz w:val="21"/>
          <w:szCs w:val="21"/>
        </w:rPr>
        <w:t>以底价成交。</w:t>
      </w:r>
    </w:p>
    <w:p w14:paraId="40F620C9">
      <w:pPr>
        <w:spacing w:line="480" w:lineRule="auto"/>
        <w:jc w:val="center"/>
        <w:rPr>
          <w:rFonts w:ascii="Arial" w:hAnsi="Arial" w:cs="Arial"/>
          <w:color w:val="auto"/>
          <w:sz w:val="21"/>
          <w:szCs w:val="21"/>
        </w:rPr>
      </w:pPr>
      <w:r>
        <w:rPr>
          <w:color w:val="auto"/>
        </w:rPr>
        <w:drawing>
          <wp:inline distT="0" distB="0" distL="114300" distR="114300">
            <wp:extent cx="5323205" cy="298577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stretch>
                      <a:fillRect/>
                    </a:stretch>
                  </pic:blipFill>
                  <pic:spPr>
                    <a:xfrm>
                      <a:off x="0" y="0"/>
                      <a:ext cx="5323205" cy="2985770"/>
                    </a:xfrm>
                    <a:prstGeom prst="rect">
                      <a:avLst/>
                    </a:prstGeom>
                    <a:noFill/>
                    <a:ln>
                      <a:noFill/>
                    </a:ln>
                  </pic:spPr>
                </pic:pic>
              </a:graphicData>
            </a:graphic>
          </wp:inline>
        </w:drawing>
      </w:r>
    </w:p>
    <w:p w14:paraId="3D549BDB">
      <w:pPr>
        <w:overflowPunct w:val="0"/>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3.商品房住宅市场</w:t>
      </w:r>
    </w:p>
    <w:p w14:paraId="71EBFC6B">
      <w:pPr>
        <w:overflowPunct w:val="0"/>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（1）商品住宅供给状况</w:t>
      </w:r>
    </w:p>
    <w:p w14:paraId="053F893D">
      <w:pPr>
        <w:spacing w:line="360" w:lineRule="auto"/>
        <w:ind w:firstLine="420" w:firstLineChars="200"/>
        <w:jc w:val="both"/>
        <w:outlineLvl w:val="0"/>
        <w:rPr>
          <w:rFonts w:ascii="Arial" w:hAnsi="Arial"/>
          <w:color w:val="auto"/>
          <w:sz w:val="21"/>
          <w:szCs w:val="28"/>
        </w:rPr>
      </w:pPr>
      <w:r>
        <w:rPr>
          <w:rFonts w:ascii="Arial" w:hAnsi="Arial"/>
          <w:color w:val="auto"/>
          <w:sz w:val="21"/>
          <w:szCs w:val="21"/>
        </w:rPr>
        <w:t>2025年</w:t>
      </w:r>
      <w:r>
        <w:rPr>
          <w:rFonts w:hint="eastAsia" w:ascii="Arial" w:hAnsi="Arial"/>
          <w:color w:val="auto"/>
          <w:sz w:val="21"/>
          <w:szCs w:val="21"/>
        </w:rPr>
        <w:t>三季度，</w:t>
      </w:r>
      <w:r>
        <w:rPr>
          <w:rFonts w:ascii="Arial" w:hAnsi="Arial"/>
          <w:color w:val="auto"/>
          <w:sz w:val="21"/>
          <w:szCs w:val="21"/>
        </w:rPr>
        <w:t>北京商品住宅（不含保障</w:t>
      </w:r>
      <w:r>
        <w:rPr>
          <w:rFonts w:hint="eastAsia" w:ascii="Arial" w:hAnsi="Arial"/>
          <w:color w:val="auto"/>
          <w:sz w:val="21"/>
          <w:szCs w:val="21"/>
        </w:rPr>
        <w:t>性住</w:t>
      </w:r>
      <w:r>
        <w:rPr>
          <w:rFonts w:ascii="Arial" w:hAnsi="Arial"/>
          <w:color w:val="auto"/>
          <w:sz w:val="21"/>
          <w:szCs w:val="21"/>
        </w:rPr>
        <w:t>房）累计供应</w:t>
      </w:r>
      <w:r>
        <w:rPr>
          <w:rFonts w:hint="eastAsia" w:ascii="Arial" w:hAnsi="Arial"/>
          <w:color w:val="auto"/>
          <w:sz w:val="21"/>
          <w:szCs w:val="21"/>
        </w:rPr>
        <w:t>100</w:t>
      </w:r>
      <w:r>
        <w:rPr>
          <w:rFonts w:ascii="Arial" w:hAnsi="Arial"/>
          <w:color w:val="auto"/>
          <w:sz w:val="21"/>
          <w:szCs w:val="21"/>
        </w:rPr>
        <w:t>万</w:t>
      </w:r>
      <w:r>
        <w:rPr>
          <w:rFonts w:hint="eastAsia" w:ascii="Arial" w:hAnsi="Arial"/>
          <w:color w:val="auto"/>
          <w:sz w:val="21"/>
          <w:szCs w:val="21"/>
        </w:rPr>
        <w:t>平方米</w:t>
      </w:r>
      <w:r>
        <w:rPr>
          <w:rFonts w:ascii="Arial" w:hAnsi="Arial"/>
          <w:color w:val="auto"/>
          <w:sz w:val="21"/>
          <w:szCs w:val="21"/>
        </w:rPr>
        <w:t>，</w:t>
      </w:r>
      <w:r>
        <w:rPr>
          <w:rFonts w:hint="eastAsia" w:ascii="Arial" w:hAnsi="Arial"/>
          <w:color w:val="auto"/>
          <w:sz w:val="21"/>
          <w:szCs w:val="21"/>
        </w:rPr>
        <w:t>月均供应量居近几年同期低位</w:t>
      </w:r>
      <w:r>
        <w:rPr>
          <w:rFonts w:ascii="Arial" w:hAnsi="Arial"/>
          <w:color w:val="auto"/>
          <w:sz w:val="21"/>
          <w:szCs w:val="21"/>
        </w:rPr>
        <w:t>。</w:t>
      </w:r>
      <w:r>
        <w:rPr>
          <w:rFonts w:hint="eastAsia" w:ascii="Arial" w:hAnsi="Arial"/>
          <w:color w:val="auto"/>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auto"/>
          <w:sz w:val="21"/>
          <w:szCs w:val="28"/>
        </w:rPr>
        <w:t>。</w:t>
      </w:r>
    </w:p>
    <w:p w14:paraId="7180A014">
      <w:pPr>
        <w:overflowPunct w:val="0"/>
        <w:spacing w:line="480" w:lineRule="auto"/>
        <w:jc w:val="center"/>
        <w:textAlignment w:val="auto"/>
        <w:rPr>
          <w:rFonts w:ascii="Arial" w:hAnsi="Arial"/>
          <w:color w:val="auto"/>
          <w:sz w:val="21"/>
          <w:szCs w:val="28"/>
        </w:rPr>
      </w:pPr>
      <w:r>
        <w:rPr>
          <w:color w:val="auto"/>
        </w:rPr>
        <w:drawing>
          <wp:inline distT="0" distB="0" distL="114300" distR="114300">
            <wp:extent cx="5618480" cy="3284220"/>
            <wp:effectExtent l="0" t="0" r="508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a:stretch>
                      <a:fillRect/>
                    </a:stretch>
                  </pic:blipFill>
                  <pic:spPr>
                    <a:xfrm>
                      <a:off x="0" y="0"/>
                      <a:ext cx="5618480" cy="3284220"/>
                    </a:xfrm>
                    <a:prstGeom prst="rect">
                      <a:avLst/>
                    </a:prstGeom>
                    <a:noFill/>
                    <a:ln>
                      <a:noFill/>
                    </a:ln>
                  </pic:spPr>
                </pic:pic>
              </a:graphicData>
            </a:graphic>
          </wp:inline>
        </w:drawing>
      </w:r>
    </w:p>
    <w:p w14:paraId="6E8A24EF">
      <w:pPr>
        <w:spacing w:line="360" w:lineRule="auto"/>
        <w:ind w:firstLine="420" w:firstLineChars="200"/>
        <w:jc w:val="both"/>
        <w:outlineLvl w:val="0"/>
        <w:rPr>
          <w:rFonts w:ascii="Arial" w:hAnsi="Arial"/>
          <w:color w:val="auto"/>
          <w:sz w:val="21"/>
          <w:szCs w:val="21"/>
        </w:rPr>
      </w:pPr>
      <w:r>
        <w:rPr>
          <w:rFonts w:ascii="Arial" w:hAnsi="Arial"/>
          <w:color w:val="auto"/>
          <w:sz w:val="21"/>
          <w:szCs w:val="21"/>
        </w:rPr>
        <w:t>2025年三季度北京商品住宅（不含保障房）库存规模同比增加，但仍居近年同期低位。截至</w:t>
      </w:r>
      <w:r>
        <w:rPr>
          <w:rFonts w:hint="eastAsia" w:ascii="Arial" w:hAnsi="Arial"/>
          <w:color w:val="auto"/>
          <w:sz w:val="21"/>
          <w:szCs w:val="21"/>
        </w:rPr>
        <w:t>9</w:t>
      </w:r>
      <w:r>
        <w:rPr>
          <w:rFonts w:ascii="Arial" w:hAnsi="Arial"/>
          <w:color w:val="auto"/>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auto"/>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auto"/>
          <w:sz w:val="21"/>
          <w:szCs w:val="21"/>
        </w:rPr>
        <w:t>止到9月去化周期回升至23.0个月。</w:t>
      </w:r>
    </w:p>
    <w:p w14:paraId="44B7E6D3">
      <w:pPr>
        <w:overflowPunct w:val="0"/>
        <w:spacing w:line="480" w:lineRule="auto"/>
        <w:jc w:val="center"/>
        <w:textAlignment w:val="auto"/>
        <w:rPr>
          <w:rFonts w:ascii="Arial" w:hAnsi="Arial"/>
          <w:color w:val="auto"/>
          <w:sz w:val="21"/>
        </w:rPr>
      </w:pPr>
      <w:r>
        <w:rPr>
          <w:color w:val="auto"/>
        </w:rPr>
        <w:drawing>
          <wp:inline distT="0" distB="0" distL="114300" distR="114300">
            <wp:extent cx="5904865" cy="1840865"/>
            <wp:effectExtent l="0" t="0" r="825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5E1F0C2F">
      <w:pPr>
        <w:overflowPunct w:val="0"/>
        <w:spacing w:line="480" w:lineRule="auto"/>
        <w:ind w:firstLine="420" w:firstLineChars="200"/>
        <w:jc w:val="both"/>
        <w:textAlignment w:val="auto"/>
        <w:rPr>
          <w:rFonts w:ascii="Arial" w:hAnsi="Arial"/>
          <w:bCs/>
          <w:color w:val="auto"/>
          <w:sz w:val="21"/>
          <w:szCs w:val="28"/>
        </w:rPr>
      </w:pPr>
      <w:r>
        <w:rPr>
          <w:rFonts w:hint="eastAsia" w:ascii="Arial" w:hAnsi="Arial"/>
          <w:color w:val="auto"/>
          <w:sz w:val="21"/>
          <w:szCs w:val="28"/>
        </w:rPr>
        <w:t>（2）商品</w:t>
      </w:r>
      <w:r>
        <w:rPr>
          <w:rFonts w:hint="eastAsia" w:ascii="Arial" w:hAnsi="Arial"/>
          <w:bCs/>
          <w:color w:val="auto"/>
          <w:sz w:val="21"/>
          <w:szCs w:val="28"/>
        </w:rPr>
        <w:t>住宅成交情况</w:t>
      </w:r>
    </w:p>
    <w:p w14:paraId="6823579D">
      <w:pPr>
        <w:tabs>
          <w:tab w:val="left" w:pos="426"/>
        </w:tabs>
        <w:overflowPunct w:val="0"/>
        <w:spacing w:line="480" w:lineRule="auto"/>
        <w:ind w:firstLine="420" w:firstLineChars="200"/>
        <w:jc w:val="both"/>
        <w:textAlignment w:val="auto"/>
        <w:rPr>
          <w:rFonts w:ascii="Arial" w:hAnsi="Arial"/>
          <w:color w:val="auto"/>
          <w:sz w:val="21"/>
        </w:rPr>
      </w:pPr>
      <w:r>
        <w:rPr>
          <w:rFonts w:hint="eastAsia" w:ascii="Arial" w:hAnsi="Arial"/>
          <w:color w:val="auto"/>
          <w:sz w:val="21"/>
        </w:rPr>
        <w:t>1）成交量</w:t>
      </w:r>
    </w:p>
    <w:p w14:paraId="2EE51B7F">
      <w:pPr>
        <w:spacing w:line="360" w:lineRule="auto"/>
        <w:ind w:firstLine="420" w:firstLineChars="200"/>
        <w:jc w:val="both"/>
        <w:outlineLvl w:val="0"/>
        <w:rPr>
          <w:rFonts w:ascii="Arial" w:hAnsi="Arial"/>
          <w:color w:val="auto"/>
          <w:sz w:val="21"/>
          <w:szCs w:val="28"/>
        </w:rPr>
      </w:pPr>
      <w:r>
        <w:rPr>
          <w:rFonts w:ascii="Arial" w:hAnsi="Arial"/>
          <w:color w:val="auto"/>
          <w:sz w:val="21"/>
          <w:szCs w:val="21"/>
        </w:rPr>
        <w:t>2025年三季度北京市场活跃度下滑，成交规模同环比均有所减少。2025年1-9月北京新房市场累计成交规模为338.49万</w:t>
      </w:r>
      <w:r>
        <w:rPr>
          <w:rFonts w:hint="eastAsia" w:ascii="Arial" w:hAnsi="Arial"/>
          <w:color w:val="auto"/>
          <w:sz w:val="21"/>
          <w:szCs w:val="21"/>
        </w:rPr>
        <w:t>平方米</w:t>
      </w:r>
      <w:r>
        <w:rPr>
          <w:rFonts w:ascii="Arial" w:hAnsi="Arial"/>
          <w:color w:val="auto"/>
          <w:sz w:val="21"/>
          <w:szCs w:val="21"/>
        </w:rPr>
        <w:t>，同比增加12%。其中，三季度来看，北京新房市场活跃度同环比均有所回落，市场活跃度有所下滑，商品住宅累计成交规模约为105.73万</w:t>
      </w:r>
      <w:r>
        <w:rPr>
          <w:rFonts w:hint="eastAsia" w:ascii="Arial" w:hAnsi="Arial"/>
          <w:color w:val="auto"/>
          <w:sz w:val="21"/>
          <w:szCs w:val="21"/>
        </w:rPr>
        <w:t>平方米</w:t>
      </w:r>
      <w:r>
        <w:rPr>
          <w:rFonts w:ascii="Arial" w:hAnsi="Arial"/>
          <w:color w:val="auto"/>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color w:val="auto"/>
          <w:sz w:val="21"/>
          <w:szCs w:val="28"/>
        </w:rPr>
        <w:t>。</w:t>
      </w:r>
    </w:p>
    <w:p w14:paraId="265C9B79">
      <w:pPr>
        <w:overflowPunct w:val="0"/>
        <w:spacing w:line="480" w:lineRule="auto"/>
        <w:jc w:val="both"/>
        <w:textAlignment w:val="auto"/>
        <w:rPr>
          <w:rFonts w:ascii="Arial" w:hAnsi="Arial"/>
          <w:color w:val="auto"/>
          <w:sz w:val="21"/>
        </w:rPr>
      </w:pPr>
      <w:r>
        <w:rPr>
          <w:color w:val="auto"/>
        </w:rPr>
        <w:drawing>
          <wp:inline distT="0" distB="0" distL="114300" distR="114300">
            <wp:extent cx="5904865" cy="166814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49C53D9C">
      <w:pPr>
        <w:overflowPunct w:val="0"/>
        <w:spacing w:line="480" w:lineRule="auto"/>
        <w:ind w:firstLine="420" w:firstLineChars="200"/>
        <w:textAlignment w:val="auto"/>
        <w:rPr>
          <w:rFonts w:ascii="Arial" w:hAnsi="Arial"/>
          <w:color w:val="auto"/>
          <w:sz w:val="21"/>
        </w:rPr>
      </w:pPr>
      <w:r>
        <w:rPr>
          <w:rFonts w:hint="eastAsia" w:ascii="Arial" w:hAnsi="Arial"/>
          <w:color w:val="auto"/>
          <w:sz w:val="21"/>
        </w:rPr>
        <w:t>2）成交价格</w:t>
      </w:r>
    </w:p>
    <w:p w14:paraId="2ED95C8B">
      <w:pPr>
        <w:overflowPunct w:val="0"/>
        <w:spacing w:line="480" w:lineRule="auto"/>
        <w:ind w:firstLine="420" w:firstLineChars="200"/>
        <w:textAlignment w:val="auto"/>
        <w:rPr>
          <w:rFonts w:ascii="Arial" w:hAnsi="Arial"/>
          <w:color w:val="auto"/>
          <w:sz w:val="21"/>
          <w:szCs w:val="28"/>
        </w:rPr>
      </w:pPr>
      <w:r>
        <w:rPr>
          <w:rFonts w:hint="eastAsia" w:ascii="Arial" w:hAnsi="Arial"/>
          <w:color w:val="auto"/>
          <w:sz w:val="21"/>
          <w:szCs w:val="28"/>
        </w:rPr>
        <w:t>A.成交价格</w:t>
      </w:r>
    </w:p>
    <w:p w14:paraId="63C0164A">
      <w:pPr>
        <w:spacing w:line="360" w:lineRule="auto"/>
        <w:ind w:firstLine="420" w:firstLineChars="200"/>
        <w:jc w:val="both"/>
        <w:outlineLvl w:val="0"/>
        <w:rPr>
          <w:rFonts w:ascii="Arial" w:hAnsi="Arial"/>
          <w:color w:val="auto"/>
          <w:sz w:val="21"/>
          <w:szCs w:val="28"/>
        </w:rPr>
      </w:pPr>
      <w:r>
        <w:rPr>
          <w:rFonts w:ascii="Arial" w:hAnsi="Arial"/>
          <w:color w:val="auto"/>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color w:val="auto"/>
          <w:sz w:val="21"/>
          <w:szCs w:val="28"/>
        </w:rPr>
        <w:t>。</w:t>
      </w:r>
    </w:p>
    <w:p w14:paraId="5B23EDE5">
      <w:pPr>
        <w:tabs>
          <w:tab w:val="left" w:pos="426"/>
        </w:tabs>
        <w:overflowPunct w:val="0"/>
        <w:spacing w:line="480" w:lineRule="auto"/>
        <w:jc w:val="center"/>
        <w:textAlignment w:val="auto"/>
        <w:rPr>
          <w:rFonts w:ascii="Arial" w:hAnsi="Arial"/>
          <w:color w:val="auto"/>
          <w:sz w:val="21"/>
          <w:szCs w:val="28"/>
        </w:rPr>
      </w:pPr>
      <w:r>
        <w:rPr>
          <w:color w:val="auto"/>
        </w:rPr>
        <w:drawing>
          <wp:inline distT="0" distB="0" distL="114300" distR="114300">
            <wp:extent cx="5904865" cy="183578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0C6A624E">
      <w:pPr>
        <w:overflowPunct w:val="0"/>
        <w:spacing w:line="480" w:lineRule="auto"/>
        <w:ind w:firstLine="420" w:firstLineChars="200"/>
        <w:textAlignment w:val="auto"/>
        <w:rPr>
          <w:rFonts w:ascii="Arial" w:hAnsi="Arial"/>
          <w:color w:val="auto"/>
          <w:sz w:val="21"/>
          <w:szCs w:val="28"/>
        </w:rPr>
      </w:pPr>
      <w:r>
        <w:rPr>
          <w:rFonts w:hint="eastAsia" w:ascii="Arial" w:hAnsi="Arial"/>
          <w:color w:val="auto"/>
          <w:sz w:val="21"/>
          <w:szCs w:val="28"/>
        </w:rPr>
        <w:t>B.</w:t>
      </w:r>
      <w:r>
        <w:rPr>
          <w:rFonts w:hint="eastAsia"/>
          <w:color w:val="auto"/>
        </w:rPr>
        <w:t xml:space="preserve"> </w:t>
      </w:r>
      <w:r>
        <w:rPr>
          <w:rFonts w:hint="eastAsia" w:ascii="Arial" w:hAnsi="Arial"/>
          <w:color w:val="auto"/>
          <w:sz w:val="21"/>
          <w:szCs w:val="28"/>
        </w:rPr>
        <w:t>成交结构</w:t>
      </w:r>
    </w:p>
    <w:p w14:paraId="684A0454">
      <w:pPr>
        <w:overflowPunct w:val="0"/>
        <w:spacing w:line="480" w:lineRule="auto"/>
        <w:ind w:firstLine="420" w:firstLineChars="200"/>
        <w:jc w:val="both"/>
        <w:textAlignment w:val="auto"/>
        <w:rPr>
          <w:rFonts w:ascii="Arial" w:hAnsi="Arial"/>
          <w:color w:val="auto"/>
          <w:sz w:val="21"/>
          <w:szCs w:val="28"/>
        </w:rPr>
      </w:pPr>
      <w:r>
        <w:rPr>
          <w:rFonts w:ascii="Arial" w:hAnsi="Arial"/>
          <w:color w:val="auto"/>
          <w:sz w:val="21"/>
          <w:szCs w:val="28"/>
        </w:rPr>
        <w:t>2025年三季度，90-200</w:t>
      </w:r>
      <w:r>
        <w:rPr>
          <w:rFonts w:hint="eastAsia" w:ascii="Arial" w:hAnsi="Arial"/>
          <w:color w:val="auto"/>
          <w:sz w:val="21"/>
          <w:szCs w:val="28"/>
        </w:rPr>
        <w:t>平方米</w:t>
      </w:r>
      <w:r>
        <w:rPr>
          <w:rFonts w:ascii="Arial" w:hAnsi="Arial"/>
          <w:color w:val="auto"/>
          <w:sz w:val="21"/>
          <w:szCs w:val="28"/>
        </w:rPr>
        <w:t>面积段的刚改和改善型产品成交占比提升明显，成交套数占比达 71.1%，占比提升5.6个百分点，中低面积段产品成交占比下滑明显，占比为21.6%，同比减少6.6个百分点。成交总价段在500-1200万</w:t>
      </w:r>
      <w:bookmarkStart w:id="60" w:name="OLE_LINK10"/>
      <w:r>
        <w:rPr>
          <w:rFonts w:hint="eastAsia" w:ascii="Arial" w:hAnsi="Arial"/>
          <w:color w:val="auto"/>
          <w:sz w:val="21"/>
          <w:szCs w:val="28"/>
        </w:rPr>
        <w:t>元</w:t>
      </w:r>
      <w:bookmarkEnd w:id="60"/>
      <w:r>
        <w:rPr>
          <w:rFonts w:ascii="Arial" w:hAnsi="Arial"/>
          <w:color w:val="auto"/>
          <w:sz w:val="21"/>
          <w:szCs w:val="28"/>
        </w:rPr>
        <w:t>之间的中高价位段产品成交占比提升较多，较去年同期增加4.3个百分点，其中500-800万</w:t>
      </w:r>
      <w:r>
        <w:rPr>
          <w:rFonts w:hint="eastAsia" w:ascii="Arial" w:hAnsi="Arial"/>
          <w:color w:val="auto"/>
          <w:sz w:val="21"/>
          <w:szCs w:val="28"/>
        </w:rPr>
        <w:t>元</w:t>
      </w:r>
      <w:r>
        <w:rPr>
          <w:rFonts w:ascii="Arial" w:hAnsi="Arial"/>
          <w:color w:val="auto"/>
          <w:sz w:val="21"/>
          <w:szCs w:val="28"/>
        </w:rPr>
        <w:t>之间产品市场占比最高，较去年同期增加5.0个百分点；中低总价段产品成交占比下滑幅度较大，占比较去年同 期减少7.6个百分点，其中300-500万</w:t>
      </w:r>
      <w:r>
        <w:rPr>
          <w:rFonts w:hint="eastAsia" w:ascii="Arial" w:hAnsi="Arial"/>
          <w:color w:val="auto"/>
          <w:sz w:val="21"/>
          <w:szCs w:val="28"/>
        </w:rPr>
        <w:t>元</w:t>
      </w:r>
      <w:r>
        <w:rPr>
          <w:rFonts w:ascii="Arial" w:hAnsi="Arial"/>
          <w:color w:val="auto"/>
          <w:sz w:val="21"/>
          <w:szCs w:val="28"/>
        </w:rPr>
        <w:t>之间产品成交占比下滑明显，较去年同期减少4.2个百分点；300万</w:t>
      </w:r>
      <w:r>
        <w:rPr>
          <w:rFonts w:hint="eastAsia" w:ascii="Arial" w:hAnsi="Arial"/>
          <w:color w:val="auto"/>
          <w:sz w:val="21"/>
          <w:szCs w:val="28"/>
        </w:rPr>
        <w:t>元</w:t>
      </w:r>
      <w:r>
        <w:rPr>
          <w:rFonts w:ascii="Arial" w:hAnsi="Arial"/>
          <w:color w:val="auto"/>
          <w:sz w:val="21"/>
          <w:szCs w:val="28"/>
        </w:rPr>
        <w:t>以下产品成交占比下滑3.4个百分点。</w:t>
      </w:r>
    </w:p>
    <w:p w14:paraId="7A94FAFB">
      <w:pPr>
        <w:overflowPunct w:val="0"/>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2025年</w:t>
      </w:r>
      <w:r>
        <w:rPr>
          <w:rFonts w:ascii="Arial" w:hAnsi="Arial"/>
          <w:color w:val="auto"/>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color w:val="auto"/>
          <w:sz w:val="21"/>
          <w:szCs w:val="28"/>
        </w:rPr>
        <w:t>平方米</w:t>
      </w:r>
      <w:r>
        <w:rPr>
          <w:rFonts w:ascii="Arial" w:hAnsi="Arial"/>
          <w:color w:val="auto"/>
          <w:sz w:val="21"/>
          <w:szCs w:val="28"/>
        </w:rPr>
        <w:t>之间；另一方面，入市项目区位优势较为明显，周边产业等配套资源丰富，市场需求支撑度较高，项目成交均价多数均超10万元/</w:t>
      </w:r>
      <w:r>
        <w:rPr>
          <w:rFonts w:hint="eastAsia" w:ascii="Arial" w:hAnsi="Arial"/>
          <w:color w:val="auto"/>
          <w:sz w:val="21"/>
          <w:szCs w:val="28"/>
        </w:rPr>
        <w:t>平方米</w:t>
      </w:r>
      <w:r>
        <w:rPr>
          <w:rFonts w:ascii="Arial" w:hAnsi="Arial"/>
          <w:color w:val="auto"/>
          <w:sz w:val="21"/>
          <w:szCs w:val="28"/>
        </w:rPr>
        <w:t>。</w:t>
      </w:r>
    </w:p>
    <w:p w14:paraId="406D61AD">
      <w:pPr>
        <w:overflowPunct w:val="0"/>
        <w:spacing w:line="480" w:lineRule="auto"/>
        <w:jc w:val="center"/>
        <w:textAlignment w:val="auto"/>
        <w:rPr>
          <w:color w:val="auto"/>
        </w:rPr>
      </w:pPr>
      <w:r>
        <w:rPr>
          <w:color w:val="auto"/>
        </w:rP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3F48F24E">
      <w:pPr>
        <w:overflowPunct w:val="0"/>
        <w:spacing w:line="480" w:lineRule="auto"/>
        <w:ind w:firstLine="420" w:firstLineChars="200"/>
        <w:textAlignment w:val="auto"/>
        <w:rPr>
          <w:rFonts w:ascii="Arial" w:hAnsi="Arial"/>
          <w:color w:val="auto"/>
          <w:sz w:val="21"/>
        </w:rPr>
      </w:pPr>
      <w:r>
        <w:rPr>
          <w:rFonts w:hint="eastAsia" w:ascii="Arial" w:hAnsi="Arial"/>
          <w:color w:val="auto"/>
          <w:sz w:val="21"/>
        </w:rPr>
        <w:t>3）区域成交</w:t>
      </w:r>
    </w:p>
    <w:p w14:paraId="6C84669C">
      <w:pPr>
        <w:overflowPunct w:val="0"/>
        <w:spacing w:line="480" w:lineRule="auto"/>
        <w:ind w:firstLine="420" w:firstLineChars="200"/>
        <w:jc w:val="both"/>
        <w:textAlignment w:val="auto"/>
        <w:rPr>
          <w:rFonts w:ascii="Arial" w:hAnsi="Arial"/>
          <w:color w:val="auto"/>
          <w:sz w:val="21"/>
          <w:szCs w:val="28"/>
        </w:rPr>
      </w:pPr>
      <w:r>
        <w:rPr>
          <w:rFonts w:ascii="Arial" w:hAnsi="Arial"/>
          <w:color w:val="auto"/>
          <w:sz w:val="21"/>
          <w:szCs w:val="28"/>
        </w:rPr>
        <w:t>从区域成交规模来看，近郊六区仍为市场成交主力区域，成交规模占比超五成。2025年三季度近郊六区成交56.17万</w:t>
      </w:r>
      <w:r>
        <w:rPr>
          <w:rFonts w:hint="eastAsia" w:ascii="Arial" w:hAnsi="Arial"/>
          <w:color w:val="auto"/>
          <w:sz w:val="21"/>
          <w:szCs w:val="28"/>
        </w:rPr>
        <w:t>平方米</w:t>
      </w:r>
      <w:r>
        <w:rPr>
          <w:rFonts w:ascii="Arial" w:hAnsi="Arial"/>
          <w:color w:val="auto"/>
          <w:sz w:val="21"/>
          <w:szCs w:val="28"/>
        </w:rPr>
        <w:t>，占比达53.1%；其中，通州、大兴累计成交占全市的比重均超10%。中心城区累计成交42.36万</w:t>
      </w:r>
      <w:r>
        <w:rPr>
          <w:rFonts w:hint="eastAsia" w:ascii="Arial" w:hAnsi="Arial"/>
          <w:color w:val="auto"/>
          <w:sz w:val="21"/>
          <w:szCs w:val="28"/>
        </w:rPr>
        <w:t>平方米</w:t>
      </w:r>
      <w:r>
        <w:rPr>
          <w:rFonts w:ascii="Arial" w:hAnsi="Arial"/>
          <w:color w:val="auto"/>
          <w:sz w:val="21"/>
          <w:szCs w:val="28"/>
        </w:rPr>
        <w:t>，成交占比为40.1%，朝阳、丰台成交规模居前列，成交规模占全市的比重均超10%。</w:t>
      </w:r>
    </w:p>
    <w:p w14:paraId="2E616B6E">
      <w:pPr>
        <w:overflowPunct w:val="0"/>
        <w:spacing w:line="480" w:lineRule="auto"/>
        <w:ind w:firstLine="420" w:firstLineChars="200"/>
        <w:jc w:val="both"/>
        <w:textAlignment w:val="auto"/>
        <w:rPr>
          <w:rFonts w:ascii="Arial" w:hAnsi="Arial"/>
          <w:color w:val="auto"/>
          <w:sz w:val="21"/>
          <w:szCs w:val="28"/>
        </w:rPr>
      </w:pPr>
      <w:r>
        <w:rPr>
          <w:rFonts w:ascii="Arial" w:hAnsi="Arial"/>
          <w:color w:val="auto"/>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6A631F12">
      <w:pPr>
        <w:tabs>
          <w:tab w:val="left" w:pos="0"/>
        </w:tabs>
        <w:overflowPunct w:val="0"/>
        <w:spacing w:line="480" w:lineRule="auto"/>
        <w:jc w:val="center"/>
        <w:textAlignment w:val="auto"/>
        <w:rPr>
          <w:color w:val="auto"/>
        </w:rPr>
      </w:pPr>
      <w:r>
        <w:rPr>
          <w:color w:val="auto"/>
        </w:rPr>
        <w:drawing>
          <wp:inline distT="0" distB="0" distL="114300" distR="114300">
            <wp:extent cx="5908040" cy="194183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77ABD3A5">
      <w:pPr>
        <w:overflowPunct w:val="0"/>
        <w:spacing w:line="480" w:lineRule="auto"/>
        <w:ind w:firstLine="420" w:firstLineChars="200"/>
        <w:jc w:val="both"/>
        <w:textAlignment w:val="auto"/>
        <w:rPr>
          <w:rFonts w:ascii="Arial" w:hAnsi="Arial"/>
          <w:color w:val="auto"/>
          <w:sz w:val="21"/>
          <w:szCs w:val="28"/>
        </w:rPr>
      </w:pPr>
      <w:r>
        <w:rPr>
          <w:rFonts w:ascii="Arial" w:hAnsi="Arial"/>
          <w:color w:val="auto"/>
          <w:sz w:val="21"/>
          <w:szCs w:val="28"/>
        </w:rPr>
        <w:t>从成交价格来看，</w:t>
      </w:r>
      <w:r>
        <w:rPr>
          <w:rFonts w:hint="eastAsia" w:ascii="Arial" w:hAnsi="Arial"/>
          <w:color w:val="auto"/>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color w:val="auto"/>
          <w:sz w:val="21"/>
          <w:szCs w:val="28"/>
        </w:rPr>
        <w:t>。</w:t>
      </w:r>
    </w:p>
    <w:p w14:paraId="15E3668B">
      <w:pPr>
        <w:overflowPunct w:val="0"/>
        <w:spacing w:line="480" w:lineRule="auto"/>
        <w:ind w:firstLine="420" w:firstLineChars="200"/>
        <w:jc w:val="both"/>
        <w:textAlignment w:val="auto"/>
        <w:rPr>
          <w:rFonts w:ascii="Arial" w:hAnsi="Arial"/>
          <w:color w:val="auto"/>
          <w:sz w:val="21"/>
          <w:szCs w:val="28"/>
        </w:rPr>
      </w:pPr>
      <w:r>
        <w:rPr>
          <w:rFonts w:ascii="Arial" w:hAnsi="Arial"/>
          <w:color w:val="auto"/>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FE190E0">
      <w:pPr>
        <w:widowControl/>
        <w:spacing w:line="360" w:lineRule="auto"/>
        <w:jc w:val="center"/>
        <w:rPr>
          <w:rFonts w:ascii="Arial" w:hAnsi="Arial" w:eastAsia="仿宋_GB2312" w:cs="Arial"/>
          <w:bCs/>
          <w:color w:val="auto"/>
          <w:sz w:val="28"/>
          <w:szCs w:val="28"/>
        </w:rPr>
      </w:pPr>
      <w:r>
        <w:rPr>
          <w:color w:val="auto"/>
        </w:rPr>
        <w:drawing>
          <wp:inline distT="0" distB="0" distL="114300" distR="114300">
            <wp:extent cx="5902325" cy="198501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5902325" cy="1985010"/>
                    </a:xfrm>
                    <a:prstGeom prst="rect">
                      <a:avLst/>
                    </a:prstGeom>
                    <a:noFill/>
                    <a:ln>
                      <a:noFill/>
                    </a:ln>
                  </pic:spPr>
                </pic:pic>
              </a:graphicData>
            </a:graphic>
          </wp:inline>
        </w:drawing>
      </w:r>
    </w:p>
    <w:p w14:paraId="1B7FCBED">
      <w:pPr>
        <w:widowControl/>
        <w:overflowPunct w:val="0"/>
        <w:adjustRightInd/>
        <w:spacing w:line="480" w:lineRule="auto"/>
        <w:ind w:firstLine="420" w:firstLineChars="200"/>
        <w:jc w:val="both"/>
        <w:textAlignment w:val="auto"/>
        <w:rPr>
          <w:rFonts w:ascii="Arial" w:hAnsi="Arial"/>
          <w:bCs/>
          <w:color w:val="auto"/>
          <w:sz w:val="21"/>
          <w:szCs w:val="28"/>
        </w:rPr>
      </w:pPr>
      <w:r>
        <w:rPr>
          <w:rFonts w:hint="eastAsia" w:ascii="Arial" w:hAnsi="Arial"/>
          <w:bCs/>
          <w:color w:val="auto"/>
          <w:sz w:val="21"/>
          <w:szCs w:val="28"/>
        </w:rPr>
        <w:t>（3）存量房住宅市场</w:t>
      </w:r>
    </w:p>
    <w:p w14:paraId="10BF01D1">
      <w:pPr>
        <w:overflowPunct w:val="0"/>
        <w:spacing w:line="480" w:lineRule="auto"/>
        <w:ind w:firstLine="420" w:firstLineChars="200"/>
        <w:jc w:val="both"/>
        <w:textAlignment w:val="auto"/>
        <w:rPr>
          <w:rFonts w:ascii="Arial" w:hAnsi="Arial"/>
          <w:color w:val="auto"/>
          <w:sz w:val="21"/>
        </w:rPr>
      </w:pPr>
      <w:r>
        <w:rPr>
          <w:rFonts w:hint="eastAsia" w:ascii="Arial" w:hAnsi="Arial"/>
          <w:color w:val="auto"/>
          <w:sz w:val="21"/>
        </w:rPr>
        <w:t>1）市场运行状况</w:t>
      </w:r>
    </w:p>
    <w:p w14:paraId="0AB563AE">
      <w:pPr>
        <w:tabs>
          <w:tab w:val="left" w:pos="426"/>
        </w:tabs>
        <w:overflowPunct w:val="0"/>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2025年三季度，北京</w:t>
      </w:r>
      <w:bookmarkStart w:id="61" w:name="OLE_LINK11"/>
      <w:r>
        <w:rPr>
          <w:rFonts w:hint="eastAsia" w:ascii="Arial" w:hAnsi="Arial"/>
          <w:color w:val="auto"/>
          <w:sz w:val="21"/>
          <w:szCs w:val="28"/>
        </w:rPr>
        <w:t>存量</w:t>
      </w:r>
      <w:bookmarkEnd w:id="61"/>
      <w:r>
        <w:rPr>
          <w:rFonts w:hint="eastAsia" w:ascii="Arial" w:hAnsi="Arial"/>
          <w:color w:val="auto"/>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6BBDB8E4">
      <w:pPr>
        <w:tabs>
          <w:tab w:val="left" w:pos="426"/>
        </w:tabs>
        <w:overflowPunct w:val="0"/>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2025年</w:t>
      </w:r>
      <w:r>
        <w:rPr>
          <w:rFonts w:ascii="Arial" w:hAnsi="Arial"/>
          <w:color w:val="auto"/>
          <w:sz w:val="21"/>
          <w:szCs w:val="28"/>
        </w:rPr>
        <w:t>三季年，北京</w:t>
      </w:r>
      <w:r>
        <w:rPr>
          <w:rFonts w:hint="eastAsia" w:ascii="Arial" w:hAnsi="Arial"/>
          <w:color w:val="auto"/>
          <w:sz w:val="21"/>
          <w:szCs w:val="28"/>
        </w:rPr>
        <w:t>存量</w:t>
      </w:r>
      <w:r>
        <w:rPr>
          <w:rFonts w:ascii="Arial" w:hAnsi="Arial"/>
          <w:color w:val="auto"/>
          <w:sz w:val="21"/>
          <w:szCs w:val="28"/>
        </w:rPr>
        <w:t>房市场延续“以价换量”主旋律。从统计局数据来看，二季度以来，受</w:t>
      </w:r>
      <w:r>
        <w:rPr>
          <w:rFonts w:hint="eastAsia" w:ascii="Arial" w:hAnsi="Arial"/>
          <w:color w:val="auto"/>
          <w:sz w:val="21"/>
          <w:szCs w:val="28"/>
        </w:rPr>
        <w:t>存量</w:t>
      </w:r>
      <w:r>
        <w:rPr>
          <w:rFonts w:ascii="Arial" w:hAnsi="Arial"/>
          <w:color w:val="auto"/>
          <w:sz w:val="21"/>
          <w:szCs w:val="28"/>
        </w:rPr>
        <w:t>房挂牌增加，学区需求下滑等因素影响，北京</w:t>
      </w:r>
      <w:r>
        <w:rPr>
          <w:rFonts w:hint="eastAsia" w:ascii="Arial" w:hAnsi="Arial"/>
          <w:color w:val="auto"/>
          <w:sz w:val="21"/>
          <w:szCs w:val="28"/>
        </w:rPr>
        <w:t>存量</w:t>
      </w:r>
      <w:r>
        <w:rPr>
          <w:rFonts w:ascii="Arial" w:hAnsi="Arial"/>
          <w:color w:val="auto"/>
          <w:sz w:val="21"/>
          <w:szCs w:val="28"/>
        </w:rPr>
        <w:t>房价格指数环比持续下跌，三季度房价跌幅呈扩大趋势，7月跌幅1.1%，8月跌幅再次扩大至1.2%，9月跌幅缩小至0.9%。</w:t>
      </w:r>
    </w:p>
    <w:p w14:paraId="686AE2E2">
      <w:pPr>
        <w:tabs>
          <w:tab w:val="left" w:pos="0"/>
        </w:tabs>
        <w:overflowPunct w:val="0"/>
        <w:spacing w:line="480" w:lineRule="auto"/>
        <w:jc w:val="center"/>
        <w:textAlignment w:val="auto"/>
        <w:rPr>
          <w:rFonts w:ascii="Arial" w:hAnsi="Arial"/>
          <w:color w:val="auto"/>
          <w:sz w:val="21"/>
        </w:rPr>
      </w:pPr>
      <w:r>
        <w:rPr>
          <w:color w:val="auto"/>
        </w:rPr>
        <w:drawing>
          <wp:inline distT="0" distB="0" distL="114300" distR="114300">
            <wp:extent cx="5904230" cy="163512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9"/>
                    <a:stretch>
                      <a:fillRect/>
                    </a:stretch>
                  </pic:blipFill>
                  <pic:spPr>
                    <a:xfrm>
                      <a:off x="0" y="0"/>
                      <a:ext cx="5904230" cy="1635125"/>
                    </a:xfrm>
                    <a:prstGeom prst="rect">
                      <a:avLst/>
                    </a:prstGeom>
                    <a:noFill/>
                    <a:ln>
                      <a:noFill/>
                    </a:ln>
                  </pic:spPr>
                </pic:pic>
              </a:graphicData>
            </a:graphic>
          </wp:inline>
        </w:drawing>
      </w:r>
    </w:p>
    <w:p w14:paraId="678EF335">
      <w:pPr>
        <w:overflowPunct w:val="0"/>
        <w:spacing w:line="480" w:lineRule="auto"/>
        <w:ind w:firstLine="420" w:firstLineChars="200"/>
        <w:jc w:val="both"/>
        <w:textAlignment w:val="auto"/>
        <w:rPr>
          <w:rFonts w:ascii="Arial" w:hAnsi="Arial"/>
          <w:color w:val="auto"/>
          <w:sz w:val="21"/>
        </w:rPr>
      </w:pPr>
      <w:r>
        <w:rPr>
          <w:rFonts w:hint="eastAsia" w:ascii="Arial" w:hAnsi="Arial"/>
          <w:color w:val="auto"/>
          <w:sz w:val="21"/>
        </w:rPr>
        <w:t>2）各区县统计</w:t>
      </w:r>
    </w:p>
    <w:p w14:paraId="721522CD">
      <w:pPr>
        <w:overflowPunct w:val="0"/>
        <w:spacing w:line="480" w:lineRule="auto"/>
        <w:ind w:firstLine="420"/>
        <w:jc w:val="both"/>
        <w:textAlignment w:val="auto"/>
        <w:rPr>
          <w:rFonts w:ascii="Arial" w:hAnsi="Arial"/>
          <w:color w:val="auto"/>
          <w:sz w:val="21"/>
        </w:rPr>
      </w:pPr>
      <w:bookmarkStart w:id="62" w:name="OLE_LINK9"/>
      <w:bookmarkStart w:id="63" w:name="OLE_LINK8"/>
      <w:r>
        <w:rPr>
          <w:rFonts w:ascii="Arial" w:hAnsi="Arial"/>
          <w:color w:val="auto"/>
          <w:sz w:val="21"/>
        </w:rPr>
        <w:t>分区域来看，</w:t>
      </w:r>
      <w:r>
        <w:rPr>
          <w:rFonts w:hint="eastAsia" w:ascii="Arial" w:hAnsi="Arial"/>
          <w:color w:val="auto"/>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2FE4F78D">
      <w:pPr>
        <w:overflowPunct w:val="0"/>
        <w:spacing w:line="480" w:lineRule="auto"/>
        <w:ind w:firstLine="420"/>
        <w:jc w:val="both"/>
        <w:textAlignment w:val="auto"/>
        <w:rPr>
          <w:rFonts w:ascii="Arial" w:hAnsi="Arial"/>
          <w:color w:val="auto"/>
          <w:sz w:val="21"/>
        </w:rPr>
      </w:pPr>
      <w:r>
        <w:rPr>
          <w:rFonts w:hint="eastAsia" w:ascii="Arial" w:hAnsi="Arial"/>
          <w:color w:val="auto"/>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auto"/>
          <w:sz w:val="21"/>
        </w:rPr>
        <w:t>。</w:t>
      </w:r>
    </w:p>
    <w:p w14:paraId="7DF9B768">
      <w:pPr>
        <w:widowControl/>
        <w:spacing w:line="360" w:lineRule="auto"/>
        <w:jc w:val="center"/>
        <w:rPr>
          <w:rFonts w:ascii="Arial" w:hAnsi="Arial" w:eastAsia="仿宋_GB2312" w:cs="Arial"/>
          <w:bCs/>
          <w:color w:val="auto"/>
          <w:sz w:val="28"/>
          <w:szCs w:val="28"/>
        </w:rPr>
      </w:pPr>
      <w:r>
        <w:rPr>
          <w:color w:val="auto"/>
        </w:rPr>
        <w:drawing>
          <wp:inline distT="0" distB="0" distL="114300" distR="114300">
            <wp:extent cx="5908675" cy="2083435"/>
            <wp:effectExtent l="0" t="0" r="4445" b="444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0"/>
                    <a:stretch>
                      <a:fillRect/>
                    </a:stretch>
                  </pic:blipFill>
                  <pic:spPr>
                    <a:xfrm>
                      <a:off x="0" y="0"/>
                      <a:ext cx="5908675" cy="2083435"/>
                    </a:xfrm>
                    <a:prstGeom prst="rect">
                      <a:avLst/>
                    </a:prstGeom>
                    <a:noFill/>
                    <a:ln>
                      <a:noFill/>
                    </a:ln>
                  </pic:spPr>
                </pic:pic>
              </a:graphicData>
            </a:graphic>
          </wp:inline>
        </w:drawing>
      </w:r>
    </w:p>
    <w:p w14:paraId="6FFE1327">
      <w:pPr>
        <w:overflowPunct w:val="0"/>
        <w:spacing w:line="480" w:lineRule="auto"/>
        <w:ind w:firstLine="420"/>
        <w:jc w:val="both"/>
        <w:textAlignment w:val="auto"/>
        <w:rPr>
          <w:rFonts w:ascii="Arial" w:hAnsi="Arial"/>
          <w:color w:val="auto"/>
          <w:sz w:val="21"/>
        </w:rPr>
      </w:pPr>
      <w:r>
        <w:rPr>
          <w:rFonts w:ascii="Arial" w:hAnsi="Arial"/>
          <w:color w:val="auto"/>
          <w:sz w:val="21"/>
        </w:rPr>
        <w:t>整体来看，北京市</w:t>
      </w:r>
      <w:r>
        <w:rPr>
          <w:rFonts w:hint="eastAsia" w:ascii="Arial" w:hAnsi="Arial"/>
          <w:color w:val="auto"/>
          <w:sz w:val="21"/>
        </w:rPr>
        <w:t>存量</w:t>
      </w:r>
      <w:r>
        <w:rPr>
          <w:rFonts w:ascii="Arial" w:hAnsi="Arial"/>
          <w:color w:val="auto"/>
          <w:sz w:val="21"/>
        </w:rPr>
        <w:t>房对新房市场的分流效应逐步增强。2021年以来，北京市</w:t>
      </w:r>
      <w:r>
        <w:rPr>
          <w:rFonts w:hint="eastAsia" w:ascii="Arial" w:hAnsi="Arial"/>
          <w:color w:val="auto"/>
          <w:sz w:val="21"/>
        </w:rPr>
        <w:t>存量</w:t>
      </w:r>
      <w:r>
        <w:rPr>
          <w:rFonts w:ascii="Arial" w:hAnsi="Arial"/>
          <w:color w:val="auto"/>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auto"/>
          <w:sz w:val="21"/>
        </w:rPr>
        <w:t>存量</w:t>
      </w:r>
      <w:r>
        <w:rPr>
          <w:rFonts w:ascii="Arial" w:hAnsi="Arial"/>
          <w:color w:val="auto"/>
          <w:sz w:val="21"/>
        </w:rPr>
        <w:t>房市场热度虽有所下降，但成交套数依然保持较高水平。2025 年三季度北京</w:t>
      </w:r>
      <w:r>
        <w:rPr>
          <w:rFonts w:hint="eastAsia" w:ascii="Arial" w:hAnsi="Arial"/>
          <w:color w:val="auto"/>
          <w:sz w:val="21"/>
        </w:rPr>
        <w:t>存量</w:t>
      </w:r>
      <w:r>
        <w:rPr>
          <w:rFonts w:ascii="Arial" w:hAnsi="Arial"/>
          <w:color w:val="auto"/>
          <w:sz w:val="21"/>
        </w:rPr>
        <w:t>商品住宅累计成交套数占比升至81%，较上年同期提高4个百分点。</w:t>
      </w:r>
    </w:p>
    <w:p w14:paraId="0131C179">
      <w:pPr>
        <w:overflowPunct w:val="0"/>
        <w:spacing w:line="480" w:lineRule="auto"/>
        <w:jc w:val="both"/>
        <w:textAlignment w:val="auto"/>
        <w:rPr>
          <w:rFonts w:ascii="Arial" w:hAnsi="Arial"/>
          <w:color w:val="auto"/>
          <w:sz w:val="21"/>
        </w:rPr>
      </w:pPr>
      <w:r>
        <w:rPr>
          <w:color w:val="auto"/>
        </w:rPr>
        <w:drawing>
          <wp:inline distT="0" distB="0" distL="114300" distR="114300">
            <wp:extent cx="5910580" cy="1723390"/>
            <wp:effectExtent l="0" t="0" r="254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1"/>
                    <a:stretch>
                      <a:fillRect/>
                    </a:stretch>
                  </pic:blipFill>
                  <pic:spPr>
                    <a:xfrm>
                      <a:off x="0" y="0"/>
                      <a:ext cx="5910580" cy="1723390"/>
                    </a:xfrm>
                    <a:prstGeom prst="rect">
                      <a:avLst/>
                    </a:prstGeom>
                    <a:noFill/>
                    <a:ln>
                      <a:noFill/>
                    </a:ln>
                  </pic:spPr>
                </pic:pic>
              </a:graphicData>
            </a:graphic>
          </wp:inline>
        </w:drawing>
      </w:r>
    </w:p>
    <w:p w14:paraId="6CD7EDA3">
      <w:pPr>
        <w:overflowPunct w:val="0"/>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4.产业政策</w:t>
      </w:r>
    </w:p>
    <w:p w14:paraId="32C46646">
      <w:pPr>
        <w:overflowPunct w:val="0"/>
        <w:spacing w:line="480" w:lineRule="auto"/>
        <w:ind w:firstLine="420"/>
        <w:jc w:val="both"/>
        <w:textAlignment w:val="auto"/>
        <w:rPr>
          <w:rFonts w:ascii="Arial" w:hAnsi="Arial"/>
          <w:b/>
          <w:color w:val="auto"/>
          <w:sz w:val="21"/>
        </w:rPr>
      </w:pPr>
      <w:r>
        <w:rPr>
          <w:rFonts w:hint="eastAsia" w:ascii="Arial" w:hAnsi="Arial"/>
          <w:b/>
          <w:color w:val="auto"/>
          <w:sz w:val="21"/>
        </w:rPr>
        <w:t>全国：</w:t>
      </w:r>
    </w:p>
    <w:p w14:paraId="33946B90">
      <w:pPr>
        <w:overflowPunct w:val="0"/>
        <w:spacing w:line="480" w:lineRule="auto"/>
        <w:ind w:firstLine="420"/>
        <w:jc w:val="both"/>
        <w:textAlignment w:val="auto"/>
        <w:rPr>
          <w:rFonts w:ascii="Arial" w:hAnsi="Arial"/>
          <w:color w:val="auto"/>
          <w:sz w:val="21"/>
        </w:rPr>
      </w:pPr>
      <w:r>
        <w:rPr>
          <w:rFonts w:ascii="Arial" w:hAnsi="Arial"/>
          <w:color w:val="auto"/>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auto"/>
          <w:sz w:val="21"/>
        </w:rPr>
        <w:t>一、</w:t>
      </w:r>
      <w:r>
        <w:rPr>
          <w:rFonts w:ascii="Arial" w:hAnsi="Arial"/>
          <w:color w:val="auto"/>
          <w:sz w:val="21"/>
        </w:rPr>
        <w:t>商品房建设：严控增量、优化存量、提高质量，意味着未来土地和住房供应将结合城市实际需求，不能盲目扩大。</w:t>
      </w:r>
      <w:r>
        <w:rPr>
          <w:rFonts w:hint="eastAsia" w:ascii="Arial" w:hAnsi="Arial"/>
          <w:color w:val="auto"/>
          <w:sz w:val="21"/>
        </w:rPr>
        <w:t>二、</w:t>
      </w:r>
      <w:r>
        <w:rPr>
          <w:rFonts w:ascii="Arial" w:hAnsi="Arial"/>
          <w:color w:val="auto"/>
          <w:sz w:val="21"/>
        </w:rPr>
        <w:t>住房限购政策：调整住房限购政策，降低存量房贷利率，以提振市场信心。</w:t>
      </w:r>
      <w:r>
        <w:rPr>
          <w:rFonts w:hint="eastAsia" w:ascii="Arial" w:hAnsi="Arial"/>
          <w:color w:val="auto"/>
          <w:sz w:val="21"/>
        </w:rPr>
        <w:t>三、</w:t>
      </w:r>
      <w:r>
        <w:rPr>
          <w:rFonts w:ascii="Arial" w:hAnsi="Arial"/>
          <w:color w:val="auto"/>
          <w:sz w:val="21"/>
        </w:rPr>
        <w:t>项目贷款：加大“白名单”项目贷款投放力度，支持盘活存量闲置土地。</w:t>
      </w:r>
      <w:r>
        <w:rPr>
          <w:rFonts w:hint="eastAsia" w:ascii="Arial" w:hAnsi="Arial"/>
          <w:color w:val="auto"/>
          <w:sz w:val="21"/>
        </w:rPr>
        <w:t>四、</w:t>
      </w:r>
      <w:r>
        <w:rPr>
          <w:rFonts w:ascii="Arial" w:hAnsi="Arial"/>
          <w:color w:val="auto"/>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auto"/>
          <w:sz w:val="21"/>
        </w:rPr>
        <w:t>。</w:t>
      </w:r>
    </w:p>
    <w:p w14:paraId="5FEF4EE0">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2024</w:t>
      </w:r>
      <w:r>
        <w:rPr>
          <w:rFonts w:ascii="Arial" w:hAnsi="Arial"/>
          <w:color w:val="auto"/>
          <w:sz w:val="21"/>
        </w:rPr>
        <w:t>年12月11日至12日，202</w:t>
      </w:r>
      <w:r>
        <w:rPr>
          <w:rFonts w:hint="eastAsia" w:ascii="Arial" w:hAnsi="Arial"/>
          <w:color w:val="auto"/>
          <w:sz w:val="21"/>
        </w:rPr>
        <w:t>4</w:t>
      </w:r>
      <w:r>
        <w:rPr>
          <w:rFonts w:ascii="Arial" w:hAnsi="Arial"/>
          <w:color w:val="auto"/>
          <w:sz w:val="21"/>
        </w:rPr>
        <w:t>年中央经济工作会议举行</w:t>
      </w:r>
      <w:r>
        <w:rPr>
          <w:rFonts w:hint="eastAsia" w:ascii="Arial" w:hAnsi="Arial"/>
          <w:color w:val="auto"/>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AB1BFDD">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2024年</w:t>
      </w:r>
      <w:r>
        <w:rPr>
          <w:rFonts w:ascii="Arial" w:hAnsi="Arial"/>
          <w:color w:val="auto"/>
          <w:sz w:val="21"/>
        </w:rPr>
        <w:t>12月24日至25日，全国住房城乡建设工作会议在北京召开</w:t>
      </w:r>
      <w:r>
        <w:rPr>
          <w:rFonts w:hint="eastAsia" w:ascii="Arial" w:hAnsi="Arial"/>
          <w:color w:val="auto"/>
          <w:sz w:val="21"/>
        </w:rPr>
        <w:t>。</w:t>
      </w:r>
      <w:r>
        <w:rPr>
          <w:rFonts w:ascii="Arial" w:hAnsi="Arial"/>
          <w:color w:val="auto"/>
          <w:sz w:val="21"/>
        </w:rPr>
        <w:t>会议系统总结2024年工作，部署进一步全面深化住房城乡建设领域改革，明确2025年重点任务，奋力推进住房城乡建设事业高质量发展。会议强调，2</w:t>
      </w:r>
      <w:r>
        <w:rPr>
          <w:rFonts w:hint="eastAsia" w:ascii="Arial" w:hAnsi="Arial"/>
          <w:color w:val="auto"/>
          <w:sz w:val="21"/>
        </w:rPr>
        <w:t>025</w:t>
      </w:r>
      <w:r>
        <w:rPr>
          <w:rFonts w:ascii="Arial" w:hAnsi="Arial"/>
          <w:color w:val="auto"/>
          <w:sz w:val="21"/>
        </w:rPr>
        <w:t>年的工作要重点抓好</w:t>
      </w:r>
      <w:r>
        <w:rPr>
          <w:rFonts w:hint="eastAsia" w:ascii="Arial" w:hAnsi="Arial"/>
          <w:color w:val="auto"/>
          <w:sz w:val="21"/>
        </w:rPr>
        <w:t>5</w:t>
      </w:r>
      <w:r>
        <w:rPr>
          <w:rFonts w:ascii="Arial" w:hAnsi="Arial"/>
          <w:color w:val="auto"/>
          <w:sz w:val="21"/>
        </w:rPr>
        <w:t>大板块</w:t>
      </w:r>
      <w:r>
        <w:rPr>
          <w:rFonts w:hint="eastAsia" w:ascii="Arial" w:hAnsi="Arial"/>
          <w:color w:val="auto"/>
          <w:sz w:val="21"/>
        </w:rPr>
        <w:t>22</w:t>
      </w:r>
      <w:r>
        <w:rPr>
          <w:rFonts w:ascii="Arial" w:hAnsi="Arial"/>
          <w:color w:val="auto"/>
          <w:sz w:val="21"/>
        </w:rPr>
        <w:t>个方面工作。一、</w:t>
      </w:r>
      <w:r>
        <w:rPr>
          <w:rFonts w:hint="eastAsia" w:ascii="Arial" w:hAnsi="Arial"/>
          <w:color w:val="auto"/>
          <w:sz w:val="21"/>
        </w:rPr>
        <w:t>从</w:t>
      </w:r>
      <w:r>
        <w:rPr>
          <w:rFonts w:ascii="Arial" w:hAnsi="Arial"/>
          <w:color w:val="auto"/>
          <w:sz w:val="21"/>
        </w:rPr>
        <w:t>着力释放需求</w:t>
      </w:r>
      <w:r>
        <w:rPr>
          <w:rFonts w:hint="eastAsia" w:ascii="Arial" w:hAnsi="Arial"/>
          <w:color w:val="auto"/>
          <w:sz w:val="21"/>
        </w:rPr>
        <w:t>和着力</w:t>
      </w:r>
      <w:r>
        <w:rPr>
          <w:rFonts w:ascii="Arial" w:hAnsi="Arial"/>
          <w:color w:val="auto"/>
          <w:sz w:val="21"/>
        </w:rPr>
        <w:t>改善供给</w:t>
      </w:r>
      <w:r>
        <w:rPr>
          <w:rFonts w:hint="eastAsia" w:ascii="Arial" w:hAnsi="Arial"/>
          <w:color w:val="auto"/>
          <w:sz w:val="21"/>
        </w:rPr>
        <w:t>两方面，</w:t>
      </w:r>
      <w:r>
        <w:rPr>
          <w:rFonts w:ascii="Arial" w:hAnsi="Arial"/>
          <w:color w:val="auto"/>
          <w:sz w:val="21"/>
        </w:rPr>
        <w:t>持续用力推动房地产市场止跌回稳</w:t>
      </w:r>
      <w:r>
        <w:rPr>
          <w:rFonts w:hint="eastAsia" w:ascii="Arial" w:hAnsi="Arial"/>
          <w:color w:val="auto"/>
          <w:sz w:val="21"/>
        </w:rPr>
        <w:t>。二、从</w:t>
      </w:r>
      <w:r>
        <w:rPr>
          <w:rFonts w:ascii="Arial" w:hAnsi="Arial"/>
          <w:color w:val="auto"/>
          <w:sz w:val="21"/>
        </w:rPr>
        <w:t>着力优化和完善住房供应体系</w:t>
      </w:r>
      <w:r>
        <w:rPr>
          <w:rFonts w:hint="eastAsia" w:ascii="Arial" w:hAnsi="Arial"/>
          <w:color w:val="auto"/>
          <w:sz w:val="21"/>
        </w:rPr>
        <w:t>、</w:t>
      </w:r>
      <w:r>
        <w:rPr>
          <w:rFonts w:ascii="Arial" w:hAnsi="Arial"/>
          <w:color w:val="auto"/>
          <w:sz w:val="21"/>
        </w:rPr>
        <w:t>推动建立要素联动新机制</w:t>
      </w:r>
      <w:r>
        <w:rPr>
          <w:rFonts w:hint="eastAsia" w:ascii="Arial" w:hAnsi="Arial"/>
          <w:color w:val="auto"/>
          <w:sz w:val="21"/>
        </w:rPr>
        <w:t>、</w:t>
      </w:r>
      <w:r>
        <w:rPr>
          <w:rFonts w:ascii="Arial" w:hAnsi="Arial"/>
          <w:color w:val="auto"/>
          <w:sz w:val="21"/>
        </w:rPr>
        <w:t>大力推进商品住房销售制度改革</w:t>
      </w:r>
      <w:r>
        <w:rPr>
          <w:rFonts w:hint="eastAsia" w:ascii="Arial" w:hAnsi="Arial"/>
          <w:color w:val="auto"/>
          <w:sz w:val="21"/>
        </w:rPr>
        <w:t>、</w:t>
      </w:r>
      <w:r>
        <w:rPr>
          <w:rFonts w:ascii="Arial" w:hAnsi="Arial"/>
          <w:color w:val="auto"/>
          <w:sz w:val="21"/>
        </w:rPr>
        <w:t>加快建立房屋全生命周期安全管理制度</w:t>
      </w:r>
      <w:r>
        <w:rPr>
          <w:rFonts w:hint="eastAsia" w:ascii="Arial" w:hAnsi="Arial"/>
          <w:color w:val="auto"/>
          <w:sz w:val="21"/>
        </w:rPr>
        <w:t>和</w:t>
      </w:r>
      <w:r>
        <w:rPr>
          <w:rFonts w:ascii="Arial" w:hAnsi="Arial"/>
          <w:color w:val="auto"/>
          <w:sz w:val="21"/>
        </w:rPr>
        <w:t>完善房地产全过程监管</w:t>
      </w:r>
      <w:r>
        <w:rPr>
          <w:rFonts w:hint="eastAsia" w:ascii="Arial" w:hAnsi="Arial"/>
          <w:color w:val="auto"/>
          <w:sz w:val="21"/>
        </w:rPr>
        <w:t>五个方面，</w:t>
      </w:r>
      <w:r>
        <w:rPr>
          <w:rFonts w:ascii="Arial" w:hAnsi="Arial"/>
          <w:color w:val="auto"/>
          <w:sz w:val="21"/>
        </w:rPr>
        <w:t>推动构建房地产发展新模式</w:t>
      </w:r>
      <w:r>
        <w:rPr>
          <w:rFonts w:hint="eastAsia" w:ascii="Arial" w:hAnsi="Arial"/>
          <w:color w:val="auto"/>
          <w:sz w:val="21"/>
        </w:rPr>
        <w:t>。三、从</w:t>
      </w:r>
      <w:r>
        <w:rPr>
          <w:rFonts w:ascii="Arial" w:hAnsi="Arial"/>
          <w:color w:val="auto"/>
          <w:sz w:val="21"/>
        </w:rPr>
        <w:t>建立城市体检和城市更新一体化推进机制</w:t>
      </w:r>
      <w:r>
        <w:rPr>
          <w:rFonts w:hint="eastAsia" w:ascii="Arial" w:hAnsi="Arial"/>
          <w:color w:val="auto"/>
          <w:sz w:val="21"/>
        </w:rPr>
        <w:t>、</w:t>
      </w:r>
      <w:r>
        <w:rPr>
          <w:rFonts w:ascii="Arial" w:hAnsi="Arial"/>
          <w:color w:val="auto"/>
          <w:sz w:val="21"/>
        </w:rPr>
        <w:t>建立可持续的城市更新模式和政策法规</w:t>
      </w:r>
      <w:r>
        <w:rPr>
          <w:rFonts w:hint="eastAsia" w:ascii="Arial" w:hAnsi="Arial"/>
          <w:color w:val="auto"/>
          <w:sz w:val="21"/>
        </w:rPr>
        <w:t>、</w:t>
      </w:r>
      <w:r>
        <w:rPr>
          <w:rFonts w:ascii="Arial" w:hAnsi="Arial"/>
          <w:color w:val="auto"/>
          <w:sz w:val="21"/>
        </w:rPr>
        <w:t>谋划实施一批城市更新改造项目</w:t>
      </w:r>
      <w:r>
        <w:rPr>
          <w:rFonts w:hint="eastAsia" w:ascii="Arial" w:hAnsi="Arial"/>
          <w:color w:val="auto"/>
          <w:sz w:val="21"/>
        </w:rPr>
        <w:t>、</w:t>
      </w:r>
      <w:r>
        <w:rPr>
          <w:rFonts w:ascii="Arial" w:hAnsi="Arial"/>
          <w:color w:val="auto"/>
          <w:sz w:val="21"/>
        </w:rPr>
        <w:t>构建城市管理新模式</w:t>
      </w:r>
      <w:r>
        <w:rPr>
          <w:rFonts w:hint="eastAsia" w:ascii="Arial" w:hAnsi="Arial"/>
          <w:color w:val="auto"/>
          <w:sz w:val="21"/>
        </w:rPr>
        <w:t>和</w:t>
      </w:r>
      <w:r>
        <w:rPr>
          <w:rFonts w:ascii="Arial" w:hAnsi="Arial"/>
          <w:color w:val="auto"/>
          <w:sz w:val="21"/>
        </w:rPr>
        <w:t>以“新城建”为引擎打造高水平“数字住建”</w:t>
      </w:r>
      <w:r>
        <w:rPr>
          <w:rFonts w:hint="eastAsia" w:ascii="Arial" w:hAnsi="Arial"/>
          <w:color w:val="auto"/>
          <w:sz w:val="21"/>
        </w:rPr>
        <w:t>五个方面，</w:t>
      </w:r>
      <w:r>
        <w:rPr>
          <w:rFonts w:ascii="Arial" w:hAnsi="Arial"/>
          <w:color w:val="auto"/>
          <w:sz w:val="21"/>
        </w:rPr>
        <w:t>大力实施城市更新</w:t>
      </w:r>
      <w:r>
        <w:rPr>
          <w:rFonts w:hint="eastAsia" w:ascii="Arial" w:hAnsi="Arial"/>
          <w:color w:val="auto"/>
          <w:sz w:val="21"/>
        </w:rPr>
        <w:t>。四、从</w:t>
      </w:r>
      <w:r>
        <w:rPr>
          <w:rFonts w:ascii="Arial" w:hAnsi="Arial"/>
          <w:color w:val="auto"/>
          <w:sz w:val="21"/>
        </w:rPr>
        <w:t>全面深化建筑业改革</w:t>
      </w:r>
      <w:r>
        <w:rPr>
          <w:rFonts w:hint="eastAsia" w:ascii="Arial" w:hAnsi="Arial"/>
          <w:color w:val="auto"/>
          <w:sz w:val="21"/>
        </w:rPr>
        <w:t>、</w:t>
      </w:r>
      <w:r>
        <w:rPr>
          <w:rFonts w:ascii="Arial" w:hAnsi="Arial"/>
          <w:color w:val="auto"/>
          <w:sz w:val="21"/>
        </w:rPr>
        <w:t>以更高质量的制度供给激发活力</w:t>
      </w:r>
      <w:r>
        <w:rPr>
          <w:rFonts w:hint="eastAsia" w:ascii="Arial" w:hAnsi="Arial"/>
          <w:color w:val="auto"/>
          <w:sz w:val="21"/>
        </w:rPr>
        <w:t>、</w:t>
      </w:r>
      <w:r>
        <w:rPr>
          <w:rFonts w:ascii="Arial" w:hAnsi="Arial"/>
          <w:color w:val="auto"/>
          <w:sz w:val="21"/>
        </w:rPr>
        <w:t>整体提升工程建设标准</w:t>
      </w:r>
      <w:r>
        <w:rPr>
          <w:rFonts w:hint="eastAsia" w:ascii="Arial" w:hAnsi="Arial"/>
          <w:color w:val="auto"/>
          <w:sz w:val="21"/>
        </w:rPr>
        <w:t>、</w:t>
      </w:r>
      <w:r>
        <w:rPr>
          <w:rFonts w:ascii="Arial" w:hAnsi="Arial"/>
          <w:color w:val="auto"/>
          <w:sz w:val="21"/>
        </w:rPr>
        <w:t>支持打造形成现代化建筑产业链</w:t>
      </w:r>
      <w:r>
        <w:rPr>
          <w:rFonts w:hint="eastAsia" w:ascii="Arial" w:hAnsi="Arial"/>
          <w:color w:val="auto"/>
          <w:sz w:val="21"/>
        </w:rPr>
        <w:t>和</w:t>
      </w:r>
      <w:r>
        <w:rPr>
          <w:rFonts w:ascii="Arial" w:hAnsi="Arial"/>
          <w:color w:val="auto"/>
          <w:sz w:val="21"/>
        </w:rPr>
        <w:t>把绿色建筑培育发展成新的经济增长点</w:t>
      </w:r>
      <w:r>
        <w:rPr>
          <w:rFonts w:hint="eastAsia" w:ascii="Arial" w:hAnsi="Arial"/>
          <w:color w:val="auto"/>
          <w:sz w:val="21"/>
        </w:rPr>
        <w:t>五个方面，</w:t>
      </w:r>
      <w:r>
        <w:rPr>
          <w:rFonts w:ascii="Arial" w:hAnsi="Arial"/>
          <w:color w:val="auto"/>
          <w:sz w:val="21"/>
        </w:rPr>
        <w:t>打造“中国建造”升级版</w:t>
      </w:r>
      <w:r>
        <w:rPr>
          <w:rFonts w:hint="eastAsia" w:ascii="Arial" w:hAnsi="Arial"/>
          <w:color w:val="auto"/>
          <w:sz w:val="21"/>
        </w:rPr>
        <w:t>。五、从</w:t>
      </w:r>
      <w:r>
        <w:rPr>
          <w:rFonts w:ascii="Arial" w:hAnsi="Arial"/>
          <w:color w:val="auto"/>
          <w:sz w:val="21"/>
        </w:rPr>
        <w:t>提高住宅建设标准</w:t>
      </w:r>
      <w:r>
        <w:rPr>
          <w:rFonts w:hint="eastAsia" w:ascii="Arial" w:hAnsi="Arial"/>
          <w:color w:val="auto"/>
          <w:sz w:val="21"/>
        </w:rPr>
        <w:t>、</w:t>
      </w:r>
      <w:r>
        <w:rPr>
          <w:rFonts w:ascii="Arial" w:hAnsi="Arial"/>
          <w:color w:val="auto"/>
          <w:sz w:val="21"/>
        </w:rPr>
        <w:t>构建支持住房品质提升的制度体系</w:t>
      </w:r>
      <w:r>
        <w:rPr>
          <w:rFonts w:hint="eastAsia" w:ascii="Arial" w:hAnsi="Arial"/>
          <w:color w:val="auto"/>
          <w:sz w:val="21"/>
        </w:rPr>
        <w:t>、</w:t>
      </w:r>
      <w:r>
        <w:rPr>
          <w:rFonts w:ascii="Arial" w:hAnsi="Arial"/>
          <w:color w:val="auto"/>
          <w:sz w:val="21"/>
        </w:rPr>
        <w:t>支持房企打造好房子样板</w:t>
      </w:r>
      <w:r>
        <w:rPr>
          <w:rFonts w:hint="eastAsia" w:ascii="Arial" w:hAnsi="Arial"/>
          <w:color w:val="auto"/>
          <w:sz w:val="21"/>
        </w:rPr>
        <w:t>、</w:t>
      </w:r>
      <w:r>
        <w:rPr>
          <w:rFonts w:ascii="Arial" w:hAnsi="Arial"/>
          <w:color w:val="auto"/>
          <w:sz w:val="21"/>
        </w:rPr>
        <w:t>推进老旧住宅更新改造</w:t>
      </w:r>
      <w:r>
        <w:rPr>
          <w:rFonts w:hint="eastAsia" w:ascii="Arial" w:hAnsi="Arial"/>
          <w:color w:val="auto"/>
          <w:sz w:val="21"/>
        </w:rPr>
        <w:t>和</w:t>
      </w:r>
      <w:r>
        <w:rPr>
          <w:rFonts w:ascii="Arial" w:hAnsi="Arial"/>
          <w:color w:val="auto"/>
          <w:sz w:val="21"/>
        </w:rPr>
        <w:t>大力实施物业服务质量提升行动</w:t>
      </w:r>
      <w:r>
        <w:rPr>
          <w:rFonts w:hint="eastAsia" w:ascii="Arial" w:hAnsi="Arial"/>
          <w:color w:val="auto"/>
          <w:sz w:val="21"/>
        </w:rPr>
        <w:t>五个方面，</w:t>
      </w:r>
      <w:r>
        <w:rPr>
          <w:rFonts w:ascii="Arial" w:hAnsi="Arial"/>
          <w:color w:val="auto"/>
          <w:sz w:val="21"/>
        </w:rPr>
        <w:t>建设安全、舒适、绿色、智慧的好房子</w:t>
      </w:r>
      <w:r>
        <w:rPr>
          <w:rFonts w:hint="eastAsia" w:ascii="Arial" w:hAnsi="Arial"/>
          <w:color w:val="auto"/>
          <w:sz w:val="21"/>
        </w:rPr>
        <w:t>。</w:t>
      </w:r>
    </w:p>
    <w:p w14:paraId="101A6EFC">
      <w:pPr>
        <w:overflowPunct w:val="0"/>
        <w:spacing w:line="480" w:lineRule="auto"/>
        <w:ind w:firstLine="420"/>
        <w:jc w:val="both"/>
        <w:textAlignment w:val="auto"/>
        <w:rPr>
          <w:rFonts w:ascii="Arial" w:hAnsi="Arial"/>
          <w:color w:val="auto"/>
          <w:sz w:val="21"/>
        </w:rPr>
      </w:pPr>
      <w:r>
        <w:rPr>
          <w:rFonts w:ascii="Arial" w:hAnsi="Arial"/>
          <w:color w:val="auto"/>
          <w:sz w:val="21"/>
        </w:rPr>
        <w:t>202</w:t>
      </w:r>
      <w:r>
        <w:rPr>
          <w:rFonts w:hint="eastAsia" w:ascii="Arial" w:hAnsi="Arial"/>
          <w:color w:val="auto"/>
          <w:sz w:val="21"/>
        </w:rPr>
        <w:t>5</w:t>
      </w:r>
      <w:r>
        <w:rPr>
          <w:rFonts w:ascii="Arial" w:hAnsi="Arial"/>
          <w:color w:val="auto"/>
          <w:sz w:val="21"/>
        </w:rPr>
        <w:t>年3月</w:t>
      </w:r>
      <w:r>
        <w:rPr>
          <w:rFonts w:hint="eastAsia" w:ascii="Arial" w:hAnsi="Arial"/>
          <w:color w:val="auto"/>
          <w:sz w:val="21"/>
        </w:rPr>
        <w:t>5</w:t>
      </w:r>
      <w:r>
        <w:rPr>
          <w:rFonts w:ascii="Arial" w:hAnsi="Arial"/>
          <w:color w:val="auto"/>
          <w:sz w:val="21"/>
        </w:rPr>
        <w:t>日全国两会召开。关于房地产的定调，政府工作报告延续了去年底中央经济工作会议基调，</w:t>
      </w:r>
      <w:r>
        <w:rPr>
          <w:rFonts w:hint="eastAsia" w:ascii="Arial" w:hAnsi="Arial"/>
          <w:color w:val="auto"/>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61206A06">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2025年4月3日，</w:t>
      </w:r>
      <w:r>
        <w:rPr>
          <w:rFonts w:ascii="Arial" w:hAnsi="Arial"/>
          <w:color w:val="auto"/>
          <w:sz w:val="21"/>
        </w:rPr>
        <w:t>财政部办公厅</w:t>
      </w:r>
      <w:r>
        <w:rPr>
          <w:rFonts w:hint="eastAsia" w:ascii="Arial" w:hAnsi="Arial"/>
          <w:color w:val="auto"/>
          <w:sz w:val="21"/>
        </w:rPr>
        <w:t>、</w:t>
      </w:r>
      <w:r>
        <w:rPr>
          <w:rFonts w:ascii="Arial" w:hAnsi="Arial"/>
          <w:color w:val="auto"/>
          <w:sz w:val="21"/>
        </w:rPr>
        <w:t>住房城乡建设部办公厅</w:t>
      </w:r>
      <w:r>
        <w:rPr>
          <w:rFonts w:hint="eastAsia" w:ascii="Arial" w:hAnsi="Arial"/>
          <w:color w:val="auto"/>
          <w:sz w:val="21"/>
        </w:rPr>
        <w:t>联合发布</w:t>
      </w:r>
      <w:r>
        <w:rPr>
          <w:rFonts w:ascii="Arial" w:hAnsi="Arial"/>
          <w:color w:val="auto"/>
          <w:sz w:val="21"/>
        </w:rPr>
        <w:t>《关于开展2025年度中央财政支持实施城市更新行动的通知》</w:t>
      </w:r>
      <w:r>
        <w:rPr>
          <w:rFonts w:hint="eastAsia" w:ascii="Arial" w:hAnsi="Arial"/>
          <w:color w:val="auto"/>
          <w:sz w:val="21"/>
        </w:rPr>
        <w:t>。《通知》提出</w:t>
      </w:r>
      <w:r>
        <w:rPr>
          <w:rFonts w:ascii="Arial" w:hAnsi="Arial"/>
          <w:color w:val="auto"/>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auto"/>
          <w:sz w:val="21"/>
        </w:rPr>
        <w:t>。</w:t>
      </w:r>
    </w:p>
    <w:p w14:paraId="33905607">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2025年4月25日</w:t>
      </w:r>
      <w:r>
        <w:rPr>
          <w:rFonts w:ascii="Arial" w:hAnsi="Arial"/>
          <w:color w:val="auto"/>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34108F5">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2025年5月15日，中共中央办公厅与国务院办公厅公开发布《关于持续推进城市更新行动的意见》。《意见》</w:t>
      </w:r>
      <w:r>
        <w:rPr>
          <w:rFonts w:ascii="Arial" w:hAnsi="Arial"/>
          <w:color w:val="auto"/>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101849C">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2025年6月13日</w:t>
      </w:r>
      <w:r>
        <w:rPr>
          <w:rFonts w:ascii="Arial" w:hAnsi="Arial"/>
          <w:color w:val="auto"/>
          <w:sz w:val="21"/>
        </w:rPr>
        <w:t>国务院常务会议召开，其中重点部署了房地产相关政策，核心目标是</w:t>
      </w:r>
      <w:r>
        <w:rPr>
          <w:rFonts w:hint="eastAsia" w:ascii="Arial" w:hAnsi="Arial"/>
          <w:color w:val="auto"/>
          <w:sz w:val="21"/>
        </w:rPr>
        <w:t>“</w:t>
      </w:r>
      <w:r>
        <w:rPr>
          <w:rFonts w:ascii="Arial" w:hAnsi="Arial"/>
          <w:color w:val="auto"/>
          <w:sz w:val="21"/>
        </w:rPr>
        <w:t>更大力度推动房地产市场止跌回稳</w:t>
      </w:r>
      <w:r>
        <w:rPr>
          <w:rFonts w:hint="eastAsia" w:ascii="Arial" w:hAnsi="Arial"/>
          <w:color w:val="auto"/>
          <w:sz w:val="21"/>
        </w:rPr>
        <w:t>”</w:t>
      </w:r>
      <w:r>
        <w:rPr>
          <w:rFonts w:ascii="Arial" w:hAnsi="Arial"/>
          <w:color w:val="auto"/>
          <w:sz w:val="21"/>
        </w:rPr>
        <w:t>，并围绕构建房地产发展新模式、推进</w:t>
      </w:r>
      <w:r>
        <w:rPr>
          <w:rFonts w:hint="eastAsia" w:ascii="Arial" w:hAnsi="Arial"/>
          <w:color w:val="auto"/>
          <w:sz w:val="21"/>
        </w:rPr>
        <w:t>“好房子”</w:t>
      </w:r>
      <w:r>
        <w:rPr>
          <w:rFonts w:ascii="Arial" w:hAnsi="Arial"/>
          <w:color w:val="auto"/>
          <w:sz w:val="21"/>
        </w:rPr>
        <w:t>建设、盘活存量资源等方面提出具体措施。</w:t>
      </w:r>
    </w:p>
    <w:p w14:paraId="224913D7">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2025年7月1</w:t>
      </w:r>
      <w:r>
        <w:rPr>
          <w:rFonts w:ascii="Arial" w:hAnsi="Arial"/>
          <w:color w:val="auto"/>
          <w:sz w:val="21"/>
        </w:rPr>
        <w:t>4日至</w:t>
      </w:r>
      <w:r>
        <w:rPr>
          <w:rFonts w:hint="eastAsia" w:ascii="Arial" w:hAnsi="Arial"/>
          <w:color w:val="auto"/>
          <w:sz w:val="21"/>
        </w:rPr>
        <w:t>1</w:t>
      </w:r>
      <w:r>
        <w:rPr>
          <w:rFonts w:ascii="Arial" w:hAnsi="Arial"/>
          <w:color w:val="auto"/>
          <w:sz w:val="21"/>
        </w:rPr>
        <w:t>5日</w:t>
      </w:r>
      <w:bookmarkStart w:id="64" w:name="OLE_LINK7"/>
      <w:r>
        <w:rPr>
          <w:rFonts w:ascii="Arial" w:hAnsi="Arial"/>
          <w:color w:val="auto"/>
          <w:sz w:val="21"/>
        </w:rPr>
        <w:t>中央城市工作会议</w:t>
      </w:r>
      <w:bookmarkEnd w:id="64"/>
      <w:r>
        <w:rPr>
          <w:rFonts w:ascii="Arial" w:hAnsi="Arial"/>
          <w:color w:val="auto"/>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auto"/>
          <w:sz w:val="21"/>
        </w:rPr>
        <w:t>。</w:t>
      </w:r>
    </w:p>
    <w:p w14:paraId="688AD74D">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2025年7月16日，国务院公布《住房租赁条例》</w:t>
      </w:r>
      <w:r>
        <w:rPr>
          <w:rFonts w:ascii="Arial" w:hAnsi="Arial"/>
          <w:color w:val="auto"/>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auto"/>
          <w:sz w:val="21"/>
        </w:rPr>
        <w:t>，《条例》</w:t>
      </w:r>
      <w:r>
        <w:rPr>
          <w:rFonts w:ascii="Arial" w:hAnsi="Arial"/>
          <w:color w:val="auto"/>
          <w:sz w:val="21"/>
        </w:rPr>
        <w:t>自2025年9月15日施行。</w:t>
      </w:r>
    </w:p>
    <w:p w14:paraId="317287A8">
      <w:pPr>
        <w:overflowPunct w:val="0"/>
        <w:spacing w:line="480" w:lineRule="auto"/>
        <w:ind w:firstLine="420"/>
        <w:jc w:val="both"/>
        <w:textAlignment w:val="auto"/>
        <w:rPr>
          <w:rFonts w:ascii="Arial" w:hAnsi="Arial"/>
          <w:b/>
          <w:color w:val="auto"/>
          <w:sz w:val="21"/>
        </w:rPr>
      </w:pPr>
      <w:r>
        <w:rPr>
          <w:rFonts w:hint="eastAsia" w:ascii="Arial" w:hAnsi="Arial"/>
          <w:b/>
          <w:color w:val="auto"/>
          <w:sz w:val="21"/>
        </w:rPr>
        <w:t>北京：</w:t>
      </w:r>
    </w:p>
    <w:p w14:paraId="11CAF3FA">
      <w:pPr>
        <w:overflowPunct w:val="0"/>
        <w:spacing w:line="480" w:lineRule="auto"/>
        <w:ind w:firstLine="420"/>
        <w:jc w:val="both"/>
        <w:textAlignment w:val="auto"/>
        <w:rPr>
          <w:rFonts w:ascii="Arial" w:hAnsi="Arial"/>
          <w:color w:val="auto"/>
          <w:sz w:val="21"/>
        </w:rPr>
      </w:pPr>
      <w:r>
        <w:rPr>
          <w:rFonts w:ascii="Arial" w:hAnsi="Arial"/>
          <w:color w:val="auto"/>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auto"/>
          <w:sz w:val="21"/>
        </w:rPr>
        <w:t>。</w:t>
      </w:r>
    </w:p>
    <w:p w14:paraId="31FE7D49">
      <w:pPr>
        <w:overflowPunct w:val="0"/>
        <w:spacing w:line="480" w:lineRule="auto"/>
        <w:ind w:firstLine="420"/>
        <w:jc w:val="both"/>
        <w:textAlignment w:val="auto"/>
        <w:rPr>
          <w:rFonts w:ascii="Arial" w:hAnsi="Arial"/>
          <w:color w:val="auto"/>
          <w:sz w:val="21"/>
        </w:rPr>
      </w:pPr>
      <w:r>
        <w:rPr>
          <w:rFonts w:ascii="Arial" w:hAnsi="Arial"/>
          <w:color w:val="auto"/>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auto"/>
          <w:sz w:val="21"/>
        </w:rPr>
        <w:t>。</w:t>
      </w:r>
    </w:p>
    <w:p w14:paraId="0B192D98">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5FF6CC0D">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2025年2月12日，</w:t>
      </w:r>
      <w:r>
        <w:rPr>
          <w:rFonts w:ascii="Arial" w:hAnsi="Arial"/>
          <w:color w:val="auto"/>
          <w:sz w:val="21"/>
        </w:rPr>
        <w:t>北京市规划和自然资源委员会发布</w:t>
      </w:r>
      <w:r>
        <w:rPr>
          <w:rFonts w:hint="eastAsia" w:ascii="Arial" w:hAnsi="Arial"/>
          <w:color w:val="auto"/>
          <w:sz w:val="21"/>
        </w:rPr>
        <w:t>《关于印发〈北京市平原多点地区“好房子”规划管理相关技术要点（试行）〉的通知》，</w:t>
      </w:r>
      <w:r>
        <w:rPr>
          <w:rFonts w:ascii="Arial" w:hAnsi="Arial"/>
          <w:color w:val="auto"/>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auto"/>
          <w:sz w:val="21"/>
        </w:rPr>
        <w:t>。</w:t>
      </w:r>
    </w:p>
    <w:p w14:paraId="19FEF288">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w:t>
      </w:r>
      <w:r>
        <w:rPr>
          <w:rFonts w:ascii="Arial" w:hAnsi="Arial"/>
          <w:color w:val="auto"/>
          <w:sz w:val="21"/>
        </w:rPr>
        <w:t>5月9日，北京市住房和城乡建设委员会</w:t>
      </w:r>
      <w:r>
        <w:rPr>
          <w:rFonts w:hint="eastAsia" w:ascii="Arial" w:hAnsi="Arial"/>
          <w:color w:val="auto"/>
          <w:sz w:val="21"/>
        </w:rPr>
        <w:t>发布</w:t>
      </w:r>
      <w:r>
        <w:rPr>
          <w:rFonts w:ascii="Arial" w:hAnsi="Arial"/>
          <w:color w:val="auto"/>
          <w:sz w:val="21"/>
        </w:rPr>
        <w:t>《关于印发</w:t>
      </w:r>
      <w:r>
        <w:rPr>
          <w:rFonts w:hint="eastAsia" w:ascii="Arial" w:hAnsi="Arial"/>
          <w:color w:val="auto"/>
          <w:sz w:val="21"/>
        </w:rPr>
        <w:t>〈</w:t>
      </w:r>
      <w:r>
        <w:rPr>
          <w:rFonts w:ascii="Arial" w:hAnsi="Arial"/>
          <w:color w:val="auto"/>
          <w:sz w:val="21"/>
        </w:rPr>
        <w:t>2025年北京市住房发展年度计划</w:t>
      </w:r>
      <w:r>
        <w:rPr>
          <w:rFonts w:hint="eastAsia" w:ascii="Arial" w:hAnsi="Arial"/>
          <w:color w:val="auto"/>
          <w:sz w:val="21"/>
        </w:rPr>
        <w:t>〉</w:t>
      </w:r>
      <w:r>
        <w:rPr>
          <w:rFonts w:ascii="Arial" w:hAnsi="Arial"/>
          <w:color w:val="auto"/>
          <w:sz w:val="21"/>
        </w:rPr>
        <w:t>的通知》</w:t>
      </w:r>
      <w:r>
        <w:rPr>
          <w:rFonts w:hint="eastAsia" w:ascii="Arial" w:hAnsi="Arial"/>
          <w:color w:val="auto"/>
          <w:sz w:val="21"/>
        </w:rPr>
        <w:t>。《通知》</w:t>
      </w:r>
      <w:r>
        <w:rPr>
          <w:rFonts w:ascii="Arial" w:hAnsi="Arial"/>
          <w:color w:val="auto"/>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4AAFCC8">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2025年7月10日，北京市人民政府发布</w:t>
      </w:r>
      <w:r>
        <w:rPr>
          <w:rFonts w:ascii="Arial" w:hAnsi="Arial"/>
          <w:color w:val="auto"/>
          <w:sz w:val="21"/>
        </w:rPr>
        <w:t>《关于印发</w:t>
      </w:r>
      <w:r>
        <w:rPr>
          <w:rFonts w:hint="eastAsia" w:ascii="Arial" w:hAnsi="Arial"/>
          <w:color w:val="auto"/>
          <w:sz w:val="21"/>
        </w:rPr>
        <w:t>〈北京市深化改革提振消费专项行动方案〉</w:t>
      </w:r>
      <w:r>
        <w:rPr>
          <w:rFonts w:ascii="Arial" w:hAnsi="Arial"/>
          <w:color w:val="auto"/>
          <w:sz w:val="21"/>
        </w:rPr>
        <w:t>的通知》，提出共计24项具体方案。其中，</w:t>
      </w:r>
      <w:r>
        <w:rPr>
          <w:rFonts w:hint="eastAsia" w:ascii="Arial" w:hAnsi="Arial"/>
          <w:color w:val="auto"/>
          <w:sz w:val="21"/>
        </w:rPr>
        <w:t>第14项“</w:t>
      </w:r>
      <w:r>
        <w:rPr>
          <w:rFonts w:ascii="Arial" w:hAnsi="Arial"/>
          <w:color w:val="auto"/>
          <w:sz w:val="21"/>
        </w:rPr>
        <w:t>优化住房消费新供给</w:t>
      </w:r>
      <w:r>
        <w:rPr>
          <w:rFonts w:hint="eastAsia" w:ascii="Arial" w:hAnsi="Arial"/>
          <w:color w:val="auto"/>
          <w:sz w:val="21"/>
        </w:rPr>
        <w:t>”</w:t>
      </w:r>
      <w:r>
        <w:rPr>
          <w:rFonts w:ascii="Arial" w:hAnsi="Arial"/>
          <w:color w:val="auto"/>
          <w:sz w:val="21"/>
        </w:rPr>
        <w:t>：优先向轨道交通站点和就业密集地区 供应住宅用地，完善</w:t>
      </w:r>
      <w:r>
        <w:rPr>
          <w:rFonts w:hint="eastAsia" w:ascii="Arial" w:hAnsi="Arial"/>
          <w:color w:val="auto"/>
          <w:sz w:val="21"/>
        </w:rPr>
        <w:t>“</w:t>
      </w:r>
      <w:r>
        <w:rPr>
          <w:rFonts w:ascii="Arial" w:hAnsi="Arial"/>
          <w:color w:val="auto"/>
          <w:sz w:val="21"/>
        </w:rPr>
        <w:t>保障+市场</w:t>
      </w:r>
      <w:r>
        <w:rPr>
          <w:rFonts w:hint="eastAsia" w:ascii="Arial" w:hAnsi="Arial"/>
          <w:color w:val="auto"/>
          <w:sz w:val="21"/>
        </w:rPr>
        <w:t>”</w:t>
      </w:r>
      <w:r>
        <w:rPr>
          <w:rFonts w:ascii="Arial" w:hAnsi="Arial"/>
          <w:color w:val="auto"/>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auto"/>
          <w:sz w:val="21"/>
        </w:rPr>
        <w:t>“</w:t>
      </w:r>
      <w:r>
        <w:rPr>
          <w:rFonts w:ascii="Arial" w:hAnsi="Arial"/>
          <w:color w:val="auto"/>
          <w:sz w:val="21"/>
        </w:rPr>
        <w:t>带押过户</w:t>
      </w:r>
      <w:r>
        <w:rPr>
          <w:rFonts w:hint="eastAsia" w:ascii="Arial" w:hAnsi="Arial"/>
          <w:color w:val="auto"/>
          <w:sz w:val="21"/>
        </w:rPr>
        <w:t>”</w:t>
      </w:r>
      <w:r>
        <w:rPr>
          <w:rFonts w:ascii="Arial" w:hAnsi="Arial"/>
          <w:color w:val="auto"/>
          <w:sz w:val="21"/>
        </w:rPr>
        <w:t>政策，并开展相关业务。</w:t>
      </w:r>
    </w:p>
    <w:p w14:paraId="0EB07966">
      <w:pPr>
        <w:overflowPunct w:val="0"/>
        <w:spacing w:line="480" w:lineRule="auto"/>
        <w:ind w:firstLine="420"/>
        <w:jc w:val="both"/>
        <w:textAlignment w:val="auto"/>
        <w:rPr>
          <w:rFonts w:ascii="Arial" w:hAnsi="Arial"/>
          <w:color w:val="auto"/>
          <w:sz w:val="21"/>
        </w:rPr>
      </w:pPr>
      <w:r>
        <w:rPr>
          <w:rFonts w:hint="eastAsia" w:ascii="Arial" w:hAnsi="Arial"/>
          <w:color w:val="auto"/>
          <w:sz w:val="21"/>
        </w:rPr>
        <w:t>2025年8月8日，</w:t>
      </w:r>
      <w:r>
        <w:rPr>
          <w:rFonts w:ascii="Arial" w:hAnsi="Arial"/>
          <w:color w:val="auto"/>
          <w:sz w:val="21"/>
        </w:rPr>
        <w:t>北京市住房和城乡建设委员会、</w:t>
      </w:r>
      <w:r>
        <w:rPr>
          <w:rFonts w:hint="eastAsia" w:ascii="Arial" w:hAnsi="Arial"/>
          <w:color w:val="auto"/>
          <w:sz w:val="21"/>
        </w:rPr>
        <w:t>北京住房公积金管理中心</w:t>
      </w:r>
      <w:r>
        <w:rPr>
          <w:rFonts w:ascii="Arial" w:hAnsi="Arial"/>
          <w:color w:val="auto"/>
          <w:sz w:val="21"/>
        </w:rPr>
        <w:t>联合发布</w:t>
      </w:r>
      <w:r>
        <w:rPr>
          <w:rFonts w:hint="eastAsia" w:ascii="Arial" w:hAnsi="Arial"/>
          <w:color w:val="auto"/>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62"/>
    <w:bookmarkEnd w:id="63"/>
    <w:p w14:paraId="232DF162">
      <w:pPr>
        <w:overflowPunct w:val="0"/>
        <w:spacing w:line="480" w:lineRule="auto"/>
        <w:ind w:firstLine="420"/>
        <w:jc w:val="both"/>
        <w:textAlignment w:val="auto"/>
        <w:rPr>
          <w:rFonts w:ascii="Arial" w:hAnsi="Arial"/>
          <w:color w:val="auto"/>
          <w:sz w:val="21"/>
        </w:rPr>
      </w:pPr>
      <w:r>
        <w:rPr>
          <w:rFonts w:hint="eastAsia" w:ascii="Arial" w:hAnsi="Arial"/>
          <w:color w:val="auto"/>
          <w:sz w:val="21"/>
        </w:rPr>
        <w:t>5.未来市场预期</w:t>
      </w:r>
    </w:p>
    <w:p w14:paraId="34920056">
      <w:pPr>
        <w:overflowPunct w:val="0"/>
        <w:spacing w:line="480" w:lineRule="auto"/>
        <w:ind w:firstLine="420"/>
        <w:jc w:val="both"/>
        <w:textAlignment w:val="auto"/>
        <w:rPr>
          <w:rFonts w:ascii="Arial" w:hAnsi="Arial"/>
          <w:color w:val="auto"/>
          <w:sz w:val="21"/>
        </w:rPr>
      </w:pPr>
      <w:r>
        <w:rPr>
          <w:rFonts w:ascii="Arial" w:hAnsi="Arial"/>
          <w:color w:val="auto"/>
          <w:sz w:val="21"/>
        </w:rPr>
        <w:t>预计未来北京住宅市场将呈现</w:t>
      </w:r>
      <w:r>
        <w:rPr>
          <w:rFonts w:hint="eastAsia" w:ascii="Arial" w:hAnsi="Arial"/>
          <w:color w:val="auto"/>
          <w:sz w:val="21"/>
        </w:rPr>
        <w:t>“</w:t>
      </w:r>
      <w:r>
        <w:rPr>
          <w:rFonts w:ascii="Arial" w:hAnsi="Arial"/>
          <w:color w:val="auto"/>
          <w:sz w:val="21"/>
        </w:rPr>
        <w:t>政策持续优化、市场温和修复、结构分化加剧</w:t>
      </w:r>
      <w:r>
        <w:rPr>
          <w:rFonts w:hint="eastAsia" w:ascii="Arial" w:hAnsi="Arial"/>
          <w:color w:val="auto"/>
          <w:sz w:val="21"/>
        </w:rPr>
        <w:t>”</w:t>
      </w:r>
      <w:r>
        <w:rPr>
          <w:rFonts w:ascii="Arial" w:hAnsi="Arial"/>
          <w:color w:val="auto"/>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auto"/>
          <w:sz w:val="21"/>
        </w:rPr>
        <w:t>“</w:t>
      </w:r>
      <w:r>
        <w:rPr>
          <w:rFonts w:ascii="Arial" w:hAnsi="Arial"/>
          <w:color w:val="auto"/>
          <w:sz w:val="21"/>
        </w:rPr>
        <w:t>好房子</w:t>
      </w:r>
      <w:r>
        <w:rPr>
          <w:rFonts w:hint="eastAsia" w:ascii="Arial" w:hAnsi="Arial"/>
          <w:color w:val="auto"/>
          <w:sz w:val="21"/>
        </w:rPr>
        <w:t>”</w:t>
      </w:r>
      <w:r>
        <w:rPr>
          <w:rFonts w:ascii="Arial" w:hAnsi="Arial"/>
          <w:color w:val="auto"/>
          <w:sz w:val="21"/>
        </w:rPr>
        <w:t>倾斜，中高面积段、中高总价产品占比提升，推动产品结构持续优化。整体来看，北京住宅市场正逐步进入</w:t>
      </w:r>
      <w:r>
        <w:rPr>
          <w:rFonts w:hint="eastAsia" w:ascii="Arial" w:hAnsi="Arial"/>
          <w:color w:val="auto"/>
          <w:sz w:val="21"/>
        </w:rPr>
        <w:t>“</w:t>
      </w:r>
      <w:r>
        <w:rPr>
          <w:rFonts w:ascii="Arial" w:hAnsi="Arial"/>
          <w:color w:val="auto"/>
          <w:sz w:val="21"/>
        </w:rPr>
        <w:t>量稳价稳、质升区异</w:t>
      </w:r>
      <w:r>
        <w:rPr>
          <w:rFonts w:hint="eastAsia" w:ascii="Arial" w:hAnsi="Arial"/>
          <w:color w:val="auto"/>
          <w:sz w:val="21"/>
        </w:rPr>
        <w:t>”</w:t>
      </w:r>
      <w:r>
        <w:rPr>
          <w:rFonts w:ascii="Arial" w:hAnsi="Arial"/>
          <w:color w:val="auto"/>
          <w:sz w:val="21"/>
        </w:rPr>
        <w:t>的新阶段</w:t>
      </w:r>
      <w:r>
        <w:rPr>
          <w:rFonts w:hint="eastAsia" w:ascii="Arial" w:hAnsi="Arial"/>
          <w:color w:val="auto"/>
          <w:sz w:val="21"/>
        </w:rPr>
        <w:t>。</w:t>
      </w:r>
    </w:p>
    <w:p w14:paraId="6023C4DF">
      <w:pPr>
        <w:spacing w:line="360" w:lineRule="auto"/>
        <w:rPr>
          <w:rFonts w:ascii="Arial" w:hAnsi="Arial"/>
          <w:b/>
          <w:color w:val="auto"/>
          <w:kern w:val="2"/>
          <w:sz w:val="21"/>
          <w:szCs w:val="21"/>
        </w:rPr>
      </w:pPr>
      <w:r>
        <w:rPr>
          <w:rFonts w:ascii="Arial" w:hAnsi="Arial"/>
          <w:b/>
          <w:color w:val="auto"/>
          <w:kern w:val="2"/>
          <w:sz w:val="21"/>
          <w:szCs w:val="21"/>
        </w:rPr>
        <w:t>（二）估价对象所在区域相应用途房地产市场状况</w:t>
      </w:r>
    </w:p>
    <w:p w14:paraId="574492DA">
      <w:pPr>
        <w:widowControl/>
        <w:overflowPunct w:val="0"/>
        <w:adjustRightInd/>
        <w:spacing w:line="480" w:lineRule="auto"/>
        <w:ind w:firstLine="420" w:firstLineChars="200"/>
        <w:jc w:val="both"/>
        <w:textAlignment w:val="auto"/>
        <w:rPr>
          <w:rFonts w:ascii="Arial" w:hAnsi="Arial"/>
          <w:color w:val="auto"/>
          <w:sz w:val="21"/>
          <w:szCs w:val="28"/>
        </w:rPr>
      </w:pPr>
      <w:r>
        <w:rPr>
          <w:rFonts w:hint="eastAsia" w:ascii="Arial" w:hAnsi="Arial"/>
          <w:color w:val="auto"/>
          <w:sz w:val="21"/>
          <w:szCs w:val="28"/>
        </w:rPr>
        <w:t>1.区域概况</w:t>
      </w:r>
    </w:p>
    <w:p w14:paraId="7CC287FD">
      <w:pPr>
        <w:snapToGrid w:val="0"/>
        <w:spacing w:line="480" w:lineRule="auto"/>
        <w:ind w:firstLine="420" w:firstLineChars="200"/>
        <w:jc w:val="both"/>
        <w:rPr>
          <w:rFonts w:ascii="Arial" w:hAnsi="Arial"/>
          <w:bCs/>
          <w:color w:val="auto"/>
          <w:sz w:val="21"/>
          <w:szCs w:val="28"/>
        </w:rPr>
      </w:pPr>
      <w:r>
        <w:rPr>
          <w:rFonts w:hint="eastAsia" w:ascii="Arial" w:hAnsi="Arial"/>
          <w:bCs/>
          <w:color w:val="auto"/>
          <w:sz w:val="21"/>
          <w:szCs w:val="28"/>
        </w:rPr>
        <w:t>估价对象位于北京市</w:t>
      </w:r>
      <w:r>
        <w:rPr>
          <w:rFonts w:ascii="Arial" w:hAnsi="Arial"/>
          <w:bCs/>
          <w:color w:val="auto"/>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4DE7EA19">
      <w:pPr>
        <w:snapToGrid w:val="0"/>
        <w:spacing w:line="480" w:lineRule="auto"/>
        <w:ind w:firstLine="420" w:firstLineChars="200"/>
        <w:jc w:val="both"/>
        <w:rPr>
          <w:rFonts w:ascii="Arial" w:hAnsi="Arial"/>
          <w:bCs/>
          <w:color w:val="auto"/>
          <w:sz w:val="21"/>
          <w:szCs w:val="28"/>
        </w:rPr>
      </w:pPr>
      <w:r>
        <w:rPr>
          <w:rFonts w:ascii="Arial" w:hAnsi="Arial"/>
          <w:bCs/>
          <w:color w:val="auto"/>
          <w:sz w:val="21"/>
          <w:szCs w:val="28"/>
        </w:rPr>
        <w:t>2024年地区生产总值1334.8亿元，同比增长5.2%，</w:t>
      </w:r>
      <w:r>
        <w:rPr>
          <w:rFonts w:hint="eastAsia" w:ascii="Arial" w:hAnsi="Arial"/>
          <w:bCs/>
          <w:color w:val="auto"/>
          <w:sz w:val="21"/>
          <w:szCs w:val="28"/>
        </w:rPr>
        <w:t>其中第一产业实现增加值16.6亿元，比上年增长2.3%；第二产业实现增加值374.0亿元，比上年增长3.1%；第三产业实现增加值944.2亿元，比上年增长6.3%。</w:t>
      </w:r>
    </w:p>
    <w:p w14:paraId="550C9E38">
      <w:pPr>
        <w:snapToGrid w:val="0"/>
        <w:spacing w:line="480" w:lineRule="auto"/>
        <w:ind w:firstLine="420" w:firstLineChars="200"/>
        <w:jc w:val="both"/>
        <w:rPr>
          <w:rFonts w:ascii="Arial" w:hAnsi="Arial"/>
          <w:bCs/>
          <w:color w:val="auto"/>
          <w:sz w:val="21"/>
          <w:szCs w:val="28"/>
        </w:rPr>
      </w:pPr>
      <w:r>
        <w:rPr>
          <w:rFonts w:hint="eastAsia" w:ascii="Arial" w:hAnsi="Arial"/>
          <w:bCs/>
          <w:color w:val="auto"/>
          <w:sz w:val="21"/>
          <w:szCs w:val="28"/>
        </w:rPr>
        <w:t>2024年，大兴区固定资产投资（不含农户）比上年下降13.4%，其中建筑安装工程投资比上年增长8.6%。分产业看，第二产业投资额比上年增长17.8%，占全区固定资产投资（不含农户）的比重为10.0%。其中制造业投资额比上年增长19.7%。第三产业投资额比上年下降15.9%,占全区固定资产投资（不含农户）的比重为89.9%。</w:t>
      </w:r>
    </w:p>
    <w:p w14:paraId="601E9BB7">
      <w:pPr>
        <w:snapToGrid w:val="0"/>
        <w:spacing w:line="480" w:lineRule="auto"/>
        <w:ind w:firstLine="420" w:firstLineChars="200"/>
        <w:jc w:val="both"/>
        <w:rPr>
          <w:rFonts w:ascii="Arial" w:hAnsi="Arial"/>
          <w:bCs/>
          <w:color w:val="auto"/>
          <w:sz w:val="21"/>
          <w:szCs w:val="28"/>
        </w:rPr>
      </w:pPr>
      <w:r>
        <w:rPr>
          <w:rFonts w:hint="eastAsia" w:ascii="Arial" w:hAnsi="Arial"/>
          <w:bCs/>
          <w:color w:val="auto"/>
          <w:sz w:val="21"/>
          <w:szCs w:val="28"/>
        </w:rPr>
        <w:t>2024年，大兴区居民人均可支配收入62204元，比上年增长4.4%。其中城镇居民人均可支配收入71870元，比上年增长3.6%；农村居民人均可支配收入40073元，比上年增长7.2%。从四项收入构成看，全区居民人均工资性收入45345元，比上年增长5.7%；人均财产净收入8676元，比上年下降0.6%；人均转移净收入6401元，比上年增长3.8%；人均经营净收入1782元，比上年增长1.3%。大兴区居民人均消费支出37540元，比上年增长2.5%。其中城镇居民人均消费支出41978元，比上年增长2.2%；农村居民人均消费支出27379元，比上年增长3.5%。消费支出中，居住支出11621元，比上年增长5.2%；食品烟酒支出9011元，比上年增长0.7%；交通和通信支出5193元，比上年下降1.7%。2025年10月，大兴区获评全国法治政府建设示范市（县、区）。</w:t>
      </w:r>
    </w:p>
    <w:p w14:paraId="11489F5D">
      <w:pPr>
        <w:spacing w:line="480" w:lineRule="auto"/>
        <w:ind w:firstLine="420" w:firstLineChars="200"/>
        <w:jc w:val="both"/>
        <w:rPr>
          <w:rFonts w:ascii="Arial" w:hAnsi="Arial"/>
          <w:color w:val="auto"/>
          <w:sz w:val="21"/>
          <w:szCs w:val="28"/>
        </w:rPr>
      </w:pPr>
      <w:r>
        <w:rPr>
          <w:rFonts w:hint="eastAsia" w:ascii="Arial" w:hAnsi="Arial"/>
          <w:color w:val="auto"/>
          <w:sz w:val="21"/>
          <w:szCs w:val="28"/>
        </w:rPr>
        <w:t>2.区域住宅用房房地产市场状况</w:t>
      </w:r>
    </w:p>
    <w:p w14:paraId="2A166B22">
      <w:pPr>
        <w:spacing w:line="480" w:lineRule="auto"/>
        <w:ind w:firstLine="420" w:firstLineChars="200"/>
        <w:jc w:val="both"/>
        <w:rPr>
          <w:rFonts w:ascii="Arial" w:hAnsi="Arial"/>
          <w:color w:val="auto"/>
          <w:sz w:val="21"/>
          <w:szCs w:val="28"/>
        </w:rPr>
      </w:pPr>
      <w:r>
        <w:rPr>
          <w:rFonts w:hint="eastAsia" w:ascii="Arial" w:hAnsi="Arial" w:cs="Arial"/>
          <w:color w:val="auto"/>
          <w:kern w:val="2"/>
          <w:sz w:val="21"/>
          <w:szCs w:val="21"/>
        </w:rPr>
        <w:t>估价对象位于北京市大兴区，估价对象周边2公里内有兴创荣墅、住总兴创如遇、恒盛波尔多小镇、路劲御合院、阳光波尔多、北京城建宽院国誉府等，居住小区规模一般，入住率一般，综合评价居住区成熟度一般。</w:t>
      </w:r>
      <w:r>
        <w:rPr>
          <w:rFonts w:hint="eastAsia" w:ascii="Arial" w:hAnsi="Arial"/>
          <w:color w:val="auto"/>
          <w:sz w:val="21"/>
          <w:szCs w:val="28"/>
        </w:rPr>
        <w:t>据调查，估价对象周边同类型住宅租金约为15-25元/平方米·月。</w:t>
      </w:r>
    </w:p>
    <w:p w14:paraId="3918C19B">
      <w:pPr>
        <w:spacing w:line="480" w:lineRule="auto"/>
        <w:ind w:firstLine="420" w:firstLineChars="200"/>
        <w:jc w:val="both"/>
        <w:rPr>
          <w:rFonts w:ascii="Arial" w:hAnsi="Arial"/>
          <w:color w:val="auto"/>
          <w:sz w:val="21"/>
          <w:szCs w:val="28"/>
        </w:rPr>
      </w:pPr>
    </w:p>
    <w:p w14:paraId="05C83160">
      <w:pPr>
        <w:pStyle w:val="3"/>
        <w:numPr>
          <w:ilvl w:val="0"/>
          <w:numId w:val="0"/>
        </w:numPr>
        <w:spacing w:line="480" w:lineRule="auto"/>
        <w:ind w:left="358" w:hanging="358" w:hangingChars="170"/>
        <w:jc w:val="both"/>
        <w:rPr>
          <w:rFonts w:eastAsia="宋体"/>
          <w:color w:val="auto"/>
          <w:kern w:val="2"/>
          <w:sz w:val="21"/>
          <w:szCs w:val="21"/>
        </w:rPr>
      </w:pPr>
      <w:bookmarkStart w:id="65" w:name="_Toc155267105"/>
      <w:r>
        <w:rPr>
          <w:rFonts w:eastAsia="宋体"/>
          <w:color w:val="auto"/>
          <w:kern w:val="2"/>
          <w:sz w:val="21"/>
          <w:szCs w:val="21"/>
        </w:rPr>
        <w:t>三、最高最佳利用分析</w:t>
      </w:r>
      <w:bookmarkEnd w:id="57"/>
      <w:bookmarkEnd w:id="65"/>
    </w:p>
    <w:p w14:paraId="6C1AF016">
      <w:pPr>
        <w:pStyle w:val="60"/>
        <w:autoSpaceDE w:val="0"/>
        <w:autoSpaceDN w:val="0"/>
        <w:spacing w:line="480" w:lineRule="auto"/>
        <w:ind w:right="140" w:firstLine="420" w:firstLineChars="200"/>
        <w:jc w:val="both"/>
        <w:textAlignment w:val="bottom"/>
        <w:rPr>
          <w:rFonts w:ascii="Arial" w:hAnsi="Arial" w:cs="Arial"/>
          <w:color w:val="auto"/>
          <w:sz w:val="21"/>
          <w:szCs w:val="21"/>
        </w:rPr>
      </w:pPr>
      <w:r>
        <w:rPr>
          <w:rFonts w:ascii="Arial" w:hAnsi="Arial" w:cs="Arial"/>
          <w:color w:val="auto"/>
          <w:sz w:val="21"/>
          <w:szCs w:val="21"/>
        </w:rPr>
        <w:t>所谓最高最佳使用是指房地产估价要以房地产的最高最佳使用为前提。最高最佳使用是估价对象的一种最可能的使用</w:t>
      </w:r>
      <w:r>
        <w:rPr>
          <w:rFonts w:hint="eastAsia" w:ascii="Arial" w:hAnsi="Arial" w:cs="Arial"/>
          <w:color w:val="auto"/>
          <w:sz w:val="21"/>
          <w:szCs w:val="21"/>
        </w:rPr>
        <w:t>,</w:t>
      </w:r>
      <w:r>
        <w:rPr>
          <w:rFonts w:ascii="Arial" w:hAnsi="Arial" w:cs="Arial"/>
          <w:color w:val="auto"/>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color w:val="auto"/>
          <w:sz w:val="21"/>
          <w:szCs w:val="21"/>
        </w:rPr>
        <w:t>:</w:t>
      </w:r>
    </w:p>
    <w:p w14:paraId="60796F61">
      <w:pPr>
        <w:pStyle w:val="60"/>
        <w:autoSpaceDE w:val="0"/>
        <w:autoSpaceDN w:val="0"/>
        <w:spacing w:line="480" w:lineRule="auto"/>
        <w:ind w:right="140"/>
        <w:jc w:val="both"/>
        <w:textAlignment w:val="bottom"/>
        <w:rPr>
          <w:rFonts w:ascii="Arial" w:hAnsi="Arial" w:cs="Arial"/>
          <w:b/>
          <w:color w:val="auto"/>
          <w:sz w:val="21"/>
          <w:szCs w:val="21"/>
        </w:rPr>
      </w:pPr>
      <w:r>
        <w:rPr>
          <w:rFonts w:ascii="Arial" w:hAnsi="Arial" w:cs="Arial"/>
          <w:b/>
          <w:color w:val="auto"/>
          <w:sz w:val="21"/>
          <w:szCs w:val="21"/>
        </w:rPr>
        <w:t>（一）法律上允许</w:t>
      </w:r>
    </w:p>
    <w:p w14:paraId="2DB2D1F4">
      <w:pPr>
        <w:pStyle w:val="60"/>
        <w:autoSpaceDE w:val="0"/>
        <w:autoSpaceDN w:val="0"/>
        <w:spacing w:line="480" w:lineRule="auto"/>
        <w:ind w:right="140" w:firstLine="420" w:firstLineChars="200"/>
        <w:jc w:val="both"/>
        <w:textAlignment w:val="bottom"/>
        <w:rPr>
          <w:rFonts w:ascii="Arial" w:hAnsi="Arial" w:cs="Arial"/>
          <w:color w:val="auto"/>
          <w:sz w:val="21"/>
          <w:szCs w:val="21"/>
        </w:rPr>
      </w:pPr>
      <w:r>
        <w:rPr>
          <w:rFonts w:ascii="Arial" w:hAnsi="Arial" w:cs="Arial"/>
          <w:color w:val="auto"/>
          <w:sz w:val="21"/>
          <w:szCs w:val="21"/>
        </w:rPr>
        <w:t>法律上允许即不受现时使用状况的限制，而依照法律规章、规划发展方向，按照其可能的最优用途进行估价。</w:t>
      </w:r>
    </w:p>
    <w:p w14:paraId="402D3ED4">
      <w:pPr>
        <w:pStyle w:val="60"/>
        <w:autoSpaceDE w:val="0"/>
        <w:autoSpaceDN w:val="0"/>
        <w:spacing w:line="480" w:lineRule="auto"/>
        <w:ind w:right="140" w:firstLine="420" w:firstLineChars="200"/>
        <w:jc w:val="both"/>
        <w:textAlignment w:val="bottom"/>
        <w:rPr>
          <w:rFonts w:ascii="Arial" w:hAnsi="Arial" w:cs="Arial"/>
          <w:color w:val="auto"/>
          <w:sz w:val="21"/>
          <w:szCs w:val="21"/>
        </w:rPr>
      </w:pPr>
      <w:bookmarkStart w:id="66" w:name="_Hlk130232101"/>
      <w:r>
        <w:rPr>
          <w:rFonts w:hint="eastAsia" w:ascii="Arial" w:hAnsi="Arial" w:cs="Arial"/>
          <w:color w:val="auto"/>
          <w:sz w:val="21"/>
          <w:szCs w:val="21"/>
        </w:rPr>
        <w:t>根据估价对象已取得《国有土地使用证》[京兴国用（2010）出第00133、00134、00135号]、《北京市大兴区住房和城乡建设委员会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w:t>
      </w:r>
      <w:r>
        <w:rPr>
          <w:rFonts w:hint="eastAsia" w:ascii="Arial" w:hAnsi="Arial" w:cs="Arial"/>
          <w:color w:val="auto"/>
          <w:kern w:val="2"/>
          <w:sz w:val="21"/>
          <w:szCs w:val="21"/>
        </w:rPr>
        <w:t>、</w:t>
      </w: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》[X京房权证兴字第100091、102139、102135、102136、102140、102137、102138、103831、102031、110683、110394、110393、110397、110396、110395、110392、110389号]、《</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》[X京房权证兴字第103107、103825号]、《</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》[X京房权证兴字第146943、146944、102030、100093、102028号]、《采育数字时尚小镇保障性住房趸组协议》及其附件，估价对象为住宅用房，法律上允许。</w:t>
      </w:r>
      <w:bookmarkEnd w:id="66"/>
    </w:p>
    <w:p w14:paraId="22D025E8">
      <w:pPr>
        <w:pStyle w:val="60"/>
        <w:autoSpaceDE w:val="0"/>
        <w:autoSpaceDN w:val="0"/>
        <w:spacing w:line="480" w:lineRule="auto"/>
        <w:ind w:right="142"/>
        <w:jc w:val="both"/>
        <w:textAlignment w:val="bottom"/>
        <w:rPr>
          <w:rFonts w:ascii="Arial" w:hAnsi="Arial" w:cs="Arial"/>
          <w:b/>
          <w:color w:val="auto"/>
          <w:sz w:val="21"/>
          <w:szCs w:val="21"/>
        </w:rPr>
      </w:pPr>
      <w:r>
        <w:rPr>
          <w:rFonts w:ascii="Arial" w:hAnsi="Arial" w:cs="Arial"/>
          <w:b/>
          <w:color w:val="auto"/>
          <w:sz w:val="21"/>
          <w:szCs w:val="21"/>
        </w:rPr>
        <w:t>（二）技术上可能</w:t>
      </w:r>
    </w:p>
    <w:p w14:paraId="264AF56C">
      <w:pPr>
        <w:pStyle w:val="60"/>
        <w:autoSpaceDE w:val="0"/>
        <w:autoSpaceDN w:val="0"/>
        <w:spacing w:line="480" w:lineRule="auto"/>
        <w:ind w:right="142" w:firstLine="420" w:firstLineChars="200"/>
        <w:jc w:val="both"/>
        <w:textAlignment w:val="bottom"/>
        <w:rPr>
          <w:rFonts w:ascii="Arial" w:hAnsi="Arial" w:cs="Arial"/>
          <w:color w:val="auto"/>
          <w:sz w:val="21"/>
          <w:szCs w:val="21"/>
        </w:rPr>
      </w:pPr>
      <w:r>
        <w:rPr>
          <w:rFonts w:hint="eastAsia" w:ascii="Arial" w:hAnsi="Arial" w:cs="Arial"/>
          <w:color w:val="auto"/>
          <w:sz w:val="21"/>
          <w:szCs w:val="21"/>
        </w:rPr>
        <w:t>技术上可能</w:t>
      </w:r>
      <w:r>
        <w:rPr>
          <w:rFonts w:ascii="Arial" w:hAnsi="Arial" w:cs="Arial"/>
          <w:color w:val="auto"/>
          <w:sz w:val="21"/>
          <w:szCs w:val="21"/>
        </w:rPr>
        <w:t>即不能把技术上无法做到的使用当作最高最佳使用，要按照房屋建筑工程方面的技术要求进行估价。</w:t>
      </w:r>
    </w:p>
    <w:p w14:paraId="24B5F64B">
      <w:pPr>
        <w:pStyle w:val="60"/>
        <w:autoSpaceDE w:val="0"/>
        <w:autoSpaceDN w:val="0"/>
        <w:spacing w:line="480" w:lineRule="auto"/>
        <w:ind w:right="142" w:firstLine="420" w:firstLineChars="200"/>
        <w:jc w:val="both"/>
        <w:textAlignment w:val="bottom"/>
        <w:rPr>
          <w:rFonts w:ascii="Arial" w:hAnsi="Arial" w:cs="Arial"/>
          <w:color w:val="auto"/>
          <w:sz w:val="21"/>
          <w:szCs w:val="21"/>
        </w:rPr>
      </w:pPr>
      <w:r>
        <w:rPr>
          <w:rFonts w:hint="eastAsia" w:ascii="Arial" w:hAnsi="Arial" w:cs="Arial"/>
          <w:color w:val="auto"/>
          <w:sz w:val="21"/>
          <w:szCs w:val="21"/>
        </w:rPr>
        <w:t>估价对象为</w:t>
      </w:r>
      <w:r>
        <w:rPr>
          <w:rFonts w:hint="eastAsia" w:ascii="Arial" w:hAnsi="Arial" w:cs="Arial"/>
          <w:color w:val="auto"/>
          <w:kern w:val="2"/>
          <w:sz w:val="21"/>
          <w:szCs w:val="21"/>
        </w:rPr>
        <w:t>钢混</w:t>
      </w:r>
      <w:r>
        <w:rPr>
          <w:rFonts w:hint="eastAsia" w:ascii="Arial" w:hAnsi="Arial" w:cs="Arial"/>
          <w:color w:val="auto"/>
          <w:sz w:val="21"/>
          <w:szCs w:val="21"/>
        </w:rPr>
        <w:t>结构的高层建筑物。</w:t>
      </w:r>
      <w:r>
        <w:rPr>
          <w:rFonts w:ascii="Arial" w:hAnsi="Arial" w:cs="Arial"/>
          <w:color w:val="auto"/>
          <w:sz w:val="21"/>
          <w:szCs w:val="21"/>
        </w:rPr>
        <w:t>估价对象建筑结构、功能、造型、立面效果、建筑材料和设备选用、施工技术等方面，</w:t>
      </w:r>
      <w:r>
        <w:rPr>
          <w:rFonts w:hint="eastAsia" w:ascii="Arial" w:hAnsi="Arial" w:cs="Arial"/>
          <w:color w:val="auto"/>
          <w:sz w:val="21"/>
          <w:szCs w:val="21"/>
        </w:rPr>
        <w:t>在目前的施工</w:t>
      </w:r>
      <w:r>
        <w:rPr>
          <w:rFonts w:ascii="Arial" w:hAnsi="Arial" w:cs="Arial"/>
          <w:color w:val="auto"/>
          <w:sz w:val="21"/>
          <w:szCs w:val="21"/>
        </w:rPr>
        <w:t>技术上均能满足要求。</w:t>
      </w:r>
    </w:p>
    <w:p w14:paraId="73B66EB7">
      <w:pPr>
        <w:pStyle w:val="60"/>
        <w:autoSpaceDE w:val="0"/>
        <w:autoSpaceDN w:val="0"/>
        <w:spacing w:line="480" w:lineRule="auto"/>
        <w:ind w:right="142"/>
        <w:jc w:val="both"/>
        <w:textAlignment w:val="bottom"/>
        <w:rPr>
          <w:rFonts w:ascii="Arial" w:hAnsi="Arial" w:cs="Arial"/>
          <w:b/>
          <w:color w:val="auto"/>
          <w:sz w:val="21"/>
          <w:szCs w:val="21"/>
        </w:rPr>
      </w:pPr>
      <w:r>
        <w:rPr>
          <w:rFonts w:ascii="Arial" w:hAnsi="Arial" w:cs="Arial"/>
          <w:b/>
          <w:color w:val="auto"/>
          <w:sz w:val="21"/>
          <w:szCs w:val="21"/>
        </w:rPr>
        <w:t>（三）经济上可行</w:t>
      </w:r>
    </w:p>
    <w:p w14:paraId="38C249A8">
      <w:pPr>
        <w:pStyle w:val="60"/>
        <w:autoSpaceDE w:val="0"/>
        <w:autoSpaceDN w:val="0"/>
        <w:spacing w:line="480" w:lineRule="auto"/>
        <w:ind w:right="142" w:firstLine="420" w:firstLineChars="200"/>
        <w:jc w:val="both"/>
        <w:textAlignment w:val="bottom"/>
        <w:rPr>
          <w:rFonts w:ascii="Arial" w:hAnsi="Arial" w:cs="Arial"/>
          <w:color w:val="auto"/>
          <w:sz w:val="21"/>
          <w:szCs w:val="21"/>
        </w:rPr>
      </w:pPr>
      <w:r>
        <w:rPr>
          <w:rFonts w:hint="eastAsia" w:ascii="Arial" w:hAnsi="Arial" w:cs="Arial"/>
          <w:color w:val="auto"/>
          <w:sz w:val="21"/>
          <w:szCs w:val="21"/>
        </w:rPr>
        <w:t>经济上可行</w:t>
      </w:r>
      <w:r>
        <w:rPr>
          <w:rFonts w:ascii="Arial" w:hAnsi="Arial" w:cs="Arial"/>
          <w:color w:val="auto"/>
          <w:sz w:val="21"/>
          <w:szCs w:val="21"/>
        </w:rPr>
        <w:t>即估价结果应是各种可能的使用方式中，以经济上有限的投入而能获得最大的收益的使用方式的估价结果。估价对象目前用途、</w:t>
      </w:r>
      <w:r>
        <w:rPr>
          <w:rFonts w:hint="eastAsia" w:ascii="Arial" w:hAnsi="Arial" w:cs="Arial"/>
          <w:color w:val="auto"/>
          <w:sz w:val="21"/>
          <w:szCs w:val="21"/>
        </w:rPr>
        <w:t>设定</w:t>
      </w:r>
      <w:r>
        <w:rPr>
          <w:rFonts w:ascii="Arial" w:hAnsi="Arial" w:cs="Arial"/>
          <w:color w:val="auto"/>
          <w:sz w:val="21"/>
          <w:szCs w:val="21"/>
        </w:rPr>
        <w:t>产权合法、建造标准技术上能满足要求，并且其收入现值大于支出现值，具有经济可行性。</w:t>
      </w:r>
    </w:p>
    <w:p w14:paraId="10909085">
      <w:pPr>
        <w:pStyle w:val="60"/>
        <w:autoSpaceDE w:val="0"/>
        <w:autoSpaceDN w:val="0"/>
        <w:spacing w:line="480" w:lineRule="auto"/>
        <w:ind w:right="140"/>
        <w:jc w:val="both"/>
        <w:textAlignment w:val="bottom"/>
        <w:rPr>
          <w:rFonts w:ascii="Arial" w:hAnsi="Arial" w:cs="Arial"/>
          <w:b/>
          <w:color w:val="auto"/>
          <w:sz w:val="21"/>
          <w:szCs w:val="21"/>
        </w:rPr>
      </w:pPr>
      <w:r>
        <w:rPr>
          <w:rFonts w:ascii="Arial" w:hAnsi="Arial" w:cs="Arial"/>
          <w:b/>
          <w:color w:val="auto"/>
          <w:sz w:val="21"/>
          <w:szCs w:val="21"/>
        </w:rPr>
        <w:t>（四）价值最大化</w:t>
      </w:r>
    </w:p>
    <w:p w14:paraId="1504F3AB">
      <w:pPr>
        <w:pStyle w:val="60"/>
        <w:autoSpaceDE w:val="0"/>
        <w:autoSpaceDN w:val="0"/>
        <w:spacing w:line="480" w:lineRule="auto"/>
        <w:ind w:right="140" w:firstLine="420" w:firstLineChars="200"/>
        <w:jc w:val="both"/>
        <w:textAlignment w:val="bottom"/>
        <w:rPr>
          <w:rFonts w:ascii="Arial" w:hAnsi="Arial" w:cs="Arial"/>
          <w:color w:val="auto"/>
          <w:sz w:val="21"/>
          <w:szCs w:val="21"/>
        </w:rPr>
      </w:pPr>
      <w:r>
        <w:rPr>
          <w:rFonts w:hint="eastAsia" w:ascii="Arial" w:hAnsi="Arial" w:cs="Arial"/>
          <w:color w:val="auto"/>
          <w:sz w:val="21"/>
          <w:szCs w:val="21"/>
        </w:rPr>
        <w:t>价值最大化</w:t>
      </w:r>
      <w:r>
        <w:rPr>
          <w:rFonts w:ascii="Arial" w:hAnsi="Arial" w:cs="Arial"/>
          <w:color w:val="auto"/>
          <w:sz w:val="21"/>
          <w:szCs w:val="21"/>
        </w:rPr>
        <w:t>即在所有具有经济可行性的使用方式中，能使估价对象价值达到最大的使用方式，才是最高最佳的使用方式。估价对象用途为</w:t>
      </w:r>
      <w:r>
        <w:rPr>
          <w:rFonts w:hint="eastAsia" w:ascii="Arial" w:hAnsi="Arial" w:cs="Arial"/>
          <w:color w:val="auto"/>
          <w:kern w:val="2"/>
          <w:sz w:val="21"/>
          <w:szCs w:val="21"/>
        </w:rPr>
        <w:t>住宅</w:t>
      </w:r>
      <w:r>
        <w:rPr>
          <w:rFonts w:hint="eastAsia" w:ascii="Arial" w:hAnsi="Arial" w:cs="Arial"/>
          <w:color w:val="auto"/>
          <w:sz w:val="21"/>
          <w:szCs w:val="21"/>
        </w:rPr>
        <w:t>，</w:t>
      </w:r>
      <w:r>
        <w:rPr>
          <w:rFonts w:ascii="Arial" w:hAnsi="Arial" w:cs="Arial"/>
          <w:color w:val="auto"/>
          <w:sz w:val="21"/>
          <w:szCs w:val="21"/>
        </w:rPr>
        <w:t>其使用方式以满足法律上许可、技术上可能、经济上可行为前提条件，经过论证可使估价对象价值得到最大化。</w:t>
      </w:r>
    </w:p>
    <w:p w14:paraId="7A04A72E">
      <w:pPr>
        <w:pStyle w:val="60"/>
        <w:autoSpaceDE w:val="0"/>
        <w:autoSpaceDN w:val="0"/>
        <w:spacing w:line="480" w:lineRule="auto"/>
        <w:ind w:right="140"/>
        <w:jc w:val="both"/>
        <w:textAlignment w:val="bottom"/>
        <w:rPr>
          <w:rFonts w:ascii="Arial" w:hAnsi="Arial" w:cs="Arial"/>
          <w:b/>
          <w:color w:val="auto"/>
          <w:sz w:val="21"/>
          <w:szCs w:val="21"/>
        </w:rPr>
      </w:pPr>
      <w:r>
        <w:rPr>
          <w:rFonts w:ascii="Arial" w:hAnsi="Arial" w:cs="Arial"/>
          <w:b/>
          <w:color w:val="auto"/>
          <w:sz w:val="21"/>
          <w:szCs w:val="21"/>
        </w:rPr>
        <w:t>（五）使用前提说明与分析</w:t>
      </w:r>
    </w:p>
    <w:p w14:paraId="1F8E9B88">
      <w:pPr>
        <w:pStyle w:val="60"/>
        <w:autoSpaceDE w:val="0"/>
        <w:autoSpaceDN w:val="0"/>
        <w:spacing w:line="480" w:lineRule="auto"/>
        <w:ind w:right="140" w:firstLine="420" w:firstLineChars="200"/>
        <w:jc w:val="both"/>
        <w:textAlignment w:val="bottom"/>
        <w:rPr>
          <w:rFonts w:ascii="Arial" w:hAnsi="Arial" w:cs="Arial"/>
          <w:color w:val="auto"/>
          <w:sz w:val="21"/>
          <w:szCs w:val="21"/>
        </w:rPr>
      </w:pPr>
      <w:r>
        <w:rPr>
          <w:rFonts w:ascii="Arial" w:hAnsi="Arial" w:cs="Arial"/>
          <w:color w:val="auto"/>
          <w:sz w:val="21"/>
          <w:szCs w:val="21"/>
        </w:rPr>
        <w:t>估价对象</w:t>
      </w:r>
      <w:r>
        <w:rPr>
          <w:rFonts w:hint="eastAsia" w:ascii="Arial" w:hAnsi="Arial" w:cs="Arial"/>
          <w:color w:val="auto"/>
          <w:sz w:val="21"/>
          <w:szCs w:val="21"/>
        </w:rPr>
        <w:t>设定</w:t>
      </w:r>
      <w:r>
        <w:rPr>
          <w:rFonts w:ascii="Arial" w:hAnsi="Arial" w:cs="Arial"/>
          <w:color w:val="auto"/>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CF161C9">
      <w:pPr>
        <w:spacing w:line="480" w:lineRule="auto"/>
        <w:ind w:firstLine="420" w:firstLineChars="200"/>
        <w:jc w:val="both"/>
        <w:rPr>
          <w:rFonts w:ascii="Arial" w:hAnsi="Arial" w:cs="Arial"/>
          <w:color w:val="auto"/>
          <w:sz w:val="21"/>
          <w:szCs w:val="21"/>
        </w:rPr>
      </w:pPr>
      <w:r>
        <w:rPr>
          <w:rFonts w:ascii="Arial" w:hAnsi="Arial" w:cs="Arial"/>
          <w:color w:val="auto"/>
          <w:sz w:val="21"/>
          <w:szCs w:val="21"/>
        </w:rPr>
        <w:t>综上所述，我们认为估价对象用途</w:t>
      </w:r>
      <w:r>
        <w:rPr>
          <w:rFonts w:hint="eastAsia" w:ascii="Arial" w:hAnsi="Arial" w:cs="Arial"/>
          <w:color w:val="auto"/>
          <w:sz w:val="21"/>
          <w:szCs w:val="21"/>
        </w:rPr>
        <w:t>为住宅</w:t>
      </w:r>
      <w:r>
        <w:rPr>
          <w:rFonts w:ascii="Arial" w:hAnsi="Arial" w:cs="Arial"/>
          <w:color w:val="auto"/>
          <w:sz w:val="21"/>
          <w:szCs w:val="21"/>
        </w:rPr>
        <w:t>为其最高最佳使用途径。</w:t>
      </w:r>
    </w:p>
    <w:p w14:paraId="13412A66">
      <w:pPr>
        <w:spacing w:line="480" w:lineRule="auto"/>
        <w:ind w:firstLine="420" w:firstLineChars="200"/>
        <w:jc w:val="both"/>
        <w:rPr>
          <w:rFonts w:ascii="Arial" w:hAnsi="Arial" w:cs="Arial"/>
          <w:color w:val="auto"/>
          <w:sz w:val="21"/>
          <w:szCs w:val="21"/>
        </w:rPr>
      </w:pPr>
    </w:p>
    <w:p w14:paraId="46043E61">
      <w:pPr>
        <w:pStyle w:val="3"/>
        <w:numPr>
          <w:ilvl w:val="0"/>
          <w:numId w:val="9"/>
        </w:numPr>
        <w:spacing w:line="480" w:lineRule="auto"/>
        <w:jc w:val="both"/>
        <w:rPr>
          <w:rFonts w:eastAsia="宋体"/>
          <w:color w:val="auto"/>
          <w:kern w:val="2"/>
          <w:sz w:val="21"/>
          <w:szCs w:val="21"/>
        </w:rPr>
      </w:pPr>
      <w:bookmarkStart w:id="67" w:name="_Toc155267106"/>
      <w:bookmarkStart w:id="68" w:name="_Toc525655439"/>
      <w:r>
        <w:rPr>
          <w:rFonts w:eastAsia="宋体"/>
          <w:color w:val="auto"/>
          <w:kern w:val="2"/>
          <w:sz w:val="21"/>
          <w:szCs w:val="21"/>
        </w:rPr>
        <w:t>估价方法适用性分析</w:t>
      </w:r>
      <w:bookmarkEnd w:id="67"/>
      <w:bookmarkEnd w:id="68"/>
    </w:p>
    <w:p w14:paraId="2BD9F957">
      <w:pPr>
        <w:wordWrap w:val="0"/>
        <w:overflowPunct w:val="0"/>
        <w:spacing w:line="480" w:lineRule="auto"/>
        <w:ind w:firstLine="420" w:firstLineChars="200"/>
        <w:jc w:val="both"/>
        <w:textAlignment w:val="auto"/>
        <w:rPr>
          <w:rFonts w:ascii="Arial" w:hAnsi="Arial" w:cs="Arial"/>
          <w:bCs/>
          <w:color w:val="auto"/>
          <w:spacing w:val="10"/>
          <w:sz w:val="21"/>
          <w:szCs w:val="21"/>
        </w:rPr>
      </w:pPr>
      <w:r>
        <w:rPr>
          <w:rFonts w:ascii="Arial" w:hAnsi="Arial" w:cs="Arial"/>
          <w:color w:val="auto"/>
          <w:sz w:val="21"/>
          <w:szCs w:val="21"/>
        </w:rPr>
        <w:t>由于本次评估是</w:t>
      </w:r>
      <w:r>
        <w:rPr>
          <w:rFonts w:hint="eastAsia" w:ascii="Arial" w:hAnsi="Arial"/>
          <w:color w:val="auto"/>
          <w:kern w:val="2"/>
          <w:sz w:val="21"/>
        </w:rPr>
        <w:t>为估价委托人了解估价对象房地产市场租金水平提供参考依据</w:t>
      </w:r>
      <w:r>
        <w:rPr>
          <w:rFonts w:ascii="Arial" w:hAnsi="Arial" w:cs="Arial"/>
          <w:color w:val="auto"/>
          <w:sz w:val="21"/>
          <w:szCs w:val="21"/>
        </w:rPr>
        <w:t>，因此我们在认真分析研究估价对象的相关资料，并通过对邻近地区同类物业调查的基础上，根据《房地产估价规范》</w:t>
      </w:r>
      <w:r>
        <w:rPr>
          <w:rFonts w:hint="eastAsia" w:ascii="Arial" w:hAnsi="Arial" w:cs="Arial"/>
          <w:color w:val="auto"/>
          <w:sz w:val="21"/>
          <w:szCs w:val="21"/>
        </w:rPr>
        <w:t>（</w:t>
      </w:r>
      <w:r>
        <w:rPr>
          <w:rFonts w:ascii="Arial" w:hAnsi="Arial" w:cs="Arial"/>
          <w:color w:val="auto"/>
          <w:sz w:val="21"/>
          <w:szCs w:val="21"/>
        </w:rPr>
        <w:t>GB/T</w:t>
      </w:r>
      <w:r>
        <w:rPr>
          <w:rFonts w:hint="eastAsia" w:ascii="Arial" w:hAnsi="Arial" w:cs="Arial"/>
          <w:color w:val="auto"/>
          <w:sz w:val="21"/>
          <w:szCs w:val="21"/>
        </w:rPr>
        <w:t xml:space="preserve"> </w:t>
      </w:r>
      <w:r>
        <w:rPr>
          <w:rFonts w:ascii="Arial" w:hAnsi="Arial" w:cs="Arial"/>
          <w:color w:val="auto"/>
          <w:sz w:val="21"/>
          <w:szCs w:val="21"/>
        </w:rPr>
        <w:t>50291-2015</w:t>
      </w:r>
      <w:r>
        <w:rPr>
          <w:rFonts w:hint="eastAsia" w:ascii="Arial" w:hAnsi="Arial" w:cs="Arial"/>
          <w:color w:val="auto"/>
          <w:sz w:val="21"/>
          <w:szCs w:val="21"/>
        </w:rPr>
        <w:t>）</w:t>
      </w:r>
      <w:r>
        <w:rPr>
          <w:rFonts w:ascii="Arial" w:hAnsi="Arial" w:cs="Arial"/>
          <w:color w:val="auto"/>
          <w:sz w:val="21"/>
          <w:szCs w:val="21"/>
        </w:rPr>
        <w:t>的估价程序，选用</w:t>
      </w:r>
      <w:r>
        <w:rPr>
          <w:rFonts w:hint="eastAsia" w:ascii="Arial" w:hAnsi="Arial" w:cs="Arial"/>
          <w:color w:val="auto"/>
          <w:sz w:val="21"/>
          <w:szCs w:val="21"/>
        </w:rPr>
        <w:t>比较法</w:t>
      </w:r>
      <w:r>
        <w:rPr>
          <w:rFonts w:ascii="Arial" w:hAnsi="Arial" w:cs="Arial"/>
          <w:color w:val="auto"/>
          <w:sz w:val="21"/>
          <w:szCs w:val="21"/>
        </w:rPr>
        <w:t>为主方法进行估价</w:t>
      </w:r>
      <w:r>
        <w:rPr>
          <w:rFonts w:hint="eastAsia" w:ascii="Arial" w:hAnsi="Arial" w:cs="Arial"/>
          <w:color w:val="auto"/>
          <w:sz w:val="21"/>
          <w:szCs w:val="21"/>
        </w:rPr>
        <w:t>，进而确定</w:t>
      </w:r>
      <w:r>
        <w:rPr>
          <w:rFonts w:hint="eastAsia" w:ascii="Arial" w:hAnsi="Arial"/>
          <w:color w:val="auto"/>
          <w:sz w:val="21"/>
          <w:szCs w:val="21"/>
        </w:rPr>
        <w:t>估价对象</w:t>
      </w:r>
      <w:r>
        <w:rPr>
          <w:rFonts w:hint="eastAsia" w:ascii="Arial" w:hAnsi="Arial" w:cs="Arial"/>
          <w:color w:val="auto"/>
          <w:sz w:val="21"/>
          <w:szCs w:val="21"/>
        </w:rPr>
        <w:t>市场租金价格水平</w:t>
      </w:r>
      <w:r>
        <w:rPr>
          <w:rFonts w:ascii="Arial" w:hAnsi="Arial" w:cs="Arial"/>
          <w:color w:val="auto"/>
          <w:sz w:val="21"/>
          <w:szCs w:val="21"/>
        </w:rPr>
        <w:t>。</w:t>
      </w:r>
    </w:p>
    <w:p w14:paraId="643F39DF">
      <w:pPr>
        <w:pStyle w:val="60"/>
        <w:autoSpaceDE w:val="0"/>
        <w:autoSpaceDN w:val="0"/>
        <w:spacing w:line="480" w:lineRule="auto"/>
        <w:ind w:right="140"/>
        <w:jc w:val="both"/>
        <w:textAlignment w:val="bottom"/>
        <w:rPr>
          <w:rFonts w:ascii="Arial" w:hAnsi="Arial" w:cs="Arial"/>
          <w:b/>
          <w:color w:val="auto"/>
          <w:sz w:val="21"/>
          <w:szCs w:val="21"/>
        </w:rPr>
      </w:pPr>
      <w:r>
        <w:rPr>
          <w:rFonts w:ascii="Arial" w:hAnsi="Arial" w:cs="Arial"/>
          <w:b/>
          <w:color w:val="auto"/>
          <w:sz w:val="21"/>
          <w:szCs w:val="21"/>
        </w:rPr>
        <w:t>（一）</w:t>
      </w:r>
      <w:r>
        <w:rPr>
          <w:rFonts w:hint="eastAsia" w:ascii="Arial" w:hAnsi="Arial" w:cs="Arial"/>
          <w:b/>
          <w:color w:val="auto"/>
          <w:sz w:val="21"/>
          <w:szCs w:val="21"/>
        </w:rPr>
        <w:t>估价思路</w:t>
      </w:r>
      <w:r>
        <w:rPr>
          <w:rFonts w:ascii="Arial" w:hAnsi="Arial" w:cs="Arial"/>
          <w:b/>
          <w:color w:val="auto"/>
          <w:sz w:val="21"/>
          <w:szCs w:val="21"/>
        </w:rPr>
        <w:t xml:space="preserve"> </w:t>
      </w:r>
    </w:p>
    <w:p w14:paraId="689C13D9">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ascii="Arial" w:hAnsi="Arial" w:cs="Arial"/>
          <w:color w:val="auto"/>
          <w:sz w:val="21"/>
          <w:szCs w:val="21"/>
        </w:rPr>
        <w:t>本次选用比较法对估价对象的市场租金水平进行测算，具体测算思路如下：</w:t>
      </w:r>
    </w:p>
    <w:p w14:paraId="46B264FE">
      <w:pPr>
        <w:pStyle w:val="60"/>
        <w:wordWrap w:val="0"/>
        <w:overflowPunct w:val="0"/>
        <w:autoSpaceDE w:val="0"/>
        <w:autoSpaceDN w:val="0"/>
        <w:snapToGrid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1.</w:t>
      </w:r>
      <w:r>
        <w:rPr>
          <w:rFonts w:hint="eastAsia" w:ascii="Arial" w:hAnsi="Arial" w:cs="Arial"/>
          <w:color w:val="auto"/>
          <w:sz w:val="21"/>
          <w:szCs w:val="21"/>
        </w:rPr>
        <w:t>首先，根据估价委托人提供的</w:t>
      </w:r>
      <w:r>
        <w:rPr>
          <w:rFonts w:hint="eastAsia" w:ascii="Arial" w:hAnsi="Arial" w:cs="Arial"/>
          <w:color w:val="auto"/>
          <w:kern w:val="2"/>
          <w:sz w:val="21"/>
        </w:rPr>
        <w:t>《</w:t>
      </w:r>
      <w:r>
        <w:rPr>
          <w:rFonts w:hint="eastAsia" w:ascii="Arial" w:hAnsi="Arial" w:cs="Arial"/>
          <w:color w:val="auto"/>
          <w:kern w:val="2"/>
          <w:sz w:val="21"/>
          <w:szCs w:val="21"/>
        </w:rPr>
        <w:t>估价委托书</w:t>
      </w:r>
      <w:r>
        <w:rPr>
          <w:rFonts w:hint="eastAsia" w:ascii="Arial" w:hAnsi="Arial" w:cs="Arial"/>
          <w:color w:val="auto"/>
          <w:kern w:val="2"/>
          <w:sz w:val="21"/>
        </w:rPr>
        <w:t>》、</w:t>
      </w:r>
      <w:r>
        <w:rPr>
          <w:rFonts w:hint="eastAsia" w:ascii="Arial" w:hAnsi="Arial" w:cs="Arial"/>
          <w:color w:val="auto"/>
          <w:sz w:val="21"/>
          <w:szCs w:val="21"/>
        </w:rPr>
        <w:t>《采育数字时尚小镇保障性住房趸组协议》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1BA8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4D93319">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w:t>
            </w:r>
          </w:p>
        </w:tc>
        <w:tc>
          <w:tcPr>
            <w:tcW w:w="1625" w:type="dxa"/>
          </w:tcPr>
          <w:p w14:paraId="5B8A2337">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户型</w:t>
            </w:r>
          </w:p>
        </w:tc>
        <w:tc>
          <w:tcPr>
            <w:tcW w:w="1693" w:type="dxa"/>
          </w:tcPr>
          <w:p w14:paraId="5D75ECB7">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建筑面积（㎡）</w:t>
            </w:r>
          </w:p>
        </w:tc>
        <w:tc>
          <w:tcPr>
            <w:tcW w:w="1557" w:type="dxa"/>
          </w:tcPr>
          <w:p w14:paraId="10070C5D">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朝向</w:t>
            </w:r>
          </w:p>
        </w:tc>
        <w:tc>
          <w:tcPr>
            <w:tcW w:w="1491" w:type="dxa"/>
          </w:tcPr>
          <w:p w14:paraId="79720421">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楼层</w:t>
            </w:r>
          </w:p>
        </w:tc>
        <w:tc>
          <w:tcPr>
            <w:tcW w:w="1491" w:type="dxa"/>
          </w:tcPr>
          <w:p w14:paraId="2615569B">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装修</w:t>
            </w:r>
          </w:p>
        </w:tc>
      </w:tr>
      <w:tr w14:paraId="53A0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36FCCF6">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标准房1</w:t>
            </w:r>
          </w:p>
        </w:tc>
        <w:tc>
          <w:tcPr>
            <w:tcW w:w="1625" w:type="dxa"/>
          </w:tcPr>
          <w:p w14:paraId="1316C247">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一居室</w:t>
            </w:r>
          </w:p>
        </w:tc>
        <w:tc>
          <w:tcPr>
            <w:tcW w:w="1693" w:type="dxa"/>
          </w:tcPr>
          <w:p w14:paraId="6B27C727">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69.39</w:t>
            </w:r>
          </w:p>
        </w:tc>
        <w:tc>
          <w:tcPr>
            <w:tcW w:w="1557" w:type="dxa"/>
          </w:tcPr>
          <w:p w14:paraId="70100732">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31F0F5E3">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0415CE86">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r w14:paraId="370D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472CF9B">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标准房2</w:t>
            </w:r>
          </w:p>
        </w:tc>
        <w:tc>
          <w:tcPr>
            <w:tcW w:w="1625" w:type="dxa"/>
          </w:tcPr>
          <w:p w14:paraId="53935AB4">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两两居</w:t>
            </w:r>
          </w:p>
        </w:tc>
        <w:tc>
          <w:tcPr>
            <w:tcW w:w="1693" w:type="dxa"/>
          </w:tcPr>
          <w:p w14:paraId="570B8CB9">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87.36</w:t>
            </w:r>
          </w:p>
        </w:tc>
        <w:tc>
          <w:tcPr>
            <w:tcW w:w="1557" w:type="dxa"/>
          </w:tcPr>
          <w:p w14:paraId="71226D2C">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50C31443">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66ED421A">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r w14:paraId="3AA4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8302D2A">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标准房3</w:t>
            </w:r>
          </w:p>
        </w:tc>
        <w:tc>
          <w:tcPr>
            <w:tcW w:w="1625" w:type="dxa"/>
          </w:tcPr>
          <w:p w14:paraId="5B415AA8">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三</w:t>
            </w:r>
            <w:r>
              <w:rPr>
                <w:rFonts w:ascii="Arial" w:hAnsi="Arial" w:eastAsia="华文细黑" w:cs="Arial"/>
                <w:color w:val="auto"/>
                <w:sz w:val="18"/>
                <w:szCs w:val="18"/>
              </w:rPr>
              <w:t>居室</w:t>
            </w:r>
          </w:p>
        </w:tc>
        <w:tc>
          <w:tcPr>
            <w:tcW w:w="1693" w:type="dxa"/>
          </w:tcPr>
          <w:p w14:paraId="753FB3EC">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128.85</w:t>
            </w:r>
          </w:p>
        </w:tc>
        <w:tc>
          <w:tcPr>
            <w:tcW w:w="1557" w:type="dxa"/>
          </w:tcPr>
          <w:p w14:paraId="27E65D39">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4B930A2E">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62FA6292">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bl>
    <w:p w14:paraId="51529FA1">
      <w:pPr>
        <w:pStyle w:val="60"/>
        <w:wordWrap w:val="0"/>
        <w:overflowPunct w:val="0"/>
        <w:autoSpaceDE w:val="0"/>
        <w:autoSpaceDN w:val="0"/>
        <w:spacing w:before="120" w:beforeLines="50"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2.在估价对象周边区域选取适当数量</w:t>
      </w:r>
      <w:r>
        <w:rPr>
          <w:rFonts w:hint="eastAsia" w:ascii="Arial" w:hAnsi="Arial" w:cs="Arial"/>
          <w:color w:val="auto"/>
          <w:sz w:val="21"/>
          <w:szCs w:val="21"/>
        </w:rPr>
        <w:t>住宅项目</w:t>
      </w:r>
      <w:r>
        <w:rPr>
          <w:rFonts w:ascii="Arial" w:hAnsi="Arial" w:cs="Arial"/>
          <w:color w:val="auto"/>
          <w:sz w:val="21"/>
          <w:szCs w:val="21"/>
        </w:rPr>
        <w:t>，结合估价机构市场调查，选取可比小区。</w:t>
      </w:r>
    </w:p>
    <w:p w14:paraId="69C2BBD4">
      <w:pPr>
        <w:pStyle w:val="60"/>
        <w:wordWrap w:val="0"/>
        <w:overflowPunct w:val="0"/>
        <w:autoSpaceDE w:val="0"/>
        <w:autoSpaceDN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3.将所选可比小区与评估对象标准房进行比较，进行区位状况调整和实物状况调整，计算各可比实例比准租金，得到</w:t>
      </w:r>
      <w:r>
        <w:rPr>
          <w:rFonts w:hint="eastAsia" w:ascii="Arial" w:hAnsi="Arial" w:cs="Arial"/>
          <w:color w:val="auto"/>
          <w:sz w:val="21"/>
          <w:szCs w:val="21"/>
        </w:rPr>
        <w:t>估价对象标准房</w:t>
      </w:r>
      <w:r>
        <w:rPr>
          <w:rFonts w:ascii="Arial" w:hAnsi="Arial" w:cs="Arial"/>
          <w:color w:val="auto"/>
          <w:sz w:val="21"/>
          <w:szCs w:val="21"/>
        </w:rPr>
        <w:t>租金水平</w:t>
      </w:r>
      <w:r>
        <w:rPr>
          <w:rFonts w:hint="eastAsia" w:ascii="Arial" w:hAnsi="Arial" w:cs="Arial"/>
          <w:color w:val="auto"/>
          <w:sz w:val="21"/>
          <w:szCs w:val="21"/>
        </w:rPr>
        <w:t>。</w:t>
      </w:r>
    </w:p>
    <w:p w14:paraId="6EAC93C5">
      <w:pPr>
        <w:pStyle w:val="60"/>
        <w:wordWrap w:val="0"/>
        <w:overflowPunct w:val="0"/>
        <w:autoSpaceDE w:val="0"/>
        <w:autoSpaceDN w:val="0"/>
        <w:spacing w:line="480" w:lineRule="auto"/>
        <w:ind w:right="140"/>
        <w:jc w:val="both"/>
        <w:textAlignment w:val="auto"/>
        <w:rPr>
          <w:rFonts w:ascii="Arial" w:hAnsi="Arial" w:cs="Arial"/>
          <w:b/>
          <w:color w:val="auto"/>
          <w:sz w:val="21"/>
          <w:szCs w:val="21"/>
        </w:rPr>
      </w:pPr>
      <w:r>
        <w:rPr>
          <w:rFonts w:hint="eastAsia" w:ascii="Arial" w:hAnsi="Arial" w:cs="Arial"/>
          <w:b/>
          <w:color w:val="auto"/>
          <w:sz w:val="21"/>
          <w:szCs w:val="21"/>
        </w:rPr>
        <w:t>（二）估价方法</w:t>
      </w:r>
      <w:r>
        <w:rPr>
          <w:rFonts w:ascii="Arial" w:hAnsi="Arial" w:cs="Arial"/>
          <w:b/>
          <w:color w:val="auto"/>
          <w:sz w:val="21"/>
          <w:szCs w:val="21"/>
        </w:rPr>
        <w:t xml:space="preserve"> </w:t>
      </w:r>
    </w:p>
    <w:p w14:paraId="6DADF203">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ascii="Arial" w:hAnsi="Arial" w:cs="Arial"/>
          <w:color w:val="auto"/>
          <w:sz w:val="21"/>
          <w:szCs w:val="21"/>
        </w:rPr>
        <w:t>比较法，是在求取估价对象房地产</w:t>
      </w:r>
      <w:r>
        <w:rPr>
          <w:rFonts w:hint="eastAsia" w:ascii="Arial" w:hAnsi="Arial" w:cs="Arial"/>
          <w:color w:val="auto"/>
          <w:sz w:val="21"/>
          <w:szCs w:val="21"/>
        </w:rPr>
        <w:t>市场租金水平</w:t>
      </w:r>
      <w:r>
        <w:rPr>
          <w:rFonts w:ascii="Arial" w:hAnsi="Arial" w:cs="Arial"/>
          <w:color w:val="auto"/>
          <w:sz w:val="21"/>
          <w:szCs w:val="21"/>
        </w:rPr>
        <w:t>时，根据替代原则，将估价对象与在较近时期内已发生交易的类似房地产</w:t>
      </w:r>
      <w:r>
        <w:rPr>
          <w:rFonts w:hint="eastAsia" w:ascii="Arial" w:hAnsi="Arial" w:cs="Arial"/>
          <w:color w:val="auto"/>
          <w:sz w:val="21"/>
          <w:szCs w:val="21"/>
        </w:rPr>
        <w:t>租赁</w:t>
      </w:r>
      <w:r>
        <w:rPr>
          <w:rFonts w:ascii="Arial" w:hAnsi="Arial" w:cs="Arial"/>
          <w:color w:val="auto"/>
          <w:sz w:val="21"/>
          <w:szCs w:val="21"/>
        </w:rPr>
        <w:t>交易实例进行对照比较，并依据后者已知的价格，参照该房地产的交易情况、期日、区域及实物状况的差别，修正得出估价对象房地产</w:t>
      </w:r>
      <w:r>
        <w:rPr>
          <w:rFonts w:hint="eastAsia" w:ascii="Arial" w:hAnsi="Arial" w:cs="Arial"/>
          <w:color w:val="auto"/>
          <w:sz w:val="21"/>
          <w:szCs w:val="21"/>
        </w:rPr>
        <w:t>市场租金水平</w:t>
      </w:r>
      <w:r>
        <w:rPr>
          <w:rFonts w:ascii="Arial" w:hAnsi="Arial" w:cs="Arial"/>
          <w:color w:val="auto"/>
          <w:sz w:val="21"/>
          <w:szCs w:val="21"/>
        </w:rPr>
        <w:t>的方法。本次估价采用比较法思路评估租金价格水平。</w:t>
      </w:r>
    </w:p>
    <w:p w14:paraId="452A4A43">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hint="eastAsia" w:ascii="Arial" w:hAnsi="Arial" w:cs="Arial"/>
          <w:color w:val="auto"/>
          <w:sz w:val="21"/>
          <w:szCs w:val="21"/>
        </w:rPr>
        <w:t>1.</w:t>
      </w:r>
      <w:r>
        <w:rPr>
          <w:rFonts w:ascii="Arial" w:hAnsi="Arial" w:cs="Arial"/>
          <w:color w:val="auto"/>
          <w:sz w:val="21"/>
          <w:szCs w:val="21"/>
        </w:rPr>
        <w:t>采用</w:t>
      </w:r>
      <w:r>
        <w:rPr>
          <w:rFonts w:hint="eastAsia" w:ascii="Arial" w:hAnsi="Arial" w:cs="Arial"/>
          <w:color w:val="auto"/>
          <w:sz w:val="21"/>
          <w:szCs w:val="21"/>
        </w:rPr>
        <w:t>比较法</w:t>
      </w:r>
      <w:r>
        <w:rPr>
          <w:rFonts w:ascii="Arial" w:hAnsi="Arial" w:cs="Arial"/>
          <w:color w:val="auto"/>
          <w:sz w:val="21"/>
          <w:szCs w:val="21"/>
        </w:rPr>
        <w:t>的理由</w:t>
      </w:r>
      <w:r>
        <w:rPr>
          <w:rFonts w:hint="eastAsia" w:ascii="Arial" w:hAnsi="Arial" w:cs="Arial"/>
          <w:color w:val="auto"/>
          <w:sz w:val="21"/>
          <w:szCs w:val="21"/>
        </w:rPr>
        <w:t>：</w:t>
      </w:r>
    </w:p>
    <w:p w14:paraId="026FB8D9">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ascii="Arial" w:hAnsi="Arial" w:cs="Arial"/>
          <w:color w:val="auto"/>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color w:val="auto"/>
          <w:sz w:val="21"/>
          <w:szCs w:val="21"/>
        </w:rPr>
        <w:t>住宅</w:t>
      </w:r>
      <w:r>
        <w:rPr>
          <w:rFonts w:ascii="Arial" w:hAnsi="Arial" w:cs="Arial"/>
          <w:color w:val="auto"/>
          <w:sz w:val="21"/>
          <w:szCs w:val="21"/>
        </w:rPr>
        <w:t>出租的公开信息，可通过因素修正得出估价对象所在区域</w:t>
      </w:r>
      <w:r>
        <w:rPr>
          <w:rFonts w:hint="eastAsia" w:ascii="Arial" w:hAnsi="Arial" w:cs="Arial"/>
          <w:color w:val="auto"/>
          <w:sz w:val="21"/>
          <w:szCs w:val="21"/>
        </w:rPr>
        <w:t>住宅</w:t>
      </w:r>
      <w:r>
        <w:rPr>
          <w:rFonts w:ascii="Arial" w:hAnsi="Arial" w:cs="Arial"/>
          <w:color w:val="auto"/>
          <w:sz w:val="21"/>
          <w:szCs w:val="21"/>
        </w:rPr>
        <w:t>租赁价格水平</w:t>
      </w:r>
      <w:r>
        <w:rPr>
          <w:rFonts w:hint="eastAsia" w:ascii="Arial" w:hAnsi="Arial" w:cs="Arial"/>
          <w:color w:val="auto"/>
          <w:sz w:val="21"/>
          <w:szCs w:val="21"/>
        </w:rPr>
        <w:t>。</w:t>
      </w:r>
      <w:r>
        <w:rPr>
          <w:rFonts w:ascii="Arial" w:hAnsi="Arial" w:cs="Arial"/>
          <w:color w:val="auto"/>
          <w:sz w:val="21"/>
          <w:szCs w:val="21"/>
        </w:rPr>
        <w:t xml:space="preserve"> 同时</w:t>
      </w:r>
      <w:r>
        <w:rPr>
          <w:rFonts w:hint="eastAsia" w:ascii="Arial" w:hAnsi="Arial" w:cs="Arial"/>
          <w:color w:val="auto"/>
          <w:sz w:val="21"/>
          <w:szCs w:val="21"/>
        </w:rPr>
        <w:t>，</w:t>
      </w:r>
      <w:r>
        <w:rPr>
          <w:rFonts w:ascii="Arial" w:hAnsi="Arial" w:cs="Arial"/>
          <w:color w:val="auto"/>
          <w:sz w:val="21"/>
          <w:szCs w:val="21"/>
        </w:rPr>
        <w:t>通过区域因素修正得出估价对象相邻或相似区域</w:t>
      </w:r>
      <w:r>
        <w:rPr>
          <w:rFonts w:hint="eastAsia" w:ascii="Arial" w:hAnsi="Arial" w:cs="Arial"/>
          <w:color w:val="auto"/>
          <w:sz w:val="21"/>
          <w:szCs w:val="21"/>
        </w:rPr>
        <w:t>住宅用房</w:t>
      </w:r>
      <w:r>
        <w:rPr>
          <w:rFonts w:ascii="Arial" w:hAnsi="Arial" w:cs="Arial"/>
          <w:color w:val="auto"/>
          <w:sz w:val="21"/>
          <w:szCs w:val="21"/>
        </w:rPr>
        <w:t>租赁价格水平</w:t>
      </w:r>
      <w:r>
        <w:rPr>
          <w:rFonts w:hint="eastAsia" w:ascii="Arial" w:hAnsi="Arial" w:cs="Arial"/>
          <w:color w:val="auto"/>
          <w:sz w:val="21"/>
          <w:szCs w:val="21"/>
        </w:rPr>
        <w:t>。</w:t>
      </w:r>
    </w:p>
    <w:p w14:paraId="1312FB68">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hint="eastAsia" w:ascii="Arial" w:hAnsi="Arial" w:cs="Arial"/>
          <w:color w:val="auto"/>
          <w:sz w:val="21"/>
          <w:szCs w:val="21"/>
        </w:rPr>
        <w:t>2.</w:t>
      </w:r>
      <w:r>
        <w:rPr>
          <w:rFonts w:ascii="Arial" w:hAnsi="Arial" w:cs="Arial"/>
          <w:color w:val="auto"/>
          <w:sz w:val="21"/>
          <w:szCs w:val="21"/>
        </w:rPr>
        <w:t>不采用成本法、假设开发法、收益法的理由</w:t>
      </w:r>
      <w:r>
        <w:rPr>
          <w:rFonts w:hint="eastAsia" w:ascii="Arial" w:hAnsi="Arial" w:cs="Arial"/>
          <w:color w:val="auto"/>
          <w:sz w:val="21"/>
          <w:szCs w:val="21"/>
        </w:rPr>
        <w:t>：</w:t>
      </w:r>
    </w:p>
    <w:p w14:paraId="5A437C74">
      <w:pPr>
        <w:pStyle w:val="60"/>
        <w:wordWrap w:val="0"/>
        <w:overflowPunct w:val="0"/>
        <w:autoSpaceDE w:val="0"/>
        <w:autoSpaceDN w:val="0"/>
        <w:spacing w:line="480" w:lineRule="auto"/>
        <w:ind w:firstLine="420"/>
        <w:jc w:val="both"/>
        <w:textAlignment w:val="auto"/>
        <w:rPr>
          <w:rFonts w:ascii="Arial" w:hAnsi="Arial" w:cs="Arial"/>
          <w:color w:val="auto"/>
          <w:sz w:val="21"/>
          <w:szCs w:val="21"/>
        </w:rPr>
      </w:pPr>
      <w:bookmarkStart w:id="69" w:name="_Hlk155267600"/>
      <w:r>
        <w:rPr>
          <w:rFonts w:hint="eastAsia" w:hAnsi="宋体" w:cs="Arial"/>
          <w:color w:val="auto"/>
          <w:sz w:val="21"/>
          <w:szCs w:val="21"/>
        </w:rPr>
        <w:t>（1）估价对象适用比较法，且已优先采用比较法进行评估，故不再采用成本法进行测算。</w:t>
      </w:r>
    </w:p>
    <w:p w14:paraId="6A0A5D68">
      <w:pPr>
        <w:pStyle w:val="60"/>
        <w:wordWrap w:val="0"/>
        <w:overflowPunct w:val="0"/>
        <w:autoSpaceDE w:val="0"/>
        <w:autoSpaceDN w:val="0"/>
        <w:spacing w:line="480" w:lineRule="auto"/>
        <w:ind w:firstLine="420"/>
        <w:jc w:val="both"/>
        <w:textAlignment w:val="auto"/>
        <w:rPr>
          <w:rFonts w:hint="eastAsia" w:hAnsi="宋体" w:cs="Arial"/>
          <w:color w:val="auto"/>
          <w:sz w:val="21"/>
          <w:szCs w:val="21"/>
        </w:rPr>
      </w:pPr>
      <w:r>
        <w:rPr>
          <w:rFonts w:hint="eastAsia" w:hAnsi="宋体" w:cs="Arial"/>
          <w:color w:val="auto"/>
          <w:sz w:val="21"/>
          <w:szCs w:val="21"/>
        </w:rPr>
        <w:t>（2）假设开发法可评估房地产市场价值，但不适于租赁价格的评估。</w:t>
      </w:r>
    </w:p>
    <w:p w14:paraId="2AAE54DF">
      <w:pPr>
        <w:pStyle w:val="60"/>
        <w:wordWrap w:val="0"/>
        <w:overflowPunct w:val="0"/>
        <w:autoSpaceDE w:val="0"/>
        <w:autoSpaceDN w:val="0"/>
        <w:spacing w:line="480" w:lineRule="auto"/>
        <w:ind w:firstLine="420"/>
        <w:jc w:val="both"/>
        <w:textAlignment w:val="auto"/>
        <w:rPr>
          <w:rFonts w:hint="eastAsia" w:hAnsi="宋体" w:cs="Arial"/>
          <w:color w:val="auto"/>
          <w:sz w:val="21"/>
          <w:szCs w:val="21"/>
        </w:rPr>
      </w:pPr>
      <w:r>
        <w:rPr>
          <w:rFonts w:hint="eastAsia" w:hAnsi="宋体" w:cs="Arial"/>
          <w:color w:val="auto"/>
          <w:sz w:val="21"/>
          <w:szCs w:val="21"/>
        </w:rPr>
        <w:t>（3）</w:t>
      </w:r>
      <w:r>
        <w:rPr>
          <w:rFonts w:hAnsi="宋体" w:cs="Arial"/>
          <w:color w:val="auto"/>
          <w:sz w:val="21"/>
          <w:szCs w:val="21"/>
        </w:rPr>
        <w:t>收益法适用于有现实收益或潜在收益的土地或房地产估价。估价对象用途</w:t>
      </w:r>
      <w:r>
        <w:rPr>
          <w:rFonts w:hint="eastAsia" w:hAnsi="宋体" w:cs="Arial"/>
          <w:color w:val="auto"/>
          <w:sz w:val="21"/>
          <w:szCs w:val="21"/>
        </w:rPr>
        <w:t>设定为保障性租赁住房</w:t>
      </w:r>
      <w:r>
        <w:rPr>
          <w:rFonts w:hAnsi="宋体" w:cs="Arial"/>
          <w:color w:val="auto"/>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color w:val="auto"/>
          <w:sz w:val="21"/>
          <w:szCs w:val="21"/>
        </w:rPr>
        <w:t>住宅</w:t>
      </w:r>
      <w:r>
        <w:rPr>
          <w:rFonts w:hAnsi="宋体" w:cs="Arial"/>
          <w:color w:val="auto"/>
          <w:sz w:val="21"/>
          <w:szCs w:val="21"/>
        </w:rPr>
        <w:t>业态租售比差距较大， 采用房屋交易价格测算出的房屋租金不能反映正常的市场租金水平，故未采用收益法</w:t>
      </w:r>
      <w:bookmarkEnd w:id="69"/>
      <w:r>
        <w:rPr>
          <w:rFonts w:hint="eastAsia" w:hAnsi="宋体" w:cs="Arial"/>
          <w:color w:val="auto"/>
          <w:sz w:val="21"/>
          <w:szCs w:val="21"/>
        </w:rPr>
        <w:t>。</w:t>
      </w:r>
    </w:p>
    <w:p w14:paraId="7CFAACAD">
      <w:pPr>
        <w:pStyle w:val="60"/>
        <w:wordWrap w:val="0"/>
        <w:overflowPunct w:val="0"/>
        <w:autoSpaceDE w:val="0"/>
        <w:autoSpaceDN w:val="0"/>
        <w:spacing w:line="480" w:lineRule="auto"/>
        <w:ind w:right="140"/>
        <w:jc w:val="both"/>
        <w:textAlignment w:val="auto"/>
        <w:rPr>
          <w:rFonts w:ascii="Arial" w:hAnsi="Arial" w:cs="Arial"/>
          <w:b/>
          <w:color w:val="auto"/>
          <w:sz w:val="21"/>
          <w:szCs w:val="21"/>
        </w:rPr>
      </w:pPr>
      <w:r>
        <w:rPr>
          <w:rFonts w:hint="eastAsia" w:ascii="Arial" w:hAnsi="Arial" w:cs="Arial"/>
          <w:b/>
          <w:color w:val="auto"/>
          <w:sz w:val="21"/>
          <w:szCs w:val="21"/>
        </w:rPr>
        <w:t>（三）估价方法公式</w:t>
      </w:r>
      <w:r>
        <w:rPr>
          <w:rFonts w:ascii="Arial" w:hAnsi="Arial" w:cs="Arial"/>
          <w:b/>
          <w:color w:val="auto"/>
          <w:sz w:val="21"/>
          <w:szCs w:val="21"/>
        </w:rPr>
        <w:t xml:space="preserve"> </w:t>
      </w:r>
    </w:p>
    <w:p w14:paraId="37BF557F">
      <w:pPr>
        <w:pStyle w:val="60"/>
        <w:autoSpaceDE w:val="0"/>
        <w:autoSpaceDN w:val="0"/>
        <w:spacing w:line="480" w:lineRule="auto"/>
        <w:ind w:right="140" w:firstLine="420" w:firstLineChars="200"/>
        <w:jc w:val="both"/>
        <w:textAlignment w:val="bottom"/>
        <w:rPr>
          <w:rFonts w:ascii="Arial" w:hAnsi="Arial" w:cs="Arial"/>
          <w:color w:val="auto"/>
          <w:sz w:val="21"/>
          <w:szCs w:val="21"/>
        </w:rPr>
      </w:pPr>
      <w:r>
        <w:rPr>
          <w:rFonts w:hint="eastAsia" w:ascii="Arial" w:hAnsi="Arial" w:cs="Arial"/>
          <w:color w:val="auto"/>
          <w:sz w:val="21"/>
          <w:szCs w:val="21"/>
        </w:rPr>
        <w:t>比较法计算公式为：</w:t>
      </w:r>
    </w:p>
    <w:p w14:paraId="423FAB4C">
      <w:pPr>
        <w:pStyle w:val="60"/>
        <w:wordWrap w:val="0"/>
        <w:overflowPunct w:val="0"/>
        <w:autoSpaceDE w:val="0"/>
        <w:autoSpaceDN w:val="0"/>
        <w:spacing w:line="480" w:lineRule="auto"/>
        <w:ind w:right="140" w:firstLine="420"/>
        <w:jc w:val="both"/>
        <w:textAlignment w:val="auto"/>
        <w:rPr>
          <w:rFonts w:ascii="Arial" w:hAnsi="Arial" w:cs="Arial"/>
          <w:color w:val="auto"/>
          <w:sz w:val="21"/>
          <w:szCs w:val="21"/>
        </w:rPr>
      </w:pPr>
      <w:r>
        <w:rPr>
          <w:rFonts w:ascii="Arial" w:hAnsi="Arial" w:cs="Arial"/>
          <w:color w:val="auto"/>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color w:val="auto"/>
          <w:sz w:val="21"/>
          <w:szCs w:val="21"/>
        </w:rPr>
        <w:t>项目</w:t>
      </w:r>
      <w:r>
        <w:rPr>
          <w:rFonts w:ascii="Arial" w:hAnsi="Arial" w:cs="Arial"/>
          <w:color w:val="auto"/>
          <w:sz w:val="21"/>
          <w:szCs w:val="21"/>
        </w:rPr>
        <w:t>类型指数/可比实例</w:t>
      </w:r>
      <w:r>
        <w:rPr>
          <w:rFonts w:hint="eastAsia" w:ascii="Arial" w:hAnsi="Arial" w:cs="Arial"/>
          <w:color w:val="auto"/>
          <w:sz w:val="21"/>
          <w:szCs w:val="21"/>
        </w:rPr>
        <w:t>项目</w:t>
      </w:r>
      <w:r>
        <w:rPr>
          <w:rFonts w:ascii="Arial" w:hAnsi="Arial" w:cs="Arial"/>
          <w:color w:val="auto"/>
          <w:sz w:val="21"/>
          <w:szCs w:val="21"/>
        </w:rPr>
        <w:t>类型指数</w:t>
      </w:r>
      <w:r>
        <w:rPr>
          <w:rFonts w:hint="eastAsia" w:ascii="Arial" w:hAnsi="Arial" w:cs="Arial"/>
          <w:color w:val="auto"/>
          <w:sz w:val="21"/>
          <w:szCs w:val="21"/>
        </w:rPr>
        <w:t>）</w:t>
      </w:r>
      <w:r>
        <w:rPr>
          <w:rFonts w:ascii="Arial" w:hAnsi="Arial" w:cs="Arial"/>
          <w:color w:val="auto"/>
          <w:sz w:val="21"/>
          <w:szCs w:val="21"/>
        </w:rPr>
        <w:t>…×（待估房地产区域状况条件指数/可比实例房地产区域状况条件指数）×（待估房地产实物状况条件指数/可比实例房地产实物状况条件指数）</w:t>
      </w:r>
    </w:p>
    <w:p w14:paraId="1F9B6B5D">
      <w:pPr>
        <w:pStyle w:val="60"/>
        <w:wordWrap w:val="0"/>
        <w:overflowPunct w:val="0"/>
        <w:autoSpaceDE w:val="0"/>
        <w:autoSpaceDN w:val="0"/>
        <w:spacing w:line="480" w:lineRule="auto"/>
        <w:ind w:right="140" w:firstLine="420"/>
        <w:jc w:val="both"/>
        <w:textAlignment w:val="auto"/>
        <w:rPr>
          <w:rFonts w:ascii="Arial" w:hAnsi="Arial" w:cs="Arial"/>
          <w:color w:val="auto"/>
          <w:sz w:val="21"/>
          <w:szCs w:val="21"/>
        </w:rPr>
      </w:pPr>
      <w:r>
        <w:rPr>
          <w:rFonts w:hint="eastAsia" w:ascii="Arial" w:hAnsi="Arial" w:cs="Arial"/>
          <w:color w:val="auto"/>
          <w:sz w:val="21"/>
          <w:szCs w:val="21"/>
        </w:rPr>
        <w:t>具体步骤如下：</w:t>
      </w:r>
    </w:p>
    <w:p w14:paraId="28727FB7">
      <w:pPr>
        <w:pStyle w:val="60"/>
        <w:numPr>
          <w:ilvl w:val="0"/>
          <w:numId w:val="10"/>
        </w:numPr>
        <w:wordWrap w:val="0"/>
        <w:overflowPunct w:val="0"/>
        <w:autoSpaceDE w:val="0"/>
        <w:autoSpaceDN w:val="0"/>
        <w:spacing w:line="480" w:lineRule="auto"/>
        <w:ind w:right="140"/>
        <w:jc w:val="both"/>
        <w:textAlignment w:val="auto"/>
        <w:rPr>
          <w:rFonts w:ascii="Arial" w:hAnsi="Arial" w:cs="Arial"/>
          <w:color w:val="auto"/>
          <w:sz w:val="21"/>
          <w:szCs w:val="21"/>
        </w:rPr>
      </w:pPr>
      <w:r>
        <w:rPr>
          <w:rFonts w:hint="eastAsia" w:ascii="Arial" w:hAnsi="Arial" w:cs="Arial"/>
          <w:color w:val="auto"/>
          <w:sz w:val="21"/>
          <w:szCs w:val="21"/>
        </w:rPr>
        <w:t>选择可比案例</w:t>
      </w:r>
    </w:p>
    <w:p w14:paraId="4B9A5A69">
      <w:pPr>
        <w:wordWrap w:val="0"/>
        <w:overflowPunct w:val="0"/>
        <w:spacing w:line="480" w:lineRule="auto"/>
        <w:ind w:left="780"/>
        <w:rPr>
          <w:rFonts w:ascii="Arial" w:hAnsi="Arial"/>
          <w:color w:val="auto"/>
          <w:sz w:val="21"/>
          <w:szCs w:val="21"/>
        </w:rPr>
      </w:pPr>
      <w:r>
        <w:rPr>
          <w:rFonts w:hint="eastAsia" w:ascii="Arial" w:hAnsi="Arial"/>
          <w:color w:val="auto"/>
          <w:sz w:val="21"/>
          <w:szCs w:val="21"/>
        </w:rPr>
        <w:t>选择比较案例时，应符合以下要求（与待估房地产比较）</w:t>
      </w:r>
    </w:p>
    <w:p w14:paraId="7B8B3A32">
      <w:pPr>
        <w:wordWrap w:val="0"/>
        <w:overflowPunct w:val="0"/>
        <w:spacing w:line="480" w:lineRule="auto"/>
        <w:ind w:left="780"/>
        <w:rPr>
          <w:rFonts w:ascii="Arial" w:hAnsi="Arial"/>
          <w:color w:val="auto"/>
          <w:sz w:val="21"/>
          <w:szCs w:val="21"/>
        </w:rPr>
      </w:pPr>
      <w:r>
        <w:rPr>
          <w:rFonts w:ascii="Arial" w:hAnsi="Arial"/>
          <w:color w:val="auto"/>
          <w:sz w:val="21"/>
          <w:szCs w:val="21"/>
        </w:rPr>
        <w:t>1</w:t>
      </w:r>
      <w:r>
        <w:rPr>
          <w:rFonts w:hint="eastAsia" w:ascii="Arial" w:hAnsi="Arial"/>
          <w:color w:val="auto"/>
          <w:sz w:val="21"/>
          <w:szCs w:val="21"/>
        </w:rPr>
        <w:t>）用途相同</w:t>
      </w:r>
    </w:p>
    <w:p w14:paraId="27447804">
      <w:pPr>
        <w:wordWrap w:val="0"/>
        <w:overflowPunct w:val="0"/>
        <w:spacing w:line="480" w:lineRule="auto"/>
        <w:ind w:left="780"/>
        <w:rPr>
          <w:rFonts w:ascii="Arial" w:hAnsi="Arial"/>
          <w:color w:val="auto"/>
          <w:sz w:val="21"/>
          <w:szCs w:val="21"/>
        </w:rPr>
      </w:pPr>
      <w:r>
        <w:rPr>
          <w:rFonts w:ascii="Arial" w:hAnsi="Arial"/>
          <w:color w:val="auto"/>
          <w:sz w:val="21"/>
          <w:szCs w:val="21"/>
        </w:rPr>
        <w:t>2</w:t>
      </w:r>
      <w:r>
        <w:rPr>
          <w:rFonts w:hint="eastAsia" w:ascii="Arial" w:hAnsi="Arial"/>
          <w:color w:val="auto"/>
          <w:sz w:val="21"/>
          <w:szCs w:val="21"/>
        </w:rPr>
        <w:t>）属于正常交易</w:t>
      </w:r>
    </w:p>
    <w:p w14:paraId="08BD0201">
      <w:pPr>
        <w:wordWrap w:val="0"/>
        <w:overflowPunct w:val="0"/>
        <w:spacing w:line="480" w:lineRule="auto"/>
        <w:ind w:left="780"/>
        <w:rPr>
          <w:rFonts w:ascii="Arial" w:hAnsi="Arial"/>
          <w:color w:val="auto"/>
          <w:sz w:val="21"/>
          <w:szCs w:val="21"/>
        </w:rPr>
      </w:pPr>
      <w:r>
        <w:rPr>
          <w:rFonts w:ascii="Arial" w:hAnsi="Arial"/>
          <w:color w:val="auto"/>
          <w:sz w:val="21"/>
          <w:szCs w:val="21"/>
        </w:rPr>
        <w:t>3</w:t>
      </w:r>
      <w:r>
        <w:rPr>
          <w:rFonts w:hint="eastAsia" w:ascii="Arial" w:hAnsi="Arial"/>
          <w:color w:val="auto"/>
          <w:sz w:val="21"/>
          <w:szCs w:val="21"/>
        </w:rPr>
        <w:t>）房地产状况各因素相近</w:t>
      </w:r>
    </w:p>
    <w:p w14:paraId="56029DF4">
      <w:pPr>
        <w:wordWrap w:val="0"/>
        <w:overflowPunct w:val="0"/>
        <w:spacing w:line="480" w:lineRule="auto"/>
        <w:ind w:left="780"/>
        <w:rPr>
          <w:rFonts w:ascii="Arial" w:hAnsi="Arial"/>
          <w:color w:val="auto"/>
          <w:sz w:val="21"/>
          <w:szCs w:val="21"/>
        </w:rPr>
      </w:pPr>
      <w:r>
        <w:rPr>
          <w:rFonts w:ascii="Arial" w:hAnsi="Arial"/>
          <w:color w:val="auto"/>
          <w:sz w:val="21"/>
          <w:szCs w:val="21"/>
        </w:rPr>
        <w:t>4</w:t>
      </w:r>
      <w:r>
        <w:rPr>
          <w:rFonts w:hint="eastAsia" w:ascii="Arial" w:hAnsi="Arial"/>
          <w:color w:val="auto"/>
          <w:sz w:val="21"/>
          <w:szCs w:val="21"/>
        </w:rPr>
        <w:t>）价值时点接近</w:t>
      </w:r>
    </w:p>
    <w:p w14:paraId="3D727F52">
      <w:pPr>
        <w:wordWrap w:val="0"/>
        <w:overflowPunct w:val="0"/>
        <w:spacing w:line="480" w:lineRule="auto"/>
        <w:ind w:left="780"/>
        <w:rPr>
          <w:rFonts w:ascii="Arial" w:hAnsi="Arial"/>
          <w:color w:val="auto"/>
          <w:sz w:val="21"/>
          <w:szCs w:val="21"/>
        </w:rPr>
      </w:pPr>
      <w:r>
        <w:rPr>
          <w:rFonts w:ascii="Arial" w:hAnsi="Arial"/>
          <w:color w:val="auto"/>
          <w:sz w:val="21"/>
          <w:szCs w:val="21"/>
        </w:rPr>
        <w:t>5</w:t>
      </w:r>
      <w:r>
        <w:rPr>
          <w:rFonts w:hint="eastAsia" w:ascii="Arial" w:hAnsi="Arial"/>
          <w:color w:val="auto"/>
          <w:sz w:val="21"/>
          <w:szCs w:val="21"/>
        </w:rPr>
        <w:t>）统一价格基础</w:t>
      </w:r>
    </w:p>
    <w:p w14:paraId="6C8B32EB">
      <w:pPr>
        <w:pStyle w:val="60"/>
        <w:numPr>
          <w:ilvl w:val="0"/>
          <w:numId w:val="10"/>
        </w:numPr>
        <w:wordWrap w:val="0"/>
        <w:overflowPunct w:val="0"/>
        <w:autoSpaceDE w:val="0"/>
        <w:autoSpaceDN w:val="0"/>
        <w:spacing w:line="480" w:lineRule="auto"/>
        <w:ind w:right="140"/>
        <w:jc w:val="both"/>
        <w:textAlignment w:val="auto"/>
        <w:rPr>
          <w:color w:val="auto"/>
          <w:kern w:val="2"/>
          <w:sz w:val="21"/>
          <w:szCs w:val="21"/>
        </w:rPr>
      </w:pPr>
      <w:r>
        <w:rPr>
          <w:rFonts w:hint="eastAsia" w:ascii="Arial" w:hAnsi="Arial" w:cs="Arial"/>
          <w:color w:val="auto"/>
          <w:sz w:val="21"/>
          <w:szCs w:val="21"/>
        </w:rPr>
        <w:t>进行交易情况、交易日期、项目类型、房地产状况等因素修正</w:t>
      </w:r>
    </w:p>
    <w:p w14:paraId="332D622D">
      <w:pPr>
        <w:pStyle w:val="60"/>
        <w:numPr>
          <w:ilvl w:val="0"/>
          <w:numId w:val="10"/>
        </w:numPr>
        <w:wordWrap w:val="0"/>
        <w:overflowPunct w:val="0"/>
        <w:autoSpaceDE w:val="0"/>
        <w:autoSpaceDN w:val="0"/>
        <w:spacing w:line="480" w:lineRule="auto"/>
        <w:ind w:right="140"/>
        <w:jc w:val="both"/>
        <w:textAlignment w:val="auto"/>
        <w:rPr>
          <w:color w:val="auto"/>
          <w:kern w:val="2"/>
          <w:sz w:val="21"/>
          <w:szCs w:val="21"/>
        </w:rPr>
      </w:pPr>
      <w:r>
        <w:rPr>
          <w:rFonts w:hint="eastAsia" w:ascii="Arial" w:hAnsi="Arial" w:cs="Arial"/>
          <w:color w:val="auto"/>
          <w:sz w:val="21"/>
          <w:szCs w:val="21"/>
        </w:rPr>
        <w:t>求取估价对象比准价格</w:t>
      </w:r>
      <w:bookmarkStart w:id="70" w:name="_Toc525655440"/>
      <w:bookmarkStart w:id="71" w:name="_Toc155267107"/>
    </w:p>
    <w:p w14:paraId="6F1C151D">
      <w:pPr>
        <w:rPr>
          <w:color w:val="auto"/>
          <w:kern w:val="2"/>
          <w:sz w:val="21"/>
          <w:szCs w:val="21"/>
        </w:rPr>
      </w:pPr>
      <w:r>
        <w:rPr>
          <w:color w:val="auto"/>
          <w:kern w:val="2"/>
          <w:sz w:val="21"/>
          <w:szCs w:val="21"/>
        </w:rPr>
        <w:br w:type="page"/>
      </w:r>
    </w:p>
    <w:p w14:paraId="2362DF4A">
      <w:pPr>
        <w:pStyle w:val="3"/>
        <w:numPr>
          <w:ilvl w:val="0"/>
          <w:numId w:val="0"/>
        </w:numPr>
        <w:spacing w:line="480" w:lineRule="auto"/>
        <w:ind w:left="358" w:hanging="358" w:hangingChars="170"/>
        <w:jc w:val="both"/>
        <w:rPr>
          <w:rFonts w:eastAsia="宋体"/>
          <w:color w:val="auto"/>
          <w:kern w:val="2"/>
          <w:sz w:val="21"/>
          <w:szCs w:val="21"/>
        </w:rPr>
      </w:pPr>
      <w:r>
        <w:rPr>
          <w:rFonts w:eastAsia="宋体"/>
          <w:color w:val="auto"/>
          <w:kern w:val="2"/>
          <w:sz w:val="21"/>
          <w:szCs w:val="21"/>
        </w:rPr>
        <w:t>五、估价测算过程</w:t>
      </w:r>
      <w:bookmarkEnd w:id="70"/>
      <w:bookmarkEnd w:id="71"/>
      <w:r>
        <w:rPr>
          <w:rFonts w:hint="eastAsia" w:eastAsia="宋体"/>
          <w:color w:val="auto"/>
          <w:kern w:val="2"/>
          <w:sz w:val="21"/>
          <w:szCs w:val="21"/>
        </w:rPr>
        <w:t xml:space="preserve">  </w:t>
      </w:r>
    </w:p>
    <w:p w14:paraId="231CE723">
      <w:pPr>
        <w:pStyle w:val="60"/>
        <w:autoSpaceDE w:val="0"/>
        <w:autoSpaceDN w:val="0"/>
        <w:spacing w:line="480" w:lineRule="auto"/>
        <w:ind w:right="140" w:firstLine="422" w:firstLineChars="200"/>
        <w:jc w:val="both"/>
        <w:textAlignment w:val="bottom"/>
        <w:rPr>
          <w:rFonts w:ascii="Arial" w:hAnsi="Arial" w:cs="Arial"/>
          <w:b/>
          <w:color w:val="auto"/>
          <w:sz w:val="21"/>
          <w:szCs w:val="21"/>
        </w:rPr>
      </w:pPr>
      <w:r>
        <w:rPr>
          <w:rFonts w:hint="eastAsia" w:ascii="Arial" w:hAnsi="Arial" w:cs="Arial"/>
          <w:b/>
          <w:color w:val="auto"/>
          <w:sz w:val="21"/>
          <w:szCs w:val="21"/>
        </w:rPr>
        <w:t>（一）标准房选取</w:t>
      </w:r>
    </w:p>
    <w:p w14:paraId="26DBE79C">
      <w:pPr>
        <w:pStyle w:val="60"/>
        <w:wordWrap w:val="0"/>
        <w:overflowPunct w:val="0"/>
        <w:autoSpaceDE w:val="0"/>
        <w:autoSpaceDN w:val="0"/>
        <w:spacing w:line="480" w:lineRule="auto"/>
        <w:ind w:right="140" w:firstLine="420" w:firstLineChars="200"/>
        <w:jc w:val="both"/>
        <w:textAlignment w:val="auto"/>
        <w:rPr>
          <w:rFonts w:ascii="Arial" w:hAnsi="Arial" w:cs="Arial"/>
          <w:color w:val="auto"/>
          <w:sz w:val="21"/>
          <w:szCs w:val="21"/>
        </w:rPr>
      </w:pPr>
      <w:r>
        <w:rPr>
          <w:rFonts w:ascii="Arial" w:hAnsi="Arial" w:cs="Arial"/>
          <w:color w:val="auto"/>
          <w:sz w:val="21"/>
          <w:szCs w:val="21"/>
        </w:rPr>
        <w:t>本次选用比较法对估价对象的市场租金水平进行测算，具体测算思路如下：</w:t>
      </w:r>
    </w:p>
    <w:p w14:paraId="5D51007F">
      <w:pPr>
        <w:pStyle w:val="60"/>
        <w:wordWrap w:val="0"/>
        <w:overflowPunct w:val="0"/>
        <w:autoSpaceDE w:val="0"/>
        <w:autoSpaceDN w:val="0"/>
        <w:snapToGrid w:val="0"/>
        <w:spacing w:line="480" w:lineRule="auto"/>
        <w:ind w:firstLine="420" w:firstLineChars="200"/>
        <w:jc w:val="both"/>
        <w:textAlignment w:val="auto"/>
        <w:rPr>
          <w:rFonts w:ascii="Arial" w:hAnsi="Arial" w:cs="Arial"/>
          <w:color w:val="auto"/>
          <w:sz w:val="21"/>
          <w:szCs w:val="21"/>
        </w:rPr>
      </w:pPr>
      <w:r>
        <w:rPr>
          <w:rFonts w:hint="eastAsia" w:ascii="Arial" w:hAnsi="Arial" w:cs="Arial"/>
          <w:color w:val="auto"/>
          <w:sz w:val="21"/>
          <w:szCs w:val="21"/>
        </w:rPr>
        <w:t>根据估价委托人提供的</w:t>
      </w:r>
      <w:r>
        <w:rPr>
          <w:rFonts w:hint="eastAsia" w:ascii="Arial" w:hAnsi="Arial" w:cs="Arial"/>
          <w:color w:val="auto"/>
          <w:kern w:val="2"/>
          <w:sz w:val="21"/>
        </w:rPr>
        <w:t>《</w:t>
      </w:r>
      <w:r>
        <w:rPr>
          <w:rFonts w:hint="eastAsia" w:ascii="Arial" w:hAnsi="Arial" w:cs="Arial"/>
          <w:color w:val="auto"/>
          <w:kern w:val="2"/>
          <w:sz w:val="21"/>
          <w:szCs w:val="21"/>
        </w:rPr>
        <w:t>估价委托书</w:t>
      </w:r>
      <w:r>
        <w:rPr>
          <w:rFonts w:hint="eastAsia" w:ascii="Arial" w:hAnsi="Arial" w:cs="Arial"/>
          <w:color w:val="auto"/>
          <w:kern w:val="2"/>
          <w:sz w:val="21"/>
        </w:rPr>
        <w:t>》、</w:t>
      </w:r>
      <w:r>
        <w:rPr>
          <w:rFonts w:hint="eastAsia" w:ascii="Arial" w:hAnsi="Arial" w:cs="Arial"/>
          <w:color w:val="auto"/>
          <w:sz w:val="21"/>
          <w:szCs w:val="21"/>
        </w:rPr>
        <w:t>《采育数字时尚小镇保障性住房趸组协议》及其附件，本次评估的标准房设定如下，标准房是指参照特定项目的建筑类型、结构、户型（含面积）、装饰装修、设施设备、家具家电、楼层、朝向等指标进行分类，分别设定的具有代表性的房屋。标准房设定时，其结构、装饰装修、设施设备、家具家电按照众数设定，楼层、朝向按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706B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78CE427">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w:t>
            </w:r>
          </w:p>
        </w:tc>
        <w:tc>
          <w:tcPr>
            <w:tcW w:w="1625" w:type="dxa"/>
          </w:tcPr>
          <w:p w14:paraId="431961BE">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户型</w:t>
            </w:r>
          </w:p>
        </w:tc>
        <w:tc>
          <w:tcPr>
            <w:tcW w:w="1693" w:type="dxa"/>
          </w:tcPr>
          <w:p w14:paraId="3FC78AFE">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建筑面积（㎡）</w:t>
            </w:r>
          </w:p>
        </w:tc>
        <w:tc>
          <w:tcPr>
            <w:tcW w:w="1557" w:type="dxa"/>
          </w:tcPr>
          <w:p w14:paraId="652C0B5C">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朝向</w:t>
            </w:r>
          </w:p>
        </w:tc>
        <w:tc>
          <w:tcPr>
            <w:tcW w:w="1491" w:type="dxa"/>
          </w:tcPr>
          <w:p w14:paraId="65BCC780">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楼层</w:t>
            </w:r>
          </w:p>
        </w:tc>
        <w:tc>
          <w:tcPr>
            <w:tcW w:w="1491" w:type="dxa"/>
          </w:tcPr>
          <w:p w14:paraId="163E55BD">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装修</w:t>
            </w:r>
          </w:p>
        </w:tc>
      </w:tr>
      <w:tr w14:paraId="5E74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A0173AE">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标准房1</w:t>
            </w:r>
          </w:p>
        </w:tc>
        <w:tc>
          <w:tcPr>
            <w:tcW w:w="1625" w:type="dxa"/>
          </w:tcPr>
          <w:p w14:paraId="24BFDADD">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一居室</w:t>
            </w:r>
          </w:p>
        </w:tc>
        <w:tc>
          <w:tcPr>
            <w:tcW w:w="1693" w:type="dxa"/>
          </w:tcPr>
          <w:p w14:paraId="6F3C257A">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69.39</w:t>
            </w:r>
          </w:p>
        </w:tc>
        <w:tc>
          <w:tcPr>
            <w:tcW w:w="1557" w:type="dxa"/>
          </w:tcPr>
          <w:p w14:paraId="7176A750">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6FFD9AC6">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6F27A1BA">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r w14:paraId="360F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E438A45">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标准房2</w:t>
            </w:r>
          </w:p>
        </w:tc>
        <w:tc>
          <w:tcPr>
            <w:tcW w:w="1625" w:type="dxa"/>
          </w:tcPr>
          <w:p w14:paraId="701C35C1">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两两居</w:t>
            </w:r>
          </w:p>
        </w:tc>
        <w:tc>
          <w:tcPr>
            <w:tcW w:w="1693" w:type="dxa"/>
          </w:tcPr>
          <w:p w14:paraId="05473244">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87.36</w:t>
            </w:r>
          </w:p>
        </w:tc>
        <w:tc>
          <w:tcPr>
            <w:tcW w:w="1557" w:type="dxa"/>
          </w:tcPr>
          <w:p w14:paraId="176005A4">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59C51B20">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79AE7D74">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r w14:paraId="6F1D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4947C57">
            <w:pPr>
              <w:snapToGrid w:val="0"/>
              <w:spacing w:line="240" w:lineRule="exact"/>
              <w:jc w:val="center"/>
              <w:rPr>
                <w:rFonts w:ascii="Arial" w:hAnsi="Arial" w:eastAsia="华文细黑" w:cs="Arial"/>
                <w:color w:val="auto"/>
                <w:sz w:val="18"/>
                <w:szCs w:val="18"/>
              </w:rPr>
            </w:pPr>
            <w:r>
              <w:rPr>
                <w:rFonts w:ascii="Arial" w:hAnsi="Arial" w:eastAsia="华文细黑" w:cs="Arial"/>
                <w:color w:val="auto"/>
                <w:sz w:val="18"/>
                <w:szCs w:val="18"/>
              </w:rPr>
              <w:t>标准房3</w:t>
            </w:r>
          </w:p>
        </w:tc>
        <w:tc>
          <w:tcPr>
            <w:tcW w:w="1625" w:type="dxa"/>
          </w:tcPr>
          <w:p w14:paraId="1F72D200">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三</w:t>
            </w:r>
            <w:r>
              <w:rPr>
                <w:rFonts w:ascii="Arial" w:hAnsi="Arial" w:eastAsia="华文细黑" w:cs="Arial"/>
                <w:color w:val="auto"/>
                <w:sz w:val="18"/>
                <w:szCs w:val="18"/>
              </w:rPr>
              <w:t>居室</w:t>
            </w:r>
          </w:p>
        </w:tc>
        <w:tc>
          <w:tcPr>
            <w:tcW w:w="1693" w:type="dxa"/>
          </w:tcPr>
          <w:p w14:paraId="12EF0CEA">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128.85</w:t>
            </w:r>
          </w:p>
        </w:tc>
        <w:tc>
          <w:tcPr>
            <w:tcW w:w="1557" w:type="dxa"/>
          </w:tcPr>
          <w:p w14:paraId="77CF2859">
            <w:pPr>
              <w:snapToGrid w:val="0"/>
              <w:spacing w:line="240" w:lineRule="exact"/>
              <w:jc w:val="center"/>
              <w:rPr>
                <w:rFonts w:ascii="Arial" w:hAnsi="Arial" w:eastAsia="华文细黑" w:cs="Arial"/>
                <w:color w:val="auto"/>
                <w:sz w:val="18"/>
                <w:szCs w:val="18"/>
              </w:rPr>
            </w:pPr>
            <w:r>
              <w:rPr>
                <w:rFonts w:hint="eastAsia" w:ascii="Arial" w:hAnsi="Arial" w:eastAsia="华文细黑" w:cs="Arial"/>
                <w:color w:val="auto"/>
                <w:sz w:val="18"/>
                <w:szCs w:val="18"/>
              </w:rPr>
              <w:t>南北</w:t>
            </w:r>
          </w:p>
        </w:tc>
        <w:tc>
          <w:tcPr>
            <w:tcW w:w="1491" w:type="dxa"/>
          </w:tcPr>
          <w:p w14:paraId="614BD923">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中楼层</w:t>
            </w:r>
          </w:p>
        </w:tc>
        <w:tc>
          <w:tcPr>
            <w:tcW w:w="1491" w:type="dxa"/>
          </w:tcPr>
          <w:p w14:paraId="35D608D4">
            <w:pPr>
              <w:snapToGrid w:val="0"/>
              <w:spacing w:line="240" w:lineRule="exact"/>
              <w:jc w:val="center"/>
              <w:rPr>
                <w:rFonts w:ascii="Arial" w:hAnsi="Arial" w:eastAsia="华文细黑" w:cs="Arial"/>
                <w:color w:val="auto"/>
                <w:sz w:val="18"/>
                <w:szCs w:val="18"/>
              </w:rPr>
            </w:pPr>
            <w:r>
              <w:rPr>
                <w:rFonts w:hint="eastAsia" w:ascii="华文细黑" w:hAnsi="华文细黑" w:eastAsia="华文细黑" w:cs="Arial"/>
                <w:color w:val="auto"/>
                <w:sz w:val="18"/>
                <w:szCs w:val="18"/>
              </w:rPr>
              <w:t>精装修</w:t>
            </w:r>
          </w:p>
        </w:tc>
      </w:tr>
    </w:tbl>
    <w:p w14:paraId="5A3E7791">
      <w:pPr>
        <w:pStyle w:val="18"/>
        <w:spacing w:before="240" w:beforeLines="100" w:line="480" w:lineRule="auto"/>
        <w:ind w:firstLine="422" w:firstLineChars="200"/>
        <w:rPr>
          <w:rFonts w:ascii="Arial" w:hAnsi="Arial" w:eastAsia="宋体" w:cs="Arial"/>
          <w:color w:val="auto"/>
          <w:sz w:val="21"/>
          <w:szCs w:val="21"/>
        </w:rPr>
      </w:pPr>
      <w:r>
        <w:rPr>
          <w:rFonts w:ascii="Arial" w:hAnsi="Arial" w:eastAsia="宋体" w:cs="Arial"/>
          <w:color w:val="auto"/>
          <w:sz w:val="21"/>
          <w:szCs w:val="21"/>
        </w:rPr>
        <w:t>（</w:t>
      </w:r>
      <w:r>
        <w:rPr>
          <w:rFonts w:hint="eastAsia" w:ascii="Arial" w:hAnsi="Arial" w:eastAsia="宋体" w:cs="Arial"/>
          <w:color w:val="auto"/>
          <w:sz w:val="21"/>
          <w:szCs w:val="21"/>
        </w:rPr>
        <w:t>二</w:t>
      </w:r>
      <w:r>
        <w:rPr>
          <w:rFonts w:ascii="Arial" w:hAnsi="Arial" w:eastAsia="宋体" w:cs="Arial"/>
          <w:color w:val="auto"/>
          <w:sz w:val="21"/>
          <w:szCs w:val="21"/>
        </w:rPr>
        <w:t>）</w:t>
      </w:r>
      <w:r>
        <w:rPr>
          <w:rFonts w:hint="eastAsia" w:ascii="Arial" w:hAnsi="Arial" w:eastAsia="宋体" w:cs="Arial"/>
          <w:color w:val="auto"/>
          <w:sz w:val="21"/>
          <w:szCs w:val="21"/>
        </w:rPr>
        <w:t>比较法测算过程</w:t>
      </w:r>
    </w:p>
    <w:p w14:paraId="297DD942">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5C047BD0">
      <w:pPr>
        <w:wordWrap w:val="0"/>
        <w:overflowPunct w:val="0"/>
        <w:spacing w:line="480" w:lineRule="auto"/>
        <w:ind w:firstLine="422" w:firstLineChars="200"/>
        <w:rPr>
          <w:rFonts w:ascii="Arial" w:hAnsi="Arial" w:cs="Arial"/>
          <w:b/>
          <w:color w:val="auto"/>
          <w:sz w:val="21"/>
          <w:szCs w:val="21"/>
        </w:rPr>
      </w:pPr>
      <w:r>
        <w:rPr>
          <w:rFonts w:hint="eastAsia" w:ascii="Arial" w:hAnsi="Arial" w:cs="Arial"/>
          <w:b/>
          <w:color w:val="auto"/>
          <w:sz w:val="21"/>
          <w:szCs w:val="21"/>
        </w:rPr>
        <w:t>A.标准房1（</w:t>
      </w:r>
      <w:r>
        <w:rPr>
          <w:rFonts w:hint="eastAsia" w:ascii="宋体" w:hAnsi="宋体"/>
          <w:b/>
          <w:color w:val="auto"/>
          <w:sz w:val="21"/>
          <w:szCs w:val="21"/>
        </w:rPr>
        <w:t>一居室标准房市场租金水平）</w:t>
      </w:r>
    </w:p>
    <w:p w14:paraId="330EB54D">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1.选取案例并作因素条件说明</w:t>
      </w:r>
    </w:p>
    <w:p w14:paraId="564E2389">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通过对北京市</w:t>
      </w:r>
      <w:r>
        <w:rPr>
          <w:rFonts w:hint="eastAsia" w:ascii="Arial" w:hAnsi="Arial" w:cs="Arial"/>
          <w:color w:val="auto"/>
          <w:sz w:val="21"/>
          <w:szCs w:val="21"/>
        </w:rPr>
        <w:t>大兴</w:t>
      </w:r>
      <w:r>
        <w:rPr>
          <w:rFonts w:ascii="Arial" w:hAnsi="Arial" w:cs="Arial"/>
          <w:color w:val="auto"/>
          <w:sz w:val="21"/>
          <w:szCs w:val="21"/>
        </w:rPr>
        <w:t>区</w:t>
      </w:r>
      <w:r>
        <w:rPr>
          <w:rFonts w:hint="eastAsia" w:ascii="Arial" w:hAnsi="Arial" w:cs="Arial"/>
          <w:color w:val="auto"/>
          <w:sz w:val="21"/>
          <w:szCs w:val="21"/>
        </w:rPr>
        <w:t>采育镇周边住宅</w:t>
      </w:r>
      <w:r>
        <w:rPr>
          <w:rFonts w:ascii="Arial" w:hAnsi="Arial" w:cs="Arial"/>
          <w:color w:val="auto"/>
          <w:sz w:val="21"/>
          <w:szCs w:val="21"/>
        </w:rPr>
        <w:t>市场的调查，选取近期同一供需圈内邻近地区的三个租赁</w:t>
      </w:r>
      <w:r>
        <w:rPr>
          <w:rFonts w:hint="eastAsia" w:ascii="Arial" w:hAnsi="Arial" w:cs="Arial"/>
          <w:color w:val="auto"/>
          <w:sz w:val="21"/>
          <w:szCs w:val="21"/>
        </w:rPr>
        <w:t>实例</w:t>
      </w:r>
      <w:r>
        <w:rPr>
          <w:rFonts w:ascii="Arial" w:hAnsi="Arial" w:cs="Arial"/>
          <w:color w:val="auto"/>
          <w:sz w:val="21"/>
          <w:szCs w:val="21"/>
        </w:rPr>
        <w:t>进行比较。</w:t>
      </w:r>
    </w:p>
    <w:p w14:paraId="0EB63370">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可比实例1</w:t>
      </w:r>
      <w:r>
        <w:rPr>
          <w:rFonts w:ascii="Arial" w:hAnsi="Arial" w:cs="Arial"/>
          <w:color w:val="auto"/>
          <w:sz w:val="21"/>
          <w:szCs w:val="21"/>
        </w:rPr>
        <w:t>：</w:t>
      </w:r>
    </w:p>
    <w:p w14:paraId="7EDFFC0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恒盛波尔多小镇南区</w:t>
      </w:r>
    </w:p>
    <w:p w14:paraId="71D52037">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大兴区采育镇育镇街32号</w:t>
      </w:r>
    </w:p>
    <w:p w14:paraId="1841BF51">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2D55381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395627B2">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•用途：住宅</w:t>
      </w:r>
    </w:p>
    <w:p w14:paraId="393DA0DF">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可比实例1周边有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东</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福源路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可比实例1</w:t>
      </w:r>
      <w:r>
        <w:rPr>
          <w:rFonts w:ascii="Arial" w:hAnsi="Arial" w:cs="Arial"/>
          <w:color w:val="auto"/>
          <w:sz w:val="21"/>
          <w:szCs w:val="21"/>
        </w:rPr>
        <w:t>为</w:t>
      </w:r>
      <w:r>
        <w:rPr>
          <w:rFonts w:hint="eastAsia" w:ascii="Arial" w:hAnsi="Arial" w:cs="Arial"/>
          <w:color w:val="auto"/>
          <w:sz w:val="21"/>
          <w:szCs w:val="21"/>
        </w:rPr>
        <w:t>一</w:t>
      </w:r>
      <w:r>
        <w:rPr>
          <w:rFonts w:ascii="Arial" w:hAnsi="Arial" w:cs="Arial"/>
          <w:color w:val="auto"/>
          <w:sz w:val="21"/>
          <w:szCs w:val="21"/>
        </w:rPr>
        <w:t>居室户型，低楼层，</w:t>
      </w:r>
      <w:r>
        <w:rPr>
          <w:rFonts w:hint="eastAsia" w:ascii="Arial" w:hAnsi="Arial" w:cs="Arial"/>
          <w:color w:val="auto"/>
          <w:sz w:val="21"/>
          <w:szCs w:val="21"/>
        </w:rPr>
        <w:t>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01</w:t>
      </w:r>
      <w:r>
        <w:rPr>
          <w:rFonts w:hint="eastAsia" w:ascii="Arial" w:hAnsi="Arial" w:cs="Arial"/>
          <w:color w:val="auto"/>
          <w:sz w:val="21"/>
          <w:szCs w:val="21"/>
        </w:rPr>
        <w:t>3</w:t>
      </w:r>
      <w:r>
        <w:rPr>
          <w:rFonts w:ascii="Arial" w:hAnsi="Arial" w:cs="Arial"/>
          <w:color w:val="auto"/>
          <w:sz w:val="21"/>
          <w:szCs w:val="21"/>
        </w:rPr>
        <w:t>年，建筑结构为</w:t>
      </w:r>
      <w:r>
        <w:rPr>
          <w:rFonts w:hint="eastAsia" w:ascii="Arial" w:hAnsi="Arial" w:cs="Arial"/>
          <w:color w:val="auto"/>
          <w:sz w:val="21"/>
          <w:szCs w:val="21"/>
        </w:rPr>
        <w:t>混合</w:t>
      </w:r>
      <w:r>
        <w:rPr>
          <w:rFonts w:ascii="Arial" w:hAnsi="Arial" w:cs="Arial"/>
          <w:color w:val="auto"/>
          <w:sz w:val="21"/>
          <w:szCs w:val="21"/>
        </w:rPr>
        <w:t>结构，装修为精装修，建筑面积为</w:t>
      </w:r>
      <w:r>
        <w:rPr>
          <w:rFonts w:hint="eastAsia" w:ascii="Arial" w:hAnsi="Arial" w:cs="Arial"/>
          <w:color w:val="auto"/>
          <w:sz w:val="21"/>
          <w:szCs w:val="21"/>
        </w:rPr>
        <w:t>65.43</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为24.45元/平方米·月（含物业费1.68元/平方米·月、取暖费2.5元/平方米·月）。</w:t>
      </w:r>
    </w:p>
    <w:p w14:paraId="0C515040">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可比实例2</w:t>
      </w:r>
      <w:r>
        <w:rPr>
          <w:rFonts w:ascii="Arial" w:hAnsi="Arial" w:cs="Arial"/>
          <w:color w:val="auto"/>
          <w:sz w:val="21"/>
          <w:szCs w:val="21"/>
        </w:rPr>
        <w:t>：</w:t>
      </w:r>
    </w:p>
    <w:p w14:paraId="2680546F">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育新花园中里</w:t>
      </w:r>
    </w:p>
    <w:p w14:paraId="2433EE1C">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大兴区采育镇育林街2号院</w:t>
      </w:r>
    </w:p>
    <w:p w14:paraId="77425C18">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47D40033">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2B188B8E">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•用途：住宅</w:t>
      </w:r>
    </w:p>
    <w:p w14:paraId="67AE970F">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2</w:t>
      </w:r>
      <w:r>
        <w:rPr>
          <w:rFonts w:hint="eastAsia" w:ascii="Arial" w:hAnsi="Arial" w:cs="Arial"/>
          <w:color w:val="auto"/>
          <w:sz w:val="21"/>
          <w:szCs w:val="21"/>
        </w:rPr>
        <w:t>周边</w:t>
      </w:r>
      <w:r>
        <w:rPr>
          <w:rFonts w:hint="eastAsia" w:ascii="Arial" w:hAnsi="Arial" w:cs="Arial"/>
          <w:color w:val="auto"/>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南</w:t>
      </w:r>
      <w:r>
        <w:rPr>
          <w:rFonts w:ascii="Arial" w:hAnsi="Arial" w:cs="Arial"/>
          <w:color w:val="auto"/>
          <w:sz w:val="21"/>
          <w:szCs w:val="21"/>
        </w:rPr>
        <w:t>侧紧邻城市</w:t>
      </w:r>
      <w:r>
        <w:rPr>
          <w:rFonts w:hint="eastAsia" w:ascii="Arial" w:hAnsi="Arial" w:cs="Arial"/>
          <w:color w:val="auto"/>
          <w:kern w:val="2"/>
          <w:sz w:val="21"/>
          <w:szCs w:val="21"/>
        </w:rPr>
        <w:t>次干道——采星路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kern w:val="2"/>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w:t>
      </w:r>
      <w:r>
        <w:rPr>
          <w:rFonts w:ascii="Arial" w:hAnsi="Arial" w:cs="Arial"/>
          <w:color w:val="auto"/>
          <w:sz w:val="21"/>
          <w:szCs w:val="21"/>
        </w:rPr>
        <w:t>2为</w:t>
      </w:r>
      <w:r>
        <w:rPr>
          <w:rFonts w:hint="eastAsia" w:ascii="Arial" w:hAnsi="Arial" w:cs="Arial"/>
          <w:color w:val="auto"/>
          <w:sz w:val="21"/>
          <w:szCs w:val="21"/>
        </w:rPr>
        <w:t>两</w:t>
      </w:r>
      <w:r>
        <w:rPr>
          <w:rFonts w:ascii="Arial" w:hAnsi="Arial" w:cs="Arial"/>
          <w:color w:val="auto"/>
          <w:sz w:val="21"/>
          <w:szCs w:val="21"/>
        </w:rPr>
        <w:t>居室户型，</w:t>
      </w:r>
      <w:r>
        <w:rPr>
          <w:rFonts w:hint="eastAsia" w:ascii="Arial" w:hAnsi="Arial" w:cs="Arial"/>
          <w:color w:val="auto"/>
          <w:sz w:val="21"/>
          <w:szCs w:val="21"/>
        </w:rPr>
        <w:t>低</w:t>
      </w:r>
      <w:r>
        <w:rPr>
          <w:rFonts w:ascii="Arial" w:hAnsi="Arial" w:cs="Arial"/>
          <w:color w:val="auto"/>
          <w:sz w:val="21"/>
          <w:szCs w:val="21"/>
        </w:rPr>
        <w:t>楼层，</w:t>
      </w:r>
      <w:r>
        <w:rPr>
          <w:rFonts w:hint="eastAsia" w:ascii="Arial" w:hAnsi="Arial" w:cs="Arial"/>
          <w:color w:val="auto"/>
          <w:sz w:val="21"/>
          <w:szCs w:val="21"/>
        </w:rPr>
        <w:t>南北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w:t>
      </w:r>
      <w:r>
        <w:rPr>
          <w:rFonts w:hint="eastAsia" w:ascii="Arial" w:hAnsi="Arial" w:cs="Arial"/>
          <w:color w:val="auto"/>
          <w:sz w:val="21"/>
          <w:szCs w:val="21"/>
        </w:rPr>
        <w:t>10</w:t>
      </w:r>
      <w:r>
        <w:rPr>
          <w:rFonts w:ascii="Arial" w:hAnsi="Arial" w:cs="Arial"/>
          <w:color w:val="auto"/>
          <w:sz w:val="21"/>
          <w:szCs w:val="21"/>
        </w:rPr>
        <w:t>年，建筑结构为钢混结构，装修为精装修，建筑面积为</w:t>
      </w:r>
      <w:r>
        <w:rPr>
          <w:rFonts w:hint="eastAsia" w:ascii="Arial" w:hAnsi="Arial" w:cs="Arial"/>
          <w:color w:val="auto"/>
          <w:sz w:val="21"/>
          <w:szCs w:val="21"/>
        </w:rPr>
        <w:t>85.31</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为23.44元/平方米·月（含物业费</w:t>
      </w:r>
      <w:r>
        <w:rPr>
          <w:rFonts w:ascii="Arial" w:hAnsi="Arial" w:cs="Arial"/>
          <w:color w:val="auto"/>
          <w:sz w:val="21"/>
          <w:szCs w:val="21"/>
        </w:rPr>
        <w:t>1.</w:t>
      </w:r>
      <w:r>
        <w:rPr>
          <w:rFonts w:hint="eastAsia" w:ascii="Arial" w:hAnsi="Arial" w:cs="Arial"/>
          <w:color w:val="auto"/>
          <w:sz w:val="21"/>
          <w:szCs w:val="21"/>
        </w:rPr>
        <w:t>56元/平方米·月、取暖费2.5元/平方米·月）</w:t>
      </w:r>
      <w:r>
        <w:rPr>
          <w:rFonts w:ascii="Arial" w:hAnsi="Arial" w:cs="Arial"/>
          <w:color w:val="auto"/>
          <w:sz w:val="21"/>
          <w:szCs w:val="21"/>
        </w:rPr>
        <w:t>。</w:t>
      </w:r>
    </w:p>
    <w:p w14:paraId="2FE5F770">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可比实例3</w:t>
      </w:r>
      <w:r>
        <w:rPr>
          <w:rFonts w:ascii="Arial" w:hAnsi="Arial" w:cs="Arial"/>
          <w:color w:val="auto"/>
          <w:sz w:val="21"/>
          <w:szCs w:val="21"/>
        </w:rPr>
        <w:t>：</w:t>
      </w:r>
    </w:p>
    <w:p w14:paraId="24524720">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育新花园北里</w:t>
      </w:r>
    </w:p>
    <w:p w14:paraId="037F5C63">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大兴区采育镇育林街1号院</w:t>
      </w:r>
    </w:p>
    <w:p w14:paraId="4807F990">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74FDDA9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49B86F95">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•用途：住宅</w:t>
      </w:r>
    </w:p>
    <w:p w14:paraId="439D89F6">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可比实例3周边</w:t>
      </w:r>
      <w:r>
        <w:rPr>
          <w:rFonts w:hint="eastAsia" w:ascii="Arial" w:hAnsi="Arial" w:cs="Arial"/>
          <w:color w:val="auto"/>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西</w:t>
      </w:r>
      <w:r>
        <w:rPr>
          <w:rFonts w:ascii="Arial" w:hAnsi="Arial" w:cs="Arial"/>
          <w:color w:val="auto"/>
          <w:sz w:val="21"/>
          <w:szCs w:val="21"/>
        </w:rPr>
        <w:t>侧紧邻城市</w:t>
      </w:r>
      <w:r>
        <w:rPr>
          <w:rFonts w:hint="eastAsia" w:ascii="Arial" w:hAnsi="Arial" w:cs="Arial"/>
          <w:color w:val="auto"/>
          <w:kern w:val="2"/>
          <w:sz w:val="21"/>
          <w:szCs w:val="21"/>
        </w:rPr>
        <w:t>次干道——福源路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kern w:val="2"/>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可比实例3</w:t>
      </w:r>
      <w:r>
        <w:rPr>
          <w:rFonts w:ascii="Arial" w:hAnsi="Arial" w:cs="Arial"/>
          <w:color w:val="auto"/>
          <w:sz w:val="21"/>
          <w:szCs w:val="21"/>
        </w:rPr>
        <w:t>为</w:t>
      </w:r>
      <w:r>
        <w:rPr>
          <w:rFonts w:hint="eastAsia" w:ascii="Arial" w:hAnsi="Arial" w:cs="Arial"/>
          <w:color w:val="auto"/>
          <w:sz w:val="21"/>
          <w:szCs w:val="21"/>
        </w:rPr>
        <w:t>两</w:t>
      </w:r>
      <w:r>
        <w:rPr>
          <w:rFonts w:ascii="Arial" w:hAnsi="Arial" w:cs="Arial"/>
          <w:color w:val="auto"/>
          <w:sz w:val="21"/>
          <w:szCs w:val="21"/>
        </w:rPr>
        <w:t>居室户型，</w:t>
      </w:r>
      <w:r>
        <w:rPr>
          <w:rFonts w:hint="eastAsia" w:ascii="Arial" w:hAnsi="Arial" w:cs="Arial"/>
          <w:color w:val="auto"/>
          <w:sz w:val="21"/>
          <w:szCs w:val="21"/>
        </w:rPr>
        <w:t>中</w:t>
      </w:r>
      <w:r>
        <w:rPr>
          <w:rFonts w:ascii="Arial" w:hAnsi="Arial" w:cs="Arial"/>
          <w:color w:val="auto"/>
          <w:sz w:val="21"/>
          <w:szCs w:val="21"/>
        </w:rPr>
        <w:t>楼层，</w:t>
      </w:r>
      <w:r>
        <w:rPr>
          <w:rFonts w:hint="eastAsia" w:ascii="Arial" w:hAnsi="Arial" w:cs="Arial"/>
          <w:color w:val="auto"/>
          <w:sz w:val="21"/>
          <w:szCs w:val="21"/>
        </w:rPr>
        <w:t>南北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w:t>
      </w:r>
      <w:r>
        <w:rPr>
          <w:rFonts w:hint="eastAsia" w:ascii="Arial" w:hAnsi="Arial" w:cs="Arial"/>
          <w:color w:val="auto"/>
          <w:sz w:val="21"/>
          <w:szCs w:val="21"/>
        </w:rPr>
        <w:t>14</w:t>
      </w:r>
      <w:r>
        <w:rPr>
          <w:rFonts w:ascii="Arial" w:hAnsi="Arial" w:cs="Arial"/>
          <w:color w:val="auto"/>
          <w:sz w:val="21"/>
          <w:szCs w:val="21"/>
        </w:rPr>
        <w:t>年，建筑结构为钢混结构，装修为精装修，建筑面积为</w:t>
      </w:r>
      <w:r>
        <w:rPr>
          <w:rFonts w:hint="eastAsia" w:ascii="Arial" w:hAnsi="Arial" w:cs="Arial"/>
          <w:color w:val="auto"/>
          <w:sz w:val="21"/>
          <w:szCs w:val="21"/>
        </w:rPr>
        <w:t>87.39</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为22.89元/平方米·月（含物业费</w:t>
      </w:r>
      <w:r>
        <w:rPr>
          <w:rFonts w:ascii="Arial" w:hAnsi="Arial" w:cs="Arial"/>
          <w:color w:val="auto"/>
          <w:sz w:val="21"/>
          <w:szCs w:val="21"/>
        </w:rPr>
        <w:t>1.</w:t>
      </w:r>
      <w:r>
        <w:rPr>
          <w:rFonts w:hint="eastAsia" w:ascii="Arial" w:hAnsi="Arial" w:cs="Arial"/>
          <w:color w:val="auto"/>
          <w:sz w:val="21"/>
          <w:szCs w:val="21"/>
        </w:rPr>
        <w:t>56元/平方米·月、取暖费2.5元/平方米·月）</w:t>
      </w:r>
      <w:r>
        <w:rPr>
          <w:rFonts w:ascii="Arial" w:hAnsi="Arial" w:cs="Arial"/>
          <w:color w:val="auto"/>
          <w:sz w:val="21"/>
          <w:szCs w:val="21"/>
        </w:rPr>
        <w:t>。</w:t>
      </w:r>
    </w:p>
    <w:p w14:paraId="0DC26C40">
      <w:pPr>
        <w:wordWrap w:val="0"/>
        <w:overflowPunct w:val="0"/>
        <w:spacing w:line="480" w:lineRule="auto"/>
        <w:ind w:firstLine="420" w:firstLineChars="200"/>
        <w:rPr>
          <w:rFonts w:hint="eastAsia" w:ascii="宋体" w:hAnsi="宋体"/>
          <w:color w:val="auto"/>
          <w:sz w:val="21"/>
          <w:szCs w:val="21"/>
        </w:rPr>
      </w:pPr>
      <w:r>
        <w:rPr>
          <w:rFonts w:hint="eastAsia" w:ascii="宋体" w:hAnsi="宋体"/>
          <w:color w:val="auto"/>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6401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6BF8A78">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交易案例</w:t>
            </w:r>
          </w:p>
        </w:tc>
        <w:tc>
          <w:tcPr>
            <w:tcW w:w="1812" w:type="dxa"/>
            <w:vAlign w:val="center"/>
          </w:tcPr>
          <w:p w14:paraId="2D3018C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估价对象</w:t>
            </w:r>
          </w:p>
        </w:tc>
        <w:tc>
          <w:tcPr>
            <w:tcW w:w="1812" w:type="dxa"/>
            <w:vAlign w:val="center"/>
          </w:tcPr>
          <w:p w14:paraId="2933557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可比实例1</w:t>
            </w:r>
          </w:p>
        </w:tc>
        <w:tc>
          <w:tcPr>
            <w:tcW w:w="1812" w:type="dxa"/>
            <w:vAlign w:val="center"/>
          </w:tcPr>
          <w:p w14:paraId="3161D75F">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可比实例2</w:t>
            </w:r>
          </w:p>
        </w:tc>
        <w:tc>
          <w:tcPr>
            <w:tcW w:w="1815" w:type="dxa"/>
            <w:vAlign w:val="center"/>
          </w:tcPr>
          <w:p w14:paraId="11903301">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可比实例3</w:t>
            </w:r>
          </w:p>
        </w:tc>
      </w:tr>
      <w:tr w14:paraId="57CA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2ADD822">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项目名称</w:t>
            </w:r>
          </w:p>
        </w:tc>
        <w:tc>
          <w:tcPr>
            <w:tcW w:w="1812" w:type="dxa"/>
            <w:vAlign w:val="center"/>
          </w:tcPr>
          <w:p w14:paraId="024966D3">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1812" w:type="dxa"/>
            <w:vAlign w:val="center"/>
          </w:tcPr>
          <w:p w14:paraId="54FA514B">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w:t>
            </w:r>
          </w:p>
        </w:tc>
        <w:tc>
          <w:tcPr>
            <w:tcW w:w="1812" w:type="dxa"/>
            <w:vAlign w:val="center"/>
          </w:tcPr>
          <w:p w14:paraId="220D7D45">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育新花园中里</w:t>
            </w:r>
          </w:p>
        </w:tc>
        <w:tc>
          <w:tcPr>
            <w:tcW w:w="1815" w:type="dxa"/>
            <w:vAlign w:val="center"/>
          </w:tcPr>
          <w:p w14:paraId="7A8B946F">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育新花园北里</w:t>
            </w:r>
          </w:p>
        </w:tc>
      </w:tr>
      <w:tr w14:paraId="78D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8147A1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租金价格（元/㎡·</w:t>
            </w:r>
            <w:r>
              <w:rPr>
                <w:rFonts w:hint="eastAsia" w:ascii="Arial" w:hAnsi="Arial" w:cs="Arial"/>
                <w:color w:val="auto"/>
                <w:sz w:val="16"/>
                <w:szCs w:val="18"/>
              </w:rPr>
              <w:t>月</w:t>
            </w:r>
            <w:r>
              <w:rPr>
                <w:rFonts w:ascii="Arial" w:hAnsi="Arial" w:cs="Arial"/>
                <w:color w:val="auto"/>
                <w:sz w:val="16"/>
                <w:szCs w:val="18"/>
              </w:rPr>
              <w:t>）</w:t>
            </w:r>
          </w:p>
        </w:tc>
        <w:tc>
          <w:tcPr>
            <w:tcW w:w="1812" w:type="dxa"/>
            <w:vAlign w:val="center"/>
          </w:tcPr>
          <w:p w14:paraId="149C7E34">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12" w:type="dxa"/>
            <w:vAlign w:val="center"/>
          </w:tcPr>
          <w:p w14:paraId="52A24D0F">
            <w:pPr>
              <w:pStyle w:val="61"/>
              <w:autoSpaceDE w:val="0"/>
              <w:autoSpaceDN w:val="0"/>
              <w:snapToGrid w:val="0"/>
              <w:spacing w:line="240" w:lineRule="exact"/>
              <w:textAlignment w:val="bottom"/>
              <w:rPr>
                <w:rFonts w:ascii="Arial" w:hAnsi="Arial" w:cs="Arial"/>
                <w:color w:val="auto"/>
                <w:sz w:val="16"/>
                <w:szCs w:val="18"/>
              </w:rPr>
            </w:pPr>
            <w:r>
              <w:rPr>
                <w:rFonts w:hint="eastAsia" w:ascii="Arial" w:hAnsi="Arial" w:cs="Arial"/>
                <w:color w:val="auto"/>
                <w:sz w:val="16"/>
                <w:szCs w:val="18"/>
              </w:rPr>
              <w:t>24.45</w:t>
            </w:r>
          </w:p>
        </w:tc>
        <w:tc>
          <w:tcPr>
            <w:tcW w:w="1812" w:type="dxa"/>
            <w:vAlign w:val="center"/>
          </w:tcPr>
          <w:p w14:paraId="37730CD2">
            <w:pPr>
              <w:pStyle w:val="61"/>
              <w:autoSpaceDE w:val="0"/>
              <w:autoSpaceDN w:val="0"/>
              <w:snapToGrid w:val="0"/>
              <w:spacing w:line="240" w:lineRule="exact"/>
              <w:textAlignment w:val="bottom"/>
              <w:rPr>
                <w:rFonts w:ascii="Arial" w:hAnsi="Arial" w:cs="Arial"/>
                <w:color w:val="auto"/>
                <w:sz w:val="16"/>
                <w:szCs w:val="18"/>
              </w:rPr>
            </w:pPr>
            <w:r>
              <w:rPr>
                <w:rFonts w:hint="eastAsia" w:ascii="Arial" w:hAnsi="Arial" w:cs="Arial"/>
                <w:color w:val="auto"/>
                <w:sz w:val="16"/>
                <w:szCs w:val="18"/>
              </w:rPr>
              <w:t>23.44</w:t>
            </w:r>
          </w:p>
        </w:tc>
        <w:tc>
          <w:tcPr>
            <w:tcW w:w="1815" w:type="dxa"/>
            <w:vAlign w:val="center"/>
          </w:tcPr>
          <w:p w14:paraId="53BF9BFF">
            <w:pPr>
              <w:pStyle w:val="61"/>
              <w:autoSpaceDE w:val="0"/>
              <w:autoSpaceDN w:val="0"/>
              <w:snapToGrid w:val="0"/>
              <w:spacing w:line="240" w:lineRule="exact"/>
              <w:textAlignment w:val="bottom"/>
              <w:rPr>
                <w:rFonts w:ascii="Arial" w:hAnsi="Arial" w:cs="Arial"/>
                <w:color w:val="auto"/>
                <w:sz w:val="16"/>
                <w:szCs w:val="18"/>
              </w:rPr>
            </w:pPr>
            <w:r>
              <w:rPr>
                <w:rFonts w:hint="eastAsia" w:ascii="Arial" w:hAnsi="Arial" w:cs="Arial"/>
                <w:color w:val="auto"/>
                <w:sz w:val="16"/>
                <w:szCs w:val="18"/>
              </w:rPr>
              <w:t>22.89</w:t>
            </w:r>
          </w:p>
        </w:tc>
      </w:tr>
      <w:tr w14:paraId="4E01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6BF1883E">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w:t>
            </w:r>
            <w:r>
              <w:rPr>
                <w:rFonts w:ascii="Arial" w:hAnsi="Arial" w:cs="Arial"/>
                <w:color w:val="auto"/>
                <w:sz w:val="16"/>
                <w:szCs w:val="18"/>
              </w:rPr>
              <w:t>租金内涵</w:t>
            </w:r>
          </w:p>
        </w:tc>
        <w:tc>
          <w:tcPr>
            <w:tcW w:w="1812" w:type="dxa"/>
            <w:vAlign w:val="center"/>
          </w:tcPr>
          <w:p w14:paraId="2C049940">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2" w:type="dxa"/>
            <w:vAlign w:val="center"/>
          </w:tcPr>
          <w:p w14:paraId="4778074A">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c>
          <w:tcPr>
            <w:tcW w:w="1812" w:type="dxa"/>
            <w:vAlign w:val="center"/>
          </w:tcPr>
          <w:p w14:paraId="62BC6FF5">
            <w:pPr>
              <w:spacing w:line="276" w:lineRule="auto"/>
              <w:rPr>
                <w:color w:val="auto"/>
                <w:sz w:val="16"/>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c>
          <w:tcPr>
            <w:tcW w:w="1815" w:type="dxa"/>
            <w:vAlign w:val="center"/>
          </w:tcPr>
          <w:p w14:paraId="721FEE2E">
            <w:pPr>
              <w:spacing w:line="276" w:lineRule="auto"/>
              <w:rPr>
                <w:color w:val="auto"/>
                <w:sz w:val="16"/>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r>
      <w:tr w14:paraId="0850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431FE62">
            <w:pPr>
              <w:pStyle w:val="61"/>
              <w:autoSpaceDE w:val="0"/>
              <w:autoSpaceDN w:val="0"/>
              <w:spacing w:line="240" w:lineRule="exact"/>
              <w:textAlignment w:val="bottom"/>
              <w:rPr>
                <w:rFonts w:ascii="Arial" w:hAnsi="Arial" w:cs="Arial"/>
                <w:color w:val="auto"/>
                <w:sz w:val="16"/>
                <w:szCs w:val="18"/>
              </w:rPr>
            </w:pPr>
          </w:p>
        </w:tc>
        <w:tc>
          <w:tcPr>
            <w:tcW w:w="1812" w:type="dxa"/>
            <w:vAlign w:val="center"/>
          </w:tcPr>
          <w:p w14:paraId="2CF8AACD">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扣减物业费、供暖费</w:t>
            </w:r>
          </w:p>
        </w:tc>
        <w:tc>
          <w:tcPr>
            <w:tcW w:w="1812" w:type="dxa"/>
            <w:vAlign w:val="center"/>
          </w:tcPr>
          <w:p w14:paraId="5ABD52F6">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4.18</w:t>
            </w:r>
          </w:p>
        </w:tc>
        <w:tc>
          <w:tcPr>
            <w:tcW w:w="1812" w:type="dxa"/>
            <w:vAlign w:val="center"/>
          </w:tcPr>
          <w:p w14:paraId="2C24951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4.06</w:t>
            </w:r>
          </w:p>
        </w:tc>
        <w:tc>
          <w:tcPr>
            <w:tcW w:w="1815" w:type="dxa"/>
            <w:vAlign w:val="center"/>
          </w:tcPr>
          <w:p w14:paraId="12775DA8">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4.06</w:t>
            </w:r>
          </w:p>
        </w:tc>
      </w:tr>
      <w:tr w14:paraId="7AE2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C832F5F">
            <w:pPr>
              <w:pStyle w:val="61"/>
              <w:autoSpaceDE w:val="0"/>
              <w:autoSpaceDN w:val="0"/>
              <w:spacing w:line="240" w:lineRule="exact"/>
              <w:textAlignment w:val="bottom"/>
              <w:rPr>
                <w:rFonts w:ascii="Arial" w:hAnsi="Arial" w:cs="Arial"/>
                <w:color w:val="auto"/>
                <w:sz w:val="16"/>
                <w:szCs w:val="18"/>
              </w:rPr>
            </w:pPr>
          </w:p>
        </w:tc>
        <w:tc>
          <w:tcPr>
            <w:tcW w:w="1812" w:type="dxa"/>
            <w:vAlign w:val="center"/>
          </w:tcPr>
          <w:p w14:paraId="6FBD0EC0">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w:t>
            </w:r>
            <w:r>
              <w:rPr>
                <w:rFonts w:ascii="Arial" w:hAnsi="Arial" w:cs="Arial"/>
                <w:color w:val="auto"/>
                <w:sz w:val="16"/>
                <w:szCs w:val="18"/>
              </w:rPr>
              <w:t>租金内涵</w:t>
            </w:r>
            <w:r>
              <w:rPr>
                <w:rFonts w:hint="eastAsia" w:ascii="Arial" w:hAnsi="Arial" w:cs="Arial"/>
                <w:color w:val="auto"/>
                <w:sz w:val="16"/>
                <w:szCs w:val="18"/>
              </w:rPr>
              <w:t>后价格</w:t>
            </w:r>
          </w:p>
        </w:tc>
        <w:tc>
          <w:tcPr>
            <w:tcW w:w="1812" w:type="dxa"/>
            <w:vAlign w:val="center"/>
          </w:tcPr>
          <w:p w14:paraId="42EBC147">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20.27</w:t>
            </w:r>
          </w:p>
        </w:tc>
        <w:tc>
          <w:tcPr>
            <w:tcW w:w="1812" w:type="dxa"/>
            <w:vAlign w:val="center"/>
          </w:tcPr>
          <w:p w14:paraId="69629F6D">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19.38</w:t>
            </w:r>
          </w:p>
        </w:tc>
        <w:tc>
          <w:tcPr>
            <w:tcW w:w="1815" w:type="dxa"/>
            <w:vAlign w:val="center"/>
          </w:tcPr>
          <w:p w14:paraId="078B024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18.83</w:t>
            </w:r>
          </w:p>
        </w:tc>
      </w:tr>
      <w:tr w14:paraId="5F12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C82DDBE">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统一租赁行为条件</w:t>
            </w:r>
          </w:p>
        </w:tc>
        <w:tc>
          <w:tcPr>
            <w:tcW w:w="1812" w:type="dxa"/>
            <w:vAlign w:val="center"/>
          </w:tcPr>
          <w:p w14:paraId="53819292">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2" w:type="dxa"/>
          </w:tcPr>
          <w:p w14:paraId="2CE0CEFF">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2" w:type="dxa"/>
          </w:tcPr>
          <w:p w14:paraId="4771CBF3">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5" w:type="dxa"/>
          </w:tcPr>
          <w:p w14:paraId="73AA15C5">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r>
      <w:tr w14:paraId="757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67D2447">
            <w:pPr>
              <w:pStyle w:val="61"/>
              <w:autoSpaceDE w:val="0"/>
              <w:autoSpaceDN w:val="0"/>
              <w:spacing w:line="240" w:lineRule="exact"/>
              <w:textAlignment w:val="bottom"/>
              <w:rPr>
                <w:rFonts w:ascii="Arial" w:hAnsi="Arial" w:cs="Arial"/>
                <w:color w:val="auto"/>
                <w:sz w:val="16"/>
                <w:szCs w:val="18"/>
              </w:rPr>
            </w:pPr>
          </w:p>
        </w:tc>
        <w:tc>
          <w:tcPr>
            <w:tcW w:w="1812" w:type="dxa"/>
            <w:vAlign w:val="center"/>
          </w:tcPr>
          <w:p w14:paraId="19E59D8C">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修正系数</w:t>
            </w:r>
          </w:p>
        </w:tc>
        <w:tc>
          <w:tcPr>
            <w:tcW w:w="1812" w:type="dxa"/>
            <w:vAlign w:val="center"/>
          </w:tcPr>
          <w:p w14:paraId="18D9D0F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2" w:type="dxa"/>
            <w:vAlign w:val="center"/>
          </w:tcPr>
          <w:p w14:paraId="773243A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5" w:type="dxa"/>
            <w:vAlign w:val="center"/>
          </w:tcPr>
          <w:p w14:paraId="5E5B7401">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r>
      <w:tr w14:paraId="0C73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3792DFB">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统一计价单位</w:t>
            </w:r>
          </w:p>
        </w:tc>
        <w:tc>
          <w:tcPr>
            <w:tcW w:w="1812" w:type="dxa"/>
            <w:vAlign w:val="center"/>
          </w:tcPr>
          <w:p w14:paraId="5AE5A3A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2" w:type="dxa"/>
            <w:vAlign w:val="center"/>
          </w:tcPr>
          <w:p w14:paraId="36C4946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2" w:type="dxa"/>
            <w:vAlign w:val="center"/>
          </w:tcPr>
          <w:p w14:paraId="2E7E7050">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5" w:type="dxa"/>
            <w:vAlign w:val="center"/>
          </w:tcPr>
          <w:p w14:paraId="43A783A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r>
      <w:tr w14:paraId="71E6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67B39F2">
            <w:pPr>
              <w:pStyle w:val="61"/>
              <w:autoSpaceDE w:val="0"/>
              <w:autoSpaceDN w:val="0"/>
              <w:spacing w:line="240" w:lineRule="exact"/>
              <w:textAlignment w:val="bottom"/>
              <w:rPr>
                <w:rFonts w:ascii="Arial" w:hAnsi="Arial" w:cs="Arial"/>
                <w:color w:val="auto"/>
                <w:sz w:val="16"/>
                <w:szCs w:val="18"/>
              </w:rPr>
            </w:pPr>
          </w:p>
        </w:tc>
        <w:tc>
          <w:tcPr>
            <w:tcW w:w="1812" w:type="dxa"/>
            <w:vAlign w:val="center"/>
          </w:tcPr>
          <w:p w14:paraId="006ADD66">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修正系数</w:t>
            </w:r>
          </w:p>
        </w:tc>
        <w:tc>
          <w:tcPr>
            <w:tcW w:w="1812" w:type="dxa"/>
            <w:vAlign w:val="center"/>
          </w:tcPr>
          <w:p w14:paraId="1EBC356C">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2" w:type="dxa"/>
            <w:vAlign w:val="center"/>
          </w:tcPr>
          <w:p w14:paraId="355A3FE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5" w:type="dxa"/>
            <w:vAlign w:val="center"/>
          </w:tcPr>
          <w:p w14:paraId="6251A9A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r>
      <w:tr w14:paraId="39F2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B2668A6">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价格（元/㎡·天）</w:t>
            </w:r>
          </w:p>
        </w:tc>
        <w:tc>
          <w:tcPr>
            <w:tcW w:w="1812" w:type="dxa"/>
            <w:vAlign w:val="center"/>
          </w:tcPr>
          <w:p w14:paraId="4B898A3C">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12" w:type="dxa"/>
            <w:vAlign w:val="center"/>
          </w:tcPr>
          <w:p w14:paraId="76890925">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20.27</w:t>
            </w:r>
          </w:p>
        </w:tc>
        <w:tc>
          <w:tcPr>
            <w:tcW w:w="1812" w:type="dxa"/>
            <w:vAlign w:val="center"/>
          </w:tcPr>
          <w:p w14:paraId="0230B91F">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19.38</w:t>
            </w:r>
          </w:p>
        </w:tc>
        <w:tc>
          <w:tcPr>
            <w:tcW w:w="1815" w:type="dxa"/>
            <w:vAlign w:val="center"/>
          </w:tcPr>
          <w:p w14:paraId="223A844C">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18.83</w:t>
            </w:r>
          </w:p>
        </w:tc>
      </w:tr>
    </w:tbl>
    <w:p w14:paraId="1ACD580D">
      <w:pPr>
        <w:wordWrap w:val="0"/>
        <w:overflowPunct w:val="0"/>
        <w:spacing w:line="480" w:lineRule="auto"/>
        <w:ind w:firstLine="420" w:firstLineChars="200"/>
        <w:rPr>
          <w:rFonts w:hint="eastAsia" w:ascii="宋体" w:hAnsi="宋体"/>
          <w:color w:val="auto"/>
          <w:sz w:val="21"/>
          <w:szCs w:val="21"/>
        </w:rPr>
      </w:pPr>
      <w:r>
        <w:rPr>
          <w:rFonts w:ascii="宋体" w:hAnsi="宋体"/>
          <w:color w:val="auto"/>
          <w:sz w:val="21"/>
          <w:szCs w:val="21"/>
        </w:rPr>
        <w:br w:type="page"/>
      </w:r>
      <w:r>
        <w:rPr>
          <w:rFonts w:hint="eastAsia" w:ascii="宋体" w:hAnsi="宋体"/>
          <w:color w:val="auto"/>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6A900CF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52B7A70A">
            <w:pPr>
              <w:jc w:val="center"/>
              <w:rPr>
                <w:rFonts w:hint="eastAsia" w:ascii="华文细黑" w:hAnsi="华文细黑" w:eastAsia="华文细黑"/>
                <w:color w:val="auto"/>
              </w:rPr>
            </w:pPr>
            <w:r>
              <w:rPr>
                <w:rFonts w:hint="eastAsia" w:ascii="华文细黑" w:hAnsi="华文细黑" w:eastAsia="华文细黑"/>
                <w:color w:val="auto"/>
              </w:rPr>
              <w:t>实例位置</w:t>
            </w:r>
          </w:p>
        </w:tc>
      </w:tr>
      <w:tr w14:paraId="3491228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34D3904">
            <w:pPr>
              <w:jc w:val="center"/>
              <w:rPr>
                <w:rFonts w:ascii="Calibri" w:hAnsi="Calibri"/>
                <w:color w:val="auto"/>
              </w:rPr>
            </w:pPr>
            <w:r>
              <w:rPr>
                <w:color w:val="auto"/>
              </w:rPr>
              <w:drawing>
                <wp:inline distT="0" distB="0" distL="114300" distR="114300">
                  <wp:extent cx="5868035" cy="3771900"/>
                  <wp:effectExtent l="0" t="0" r="1460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2"/>
                          <a:stretch>
                            <a:fillRect/>
                          </a:stretch>
                        </pic:blipFill>
                        <pic:spPr>
                          <a:xfrm>
                            <a:off x="0" y="0"/>
                            <a:ext cx="5868035" cy="3771900"/>
                          </a:xfrm>
                          <a:prstGeom prst="rect">
                            <a:avLst/>
                          </a:prstGeom>
                          <a:noFill/>
                          <a:ln>
                            <a:noFill/>
                          </a:ln>
                        </pic:spPr>
                      </pic:pic>
                    </a:graphicData>
                  </a:graphic>
                </wp:inline>
              </w:drawing>
            </w:r>
          </w:p>
        </w:tc>
      </w:tr>
    </w:tbl>
    <w:p w14:paraId="3EE640E0">
      <w:pPr>
        <w:rPr>
          <w:color w:val="auto"/>
        </w:rPr>
      </w:pPr>
    </w:p>
    <w:p w14:paraId="2253B52E">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br w:type="page"/>
      </w:r>
      <w:r>
        <w:rPr>
          <w:rFonts w:hint="eastAsia" w:ascii="Arial" w:hAnsi="Arial"/>
          <w:color w:val="auto"/>
          <w:sz w:val="21"/>
          <w:szCs w:val="21"/>
        </w:rPr>
        <w:t>（1）建立比较因素条件说明表</w:t>
      </w:r>
      <w:r>
        <w:rPr>
          <w:rFonts w:ascii="Arial" w:hAnsi="Arial"/>
          <w:color w:val="auto"/>
          <w:sz w:val="21"/>
          <w:szCs w:val="21"/>
        </w:rPr>
        <w:t xml:space="preserve"> </w:t>
      </w:r>
    </w:p>
    <w:p w14:paraId="005A7D75">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color w:val="auto"/>
          <w:sz w:val="21"/>
          <w:szCs w:val="21"/>
        </w:rPr>
        <w:t>：</w:t>
      </w:r>
    </w:p>
    <w:p w14:paraId="2A8B9984">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4"/>
        <w:gridCol w:w="1442"/>
        <w:gridCol w:w="1844"/>
        <w:gridCol w:w="1844"/>
        <w:gridCol w:w="1844"/>
        <w:gridCol w:w="1847"/>
      </w:tblGrid>
      <w:tr w14:paraId="5B6A2E0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88D36A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w:t>
            </w:r>
          </w:p>
        </w:tc>
        <w:tc>
          <w:tcPr>
            <w:tcW w:w="968" w:type="pct"/>
            <w:tcBorders>
              <w:top w:val="single" w:color="auto" w:sz="4" w:space="0"/>
              <w:left w:val="nil"/>
              <w:bottom w:val="single" w:color="auto" w:sz="4" w:space="0"/>
              <w:right w:val="single" w:color="auto" w:sz="4" w:space="0"/>
            </w:tcBorders>
            <w:vAlign w:val="center"/>
          </w:tcPr>
          <w:p w14:paraId="6C762A0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0C3884A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6F45B03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5F870F7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可比案例3</w:t>
            </w:r>
          </w:p>
        </w:tc>
      </w:tr>
      <w:tr w14:paraId="59FC2457">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3740FB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小区名称</w:t>
            </w:r>
          </w:p>
        </w:tc>
        <w:tc>
          <w:tcPr>
            <w:tcW w:w="1844" w:type="dxa"/>
            <w:tcBorders>
              <w:top w:val="nil"/>
              <w:left w:val="nil"/>
              <w:bottom w:val="single" w:color="auto" w:sz="4" w:space="0"/>
              <w:right w:val="single" w:color="auto" w:sz="4" w:space="0"/>
            </w:tcBorders>
            <w:vAlign w:val="center"/>
          </w:tcPr>
          <w:p w14:paraId="668CC004">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1844" w:type="dxa"/>
            <w:tcBorders>
              <w:top w:val="nil"/>
              <w:left w:val="nil"/>
              <w:bottom w:val="single" w:color="auto" w:sz="4" w:space="0"/>
              <w:right w:val="single" w:color="auto" w:sz="4" w:space="0"/>
            </w:tcBorders>
            <w:vAlign w:val="center"/>
          </w:tcPr>
          <w:p w14:paraId="40AF4B0B">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w:t>
            </w:r>
          </w:p>
        </w:tc>
        <w:tc>
          <w:tcPr>
            <w:tcW w:w="1844" w:type="dxa"/>
            <w:tcBorders>
              <w:top w:val="nil"/>
              <w:left w:val="nil"/>
              <w:bottom w:val="single" w:color="auto" w:sz="4" w:space="0"/>
              <w:right w:val="single" w:color="auto" w:sz="4" w:space="0"/>
            </w:tcBorders>
            <w:vAlign w:val="center"/>
          </w:tcPr>
          <w:p w14:paraId="1FDECCED">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育新花园中里</w:t>
            </w:r>
          </w:p>
        </w:tc>
        <w:tc>
          <w:tcPr>
            <w:tcW w:w="1847" w:type="dxa"/>
            <w:tcBorders>
              <w:top w:val="nil"/>
              <w:left w:val="nil"/>
              <w:bottom w:val="single" w:color="auto" w:sz="4" w:space="0"/>
              <w:right w:val="single" w:color="auto" w:sz="4" w:space="0"/>
            </w:tcBorders>
            <w:vAlign w:val="center"/>
          </w:tcPr>
          <w:p w14:paraId="4168511A">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育新花园北里</w:t>
            </w:r>
          </w:p>
        </w:tc>
      </w:tr>
      <w:tr w14:paraId="6D50EEC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90B0BE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平均租金（元/平方米·月）</w:t>
            </w:r>
          </w:p>
        </w:tc>
        <w:tc>
          <w:tcPr>
            <w:tcW w:w="1844" w:type="dxa"/>
            <w:tcBorders>
              <w:top w:val="nil"/>
              <w:left w:val="nil"/>
              <w:bottom w:val="single" w:color="auto" w:sz="4" w:space="0"/>
              <w:right w:val="single" w:color="auto" w:sz="4" w:space="0"/>
            </w:tcBorders>
            <w:vAlign w:val="center"/>
          </w:tcPr>
          <w:p w14:paraId="77D45EC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44" w:type="dxa"/>
            <w:tcBorders>
              <w:top w:val="nil"/>
              <w:left w:val="nil"/>
              <w:bottom w:val="single" w:color="auto" w:sz="4" w:space="0"/>
              <w:right w:val="single" w:color="auto" w:sz="4" w:space="0"/>
            </w:tcBorders>
            <w:vAlign w:val="center"/>
          </w:tcPr>
          <w:p w14:paraId="2944EB89">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20.27</w:t>
            </w:r>
          </w:p>
        </w:tc>
        <w:tc>
          <w:tcPr>
            <w:tcW w:w="1844" w:type="dxa"/>
            <w:tcBorders>
              <w:top w:val="nil"/>
              <w:left w:val="nil"/>
              <w:bottom w:val="single" w:color="auto" w:sz="4" w:space="0"/>
              <w:right w:val="single" w:color="auto" w:sz="4" w:space="0"/>
            </w:tcBorders>
            <w:vAlign w:val="center"/>
          </w:tcPr>
          <w:p w14:paraId="540CA855">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19.38</w:t>
            </w:r>
          </w:p>
        </w:tc>
        <w:tc>
          <w:tcPr>
            <w:tcW w:w="1847" w:type="dxa"/>
            <w:tcBorders>
              <w:top w:val="nil"/>
              <w:left w:val="nil"/>
              <w:bottom w:val="single" w:color="auto" w:sz="4" w:space="0"/>
              <w:right w:val="single" w:color="auto" w:sz="4" w:space="0"/>
            </w:tcBorders>
            <w:vAlign w:val="center"/>
          </w:tcPr>
          <w:p w14:paraId="04A29C4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18.83</w:t>
            </w:r>
          </w:p>
        </w:tc>
      </w:tr>
      <w:tr w14:paraId="6DCC63B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E55CF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交易时间</w:t>
            </w:r>
          </w:p>
        </w:tc>
        <w:tc>
          <w:tcPr>
            <w:tcW w:w="968" w:type="pct"/>
            <w:tcBorders>
              <w:top w:val="nil"/>
              <w:left w:val="nil"/>
              <w:bottom w:val="single" w:color="auto" w:sz="4" w:space="0"/>
              <w:right w:val="single" w:color="auto" w:sz="4" w:space="0"/>
            </w:tcBorders>
            <w:vAlign w:val="center"/>
          </w:tcPr>
          <w:p w14:paraId="7E2BBE8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2025年12月26日</w:t>
            </w:r>
          </w:p>
        </w:tc>
        <w:tc>
          <w:tcPr>
            <w:tcW w:w="968" w:type="pct"/>
            <w:tcBorders>
              <w:top w:val="nil"/>
              <w:left w:val="nil"/>
              <w:bottom w:val="single" w:color="auto" w:sz="4" w:space="0"/>
              <w:right w:val="single" w:color="auto" w:sz="4" w:space="0"/>
            </w:tcBorders>
            <w:vAlign w:val="center"/>
          </w:tcPr>
          <w:p w14:paraId="6F3827B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c>
          <w:tcPr>
            <w:tcW w:w="968" w:type="pct"/>
            <w:tcBorders>
              <w:top w:val="nil"/>
              <w:left w:val="nil"/>
              <w:bottom w:val="single" w:color="auto" w:sz="4" w:space="0"/>
              <w:right w:val="single" w:color="auto" w:sz="4" w:space="0"/>
            </w:tcBorders>
            <w:vAlign w:val="center"/>
          </w:tcPr>
          <w:p w14:paraId="5859659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c>
          <w:tcPr>
            <w:tcW w:w="970" w:type="pct"/>
            <w:tcBorders>
              <w:top w:val="nil"/>
              <w:left w:val="nil"/>
              <w:bottom w:val="single" w:color="auto" w:sz="4" w:space="0"/>
              <w:right w:val="single" w:color="auto" w:sz="4" w:space="0"/>
            </w:tcBorders>
            <w:vAlign w:val="center"/>
          </w:tcPr>
          <w:p w14:paraId="789B02E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r>
      <w:tr w14:paraId="12449806">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19414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交易情况</w:t>
            </w:r>
          </w:p>
        </w:tc>
        <w:tc>
          <w:tcPr>
            <w:tcW w:w="968" w:type="pct"/>
            <w:tcBorders>
              <w:top w:val="nil"/>
              <w:left w:val="nil"/>
              <w:bottom w:val="single" w:color="auto" w:sz="4" w:space="0"/>
              <w:right w:val="single" w:color="auto" w:sz="4" w:space="0"/>
            </w:tcBorders>
            <w:vAlign w:val="center"/>
          </w:tcPr>
          <w:p w14:paraId="44E9779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68" w:type="pct"/>
            <w:tcBorders>
              <w:top w:val="nil"/>
              <w:left w:val="nil"/>
              <w:bottom w:val="single" w:color="auto" w:sz="4" w:space="0"/>
              <w:right w:val="single" w:color="auto" w:sz="4" w:space="0"/>
            </w:tcBorders>
            <w:vAlign w:val="center"/>
          </w:tcPr>
          <w:p w14:paraId="4B9DA3F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68" w:type="pct"/>
            <w:tcBorders>
              <w:top w:val="nil"/>
              <w:left w:val="nil"/>
              <w:bottom w:val="single" w:color="auto" w:sz="4" w:space="0"/>
              <w:right w:val="single" w:color="auto" w:sz="4" w:space="0"/>
            </w:tcBorders>
            <w:vAlign w:val="center"/>
          </w:tcPr>
          <w:p w14:paraId="79A6FDF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70" w:type="pct"/>
            <w:tcBorders>
              <w:top w:val="nil"/>
              <w:left w:val="nil"/>
              <w:bottom w:val="single" w:color="auto" w:sz="4" w:space="0"/>
              <w:right w:val="single" w:color="auto" w:sz="4" w:space="0"/>
            </w:tcBorders>
            <w:vAlign w:val="center"/>
          </w:tcPr>
          <w:p w14:paraId="166A978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r>
      <w:tr w14:paraId="44F7C01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C88E09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项目类型</w:t>
            </w:r>
          </w:p>
        </w:tc>
        <w:tc>
          <w:tcPr>
            <w:tcW w:w="968" w:type="pct"/>
            <w:tcBorders>
              <w:top w:val="nil"/>
              <w:left w:val="nil"/>
              <w:bottom w:val="single" w:color="auto" w:sz="4" w:space="0"/>
              <w:right w:val="single" w:color="auto" w:sz="4" w:space="0"/>
            </w:tcBorders>
            <w:vAlign w:val="center"/>
          </w:tcPr>
          <w:p w14:paraId="5A1BF1F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住宅</w:t>
            </w:r>
          </w:p>
        </w:tc>
        <w:tc>
          <w:tcPr>
            <w:tcW w:w="968" w:type="pct"/>
            <w:tcBorders>
              <w:top w:val="nil"/>
              <w:left w:val="nil"/>
              <w:bottom w:val="single" w:color="auto" w:sz="4" w:space="0"/>
              <w:right w:val="single" w:color="auto" w:sz="4" w:space="0"/>
            </w:tcBorders>
            <w:vAlign w:val="center"/>
          </w:tcPr>
          <w:p w14:paraId="7D1E821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住宅</w:t>
            </w:r>
          </w:p>
        </w:tc>
        <w:tc>
          <w:tcPr>
            <w:tcW w:w="968" w:type="pct"/>
            <w:tcBorders>
              <w:top w:val="nil"/>
              <w:left w:val="nil"/>
              <w:bottom w:val="single" w:color="auto" w:sz="4" w:space="0"/>
              <w:right w:val="single" w:color="auto" w:sz="4" w:space="0"/>
            </w:tcBorders>
            <w:vAlign w:val="center"/>
          </w:tcPr>
          <w:p w14:paraId="1671CC1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住宅</w:t>
            </w:r>
          </w:p>
        </w:tc>
        <w:tc>
          <w:tcPr>
            <w:tcW w:w="970" w:type="pct"/>
            <w:tcBorders>
              <w:top w:val="nil"/>
              <w:left w:val="nil"/>
              <w:bottom w:val="single" w:color="auto" w:sz="4" w:space="0"/>
              <w:right w:val="single" w:color="auto" w:sz="4" w:space="0"/>
            </w:tcBorders>
            <w:vAlign w:val="center"/>
          </w:tcPr>
          <w:p w14:paraId="26AFE52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住宅</w:t>
            </w:r>
          </w:p>
        </w:tc>
      </w:tr>
      <w:tr w14:paraId="46F0C2A6">
        <w:tblPrEx>
          <w:tblCellMar>
            <w:top w:w="0" w:type="dxa"/>
            <w:left w:w="108" w:type="dxa"/>
            <w:bottom w:w="0" w:type="dxa"/>
            <w:right w:w="108" w:type="dxa"/>
          </w:tblCellMar>
        </w:tblPrEx>
        <w:trPr>
          <w:trHeight w:val="397" w:hRule="atLeast"/>
          <w:jc w:val="center"/>
        </w:trPr>
        <w:tc>
          <w:tcPr>
            <w:tcW w:w="365" w:type="pct"/>
            <w:vMerge w:val="restart"/>
            <w:tcBorders>
              <w:top w:val="nil"/>
              <w:left w:val="single" w:color="auto" w:sz="4" w:space="0"/>
              <w:bottom w:val="single" w:color="000000" w:sz="4" w:space="0"/>
              <w:right w:val="single" w:color="auto" w:sz="4" w:space="0"/>
            </w:tcBorders>
            <w:vAlign w:val="center"/>
          </w:tcPr>
          <w:p w14:paraId="6F9237C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区域状况</w:t>
            </w:r>
          </w:p>
        </w:tc>
        <w:tc>
          <w:tcPr>
            <w:tcW w:w="757" w:type="pct"/>
            <w:tcBorders>
              <w:top w:val="nil"/>
              <w:left w:val="nil"/>
              <w:bottom w:val="single" w:color="auto" w:sz="4" w:space="0"/>
              <w:right w:val="single" w:color="auto" w:sz="4" w:space="0"/>
            </w:tcBorders>
            <w:vAlign w:val="center"/>
          </w:tcPr>
          <w:p w14:paraId="5771E6C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居住区成熟度</w:t>
            </w:r>
          </w:p>
        </w:tc>
        <w:tc>
          <w:tcPr>
            <w:tcW w:w="968" w:type="pct"/>
            <w:tcBorders>
              <w:top w:val="nil"/>
              <w:left w:val="nil"/>
              <w:bottom w:val="single" w:color="auto" w:sz="4" w:space="0"/>
              <w:right w:val="single" w:color="auto" w:sz="4" w:space="0"/>
            </w:tcBorders>
            <w:vAlign w:val="center"/>
          </w:tcPr>
          <w:p w14:paraId="47AFC10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3C8C133D">
            <w:pPr>
              <w:widowControl/>
              <w:adjustRightInd/>
              <w:spacing w:line="240" w:lineRule="auto"/>
              <w:jc w:val="center"/>
              <w:textAlignment w:val="auto"/>
              <w:rPr>
                <w:rFonts w:ascii="Arial" w:hAnsi="Arial" w:cs="Arial"/>
                <w:color w:val="auto"/>
                <w:sz w:val="16"/>
                <w:szCs w:val="18"/>
              </w:rPr>
            </w:pPr>
            <w:r>
              <w:rPr>
                <w:rFonts w:hint="eastAsia" w:ascii="宋体" w:hAnsi="宋体" w:cs="Arial"/>
                <w:color w:val="auto"/>
                <w:sz w:val="16"/>
                <w:szCs w:val="18"/>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color w:val="auto"/>
                <w:sz w:val="16"/>
                <w:szCs w:val="18"/>
              </w:rPr>
              <w:t>。</w:t>
            </w:r>
          </w:p>
        </w:tc>
        <w:tc>
          <w:tcPr>
            <w:tcW w:w="968" w:type="pct"/>
            <w:tcBorders>
              <w:top w:val="nil"/>
              <w:left w:val="nil"/>
              <w:bottom w:val="single" w:color="auto" w:sz="4" w:space="0"/>
              <w:right w:val="single" w:color="auto" w:sz="4" w:space="0"/>
            </w:tcBorders>
            <w:vAlign w:val="center"/>
          </w:tcPr>
          <w:p w14:paraId="64CAD6C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549DDB3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p>
        </w:tc>
      </w:tr>
      <w:tr w14:paraId="570C2317">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1D682E14">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40BC6B9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道路通达度</w:t>
            </w:r>
          </w:p>
        </w:tc>
        <w:tc>
          <w:tcPr>
            <w:tcW w:w="968" w:type="pct"/>
            <w:tcBorders>
              <w:top w:val="nil"/>
              <w:left w:val="nil"/>
              <w:bottom w:val="single" w:color="auto" w:sz="4" w:space="0"/>
              <w:right w:val="single" w:color="auto" w:sz="4" w:space="0"/>
            </w:tcBorders>
            <w:vAlign w:val="center"/>
          </w:tcPr>
          <w:p w14:paraId="17784DC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7D4CC7E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059D9F05">
            <w:pPr>
              <w:widowControl/>
              <w:adjustRightInd/>
              <w:spacing w:line="240" w:lineRule="auto"/>
              <w:jc w:val="center"/>
              <w:textAlignment w:val="auto"/>
              <w:rPr>
                <w:rFonts w:ascii="Arial" w:hAnsi="Arial" w:cs="Arial"/>
                <w:color w:val="auto"/>
                <w:sz w:val="16"/>
                <w:szCs w:val="18"/>
              </w:rPr>
            </w:pPr>
            <w:r>
              <w:rPr>
                <w:rFonts w:hint="eastAsia" w:ascii="宋体" w:hAnsi="宋体" w:cs="Arial"/>
                <w:color w:val="auto"/>
                <w:sz w:val="16"/>
                <w:szCs w:val="18"/>
              </w:rPr>
              <w:t>周边500米内有城市次干道——采星路</w:t>
            </w:r>
          </w:p>
        </w:tc>
        <w:tc>
          <w:tcPr>
            <w:tcW w:w="970" w:type="pct"/>
            <w:tcBorders>
              <w:top w:val="nil"/>
              <w:left w:val="nil"/>
              <w:bottom w:val="single" w:color="auto" w:sz="4" w:space="0"/>
              <w:right w:val="single" w:color="auto" w:sz="4" w:space="0"/>
            </w:tcBorders>
            <w:vAlign w:val="center"/>
          </w:tcPr>
          <w:p w14:paraId="0AEA3BF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r>
      <w:tr w14:paraId="19CD6A3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7AAFC74">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45A3B27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距离轨道交通站点距离</w:t>
            </w:r>
          </w:p>
        </w:tc>
        <w:tc>
          <w:tcPr>
            <w:tcW w:w="968" w:type="pct"/>
            <w:tcBorders>
              <w:top w:val="nil"/>
              <w:left w:val="nil"/>
              <w:bottom w:val="single" w:color="auto" w:sz="4" w:space="0"/>
              <w:right w:val="single" w:color="auto" w:sz="4" w:space="0"/>
            </w:tcBorders>
            <w:vAlign w:val="center"/>
          </w:tcPr>
          <w:p w14:paraId="3402BEF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6865295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0BEF515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970" w:type="pct"/>
            <w:tcBorders>
              <w:top w:val="nil"/>
              <w:left w:val="nil"/>
              <w:bottom w:val="single" w:color="auto" w:sz="4" w:space="0"/>
              <w:right w:val="single" w:color="auto" w:sz="4" w:space="0"/>
            </w:tcBorders>
            <w:vAlign w:val="center"/>
          </w:tcPr>
          <w:p w14:paraId="770F1CB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r>
      <w:tr w14:paraId="63582B42">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8711380">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25060CF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距离公交站点距离</w:t>
            </w:r>
          </w:p>
        </w:tc>
        <w:tc>
          <w:tcPr>
            <w:tcW w:w="968" w:type="pct"/>
            <w:tcBorders>
              <w:top w:val="nil"/>
              <w:left w:val="nil"/>
              <w:bottom w:val="single" w:color="auto" w:sz="4" w:space="0"/>
              <w:right w:val="single" w:color="auto" w:sz="4" w:space="0"/>
            </w:tcBorders>
            <w:vAlign w:val="center"/>
          </w:tcPr>
          <w:p w14:paraId="742B1B5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34C4D5B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E48745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970" w:type="pct"/>
            <w:tcBorders>
              <w:top w:val="nil"/>
              <w:left w:val="nil"/>
              <w:bottom w:val="single" w:color="auto" w:sz="4" w:space="0"/>
              <w:right w:val="single" w:color="auto" w:sz="4" w:space="0"/>
            </w:tcBorders>
            <w:vAlign w:val="center"/>
          </w:tcPr>
          <w:p w14:paraId="3CA364A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r>
      <w:tr w14:paraId="25B8260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8807AB6">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03F07C0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环境质量优劣度</w:t>
            </w:r>
          </w:p>
        </w:tc>
        <w:tc>
          <w:tcPr>
            <w:tcW w:w="968" w:type="pct"/>
            <w:tcBorders>
              <w:top w:val="nil"/>
              <w:left w:val="nil"/>
              <w:bottom w:val="single" w:color="auto" w:sz="4" w:space="0"/>
              <w:right w:val="single" w:color="auto" w:sz="4" w:space="0"/>
            </w:tcBorders>
            <w:vAlign w:val="center"/>
          </w:tcPr>
          <w:p w14:paraId="3BD1C45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68" w:type="pct"/>
            <w:tcBorders>
              <w:top w:val="nil"/>
              <w:left w:val="nil"/>
              <w:bottom w:val="single" w:color="auto" w:sz="4" w:space="0"/>
              <w:right w:val="single" w:color="auto" w:sz="4" w:space="0"/>
            </w:tcBorders>
            <w:vAlign w:val="center"/>
          </w:tcPr>
          <w:p w14:paraId="79665495">
            <w:pPr>
              <w:widowControl/>
              <w:adjustRightInd/>
              <w:spacing w:line="240" w:lineRule="auto"/>
              <w:jc w:val="center"/>
              <w:textAlignment w:val="auto"/>
              <w:rPr>
                <w:rFonts w:ascii="Arial" w:hAnsi="Arial" w:cs="Arial"/>
                <w:color w:val="auto"/>
                <w:sz w:val="16"/>
                <w:szCs w:val="18"/>
              </w:rPr>
            </w:pPr>
            <w:r>
              <w:rPr>
                <w:rFonts w:hint="eastAsia" w:ascii="宋体" w:hAnsi="宋体" w:cs="Arial"/>
                <w:color w:val="auto"/>
                <w:sz w:val="16"/>
                <w:szCs w:val="18"/>
              </w:rPr>
              <w:t>周边5km内无污染源</w:t>
            </w:r>
          </w:p>
        </w:tc>
        <w:tc>
          <w:tcPr>
            <w:tcW w:w="968" w:type="pct"/>
            <w:tcBorders>
              <w:top w:val="nil"/>
              <w:left w:val="nil"/>
              <w:bottom w:val="single" w:color="auto" w:sz="4" w:space="0"/>
              <w:right w:val="single" w:color="auto" w:sz="4" w:space="0"/>
            </w:tcBorders>
            <w:vAlign w:val="center"/>
          </w:tcPr>
          <w:p w14:paraId="65C7D88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70" w:type="pct"/>
            <w:tcBorders>
              <w:top w:val="nil"/>
              <w:left w:val="nil"/>
              <w:bottom w:val="single" w:color="auto" w:sz="4" w:space="0"/>
              <w:right w:val="single" w:color="auto" w:sz="4" w:space="0"/>
            </w:tcBorders>
            <w:vAlign w:val="center"/>
          </w:tcPr>
          <w:p w14:paraId="3ECBA65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r>
      <w:tr w14:paraId="1DD99F34">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2497A1A7">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6821459A">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自然及人文环境</w:t>
            </w:r>
          </w:p>
        </w:tc>
        <w:tc>
          <w:tcPr>
            <w:tcW w:w="968" w:type="pct"/>
            <w:tcBorders>
              <w:top w:val="nil"/>
              <w:left w:val="nil"/>
              <w:bottom w:val="single" w:color="auto" w:sz="4" w:space="0"/>
              <w:right w:val="single" w:color="auto" w:sz="4" w:space="0"/>
            </w:tcBorders>
            <w:vAlign w:val="center"/>
          </w:tcPr>
          <w:p w14:paraId="5F781F2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1E4FFED3">
            <w:pPr>
              <w:widowControl/>
              <w:adjustRightInd/>
              <w:spacing w:line="240" w:lineRule="auto"/>
              <w:jc w:val="center"/>
              <w:textAlignment w:val="auto"/>
              <w:rPr>
                <w:rFonts w:ascii="Arial" w:hAnsi="Arial" w:cs="Arial"/>
                <w:color w:val="auto"/>
                <w:sz w:val="16"/>
                <w:szCs w:val="18"/>
              </w:rPr>
            </w:pPr>
            <w:r>
              <w:rPr>
                <w:rFonts w:hint="eastAsia" w:ascii="宋体" w:hAnsi="宋体" w:cs="Arial"/>
                <w:color w:val="auto"/>
                <w:sz w:val="16"/>
                <w:szCs w:val="18"/>
              </w:rPr>
              <w:t>周边</w:t>
            </w:r>
            <w:r>
              <w:rPr>
                <w:rFonts w:hint="eastAsia" w:ascii="Arial" w:hAnsi="Arial" w:cs="Arial"/>
                <w:color w:val="auto"/>
                <w:sz w:val="16"/>
                <w:szCs w:val="18"/>
              </w:rPr>
              <w:t>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7DEFAE7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6F04951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周边2公里周边有采育公园、凤河等自然景观，自然与人文环境一般</w:t>
            </w:r>
            <w:r>
              <w:rPr>
                <w:rFonts w:ascii="Arial" w:hAnsi="Arial" w:cs="Arial"/>
                <w:color w:val="auto"/>
                <w:sz w:val="16"/>
                <w:szCs w:val="18"/>
              </w:rPr>
              <w:t>。</w:t>
            </w:r>
          </w:p>
        </w:tc>
      </w:tr>
      <w:tr w14:paraId="228AFA9E">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0BD58BF">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3B025C7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小区环境</w:t>
            </w:r>
          </w:p>
        </w:tc>
        <w:tc>
          <w:tcPr>
            <w:tcW w:w="968" w:type="pct"/>
            <w:tcBorders>
              <w:top w:val="nil"/>
              <w:left w:val="nil"/>
              <w:bottom w:val="single" w:color="auto" w:sz="4" w:space="0"/>
              <w:right w:val="single" w:color="auto" w:sz="4" w:space="0"/>
            </w:tcBorders>
            <w:vAlign w:val="center"/>
          </w:tcPr>
          <w:p w14:paraId="64A2539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426CB1B3">
            <w:pPr>
              <w:widowControl/>
              <w:adjustRightInd/>
              <w:spacing w:line="240" w:lineRule="auto"/>
              <w:jc w:val="center"/>
              <w:textAlignment w:val="auto"/>
              <w:rPr>
                <w:rFonts w:ascii="Arial" w:hAnsi="Arial" w:cs="Arial"/>
                <w:color w:val="auto"/>
                <w:sz w:val="16"/>
                <w:szCs w:val="18"/>
              </w:rPr>
            </w:pPr>
            <w:r>
              <w:rPr>
                <w:rFonts w:hint="eastAsia" w:ascii="宋体" w:hAnsi="宋体" w:cs="Arial"/>
                <w:color w:val="auto"/>
                <w:sz w:val="16"/>
                <w:szCs w:val="18"/>
              </w:rPr>
              <w:t>小区道路整洁、绿化率高、有景观设计、人车分</w:t>
            </w:r>
            <w:r>
              <w:rPr>
                <w:rFonts w:hint="eastAsia" w:ascii="Arial" w:hAnsi="Arial" w:cs="Arial"/>
                <w:color w:val="auto"/>
                <w:sz w:val="16"/>
                <w:szCs w:val="18"/>
              </w:rPr>
              <w:t>流</w:t>
            </w:r>
          </w:p>
        </w:tc>
        <w:tc>
          <w:tcPr>
            <w:tcW w:w="968" w:type="pct"/>
            <w:tcBorders>
              <w:top w:val="nil"/>
              <w:left w:val="nil"/>
              <w:bottom w:val="single" w:color="auto" w:sz="4" w:space="0"/>
              <w:right w:val="single" w:color="auto" w:sz="4" w:space="0"/>
            </w:tcBorders>
            <w:vAlign w:val="center"/>
          </w:tcPr>
          <w:p w14:paraId="5EE9F99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51180BD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r>
      <w:tr w14:paraId="7453F42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8BD4C20">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211E417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公共服务设施状况</w:t>
            </w:r>
          </w:p>
        </w:tc>
        <w:tc>
          <w:tcPr>
            <w:tcW w:w="968" w:type="pct"/>
            <w:tcBorders>
              <w:top w:val="nil"/>
              <w:left w:val="nil"/>
              <w:bottom w:val="single" w:color="auto" w:sz="4" w:space="0"/>
              <w:right w:val="single" w:color="auto" w:sz="4" w:space="0"/>
            </w:tcBorders>
            <w:vAlign w:val="center"/>
          </w:tcPr>
          <w:p w14:paraId="20C243E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57B3CE4E">
            <w:pPr>
              <w:widowControl/>
              <w:adjustRightInd/>
              <w:spacing w:line="240" w:lineRule="auto"/>
              <w:jc w:val="center"/>
              <w:textAlignment w:val="auto"/>
              <w:rPr>
                <w:rFonts w:ascii="Arial" w:hAnsi="Arial" w:cs="Arial"/>
                <w:color w:val="auto"/>
                <w:sz w:val="16"/>
                <w:szCs w:val="18"/>
              </w:rPr>
            </w:pPr>
            <w:r>
              <w:rPr>
                <w:rFonts w:hint="eastAsia" w:ascii="宋体" w:hAnsi="宋体"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color w:val="auto"/>
                <w:sz w:val="16"/>
                <w:szCs w:val="18"/>
              </w:rPr>
              <w:t>。</w:t>
            </w:r>
          </w:p>
        </w:tc>
        <w:tc>
          <w:tcPr>
            <w:tcW w:w="968" w:type="pct"/>
            <w:tcBorders>
              <w:top w:val="nil"/>
              <w:left w:val="nil"/>
              <w:bottom w:val="single" w:color="auto" w:sz="4" w:space="0"/>
              <w:right w:val="single" w:color="auto" w:sz="4" w:space="0"/>
            </w:tcBorders>
            <w:vAlign w:val="center"/>
          </w:tcPr>
          <w:p w14:paraId="27FE7AE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68BEA1D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3F4DD52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53CB1CDE">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321F453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建筑类型</w:t>
            </w:r>
          </w:p>
        </w:tc>
        <w:tc>
          <w:tcPr>
            <w:tcW w:w="968" w:type="pct"/>
            <w:tcBorders>
              <w:top w:val="nil"/>
              <w:left w:val="nil"/>
              <w:bottom w:val="single" w:color="auto" w:sz="4" w:space="0"/>
              <w:right w:val="single" w:color="auto" w:sz="4" w:space="0"/>
            </w:tcBorders>
            <w:vAlign w:val="center"/>
          </w:tcPr>
          <w:p w14:paraId="74B0382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c>
          <w:tcPr>
            <w:tcW w:w="968" w:type="pct"/>
            <w:tcBorders>
              <w:top w:val="nil"/>
              <w:left w:val="nil"/>
              <w:bottom w:val="single" w:color="auto" w:sz="4" w:space="0"/>
              <w:right w:val="single" w:color="auto" w:sz="4" w:space="0"/>
            </w:tcBorders>
            <w:vAlign w:val="center"/>
          </w:tcPr>
          <w:p w14:paraId="27665DA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多层板楼</w:t>
            </w:r>
          </w:p>
        </w:tc>
        <w:tc>
          <w:tcPr>
            <w:tcW w:w="968" w:type="pct"/>
            <w:tcBorders>
              <w:top w:val="nil"/>
              <w:left w:val="nil"/>
              <w:bottom w:val="single" w:color="auto" w:sz="4" w:space="0"/>
              <w:right w:val="single" w:color="auto" w:sz="4" w:space="0"/>
            </w:tcBorders>
            <w:vAlign w:val="center"/>
          </w:tcPr>
          <w:p w14:paraId="1D2469E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c>
          <w:tcPr>
            <w:tcW w:w="970" w:type="pct"/>
            <w:tcBorders>
              <w:top w:val="nil"/>
              <w:left w:val="nil"/>
              <w:bottom w:val="single" w:color="auto" w:sz="4" w:space="0"/>
              <w:right w:val="single" w:color="auto" w:sz="4" w:space="0"/>
            </w:tcBorders>
            <w:vAlign w:val="center"/>
          </w:tcPr>
          <w:p w14:paraId="190065C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r>
      <w:tr w14:paraId="2990E64E">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27F7A3D8">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62556B6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0206821A">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中</w:t>
            </w: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4EB9C29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低楼层</w:t>
            </w:r>
          </w:p>
        </w:tc>
        <w:tc>
          <w:tcPr>
            <w:tcW w:w="968" w:type="pct"/>
            <w:tcBorders>
              <w:top w:val="nil"/>
              <w:left w:val="nil"/>
              <w:bottom w:val="single" w:color="auto" w:sz="4" w:space="0"/>
              <w:right w:val="single" w:color="auto" w:sz="4" w:space="0"/>
            </w:tcBorders>
            <w:vAlign w:val="center"/>
          </w:tcPr>
          <w:p w14:paraId="476AD59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低楼层</w:t>
            </w:r>
          </w:p>
        </w:tc>
        <w:tc>
          <w:tcPr>
            <w:tcW w:w="970" w:type="pct"/>
            <w:tcBorders>
              <w:top w:val="nil"/>
              <w:left w:val="nil"/>
              <w:bottom w:val="single" w:color="auto" w:sz="4" w:space="0"/>
              <w:right w:val="single" w:color="auto" w:sz="4" w:space="0"/>
            </w:tcBorders>
            <w:vAlign w:val="center"/>
          </w:tcPr>
          <w:p w14:paraId="68914F0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中</w:t>
            </w:r>
            <w:r>
              <w:rPr>
                <w:rFonts w:ascii="Arial" w:hAnsi="Arial" w:cs="Arial"/>
                <w:color w:val="auto"/>
                <w:sz w:val="16"/>
                <w:szCs w:val="18"/>
              </w:rPr>
              <w:t>楼层</w:t>
            </w:r>
          </w:p>
        </w:tc>
      </w:tr>
      <w:tr w14:paraId="4FDE9A4D">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auto" w:sz="4" w:space="0"/>
              <w:right w:val="single" w:color="auto" w:sz="4" w:space="0"/>
            </w:tcBorders>
            <w:vAlign w:val="center"/>
          </w:tcPr>
          <w:p w14:paraId="36E00B5D">
            <w:pPr>
              <w:widowControl/>
              <w:adjustRightInd/>
              <w:spacing w:line="240" w:lineRule="auto"/>
              <w:jc w:val="center"/>
              <w:textAlignment w:val="auto"/>
              <w:rPr>
                <w:rFonts w:ascii="Arial" w:hAnsi="Arial" w:cs="Arial"/>
                <w:color w:val="auto"/>
                <w:sz w:val="16"/>
                <w:szCs w:val="18"/>
              </w:rPr>
            </w:pPr>
          </w:p>
        </w:tc>
        <w:tc>
          <w:tcPr>
            <w:tcW w:w="757" w:type="pct"/>
            <w:tcBorders>
              <w:top w:val="nil"/>
              <w:left w:val="nil"/>
              <w:bottom w:val="single" w:color="auto" w:sz="4" w:space="0"/>
              <w:right w:val="single" w:color="auto" w:sz="4" w:space="0"/>
            </w:tcBorders>
            <w:vAlign w:val="center"/>
          </w:tcPr>
          <w:p w14:paraId="4C20BE2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朝向</w:t>
            </w:r>
          </w:p>
        </w:tc>
        <w:tc>
          <w:tcPr>
            <w:tcW w:w="968" w:type="pct"/>
            <w:tcBorders>
              <w:top w:val="nil"/>
              <w:left w:val="nil"/>
              <w:bottom w:val="single" w:color="auto" w:sz="4" w:space="0"/>
              <w:right w:val="single" w:color="auto" w:sz="4" w:space="0"/>
            </w:tcBorders>
            <w:vAlign w:val="center"/>
          </w:tcPr>
          <w:p w14:paraId="1F2B05E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68" w:type="pct"/>
            <w:tcBorders>
              <w:top w:val="nil"/>
              <w:left w:val="nil"/>
              <w:bottom w:val="single" w:color="auto" w:sz="4" w:space="0"/>
              <w:right w:val="single" w:color="auto" w:sz="4" w:space="0"/>
            </w:tcBorders>
            <w:vAlign w:val="center"/>
          </w:tcPr>
          <w:p w14:paraId="508E49C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w:t>
            </w:r>
          </w:p>
        </w:tc>
        <w:tc>
          <w:tcPr>
            <w:tcW w:w="968" w:type="pct"/>
            <w:tcBorders>
              <w:top w:val="nil"/>
              <w:left w:val="nil"/>
              <w:bottom w:val="single" w:color="auto" w:sz="4" w:space="0"/>
              <w:right w:val="single" w:color="auto" w:sz="4" w:space="0"/>
            </w:tcBorders>
            <w:vAlign w:val="center"/>
          </w:tcPr>
          <w:p w14:paraId="7DB24A5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70" w:type="pct"/>
            <w:tcBorders>
              <w:top w:val="nil"/>
              <w:left w:val="nil"/>
              <w:bottom w:val="single" w:color="auto" w:sz="4" w:space="0"/>
              <w:right w:val="single" w:color="auto" w:sz="4" w:space="0"/>
            </w:tcBorders>
            <w:vAlign w:val="center"/>
          </w:tcPr>
          <w:p w14:paraId="3BDAB1AA">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r>
      <w:tr w14:paraId="47239328">
        <w:tblPrEx>
          <w:tblCellMar>
            <w:top w:w="0" w:type="dxa"/>
            <w:left w:w="108" w:type="dxa"/>
            <w:bottom w:w="0" w:type="dxa"/>
            <w:right w:w="108" w:type="dxa"/>
          </w:tblCellMar>
        </w:tblPrEx>
        <w:trPr>
          <w:trHeight w:val="397" w:hRule="atLeast"/>
          <w:jc w:val="center"/>
        </w:trPr>
        <w:tc>
          <w:tcPr>
            <w:tcW w:w="365" w:type="pct"/>
            <w:vMerge w:val="restart"/>
            <w:tcBorders>
              <w:top w:val="single" w:color="auto" w:sz="4" w:space="0"/>
              <w:left w:val="single" w:color="auto" w:sz="4" w:space="0"/>
              <w:bottom w:val="single" w:color="auto" w:sz="4" w:space="0"/>
              <w:right w:val="single" w:color="auto" w:sz="4" w:space="0"/>
            </w:tcBorders>
            <w:vAlign w:val="center"/>
          </w:tcPr>
          <w:p w14:paraId="29D26A1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实物状况</w:t>
            </w:r>
          </w:p>
        </w:tc>
        <w:tc>
          <w:tcPr>
            <w:tcW w:w="757" w:type="pct"/>
            <w:tcBorders>
              <w:top w:val="single" w:color="auto" w:sz="4" w:space="0"/>
              <w:left w:val="nil"/>
              <w:bottom w:val="single" w:color="auto" w:sz="4" w:space="0"/>
              <w:right w:val="single" w:color="auto" w:sz="4" w:space="0"/>
            </w:tcBorders>
            <w:vAlign w:val="center"/>
          </w:tcPr>
          <w:p w14:paraId="083DDB3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480E958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68" w:type="pct"/>
            <w:tcBorders>
              <w:top w:val="single" w:color="auto" w:sz="4" w:space="0"/>
              <w:left w:val="nil"/>
              <w:bottom w:val="single" w:color="auto" w:sz="4" w:space="0"/>
              <w:right w:val="single" w:color="auto" w:sz="4" w:space="0"/>
            </w:tcBorders>
            <w:vAlign w:val="center"/>
          </w:tcPr>
          <w:p w14:paraId="728C4F9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68" w:type="pct"/>
            <w:tcBorders>
              <w:top w:val="single" w:color="auto" w:sz="4" w:space="0"/>
              <w:left w:val="nil"/>
              <w:bottom w:val="single" w:color="auto" w:sz="4" w:space="0"/>
              <w:right w:val="single" w:color="auto" w:sz="4" w:space="0"/>
            </w:tcBorders>
            <w:vAlign w:val="center"/>
          </w:tcPr>
          <w:p w14:paraId="0BD70A8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70" w:type="pct"/>
            <w:tcBorders>
              <w:top w:val="single" w:color="auto" w:sz="4" w:space="0"/>
              <w:left w:val="nil"/>
              <w:bottom w:val="single" w:color="auto" w:sz="4" w:space="0"/>
              <w:right w:val="single" w:color="auto" w:sz="4" w:space="0"/>
            </w:tcBorders>
            <w:vAlign w:val="center"/>
          </w:tcPr>
          <w:p w14:paraId="53BAFA5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r>
      <w:tr w14:paraId="7AF6FD38">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AD14969">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09FA1FD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5BA4DED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F04ABA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138FFB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12B6696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r>
      <w:tr w14:paraId="376FC549">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705D34E4">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42C3103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052759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0675C04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6E5E33E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2EF9925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简单装修</w:t>
            </w:r>
          </w:p>
        </w:tc>
      </w:tr>
      <w:tr w14:paraId="46053F45">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55F04567">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7DA36FF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020C022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1BB18F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1BA69B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07759C9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r>
      <w:tr w14:paraId="3662D6C9">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525921EB">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407704C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30FECF9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A6E75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A8D391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6D4A24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有快递柜、垃圾分类收集点</w:t>
            </w:r>
          </w:p>
        </w:tc>
      </w:tr>
      <w:tr w14:paraId="7EF88612">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08D6B810">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305FE58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9F529D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7D53B12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0EBF923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6658FD4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两居室</w:t>
            </w:r>
          </w:p>
        </w:tc>
      </w:tr>
      <w:tr w14:paraId="07F46F10">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F3C4A1E">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66F411D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C5CBCF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CC95BF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平层</w:t>
            </w:r>
          </w:p>
        </w:tc>
        <w:tc>
          <w:tcPr>
            <w:tcW w:w="968" w:type="pct"/>
            <w:tcBorders>
              <w:top w:val="single" w:color="auto" w:sz="4" w:space="0"/>
              <w:left w:val="nil"/>
              <w:bottom w:val="single" w:color="auto" w:sz="4" w:space="0"/>
              <w:right w:val="single" w:color="auto" w:sz="4" w:space="0"/>
            </w:tcBorders>
            <w:vAlign w:val="center"/>
          </w:tcPr>
          <w:p w14:paraId="63D9FA9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平层</w:t>
            </w:r>
          </w:p>
        </w:tc>
        <w:tc>
          <w:tcPr>
            <w:tcW w:w="970" w:type="pct"/>
            <w:tcBorders>
              <w:top w:val="single" w:color="auto" w:sz="4" w:space="0"/>
              <w:left w:val="nil"/>
              <w:bottom w:val="single" w:color="auto" w:sz="4" w:space="0"/>
              <w:right w:val="single" w:color="auto" w:sz="4" w:space="0"/>
            </w:tcBorders>
            <w:vAlign w:val="center"/>
          </w:tcPr>
          <w:p w14:paraId="3C6EF68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平层</w:t>
            </w:r>
          </w:p>
        </w:tc>
      </w:tr>
      <w:tr w14:paraId="1F51E4DE">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755805E">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362A81E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17C60FA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69.91</w:t>
            </w:r>
          </w:p>
        </w:tc>
        <w:tc>
          <w:tcPr>
            <w:tcW w:w="968" w:type="pct"/>
            <w:tcBorders>
              <w:top w:val="single" w:color="auto" w:sz="4" w:space="0"/>
              <w:left w:val="nil"/>
              <w:bottom w:val="single" w:color="auto" w:sz="4" w:space="0"/>
              <w:right w:val="single" w:color="auto" w:sz="4" w:space="0"/>
            </w:tcBorders>
            <w:vAlign w:val="center"/>
          </w:tcPr>
          <w:p w14:paraId="24541F6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65.43</w:t>
            </w:r>
          </w:p>
        </w:tc>
        <w:tc>
          <w:tcPr>
            <w:tcW w:w="968" w:type="pct"/>
            <w:tcBorders>
              <w:top w:val="single" w:color="auto" w:sz="4" w:space="0"/>
              <w:left w:val="nil"/>
              <w:bottom w:val="single" w:color="auto" w:sz="4" w:space="0"/>
              <w:right w:val="single" w:color="auto" w:sz="4" w:space="0"/>
            </w:tcBorders>
            <w:vAlign w:val="center"/>
          </w:tcPr>
          <w:p w14:paraId="4A44F40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85.31</w:t>
            </w:r>
          </w:p>
        </w:tc>
        <w:tc>
          <w:tcPr>
            <w:tcW w:w="970" w:type="pct"/>
            <w:tcBorders>
              <w:top w:val="single" w:color="auto" w:sz="4" w:space="0"/>
              <w:left w:val="nil"/>
              <w:bottom w:val="single" w:color="auto" w:sz="4" w:space="0"/>
              <w:right w:val="single" w:color="auto" w:sz="4" w:space="0"/>
            </w:tcBorders>
            <w:vAlign w:val="center"/>
          </w:tcPr>
          <w:p w14:paraId="5251987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87.39</w:t>
            </w:r>
          </w:p>
        </w:tc>
      </w:tr>
      <w:tr w14:paraId="0DA85B05">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3C5ECDF">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7B1CE0C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1DE8343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702820F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4E8638D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0E3E78A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r>
      <w:tr w14:paraId="17FB087C">
        <w:tblPrEx>
          <w:tblCellMar>
            <w:top w:w="0" w:type="dxa"/>
            <w:left w:w="108" w:type="dxa"/>
            <w:bottom w:w="0" w:type="dxa"/>
            <w:right w:w="108" w:type="dxa"/>
          </w:tblCellMar>
        </w:tblPrEx>
        <w:trPr>
          <w:trHeight w:val="397" w:hRule="atLeast"/>
          <w:jc w:val="center"/>
        </w:trPr>
        <w:tc>
          <w:tcPr>
            <w:tcW w:w="365" w:type="pct"/>
            <w:vMerge w:val="restart"/>
            <w:tcBorders>
              <w:left w:val="single" w:color="auto" w:sz="4" w:space="0"/>
              <w:bottom w:val="single" w:color="auto" w:sz="4" w:space="0"/>
              <w:right w:val="single" w:color="auto" w:sz="4" w:space="0"/>
            </w:tcBorders>
            <w:vAlign w:val="center"/>
          </w:tcPr>
          <w:p w14:paraId="0EB87DF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权益状况</w:t>
            </w:r>
          </w:p>
        </w:tc>
        <w:tc>
          <w:tcPr>
            <w:tcW w:w="757" w:type="pct"/>
            <w:tcBorders>
              <w:top w:val="single" w:color="auto" w:sz="4" w:space="0"/>
              <w:left w:val="nil"/>
              <w:bottom w:val="single" w:color="auto" w:sz="4" w:space="0"/>
              <w:right w:val="single" w:color="auto" w:sz="4" w:space="0"/>
            </w:tcBorders>
            <w:vAlign w:val="center"/>
          </w:tcPr>
          <w:p w14:paraId="56C4906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4DE53B1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6E19334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7D20F8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0AA7FF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r>
      <w:tr w14:paraId="710BC2FC">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4813EE9">
            <w:pPr>
              <w:widowControl/>
              <w:adjustRightInd/>
              <w:spacing w:line="240" w:lineRule="auto"/>
              <w:jc w:val="center"/>
              <w:textAlignment w:val="auto"/>
              <w:rPr>
                <w:rFonts w:ascii="Arial" w:hAnsi="Arial" w:cs="Arial"/>
                <w:color w:val="auto"/>
                <w:sz w:val="16"/>
                <w:szCs w:val="18"/>
              </w:rPr>
            </w:pPr>
          </w:p>
        </w:tc>
        <w:tc>
          <w:tcPr>
            <w:tcW w:w="757" w:type="pct"/>
            <w:tcBorders>
              <w:top w:val="single" w:color="auto" w:sz="4" w:space="0"/>
              <w:left w:val="nil"/>
              <w:bottom w:val="single" w:color="auto" w:sz="4" w:space="0"/>
              <w:right w:val="single" w:color="auto" w:sz="4" w:space="0"/>
            </w:tcBorders>
            <w:vAlign w:val="center"/>
          </w:tcPr>
          <w:p w14:paraId="3D573D8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56DFFF1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A4A052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34B45CF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065E771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r>
    </w:tbl>
    <w:p w14:paraId="6B4433A2">
      <w:pPr>
        <w:overflowPunct w:val="0"/>
        <w:spacing w:line="480" w:lineRule="auto"/>
        <w:ind w:firstLine="420" w:firstLineChars="200"/>
        <w:jc w:val="center"/>
        <w:rPr>
          <w:rFonts w:ascii="Arial" w:hAnsi="Arial"/>
          <w:color w:val="auto"/>
          <w:sz w:val="21"/>
          <w:szCs w:val="21"/>
        </w:rPr>
      </w:pPr>
    </w:p>
    <w:p w14:paraId="327DB1E2">
      <w:pPr>
        <w:overflowPunct w:val="0"/>
        <w:spacing w:line="480" w:lineRule="auto"/>
        <w:ind w:firstLine="420" w:firstLineChars="200"/>
        <w:jc w:val="center"/>
        <w:rPr>
          <w:rFonts w:ascii="Arial" w:hAnsi="Arial"/>
          <w:color w:val="auto"/>
          <w:sz w:val="21"/>
          <w:szCs w:val="21"/>
        </w:rPr>
      </w:pPr>
    </w:p>
    <w:p w14:paraId="1B1DF176">
      <w:pPr>
        <w:overflowPunct w:val="0"/>
        <w:spacing w:line="480" w:lineRule="auto"/>
        <w:ind w:firstLine="420" w:firstLineChars="200"/>
        <w:jc w:val="center"/>
        <w:rPr>
          <w:rFonts w:ascii="Arial" w:hAnsi="Arial"/>
          <w:color w:val="auto"/>
          <w:sz w:val="21"/>
          <w:szCs w:val="21"/>
        </w:rPr>
      </w:pPr>
    </w:p>
    <w:p w14:paraId="66C504D8">
      <w:pPr>
        <w:overflowPunct w:val="0"/>
        <w:spacing w:line="480" w:lineRule="auto"/>
        <w:ind w:firstLine="420" w:firstLineChars="200"/>
        <w:jc w:val="center"/>
        <w:rPr>
          <w:rFonts w:ascii="Arial" w:hAnsi="Arial"/>
          <w:color w:val="auto"/>
          <w:sz w:val="21"/>
          <w:szCs w:val="21"/>
        </w:rPr>
      </w:pPr>
    </w:p>
    <w:p w14:paraId="2F57CF87">
      <w:pPr>
        <w:overflowPunct w:val="0"/>
        <w:spacing w:line="480" w:lineRule="auto"/>
        <w:ind w:firstLine="420" w:firstLineChars="200"/>
        <w:jc w:val="center"/>
        <w:rPr>
          <w:rFonts w:ascii="Arial" w:hAnsi="Arial"/>
          <w:color w:val="auto"/>
          <w:sz w:val="21"/>
          <w:szCs w:val="21"/>
        </w:rPr>
      </w:pPr>
    </w:p>
    <w:p w14:paraId="56C12796">
      <w:pPr>
        <w:overflowPunct w:val="0"/>
        <w:spacing w:line="480" w:lineRule="auto"/>
        <w:ind w:firstLine="420" w:firstLineChars="200"/>
        <w:jc w:val="center"/>
        <w:rPr>
          <w:rFonts w:ascii="Arial" w:hAnsi="Arial"/>
          <w:color w:val="auto"/>
          <w:sz w:val="21"/>
          <w:szCs w:val="21"/>
        </w:rPr>
      </w:pPr>
    </w:p>
    <w:p w14:paraId="4B189283">
      <w:pPr>
        <w:overflowPunct w:val="0"/>
        <w:spacing w:line="480" w:lineRule="auto"/>
        <w:ind w:firstLine="420" w:firstLineChars="200"/>
        <w:jc w:val="center"/>
        <w:rPr>
          <w:rFonts w:ascii="Arial" w:hAnsi="Arial"/>
          <w:color w:val="auto"/>
          <w:sz w:val="21"/>
          <w:szCs w:val="21"/>
        </w:rPr>
      </w:pPr>
    </w:p>
    <w:p w14:paraId="08B99072">
      <w:pPr>
        <w:overflowPunct w:val="0"/>
        <w:spacing w:line="480" w:lineRule="auto"/>
        <w:ind w:firstLine="420" w:firstLineChars="200"/>
        <w:jc w:val="center"/>
        <w:rPr>
          <w:rFonts w:ascii="Arial" w:hAnsi="Arial"/>
          <w:color w:val="auto"/>
          <w:sz w:val="21"/>
          <w:szCs w:val="21"/>
        </w:rPr>
      </w:pPr>
    </w:p>
    <w:p w14:paraId="51E72B9F">
      <w:pPr>
        <w:overflowPunct w:val="0"/>
        <w:spacing w:line="480" w:lineRule="auto"/>
        <w:ind w:firstLine="420" w:firstLineChars="200"/>
        <w:jc w:val="center"/>
        <w:rPr>
          <w:rFonts w:ascii="Arial" w:hAnsi="Arial"/>
          <w:color w:val="auto"/>
          <w:sz w:val="21"/>
          <w:szCs w:val="21"/>
        </w:rPr>
      </w:pPr>
    </w:p>
    <w:p w14:paraId="2C81542C">
      <w:pPr>
        <w:wordWrap w:val="0"/>
        <w:overflowPunct w:val="0"/>
        <w:spacing w:line="480" w:lineRule="auto"/>
        <w:rPr>
          <w:rFonts w:ascii="Arial" w:hAnsi="Arial"/>
          <w:color w:val="auto"/>
          <w:sz w:val="21"/>
          <w:szCs w:val="21"/>
        </w:rPr>
      </w:pPr>
    </w:p>
    <w:p w14:paraId="7886D48D">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br w:type="page"/>
      </w:r>
      <w:r>
        <w:rPr>
          <w:rFonts w:hint="eastAsia" w:ascii="Arial" w:hAnsi="Arial"/>
          <w:color w:val="auto"/>
          <w:sz w:val="21"/>
          <w:szCs w:val="21"/>
        </w:rPr>
        <w:t>（2）</w:t>
      </w:r>
      <w:r>
        <w:rPr>
          <w:rFonts w:ascii="Arial" w:hAnsi="Arial"/>
          <w:color w:val="auto"/>
          <w:sz w:val="21"/>
          <w:szCs w:val="21"/>
        </w:rPr>
        <w:t xml:space="preserve"> </w:t>
      </w:r>
      <w:r>
        <w:rPr>
          <w:rFonts w:hint="eastAsia" w:ascii="Arial" w:hAnsi="Arial"/>
          <w:color w:val="auto"/>
          <w:sz w:val="21"/>
          <w:szCs w:val="21"/>
        </w:rPr>
        <w:t>建立比较因素条件指数表和因素比较修正系数表</w:t>
      </w:r>
      <w:r>
        <w:rPr>
          <w:rFonts w:ascii="Arial" w:hAnsi="Arial"/>
          <w:color w:val="auto"/>
          <w:sz w:val="21"/>
          <w:szCs w:val="21"/>
        </w:rPr>
        <w:t xml:space="preserve"> </w:t>
      </w:r>
    </w:p>
    <w:p w14:paraId="67952ABE">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color w:val="auto"/>
          <w:sz w:val="21"/>
          <w:szCs w:val="21"/>
        </w:rPr>
        <w:t>：</w:t>
      </w:r>
    </w:p>
    <w:p w14:paraId="6095AF3C">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育新花园</w:t>
      </w:r>
      <w:r>
        <w:rPr>
          <w:rFonts w:ascii="Arial" w:hAnsi="Arial"/>
          <w:color w:val="auto"/>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7CCA9556">
        <w:tblPrEx>
          <w:tblCellMar>
            <w:top w:w="57" w:type="dxa"/>
            <w:left w:w="57" w:type="dxa"/>
            <w:bottom w:w="57" w:type="dxa"/>
            <w:right w:w="57" w:type="dxa"/>
          </w:tblCellMar>
        </w:tblPrEx>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970866F">
            <w:pPr>
              <w:snapToGrid w:val="0"/>
              <w:spacing w:line="240" w:lineRule="exact"/>
              <w:jc w:val="right"/>
              <w:rPr>
                <w:rFonts w:hint="eastAsia" w:ascii="宋体" w:hAnsi="宋体" w:cs="Arial"/>
                <w:color w:val="auto"/>
                <w:sz w:val="16"/>
                <w:szCs w:val="18"/>
              </w:rPr>
            </w:pPr>
            <w:r>
              <w:rPr>
                <w:rFonts w:ascii="宋体" w:hAnsi="宋体" w:cs="Arial"/>
                <w:color w:val="auto"/>
                <w:sz w:val="16"/>
                <w:szCs w:val="18"/>
              </w:rPr>
              <w:t>估价对象及</w:t>
            </w:r>
          </w:p>
          <w:p w14:paraId="1CE230E9">
            <w:pPr>
              <w:snapToGrid w:val="0"/>
              <w:spacing w:line="240" w:lineRule="exact"/>
              <w:jc w:val="right"/>
              <w:rPr>
                <w:rFonts w:hint="eastAsia" w:ascii="宋体" w:hAnsi="宋体" w:cs="Arial"/>
                <w:color w:val="auto"/>
                <w:sz w:val="16"/>
                <w:szCs w:val="18"/>
              </w:rPr>
            </w:pPr>
            <w:r>
              <w:rPr>
                <w:rFonts w:ascii="宋体" w:hAnsi="宋体" w:cs="Arial"/>
                <w:color w:val="auto"/>
                <w:sz w:val="16"/>
                <w:szCs w:val="18"/>
              </w:rPr>
              <w:t>可比实例</w:t>
            </w:r>
          </w:p>
          <w:p w14:paraId="2C7B134B">
            <w:pPr>
              <w:snapToGrid w:val="0"/>
              <w:spacing w:line="240" w:lineRule="exact"/>
              <w:jc w:val="both"/>
              <w:rPr>
                <w:rFonts w:hint="eastAsia" w:ascii="宋体" w:hAnsi="宋体" w:cs="Arial"/>
                <w:color w:val="auto"/>
                <w:sz w:val="16"/>
                <w:szCs w:val="18"/>
              </w:rPr>
            </w:pPr>
          </w:p>
          <w:p w14:paraId="089FE404">
            <w:pPr>
              <w:snapToGrid w:val="0"/>
              <w:spacing w:line="240" w:lineRule="exact"/>
              <w:jc w:val="both"/>
              <w:rPr>
                <w:rFonts w:hint="eastAsia" w:ascii="宋体" w:hAnsi="宋体" w:cs="Arial"/>
                <w:color w:val="auto"/>
                <w:sz w:val="16"/>
                <w:szCs w:val="18"/>
              </w:rPr>
            </w:pPr>
          </w:p>
          <w:p w14:paraId="78FB10AB">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52BB5832">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8335B8A">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654BB41E">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2449CDD3">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可比实例3</w:t>
            </w:r>
          </w:p>
        </w:tc>
        <w:tc>
          <w:tcPr>
            <w:tcW w:w="2030" w:type="pct"/>
            <w:tcBorders>
              <w:top w:val="single" w:color="auto" w:sz="4" w:space="0"/>
              <w:left w:val="nil"/>
              <w:bottom w:val="single" w:color="auto" w:sz="4" w:space="0"/>
              <w:right w:val="single" w:color="auto" w:sz="4" w:space="0"/>
            </w:tcBorders>
            <w:vAlign w:val="center"/>
          </w:tcPr>
          <w:p w14:paraId="3E69D2D9">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比较因素调整说明</w:t>
            </w:r>
          </w:p>
        </w:tc>
      </w:tr>
      <w:tr w14:paraId="6C5DBD76">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02D00187">
            <w:pPr>
              <w:snapToGrid w:val="0"/>
              <w:spacing w:line="240" w:lineRule="exact"/>
              <w:jc w:val="both"/>
              <w:rPr>
                <w:rFonts w:hint="eastAsia" w:ascii="宋体" w:hAnsi="宋体" w:cs="Arial"/>
                <w:color w:val="auto"/>
                <w:sz w:val="16"/>
                <w:szCs w:val="18"/>
              </w:rPr>
            </w:pPr>
          </w:p>
        </w:tc>
        <w:tc>
          <w:tcPr>
            <w:tcW w:w="531" w:type="pct"/>
            <w:tcBorders>
              <w:top w:val="nil"/>
              <w:left w:val="nil"/>
              <w:bottom w:val="single" w:color="auto" w:sz="4" w:space="0"/>
              <w:right w:val="single" w:color="auto" w:sz="4" w:space="0"/>
            </w:tcBorders>
            <w:vAlign w:val="center"/>
          </w:tcPr>
          <w:p w14:paraId="00D74022">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531" w:type="pct"/>
            <w:tcBorders>
              <w:top w:val="nil"/>
              <w:left w:val="nil"/>
              <w:bottom w:val="single" w:color="auto" w:sz="4" w:space="0"/>
              <w:right w:val="single" w:color="auto" w:sz="4" w:space="0"/>
            </w:tcBorders>
            <w:vAlign w:val="center"/>
          </w:tcPr>
          <w:p w14:paraId="5CC412A6">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w:t>
            </w:r>
          </w:p>
        </w:tc>
        <w:tc>
          <w:tcPr>
            <w:tcW w:w="531" w:type="pct"/>
            <w:tcBorders>
              <w:top w:val="nil"/>
              <w:left w:val="nil"/>
              <w:bottom w:val="single" w:color="auto" w:sz="4" w:space="0"/>
              <w:right w:val="single" w:color="auto" w:sz="4" w:space="0"/>
            </w:tcBorders>
            <w:vAlign w:val="center"/>
          </w:tcPr>
          <w:p w14:paraId="690C40EA">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育新花园中里</w:t>
            </w:r>
          </w:p>
        </w:tc>
        <w:tc>
          <w:tcPr>
            <w:tcW w:w="531" w:type="pct"/>
            <w:tcBorders>
              <w:top w:val="nil"/>
              <w:left w:val="nil"/>
              <w:bottom w:val="single" w:color="auto" w:sz="4" w:space="0"/>
              <w:right w:val="single" w:color="auto" w:sz="4" w:space="0"/>
            </w:tcBorders>
            <w:vAlign w:val="center"/>
          </w:tcPr>
          <w:p w14:paraId="16233D35">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育新花园北里</w:t>
            </w:r>
          </w:p>
        </w:tc>
        <w:tc>
          <w:tcPr>
            <w:tcW w:w="2030" w:type="pct"/>
            <w:tcBorders>
              <w:top w:val="nil"/>
              <w:left w:val="nil"/>
              <w:bottom w:val="single" w:color="auto" w:sz="4" w:space="0"/>
              <w:right w:val="single" w:color="auto" w:sz="4" w:space="0"/>
            </w:tcBorders>
            <w:vAlign w:val="center"/>
          </w:tcPr>
          <w:p w14:paraId="60EFD8D1">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w:t>
            </w:r>
          </w:p>
        </w:tc>
      </w:tr>
      <w:tr w14:paraId="438F0C04">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633A5B84">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0D5B656">
            <w:pPr>
              <w:pStyle w:val="61"/>
              <w:autoSpaceDE w:val="0"/>
              <w:autoSpaceDN w:val="0"/>
              <w:spacing w:line="240" w:lineRule="exact"/>
              <w:jc w:val="left"/>
              <w:textAlignment w:val="bottom"/>
              <w:rPr>
                <w:rFonts w:hint="eastAsia" w:hAnsi="宋体" w:cs="Arial"/>
                <w:color w:val="auto"/>
                <w:sz w:val="16"/>
                <w:szCs w:val="18"/>
              </w:rPr>
            </w:pPr>
            <w:r>
              <w:rPr>
                <w:rFonts w:ascii="Arial" w:hAnsi="Arial" w:cs="Arial"/>
                <w:color w:val="auto"/>
                <w:sz w:val="16"/>
                <w:szCs w:val="18"/>
              </w:rPr>
              <w:t>待估</w:t>
            </w:r>
          </w:p>
        </w:tc>
        <w:tc>
          <w:tcPr>
            <w:tcW w:w="974" w:type="dxa"/>
            <w:tcBorders>
              <w:top w:val="nil"/>
              <w:left w:val="nil"/>
              <w:bottom w:val="single" w:color="auto" w:sz="4" w:space="0"/>
              <w:right w:val="single" w:color="auto" w:sz="4" w:space="0"/>
            </w:tcBorders>
            <w:noWrap/>
            <w:vAlign w:val="center"/>
          </w:tcPr>
          <w:p w14:paraId="31C0E3D9">
            <w:pPr>
              <w:autoSpaceDE w:val="0"/>
              <w:autoSpaceDN w:val="0"/>
              <w:spacing w:line="240" w:lineRule="exact"/>
              <w:jc w:val="left"/>
              <w:textAlignment w:val="bottom"/>
              <w:rPr>
                <w:rFonts w:ascii="Arial" w:hAnsi="Arial" w:cs="Arial"/>
                <w:color w:val="auto"/>
                <w:sz w:val="16"/>
                <w:szCs w:val="18"/>
              </w:rPr>
            </w:pPr>
            <w:r>
              <w:rPr>
                <w:rFonts w:hint="eastAsia" w:ascii="Arial" w:hAnsi="Arial" w:cs="Arial"/>
                <w:color w:val="auto"/>
                <w:sz w:val="16"/>
                <w:szCs w:val="18"/>
              </w:rPr>
              <w:t>20.27</w:t>
            </w:r>
          </w:p>
        </w:tc>
        <w:tc>
          <w:tcPr>
            <w:tcW w:w="974" w:type="dxa"/>
            <w:tcBorders>
              <w:top w:val="nil"/>
              <w:left w:val="nil"/>
              <w:bottom w:val="single" w:color="auto" w:sz="4" w:space="0"/>
              <w:right w:val="single" w:color="auto" w:sz="4" w:space="0"/>
            </w:tcBorders>
            <w:noWrap/>
            <w:vAlign w:val="center"/>
          </w:tcPr>
          <w:p w14:paraId="4FF1D72B">
            <w:pPr>
              <w:autoSpaceDE w:val="0"/>
              <w:autoSpaceDN w:val="0"/>
              <w:spacing w:line="240" w:lineRule="exact"/>
              <w:jc w:val="left"/>
              <w:textAlignment w:val="bottom"/>
              <w:rPr>
                <w:rFonts w:ascii="Arial" w:hAnsi="Arial" w:cs="Arial"/>
                <w:color w:val="auto"/>
                <w:sz w:val="16"/>
                <w:szCs w:val="18"/>
              </w:rPr>
            </w:pPr>
            <w:r>
              <w:rPr>
                <w:rFonts w:hint="eastAsia" w:ascii="Arial" w:hAnsi="Arial" w:cs="Arial"/>
                <w:color w:val="auto"/>
                <w:sz w:val="16"/>
                <w:szCs w:val="18"/>
              </w:rPr>
              <w:t>19.38</w:t>
            </w:r>
          </w:p>
        </w:tc>
        <w:tc>
          <w:tcPr>
            <w:tcW w:w="974" w:type="dxa"/>
            <w:tcBorders>
              <w:top w:val="nil"/>
              <w:left w:val="nil"/>
              <w:bottom w:val="single" w:color="auto" w:sz="4" w:space="0"/>
              <w:right w:val="single" w:color="auto" w:sz="4" w:space="0"/>
            </w:tcBorders>
            <w:noWrap/>
            <w:vAlign w:val="center"/>
          </w:tcPr>
          <w:p w14:paraId="0BD87693">
            <w:pPr>
              <w:autoSpaceDE w:val="0"/>
              <w:autoSpaceDN w:val="0"/>
              <w:spacing w:line="240" w:lineRule="exact"/>
              <w:jc w:val="left"/>
              <w:textAlignment w:val="bottom"/>
              <w:rPr>
                <w:rFonts w:ascii="Arial" w:hAnsi="Arial" w:cs="Arial"/>
                <w:color w:val="auto"/>
                <w:sz w:val="16"/>
                <w:szCs w:val="18"/>
              </w:rPr>
            </w:pPr>
            <w:r>
              <w:rPr>
                <w:rFonts w:hint="eastAsia" w:ascii="Arial" w:hAnsi="Arial" w:cs="Arial"/>
                <w:color w:val="auto"/>
                <w:sz w:val="16"/>
                <w:szCs w:val="18"/>
              </w:rPr>
              <w:t>18.83</w:t>
            </w:r>
          </w:p>
        </w:tc>
        <w:tc>
          <w:tcPr>
            <w:tcW w:w="2030" w:type="pct"/>
            <w:tcBorders>
              <w:top w:val="nil"/>
              <w:left w:val="nil"/>
              <w:bottom w:val="single" w:color="auto" w:sz="4" w:space="0"/>
              <w:right w:val="single" w:color="auto" w:sz="4" w:space="0"/>
            </w:tcBorders>
            <w:vAlign w:val="center"/>
          </w:tcPr>
          <w:p w14:paraId="0A4992BD">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w:t>
            </w:r>
          </w:p>
        </w:tc>
      </w:tr>
      <w:tr w14:paraId="16C92682">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1CCC77F">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交易时间</w:t>
            </w:r>
          </w:p>
        </w:tc>
        <w:tc>
          <w:tcPr>
            <w:tcW w:w="531" w:type="pct"/>
            <w:tcBorders>
              <w:top w:val="nil"/>
              <w:left w:val="nil"/>
              <w:bottom w:val="single" w:color="auto" w:sz="4" w:space="0"/>
              <w:right w:val="single" w:color="auto" w:sz="4" w:space="0"/>
            </w:tcBorders>
            <w:noWrap/>
            <w:vAlign w:val="center"/>
          </w:tcPr>
          <w:p w14:paraId="080E4F5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807A92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F04AF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579398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56A1C32B">
            <w:pPr>
              <w:snapToGrid w:val="0"/>
              <w:spacing w:line="240" w:lineRule="exact"/>
              <w:jc w:val="both"/>
              <w:rPr>
                <w:rFonts w:ascii="Arial" w:hAnsi="Arial" w:cs="Arial"/>
                <w:color w:val="auto"/>
                <w:sz w:val="16"/>
                <w:szCs w:val="18"/>
              </w:rPr>
            </w:pPr>
            <w:r>
              <w:rPr>
                <w:rFonts w:ascii="Arial" w:hAnsi="Arial" w:cs="Arial"/>
                <w:color w:val="auto"/>
                <w:sz w:val="16"/>
                <w:szCs w:val="18"/>
              </w:rPr>
              <w:t>估价对象与可比实例的交易时间一致，因此确定估价对象与可比实例该因素指数均为100；</w:t>
            </w:r>
          </w:p>
        </w:tc>
      </w:tr>
      <w:tr w14:paraId="46F98557">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3DD7138E">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交易情况</w:t>
            </w:r>
          </w:p>
        </w:tc>
        <w:tc>
          <w:tcPr>
            <w:tcW w:w="531" w:type="pct"/>
            <w:tcBorders>
              <w:top w:val="nil"/>
              <w:left w:val="nil"/>
              <w:bottom w:val="single" w:color="auto" w:sz="4" w:space="0"/>
              <w:right w:val="single" w:color="auto" w:sz="4" w:space="0"/>
            </w:tcBorders>
            <w:noWrap/>
            <w:vAlign w:val="center"/>
          </w:tcPr>
          <w:p w14:paraId="7F160F9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C6202D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714591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2AB60E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13B2A1E5">
            <w:pPr>
              <w:snapToGrid w:val="0"/>
              <w:spacing w:line="240" w:lineRule="exact"/>
              <w:jc w:val="both"/>
              <w:rPr>
                <w:rFonts w:ascii="Arial" w:hAnsi="Arial" w:cs="Arial"/>
                <w:color w:val="auto"/>
                <w:sz w:val="16"/>
                <w:szCs w:val="18"/>
              </w:rPr>
            </w:pPr>
            <w:r>
              <w:rPr>
                <w:rFonts w:ascii="Arial" w:hAnsi="Arial" w:cs="Arial"/>
                <w:color w:val="auto"/>
                <w:sz w:val="16"/>
                <w:szCs w:val="18"/>
              </w:rPr>
              <w:t>可比实例均为正常交易或已修正为正常交易，故不予修正，交易情况指数均100；</w:t>
            </w:r>
          </w:p>
        </w:tc>
      </w:tr>
      <w:tr w14:paraId="5279AD9B">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D7D2874">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项目类型</w:t>
            </w:r>
          </w:p>
        </w:tc>
        <w:tc>
          <w:tcPr>
            <w:tcW w:w="531" w:type="pct"/>
            <w:tcBorders>
              <w:top w:val="nil"/>
              <w:left w:val="nil"/>
              <w:bottom w:val="single" w:color="auto" w:sz="4" w:space="0"/>
              <w:right w:val="single" w:color="auto" w:sz="4" w:space="0"/>
            </w:tcBorders>
            <w:noWrap/>
            <w:vAlign w:val="center"/>
          </w:tcPr>
          <w:p w14:paraId="7585DFC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BE6B60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CE1F13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2EF166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793A73CE">
            <w:pPr>
              <w:snapToGrid w:val="0"/>
              <w:spacing w:line="240" w:lineRule="exact"/>
              <w:jc w:val="both"/>
              <w:rPr>
                <w:rFonts w:ascii="Arial" w:hAnsi="Arial" w:cs="Arial"/>
                <w:color w:val="auto"/>
                <w:sz w:val="16"/>
                <w:szCs w:val="18"/>
              </w:rPr>
            </w:pPr>
            <w:r>
              <w:rPr>
                <w:rFonts w:ascii="Arial" w:hAnsi="Arial" w:cs="Arial"/>
                <w:color w:val="auto"/>
                <w:sz w:val="16"/>
                <w:szCs w:val="18"/>
              </w:rPr>
              <w:t>可比实例均为</w:t>
            </w:r>
            <w:r>
              <w:rPr>
                <w:rFonts w:hint="eastAsia" w:ascii="Arial" w:hAnsi="Arial" w:cs="Arial"/>
                <w:color w:val="auto"/>
                <w:sz w:val="16"/>
                <w:szCs w:val="18"/>
              </w:rPr>
              <w:t>住宅</w:t>
            </w:r>
            <w:r>
              <w:rPr>
                <w:rFonts w:ascii="Arial" w:hAnsi="Arial" w:cs="Arial"/>
                <w:color w:val="auto"/>
                <w:sz w:val="16"/>
                <w:szCs w:val="18"/>
              </w:rPr>
              <w:t>，故不予修正，交易情况指数均100；</w:t>
            </w:r>
          </w:p>
        </w:tc>
      </w:tr>
      <w:tr w14:paraId="0398BEC8">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2105F23F">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区域</w:t>
            </w:r>
          </w:p>
          <w:p w14:paraId="7C2B13AE">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状况</w:t>
            </w:r>
          </w:p>
        </w:tc>
        <w:tc>
          <w:tcPr>
            <w:tcW w:w="535" w:type="pct"/>
            <w:tcBorders>
              <w:top w:val="nil"/>
              <w:left w:val="nil"/>
              <w:bottom w:val="single" w:color="auto" w:sz="4" w:space="0"/>
              <w:right w:val="single" w:color="auto" w:sz="4" w:space="0"/>
            </w:tcBorders>
            <w:vAlign w:val="center"/>
          </w:tcPr>
          <w:p w14:paraId="1B9EEE4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居住区成熟度</w:t>
            </w:r>
          </w:p>
        </w:tc>
        <w:tc>
          <w:tcPr>
            <w:tcW w:w="531" w:type="pct"/>
            <w:tcBorders>
              <w:top w:val="nil"/>
              <w:left w:val="nil"/>
              <w:bottom w:val="single" w:color="auto" w:sz="4" w:space="0"/>
              <w:right w:val="single" w:color="auto" w:sz="4" w:space="0"/>
            </w:tcBorders>
            <w:noWrap/>
            <w:vAlign w:val="center"/>
          </w:tcPr>
          <w:p w14:paraId="3B27DB3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31149B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94498B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7A36BA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036638AC">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从好到差划分为优、较优、一般、较劣、劣五个等级，每个等级相差5分，确定可比实例1、2、3该因素指数分别为100、100、100；</w:t>
            </w:r>
          </w:p>
        </w:tc>
      </w:tr>
      <w:tr w14:paraId="0DEE93E5">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15DBBD26">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9F42104">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道路通达度</w:t>
            </w:r>
          </w:p>
        </w:tc>
        <w:tc>
          <w:tcPr>
            <w:tcW w:w="531" w:type="pct"/>
            <w:tcBorders>
              <w:top w:val="nil"/>
              <w:left w:val="nil"/>
              <w:bottom w:val="single" w:color="auto" w:sz="4" w:space="0"/>
              <w:right w:val="single" w:color="auto" w:sz="4" w:space="0"/>
            </w:tcBorders>
            <w:noWrap/>
            <w:vAlign w:val="center"/>
          </w:tcPr>
          <w:p w14:paraId="15A3518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57A541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0F815B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86541B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1F976446">
            <w:pPr>
              <w:snapToGrid w:val="0"/>
              <w:spacing w:line="240" w:lineRule="exact"/>
              <w:jc w:val="both"/>
              <w:rPr>
                <w:rFonts w:ascii="Arial" w:hAnsi="Arial" w:cs="Arial"/>
                <w:color w:val="auto"/>
                <w:sz w:val="16"/>
                <w:szCs w:val="18"/>
              </w:rPr>
            </w:pPr>
            <w:r>
              <w:rPr>
                <w:rFonts w:ascii="Arial" w:hAnsi="Arial" w:cs="Arial"/>
                <w:color w:val="auto"/>
                <w:sz w:val="16"/>
                <w:szCs w:val="18"/>
              </w:rPr>
              <w:t>按照距离干道的距离和干道等级分为优、较优、一般、较劣、劣五个等级，每个等级相差2分，确定可比实例1、2、3该因素指数分别为100、100、100；</w:t>
            </w:r>
          </w:p>
        </w:tc>
      </w:tr>
      <w:tr w14:paraId="37FE5BFE">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14AC7017">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654E92A">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7281BCA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63069E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A5BA52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8DB81B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480D0ED2">
            <w:pPr>
              <w:snapToGrid w:val="0"/>
              <w:spacing w:line="240" w:lineRule="exact"/>
              <w:jc w:val="both"/>
              <w:rPr>
                <w:rFonts w:ascii="Arial" w:hAnsi="Arial" w:cs="Arial"/>
                <w:color w:val="auto"/>
                <w:sz w:val="16"/>
                <w:szCs w:val="18"/>
              </w:rPr>
            </w:pPr>
            <w:r>
              <w:rPr>
                <w:rFonts w:ascii="Arial" w:hAnsi="Arial" w:cs="Arial"/>
                <w:color w:val="auto"/>
                <w:sz w:val="16"/>
                <w:szCs w:val="18"/>
              </w:rPr>
              <w:t>按照距离轨道交通的距离，0.5km为一档，每个等级相差</w:t>
            </w:r>
            <w:r>
              <w:rPr>
                <w:rFonts w:hint="eastAsia" w:ascii="Arial" w:hAnsi="Arial" w:cs="Arial"/>
                <w:color w:val="auto"/>
                <w:sz w:val="16"/>
                <w:szCs w:val="18"/>
              </w:rPr>
              <w:t>1</w:t>
            </w:r>
            <w:r>
              <w:rPr>
                <w:rFonts w:ascii="Arial" w:hAnsi="Arial" w:cs="Arial"/>
                <w:color w:val="auto"/>
                <w:sz w:val="16"/>
                <w:szCs w:val="18"/>
              </w:rPr>
              <w:t>分，确定可比实例1、2、3该因素指数分别为100、100、100；</w:t>
            </w:r>
          </w:p>
        </w:tc>
      </w:tr>
      <w:tr w14:paraId="17E1FE23">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41BE09D">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C84A980">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距离公交站点距离</w:t>
            </w:r>
          </w:p>
        </w:tc>
        <w:tc>
          <w:tcPr>
            <w:tcW w:w="531" w:type="pct"/>
            <w:tcBorders>
              <w:top w:val="nil"/>
              <w:left w:val="nil"/>
              <w:bottom w:val="single" w:color="auto" w:sz="4" w:space="0"/>
              <w:right w:val="single" w:color="auto" w:sz="4" w:space="0"/>
            </w:tcBorders>
            <w:noWrap/>
            <w:vAlign w:val="center"/>
          </w:tcPr>
          <w:p w14:paraId="78674B6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DC44ED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F1240C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A4C4A5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3BCBE376">
            <w:pPr>
              <w:snapToGrid w:val="0"/>
              <w:spacing w:line="240" w:lineRule="exact"/>
              <w:jc w:val="both"/>
              <w:rPr>
                <w:rFonts w:ascii="Arial" w:hAnsi="Arial" w:cs="Arial"/>
                <w:color w:val="auto"/>
                <w:sz w:val="16"/>
                <w:szCs w:val="18"/>
              </w:rPr>
            </w:pPr>
            <w:r>
              <w:rPr>
                <w:rFonts w:ascii="Arial" w:hAnsi="Arial" w:cs="Arial"/>
                <w:color w:val="auto"/>
                <w:sz w:val="16"/>
                <w:szCs w:val="18"/>
              </w:rPr>
              <w:t>按照距离公交站点的距离，0.5km为一档，每个等级相差2分，确定可比实例1、2、3该因素指数分别为100、100、100；</w:t>
            </w:r>
          </w:p>
        </w:tc>
      </w:tr>
      <w:tr w14:paraId="743B738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3DF3724">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5534349">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环境质量优劣度</w:t>
            </w:r>
          </w:p>
        </w:tc>
        <w:tc>
          <w:tcPr>
            <w:tcW w:w="531" w:type="pct"/>
            <w:tcBorders>
              <w:top w:val="nil"/>
              <w:left w:val="nil"/>
              <w:bottom w:val="single" w:color="auto" w:sz="4" w:space="0"/>
              <w:right w:val="single" w:color="auto" w:sz="4" w:space="0"/>
            </w:tcBorders>
            <w:noWrap/>
            <w:vAlign w:val="center"/>
          </w:tcPr>
          <w:p w14:paraId="56490DE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BA639B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3011E8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CFD4DA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3C99D2DE">
            <w:pPr>
              <w:snapToGrid w:val="0"/>
              <w:spacing w:line="240" w:lineRule="exact"/>
              <w:jc w:val="both"/>
              <w:rPr>
                <w:rFonts w:ascii="Arial" w:hAnsi="Arial" w:cs="Arial"/>
                <w:color w:val="auto"/>
                <w:sz w:val="16"/>
                <w:szCs w:val="18"/>
              </w:rPr>
            </w:pPr>
            <w:r>
              <w:rPr>
                <w:rFonts w:hint="eastAsia" w:ascii="Arial" w:hAnsi="Arial" w:cs="Arial"/>
                <w:color w:val="auto"/>
                <w:sz w:val="16"/>
                <w:szCs w:val="18"/>
              </w:rPr>
              <w:t>根据周边污染源的范围，判断优劣，每档相差2分</w:t>
            </w:r>
            <w:r>
              <w:rPr>
                <w:rFonts w:ascii="Arial" w:hAnsi="Arial" w:cs="Arial"/>
                <w:color w:val="auto"/>
                <w:sz w:val="16"/>
                <w:szCs w:val="18"/>
              </w:rPr>
              <w:t>，确定可比实例1、2、3该因素指数分别为100、100、100</w:t>
            </w:r>
            <w:r>
              <w:rPr>
                <w:rFonts w:hint="eastAsia" w:ascii="Arial" w:hAnsi="Arial" w:cs="Arial"/>
                <w:color w:val="auto"/>
                <w:sz w:val="16"/>
                <w:szCs w:val="18"/>
              </w:rPr>
              <w:t>；</w:t>
            </w:r>
          </w:p>
        </w:tc>
      </w:tr>
      <w:tr w14:paraId="1675875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7CAE213">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D4FAE06">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自然环境</w:t>
            </w:r>
          </w:p>
        </w:tc>
        <w:tc>
          <w:tcPr>
            <w:tcW w:w="531" w:type="pct"/>
            <w:tcBorders>
              <w:top w:val="nil"/>
              <w:left w:val="nil"/>
              <w:bottom w:val="single" w:color="auto" w:sz="4" w:space="0"/>
              <w:right w:val="single" w:color="auto" w:sz="4" w:space="0"/>
            </w:tcBorders>
            <w:noWrap/>
            <w:vAlign w:val="center"/>
          </w:tcPr>
          <w:p w14:paraId="64D3DBB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EA0FCE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112382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301FA8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5DF4E156">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从好到差划分为好、较好、一般、较差、差五个等级，每个等级相差2分，确定可比实例1、2、3该因素指数分别为100、100、100；</w:t>
            </w:r>
          </w:p>
        </w:tc>
      </w:tr>
      <w:tr w14:paraId="0B634D6C">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5D61269">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08D1F02">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小区环境</w:t>
            </w:r>
          </w:p>
        </w:tc>
        <w:tc>
          <w:tcPr>
            <w:tcW w:w="531" w:type="pct"/>
            <w:tcBorders>
              <w:top w:val="nil"/>
              <w:left w:val="nil"/>
              <w:bottom w:val="single" w:color="auto" w:sz="4" w:space="0"/>
              <w:right w:val="single" w:color="auto" w:sz="4" w:space="0"/>
            </w:tcBorders>
            <w:noWrap/>
            <w:vAlign w:val="center"/>
          </w:tcPr>
          <w:p w14:paraId="70EB79E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4B0553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BC288D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108296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3128F59D">
            <w:pPr>
              <w:snapToGrid w:val="0"/>
              <w:spacing w:line="240" w:lineRule="exact"/>
              <w:jc w:val="both"/>
              <w:rPr>
                <w:rFonts w:ascii="Arial" w:hAnsi="Arial" w:cs="Arial"/>
                <w:color w:val="auto"/>
                <w:sz w:val="16"/>
                <w:szCs w:val="18"/>
              </w:rPr>
            </w:pPr>
            <w:r>
              <w:rPr>
                <w:rFonts w:hint="eastAsia" w:ascii="Arial" w:hAnsi="Arial" w:cs="Arial"/>
                <w:color w:val="auto"/>
                <w:sz w:val="16"/>
                <w:szCs w:val="18"/>
              </w:rPr>
              <w:t>根据小区道路、绿化率、景观设计及人车分流情况分为一档，每级相差1分，</w:t>
            </w:r>
            <w:r>
              <w:rPr>
                <w:rFonts w:ascii="Arial" w:hAnsi="Arial" w:cs="Arial"/>
                <w:color w:val="auto"/>
                <w:sz w:val="16"/>
                <w:szCs w:val="18"/>
              </w:rPr>
              <w:t>确定可比实例1、2、3该因素指数分别为100、100、100；</w:t>
            </w:r>
          </w:p>
        </w:tc>
      </w:tr>
      <w:tr w14:paraId="0DF5BC3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B9DEED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4E115BE">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公共服务设施状况</w:t>
            </w:r>
          </w:p>
        </w:tc>
        <w:tc>
          <w:tcPr>
            <w:tcW w:w="531" w:type="pct"/>
            <w:tcBorders>
              <w:top w:val="nil"/>
              <w:left w:val="nil"/>
              <w:bottom w:val="single" w:color="auto" w:sz="4" w:space="0"/>
              <w:right w:val="single" w:color="auto" w:sz="4" w:space="0"/>
            </w:tcBorders>
            <w:noWrap/>
            <w:vAlign w:val="center"/>
          </w:tcPr>
          <w:p w14:paraId="7A0C1BD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D9631F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607EFF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98D3CF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7A684A42">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从好到差划分为齐全、较齐全、一般、较不齐全、不齐全五个等级，每个等级相差5分，确定可比实例1、2、3该因素指数分别为100、100、100；</w:t>
            </w:r>
          </w:p>
        </w:tc>
      </w:tr>
      <w:tr w14:paraId="7AAD2E2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74255BC">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6DFD946">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建筑类型</w:t>
            </w:r>
          </w:p>
        </w:tc>
        <w:tc>
          <w:tcPr>
            <w:tcW w:w="531" w:type="pct"/>
            <w:tcBorders>
              <w:top w:val="nil"/>
              <w:left w:val="nil"/>
              <w:bottom w:val="single" w:color="auto" w:sz="4" w:space="0"/>
              <w:right w:val="single" w:color="auto" w:sz="4" w:space="0"/>
            </w:tcBorders>
            <w:noWrap/>
            <w:vAlign w:val="center"/>
          </w:tcPr>
          <w:p w14:paraId="449F335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A805895">
            <w:pPr>
              <w:snapToGrid w:val="0"/>
              <w:spacing w:line="240" w:lineRule="exact"/>
              <w:jc w:val="both"/>
              <w:rPr>
                <w:rFonts w:ascii="Arial" w:hAnsi="Arial" w:cs="Arial"/>
                <w:color w:val="auto"/>
                <w:sz w:val="16"/>
                <w:szCs w:val="18"/>
              </w:rPr>
            </w:pPr>
            <w:r>
              <w:rPr>
                <w:rFonts w:ascii="Arial" w:hAnsi="Arial" w:cs="Arial"/>
                <w:color w:val="auto"/>
                <w:sz w:val="16"/>
                <w:szCs w:val="18"/>
              </w:rPr>
              <w:t>1</w:t>
            </w:r>
            <w:r>
              <w:rPr>
                <w:rFonts w:hint="eastAsia" w:ascii="Arial" w:hAnsi="Arial" w:cs="Arial"/>
                <w:color w:val="auto"/>
                <w:sz w:val="16"/>
                <w:szCs w:val="18"/>
              </w:rPr>
              <w:t>05</w:t>
            </w:r>
          </w:p>
        </w:tc>
        <w:tc>
          <w:tcPr>
            <w:tcW w:w="531" w:type="pct"/>
            <w:tcBorders>
              <w:top w:val="nil"/>
              <w:left w:val="nil"/>
              <w:bottom w:val="single" w:color="auto" w:sz="4" w:space="0"/>
              <w:right w:val="single" w:color="auto" w:sz="4" w:space="0"/>
            </w:tcBorders>
            <w:noWrap/>
            <w:vAlign w:val="center"/>
          </w:tcPr>
          <w:p w14:paraId="18D321C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6C3740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43464AB7">
            <w:pPr>
              <w:snapToGrid w:val="0"/>
              <w:spacing w:line="240" w:lineRule="exact"/>
              <w:jc w:val="both"/>
              <w:rPr>
                <w:rFonts w:ascii="Arial" w:hAnsi="Arial" w:cs="Arial"/>
                <w:color w:val="auto"/>
                <w:sz w:val="16"/>
                <w:szCs w:val="18"/>
              </w:rPr>
            </w:pPr>
            <w:r>
              <w:rPr>
                <w:rFonts w:ascii="Arial" w:hAnsi="Arial" w:cs="Arial"/>
                <w:color w:val="auto"/>
                <w:sz w:val="16"/>
                <w:szCs w:val="18"/>
              </w:rPr>
              <w:t>分为</w:t>
            </w:r>
            <w:r>
              <w:rPr>
                <w:rFonts w:hint="eastAsia" w:ascii="Arial" w:hAnsi="Arial" w:cs="Arial"/>
                <w:color w:val="auto"/>
                <w:sz w:val="16"/>
                <w:szCs w:val="18"/>
              </w:rPr>
              <w:t>多层板楼、高层板楼、板塔结合、塔楼四</w:t>
            </w:r>
            <w:r>
              <w:rPr>
                <w:rFonts w:ascii="Arial" w:hAnsi="Arial" w:cs="Arial"/>
                <w:color w:val="auto"/>
                <w:sz w:val="16"/>
                <w:szCs w:val="18"/>
              </w:rPr>
              <w:t>个等级，以估价对象指数为 100，每相差一个等级，每级相差</w:t>
            </w:r>
            <w:r>
              <w:rPr>
                <w:rFonts w:hint="eastAsia" w:ascii="Arial" w:hAnsi="Arial" w:cs="Arial"/>
                <w:color w:val="auto"/>
                <w:sz w:val="16"/>
                <w:szCs w:val="18"/>
              </w:rPr>
              <w:t>5</w:t>
            </w:r>
            <w:r>
              <w:rPr>
                <w:rFonts w:ascii="Arial" w:hAnsi="Arial" w:cs="Arial"/>
                <w:color w:val="auto"/>
                <w:sz w:val="16"/>
                <w:szCs w:val="18"/>
              </w:rPr>
              <w:t>分，确定可比实例1、2、3该因素指数分别为</w:t>
            </w:r>
            <w:r>
              <w:rPr>
                <w:rFonts w:hint="eastAsia" w:ascii="Arial" w:hAnsi="Arial" w:cs="Arial"/>
                <w:color w:val="auto"/>
                <w:sz w:val="16"/>
                <w:szCs w:val="18"/>
              </w:rPr>
              <w:t>105</w:t>
            </w:r>
            <w:r>
              <w:rPr>
                <w:rFonts w:ascii="Arial" w:hAnsi="Arial" w:cs="Arial"/>
                <w:color w:val="auto"/>
                <w:sz w:val="16"/>
                <w:szCs w:val="18"/>
              </w:rPr>
              <w:t>、</w:t>
            </w:r>
            <w:r>
              <w:rPr>
                <w:rFonts w:hint="eastAsia" w:ascii="Arial" w:hAnsi="Arial" w:cs="Arial"/>
                <w:color w:val="auto"/>
                <w:sz w:val="16"/>
                <w:szCs w:val="18"/>
              </w:rPr>
              <w:t>100</w:t>
            </w:r>
            <w:r>
              <w:rPr>
                <w:rFonts w:ascii="Arial" w:hAnsi="Arial" w:cs="Arial"/>
                <w:color w:val="auto"/>
                <w:sz w:val="16"/>
                <w:szCs w:val="18"/>
              </w:rPr>
              <w:t>、100；</w:t>
            </w:r>
          </w:p>
        </w:tc>
      </w:tr>
      <w:tr w14:paraId="0DC6543B">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0D0D95F">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473002BA">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楼层</w:t>
            </w:r>
          </w:p>
        </w:tc>
        <w:tc>
          <w:tcPr>
            <w:tcW w:w="531" w:type="pct"/>
            <w:tcBorders>
              <w:top w:val="nil"/>
              <w:left w:val="nil"/>
              <w:bottom w:val="single" w:color="auto" w:sz="4" w:space="0"/>
              <w:right w:val="single" w:color="auto" w:sz="4" w:space="0"/>
            </w:tcBorders>
            <w:noWrap/>
            <w:vAlign w:val="center"/>
          </w:tcPr>
          <w:p w14:paraId="17E5850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B2CD66C">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622AE39F">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226B244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035C7A23">
            <w:pPr>
              <w:snapToGrid w:val="0"/>
              <w:spacing w:line="240" w:lineRule="exact"/>
              <w:jc w:val="both"/>
              <w:rPr>
                <w:rFonts w:ascii="Arial" w:hAnsi="Arial" w:cs="Arial"/>
                <w:color w:val="auto"/>
                <w:sz w:val="16"/>
                <w:szCs w:val="18"/>
              </w:rPr>
            </w:pPr>
            <w:r>
              <w:rPr>
                <w:rFonts w:ascii="Arial" w:hAnsi="Arial" w:cs="Arial"/>
                <w:color w:val="auto"/>
                <w:sz w:val="16"/>
                <w:szCs w:val="18"/>
              </w:rPr>
              <w:t>分为高楼层、中楼层、低楼层两个等级，以估价对象指数为 100，每相差一个等级，每级相差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99</w:t>
            </w:r>
            <w:r>
              <w:rPr>
                <w:rFonts w:ascii="Arial" w:hAnsi="Arial" w:cs="Arial"/>
                <w:color w:val="auto"/>
                <w:sz w:val="16"/>
                <w:szCs w:val="18"/>
              </w:rPr>
              <w:t>、</w:t>
            </w:r>
            <w:r>
              <w:rPr>
                <w:rFonts w:hint="eastAsia" w:ascii="Arial" w:hAnsi="Arial" w:cs="Arial"/>
                <w:color w:val="auto"/>
                <w:sz w:val="16"/>
                <w:szCs w:val="18"/>
              </w:rPr>
              <w:t>99</w:t>
            </w:r>
            <w:r>
              <w:rPr>
                <w:rFonts w:ascii="Arial" w:hAnsi="Arial" w:cs="Arial"/>
                <w:color w:val="auto"/>
                <w:sz w:val="16"/>
                <w:szCs w:val="18"/>
              </w:rPr>
              <w:t>、100；</w:t>
            </w:r>
          </w:p>
        </w:tc>
      </w:tr>
      <w:tr w14:paraId="62F6182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C9A01CD">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0B43C8F4">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朝向</w:t>
            </w:r>
          </w:p>
        </w:tc>
        <w:tc>
          <w:tcPr>
            <w:tcW w:w="531" w:type="pct"/>
            <w:tcBorders>
              <w:top w:val="nil"/>
              <w:left w:val="nil"/>
              <w:bottom w:val="single" w:color="auto" w:sz="4" w:space="0"/>
              <w:right w:val="single" w:color="auto" w:sz="4" w:space="0"/>
            </w:tcBorders>
            <w:noWrap/>
            <w:vAlign w:val="center"/>
          </w:tcPr>
          <w:p w14:paraId="4280E3F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5B5BAAA">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07C7005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865221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5AD971F8">
            <w:pPr>
              <w:snapToGrid w:val="0"/>
              <w:spacing w:line="240" w:lineRule="exact"/>
              <w:jc w:val="both"/>
              <w:rPr>
                <w:rFonts w:ascii="Arial" w:hAnsi="Arial" w:cs="Arial"/>
                <w:color w:val="auto"/>
                <w:sz w:val="16"/>
                <w:szCs w:val="18"/>
              </w:rPr>
            </w:pPr>
            <w:r>
              <w:rPr>
                <w:rFonts w:ascii="Arial" w:hAnsi="Arial" w:cs="Arial"/>
                <w:color w:val="auto"/>
                <w:sz w:val="16"/>
                <w:szCs w:val="18"/>
              </w:rPr>
              <w:t>从优到劣依次为：为南北向；南向；东、南；西、南；东、西；东；西；东、北；西、北；北。每档相差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99、100、</w:t>
            </w:r>
            <w:r>
              <w:rPr>
                <w:rFonts w:ascii="Arial" w:hAnsi="Arial" w:cs="Arial"/>
                <w:color w:val="auto"/>
                <w:sz w:val="16"/>
                <w:szCs w:val="18"/>
              </w:rPr>
              <w:t>1</w:t>
            </w:r>
            <w:r>
              <w:rPr>
                <w:rFonts w:hint="eastAsia" w:ascii="Arial" w:hAnsi="Arial" w:cs="Arial"/>
                <w:color w:val="auto"/>
                <w:sz w:val="16"/>
                <w:szCs w:val="18"/>
              </w:rPr>
              <w:t>00</w:t>
            </w:r>
            <w:r>
              <w:rPr>
                <w:rFonts w:ascii="Arial" w:hAnsi="Arial" w:cs="Arial"/>
                <w:color w:val="auto"/>
                <w:sz w:val="16"/>
                <w:szCs w:val="18"/>
              </w:rPr>
              <w:t>；</w:t>
            </w:r>
          </w:p>
        </w:tc>
      </w:tr>
      <w:tr w14:paraId="31442F04">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16086615">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实物</w:t>
            </w:r>
          </w:p>
          <w:p w14:paraId="5B410107">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状况</w:t>
            </w:r>
          </w:p>
        </w:tc>
        <w:tc>
          <w:tcPr>
            <w:tcW w:w="535" w:type="pct"/>
            <w:tcBorders>
              <w:top w:val="nil"/>
              <w:left w:val="nil"/>
              <w:bottom w:val="single" w:color="auto" w:sz="4" w:space="0"/>
              <w:right w:val="single" w:color="auto" w:sz="4" w:space="0"/>
            </w:tcBorders>
            <w:vAlign w:val="center"/>
          </w:tcPr>
          <w:p w14:paraId="67D15BBB">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成新度</w:t>
            </w:r>
          </w:p>
        </w:tc>
        <w:tc>
          <w:tcPr>
            <w:tcW w:w="531" w:type="pct"/>
            <w:tcBorders>
              <w:top w:val="nil"/>
              <w:left w:val="nil"/>
              <w:bottom w:val="single" w:color="auto" w:sz="4" w:space="0"/>
              <w:right w:val="single" w:color="auto" w:sz="4" w:space="0"/>
            </w:tcBorders>
            <w:noWrap/>
            <w:vAlign w:val="center"/>
          </w:tcPr>
          <w:p w14:paraId="65B90E3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7643D4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B8FEE6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BBA2AA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40023F53">
            <w:pPr>
              <w:snapToGrid w:val="0"/>
              <w:spacing w:line="240" w:lineRule="exact"/>
              <w:jc w:val="both"/>
              <w:rPr>
                <w:rFonts w:ascii="Arial" w:hAnsi="Arial" w:cs="Arial"/>
                <w:color w:val="auto"/>
                <w:sz w:val="16"/>
                <w:szCs w:val="18"/>
              </w:rPr>
            </w:pPr>
            <w:r>
              <w:rPr>
                <w:rFonts w:ascii="Arial" w:hAnsi="Arial" w:cs="Arial"/>
                <w:color w:val="auto"/>
                <w:sz w:val="16"/>
                <w:szCs w:val="18"/>
              </w:rPr>
              <w:t>根据90%（含）-100%、80%（含）-90%、70%（含）-80%、60%（含）-70%、60%以下分为五个等级，每级相差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100、100、1</w:t>
            </w:r>
            <w:r>
              <w:rPr>
                <w:rFonts w:ascii="Arial" w:hAnsi="Arial" w:cs="Arial"/>
                <w:color w:val="auto"/>
                <w:sz w:val="16"/>
                <w:szCs w:val="18"/>
              </w:rPr>
              <w:t>00；</w:t>
            </w:r>
          </w:p>
        </w:tc>
      </w:tr>
      <w:tr w14:paraId="5C7FCAF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FCC7A75">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0282915B">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公共区域装修</w:t>
            </w:r>
          </w:p>
        </w:tc>
        <w:tc>
          <w:tcPr>
            <w:tcW w:w="531" w:type="pct"/>
            <w:tcBorders>
              <w:top w:val="nil"/>
              <w:left w:val="nil"/>
              <w:bottom w:val="single" w:color="auto" w:sz="4" w:space="0"/>
              <w:right w:val="single" w:color="auto" w:sz="4" w:space="0"/>
            </w:tcBorders>
            <w:noWrap/>
            <w:vAlign w:val="center"/>
          </w:tcPr>
          <w:p w14:paraId="660F020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8CDF30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FF149A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6A2898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44827999">
            <w:pPr>
              <w:snapToGrid w:val="0"/>
              <w:spacing w:line="240" w:lineRule="exact"/>
              <w:jc w:val="both"/>
              <w:rPr>
                <w:rFonts w:ascii="Arial" w:hAnsi="Arial" w:cs="Arial"/>
                <w:color w:val="auto"/>
                <w:sz w:val="16"/>
                <w:szCs w:val="18"/>
              </w:rPr>
            </w:pPr>
            <w:r>
              <w:rPr>
                <w:rFonts w:ascii="Arial" w:hAnsi="Arial" w:cs="Arial"/>
                <w:color w:val="auto"/>
                <w:sz w:val="16"/>
                <w:szCs w:val="18"/>
              </w:rPr>
              <w:t>分为精装修、普通装修、简单装修、毛坯等，以估价对象指数为 100，每级相差2分，确定可比实例1、2、3该因素指数分别为100、100、100；</w:t>
            </w:r>
          </w:p>
        </w:tc>
      </w:tr>
      <w:tr w14:paraId="6D4D891F">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D99F3D2">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062B787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室内装饰装修</w:t>
            </w:r>
          </w:p>
        </w:tc>
        <w:tc>
          <w:tcPr>
            <w:tcW w:w="531" w:type="pct"/>
            <w:tcBorders>
              <w:top w:val="nil"/>
              <w:left w:val="nil"/>
              <w:bottom w:val="single" w:color="auto" w:sz="4" w:space="0"/>
              <w:right w:val="single" w:color="auto" w:sz="4" w:space="0"/>
            </w:tcBorders>
            <w:noWrap/>
            <w:vAlign w:val="center"/>
          </w:tcPr>
          <w:p w14:paraId="4CB9110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2CFCC7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8E368D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739CCC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3F710159">
            <w:pPr>
              <w:snapToGrid w:val="0"/>
              <w:spacing w:line="240" w:lineRule="exact"/>
              <w:jc w:val="both"/>
              <w:rPr>
                <w:rFonts w:ascii="Arial" w:hAnsi="Arial" w:cs="Arial"/>
                <w:color w:val="auto"/>
                <w:sz w:val="16"/>
                <w:szCs w:val="18"/>
              </w:rPr>
            </w:pPr>
            <w:r>
              <w:rPr>
                <w:rFonts w:ascii="Arial" w:hAnsi="Arial" w:cs="Arial"/>
                <w:color w:val="auto"/>
                <w:sz w:val="16"/>
                <w:szCs w:val="18"/>
              </w:rPr>
              <w:t>分为精装修、普通装修、简单装修、毛坯等，以估价对象指数为 100，每级相差3分，确定可比实例1、2、3该因素指数分别为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5FA13403">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29269A4">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55EB8A53">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设施设备</w:t>
            </w:r>
          </w:p>
        </w:tc>
        <w:tc>
          <w:tcPr>
            <w:tcW w:w="531" w:type="pct"/>
            <w:tcBorders>
              <w:top w:val="nil"/>
              <w:left w:val="nil"/>
              <w:bottom w:val="single" w:color="auto" w:sz="4" w:space="0"/>
              <w:right w:val="single" w:color="auto" w:sz="4" w:space="0"/>
            </w:tcBorders>
            <w:noWrap/>
            <w:vAlign w:val="center"/>
          </w:tcPr>
          <w:p w14:paraId="4826728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603D5B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C29D9C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C95093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0C8EDC2C">
            <w:pPr>
              <w:snapToGrid w:val="0"/>
              <w:spacing w:line="240" w:lineRule="exact"/>
              <w:jc w:val="both"/>
              <w:rPr>
                <w:rFonts w:ascii="Arial" w:hAnsi="Arial" w:cs="Arial"/>
                <w:color w:val="auto"/>
                <w:sz w:val="16"/>
                <w:szCs w:val="18"/>
              </w:rPr>
            </w:pPr>
            <w:r>
              <w:rPr>
                <w:rFonts w:ascii="Arial" w:hAnsi="Arial" w:cs="Arial"/>
                <w:color w:val="auto"/>
                <w:sz w:val="16"/>
                <w:szCs w:val="18"/>
              </w:rPr>
              <w:t>根据实际配备情况，分为完善、较完善、一般、较不完善、不完善五个等级，每级相差</w:t>
            </w:r>
            <w:r>
              <w:rPr>
                <w:rFonts w:hint="eastAsia" w:ascii="Arial" w:hAnsi="Arial" w:cs="Arial"/>
                <w:color w:val="auto"/>
                <w:sz w:val="16"/>
                <w:szCs w:val="18"/>
              </w:rPr>
              <w:t>3</w:t>
            </w:r>
            <w:r>
              <w:rPr>
                <w:rFonts w:ascii="Arial" w:hAnsi="Arial" w:cs="Arial"/>
                <w:color w:val="auto"/>
                <w:sz w:val="16"/>
                <w:szCs w:val="18"/>
              </w:rPr>
              <w:t>分，确定可比实例1、2、3该因素指数分别为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4A91CACE">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4655417D">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4FBE2F8D">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综合管理服务设施</w:t>
            </w:r>
          </w:p>
        </w:tc>
        <w:tc>
          <w:tcPr>
            <w:tcW w:w="531" w:type="pct"/>
            <w:tcBorders>
              <w:top w:val="nil"/>
              <w:left w:val="nil"/>
              <w:bottom w:val="single" w:color="auto" w:sz="4" w:space="0"/>
              <w:right w:val="single" w:color="auto" w:sz="4" w:space="0"/>
            </w:tcBorders>
            <w:noWrap/>
            <w:vAlign w:val="center"/>
          </w:tcPr>
          <w:p w14:paraId="4E33179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91C5D1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02AEF8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A34CBA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167611B3">
            <w:pPr>
              <w:snapToGrid w:val="0"/>
              <w:spacing w:line="240" w:lineRule="exact"/>
              <w:jc w:val="both"/>
              <w:rPr>
                <w:rFonts w:ascii="Arial" w:hAnsi="Arial" w:cs="Arial"/>
                <w:color w:val="auto"/>
                <w:sz w:val="16"/>
                <w:szCs w:val="18"/>
              </w:rPr>
            </w:pPr>
            <w:r>
              <w:rPr>
                <w:rFonts w:ascii="Arial" w:hAnsi="Arial" w:cs="Arial"/>
                <w:color w:val="auto"/>
                <w:sz w:val="16"/>
                <w:szCs w:val="18"/>
              </w:rPr>
              <w:t>根据实际管理服务，确定可比实例1、2、3该因素指数分别为100、100、100；</w:t>
            </w:r>
          </w:p>
        </w:tc>
      </w:tr>
      <w:tr w14:paraId="511C1591">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61E2550">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5D8A5E2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户型布局</w:t>
            </w:r>
          </w:p>
        </w:tc>
        <w:tc>
          <w:tcPr>
            <w:tcW w:w="531" w:type="pct"/>
            <w:tcBorders>
              <w:top w:val="nil"/>
              <w:left w:val="nil"/>
              <w:bottom w:val="single" w:color="auto" w:sz="4" w:space="0"/>
              <w:right w:val="single" w:color="auto" w:sz="4" w:space="0"/>
            </w:tcBorders>
            <w:noWrap/>
            <w:vAlign w:val="center"/>
          </w:tcPr>
          <w:p w14:paraId="204AF42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68665C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CFB2756">
            <w:pPr>
              <w:snapToGrid w:val="0"/>
              <w:spacing w:line="240" w:lineRule="exact"/>
              <w:jc w:val="both"/>
              <w:rPr>
                <w:rFonts w:ascii="Arial" w:hAnsi="Arial" w:cs="Arial"/>
                <w:color w:val="auto"/>
                <w:sz w:val="16"/>
                <w:szCs w:val="18"/>
              </w:rPr>
            </w:pPr>
            <w:r>
              <w:rPr>
                <w:rFonts w:hint="eastAsia" w:ascii="Arial" w:hAnsi="Arial" w:cs="Arial"/>
                <w:color w:val="auto"/>
                <w:sz w:val="16"/>
                <w:szCs w:val="18"/>
              </w:rPr>
              <w:t>98</w:t>
            </w:r>
          </w:p>
        </w:tc>
        <w:tc>
          <w:tcPr>
            <w:tcW w:w="531" w:type="pct"/>
            <w:tcBorders>
              <w:top w:val="nil"/>
              <w:left w:val="nil"/>
              <w:bottom w:val="single" w:color="auto" w:sz="4" w:space="0"/>
              <w:right w:val="single" w:color="auto" w:sz="4" w:space="0"/>
            </w:tcBorders>
            <w:noWrap/>
            <w:vAlign w:val="center"/>
          </w:tcPr>
          <w:p w14:paraId="6A20CFF4">
            <w:pPr>
              <w:snapToGrid w:val="0"/>
              <w:spacing w:line="240" w:lineRule="exact"/>
              <w:jc w:val="both"/>
              <w:rPr>
                <w:rFonts w:ascii="Arial" w:hAnsi="Arial" w:cs="Arial"/>
                <w:color w:val="auto"/>
                <w:sz w:val="16"/>
                <w:szCs w:val="18"/>
              </w:rPr>
            </w:pPr>
            <w:r>
              <w:rPr>
                <w:rFonts w:hint="eastAsia" w:ascii="Arial" w:hAnsi="Arial" w:cs="Arial"/>
                <w:color w:val="auto"/>
                <w:sz w:val="16"/>
                <w:szCs w:val="18"/>
              </w:rPr>
              <w:t>98</w:t>
            </w:r>
          </w:p>
        </w:tc>
        <w:tc>
          <w:tcPr>
            <w:tcW w:w="2030" w:type="pct"/>
            <w:tcBorders>
              <w:top w:val="nil"/>
              <w:left w:val="nil"/>
              <w:bottom w:val="single" w:color="auto" w:sz="4" w:space="0"/>
              <w:right w:val="single" w:color="auto" w:sz="4" w:space="0"/>
            </w:tcBorders>
            <w:vAlign w:val="center"/>
          </w:tcPr>
          <w:p w14:paraId="07D6A8F3">
            <w:pPr>
              <w:snapToGrid w:val="0"/>
              <w:spacing w:line="240" w:lineRule="exact"/>
              <w:jc w:val="both"/>
              <w:rPr>
                <w:rFonts w:ascii="Arial" w:hAnsi="Arial" w:cs="Arial"/>
                <w:color w:val="auto"/>
                <w:sz w:val="16"/>
                <w:szCs w:val="18"/>
              </w:rPr>
            </w:pPr>
            <w:r>
              <w:rPr>
                <w:rFonts w:ascii="Arial" w:hAnsi="Arial" w:cs="Arial"/>
                <w:color w:val="auto"/>
                <w:sz w:val="16"/>
                <w:szCs w:val="18"/>
              </w:rPr>
              <w:t>根据布局对于使用率的影响，确定可比实例1、2、3该因素指数分别为</w:t>
            </w:r>
            <w:r>
              <w:rPr>
                <w:rFonts w:hint="eastAsia" w:ascii="Arial" w:hAnsi="Arial" w:cs="Arial"/>
                <w:color w:val="auto"/>
                <w:sz w:val="16"/>
                <w:szCs w:val="18"/>
              </w:rPr>
              <w:t>100、98、98</w:t>
            </w:r>
            <w:r>
              <w:rPr>
                <w:rFonts w:ascii="Arial" w:hAnsi="Arial" w:cs="Arial"/>
                <w:color w:val="auto"/>
                <w:sz w:val="16"/>
                <w:szCs w:val="18"/>
              </w:rPr>
              <w:t>；</w:t>
            </w:r>
          </w:p>
        </w:tc>
      </w:tr>
      <w:tr w14:paraId="21507679">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3D744AB8">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163560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户型结构</w:t>
            </w:r>
          </w:p>
        </w:tc>
        <w:tc>
          <w:tcPr>
            <w:tcW w:w="531" w:type="pct"/>
            <w:tcBorders>
              <w:top w:val="nil"/>
              <w:left w:val="nil"/>
              <w:bottom w:val="single" w:color="auto" w:sz="4" w:space="0"/>
              <w:right w:val="single" w:color="auto" w:sz="4" w:space="0"/>
            </w:tcBorders>
            <w:noWrap/>
            <w:vAlign w:val="center"/>
          </w:tcPr>
          <w:p w14:paraId="4AE8149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46A109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40A30E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60266B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252BEDD9">
            <w:pPr>
              <w:snapToGrid w:val="0"/>
              <w:spacing w:line="240" w:lineRule="exact"/>
              <w:jc w:val="both"/>
              <w:rPr>
                <w:rFonts w:ascii="Arial" w:hAnsi="Arial" w:cs="Arial"/>
                <w:color w:val="auto"/>
                <w:sz w:val="16"/>
                <w:szCs w:val="18"/>
              </w:rPr>
            </w:pPr>
            <w:r>
              <w:rPr>
                <w:rFonts w:ascii="Arial" w:hAnsi="Arial" w:cs="Arial"/>
                <w:color w:val="auto"/>
                <w:sz w:val="16"/>
                <w:szCs w:val="18"/>
              </w:rPr>
              <w:t>估价对象与案例均为</w:t>
            </w:r>
            <w:r>
              <w:rPr>
                <w:rFonts w:hint="eastAsia" w:ascii="Arial" w:hAnsi="Arial" w:cs="Arial"/>
                <w:color w:val="auto"/>
                <w:sz w:val="16"/>
                <w:szCs w:val="18"/>
              </w:rPr>
              <w:t>平层，</w:t>
            </w:r>
            <w:r>
              <w:rPr>
                <w:rFonts w:ascii="Arial" w:hAnsi="Arial" w:cs="Arial"/>
                <w:color w:val="auto"/>
                <w:sz w:val="16"/>
                <w:szCs w:val="18"/>
              </w:rPr>
              <w:t>确定可比实例1、2、3该因素指数分别为100、100、100；</w:t>
            </w:r>
          </w:p>
        </w:tc>
      </w:tr>
      <w:tr w14:paraId="2F9CCAD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6DDD53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749E0AC">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建筑面积</w:t>
            </w:r>
          </w:p>
        </w:tc>
        <w:tc>
          <w:tcPr>
            <w:tcW w:w="531" w:type="pct"/>
            <w:tcBorders>
              <w:top w:val="nil"/>
              <w:left w:val="nil"/>
              <w:bottom w:val="single" w:color="auto" w:sz="4" w:space="0"/>
              <w:right w:val="single" w:color="auto" w:sz="4" w:space="0"/>
            </w:tcBorders>
            <w:noWrap/>
            <w:vAlign w:val="center"/>
          </w:tcPr>
          <w:p w14:paraId="583CEEB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49EC03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940E0BC">
            <w:pPr>
              <w:snapToGrid w:val="0"/>
              <w:spacing w:line="240" w:lineRule="exact"/>
              <w:jc w:val="both"/>
              <w:rPr>
                <w:rFonts w:ascii="Arial" w:hAnsi="Arial" w:cs="Arial"/>
                <w:color w:val="auto"/>
                <w:sz w:val="16"/>
                <w:szCs w:val="18"/>
              </w:rPr>
            </w:pPr>
            <w:r>
              <w:rPr>
                <w:rFonts w:hint="eastAsia" w:ascii="Arial" w:hAnsi="Arial" w:cs="Arial"/>
                <w:color w:val="auto"/>
                <w:sz w:val="16"/>
                <w:szCs w:val="18"/>
              </w:rPr>
              <w:t>98</w:t>
            </w:r>
          </w:p>
        </w:tc>
        <w:tc>
          <w:tcPr>
            <w:tcW w:w="531" w:type="pct"/>
            <w:tcBorders>
              <w:top w:val="nil"/>
              <w:left w:val="nil"/>
              <w:bottom w:val="single" w:color="auto" w:sz="4" w:space="0"/>
              <w:right w:val="single" w:color="auto" w:sz="4" w:space="0"/>
            </w:tcBorders>
            <w:noWrap/>
            <w:vAlign w:val="center"/>
          </w:tcPr>
          <w:p w14:paraId="58FA7592">
            <w:pPr>
              <w:snapToGrid w:val="0"/>
              <w:spacing w:line="240" w:lineRule="exact"/>
              <w:jc w:val="both"/>
              <w:rPr>
                <w:rFonts w:ascii="Arial" w:hAnsi="Arial" w:cs="Arial"/>
                <w:color w:val="auto"/>
                <w:sz w:val="16"/>
                <w:szCs w:val="18"/>
              </w:rPr>
            </w:pPr>
            <w:r>
              <w:rPr>
                <w:rFonts w:hint="eastAsia" w:ascii="Arial" w:hAnsi="Arial" w:cs="Arial"/>
                <w:color w:val="auto"/>
                <w:sz w:val="16"/>
                <w:szCs w:val="18"/>
              </w:rPr>
              <w:t>98</w:t>
            </w:r>
          </w:p>
        </w:tc>
        <w:tc>
          <w:tcPr>
            <w:tcW w:w="2030" w:type="pct"/>
            <w:tcBorders>
              <w:top w:val="nil"/>
              <w:left w:val="nil"/>
              <w:bottom w:val="single" w:color="auto" w:sz="4" w:space="0"/>
              <w:right w:val="single" w:color="auto" w:sz="4" w:space="0"/>
            </w:tcBorders>
            <w:vAlign w:val="center"/>
          </w:tcPr>
          <w:p w14:paraId="1B7D43C0">
            <w:pPr>
              <w:snapToGrid w:val="0"/>
              <w:spacing w:line="240" w:lineRule="exact"/>
              <w:jc w:val="both"/>
              <w:rPr>
                <w:rFonts w:ascii="Arial" w:hAnsi="Arial"/>
                <w:color w:val="auto"/>
              </w:rPr>
            </w:pPr>
            <w:r>
              <w:rPr>
                <w:rFonts w:ascii="Arial" w:hAnsi="Arial" w:cs="Arial"/>
                <w:color w:val="auto"/>
                <w:sz w:val="16"/>
                <w:szCs w:val="18"/>
              </w:rPr>
              <w:t>根据建筑面积对其价值的影响，从好到差划分为</w:t>
            </w:r>
            <w:r>
              <w:rPr>
                <w:rFonts w:hint="eastAsia" w:ascii="Arial" w:hAnsi="Arial" w:cs="Arial"/>
                <w:color w:val="auto"/>
                <w:sz w:val="16"/>
                <w:szCs w:val="18"/>
              </w:rPr>
              <w:t>60</w:t>
            </w:r>
            <w:r>
              <w:rPr>
                <w:rFonts w:ascii="Arial" w:hAnsi="Arial" w:cs="Arial"/>
                <w:color w:val="auto"/>
                <w:sz w:val="16"/>
                <w:szCs w:val="18"/>
              </w:rPr>
              <w:t>（含）平方米及以下、</w:t>
            </w:r>
            <w:r>
              <w:rPr>
                <w:rFonts w:hint="eastAsia" w:ascii="Arial" w:hAnsi="Arial" w:cs="Arial"/>
                <w:color w:val="auto"/>
                <w:sz w:val="16"/>
                <w:szCs w:val="18"/>
              </w:rPr>
              <w:t>60</w:t>
            </w:r>
            <w:r>
              <w:rPr>
                <w:rFonts w:ascii="Arial" w:hAnsi="Arial" w:cs="Arial"/>
                <w:color w:val="auto"/>
                <w:sz w:val="16"/>
                <w:szCs w:val="18"/>
              </w:rPr>
              <w:t>-</w:t>
            </w:r>
            <w:r>
              <w:rPr>
                <w:rFonts w:hint="eastAsia" w:ascii="Arial" w:hAnsi="Arial" w:cs="Arial"/>
                <w:color w:val="auto"/>
                <w:sz w:val="16"/>
                <w:szCs w:val="18"/>
              </w:rPr>
              <w:t>7</w:t>
            </w:r>
            <w:r>
              <w:rPr>
                <w:rFonts w:ascii="Arial" w:hAnsi="Arial" w:cs="Arial"/>
                <w:color w:val="auto"/>
                <w:sz w:val="16"/>
                <w:szCs w:val="18"/>
              </w:rPr>
              <w:t>0（含）平方米、</w:t>
            </w:r>
            <w:r>
              <w:rPr>
                <w:rFonts w:hint="eastAsia" w:ascii="Arial" w:hAnsi="Arial" w:cs="Arial"/>
                <w:color w:val="auto"/>
                <w:sz w:val="16"/>
                <w:szCs w:val="18"/>
              </w:rPr>
              <w:t>7</w:t>
            </w:r>
            <w:r>
              <w:rPr>
                <w:rFonts w:ascii="Arial" w:hAnsi="Arial" w:cs="Arial"/>
                <w:color w:val="auto"/>
                <w:sz w:val="16"/>
                <w:szCs w:val="18"/>
              </w:rPr>
              <w:t>0-</w:t>
            </w:r>
            <w:r>
              <w:rPr>
                <w:rFonts w:hint="eastAsia" w:ascii="Arial" w:hAnsi="Arial" w:cs="Arial"/>
                <w:color w:val="auto"/>
                <w:sz w:val="16"/>
                <w:szCs w:val="18"/>
              </w:rPr>
              <w:t>8</w:t>
            </w:r>
            <w:r>
              <w:rPr>
                <w:rFonts w:ascii="Arial" w:hAnsi="Arial" w:cs="Arial"/>
                <w:color w:val="auto"/>
                <w:sz w:val="16"/>
                <w:szCs w:val="18"/>
              </w:rPr>
              <w:t>0（含）</w:t>
            </w: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w:t>
            </w:r>
            <w:r>
              <w:rPr>
                <w:rFonts w:ascii="Arial" w:hAnsi="Arial" w:cs="Arial"/>
                <w:color w:val="auto"/>
                <w:sz w:val="16"/>
                <w:szCs w:val="18"/>
              </w:rPr>
              <w:t>0（含）</w:t>
            </w:r>
            <w:r>
              <w:rPr>
                <w:rFonts w:hint="eastAsia" w:ascii="Arial" w:hAnsi="Arial" w:cs="Arial"/>
                <w:color w:val="auto"/>
                <w:sz w:val="16"/>
                <w:szCs w:val="18"/>
              </w:rPr>
              <w:t>、90</w:t>
            </w:r>
            <w:r>
              <w:rPr>
                <w:rFonts w:ascii="Arial" w:hAnsi="Arial" w:cs="Arial"/>
                <w:color w:val="auto"/>
                <w:sz w:val="16"/>
                <w:szCs w:val="18"/>
              </w:rPr>
              <w:t>-</w:t>
            </w:r>
            <w:r>
              <w:rPr>
                <w:rFonts w:hint="eastAsia" w:ascii="Arial" w:hAnsi="Arial" w:cs="Arial"/>
                <w:color w:val="auto"/>
                <w:sz w:val="16"/>
                <w:szCs w:val="18"/>
              </w:rPr>
              <w:t>10</w:t>
            </w:r>
            <w:r>
              <w:rPr>
                <w:rFonts w:ascii="Arial" w:hAnsi="Arial" w:cs="Arial"/>
                <w:color w:val="auto"/>
                <w:sz w:val="16"/>
                <w:szCs w:val="18"/>
              </w:rPr>
              <w:t>0（含）</w:t>
            </w:r>
            <w:r>
              <w:rPr>
                <w:rFonts w:hint="eastAsia" w:ascii="Arial" w:hAnsi="Arial" w:cs="Arial"/>
                <w:color w:val="auto"/>
                <w:sz w:val="16"/>
                <w:szCs w:val="18"/>
              </w:rPr>
              <w:t>、100</w:t>
            </w:r>
            <w:r>
              <w:rPr>
                <w:rFonts w:ascii="Arial" w:hAnsi="Arial" w:cs="Arial"/>
                <w:color w:val="auto"/>
                <w:sz w:val="16"/>
                <w:szCs w:val="18"/>
              </w:rPr>
              <w:t>-</w:t>
            </w:r>
            <w:r>
              <w:rPr>
                <w:rFonts w:hint="eastAsia" w:ascii="Arial" w:hAnsi="Arial" w:cs="Arial"/>
                <w:color w:val="auto"/>
                <w:sz w:val="16"/>
                <w:szCs w:val="18"/>
              </w:rPr>
              <w:t>11</w:t>
            </w:r>
            <w:r>
              <w:rPr>
                <w:rFonts w:ascii="Arial" w:hAnsi="Arial" w:cs="Arial"/>
                <w:color w:val="auto"/>
                <w:sz w:val="16"/>
                <w:szCs w:val="18"/>
              </w:rPr>
              <w:t>0（含）</w:t>
            </w:r>
            <w:r>
              <w:rPr>
                <w:rFonts w:hint="eastAsia" w:ascii="Arial" w:hAnsi="Arial" w:cs="Arial"/>
                <w:color w:val="auto"/>
                <w:sz w:val="16"/>
                <w:szCs w:val="18"/>
              </w:rPr>
              <w:t>、110</w:t>
            </w:r>
            <w:r>
              <w:rPr>
                <w:rFonts w:ascii="Arial" w:hAnsi="Arial" w:cs="Arial"/>
                <w:color w:val="auto"/>
                <w:sz w:val="16"/>
                <w:szCs w:val="18"/>
              </w:rPr>
              <w:t>-</w:t>
            </w:r>
            <w:r>
              <w:rPr>
                <w:rFonts w:hint="eastAsia" w:ascii="Arial" w:hAnsi="Arial" w:cs="Arial"/>
                <w:color w:val="auto"/>
                <w:sz w:val="16"/>
                <w:szCs w:val="18"/>
              </w:rPr>
              <w:t>12</w:t>
            </w:r>
            <w:r>
              <w:rPr>
                <w:rFonts w:ascii="Arial" w:hAnsi="Arial" w:cs="Arial"/>
                <w:color w:val="auto"/>
                <w:sz w:val="16"/>
                <w:szCs w:val="18"/>
              </w:rPr>
              <w:t>0（含）</w:t>
            </w:r>
            <w:r>
              <w:rPr>
                <w:rFonts w:hint="eastAsia" w:ascii="Arial" w:hAnsi="Arial" w:cs="Arial"/>
                <w:color w:val="auto"/>
                <w:sz w:val="16"/>
                <w:szCs w:val="18"/>
              </w:rPr>
              <w:t>、120</w:t>
            </w:r>
            <w:r>
              <w:rPr>
                <w:rFonts w:ascii="Arial" w:hAnsi="Arial" w:cs="Arial"/>
                <w:color w:val="auto"/>
                <w:sz w:val="16"/>
                <w:szCs w:val="18"/>
              </w:rPr>
              <w:t>-</w:t>
            </w:r>
            <w:r>
              <w:rPr>
                <w:rFonts w:hint="eastAsia" w:ascii="Arial" w:hAnsi="Arial" w:cs="Arial"/>
                <w:color w:val="auto"/>
                <w:sz w:val="16"/>
                <w:szCs w:val="18"/>
              </w:rPr>
              <w:t>13</w:t>
            </w:r>
            <w:r>
              <w:rPr>
                <w:rFonts w:ascii="Arial" w:hAnsi="Arial" w:cs="Arial"/>
                <w:color w:val="auto"/>
                <w:sz w:val="16"/>
                <w:szCs w:val="18"/>
              </w:rPr>
              <w:t>0（含）</w:t>
            </w:r>
            <w:r>
              <w:rPr>
                <w:rFonts w:hint="eastAsia" w:ascii="Arial" w:hAnsi="Arial" w:cs="Arial"/>
                <w:color w:val="auto"/>
                <w:sz w:val="16"/>
                <w:szCs w:val="18"/>
              </w:rPr>
              <w:t>、130</w:t>
            </w:r>
            <w:r>
              <w:rPr>
                <w:rFonts w:ascii="Arial" w:hAnsi="Arial" w:cs="Arial"/>
                <w:color w:val="auto"/>
                <w:sz w:val="16"/>
                <w:szCs w:val="18"/>
              </w:rPr>
              <w:t>-</w:t>
            </w:r>
            <w:r>
              <w:rPr>
                <w:rFonts w:hint="eastAsia" w:ascii="Arial" w:hAnsi="Arial" w:cs="Arial"/>
                <w:color w:val="auto"/>
                <w:sz w:val="16"/>
                <w:szCs w:val="18"/>
              </w:rPr>
              <w:t>14</w:t>
            </w:r>
            <w:r>
              <w:rPr>
                <w:rFonts w:ascii="Arial" w:hAnsi="Arial" w:cs="Arial"/>
                <w:color w:val="auto"/>
                <w:sz w:val="16"/>
                <w:szCs w:val="18"/>
              </w:rPr>
              <w:t>0（含）平方米及以上。以估价对象该因素指数为100，各可比实例与之相比，确定可比实例1、2、3该因素指数分别为</w:t>
            </w:r>
            <w:r>
              <w:rPr>
                <w:rFonts w:hint="eastAsia" w:ascii="Arial" w:hAnsi="Arial" w:cs="Arial"/>
                <w:color w:val="auto"/>
                <w:sz w:val="16"/>
                <w:szCs w:val="18"/>
              </w:rPr>
              <w:t>100、</w:t>
            </w:r>
            <w:r>
              <w:rPr>
                <w:rFonts w:ascii="Arial" w:hAnsi="Arial" w:cs="Arial"/>
                <w:color w:val="auto"/>
                <w:sz w:val="16"/>
                <w:szCs w:val="18"/>
              </w:rPr>
              <w:t>9</w:t>
            </w:r>
            <w:r>
              <w:rPr>
                <w:rFonts w:hint="eastAsia" w:ascii="Arial" w:hAnsi="Arial" w:cs="Arial"/>
                <w:color w:val="auto"/>
                <w:sz w:val="16"/>
                <w:szCs w:val="18"/>
              </w:rPr>
              <w:t>8、98</w:t>
            </w:r>
            <w:r>
              <w:rPr>
                <w:rFonts w:ascii="Arial" w:hAnsi="Arial" w:cs="Arial"/>
                <w:color w:val="auto"/>
                <w:sz w:val="16"/>
                <w:szCs w:val="18"/>
              </w:rPr>
              <w:t>；</w:t>
            </w:r>
          </w:p>
        </w:tc>
      </w:tr>
      <w:tr w14:paraId="3F66E754">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D1E1C0E">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7271448">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家具家电</w:t>
            </w:r>
          </w:p>
        </w:tc>
        <w:tc>
          <w:tcPr>
            <w:tcW w:w="531" w:type="pct"/>
            <w:tcBorders>
              <w:top w:val="nil"/>
              <w:left w:val="nil"/>
              <w:bottom w:val="single" w:color="auto" w:sz="4" w:space="0"/>
              <w:right w:val="single" w:color="auto" w:sz="4" w:space="0"/>
            </w:tcBorders>
            <w:noWrap/>
            <w:vAlign w:val="center"/>
          </w:tcPr>
          <w:p w14:paraId="31420E2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E25117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F1C816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39E72C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70A685C6">
            <w:pPr>
              <w:widowControl/>
              <w:adjustRightInd/>
              <w:spacing w:line="240" w:lineRule="auto"/>
              <w:textAlignment w:val="auto"/>
              <w:rPr>
                <w:rFonts w:ascii="Arial" w:hAnsi="Arial"/>
                <w:color w:val="auto"/>
              </w:rPr>
            </w:pPr>
            <w:r>
              <w:rPr>
                <w:rFonts w:ascii="Arial" w:hAnsi="Arial" w:cs="Arial"/>
                <w:color w:val="auto"/>
                <w:sz w:val="16"/>
                <w:szCs w:val="18"/>
              </w:rPr>
              <w:t>根据家具家电配备齐全程度，以估价对象该因素指数为100，各可比实例与之相比，确定可比实例1、2、3该因素指数分别为</w:t>
            </w:r>
            <w:r>
              <w:rPr>
                <w:rFonts w:hint="eastAsia" w:ascii="Arial" w:hAnsi="Arial" w:cs="Arial"/>
                <w:color w:val="auto"/>
                <w:sz w:val="16"/>
                <w:szCs w:val="18"/>
              </w:rPr>
              <w:t>10</w:t>
            </w:r>
            <w:r>
              <w:rPr>
                <w:rFonts w:ascii="Arial" w:hAnsi="Arial" w:cs="Arial"/>
                <w:color w:val="auto"/>
                <w:sz w:val="16"/>
                <w:szCs w:val="18"/>
              </w:rPr>
              <w:t>0</w:t>
            </w:r>
            <w:r>
              <w:rPr>
                <w:rFonts w:hint="eastAsia" w:ascii="Arial" w:hAnsi="Arial" w:cs="Arial"/>
                <w:color w:val="auto"/>
                <w:sz w:val="16"/>
                <w:szCs w:val="18"/>
              </w:rPr>
              <w:t>、10</w:t>
            </w:r>
            <w:r>
              <w:rPr>
                <w:rFonts w:ascii="Arial" w:hAnsi="Arial" w:cs="Arial"/>
                <w:color w:val="auto"/>
                <w:sz w:val="16"/>
                <w:szCs w:val="18"/>
              </w:rPr>
              <w:t>0</w:t>
            </w:r>
            <w:r>
              <w:rPr>
                <w:rFonts w:hint="eastAsia" w:ascii="Arial" w:hAnsi="Arial" w:cs="Arial"/>
                <w:color w:val="auto"/>
                <w:sz w:val="16"/>
                <w:szCs w:val="18"/>
              </w:rPr>
              <w:t>、10</w:t>
            </w:r>
            <w:r>
              <w:rPr>
                <w:rFonts w:ascii="Arial" w:hAnsi="Arial" w:cs="Arial"/>
                <w:color w:val="auto"/>
                <w:sz w:val="16"/>
                <w:szCs w:val="18"/>
              </w:rPr>
              <w:t>0</w:t>
            </w:r>
          </w:p>
        </w:tc>
      </w:tr>
      <w:tr w14:paraId="209D6FA4">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69C558A8">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52E70863">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服务及管理水平</w:t>
            </w:r>
          </w:p>
        </w:tc>
        <w:tc>
          <w:tcPr>
            <w:tcW w:w="531" w:type="pct"/>
            <w:tcBorders>
              <w:top w:val="nil"/>
              <w:left w:val="nil"/>
              <w:bottom w:val="single" w:color="auto" w:sz="4" w:space="0"/>
              <w:right w:val="single" w:color="auto" w:sz="4" w:space="0"/>
            </w:tcBorders>
            <w:noWrap/>
            <w:vAlign w:val="center"/>
          </w:tcPr>
          <w:p w14:paraId="0439924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FACD51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47737B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CA0F39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05AEDE9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根据是否配置服务管家、是否封闭式管理，以估价对象该因素指数为100，各可比实例与之相比，确定可比实例1、2、3该因素指数分别为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67786019">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2D0AFEF">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AFA36FF">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水电气费执行标准</w:t>
            </w:r>
          </w:p>
        </w:tc>
        <w:tc>
          <w:tcPr>
            <w:tcW w:w="531" w:type="pct"/>
            <w:tcBorders>
              <w:top w:val="nil"/>
              <w:left w:val="nil"/>
              <w:bottom w:val="single" w:color="auto" w:sz="4" w:space="0"/>
              <w:right w:val="single" w:color="auto" w:sz="4" w:space="0"/>
            </w:tcBorders>
            <w:noWrap/>
            <w:vAlign w:val="center"/>
          </w:tcPr>
          <w:p w14:paraId="5C1C9FF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130A91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2D35DE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1C52CA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0" w:type="pct"/>
            <w:tcBorders>
              <w:top w:val="nil"/>
              <w:left w:val="nil"/>
              <w:bottom w:val="single" w:color="auto" w:sz="4" w:space="0"/>
              <w:right w:val="single" w:color="auto" w:sz="4" w:space="0"/>
            </w:tcBorders>
            <w:vAlign w:val="center"/>
          </w:tcPr>
          <w:p w14:paraId="544EA0B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估价对象与案例均采用民水民电，确定可比实例1、2、3该因素指数分别为100、100、100。</w:t>
            </w:r>
          </w:p>
        </w:tc>
      </w:tr>
    </w:tbl>
    <w:p w14:paraId="58EE71D6">
      <w:pPr>
        <w:wordWrap w:val="0"/>
        <w:overflowPunct w:val="0"/>
        <w:spacing w:line="480" w:lineRule="auto"/>
        <w:rPr>
          <w:rFonts w:ascii="Arial" w:hAnsi="Arial"/>
          <w:color w:val="auto"/>
          <w:sz w:val="21"/>
          <w:szCs w:val="21"/>
        </w:rPr>
      </w:pPr>
    </w:p>
    <w:p w14:paraId="27411855">
      <w:pPr>
        <w:wordWrap w:val="0"/>
        <w:overflowPunct w:val="0"/>
        <w:spacing w:line="480" w:lineRule="auto"/>
        <w:rPr>
          <w:rFonts w:ascii="Arial" w:hAnsi="Arial"/>
          <w:color w:val="auto"/>
          <w:sz w:val="21"/>
          <w:szCs w:val="21"/>
        </w:rPr>
      </w:pPr>
    </w:p>
    <w:p w14:paraId="074F4A60">
      <w:pPr>
        <w:rPr>
          <w:rFonts w:ascii="Arial" w:hAnsi="Arial"/>
          <w:color w:val="auto"/>
          <w:sz w:val="21"/>
          <w:szCs w:val="21"/>
        </w:rPr>
      </w:pPr>
      <w:r>
        <w:rPr>
          <w:rFonts w:hint="eastAsia" w:ascii="Arial" w:hAnsi="Arial"/>
          <w:color w:val="auto"/>
          <w:sz w:val="21"/>
          <w:szCs w:val="21"/>
        </w:rPr>
        <w:br w:type="page"/>
      </w:r>
    </w:p>
    <w:p w14:paraId="07E50205">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（3）编制因素比较修正系数表</w:t>
      </w:r>
      <w:r>
        <w:rPr>
          <w:rFonts w:ascii="Arial" w:hAnsi="Arial"/>
          <w:color w:val="auto"/>
          <w:sz w:val="21"/>
          <w:szCs w:val="21"/>
        </w:rPr>
        <w:t xml:space="preserve"> </w:t>
      </w:r>
    </w:p>
    <w:p w14:paraId="778B35AE">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根据比较因素条件指数表，编制因素各项目比较修正系数表，详见下表：</w:t>
      </w:r>
    </w:p>
    <w:p w14:paraId="3297596F">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C10F86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34ECFA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w:t>
            </w:r>
          </w:p>
        </w:tc>
        <w:tc>
          <w:tcPr>
            <w:tcW w:w="897" w:type="pct"/>
            <w:tcBorders>
              <w:top w:val="single" w:color="auto" w:sz="4" w:space="0"/>
              <w:left w:val="nil"/>
              <w:bottom w:val="single" w:color="auto" w:sz="4" w:space="0"/>
              <w:right w:val="single" w:color="auto" w:sz="4" w:space="0"/>
            </w:tcBorders>
            <w:vAlign w:val="center"/>
          </w:tcPr>
          <w:p w14:paraId="31818C8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51F8833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45CD9D1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可比实例3</w:t>
            </w:r>
          </w:p>
        </w:tc>
      </w:tr>
      <w:tr w14:paraId="470CC68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215D72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小区名称</w:t>
            </w:r>
          </w:p>
        </w:tc>
        <w:tc>
          <w:tcPr>
            <w:tcW w:w="897" w:type="pct"/>
            <w:tcBorders>
              <w:top w:val="nil"/>
              <w:left w:val="nil"/>
              <w:bottom w:val="single" w:color="auto" w:sz="4" w:space="0"/>
              <w:right w:val="single" w:color="auto" w:sz="4" w:space="0"/>
            </w:tcBorders>
            <w:vAlign w:val="center"/>
          </w:tcPr>
          <w:p w14:paraId="0AEC4100">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w:t>
            </w:r>
          </w:p>
        </w:tc>
        <w:tc>
          <w:tcPr>
            <w:tcW w:w="897" w:type="pct"/>
            <w:tcBorders>
              <w:top w:val="nil"/>
              <w:left w:val="nil"/>
              <w:bottom w:val="single" w:color="auto" w:sz="4" w:space="0"/>
              <w:right w:val="single" w:color="auto" w:sz="4" w:space="0"/>
            </w:tcBorders>
            <w:vAlign w:val="center"/>
          </w:tcPr>
          <w:p w14:paraId="24864F34">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育新花园中里</w:t>
            </w:r>
          </w:p>
        </w:tc>
        <w:tc>
          <w:tcPr>
            <w:tcW w:w="897" w:type="pct"/>
            <w:tcBorders>
              <w:top w:val="nil"/>
              <w:left w:val="nil"/>
              <w:bottom w:val="single" w:color="auto" w:sz="4" w:space="0"/>
              <w:right w:val="single" w:color="auto" w:sz="4" w:space="0"/>
            </w:tcBorders>
            <w:vAlign w:val="center"/>
          </w:tcPr>
          <w:p w14:paraId="4F994C31">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育新花园北里</w:t>
            </w:r>
          </w:p>
        </w:tc>
      </w:tr>
      <w:tr w14:paraId="16BFF1B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028CA89">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平均租金（元/平方米·月）</w:t>
            </w:r>
          </w:p>
        </w:tc>
        <w:tc>
          <w:tcPr>
            <w:tcW w:w="1667" w:type="dxa"/>
            <w:tcBorders>
              <w:top w:val="nil"/>
              <w:left w:val="nil"/>
              <w:bottom w:val="single" w:color="auto" w:sz="4" w:space="0"/>
              <w:right w:val="single" w:color="auto" w:sz="4" w:space="0"/>
            </w:tcBorders>
            <w:vAlign w:val="center"/>
          </w:tcPr>
          <w:p w14:paraId="47EECB07">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20.27</w:t>
            </w:r>
          </w:p>
        </w:tc>
        <w:tc>
          <w:tcPr>
            <w:tcW w:w="1666" w:type="dxa"/>
            <w:tcBorders>
              <w:top w:val="nil"/>
              <w:left w:val="nil"/>
              <w:bottom w:val="single" w:color="auto" w:sz="4" w:space="0"/>
              <w:right w:val="single" w:color="auto" w:sz="4" w:space="0"/>
            </w:tcBorders>
            <w:vAlign w:val="center"/>
          </w:tcPr>
          <w:p w14:paraId="2EEF9C8B">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19.38</w:t>
            </w:r>
          </w:p>
        </w:tc>
        <w:tc>
          <w:tcPr>
            <w:tcW w:w="1666" w:type="dxa"/>
            <w:tcBorders>
              <w:top w:val="nil"/>
              <w:left w:val="nil"/>
              <w:bottom w:val="single" w:color="auto" w:sz="4" w:space="0"/>
              <w:right w:val="single" w:color="auto" w:sz="4" w:space="0"/>
            </w:tcBorders>
            <w:vAlign w:val="center"/>
          </w:tcPr>
          <w:p w14:paraId="39554189">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18.83</w:t>
            </w:r>
          </w:p>
        </w:tc>
      </w:tr>
      <w:tr w14:paraId="7168478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A90E9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交易时间</w:t>
            </w:r>
          </w:p>
        </w:tc>
        <w:tc>
          <w:tcPr>
            <w:tcW w:w="897" w:type="pct"/>
            <w:tcBorders>
              <w:top w:val="nil"/>
              <w:left w:val="nil"/>
              <w:bottom w:val="single" w:color="auto" w:sz="4" w:space="0"/>
              <w:right w:val="single" w:color="auto" w:sz="4" w:space="0"/>
            </w:tcBorders>
            <w:vAlign w:val="center"/>
          </w:tcPr>
          <w:p w14:paraId="5CA17C2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A2531C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FF33C9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D7D4F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88C8AEA">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交易情况</w:t>
            </w:r>
          </w:p>
        </w:tc>
        <w:tc>
          <w:tcPr>
            <w:tcW w:w="897" w:type="pct"/>
            <w:tcBorders>
              <w:top w:val="nil"/>
              <w:left w:val="nil"/>
              <w:bottom w:val="single" w:color="auto" w:sz="4" w:space="0"/>
              <w:right w:val="single" w:color="auto" w:sz="4" w:space="0"/>
            </w:tcBorders>
            <w:vAlign w:val="center"/>
          </w:tcPr>
          <w:p w14:paraId="52BA058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571FF2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1574EF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AC4F8B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71A8B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项目类型</w:t>
            </w:r>
          </w:p>
        </w:tc>
        <w:tc>
          <w:tcPr>
            <w:tcW w:w="897" w:type="pct"/>
            <w:tcBorders>
              <w:top w:val="nil"/>
              <w:left w:val="nil"/>
              <w:bottom w:val="single" w:color="auto" w:sz="4" w:space="0"/>
              <w:right w:val="single" w:color="auto" w:sz="4" w:space="0"/>
            </w:tcBorders>
            <w:vAlign w:val="center"/>
          </w:tcPr>
          <w:p w14:paraId="3261991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53A0A4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EA9FFB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61E639A">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51862C1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区域状况</w:t>
            </w:r>
          </w:p>
        </w:tc>
        <w:tc>
          <w:tcPr>
            <w:tcW w:w="1516" w:type="pct"/>
            <w:tcBorders>
              <w:top w:val="nil"/>
              <w:left w:val="nil"/>
              <w:bottom w:val="single" w:color="auto" w:sz="4" w:space="0"/>
              <w:right w:val="single" w:color="auto" w:sz="4" w:space="0"/>
            </w:tcBorders>
            <w:vAlign w:val="center"/>
          </w:tcPr>
          <w:p w14:paraId="2357581C">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居住区成熟度</w:t>
            </w:r>
          </w:p>
        </w:tc>
        <w:tc>
          <w:tcPr>
            <w:tcW w:w="897" w:type="pct"/>
            <w:tcBorders>
              <w:top w:val="nil"/>
              <w:left w:val="nil"/>
              <w:bottom w:val="single" w:color="auto" w:sz="4" w:space="0"/>
              <w:right w:val="single" w:color="auto" w:sz="4" w:space="0"/>
            </w:tcBorders>
            <w:vAlign w:val="center"/>
          </w:tcPr>
          <w:p w14:paraId="68DC028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B593B5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946A46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6C3F00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6DFF6C5">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590AA5BA">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道路通达度</w:t>
            </w:r>
          </w:p>
        </w:tc>
        <w:tc>
          <w:tcPr>
            <w:tcW w:w="897" w:type="pct"/>
            <w:tcBorders>
              <w:top w:val="nil"/>
              <w:left w:val="nil"/>
              <w:bottom w:val="single" w:color="auto" w:sz="4" w:space="0"/>
              <w:right w:val="single" w:color="auto" w:sz="4" w:space="0"/>
            </w:tcBorders>
            <w:vAlign w:val="center"/>
          </w:tcPr>
          <w:p w14:paraId="0884B95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6C6561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1E12E8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FC58EA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5DB17D9">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12ED69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距离轨道交通站点距离</w:t>
            </w:r>
          </w:p>
        </w:tc>
        <w:tc>
          <w:tcPr>
            <w:tcW w:w="897" w:type="pct"/>
            <w:tcBorders>
              <w:top w:val="nil"/>
              <w:left w:val="nil"/>
              <w:bottom w:val="single" w:color="auto" w:sz="4" w:space="0"/>
              <w:right w:val="single" w:color="auto" w:sz="4" w:space="0"/>
            </w:tcBorders>
            <w:vAlign w:val="center"/>
          </w:tcPr>
          <w:p w14:paraId="2CEB5B5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C1ADAA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D4373F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A124B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8FE32B3">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AEBC01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距离公交站点距离</w:t>
            </w:r>
          </w:p>
        </w:tc>
        <w:tc>
          <w:tcPr>
            <w:tcW w:w="897" w:type="pct"/>
            <w:tcBorders>
              <w:top w:val="nil"/>
              <w:left w:val="nil"/>
              <w:bottom w:val="single" w:color="auto" w:sz="4" w:space="0"/>
              <w:right w:val="single" w:color="auto" w:sz="4" w:space="0"/>
            </w:tcBorders>
            <w:vAlign w:val="center"/>
          </w:tcPr>
          <w:p w14:paraId="6134FBA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8A6686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300A04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0075C43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AF174F8">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C2134F8">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环境质量优劣度</w:t>
            </w:r>
          </w:p>
        </w:tc>
        <w:tc>
          <w:tcPr>
            <w:tcW w:w="897" w:type="pct"/>
            <w:tcBorders>
              <w:top w:val="nil"/>
              <w:left w:val="nil"/>
              <w:bottom w:val="single" w:color="auto" w:sz="4" w:space="0"/>
              <w:right w:val="single" w:color="auto" w:sz="4" w:space="0"/>
            </w:tcBorders>
            <w:vAlign w:val="center"/>
          </w:tcPr>
          <w:p w14:paraId="30F9F71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088336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427A87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C6A426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0F5CDD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0E70A8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自然环境</w:t>
            </w:r>
          </w:p>
        </w:tc>
        <w:tc>
          <w:tcPr>
            <w:tcW w:w="897" w:type="pct"/>
            <w:tcBorders>
              <w:top w:val="nil"/>
              <w:left w:val="nil"/>
              <w:bottom w:val="single" w:color="auto" w:sz="4" w:space="0"/>
              <w:right w:val="single" w:color="auto" w:sz="4" w:space="0"/>
            </w:tcBorders>
            <w:vAlign w:val="center"/>
          </w:tcPr>
          <w:p w14:paraId="2A8BA0D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9A6B3C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1B4C627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1B5FD4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38234B8">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652D65BC">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小区环境</w:t>
            </w:r>
          </w:p>
        </w:tc>
        <w:tc>
          <w:tcPr>
            <w:tcW w:w="897" w:type="pct"/>
            <w:tcBorders>
              <w:top w:val="nil"/>
              <w:left w:val="nil"/>
              <w:bottom w:val="single" w:color="auto" w:sz="4" w:space="0"/>
              <w:right w:val="single" w:color="auto" w:sz="4" w:space="0"/>
            </w:tcBorders>
            <w:vAlign w:val="center"/>
          </w:tcPr>
          <w:p w14:paraId="19A4D6E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3D5548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A19900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814325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C19BBB">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578004BD">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公共服务设施状况</w:t>
            </w:r>
          </w:p>
        </w:tc>
        <w:tc>
          <w:tcPr>
            <w:tcW w:w="897" w:type="pct"/>
            <w:tcBorders>
              <w:top w:val="nil"/>
              <w:left w:val="nil"/>
              <w:bottom w:val="single" w:color="auto" w:sz="4" w:space="0"/>
              <w:right w:val="single" w:color="auto" w:sz="4" w:space="0"/>
            </w:tcBorders>
            <w:vAlign w:val="center"/>
          </w:tcPr>
          <w:p w14:paraId="65429C2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76D67A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B2F13B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4A65FA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9DC0BCB">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9BD62EF">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建筑类型</w:t>
            </w:r>
          </w:p>
        </w:tc>
        <w:tc>
          <w:tcPr>
            <w:tcW w:w="897" w:type="pct"/>
            <w:tcBorders>
              <w:top w:val="nil"/>
              <w:left w:val="nil"/>
              <w:bottom w:val="single" w:color="auto" w:sz="4" w:space="0"/>
              <w:right w:val="single" w:color="auto" w:sz="4" w:space="0"/>
            </w:tcBorders>
            <w:vAlign w:val="center"/>
          </w:tcPr>
          <w:p w14:paraId="31892BC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5</w:t>
            </w:r>
          </w:p>
        </w:tc>
        <w:tc>
          <w:tcPr>
            <w:tcW w:w="897" w:type="pct"/>
            <w:tcBorders>
              <w:top w:val="nil"/>
              <w:left w:val="nil"/>
              <w:bottom w:val="single" w:color="auto" w:sz="4" w:space="0"/>
              <w:right w:val="single" w:color="auto" w:sz="4" w:space="0"/>
            </w:tcBorders>
            <w:vAlign w:val="center"/>
          </w:tcPr>
          <w:p w14:paraId="7661AA5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1BD1A4A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5BF5E0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B154DB">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6711035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楼层</w:t>
            </w:r>
          </w:p>
        </w:tc>
        <w:tc>
          <w:tcPr>
            <w:tcW w:w="897" w:type="pct"/>
            <w:tcBorders>
              <w:top w:val="nil"/>
              <w:left w:val="nil"/>
              <w:bottom w:val="single" w:color="auto" w:sz="4" w:space="0"/>
              <w:right w:val="single" w:color="auto" w:sz="4" w:space="0"/>
            </w:tcBorders>
            <w:vAlign w:val="center"/>
          </w:tcPr>
          <w:p w14:paraId="12B9F9C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897" w:type="pct"/>
            <w:tcBorders>
              <w:top w:val="nil"/>
              <w:left w:val="nil"/>
              <w:bottom w:val="single" w:color="auto" w:sz="4" w:space="0"/>
              <w:right w:val="single" w:color="auto" w:sz="4" w:space="0"/>
            </w:tcBorders>
            <w:vAlign w:val="center"/>
          </w:tcPr>
          <w:p w14:paraId="03AFDA4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897" w:type="pct"/>
            <w:tcBorders>
              <w:top w:val="nil"/>
              <w:left w:val="nil"/>
              <w:bottom w:val="single" w:color="auto" w:sz="4" w:space="0"/>
              <w:right w:val="single" w:color="auto" w:sz="4" w:space="0"/>
            </w:tcBorders>
            <w:vAlign w:val="center"/>
          </w:tcPr>
          <w:p w14:paraId="0C54A15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74D1E0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9861173">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67582E6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朝向</w:t>
            </w:r>
          </w:p>
        </w:tc>
        <w:tc>
          <w:tcPr>
            <w:tcW w:w="897" w:type="pct"/>
            <w:tcBorders>
              <w:top w:val="nil"/>
              <w:left w:val="nil"/>
              <w:bottom w:val="single" w:color="auto" w:sz="4" w:space="0"/>
              <w:right w:val="single" w:color="auto" w:sz="4" w:space="0"/>
            </w:tcBorders>
            <w:vAlign w:val="center"/>
          </w:tcPr>
          <w:p w14:paraId="3CF85BF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897" w:type="pct"/>
            <w:tcBorders>
              <w:top w:val="nil"/>
              <w:left w:val="nil"/>
              <w:bottom w:val="single" w:color="auto" w:sz="4" w:space="0"/>
              <w:right w:val="single" w:color="auto" w:sz="4" w:space="0"/>
            </w:tcBorders>
            <w:vAlign w:val="center"/>
          </w:tcPr>
          <w:p w14:paraId="1EEDD27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4AF61F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EBACF10">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6487188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实物状况</w:t>
            </w:r>
          </w:p>
        </w:tc>
        <w:tc>
          <w:tcPr>
            <w:tcW w:w="1516" w:type="pct"/>
            <w:tcBorders>
              <w:top w:val="nil"/>
              <w:left w:val="nil"/>
              <w:bottom w:val="single" w:color="auto" w:sz="4" w:space="0"/>
              <w:right w:val="single" w:color="auto" w:sz="4" w:space="0"/>
            </w:tcBorders>
            <w:vAlign w:val="center"/>
          </w:tcPr>
          <w:p w14:paraId="2DC53FF9">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成新度</w:t>
            </w:r>
          </w:p>
        </w:tc>
        <w:tc>
          <w:tcPr>
            <w:tcW w:w="897" w:type="pct"/>
            <w:tcBorders>
              <w:top w:val="nil"/>
              <w:left w:val="nil"/>
              <w:bottom w:val="single" w:color="auto" w:sz="4" w:space="0"/>
              <w:right w:val="single" w:color="auto" w:sz="4" w:space="0"/>
            </w:tcBorders>
            <w:vAlign w:val="center"/>
          </w:tcPr>
          <w:p w14:paraId="0334052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DB59C6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B3D037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E13128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A662B1">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D24FDE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公共区域装修</w:t>
            </w:r>
          </w:p>
        </w:tc>
        <w:tc>
          <w:tcPr>
            <w:tcW w:w="897" w:type="pct"/>
            <w:tcBorders>
              <w:top w:val="nil"/>
              <w:left w:val="nil"/>
              <w:bottom w:val="single" w:color="auto" w:sz="4" w:space="0"/>
              <w:right w:val="single" w:color="auto" w:sz="4" w:space="0"/>
            </w:tcBorders>
            <w:vAlign w:val="center"/>
          </w:tcPr>
          <w:p w14:paraId="4F2CC24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32635A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BE5E87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034D5C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CBB20A8">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61E0B5DB">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室内装饰装修</w:t>
            </w:r>
          </w:p>
        </w:tc>
        <w:tc>
          <w:tcPr>
            <w:tcW w:w="897" w:type="pct"/>
            <w:tcBorders>
              <w:top w:val="nil"/>
              <w:left w:val="nil"/>
              <w:bottom w:val="single" w:color="auto" w:sz="4" w:space="0"/>
              <w:right w:val="single" w:color="auto" w:sz="4" w:space="0"/>
            </w:tcBorders>
            <w:vAlign w:val="center"/>
          </w:tcPr>
          <w:p w14:paraId="04AD70E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CD0CEF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1A0C86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018EBF0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5F9521D">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8CFE5D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设施设备</w:t>
            </w:r>
          </w:p>
        </w:tc>
        <w:tc>
          <w:tcPr>
            <w:tcW w:w="897" w:type="pct"/>
            <w:tcBorders>
              <w:top w:val="nil"/>
              <w:left w:val="nil"/>
              <w:bottom w:val="single" w:color="auto" w:sz="4" w:space="0"/>
              <w:right w:val="single" w:color="auto" w:sz="4" w:space="0"/>
            </w:tcBorders>
            <w:vAlign w:val="center"/>
          </w:tcPr>
          <w:p w14:paraId="7AB0877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14A132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1CDDC7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E168FF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C426F30">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BB07ED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综合管理服务设施</w:t>
            </w:r>
          </w:p>
        </w:tc>
        <w:tc>
          <w:tcPr>
            <w:tcW w:w="897" w:type="pct"/>
            <w:tcBorders>
              <w:top w:val="nil"/>
              <w:left w:val="nil"/>
              <w:bottom w:val="single" w:color="auto" w:sz="4" w:space="0"/>
              <w:right w:val="single" w:color="auto" w:sz="4" w:space="0"/>
            </w:tcBorders>
            <w:vAlign w:val="center"/>
          </w:tcPr>
          <w:p w14:paraId="3D000EA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63FB86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1592DC3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667956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9E68E7">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22B1BCB">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户型布局</w:t>
            </w:r>
          </w:p>
        </w:tc>
        <w:tc>
          <w:tcPr>
            <w:tcW w:w="897" w:type="pct"/>
            <w:tcBorders>
              <w:top w:val="nil"/>
              <w:left w:val="nil"/>
              <w:bottom w:val="single" w:color="auto" w:sz="4" w:space="0"/>
              <w:right w:val="single" w:color="auto" w:sz="4" w:space="0"/>
            </w:tcBorders>
            <w:vAlign w:val="center"/>
          </w:tcPr>
          <w:p w14:paraId="1AD6053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1F9361A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98</w:t>
            </w:r>
          </w:p>
        </w:tc>
        <w:tc>
          <w:tcPr>
            <w:tcW w:w="897" w:type="pct"/>
            <w:tcBorders>
              <w:top w:val="nil"/>
              <w:left w:val="nil"/>
              <w:bottom w:val="single" w:color="auto" w:sz="4" w:space="0"/>
              <w:right w:val="single" w:color="auto" w:sz="4" w:space="0"/>
            </w:tcBorders>
            <w:vAlign w:val="center"/>
          </w:tcPr>
          <w:p w14:paraId="7417215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98</w:t>
            </w:r>
          </w:p>
        </w:tc>
      </w:tr>
      <w:tr w14:paraId="1D49381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EDB2EE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9A39E1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户型结构</w:t>
            </w:r>
          </w:p>
        </w:tc>
        <w:tc>
          <w:tcPr>
            <w:tcW w:w="897" w:type="pct"/>
            <w:tcBorders>
              <w:top w:val="nil"/>
              <w:left w:val="nil"/>
              <w:bottom w:val="single" w:color="auto" w:sz="4" w:space="0"/>
              <w:right w:val="single" w:color="auto" w:sz="4" w:space="0"/>
            </w:tcBorders>
            <w:vAlign w:val="center"/>
          </w:tcPr>
          <w:p w14:paraId="14F41B4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3C7BE5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0DF303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03A274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CF9DE91">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8DC1F18">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建筑面积</w:t>
            </w:r>
          </w:p>
        </w:tc>
        <w:tc>
          <w:tcPr>
            <w:tcW w:w="897" w:type="pct"/>
            <w:tcBorders>
              <w:top w:val="nil"/>
              <w:left w:val="nil"/>
              <w:bottom w:val="single" w:color="auto" w:sz="4" w:space="0"/>
              <w:right w:val="single" w:color="auto" w:sz="4" w:space="0"/>
            </w:tcBorders>
            <w:vAlign w:val="center"/>
          </w:tcPr>
          <w:p w14:paraId="6FA19AF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5C28E8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98</w:t>
            </w:r>
          </w:p>
        </w:tc>
        <w:tc>
          <w:tcPr>
            <w:tcW w:w="897" w:type="pct"/>
            <w:tcBorders>
              <w:top w:val="nil"/>
              <w:left w:val="nil"/>
              <w:bottom w:val="single" w:color="auto" w:sz="4" w:space="0"/>
              <w:right w:val="single" w:color="auto" w:sz="4" w:space="0"/>
            </w:tcBorders>
            <w:vAlign w:val="center"/>
          </w:tcPr>
          <w:p w14:paraId="33E2D60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98</w:t>
            </w:r>
          </w:p>
        </w:tc>
      </w:tr>
      <w:tr w14:paraId="148903A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01D357">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B1596CF">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家具家电</w:t>
            </w:r>
          </w:p>
        </w:tc>
        <w:tc>
          <w:tcPr>
            <w:tcW w:w="897" w:type="pct"/>
            <w:tcBorders>
              <w:top w:val="nil"/>
              <w:left w:val="nil"/>
              <w:bottom w:val="single" w:color="auto" w:sz="4" w:space="0"/>
              <w:right w:val="single" w:color="auto" w:sz="4" w:space="0"/>
            </w:tcBorders>
            <w:vAlign w:val="center"/>
          </w:tcPr>
          <w:p w14:paraId="164753C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964AA5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5E7B14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0ABA7B0">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675DF81B">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权益状况</w:t>
            </w:r>
          </w:p>
        </w:tc>
        <w:tc>
          <w:tcPr>
            <w:tcW w:w="1516" w:type="pct"/>
            <w:tcBorders>
              <w:top w:val="nil"/>
              <w:left w:val="nil"/>
              <w:bottom w:val="single" w:color="auto" w:sz="4" w:space="0"/>
              <w:right w:val="single" w:color="auto" w:sz="4" w:space="0"/>
            </w:tcBorders>
            <w:vAlign w:val="center"/>
          </w:tcPr>
          <w:p w14:paraId="1B0406D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服务及管理水平</w:t>
            </w:r>
          </w:p>
        </w:tc>
        <w:tc>
          <w:tcPr>
            <w:tcW w:w="897" w:type="pct"/>
            <w:tcBorders>
              <w:top w:val="nil"/>
              <w:left w:val="nil"/>
              <w:bottom w:val="single" w:color="auto" w:sz="4" w:space="0"/>
              <w:right w:val="single" w:color="auto" w:sz="4" w:space="0"/>
            </w:tcBorders>
            <w:vAlign w:val="center"/>
          </w:tcPr>
          <w:p w14:paraId="04882B1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6E922C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8E768C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05B69D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44CB50D">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2DCA6A59">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水电气费执行标准</w:t>
            </w:r>
          </w:p>
        </w:tc>
        <w:tc>
          <w:tcPr>
            <w:tcW w:w="897" w:type="pct"/>
            <w:tcBorders>
              <w:top w:val="nil"/>
              <w:left w:val="nil"/>
              <w:bottom w:val="single" w:color="auto" w:sz="4" w:space="0"/>
              <w:right w:val="single" w:color="auto" w:sz="4" w:space="0"/>
            </w:tcBorders>
            <w:vAlign w:val="center"/>
          </w:tcPr>
          <w:p w14:paraId="495E9BC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D8A9A5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94F401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9B98C8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DF7ED4A">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0B5712B7">
            <w:pPr>
              <w:spacing w:line="240" w:lineRule="auto"/>
              <w:jc w:val="center"/>
              <w:rPr>
                <w:rFonts w:ascii="Arial" w:hAnsi="Arial" w:cs="Arial"/>
                <w:color w:val="auto"/>
                <w:sz w:val="16"/>
                <w:szCs w:val="18"/>
              </w:rPr>
            </w:pPr>
            <w:r>
              <w:rPr>
                <w:rFonts w:hint="eastAsia" w:ascii="Arial" w:hAnsi="Arial" w:cs="Arial"/>
                <w:color w:val="auto"/>
                <w:sz w:val="16"/>
                <w:szCs w:val="18"/>
              </w:rPr>
              <w:t>0.9717</w:t>
            </w:r>
          </w:p>
        </w:tc>
        <w:tc>
          <w:tcPr>
            <w:tcW w:w="897" w:type="pct"/>
            <w:tcBorders>
              <w:top w:val="single" w:color="auto" w:sz="4" w:space="0"/>
              <w:left w:val="nil"/>
              <w:bottom w:val="single" w:color="auto" w:sz="4" w:space="0"/>
              <w:right w:val="single" w:color="auto" w:sz="4" w:space="0"/>
            </w:tcBorders>
            <w:vAlign w:val="center"/>
          </w:tcPr>
          <w:p w14:paraId="2675C05D">
            <w:pPr>
              <w:spacing w:line="240" w:lineRule="auto"/>
              <w:jc w:val="center"/>
              <w:rPr>
                <w:rFonts w:ascii="Arial" w:hAnsi="Arial" w:cs="Arial"/>
                <w:color w:val="auto"/>
                <w:sz w:val="16"/>
                <w:szCs w:val="18"/>
              </w:rPr>
            </w:pPr>
            <w:r>
              <w:rPr>
                <w:rFonts w:hint="eastAsia" w:ascii="Arial" w:hAnsi="Arial" w:cs="Arial"/>
                <w:color w:val="auto"/>
                <w:sz w:val="16"/>
                <w:szCs w:val="18"/>
              </w:rPr>
              <w:t>1.0518</w:t>
            </w:r>
          </w:p>
        </w:tc>
        <w:tc>
          <w:tcPr>
            <w:tcW w:w="897" w:type="pct"/>
            <w:tcBorders>
              <w:top w:val="single" w:color="auto" w:sz="4" w:space="0"/>
              <w:left w:val="nil"/>
              <w:bottom w:val="single" w:color="auto" w:sz="4" w:space="0"/>
              <w:right w:val="single" w:color="auto" w:sz="4" w:space="0"/>
            </w:tcBorders>
            <w:vAlign w:val="center"/>
          </w:tcPr>
          <w:p w14:paraId="0E616703">
            <w:pPr>
              <w:spacing w:line="240" w:lineRule="auto"/>
              <w:jc w:val="center"/>
              <w:rPr>
                <w:rFonts w:ascii="Arial" w:hAnsi="Arial" w:cs="Arial"/>
                <w:color w:val="auto"/>
                <w:sz w:val="16"/>
                <w:szCs w:val="18"/>
              </w:rPr>
            </w:pPr>
            <w:r>
              <w:rPr>
                <w:rFonts w:hint="eastAsia" w:ascii="Arial" w:hAnsi="Arial" w:cs="Arial"/>
                <w:color w:val="auto"/>
                <w:sz w:val="16"/>
                <w:szCs w:val="18"/>
              </w:rPr>
              <w:t>1.0412</w:t>
            </w:r>
          </w:p>
        </w:tc>
      </w:tr>
      <w:tr w14:paraId="1065854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E51A20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4CC12E0C">
            <w:pPr>
              <w:spacing w:line="240" w:lineRule="auto"/>
              <w:jc w:val="center"/>
              <w:rPr>
                <w:rFonts w:ascii="Arial" w:hAnsi="Arial" w:cs="Arial"/>
                <w:color w:val="auto"/>
                <w:sz w:val="16"/>
                <w:szCs w:val="18"/>
              </w:rPr>
            </w:pPr>
            <w:r>
              <w:rPr>
                <w:rFonts w:hint="eastAsia" w:ascii="Arial" w:hAnsi="Arial" w:cs="Arial"/>
                <w:color w:val="auto"/>
                <w:sz w:val="16"/>
                <w:szCs w:val="18"/>
              </w:rPr>
              <w:t>19.70</w:t>
            </w:r>
          </w:p>
        </w:tc>
        <w:tc>
          <w:tcPr>
            <w:tcW w:w="897" w:type="pct"/>
            <w:tcBorders>
              <w:top w:val="single" w:color="auto" w:sz="4" w:space="0"/>
              <w:left w:val="nil"/>
              <w:bottom w:val="single" w:color="auto" w:sz="4" w:space="0"/>
              <w:right w:val="single" w:color="auto" w:sz="4" w:space="0"/>
            </w:tcBorders>
            <w:vAlign w:val="center"/>
          </w:tcPr>
          <w:p w14:paraId="2A105E00">
            <w:pPr>
              <w:spacing w:line="240" w:lineRule="auto"/>
              <w:jc w:val="center"/>
              <w:rPr>
                <w:rFonts w:ascii="Arial" w:hAnsi="Arial" w:cs="Arial"/>
                <w:color w:val="auto"/>
                <w:sz w:val="16"/>
                <w:szCs w:val="18"/>
              </w:rPr>
            </w:pPr>
            <w:r>
              <w:rPr>
                <w:rFonts w:hint="eastAsia" w:ascii="Arial" w:hAnsi="Arial" w:cs="Arial"/>
                <w:color w:val="auto"/>
                <w:sz w:val="16"/>
                <w:szCs w:val="18"/>
              </w:rPr>
              <w:t>20.38</w:t>
            </w:r>
          </w:p>
        </w:tc>
        <w:tc>
          <w:tcPr>
            <w:tcW w:w="897" w:type="pct"/>
            <w:tcBorders>
              <w:top w:val="single" w:color="auto" w:sz="4" w:space="0"/>
              <w:left w:val="nil"/>
              <w:bottom w:val="single" w:color="auto" w:sz="4" w:space="0"/>
              <w:right w:val="single" w:color="auto" w:sz="4" w:space="0"/>
            </w:tcBorders>
            <w:vAlign w:val="center"/>
          </w:tcPr>
          <w:p w14:paraId="50F2DF18">
            <w:pPr>
              <w:spacing w:line="240" w:lineRule="auto"/>
              <w:jc w:val="center"/>
              <w:rPr>
                <w:rFonts w:ascii="Arial" w:hAnsi="Arial" w:cs="Arial"/>
                <w:color w:val="auto"/>
                <w:sz w:val="16"/>
                <w:szCs w:val="18"/>
              </w:rPr>
            </w:pPr>
            <w:r>
              <w:rPr>
                <w:rFonts w:hint="eastAsia" w:ascii="Arial" w:hAnsi="Arial" w:cs="Arial"/>
                <w:color w:val="auto"/>
                <w:sz w:val="16"/>
                <w:szCs w:val="18"/>
              </w:rPr>
              <w:t>19.61</w:t>
            </w:r>
          </w:p>
        </w:tc>
      </w:tr>
    </w:tbl>
    <w:p w14:paraId="21B76577">
      <w:pPr>
        <w:wordWrap w:val="0"/>
        <w:overflowPunct w:val="0"/>
        <w:spacing w:before="240" w:beforeLines="100" w:line="480" w:lineRule="auto"/>
        <w:ind w:firstLine="420" w:firstLineChars="200"/>
        <w:rPr>
          <w:rFonts w:ascii="Arial" w:hAnsi="Arial"/>
          <w:color w:val="auto"/>
          <w:sz w:val="21"/>
          <w:szCs w:val="21"/>
        </w:rPr>
      </w:pPr>
      <w:r>
        <w:rPr>
          <w:rFonts w:hint="eastAsia" w:ascii="Arial" w:hAnsi="Arial"/>
          <w:color w:val="auto"/>
          <w:sz w:val="21"/>
          <w:szCs w:val="21"/>
        </w:rPr>
        <w:t>注：</w:t>
      </w:r>
      <w:r>
        <w:rPr>
          <w:rFonts w:ascii="Arial" w:hAnsi="Arial"/>
          <w:color w:val="auto"/>
          <w:sz w:val="21"/>
          <w:szCs w:val="21"/>
        </w:rPr>
        <w:t>比准价格＝比较</w:t>
      </w:r>
      <w:r>
        <w:rPr>
          <w:rFonts w:hint="eastAsia" w:ascii="Arial" w:hAnsi="Arial"/>
          <w:color w:val="auto"/>
          <w:sz w:val="21"/>
          <w:szCs w:val="21"/>
        </w:rPr>
        <w:t>实例</w:t>
      </w:r>
      <w:r>
        <w:rPr>
          <w:rFonts w:ascii="Arial" w:hAnsi="Arial"/>
          <w:color w:val="auto"/>
          <w:sz w:val="21"/>
          <w:szCs w:val="21"/>
        </w:rPr>
        <w:t>平均租金×（待估房地产</w:t>
      </w:r>
      <w:r>
        <w:rPr>
          <w:rFonts w:hint="eastAsia" w:ascii="Arial" w:hAnsi="Arial"/>
          <w:color w:val="auto"/>
          <w:sz w:val="21"/>
          <w:szCs w:val="21"/>
        </w:rPr>
        <w:t>交易时间</w:t>
      </w:r>
      <w:r>
        <w:rPr>
          <w:rFonts w:ascii="Arial" w:hAnsi="Arial"/>
          <w:color w:val="auto"/>
          <w:sz w:val="21"/>
          <w:szCs w:val="21"/>
        </w:rPr>
        <w:t>房地产价租赁格指数/可比实例交易</w:t>
      </w:r>
      <w:r>
        <w:rPr>
          <w:rFonts w:hint="eastAsia" w:ascii="Arial" w:hAnsi="Arial"/>
          <w:color w:val="auto"/>
          <w:sz w:val="21"/>
          <w:szCs w:val="21"/>
        </w:rPr>
        <w:t>时间</w:t>
      </w:r>
      <w:r>
        <w:rPr>
          <w:rFonts w:ascii="Arial" w:hAnsi="Arial"/>
          <w:color w:val="auto"/>
          <w:sz w:val="21"/>
          <w:szCs w:val="21"/>
        </w:rPr>
        <w:t>房地产租赁价格指数）×（待估房地产交易情况指数/可比实例</w:t>
      </w:r>
      <w:r>
        <w:rPr>
          <w:rFonts w:hint="eastAsia" w:ascii="Arial" w:hAnsi="Arial"/>
          <w:color w:val="auto"/>
          <w:sz w:val="21"/>
          <w:szCs w:val="21"/>
        </w:rPr>
        <w:t>交易情况</w:t>
      </w:r>
      <w:r>
        <w:rPr>
          <w:rFonts w:ascii="Arial" w:hAnsi="Arial"/>
          <w:color w:val="auto"/>
          <w:sz w:val="21"/>
          <w:szCs w:val="21"/>
        </w:rPr>
        <w:t>指数）×（待估房地产</w:t>
      </w:r>
      <w:r>
        <w:rPr>
          <w:rFonts w:hint="eastAsia" w:ascii="Arial" w:hAnsi="Arial"/>
          <w:color w:val="auto"/>
          <w:sz w:val="21"/>
          <w:szCs w:val="21"/>
        </w:rPr>
        <w:t>项目类型</w:t>
      </w:r>
      <w:r>
        <w:rPr>
          <w:rFonts w:ascii="Arial" w:hAnsi="Arial"/>
          <w:color w:val="auto"/>
          <w:sz w:val="21"/>
          <w:szCs w:val="21"/>
        </w:rPr>
        <w:t>指数/可比实例</w:t>
      </w:r>
      <w:r>
        <w:rPr>
          <w:rFonts w:hint="eastAsia" w:ascii="Arial" w:hAnsi="Arial"/>
          <w:color w:val="auto"/>
          <w:sz w:val="21"/>
          <w:szCs w:val="21"/>
        </w:rPr>
        <w:t>项目类型</w:t>
      </w:r>
      <w:r>
        <w:rPr>
          <w:rFonts w:ascii="Arial" w:hAnsi="Arial"/>
          <w:color w:val="auto"/>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color w:val="auto"/>
          <w:sz w:val="21"/>
          <w:szCs w:val="21"/>
        </w:rPr>
        <w:t>权益</w:t>
      </w:r>
      <w:r>
        <w:rPr>
          <w:rFonts w:ascii="Arial" w:hAnsi="Arial"/>
          <w:color w:val="auto"/>
          <w:sz w:val="21"/>
          <w:szCs w:val="21"/>
        </w:rPr>
        <w:t>状况条件指数/可比实例房地产</w:t>
      </w:r>
      <w:r>
        <w:rPr>
          <w:rFonts w:hint="eastAsia" w:ascii="Arial" w:hAnsi="Arial"/>
          <w:color w:val="auto"/>
          <w:sz w:val="21"/>
          <w:szCs w:val="21"/>
        </w:rPr>
        <w:t>权益</w:t>
      </w:r>
      <w:r>
        <w:rPr>
          <w:rFonts w:ascii="Arial" w:hAnsi="Arial"/>
          <w:color w:val="auto"/>
          <w:sz w:val="21"/>
          <w:szCs w:val="21"/>
        </w:rPr>
        <w:t>状况条件指数）</w:t>
      </w:r>
    </w:p>
    <w:p w14:paraId="13BC4A32">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（4）影响因素选择实例修正后的价值计算</w:t>
      </w:r>
      <w:r>
        <w:rPr>
          <w:rFonts w:ascii="Arial" w:hAnsi="Arial"/>
          <w:color w:val="auto"/>
          <w:sz w:val="21"/>
          <w:szCs w:val="21"/>
        </w:rPr>
        <w:t xml:space="preserve"> </w:t>
      </w:r>
    </w:p>
    <w:p w14:paraId="397709FA">
      <w:pPr>
        <w:overflowPunct w:val="0"/>
        <w:spacing w:line="480" w:lineRule="auto"/>
        <w:ind w:firstLine="420" w:firstLineChars="200"/>
        <w:jc w:val="both"/>
        <w:rPr>
          <w:rFonts w:ascii="Arial" w:hAnsi="Arial"/>
          <w:color w:val="auto"/>
          <w:sz w:val="21"/>
          <w:szCs w:val="21"/>
        </w:rPr>
      </w:pPr>
      <w:r>
        <w:rPr>
          <w:rFonts w:ascii="Arial" w:hAnsi="Arial"/>
          <w:color w:val="auto"/>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color w:val="auto"/>
          <w:sz w:val="21"/>
          <w:szCs w:val="21"/>
        </w:rPr>
        <w:t>3</w:t>
      </w:r>
      <w:r>
        <w:rPr>
          <w:rFonts w:ascii="Arial" w:hAnsi="Arial"/>
          <w:color w:val="auto"/>
          <w:sz w:val="21"/>
          <w:szCs w:val="21"/>
        </w:rPr>
        <w:t>个可比案例的比准价格的简单算术平均值作为项目</w:t>
      </w:r>
      <w:r>
        <w:rPr>
          <w:rFonts w:hint="eastAsia" w:ascii="Arial" w:hAnsi="Arial"/>
          <w:color w:val="auto"/>
          <w:sz w:val="21"/>
          <w:szCs w:val="21"/>
        </w:rPr>
        <w:t>典型户型</w:t>
      </w:r>
      <w:r>
        <w:rPr>
          <w:rFonts w:ascii="Arial" w:hAnsi="Arial"/>
          <w:color w:val="auto"/>
          <w:sz w:val="21"/>
          <w:szCs w:val="21"/>
        </w:rPr>
        <w:t>的评估价格</w:t>
      </w:r>
      <w:r>
        <w:rPr>
          <w:rFonts w:hint="eastAsia" w:ascii="Arial" w:hAnsi="Arial"/>
          <w:color w:val="auto"/>
          <w:sz w:val="21"/>
          <w:szCs w:val="21"/>
        </w:rPr>
        <w:t>。</w:t>
      </w:r>
    </w:p>
    <w:p w14:paraId="26C67CEF">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即：标准房1</w:t>
      </w:r>
      <w:r>
        <w:rPr>
          <w:rFonts w:hint="eastAsia" w:ascii="Arial" w:hAnsi="Arial"/>
          <w:bCs/>
          <w:color w:val="auto"/>
          <w:sz w:val="21"/>
        </w:rPr>
        <w:t>市场租赁住房租金</w:t>
      </w:r>
      <w:r>
        <w:rPr>
          <w:rFonts w:hint="eastAsia" w:ascii="Arial" w:hAnsi="Arial"/>
          <w:color w:val="auto"/>
          <w:sz w:val="21"/>
          <w:szCs w:val="21"/>
        </w:rPr>
        <w:t>＝（19.70+20.38+19.61）÷</w:t>
      </w:r>
      <w:r>
        <w:rPr>
          <w:rFonts w:ascii="Arial" w:hAnsi="Arial"/>
          <w:color w:val="auto"/>
          <w:sz w:val="21"/>
          <w:szCs w:val="21"/>
        </w:rPr>
        <w:t>3</w:t>
      </w:r>
      <w:r>
        <w:rPr>
          <w:rFonts w:hint="eastAsia" w:ascii="Arial" w:hAnsi="Arial"/>
          <w:color w:val="auto"/>
          <w:sz w:val="21"/>
          <w:szCs w:val="21"/>
        </w:rPr>
        <w:t>+1.56</w:t>
      </w:r>
    </w:p>
    <w:p w14:paraId="27B3B0BF">
      <w:pPr>
        <w:wordWrap w:val="0"/>
        <w:overflowPunct w:val="0"/>
        <w:spacing w:line="480" w:lineRule="auto"/>
        <w:ind w:firstLine="3360" w:firstLineChars="1600"/>
        <w:rPr>
          <w:rFonts w:ascii="Arial" w:hAnsi="Arial"/>
          <w:color w:val="auto"/>
          <w:sz w:val="21"/>
          <w:szCs w:val="21"/>
        </w:rPr>
      </w:pPr>
      <w:r>
        <w:rPr>
          <w:rFonts w:hint="eastAsia" w:ascii="Arial" w:hAnsi="Arial"/>
          <w:color w:val="auto"/>
          <w:sz w:val="21"/>
          <w:szCs w:val="21"/>
        </w:rPr>
        <w:t>＝19.90+1.56</w:t>
      </w:r>
    </w:p>
    <w:p w14:paraId="339053A6">
      <w:pPr>
        <w:wordWrap w:val="0"/>
        <w:overflowPunct w:val="0"/>
        <w:spacing w:line="480" w:lineRule="auto"/>
        <w:ind w:firstLine="420" w:firstLineChars="200"/>
        <w:rPr>
          <w:rFonts w:hint="eastAsia" w:ascii="宋体" w:hAnsi="宋体"/>
          <w:color w:val="auto"/>
          <w:sz w:val="21"/>
          <w:szCs w:val="21"/>
        </w:rPr>
      </w:pPr>
      <w:r>
        <w:rPr>
          <w:rFonts w:ascii="Arial" w:hAnsi="Arial"/>
          <w:color w:val="auto"/>
          <w:sz w:val="21"/>
          <w:szCs w:val="21"/>
        </w:rPr>
        <w:t xml:space="preserve">                            </w:t>
      </w:r>
      <w:r>
        <w:rPr>
          <w:rFonts w:hint="eastAsia" w:ascii="Arial" w:hAnsi="Arial"/>
          <w:color w:val="auto"/>
          <w:sz w:val="21"/>
          <w:szCs w:val="21"/>
        </w:rPr>
        <w:t>＝21.46（元/平方米·月）</w:t>
      </w:r>
      <w:r>
        <w:rPr>
          <w:rFonts w:hint="eastAsia" w:ascii="宋体" w:hAnsi="宋体"/>
          <w:color w:val="auto"/>
          <w:sz w:val="21"/>
          <w:szCs w:val="21"/>
        </w:rPr>
        <w:t>（含物业费、不含取暖费）</w:t>
      </w:r>
    </w:p>
    <w:p w14:paraId="42E5CCFD">
      <w:pPr>
        <w:wordWrap w:val="0"/>
        <w:overflowPunct w:val="0"/>
        <w:spacing w:line="480" w:lineRule="auto"/>
        <w:ind w:firstLine="422" w:firstLineChars="200"/>
        <w:rPr>
          <w:rFonts w:ascii="Arial" w:hAnsi="Arial" w:cs="Arial"/>
          <w:b/>
          <w:color w:val="auto"/>
          <w:sz w:val="21"/>
          <w:szCs w:val="21"/>
        </w:rPr>
      </w:pPr>
      <w:r>
        <w:rPr>
          <w:rFonts w:hint="eastAsia" w:ascii="Arial" w:hAnsi="Arial" w:cs="Arial"/>
          <w:b/>
          <w:color w:val="auto"/>
          <w:sz w:val="21"/>
          <w:szCs w:val="21"/>
        </w:rPr>
        <w:t>B.标准房</w:t>
      </w:r>
      <w:r>
        <w:rPr>
          <w:rFonts w:ascii="Arial" w:hAnsi="Arial" w:cs="Arial"/>
          <w:b/>
          <w:color w:val="auto"/>
          <w:sz w:val="21"/>
          <w:szCs w:val="21"/>
        </w:rPr>
        <w:t>2</w:t>
      </w:r>
      <w:r>
        <w:rPr>
          <w:rFonts w:hint="eastAsia" w:ascii="Arial" w:hAnsi="Arial" w:cs="Arial"/>
          <w:b/>
          <w:color w:val="auto"/>
          <w:sz w:val="21"/>
          <w:szCs w:val="21"/>
        </w:rPr>
        <w:t>（两</w:t>
      </w:r>
      <w:r>
        <w:rPr>
          <w:rFonts w:hint="eastAsia" w:ascii="宋体" w:hAnsi="宋体"/>
          <w:b/>
          <w:color w:val="auto"/>
          <w:sz w:val="21"/>
          <w:szCs w:val="21"/>
        </w:rPr>
        <w:t>居室标准房市场租金水平）</w:t>
      </w:r>
    </w:p>
    <w:p w14:paraId="04F5DCE8">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1.选取案例并作因素条件说明</w:t>
      </w:r>
    </w:p>
    <w:p w14:paraId="67285F56">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通过对北京市</w:t>
      </w:r>
      <w:r>
        <w:rPr>
          <w:rFonts w:hint="eastAsia" w:ascii="Arial" w:hAnsi="Arial" w:cs="Arial"/>
          <w:color w:val="auto"/>
          <w:sz w:val="21"/>
          <w:szCs w:val="21"/>
        </w:rPr>
        <w:t>大兴</w:t>
      </w:r>
      <w:r>
        <w:rPr>
          <w:rFonts w:ascii="Arial" w:hAnsi="Arial" w:cs="Arial"/>
          <w:color w:val="auto"/>
          <w:sz w:val="21"/>
          <w:szCs w:val="21"/>
        </w:rPr>
        <w:t>区</w:t>
      </w:r>
      <w:r>
        <w:rPr>
          <w:rFonts w:hint="eastAsia" w:ascii="Arial" w:hAnsi="Arial" w:cs="Arial"/>
          <w:color w:val="auto"/>
          <w:sz w:val="21"/>
          <w:szCs w:val="21"/>
        </w:rPr>
        <w:t>采育镇周边住宅</w:t>
      </w:r>
      <w:r>
        <w:rPr>
          <w:rFonts w:ascii="Arial" w:hAnsi="Arial" w:cs="Arial"/>
          <w:color w:val="auto"/>
          <w:sz w:val="21"/>
          <w:szCs w:val="21"/>
        </w:rPr>
        <w:t>市场的调查，选取近期同一供需圈内邻近地区的三个租赁</w:t>
      </w:r>
      <w:r>
        <w:rPr>
          <w:rFonts w:hint="eastAsia" w:ascii="Arial" w:hAnsi="Arial" w:cs="Arial"/>
          <w:color w:val="auto"/>
          <w:sz w:val="21"/>
          <w:szCs w:val="21"/>
        </w:rPr>
        <w:t>实例</w:t>
      </w:r>
      <w:r>
        <w:rPr>
          <w:rFonts w:ascii="Arial" w:hAnsi="Arial" w:cs="Arial"/>
          <w:color w:val="auto"/>
          <w:sz w:val="21"/>
          <w:szCs w:val="21"/>
        </w:rPr>
        <w:t>进行比较。</w:t>
      </w:r>
    </w:p>
    <w:p w14:paraId="12DE42C8">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4：</w:t>
      </w:r>
    </w:p>
    <w:p w14:paraId="73B4B2A4">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当代采育满庭春MOMA</w:t>
      </w:r>
    </w:p>
    <w:p w14:paraId="7636426C">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大兴区采育镇育胜街36号</w:t>
      </w:r>
    </w:p>
    <w:p w14:paraId="1A9F2B63">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67503C12">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0C1D66D8">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 xml:space="preserve">•用途：住宅  </w:t>
      </w:r>
    </w:p>
    <w:p w14:paraId="5EFF19F3">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4</w:t>
      </w:r>
      <w:r>
        <w:rPr>
          <w:rFonts w:hint="eastAsia" w:ascii="Arial" w:hAnsi="Arial" w:cs="Arial"/>
          <w:color w:val="auto"/>
          <w:sz w:val="21"/>
          <w:szCs w:val="21"/>
        </w:rPr>
        <w:t>周边有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西</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采凤路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w:t>
      </w:r>
      <w:r>
        <w:rPr>
          <w:rFonts w:ascii="Arial" w:hAnsi="Arial" w:cs="Arial"/>
          <w:color w:val="auto"/>
          <w:sz w:val="21"/>
          <w:szCs w:val="21"/>
        </w:rPr>
        <w:t>4为</w:t>
      </w:r>
      <w:r>
        <w:rPr>
          <w:rFonts w:hint="eastAsia" w:ascii="Arial" w:hAnsi="Arial" w:cs="Arial"/>
          <w:color w:val="auto"/>
          <w:sz w:val="21"/>
          <w:szCs w:val="21"/>
        </w:rPr>
        <w:t>两居室</w:t>
      </w:r>
      <w:r>
        <w:rPr>
          <w:rFonts w:ascii="Arial" w:hAnsi="Arial" w:cs="Arial"/>
          <w:color w:val="auto"/>
          <w:sz w:val="21"/>
          <w:szCs w:val="21"/>
        </w:rPr>
        <w:t>户型，</w:t>
      </w:r>
      <w:r>
        <w:rPr>
          <w:rFonts w:hint="eastAsia" w:ascii="Arial" w:hAnsi="Arial" w:cs="Arial"/>
          <w:color w:val="auto"/>
          <w:sz w:val="21"/>
          <w:szCs w:val="21"/>
        </w:rPr>
        <w:t>低</w:t>
      </w:r>
      <w:r>
        <w:rPr>
          <w:rFonts w:ascii="Arial" w:hAnsi="Arial" w:cs="Arial"/>
          <w:color w:val="auto"/>
          <w:sz w:val="21"/>
          <w:szCs w:val="21"/>
        </w:rPr>
        <w:t>楼层，</w:t>
      </w:r>
      <w:r>
        <w:rPr>
          <w:rFonts w:hint="eastAsia" w:ascii="Arial" w:hAnsi="Arial" w:cs="Arial"/>
          <w:color w:val="auto"/>
          <w:sz w:val="21"/>
          <w:szCs w:val="21"/>
        </w:rPr>
        <w:t>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01</w:t>
      </w:r>
      <w:r>
        <w:rPr>
          <w:rFonts w:hint="eastAsia" w:ascii="Arial" w:hAnsi="Arial" w:cs="Arial"/>
          <w:color w:val="auto"/>
          <w:sz w:val="21"/>
          <w:szCs w:val="21"/>
        </w:rPr>
        <w:t>4</w:t>
      </w:r>
      <w:r>
        <w:rPr>
          <w:rFonts w:ascii="Arial" w:hAnsi="Arial" w:cs="Arial"/>
          <w:color w:val="auto"/>
          <w:sz w:val="21"/>
          <w:szCs w:val="21"/>
        </w:rPr>
        <w:t>年，建筑结构为钢混结构，装修为精装修，建筑面积为</w:t>
      </w:r>
      <w:r>
        <w:rPr>
          <w:rFonts w:hint="eastAsia" w:ascii="Arial" w:hAnsi="Arial" w:cs="Arial"/>
          <w:color w:val="auto"/>
          <w:sz w:val="21"/>
          <w:szCs w:val="21"/>
        </w:rPr>
        <w:t>94.59</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为20.09元/平方米·月（含物业费2.66元/平方米·月、取暖费2.5元/平方米·月）。</w:t>
      </w:r>
    </w:p>
    <w:p w14:paraId="7B9362EE">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5：</w:t>
      </w:r>
    </w:p>
    <w:p w14:paraId="604734A0">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当代采育满庭春MOMA</w:t>
      </w:r>
    </w:p>
    <w:p w14:paraId="26BADB2F">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大兴区采育镇育胜街36号</w:t>
      </w:r>
    </w:p>
    <w:p w14:paraId="6977539E">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21CFC16C">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3A3C0ABA">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 xml:space="preserve">•用途：住宅  </w:t>
      </w:r>
    </w:p>
    <w:p w14:paraId="2C7447C8">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可比实例5周边有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西</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采凤路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w:t>
      </w:r>
      <w:r>
        <w:rPr>
          <w:rFonts w:ascii="Arial" w:hAnsi="Arial" w:cs="Arial"/>
          <w:color w:val="auto"/>
          <w:sz w:val="21"/>
          <w:szCs w:val="21"/>
        </w:rPr>
        <w:t>4为</w:t>
      </w:r>
      <w:r>
        <w:rPr>
          <w:rFonts w:hint="eastAsia" w:ascii="Arial" w:hAnsi="Arial" w:cs="Arial"/>
          <w:color w:val="auto"/>
          <w:sz w:val="21"/>
          <w:szCs w:val="21"/>
        </w:rPr>
        <w:t>两居室</w:t>
      </w:r>
      <w:r>
        <w:rPr>
          <w:rFonts w:ascii="Arial" w:hAnsi="Arial" w:cs="Arial"/>
          <w:color w:val="auto"/>
          <w:sz w:val="21"/>
          <w:szCs w:val="21"/>
        </w:rPr>
        <w:t>户型，</w:t>
      </w:r>
      <w:r>
        <w:rPr>
          <w:rFonts w:hint="eastAsia" w:ascii="Arial" w:hAnsi="Arial" w:cs="Arial"/>
          <w:color w:val="auto"/>
          <w:sz w:val="21"/>
          <w:szCs w:val="21"/>
        </w:rPr>
        <w:t>高</w:t>
      </w:r>
      <w:r>
        <w:rPr>
          <w:rFonts w:ascii="Arial" w:hAnsi="Arial" w:cs="Arial"/>
          <w:color w:val="auto"/>
          <w:sz w:val="21"/>
          <w:szCs w:val="21"/>
        </w:rPr>
        <w:t>楼层，</w:t>
      </w:r>
      <w:r>
        <w:rPr>
          <w:rFonts w:hint="eastAsia" w:ascii="Arial" w:hAnsi="Arial" w:cs="Arial"/>
          <w:color w:val="auto"/>
          <w:sz w:val="21"/>
          <w:szCs w:val="21"/>
        </w:rPr>
        <w:t>南北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01</w:t>
      </w:r>
      <w:r>
        <w:rPr>
          <w:rFonts w:hint="eastAsia" w:ascii="Arial" w:hAnsi="Arial" w:cs="Arial"/>
          <w:color w:val="auto"/>
          <w:sz w:val="21"/>
          <w:szCs w:val="21"/>
        </w:rPr>
        <w:t>4</w:t>
      </w:r>
      <w:r>
        <w:rPr>
          <w:rFonts w:ascii="Arial" w:hAnsi="Arial" w:cs="Arial"/>
          <w:color w:val="auto"/>
          <w:sz w:val="21"/>
          <w:szCs w:val="21"/>
        </w:rPr>
        <w:t>年，建筑结构为钢混结构，装修为精装修，建筑面积为</w:t>
      </w:r>
      <w:r>
        <w:rPr>
          <w:rFonts w:hint="eastAsia" w:ascii="Arial" w:hAnsi="Arial" w:cs="Arial"/>
          <w:color w:val="auto"/>
          <w:sz w:val="21"/>
          <w:szCs w:val="21"/>
        </w:rPr>
        <w:t>83.03</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为21.68元/平方米·月（含物业费2.66元/平方米·月、取暖费2.5元/平方米·月）。</w:t>
      </w:r>
    </w:p>
    <w:p w14:paraId="03F27EB4">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6：</w:t>
      </w:r>
    </w:p>
    <w:p w14:paraId="08F377F7">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蓝天花园</w:t>
      </w:r>
    </w:p>
    <w:p w14:paraId="7F4DF786">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大兴区育镇街采育文化广场东侧</w:t>
      </w:r>
    </w:p>
    <w:p w14:paraId="6D1DC3BE">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29EB37CD">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3FC87CFA">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•用途：住宅</w:t>
      </w:r>
    </w:p>
    <w:p w14:paraId="096F63EE">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6</w:t>
      </w:r>
      <w:r>
        <w:rPr>
          <w:rFonts w:hint="eastAsia" w:ascii="Arial" w:hAnsi="Arial" w:cs="Arial"/>
          <w:color w:val="auto"/>
          <w:sz w:val="21"/>
          <w:szCs w:val="21"/>
        </w:rPr>
        <w:t>周边2公里内有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东</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福源路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可比实例6</w:t>
      </w:r>
      <w:r>
        <w:rPr>
          <w:rFonts w:ascii="Arial" w:hAnsi="Arial" w:cs="Arial"/>
          <w:color w:val="auto"/>
          <w:sz w:val="21"/>
          <w:szCs w:val="21"/>
        </w:rPr>
        <w:t>为</w:t>
      </w:r>
      <w:r>
        <w:rPr>
          <w:rFonts w:hint="eastAsia" w:ascii="Arial" w:hAnsi="Arial" w:cs="Arial"/>
          <w:color w:val="auto"/>
          <w:sz w:val="21"/>
          <w:szCs w:val="21"/>
        </w:rPr>
        <w:t>两</w:t>
      </w:r>
      <w:r>
        <w:rPr>
          <w:rFonts w:ascii="Arial" w:hAnsi="Arial" w:cs="Arial"/>
          <w:color w:val="auto"/>
          <w:sz w:val="21"/>
          <w:szCs w:val="21"/>
        </w:rPr>
        <w:t>居室户型，</w:t>
      </w:r>
      <w:r>
        <w:rPr>
          <w:rFonts w:hint="eastAsia" w:ascii="Arial" w:hAnsi="Arial" w:cs="Arial"/>
          <w:color w:val="auto"/>
          <w:sz w:val="21"/>
          <w:szCs w:val="21"/>
        </w:rPr>
        <w:t>中</w:t>
      </w:r>
      <w:r>
        <w:rPr>
          <w:rFonts w:ascii="Arial" w:hAnsi="Arial" w:cs="Arial"/>
          <w:color w:val="auto"/>
          <w:sz w:val="21"/>
          <w:szCs w:val="21"/>
        </w:rPr>
        <w:t>楼层，</w:t>
      </w:r>
      <w:r>
        <w:rPr>
          <w:rFonts w:hint="eastAsia" w:ascii="Arial" w:hAnsi="Arial" w:cs="Arial"/>
          <w:color w:val="auto"/>
          <w:sz w:val="21"/>
          <w:szCs w:val="21"/>
        </w:rPr>
        <w:t>南北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w:t>
      </w:r>
      <w:r>
        <w:rPr>
          <w:rFonts w:hint="eastAsia" w:ascii="Arial" w:hAnsi="Arial" w:cs="Arial"/>
          <w:color w:val="auto"/>
          <w:sz w:val="21"/>
          <w:szCs w:val="21"/>
        </w:rPr>
        <w:t>08</w:t>
      </w:r>
      <w:r>
        <w:rPr>
          <w:rFonts w:ascii="Arial" w:hAnsi="Arial" w:cs="Arial"/>
          <w:color w:val="auto"/>
          <w:sz w:val="21"/>
          <w:szCs w:val="21"/>
        </w:rPr>
        <w:t>年，建筑结构为</w:t>
      </w:r>
      <w:r>
        <w:rPr>
          <w:rFonts w:hint="eastAsia" w:ascii="Arial" w:hAnsi="Arial" w:cs="Arial"/>
          <w:color w:val="auto"/>
          <w:sz w:val="21"/>
          <w:szCs w:val="21"/>
        </w:rPr>
        <w:t>混合</w:t>
      </w:r>
      <w:r>
        <w:rPr>
          <w:rFonts w:ascii="Arial" w:hAnsi="Arial" w:cs="Arial"/>
          <w:color w:val="auto"/>
          <w:sz w:val="21"/>
          <w:szCs w:val="21"/>
        </w:rPr>
        <w:t>结构，装修为精装修，建筑面积为</w:t>
      </w:r>
      <w:r>
        <w:rPr>
          <w:rFonts w:hint="eastAsia" w:ascii="Arial" w:hAnsi="Arial" w:cs="Arial"/>
          <w:color w:val="auto"/>
          <w:sz w:val="21"/>
          <w:szCs w:val="21"/>
        </w:rPr>
        <w:t>90.79</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为19.83元/平方米·月（含物业费1.46元/平方米·月、取暖费2.5元/平方米·月）</w:t>
      </w:r>
      <w:r>
        <w:rPr>
          <w:rFonts w:ascii="Arial" w:hAnsi="Arial" w:cs="Arial"/>
          <w:color w:val="auto"/>
          <w:sz w:val="21"/>
          <w:szCs w:val="21"/>
        </w:rPr>
        <w:t>。</w:t>
      </w:r>
    </w:p>
    <w:p w14:paraId="11596486">
      <w:pPr>
        <w:wordWrap w:val="0"/>
        <w:overflowPunct w:val="0"/>
        <w:spacing w:line="480" w:lineRule="auto"/>
        <w:ind w:firstLine="420" w:firstLineChars="200"/>
        <w:rPr>
          <w:rFonts w:hint="eastAsia" w:ascii="宋体" w:hAnsi="宋体"/>
          <w:color w:val="auto"/>
          <w:sz w:val="21"/>
          <w:szCs w:val="21"/>
        </w:rPr>
      </w:pPr>
      <w:r>
        <w:rPr>
          <w:rFonts w:hint="eastAsia" w:ascii="宋体" w:hAnsi="宋体"/>
          <w:color w:val="auto"/>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541B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D7231F6">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交易案例</w:t>
            </w:r>
          </w:p>
        </w:tc>
        <w:tc>
          <w:tcPr>
            <w:tcW w:w="1813" w:type="dxa"/>
            <w:vAlign w:val="center"/>
          </w:tcPr>
          <w:p w14:paraId="10F3769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估价对象</w:t>
            </w:r>
          </w:p>
        </w:tc>
        <w:tc>
          <w:tcPr>
            <w:tcW w:w="1813" w:type="dxa"/>
            <w:vAlign w:val="center"/>
          </w:tcPr>
          <w:p w14:paraId="67188E76">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可比实例4</w:t>
            </w:r>
          </w:p>
        </w:tc>
        <w:tc>
          <w:tcPr>
            <w:tcW w:w="1812" w:type="dxa"/>
            <w:vAlign w:val="center"/>
          </w:tcPr>
          <w:p w14:paraId="341E336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可比实例5</w:t>
            </w:r>
          </w:p>
        </w:tc>
        <w:tc>
          <w:tcPr>
            <w:tcW w:w="1813" w:type="dxa"/>
            <w:vAlign w:val="center"/>
          </w:tcPr>
          <w:p w14:paraId="05A633BC">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可比实例6</w:t>
            </w:r>
          </w:p>
        </w:tc>
      </w:tr>
      <w:tr w14:paraId="7AF9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C36B519">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项目名称</w:t>
            </w:r>
          </w:p>
        </w:tc>
        <w:tc>
          <w:tcPr>
            <w:tcW w:w="1813" w:type="dxa"/>
            <w:vAlign w:val="center"/>
          </w:tcPr>
          <w:p w14:paraId="19CE6550">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1813" w:type="dxa"/>
            <w:vAlign w:val="center"/>
          </w:tcPr>
          <w:p w14:paraId="1E1170C0">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1812" w:type="dxa"/>
            <w:vAlign w:val="center"/>
          </w:tcPr>
          <w:p w14:paraId="1E1F428E">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1813" w:type="dxa"/>
            <w:vAlign w:val="center"/>
          </w:tcPr>
          <w:p w14:paraId="3048FC08">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蓝天花园</w:t>
            </w:r>
          </w:p>
        </w:tc>
      </w:tr>
      <w:tr w14:paraId="3D82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28E3E44">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租金价格（元/㎡·</w:t>
            </w:r>
            <w:r>
              <w:rPr>
                <w:rFonts w:hint="eastAsia" w:ascii="Arial" w:hAnsi="Arial" w:cs="Arial"/>
                <w:color w:val="auto"/>
                <w:sz w:val="16"/>
                <w:szCs w:val="18"/>
              </w:rPr>
              <w:t>月</w:t>
            </w:r>
            <w:r>
              <w:rPr>
                <w:rFonts w:ascii="Arial" w:hAnsi="Arial" w:cs="Arial"/>
                <w:color w:val="auto"/>
                <w:sz w:val="16"/>
                <w:szCs w:val="18"/>
              </w:rPr>
              <w:t>）</w:t>
            </w:r>
          </w:p>
        </w:tc>
        <w:tc>
          <w:tcPr>
            <w:tcW w:w="1813" w:type="dxa"/>
            <w:vAlign w:val="center"/>
          </w:tcPr>
          <w:p w14:paraId="35F7A7EC">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13" w:type="dxa"/>
            <w:vAlign w:val="center"/>
          </w:tcPr>
          <w:p w14:paraId="78F1CDD1">
            <w:pPr>
              <w:pStyle w:val="61"/>
              <w:autoSpaceDE w:val="0"/>
              <w:autoSpaceDN w:val="0"/>
              <w:snapToGrid w:val="0"/>
              <w:spacing w:line="240" w:lineRule="exact"/>
              <w:textAlignment w:val="bottom"/>
              <w:rPr>
                <w:rFonts w:ascii="Arial" w:hAnsi="Arial" w:cs="Arial"/>
                <w:color w:val="auto"/>
                <w:sz w:val="16"/>
                <w:szCs w:val="18"/>
              </w:rPr>
            </w:pPr>
            <w:r>
              <w:rPr>
                <w:rFonts w:hint="eastAsia" w:ascii="Arial" w:hAnsi="Arial" w:cs="Arial"/>
                <w:color w:val="auto"/>
                <w:sz w:val="16"/>
                <w:szCs w:val="18"/>
              </w:rPr>
              <w:t>20.09</w:t>
            </w:r>
          </w:p>
        </w:tc>
        <w:tc>
          <w:tcPr>
            <w:tcW w:w="1812" w:type="dxa"/>
            <w:vAlign w:val="center"/>
          </w:tcPr>
          <w:p w14:paraId="6F71B6E5">
            <w:pPr>
              <w:pStyle w:val="61"/>
              <w:autoSpaceDE w:val="0"/>
              <w:autoSpaceDN w:val="0"/>
              <w:snapToGrid w:val="0"/>
              <w:spacing w:line="240" w:lineRule="exact"/>
              <w:textAlignment w:val="bottom"/>
              <w:rPr>
                <w:rFonts w:ascii="Arial" w:hAnsi="Arial" w:cs="Arial"/>
                <w:color w:val="auto"/>
                <w:sz w:val="16"/>
                <w:szCs w:val="18"/>
              </w:rPr>
            </w:pPr>
            <w:r>
              <w:rPr>
                <w:rFonts w:hint="eastAsia" w:ascii="Arial" w:hAnsi="Arial" w:cs="Arial"/>
                <w:color w:val="auto"/>
                <w:sz w:val="16"/>
                <w:szCs w:val="18"/>
              </w:rPr>
              <w:t>21.68</w:t>
            </w:r>
          </w:p>
        </w:tc>
        <w:tc>
          <w:tcPr>
            <w:tcW w:w="1813" w:type="dxa"/>
            <w:vAlign w:val="center"/>
          </w:tcPr>
          <w:p w14:paraId="788265A6">
            <w:pPr>
              <w:pStyle w:val="61"/>
              <w:autoSpaceDE w:val="0"/>
              <w:autoSpaceDN w:val="0"/>
              <w:snapToGrid w:val="0"/>
              <w:spacing w:line="240" w:lineRule="exact"/>
              <w:textAlignment w:val="bottom"/>
              <w:rPr>
                <w:rFonts w:ascii="Arial" w:hAnsi="Arial" w:cs="Arial"/>
                <w:color w:val="auto"/>
                <w:sz w:val="16"/>
                <w:szCs w:val="18"/>
              </w:rPr>
            </w:pPr>
            <w:r>
              <w:rPr>
                <w:rFonts w:hint="eastAsia" w:ascii="Arial" w:hAnsi="Arial" w:cs="Arial"/>
                <w:color w:val="auto"/>
                <w:sz w:val="16"/>
                <w:szCs w:val="18"/>
              </w:rPr>
              <w:t>19.83</w:t>
            </w:r>
          </w:p>
        </w:tc>
      </w:tr>
      <w:tr w14:paraId="0208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617AE55">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w:t>
            </w:r>
            <w:r>
              <w:rPr>
                <w:rFonts w:ascii="Arial" w:hAnsi="Arial" w:cs="Arial"/>
                <w:color w:val="auto"/>
                <w:sz w:val="16"/>
                <w:szCs w:val="18"/>
              </w:rPr>
              <w:t>租金内涵</w:t>
            </w:r>
          </w:p>
        </w:tc>
        <w:tc>
          <w:tcPr>
            <w:tcW w:w="1813" w:type="dxa"/>
            <w:vAlign w:val="center"/>
          </w:tcPr>
          <w:p w14:paraId="6587DFF9">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28A83F48">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c>
          <w:tcPr>
            <w:tcW w:w="1812" w:type="dxa"/>
            <w:vAlign w:val="center"/>
          </w:tcPr>
          <w:p w14:paraId="59906F3E">
            <w:pPr>
              <w:spacing w:line="276" w:lineRule="auto"/>
              <w:rPr>
                <w:color w:val="auto"/>
                <w:sz w:val="16"/>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c>
          <w:tcPr>
            <w:tcW w:w="1813" w:type="dxa"/>
            <w:vAlign w:val="center"/>
          </w:tcPr>
          <w:p w14:paraId="15087F4F">
            <w:pPr>
              <w:spacing w:line="276" w:lineRule="auto"/>
              <w:rPr>
                <w:color w:val="auto"/>
                <w:sz w:val="16"/>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r>
      <w:tr w14:paraId="4CF9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24C64E">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77D86DE9">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扣减物业费、供暖费</w:t>
            </w:r>
          </w:p>
        </w:tc>
        <w:tc>
          <w:tcPr>
            <w:tcW w:w="1813" w:type="dxa"/>
            <w:vAlign w:val="center"/>
          </w:tcPr>
          <w:p w14:paraId="44FD70BD">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5.16</w:t>
            </w:r>
          </w:p>
        </w:tc>
        <w:tc>
          <w:tcPr>
            <w:tcW w:w="1812" w:type="dxa"/>
            <w:vAlign w:val="center"/>
          </w:tcPr>
          <w:p w14:paraId="49DAEE7B">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5.16</w:t>
            </w:r>
          </w:p>
        </w:tc>
        <w:tc>
          <w:tcPr>
            <w:tcW w:w="1813" w:type="dxa"/>
            <w:vAlign w:val="center"/>
          </w:tcPr>
          <w:p w14:paraId="6EFBCD22">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3.96</w:t>
            </w:r>
          </w:p>
        </w:tc>
      </w:tr>
      <w:tr w14:paraId="5472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8C2BAD7">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01869BA2">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w:t>
            </w:r>
            <w:r>
              <w:rPr>
                <w:rFonts w:ascii="Arial" w:hAnsi="Arial" w:cs="Arial"/>
                <w:color w:val="auto"/>
                <w:sz w:val="16"/>
                <w:szCs w:val="18"/>
              </w:rPr>
              <w:t>租金内涵</w:t>
            </w:r>
            <w:r>
              <w:rPr>
                <w:rFonts w:hint="eastAsia" w:ascii="Arial" w:hAnsi="Arial" w:cs="Arial"/>
                <w:color w:val="auto"/>
                <w:sz w:val="16"/>
                <w:szCs w:val="18"/>
              </w:rPr>
              <w:t>后价格</w:t>
            </w:r>
          </w:p>
        </w:tc>
        <w:tc>
          <w:tcPr>
            <w:tcW w:w="1813" w:type="dxa"/>
            <w:vAlign w:val="center"/>
          </w:tcPr>
          <w:p w14:paraId="240D3AF1">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14.93</w:t>
            </w:r>
          </w:p>
        </w:tc>
        <w:tc>
          <w:tcPr>
            <w:tcW w:w="1812" w:type="dxa"/>
            <w:vAlign w:val="center"/>
          </w:tcPr>
          <w:p w14:paraId="2A9B0605">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16.52</w:t>
            </w:r>
          </w:p>
        </w:tc>
        <w:tc>
          <w:tcPr>
            <w:tcW w:w="1813" w:type="dxa"/>
            <w:vAlign w:val="center"/>
          </w:tcPr>
          <w:p w14:paraId="1842C453">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15.87</w:t>
            </w:r>
          </w:p>
        </w:tc>
      </w:tr>
      <w:tr w14:paraId="661E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2C4EFA5">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统一租赁行为条件</w:t>
            </w:r>
          </w:p>
        </w:tc>
        <w:tc>
          <w:tcPr>
            <w:tcW w:w="1813" w:type="dxa"/>
            <w:vAlign w:val="center"/>
          </w:tcPr>
          <w:p w14:paraId="182A70E6">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3" w:type="dxa"/>
          </w:tcPr>
          <w:p w14:paraId="2F39E6DF">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2" w:type="dxa"/>
          </w:tcPr>
          <w:p w14:paraId="5B5ABF25">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3" w:type="dxa"/>
          </w:tcPr>
          <w:p w14:paraId="4363C8E1">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r>
      <w:tr w14:paraId="3070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1F54488">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2952E6A1">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修正系数</w:t>
            </w:r>
          </w:p>
        </w:tc>
        <w:tc>
          <w:tcPr>
            <w:tcW w:w="1813" w:type="dxa"/>
            <w:vAlign w:val="center"/>
          </w:tcPr>
          <w:p w14:paraId="6C66846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2" w:type="dxa"/>
            <w:vAlign w:val="center"/>
          </w:tcPr>
          <w:p w14:paraId="33F356E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3" w:type="dxa"/>
            <w:vAlign w:val="center"/>
          </w:tcPr>
          <w:p w14:paraId="195A18A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r>
      <w:tr w14:paraId="1936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9447BD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统一计价单位</w:t>
            </w:r>
          </w:p>
        </w:tc>
        <w:tc>
          <w:tcPr>
            <w:tcW w:w="1813" w:type="dxa"/>
            <w:vAlign w:val="center"/>
          </w:tcPr>
          <w:p w14:paraId="5350E40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3" w:type="dxa"/>
            <w:vAlign w:val="center"/>
          </w:tcPr>
          <w:p w14:paraId="61493F2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2" w:type="dxa"/>
            <w:vAlign w:val="center"/>
          </w:tcPr>
          <w:p w14:paraId="5208AE1B">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3" w:type="dxa"/>
            <w:vAlign w:val="center"/>
          </w:tcPr>
          <w:p w14:paraId="320C341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r>
      <w:tr w14:paraId="306C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E44A890">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0B0397F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修正系数</w:t>
            </w:r>
          </w:p>
        </w:tc>
        <w:tc>
          <w:tcPr>
            <w:tcW w:w="1813" w:type="dxa"/>
            <w:vAlign w:val="center"/>
          </w:tcPr>
          <w:p w14:paraId="23E8ED84">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2" w:type="dxa"/>
            <w:vAlign w:val="center"/>
          </w:tcPr>
          <w:p w14:paraId="39ECA92F">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3" w:type="dxa"/>
            <w:vAlign w:val="center"/>
          </w:tcPr>
          <w:p w14:paraId="47234DCF">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r>
      <w:tr w14:paraId="41D3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BFED9EA">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价格（元/㎡·天）</w:t>
            </w:r>
          </w:p>
        </w:tc>
        <w:tc>
          <w:tcPr>
            <w:tcW w:w="1813" w:type="dxa"/>
            <w:vAlign w:val="center"/>
          </w:tcPr>
          <w:p w14:paraId="5AFAC7B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13" w:type="dxa"/>
            <w:vAlign w:val="center"/>
          </w:tcPr>
          <w:p w14:paraId="61CC8BEC">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14.93</w:t>
            </w:r>
          </w:p>
        </w:tc>
        <w:tc>
          <w:tcPr>
            <w:tcW w:w="1812" w:type="dxa"/>
            <w:vAlign w:val="center"/>
          </w:tcPr>
          <w:p w14:paraId="7F20D1C5">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16.52</w:t>
            </w:r>
          </w:p>
        </w:tc>
        <w:tc>
          <w:tcPr>
            <w:tcW w:w="1813" w:type="dxa"/>
            <w:vAlign w:val="center"/>
          </w:tcPr>
          <w:p w14:paraId="291C6821">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15.87</w:t>
            </w:r>
          </w:p>
        </w:tc>
      </w:tr>
    </w:tbl>
    <w:p w14:paraId="6CD53DF2">
      <w:pPr>
        <w:wordWrap w:val="0"/>
        <w:overflowPunct w:val="0"/>
        <w:spacing w:line="480" w:lineRule="auto"/>
        <w:rPr>
          <w:rFonts w:hint="eastAsia" w:ascii="宋体" w:hAnsi="宋体"/>
          <w:color w:val="auto"/>
          <w:sz w:val="21"/>
          <w:szCs w:val="21"/>
        </w:rPr>
      </w:pPr>
    </w:p>
    <w:p w14:paraId="4BB64E8C">
      <w:pPr>
        <w:wordWrap w:val="0"/>
        <w:overflowPunct w:val="0"/>
        <w:spacing w:line="480" w:lineRule="auto"/>
        <w:rPr>
          <w:rFonts w:hint="eastAsia" w:ascii="宋体" w:hAnsi="宋体"/>
          <w:color w:val="auto"/>
          <w:sz w:val="21"/>
          <w:szCs w:val="21"/>
        </w:rPr>
      </w:pPr>
      <w:r>
        <w:rPr>
          <w:rFonts w:hint="eastAsia" w:ascii="宋体" w:hAnsi="宋体"/>
          <w:color w:val="auto"/>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5CB7BE9">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2BF01E69">
            <w:pPr>
              <w:jc w:val="center"/>
              <w:rPr>
                <w:rFonts w:hint="eastAsia" w:ascii="华文细黑" w:hAnsi="华文细黑" w:eastAsia="华文细黑"/>
                <w:color w:val="auto"/>
              </w:rPr>
            </w:pPr>
            <w:r>
              <w:rPr>
                <w:rFonts w:hint="eastAsia" w:ascii="华文细黑" w:hAnsi="华文细黑" w:eastAsia="华文细黑"/>
                <w:color w:val="auto"/>
              </w:rPr>
              <w:t>实例位置</w:t>
            </w:r>
          </w:p>
        </w:tc>
      </w:tr>
      <w:tr w14:paraId="4BDF87D8">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A5D6459">
            <w:pPr>
              <w:jc w:val="center"/>
              <w:rPr>
                <w:rFonts w:ascii="Calibri" w:hAnsi="Calibri"/>
                <w:color w:val="auto"/>
              </w:rPr>
            </w:pPr>
            <w:r>
              <w:rPr>
                <w:color w:val="auto"/>
              </w:rPr>
              <w:drawing>
                <wp:inline distT="0" distB="0" distL="114300" distR="114300">
                  <wp:extent cx="5866130" cy="3993515"/>
                  <wp:effectExtent l="0" t="0" r="1270" b="146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3"/>
                          <a:stretch>
                            <a:fillRect/>
                          </a:stretch>
                        </pic:blipFill>
                        <pic:spPr>
                          <a:xfrm>
                            <a:off x="0" y="0"/>
                            <a:ext cx="5866130" cy="3993515"/>
                          </a:xfrm>
                          <a:prstGeom prst="rect">
                            <a:avLst/>
                          </a:prstGeom>
                          <a:noFill/>
                          <a:ln>
                            <a:noFill/>
                          </a:ln>
                        </pic:spPr>
                      </pic:pic>
                    </a:graphicData>
                  </a:graphic>
                </wp:inline>
              </w:drawing>
            </w:r>
          </w:p>
        </w:tc>
      </w:tr>
    </w:tbl>
    <w:p w14:paraId="596B3751">
      <w:pPr>
        <w:rPr>
          <w:color w:val="auto"/>
        </w:rPr>
      </w:pPr>
    </w:p>
    <w:p w14:paraId="01361411">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br w:type="page"/>
      </w:r>
      <w:r>
        <w:rPr>
          <w:rFonts w:hint="eastAsia" w:ascii="Arial" w:hAnsi="Arial"/>
          <w:color w:val="auto"/>
          <w:sz w:val="21"/>
          <w:szCs w:val="21"/>
        </w:rPr>
        <w:t>（1）建立比较因素条件说明表</w:t>
      </w:r>
      <w:r>
        <w:rPr>
          <w:rFonts w:ascii="Arial" w:hAnsi="Arial"/>
          <w:color w:val="auto"/>
          <w:sz w:val="21"/>
          <w:szCs w:val="21"/>
        </w:rPr>
        <w:t xml:space="preserve"> </w:t>
      </w:r>
    </w:p>
    <w:p w14:paraId="12AC8A66">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color w:val="auto"/>
          <w:sz w:val="21"/>
          <w:szCs w:val="21"/>
        </w:rPr>
        <w:t>：</w:t>
      </w:r>
    </w:p>
    <w:p w14:paraId="004623B5">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1CB13218">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1DD47BA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w:t>
            </w:r>
          </w:p>
        </w:tc>
        <w:tc>
          <w:tcPr>
            <w:tcW w:w="968" w:type="pct"/>
            <w:tcBorders>
              <w:top w:val="single" w:color="auto" w:sz="4" w:space="0"/>
              <w:left w:val="nil"/>
              <w:bottom w:val="single" w:color="auto" w:sz="4" w:space="0"/>
              <w:right w:val="single" w:color="auto" w:sz="4" w:space="0"/>
            </w:tcBorders>
            <w:vAlign w:val="center"/>
          </w:tcPr>
          <w:p w14:paraId="7B98B44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2C483ED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可比实例4</w:t>
            </w:r>
          </w:p>
        </w:tc>
        <w:tc>
          <w:tcPr>
            <w:tcW w:w="968" w:type="pct"/>
            <w:tcBorders>
              <w:top w:val="single" w:color="auto" w:sz="4" w:space="0"/>
              <w:left w:val="nil"/>
              <w:bottom w:val="single" w:color="auto" w:sz="4" w:space="0"/>
              <w:right w:val="single" w:color="auto" w:sz="4" w:space="0"/>
            </w:tcBorders>
            <w:vAlign w:val="center"/>
          </w:tcPr>
          <w:p w14:paraId="6A9FFE9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可比实例5</w:t>
            </w:r>
          </w:p>
        </w:tc>
        <w:tc>
          <w:tcPr>
            <w:tcW w:w="970" w:type="pct"/>
            <w:tcBorders>
              <w:top w:val="single" w:color="auto" w:sz="4" w:space="0"/>
              <w:left w:val="nil"/>
              <w:bottom w:val="single" w:color="auto" w:sz="4" w:space="0"/>
              <w:right w:val="single" w:color="auto" w:sz="4" w:space="0"/>
            </w:tcBorders>
            <w:vAlign w:val="center"/>
          </w:tcPr>
          <w:p w14:paraId="16F6FF6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可比案例6</w:t>
            </w:r>
          </w:p>
        </w:tc>
      </w:tr>
      <w:tr w14:paraId="2A57C2F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DB791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小区名称</w:t>
            </w:r>
          </w:p>
        </w:tc>
        <w:tc>
          <w:tcPr>
            <w:tcW w:w="968" w:type="pct"/>
            <w:tcBorders>
              <w:top w:val="nil"/>
              <w:left w:val="nil"/>
              <w:bottom w:val="single" w:color="auto" w:sz="4" w:space="0"/>
              <w:right w:val="single" w:color="auto" w:sz="4" w:space="0"/>
            </w:tcBorders>
            <w:vAlign w:val="center"/>
          </w:tcPr>
          <w:p w14:paraId="02C248CC">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968" w:type="pct"/>
            <w:tcBorders>
              <w:top w:val="nil"/>
              <w:left w:val="nil"/>
              <w:bottom w:val="single" w:color="auto" w:sz="4" w:space="0"/>
              <w:right w:val="single" w:color="auto" w:sz="4" w:space="0"/>
            </w:tcBorders>
            <w:vAlign w:val="center"/>
          </w:tcPr>
          <w:p w14:paraId="726F65DD">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968" w:type="pct"/>
            <w:tcBorders>
              <w:top w:val="nil"/>
              <w:left w:val="nil"/>
              <w:bottom w:val="single" w:color="auto" w:sz="4" w:space="0"/>
              <w:right w:val="single" w:color="auto" w:sz="4" w:space="0"/>
            </w:tcBorders>
            <w:vAlign w:val="center"/>
          </w:tcPr>
          <w:p w14:paraId="36A3D27D">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970" w:type="pct"/>
            <w:tcBorders>
              <w:top w:val="nil"/>
              <w:left w:val="nil"/>
              <w:bottom w:val="single" w:color="auto" w:sz="4" w:space="0"/>
              <w:right w:val="single" w:color="auto" w:sz="4" w:space="0"/>
            </w:tcBorders>
            <w:vAlign w:val="center"/>
          </w:tcPr>
          <w:p w14:paraId="45CED1E9">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蓝天花园</w:t>
            </w:r>
          </w:p>
        </w:tc>
      </w:tr>
      <w:tr w14:paraId="19E7015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3DE759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平均租金（元/平方米·月）</w:t>
            </w:r>
          </w:p>
        </w:tc>
        <w:tc>
          <w:tcPr>
            <w:tcW w:w="968" w:type="pct"/>
            <w:tcBorders>
              <w:top w:val="nil"/>
              <w:left w:val="nil"/>
              <w:bottom w:val="single" w:color="auto" w:sz="4" w:space="0"/>
              <w:right w:val="single" w:color="auto" w:sz="4" w:space="0"/>
            </w:tcBorders>
            <w:vAlign w:val="center"/>
          </w:tcPr>
          <w:p w14:paraId="0851D3C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00" w:type="dxa"/>
            <w:tcBorders>
              <w:top w:val="nil"/>
              <w:left w:val="nil"/>
              <w:bottom w:val="single" w:color="auto" w:sz="4" w:space="0"/>
              <w:right w:val="single" w:color="auto" w:sz="4" w:space="0"/>
            </w:tcBorders>
            <w:vAlign w:val="center"/>
          </w:tcPr>
          <w:p w14:paraId="46359244">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14.93</w:t>
            </w:r>
          </w:p>
        </w:tc>
        <w:tc>
          <w:tcPr>
            <w:tcW w:w="1800" w:type="dxa"/>
            <w:tcBorders>
              <w:top w:val="nil"/>
              <w:left w:val="nil"/>
              <w:bottom w:val="single" w:color="auto" w:sz="4" w:space="0"/>
              <w:right w:val="single" w:color="auto" w:sz="4" w:space="0"/>
            </w:tcBorders>
            <w:vAlign w:val="center"/>
          </w:tcPr>
          <w:p w14:paraId="10391DE9">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16.52</w:t>
            </w:r>
          </w:p>
        </w:tc>
        <w:tc>
          <w:tcPr>
            <w:tcW w:w="1804" w:type="dxa"/>
            <w:tcBorders>
              <w:top w:val="nil"/>
              <w:left w:val="nil"/>
              <w:bottom w:val="single" w:color="auto" w:sz="4" w:space="0"/>
              <w:right w:val="single" w:color="auto" w:sz="4" w:space="0"/>
            </w:tcBorders>
            <w:vAlign w:val="center"/>
          </w:tcPr>
          <w:p w14:paraId="7A3D3A0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15.87</w:t>
            </w:r>
          </w:p>
        </w:tc>
      </w:tr>
      <w:tr w14:paraId="29081C4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E2B63C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交易时间</w:t>
            </w:r>
          </w:p>
        </w:tc>
        <w:tc>
          <w:tcPr>
            <w:tcW w:w="968" w:type="pct"/>
            <w:tcBorders>
              <w:top w:val="nil"/>
              <w:left w:val="nil"/>
              <w:bottom w:val="single" w:color="auto" w:sz="4" w:space="0"/>
              <w:right w:val="single" w:color="auto" w:sz="4" w:space="0"/>
            </w:tcBorders>
            <w:vAlign w:val="center"/>
          </w:tcPr>
          <w:p w14:paraId="71A0EA0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2025年12月26日</w:t>
            </w:r>
          </w:p>
        </w:tc>
        <w:tc>
          <w:tcPr>
            <w:tcW w:w="968" w:type="pct"/>
            <w:tcBorders>
              <w:top w:val="nil"/>
              <w:left w:val="nil"/>
              <w:bottom w:val="single" w:color="auto" w:sz="4" w:space="0"/>
              <w:right w:val="single" w:color="auto" w:sz="4" w:space="0"/>
            </w:tcBorders>
            <w:vAlign w:val="center"/>
          </w:tcPr>
          <w:p w14:paraId="453F8CC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c>
          <w:tcPr>
            <w:tcW w:w="968" w:type="pct"/>
            <w:tcBorders>
              <w:top w:val="nil"/>
              <w:left w:val="nil"/>
              <w:bottom w:val="single" w:color="auto" w:sz="4" w:space="0"/>
              <w:right w:val="single" w:color="auto" w:sz="4" w:space="0"/>
            </w:tcBorders>
            <w:vAlign w:val="center"/>
          </w:tcPr>
          <w:p w14:paraId="32086D9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c>
          <w:tcPr>
            <w:tcW w:w="970" w:type="pct"/>
            <w:tcBorders>
              <w:top w:val="nil"/>
              <w:left w:val="nil"/>
              <w:bottom w:val="single" w:color="auto" w:sz="4" w:space="0"/>
              <w:right w:val="single" w:color="auto" w:sz="4" w:space="0"/>
            </w:tcBorders>
            <w:vAlign w:val="center"/>
          </w:tcPr>
          <w:p w14:paraId="0861BFC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r>
      <w:tr w14:paraId="5D13C5AC">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7318C7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交易情况</w:t>
            </w:r>
          </w:p>
        </w:tc>
        <w:tc>
          <w:tcPr>
            <w:tcW w:w="968" w:type="pct"/>
            <w:tcBorders>
              <w:top w:val="nil"/>
              <w:left w:val="nil"/>
              <w:bottom w:val="single" w:color="auto" w:sz="4" w:space="0"/>
              <w:right w:val="single" w:color="auto" w:sz="4" w:space="0"/>
            </w:tcBorders>
            <w:vAlign w:val="center"/>
          </w:tcPr>
          <w:p w14:paraId="02E74FD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68" w:type="pct"/>
            <w:tcBorders>
              <w:top w:val="nil"/>
              <w:left w:val="nil"/>
              <w:bottom w:val="single" w:color="auto" w:sz="4" w:space="0"/>
              <w:right w:val="single" w:color="auto" w:sz="4" w:space="0"/>
            </w:tcBorders>
            <w:vAlign w:val="center"/>
          </w:tcPr>
          <w:p w14:paraId="7EEE6F9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68" w:type="pct"/>
            <w:tcBorders>
              <w:top w:val="nil"/>
              <w:left w:val="nil"/>
              <w:bottom w:val="single" w:color="auto" w:sz="4" w:space="0"/>
              <w:right w:val="single" w:color="auto" w:sz="4" w:space="0"/>
            </w:tcBorders>
            <w:vAlign w:val="center"/>
          </w:tcPr>
          <w:p w14:paraId="1C3C3CE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70" w:type="pct"/>
            <w:tcBorders>
              <w:top w:val="nil"/>
              <w:left w:val="nil"/>
              <w:bottom w:val="single" w:color="auto" w:sz="4" w:space="0"/>
              <w:right w:val="single" w:color="auto" w:sz="4" w:space="0"/>
            </w:tcBorders>
            <w:vAlign w:val="center"/>
          </w:tcPr>
          <w:p w14:paraId="4DF8CE6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r>
      <w:tr w14:paraId="7467CCB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93396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项目类型</w:t>
            </w:r>
          </w:p>
        </w:tc>
        <w:tc>
          <w:tcPr>
            <w:tcW w:w="968" w:type="pct"/>
            <w:tcBorders>
              <w:top w:val="nil"/>
              <w:left w:val="nil"/>
              <w:bottom w:val="single" w:color="auto" w:sz="4" w:space="0"/>
              <w:right w:val="single" w:color="auto" w:sz="4" w:space="0"/>
            </w:tcBorders>
            <w:vAlign w:val="center"/>
          </w:tcPr>
          <w:p w14:paraId="5D0E80D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c>
          <w:tcPr>
            <w:tcW w:w="968" w:type="pct"/>
            <w:tcBorders>
              <w:top w:val="nil"/>
              <w:left w:val="nil"/>
              <w:bottom w:val="single" w:color="auto" w:sz="4" w:space="0"/>
              <w:right w:val="single" w:color="auto" w:sz="4" w:space="0"/>
            </w:tcBorders>
            <w:vAlign w:val="center"/>
          </w:tcPr>
          <w:p w14:paraId="10723A3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c>
          <w:tcPr>
            <w:tcW w:w="968" w:type="pct"/>
            <w:tcBorders>
              <w:top w:val="nil"/>
              <w:left w:val="nil"/>
              <w:bottom w:val="single" w:color="auto" w:sz="4" w:space="0"/>
              <w:right w:val="single" w:color="auto" w:sz="4" w:space="0"/>
            </w:tcBorders>
            <w:vAlign w:val="center"/>
          </w:tcPr>
          <w:p w14:paraId="0930E02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c>
          <w:tcPr>
            <w:tcW w:w="970" w:type="pct"/>
            <w:tcBorders>
              <w:top w:val="nil"/>
              <w:left w:val="nil"/>
              <w:bottom w:val="single" w:color="auto" w:sz="4" w:space="0"/>
              <w:right w:val="single" w:color="auto" w:sz="4" w:space="0"/>
            </w:tcBorders>
            <w:vAlign w:val="center"/>
          </w:tcPr>
          <w:p w14:paraId="3312D45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r>
      <w:tr w14:paraId="435BC389">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4D265A0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区域状况</w:t>
            </w:r>
          </w:p>
        </w:tc>
        <w:tc>
          <w:tcPr>
            <w:tcW w:w="758" w:type="pct"/>
            <w:tcBorders>
              <w:top w:val="nil"/>
              <w:left w:val="nil"/>
              <w:bottom w:val="single" w:color="auto" w:sz="4" w:space="0"/>
              <w:right w:val="single" w:color="auto" w:sz="4" w:space="0"/>
            </w:tcBorders>
            <w:vAlign w:val="center"/>
          </w:tcPr>
          <w:p w14:paraId="5358C9F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居住区成熟度</w:t>
            </w:r>
          </w:p>
        </w:tc>
        <w:tc>
          <w:tcPr>
            <w:tcW w:w="968" w:type="pct"/>
            <w:tcBorders>
              <w:top w:val="nil"/>
              <w:left w:val="nil"/>
              <w:bottom w:val="single" w:color="auto" w:sz="4" w:space="0"/>
              <w:right w:val="single" w:color="auto" w:sz="4" w:space="0"/>
            </w:tcBorders>
            <w:vAlign w:val="center"/>
          </w:tcPr>
          <w:p w14:paraId="1049A3AA">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74185F6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66122BBE">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6225132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color w:val="auto"/>
                <w:sz w:val="16"/>
                <w:szCs w:val="18"/>
              </w:rPr>
              <w:t>。</w:t>
            </w:r>
          </w:p>
        </w:tc>
      </w:tr>
      <w:tr w14:paraId="49DC9A4D">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26943D9">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0B5CB6F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道路通达度</w:t>
            </w:r>
          </w:p>
        </w:tc>
        <w:tc>
          <w:tcPr>
            <w:tcW w:w="968" w:type="pct"/>
            <w:tcBorders>
              <w:top w:val="nil"/>
              <w:left w:val="nil"/>
              <w:bottom w:val="single" w:color="auto" w:sz="4" w:space="0"/>
              <w:right w:val="single" w:color="auto" w:sz="4" w:space="0"/>
            </w:tcBorders>
            <w:vAlign w:val="center"/>
          </w:tcPr>
          <w:p w14:paraId="7EE336F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c>
          <w:tcPr>
            <w:tcW w:w="1844" w:type="dxa"/>
            <w:tcBorders>
              <w:top w:val="nil"/>
              <w:left w:val="nil"/>
              <w:bottom w:val="single" w:color="auto" w:sz="4" w:space="0"/>
              <w:right w:val="single" w:color="auto" w:sz="4" w:space="0"/>
            </w:tcBorders>
            <w:vAlign w:val="center"/>
          </w:tcPr>
          <w:p w14:paraId="6DC0350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01C07B8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周边500米内有城市次干道——采凤路</w:t>
            </w:r>
          </w:p>
        </w:tc>
        <w:tc>
          <w:tcPr>
            <w:tcW w:w="1847" w:type="dxa"/>
            <w:tcBorders>
              <w:top w:val="nil"/>
              <w:left w:val="nil"/>
              <w:bottom w:val="single" w:color="auto" w:sz="4" w:space="0"/>
              <w:right w:val="single" w:color="auto" w:sz="4" w:space="0"/>
            </w:tcBorders>
            <w:vAlign w:val="center"/>
          </w:tcPr>
          <w:p w14:paraId="5050E13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r>
      <w:tr w14:paraId="34CA532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F1869F8">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56A61B7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距离轨道交通站点距离</w:t>
            </w:r>
          </w:p>
        </w:tc>
        <w:tc>
          <w:tcPr>
            <w:tcW w:w="968" w:type="pct"/>
            <w:tcBorders>
              <w:top w:val="nil"/>
              <w:left w:val="nil"/>
              <w:bottom w:val="single" w:color="auto" w:sz="4" w:space="0"/>
              <w:right w:val="single" w:color="auto" w:sz="4" w:space="0"/>
            </w:tcBorders>
            <w:vAlign w:val="center"/>
          </w:tcPr>
          <w:p w14:paraId="3D77C1C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3651AF3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76BB5BC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1847" w:type="dxa"/>
            <w:tcBorders>
              <w:top w:val="nil"/>
              <w:left w:val="nil"/>
              <w:bottom w:val="single" w:color="auto" w:sz="4" w:space="0"/>
              <w:right w:val="single" w:color="auto" w:sz="4" w:space="0"/>
            </w:tcBorders>
            <w:vAlign w:val="center"/>
          </w:tcPr>
          <w:p w14:paraId="0CBC746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r>
      <w:tr w14:paraId="4FF370A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0E5FBA7">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21F41DB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距离公交站点距离</w:t>
            </w:r>
          </w:p>
        </w:tc>
        <w:tc>
          <w:tcPr>
            <w:tcW w:w="968" w:type="pct"/>
            <w:tcBorders>
              <w:top w:val="nil"/>
              <w:left w:val="nil"/>
              <w:bottom w:val="single" w:color="auto" w:sz="4" w:space="0"/>
              <w:right w:val="single" w:color="auto" w:sz="4" w:space="0"/>
            </w:tcBorders>
            <w:vAlign w:val="center"/>
          </w:tcPr>
          <w:p w14:paraId="2D25E75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22284B2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7ED89FA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57721DF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r>
      <w:tr w14:paraId="1EF321A6">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935A928">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2AA7525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环境质量优劣度</w:t>
            </w:r>
          </w:p>
        </w:tc>
        <w:tc>
          <w:tcPr>
            <w:tcW w:w="968" w:type="pct"/>
            <w:tcBorders>
              <w:top w:val="nil"/>
              <w:left w:val="nil"/>
              <w:bottom w:val="single" w:color="auto" w:sz="4" w:space="0"/>
              <w:right w:val="single" w:color="auto" w:sz="4" w:space="0"/>
            </w:tcBorders>
            <w:vAlign w:val="center"/>
          </w:tcPr>
          <w:p w14:paraId="700F12F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68" w:type="pct"/>
            <w:tcBorders>
              <w:top w:val="nil"/>
              <w:left w:val="nil"/>
              <w:bottom w:val="single" w:color="auto" w:sz="4" w:space="0"/>
              <w:right w:val="single" w:color="auto" w:sz="4" w:space="0"/>
            </w:tcBorders>
            <w:vAlign w:val="center"/>
          </w:tcPr>
          <w:p w14:paraId="0D57B0DA">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68" w:type="pct"/>
            <w:tcBorders>
              <w:top w:val="nil"/>
              <w:left w:val="nil"/>
              <w:bottom w:val="single" w:color="auto" w:sz="4" w:space="0"/>
              <w:right w:val="single" w:color="auto" w:sz="4" w:space="0"/>
            </w:tcBorders>
            <w:vAlign w:val="center"/>
          </w:tcPr>
          <w:p w14:paraId="78285F4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70" w:type="pct"/>
            <w:tcBorders>
              <w:top w:val="nil"/>
              <w:left w:val="nil"/>
              <w:bottom w:val="single" w:color="auto" w:sz="4" w:space="0"/>
              <w:right w:val="single" w:color="auto" w:sz="4" w:space="0"/>
            </w:tcBorders>
            <w:vAlign w:val="center"/>
          </w:tcPr>
          <w:p w14:paraId="3FDD117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周边5km内无污染源</w:t>
            </w:r>
          </w:p>
        </w:tc>
      </w:tr>
      <w:tr w14:paraId="196F57C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705EB1F9">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7BDE810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自然及人文环境</w:t>
            </w:r>
          </w:p>
        </w:tc>
        <w:tc>
          <w:tcPr>
            <w:tcW w:w="968" w:type="pct"/>
            <w:tcBorders>
              <w:top w:val="nil"/>
              <w:left w:val="nil"/>
              <w:bottom w:val="single" w:color="auto" w:sz="4" w:space="0"/>
              <w:right w:val="single" w:color="auto" w:sz="4" w:space="0"/>
            </w:tcBorders>
            <w:vAlign w:val="center"/>
          </w:tcPr>
          <w:p w14:paraId="22091F8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530BF94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0D66F43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41B35FC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周边有采育公园、凤河等自然景观，自然与人文环境一般。</w:t>
            </w:r>
          </w:p>
        </w:tc>
      </w:tr>
      <w:tr w14:paraId="42F0C3C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F871D05">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5D713DB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小区环境</w:t>
            </w:r>
          </w:p>
        </w:tc>
        <w:tc>
          <w:tcPr>
            <w:tcW w:w="968" w:type="pct"/>
            <w:tcBorders>
              <w:top w:val="nil"/>
              <w:left w:val="nil"/>
              <w:bottom w:val="single" w:color="auto" w:sz="4" w:space="0"/>
              <w:right w:val="single" w:color="auto" w:sz="4" w:space="0"/>
            </w:tcBorders>
            <w:vAlign w:val="center"/>
          </w:tcPr>
          <w:p w14:paraId="5C590A0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5EE21D4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38B421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3072E61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小区道路整洁、绿化率高、有景观设计、人车分流</w:t>
            </w:r>
          </w:p>
        </w:tc>
      </w:tr>
      <w:tr w14:paraId="4406478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992E26A">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0304B66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公共服务设施状况</w:t>
            </w:r>
          </w:p>
        </w:tc>
        <w:tc>
          <w:tcPr>
            <w:tcW w:w="968" w:type="pct"/>
            <w:tcBorders>
              <w:top w:val="nil"/>
              <w:left w:val="nil"/>
              <w:bottom w:val="single" w:color="auto" w:sz="4" w:space="0"/>
              <w:right w:val="single" w:color="auto" w:sz="4" w:space="0"/>
            </w:tcBorders>
            <w:vAlign w:val="center"/>
          </w:tcPr>
          <w:p w14:paraId="66D75D1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6F1B585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071893F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54F1318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4438139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FF41D47">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13140EF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建筑类型</w:t>
            </w:r>
          </w:p>
        </w:tc>
        <w:tc>
          <w:tcPr>
            <w:tcW w:w="968" w:type="pct"/>
            <w:tcBorders>
              <w:top w:val="nil"/>
              <w:left w:val="nil"/>
              <w:bottom w:val="single" w:color="auto" w:sz="4" w:space="0"/>
              <w:right w:val="single" w:color="auto" w:sz="4" w:space="0"/>
            </w:tcBorders>
            <w:vAlign w:val="center"/>
          </w:tcPr>
          <w:p w14:paraId="038E582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c>
          <w:tcPr>
            <w:tcW w:w="968" w:type="pct"/>
            <w:tcBorders>
              <w:top w:val="nil"/>
              <w:left w:val="nil"/>
              <w:bottom w:val="single" w:color="auto" w:sz="4" w:space="0"/>
              <w:right w:val="single" w:color="auto" w:sz="4" w:space="0"/>
            </w:tcBorders>
            <w:vAlign w:val="center"/>
          </w:tcPr>
          <w:p w14:paraId="06D945F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c>
          <w:tcPr>
            <w:tcW w:w="968" w:type="pct"/>
            <w:tcBorders>
              <w:top w:val="nil"/>
              <w:left w:val="nil"/>
              <w:bottom w:val="single" w:color="auto" w:sz="4" w:space="0"/>
              <w:right w:val="single" w:color="auto" w:sz="4" w:space="0"/>
            </w:tcBorders>
            <w:vAlign w:val="center"/>
          </w:tcPr>
          <w:p w14:paraId="585CB34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c>
          <w:tcPr>
            <w:tcW w:w="970" w:type="pct"/>
            <w:tcBorders>
              <w:top w:val="nil"/>
              <w:left w:val="nil"/>
              <w:bottom w:val="single" w:color="auto" w:sz="4" w:space="0"/>
              <w:right w:val="single" w:color="auto" w:sz="4" w:space="0"/>
            </w:tcBorders>
            <w:vAlign w:val="center"/>
          </w:tcPr>
          <w:p w14:paraId="775648E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多层板楼</w:t>
            </w:r>
          </w:p>
        </w:tc>
      </w:tr>
      <w:tr w14:paraId="578C319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6549F49">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676F910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3E1BADC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中</w:t>
            </w: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46E5BAC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低</w:t>
            </w: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763A385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w:t>
            </w:r>
            <w:r>
              <w:rPr>
                <w:rFonts w:ascii="Arial" w:hAnsi="Arial" w:cs="Arial"/>
                <w:color w:val="auto"/>
                <w:sz w:val="16"/>
                <w:szCs w:val="18"/>
              </w:rPr>
              <w:t>楼层</w:t>
            </w:r>
          </w:p>
        </w:tc>
        <w:tc>
          <w:tcPr>
            <w:tcW w:w="970" w:type="pct"/>
            <w:tcBorders>
              <w:top w:val="nil"/>
              <w:left w:val="nil"/>
              <w:bottom w:val="single" w:color="auto" w:sz="4" w:space="0"/>
              <w:right w:val="single" w:color="auto" w:sz="4" w:space="0"/>
            </w:tcBorders>
            <w:vAlign w:val="center"/>
          </w:tcPr>
          <w:p w14:paraId="328FF3E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中</w:t>
            </w:r>
            <w:r>
              <w:rPr>
                <w:rFonts w:ascii="Arial" w:hAnsi="Arial" w:cs="Arial"/>
                <w:color w:val="auto"/>
                <w:sz w:val="16"/>
                <w:szCs w:val="18"/>
              </w:rPr>
              <w:t>楼层</w:t>
            </w:r>
          </w:p>
        </w:tc>
      </w:tr>
      <w:tr w14:paraId="02FD163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38575DCD">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0AB6433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朝向</w:t>
            </w:r>
          </w:p>
        </w:tc>
        <w:tc>
          <w:tcPr>
            <w:tcW w:w="968" w:type="pct"/>
            <w:tcBorders>
              <w:top w:val="nil"/>
              <w:left w:val="nil"/>
              <w:bottom w:val="single" w:color="auto" w:sz="4" w:space="0"/>
              <w:right w:val="single" w:color="auto" w:sz="4" w:space="0"/>
            </w:tcBorders>
            <w:vAlign w:val="center"/>
          </w:tcPr>
          <w:p w14:paraId="0D3C476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68" w:type="pct"/>
            <w:tcBorders>
              <w:top w:val="nil"/>
              <w:left w:val="nil"/>
              <w:bottom w:val="single" w:color="auto" w:sz="4" w:space="0"/>
              <w:right w:val="single" w:color="auto" w:sz="4" w:space="0"/>
            </w:tcBorders>
            <w:vAlign w:val="center"/>
          </w:tcPr>
          <w:p w14:paraId="5C8B1DE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w:t>
            </w:r>
          </w:p>
        </w:tc>
        <w:tc>
          <w:tcPr>
            <w:tcW w:w="968" w:type="pct"/>
            <w:tcBorders>
              <w:top w:val="nil"/>
              <w:left w:val="nil"/>
              <w:bottom w:val="single" w:color="auto" w:sz="4" w:space="0"/>
              <w:right w:val="single" w:color="auto" w:sz="4" w:space="0"/>
            </w:tcBorders>
            <w:vAlign w:val="center"/>
          </w:tcPr>
          <w:p w14:paraId="6006A2D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70" w:type="pct"/>
            <w:tcBorders>
              <w:top w:val="nil"/>
              <w:left w:val="nil"/>
              <w:bottom w:val="single" w:color="auto" w:sz="4" w:space="0"/>
              <w:right w:val="single" w:color="auto" w:sz="4" w:space="0"/>
            </w:tcBorders>
            <w:vAlign w:val="center"/>
          </w:tcPr>
          <w:p w14:paraId="79A3263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r>
      <w:tr w14:paraId="75E559FE">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4249415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0F5BD9B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1BCBDD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68" w:type="pct"/>
            <w:tcBorders>
              <w:top w:val="single" w:color="auto" w:sz="4" w:space="0"/>
              <w:left w:val="nil"/>
              <w:bottom w:val="single" w:color="auto" w:sz="4" w:space="0"/>
              <w:right w:val="single" w:color="auto" w:sz="4" w:space="0"/>
            </w:tcBorders>
            <w:vAlign w:val="center"/>
          </w:tcPr>
          <w:p w14:paraId="50CBB1F4">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68" w:type="pct"/>
            <w:tcBorders>
              <w:top w:val="single" w:color="auto" w:sz="4" w:space="0"/>
              <w:left w:val="nil"/>
              <w:bottom w:val="single" w:color="auto" w:sz="4" w:space="0"/>
              <w:right w:val="single" w:color="auto" w:sz="4" w:space="0"/>
            </w:tcBorders>
            <w:vAlign w:val="center"/>
          </w:tcPr>
          <w:p w14:paraId="3176B71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70" w:type="pct"/>
            <w:tcBorders>
              <w:top w:val="single" w:color="auto" w:sz="4" w:space="0"/>
              <w:left w:val="nil"/>
              <w:bottom w:val="single" w:color="auto" w:sz="4" w:space="0"/>
              <w:right w:val="single" w:color="auto" w:sz="4" w:space="0"/>
            </w:tcBorders>
            <w:vAlign w:val="center"/>
          </w:tcPr>
          <w:p w14:paraId="325B5C0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6</w:t>
            </w:r>
            <w:r>
              <w:rPr>
                <w:rFonts w:ascii="Arial" w:hAnsi="Arial" w:cs="Arial"/>
                <w:color w:val="auto"/>
                <w:sz w:val="16"/>
                <w:szCs w:val="18"/>
              </w:rPr>
              <w:t>0-</w:t>
            </w:r>
            <w:r>
              <w:rPr>
                <w:rFonts w:hint="eastAsia" w:ascii="Arial" w:hAnsi="Arial" w:cs="Arial"/>
                <w:color w:val="auto"/>
                <w:sz w:val="16"/>
                <w:szCs w:val="18"/>
              </w:rPr>
              <w:t>7</w:t>
            </w:r>
            <w:r>
              <w:rPr>
                <w:rFonts w:ascii="Arial" w:hAnsi="Arial" w:cs="Arial"/>
                <w:color w:val="auto"/>
                <w:sz w:val="16"/>
                <w:szCs w:val="18"/>
              </w:rPr>
              <w:t>0%</w:t>
            </w:r>
          </w:p>
        </w:tc>
      </w:tr>
      <w:tr w14:paraId="4F4C0FA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ABA57FC">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59CE625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5D9FB74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3476C3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761088F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73639B5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r>
      <w:tr w14:paraId="128343EA">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4009364">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15233F7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447884A">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4744253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1C55BBB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200FA03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r>
      <w:tr w14:paraId="31EF6E7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0D1363B">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051A678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6103583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85B7D6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8E6F9A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004C46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r>
      <w:tr w14:paraId="4A2CBFF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96ED820">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3C66233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356285F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1FB963E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2639E68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快递柜、垃圾分类收集点</w:t>
            </w:r>
          </w:p>
        </w:tc>
        <w:tc>
          <w:tcPr>
            <w:tcW w:w="970" w:type="pct"/>
            <w:tcBorders>
              <w:top w:val="single" w:color="auto" w:sz="4" w:space="0"/>
              <w:left w:val="nil"/>
              <w:bottom w:val="single" w:color="auto" w:sz="4" w:space="0"/>
              <w:right w:val="single" w:color="auto" w:sz="4" w:space="0"/>
            </w:tcBorders>
            <w:vAlign w:val="center"/>
          </w:tcPr>
          <w:p w14:paraId="164E054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快递柜、垃圾分类收集点</w:t>
            </w:r>
          </w:p>
        </w:tc>
      </w:tr>
      <w:tr w14:paraId="695B40D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1CD64C3">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2F9F543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0E6FD2B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72F2E06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6A971B1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41F8302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r>
      <w:tr w14:paraId="28FCC3A5">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CD39D05">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0D3BC10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4868045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97AD07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79D8B0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平层</w:t>
            </w:r>
          </w:p>
        </w:tc>
        <w:tc>
          <w:tcPr>
            <w:tcW w:w="970" w:type="pct"/>
            <w:tcBorders>
              <w:top w:val="single" w:color="auto" w:sz="4" w:space="0"/>
              <w:left w:val="nil"/>
              <w:bottom w:val="single" w:color="auto" w:sz="4" w:space="0"/>
              <w:right w:val="single" w:color="auto" w:sz="4" w:space="0"/>
            </w:tcBorders>
            <w:vAlign w:val="center"/>
          </w:tcPr>
          <w:p w14:paraId="51EA6A4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平层</w:t>
            </w:r>
          </w:p>
        </w:tc>
      </w:tr>
      <w:tr w14:paraId="47676EAE">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3EA6936">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52D2EF0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01295C3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87.36</w:t>
            </w:r>
          </w:p>
        </w:tc>
        <w:tc>
          <w:tcPr>
            <w:tcW w:w="968" w:type="pct"/>
            <w:tcBorders>
              <w:top w:val="single" w:color="auto" w:sz="4" w:space="0"/>
              <w:left w:val="nil"/>
              <w:bottom w:val="single" w:color="auto" w:sz="4" w:space="0"/>
              <w:right w:val="single" w:color="auto" w:sz="4" w:space="0"/>
            </w:tcBorders>
            <w:vAlign w:val="center"/>
          </w:tcPr>
          <w:p w14:paraId="2AC2FD4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94.59</w:t>
            </w:r>
          </w:p>
        </w:tc>
        <w:tc>
          <w:tcPr>
            <w:tcW w:w="968" w:type="pct"/>
            <w:tcBorders>
              <w:top w:val="single" w:color="auto" w:sz="4" w:space="0"/>
              <w:left w:val="nil"/>
              <w:bottom w:val="single" w:color="auto" w:sz="4" w:space="0"/>
              <w:right w:val="single" w:color="auto" w:sz="4" w:space="0"/>
            </w:tcBorders>
            <w:vAlign w:val="center"/>
          </w:tcPr>
          <w:p w14:paraId="157A493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83.03</w:t>
            </w:r>
          </w:p>
        </w:tc>
        <w:tc>
          <w:tcPr>
            <w:tcW w:w="970" w:type="pct"/>
            <w:tcBorders>
              <w:top w:val="single" w:color="auto" w:sz="4" w:space="0"/>
              <w:left w:val="nil"/>
              <w:bottom w:val="single" w:color="auto" w:sz="4" w:space="0"/>
              <w:right w:val="single" w:color="auto" w:sz="4" w:space="0"/>
            </w:tcBorders>
            <w:vAlign w:val="center"/>
          </w:tcPr>
          <w:p w14:paraId="0F583EA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90.79</w:t>
            </w:r>
          </w:p>
        </w:tc>
      </w:tr>
      <w:tr w14:paraId="1B4F2E5D">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60DF6A4">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40BBE99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03FE056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4322F4D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2F170E6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229077C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r>
      <w:tr w14:paraId="35D1E4D3">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47B253F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1F4B1A3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38BB3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E74138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61D683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51333DA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r>
      <w:tr w14:paraId="113F34F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044375C">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640CB3E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565EFCA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50ED0E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470358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0FC19A0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r>
    </w:tbl>
    <w:p w14:paraId="3F142313">
      <w:pPr>
        <w:overflowPunct w:val="0"/>
        <w:spacing w:line="480" w:lineRule="auto"/>
        <w:ind w:firstLine="420" w:firstLineChars="200"/>
        <w:jc w:val="center"/>
        <w:rPr>
          <w:rFonts w:ascii="Arial" w:hAnsi="Arial"/>
          <w:color w:val="auto"/>
          <w:sz w:val="21"/>
          <w:szCs w:val="21"/>
        </w:rPr>
      </w:pPr>
    </w:p>
    <w:p w14:paraId="0D020CAF">
      <w:pPr>
        <w:overflowPunct w:val="0"/>
        <w:spacing w:line="480" w:lineRule="auto"/>
        <w:ind w:firstLine="420" w:firstLineChars="200"/>
        <w:jc w:val="center"/>
        <w:rPr>
          <w:rFonts w:ascii="Arial" w:hAnsi="Arial"/>
          <w:color w:val="auto"/>
          <w:sz w:val="21"/>
          <w:szCs w:val="21"/>
        </w:rPr>
      </w:pPr>
    </w:p>
    <w:p w14:paraId="22AD4023">
      <w:pPr>
        <w:overflowPunct w:val="0"/>
        <w:spacing w:line="480" w:lineRule="auto"/>
        <w:ind w:firstLine="420" w:firstLineChars="200"/>
        <w:jc w:val="center"/>
        <w:rPr>
          <w:rFonts w:ascii="Arial" w:hAnsi="Arial"/>
          <w:color w:val="auto"/>
          <w:sz w:val="21"/>
          <w:szCs w:val="21"/>
        </w:rPr>
      </w:pPr>
    </w:p>
    <w:p w14:paraId="6B8238C8">
      <w:pPr>
        <w:overflowPunct w:val="0"/>
        <w:spacing w:line="480" w:lineRule="auto"/>
        <w:ind w:firstLine="420" w:firstLineChars="200"/>
        <w:jc w:val="center"/>
        <w:rPr>
          <w:rFonts w:ascii="Arial" w:hAnsi="Arial"/>
          <w:color w:val="auto"/>
          <w:sz w:val="21"/>
          <w:szCs w:val="21"/>
        </w:rPr>
      </w:pPr>
    </w:p>
    <w:p w14:paraId="7DC94817">
      <w:pPr>
        <w:overflowPunct w:val="0"/>
        <w:spacing w:line="480" w:lineRule="auto"/>
        <w:ind w:firstLine="420" w:firstLineChars="200"/>
        <w:jc w:val="center"/>
        <w:rPr>
          <w:rFonts w:ascii="Arial" w:hAnsi="Arial"/>
          <w:color w:val="auto"/>
          <w:sz w:val="21"/>
          <w:szCs w:val="21"/>
        </w:rPr>
      </w:pPr>
    </w:p>
    <w:p w14:paraId="2DDF88E0">
      <w:pPr>
        <w:overflowPunct w:val="0"/>
        <w:spacing w:line="480" w:lineRule="auto"/>
        <w:ind w:firstLine="420" w:firstLineChars="200"/>
        <w:jc w:val="center"/>
        <w:rPr>
          <w:rFonts w:ascii="Arial" w:hAnsi="Arial"/>
          <w:color w:val="auto"/>
          <w:sz w:val="21"/>
          <w:szCs w:val="21"/>
        </w:rPr>
      </w:pPr>
    </w:p>
    <w:p w14:paraId="7392D037">
      <w:pPr>
        <w:overflowPunct w:val="0"/>
        <w:spacing w:line="480" w:lineRule="auto"/>
        <w:ind w:firstLine="420" w:firstLineChars="200"/>
        <w:jc w:val="center"/>
        <w:rPr>
          <w:rFonts w:ascii="Arial" w:hAnsi="Arial"/>
          <w:color w:val="auto"/>
          <w:sz w:val="21"/>
          <w:szCs w:val="21"/>
        </w:rPr>
      </w:pPr>
    </w:p>
    <w:p w14:paraId="624ABBD3">
      <w:pPr>
        <w:overflowPunct w:val="0"/>
        <w:spacing w:line="480" w:lineRule="auto"/>
        <w:ind w:firstLine="420" w:firstLineChars="200"/>
        <w:jc w:val="center"/>
        <w:rPr>
          <w:rFonts w:ascii="Arial" w:hAnsi="Arial"/>
          <w:color w:val="auto"/>
          <w:sz w:val="21"/>
          <w:szCs w:val="21"/>
        </w:rPr>
      </w:pPr>
    </w:p>
    <w:p w14:paraId="68147294">
      <w:pPr>
        <w:overflowPunct w:val="0"/>
        <w:spacing w:line="480" w:lineRule="auto"/>
        <w:ind w:firstLine="420" w:firstLineChars="200"/>
        <w:jc w:val="center"/>
        <w:rPr>
          <w:rFonts w:ascii="Arial" w:hAnsi="Arial"/>
          <w:color w:val="auto"/>
          <w:sz w:val="21"/>
          <w:szCs w:val="21"/>
        </w:rPr>
      </w:pPr>
    </w:p>
    <w:p w14:paraId="737C8B4D">
      <w:pPr>
        <w:wordWrap w:val="0"/>
        <w:overflowPunct w:val="0"/>
        <w:spacing w:line="480" w:lineRule="auto"/>
        <w:rPr>
          <w:rFonts w:ascii="Arial" w:hAnsi="Arial"/>
          <w:color w:val="auto"/>
          <w:sz w:val="21"/>
          <w:szCs w:val="21"/>
        </w:rPr>
      </w:pPr>
    </w:p>
    <w:p w14:paraId="0BF90CA0">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br w:type="page"/>
      </w:r>
      <w:r>
        <w:rPr>
          <w:rFonts w:hint="eastAsia" w:ascii="Arial" w:hAnsi="Arial"/>
          <w:color w:val="auto"/>
          <w:sz w:val="21"/>
          <w:szCs w:val="21"/>
        </w:rPr>
        <w:t>（2）</w:t>
      </w:r>
      <w:r>
        <w:rPr>
          <w:rFonts w:ascii="Arial" w:hAnsi="Arial"/>
          <w:color w:val="auto"/>
          <w:sz w:val="21"/>
          <w:szCs w:val="21"/>
        </w:rPr>
        <w:t xml:space="preserve"> </w:t>
      </w:r>
      <w:r>
        <w:rPr>
          <w:rFonts w:hint="eastAsia" w:ascii="Arial" w:hAnsi="Arial"/>
          <w:color w:val="auto"/>
          <w:sz w:val="21"/>
          <w:szCs w:val="21"/>
        </w:rPr>
        <w:t>建立比较因素条件指数表和因素比较修正系数表</w:t>
      </w:r>
      <w:r>
        <w:rPr>
          <w:rFonts w:ascii="Arial" w:hAnsi="Arial"/>
          <w:color w:val="auto"/>
          <w:sz w:val="21"/>
          <w:szCs w:val="21"/>
        </w:rPr>
        <w:t xml:space="preserve"> </w:t>
      </w:r>
    </w:p>
    <w:p w14:paraId="6C660F25">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color w:val="auto"/>
          <w:sz w:val="21"/>
          <w:szCs w:val="21"/>
        </w:rPr>
        <w:t>：</w:t>
      </w:r>
    </w:p>
    <w:p w14:paraId="225FE10D">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育新花园</w:t>
      </w:r>
      <w:r>
        <w:rPr>
          <w:rFonts w:ascii="Arial" w:hAnsi="Arial"/>
          <w:color w:val="auto"/>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2775E67D">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534964B2">
            <w:pPr>
              <w:snapToGrid w:val="0"/>
              <w:spacing w:line="240" w:lineRule="exact"/>
              <w:jc w:val="right"/>
              <w:rPr>
                <w:rFonts w:hint="eastAsia" w:ascii="宋体" w:hAnsi="宋体" w:cs="Arial"/>
                <w:color w:val="auto"/>
                <w:sz w:val="16"/>
                <w:szCs w:val="18"/>
              </w:rPr>
            </w:pPr>
            <w:r>
              <w:rPr>
                <w:rFonts w:ascii="宋体" w:hAnsi="宋体" w:cs="Arial"/>
                <w:color w:val="auto"/>
                <w:sz w:val="16"/>
                <w:szCs w:val="18"/>
              </w:rPr>
              <w:t>估价对象及</w:t>
            </w:r>
          </w:p>
          <w:p w14:paraId="41A8EA9D">
            <w:pPr>
              <w:snapToGrid w:val="0"/>
              <w:spacing w:line="240" w:lineRule="exact"/>
              <w:jc w:val="right"/>
              <w:rPr>
                <w:rFonts w:hint="eastAsia" w:ascii="宋体" w:hAnsi="宋体" w:cs="Arial"/>
                <w:color w:val="auto"/>
                <w:sz w:val="16"/>
                <w:szCs w:val="18"/>
              </w:rPr>
            </w:pPr>
            <w:r>
              <w:rPr>
                <w:rFonts w:ascii="宋体" w:hAnsi="宋体" w:cs="Arial"/>
                <w:color w:val="auto"/>
                <w:sz w:val="16"/>
                <w:szCs w:val="18"/>
              </w:rPr>
              <w:t>可比实例</w:t>
            </w:r>
          </w:p>
          <w:p w14:paraId="083D5CBC">
            <w:pPr>
              <w:snapToGrid w:val="0"/>
              <w:spacing w:line="240" w:lineRule="exact"/>
              <w:jc w:val="both"/>
              <w:rPr>
                <w:rFonts w:hint="eastAsia" w:ascii="宋体" w:hAnsi="宋体" w:cs="Arial"/>
                <w:color w:val="auto"/>
                <w:sz w:val="16"/>
                <w:szCs w:val="18"/>
              </w:rPr>
            </w:pPr>
          </w:p>
          <w:p w14:paraId="351B47A7">
            <w:pPr>
              <w:snapToGrid w:val="0"/>
              <w:spacing w:line="240" w:lineRule="exact"/>
              <w:jc w:val="both"/>
              <w:rPr>
                <w:rFonts w:hint="eastAsia" w:ascii="宋体" w:hAnsi="宋体" w:cs="Arial"/>
                <w:color w:val="auto"/>
                <w:sz w:val="16"/>
                <w:szCs w:val="18"/>
              </w:rPr>
            </w:pPr>
          </w:p>
          <w:p w14:paraId="7298A3B6">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64CD7959">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39B52B77">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w:t>
            </w:r>
            <w:r>
              <w:rPr>
                <w:rFonts w:hint="eastAsia" w:ascii="宋体" w:hAnsi="宋体" w:cs="Arial"/>
                <w:color w:val="auto"/>
                <w:sz w:val="16"/>
                <w:szCs w:val="18"/>
              </w:rPr>
              <w:t>4</w:t>
            </w:r>
          </w:p>
        </w:tc>
        <w:tc>
          <w:tcPr>
            <w:tcW w:w="531" w:type="pct"/>
            <w:tcBorders>
              <w:top w:val="single" w:color="auto" w:sz="4" w:space="0"/>
              <w:left w:val="nil"/>
              <w:bottom w:val="single" w:color="auto" w:sz="4" w:space="0"/>
              <w:right w:val="single" w:color="auto" w:sz="4" w:space="0"/>
            </w:tcBorders>
            <w:vAlign w:val="center"/>
          </w:tcPr>
          <w:p w14:paraId="76514FCA">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w:t>
            </w:r>
            <w:r>
              <w:rPr>
                <w:rFonts w:hint="eastAsia" w:ascii="宋体" w:hAnsi="宋体" w:cs="Arial"/>
                <w:color w:val="auto"/>
                <w:sz w:val="16"/>
                <w:szCs w:val="18"/>
              </w:rPr>
              <w:t>5</w:t>
            </w:r>
          </w:p>
        </w:tc>
        <w:tc>
          <w:tcPr>
            <w:tcW w:w="531" w:type="pct"/>
            <w:tcBorders>
              <w:top w:val="single" w:color="auto" w:sz="4" w:space="0"/>
              <w:left w:val="nil"/>
              <w:bottom w:val="single" w:color="auto" w:sz="4" w:space="0"/>
              <w:right w:val="single" w:color="auto" w:sz="4" w:space="0"/>
            </w:tcBorders>
            <w:vAlign w:val="center"/>
          </w:tcPr>
          <w:p w14:paraId="286EF73D">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w:t>
            </w:r>
            <w:r>
              <w:rPr>
                <w:rFonts w:hint="eastAsia" w:ascii="宋体" w:hAnsi="宋体" w:cs="Arial"/>
                <w:color w:val="auto"/>
                <w:sz w:val="16"/>
                <w:szCs w:val="18"/>
              </w:rPr>
              <w:t>6</w:t>
            </w:r>
          </w:p>
        </w:tc>
        <w:tc>
          <w:tcPr>
            <w:tcW w:w="2032" w:type="pct"/>
            <w:tcBorders>
              <w:top w:val="single" w:color="auto" w:sz="4" w:space="0"/>
              <w:left w:val="nil"/>
              <w:bottom w:val="single" w:color="auto" w:sz="4" w:space="0"/>
              <w:right w:val="single" w:color="auto" w:sz="4" w:space="0"/>
            </w:tcBorders>
            <w:vAlign w:val="center"/>
          </w:tcPr>
          <w:p w14:paraId="440FA691">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比较因素调整说明</w:t>
            </w:r>
          </w:p>
        </w:tc>
      </w:tr>
      <w:tr w14:paraId="7502F9E5">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71180CC5">
            <w:pPr>
              <w:snapToGrid w:val="0"/>
              <w:spacing w:line="240" w:lineRule="exact"/>
              <w:jc w:val="both"/>
              <w:rPr>
                <w:rFonts w:hint="eastAsia" w:ascii="宋体" w:hAnsi="宋体" w:cs="Arial"/>
                <w:color w:val="auto"/>
                <w:sz w:val="16"/>
                <w:szCs w:val="18"/>
              </w:rPr>
            </w:pPr>
          </w:p>
        </w:tc>
        <w:tc>
          <w:tcPr>
            <w:tcW w:w="531" w:type="pct"/>
            <w:tcBorders>
              <w:top w:val="nil"/>
              <w:left w:val="nil"/>
              <w:bottom w:val="single" w:color="auto" w:sz="4" w:space="0"/>
              <w:right w:val="single" w:color="auto" w:sz="4" w:space="0"/>
            </w:tcBorders>
            <w:vAlign w:val="center"/>
          </w:tcPr>
          <w:p w14:paraId="42AEC6B8">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531" w:type="pct"/>
            <w:tcBorders>
              <w:top w:val="nil"/>
              <w:left w:val="nil"/>
              <w:bottom w:val="single" w:color="auto" w:sz="4" w:space="0"/>
              <w:right w:val="single" w:color="auto" w:sz="4" w:space="0"/>
            </w:tcBorders>
            <w:vAlign w:val="center"/>
          </w:tcPr>
          <w:p w14:paraId="460A6313">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531" w:type="pct"/>
            <w:tcBorders>
              <w:top w:val="nil"/>
              <w:left w:val="nil"/>
              <w:bottom w:val="single" w:color="auto" w:sz="4" w:space="0"/>
              <w:right w:val="single" w:color="auto" w:sz="4" w:space="0"/>
            </w:tcBorders>
            <w:vAlign w:val="center"/>
          </w:tcPr>
          <w:p w14:paraId="1787AEC4">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531" w:type="pct"/>
            <w:tcBorders>
              <w:top w:val="nil"/>
              <w:left w:val="nil"/>
              <w:bottom w:val="single" w:color="auto" w:sz="4" w:space="0"/>
              <w:right w:val="single" w:color="auto" w:sz="4" w:space="0"/>
            </w:tcBorders>
            <w:vAlign w:val="center"/>
          </w:tcPr>
          <w:p w14:paraId="4B484708">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蓝天花园</w:t>
            </w:r>
          </w:p>
        </w:tc>
        <w:tc>
          <w:tcPr>
            <w:tcW w:w="2032" w:type="pct"/>
            <w:tcBorders>
              <w:top w:val="nil"/>
              <w:left w:val="nil"/>
              <w:bottom w:val="single" w:color="auto" w:sz="4" w:space="0"/>
              <w:right w:val="single" w:color="auto" w:sz="4" w:space="0"/>
            </w:tcBorders>
            <w:vAlign w:val="center"/>
          </w:tcPr>
          <w:p w14:paraId="2ED9CFBB">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w:t>
            </w:r>
          </w:p>
        </w:tc>
      </w:tr>
      <w:tr w14:paraId="399BFC2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0E39B28B">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68324C9">
            <w:pPr>
              <w:pStyle w:val="61"/>
              <w:autoSpaceDE w:val="0"/>
              <w:autoSpaceDN w:val="0"/>
              <w:spacing w:line="240" w:lineRule="exact"/>
              <w:jc w:val="left"/>
              <w:textAlignment w:val="bottom"/>
              <w:rPr>
                <w:rFonts w:hint="eastAsia" w:hAnsi="宋体" w:cs="Arial"/>
                <w:color w:val="auto"/>
                <w:sz w:val="16"/>
                <w:szCs w:val="18"/>
              </w:rPr>
            </w:pPr>
            <w:r>
              <w:rPr>
                <w:rFonts w:ascii="Arial" w:hAnsi="Arial" w:cs="Arial"/>
                <w:color w:val="auto"/>
                <w:sz w:val="16"/>
                <w:szCs w:val="18"/>
              </w:rPr>
              <w:t>待估</w:t>
            </w:r>
          </w:p>
        </w:tc>
        <w:tc>
          <w:tcPr>
            <w:tcW w:w="531" w:type="pct"/>
            <w:tcBorders>
              <w:top w:val="nil"/>
              <w:left w:val="nil"/>
              <w:bottom w:val="single" w:color="auto" w:sz="4" w:space="0"/>
              <w:right w:val="single" w:color="auto" w:sz="4" w:space="0"/>
            </w:tcBorders>
            <w:noWrap/>
            <w:vAlign w:val="center"/>
          </w:tcPr>
          <w:p w14:paraId="002705E5">
            <w:pPr>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14.93</w:t>
            </w:r>
          </w:p>
        </w:tc>
        <w:tc>
          <w:tcPr>
            <w:tcW w:w="531" w:type="pct"/>
            <w:tcBorders>
              <w:top w:val="nil"/>
              <w:left w:val="nil"/>
              <w:bottom w:val="single" w:color="auto" w:sz="4" w:space="0"/>
              <w:right w:val="single" w:color="auto" w:sz="4" w:space="0"/>
            </w:tcBorders>
            <w:noWrap/>
            <w:vAlign w:val="center"/>
          </w:tcPr>
          <w:p w14:paraId="7419D19E">
            <w:pPr>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16.52</w:t>
            </w:r>
          </w:p>
        </w:tc>
        <w:tc>
          <w:tcPr>
            <w:tcW w:w="531" w:type="pct"/>
            <w:tcBorders>
              <w:top w:val="nil"/>
              <w:left w:val="nil"/>
              <w:bottom w:val="single" w:color="auto" w:sz="4" w:space="0"/>
              <w:right w:val="single" w:color="auto" w:sz="4" w:space="0"/>
            </w:tcBorders>
            <w:noWrap/>
            <w:vAlign w:val="center"/>
          </w:tcPr>
          <w:p w14:paraId="1D8B99C8">
            <w:pPr>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15.87</w:t>
            </w:r>
          </w:p>
        </w:tc>
        <w:tc>
          <w:tcPr>
            <w:tcW w:w="2032" w:type="pct"/>
            <w:tcBorders>
              <w:top w:val="nil"/>
              <w:left w:val="nil"/>
              <w:bottom w:val="single" w:color="auto" w:sz="4" w:space="0"/>
              <w:right w:val="single" w:color="auto" w:sz="4" w:space="0"/>
            </w:tcBorders>
            <w:vAlign w:val="center"/>
          </w:tcPr>
          <w:p w14:paraId="0F97476E">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w:t>
            </w:r>
          </w:p>
        </w:tc>
      </w:tr>
      <w:tr w14:paraId="1C6CD1D4">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30258963">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交易时间</w:t>
            </w:r>
          </w:p>
        </w:tc>
        <w:tc>
          <w:tcPr>
            <w:tcW w:w="531" w:type="pct"/>
            <w:tcBorders>
              <w:top w:val="nil"/>
              <w:left w:val="nil"/>
              <w:bottom w:val="single" w:color="auto" w:sz="4" w:space="0"/>
              <w:right w:val="single" w:color="auto" w:sz="4" w:space="0"/>
            </w:tcBorders>
            <w:noWrap/>
            <w:vAlign w:val="center"/>
          </w:tcPr>
          <w:p w14:paraId="2B14624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0BD47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8E22DA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7FD118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7296C0BC">
            <w:pPr>
              <w:snapToGrid w:val="0"/>
              <w:spacing w:line="240" w:lineRule="exact"/>
              <w:jc w:val="both"/>
              <w:rPr>
                <w:rFonts w:ascii="Arial" w:hAnsi="Arial" w:cs="Arial"/>
                <w:color w:val="auto"/>
                <w:sz w:val="16"/>
                <w:szCs w:val="18"/>
              </w:rPr>
            </w:pPr>
            <w:r>
              <w:rPr>
                <w:rFonts w:ascii="Arial" w:hAnsi="Arial" w:cs="Arial"/>
                <w:color w:val="auto"/>
                <w:sz w:val="16"/>
                <w:szCs w:val="18"/>
              </w:rPr>
              <w:t>估价对象与可比实例的交易时间一致，因此确定估价对象与可比实例该因素指数均为100；</w:t>
            </w:r>
          </w:p>
        </w:tc>
      </w:tr>
      <w:tr w14:paraId="25235B7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5BA6A4A">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交易情况</w:t>
            </w:r>
          </w:p>
        </w:tc>
        <w:tc>
          <w:tcPr>
            <w:tcW w:w="531" w:type="pct"/>
            <w:tcBorders>
              <w:top w:val="nil"/>
              <w:left w:val="nil"/>
              <w:bottom w:val="single" w:color="auto" w:sz="4" w:space="0"/>
              <w:right w:val="single" w:color="auto" w:sz="4" w:space="0"/>
            </w:tcBorders>
            <w:noWrap/>
            <w:vAlign w:val="center"/>
          </w:tcPr>
          <w:p w14:paraId="2B8C5C2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2B8BBC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409B40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34CB42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70A92CAA">
            <w:pPr>
              <w:snapToGrid w:val="0"/>
              <w:spacing w:line="240" w:lineRule="exact"/>
              <w:jc w:val="both"/>
              <w:rPr>
                <w:rFonts w:ascii="Arial" w:hAnsi="Arial" w:cs="Arial"/>
                <w:color w:val="auto"/>
                <w:sz w:val="16"/>
                <w:szCs w:val="18"/>
              </w:rPr>
            </w:pPr>
            <w:r>
              <w:rPr>
                <w:rFonts w:ascii="Arial" w:hAnsi="Arial" w:cs="Arial"/>
                <w:color w:val="auto"/>
                <w:sz w:val="16"/>
                <w:szCs w:val="18"/>
              </w:rPr>
              <w:t>可比实例均为正常交易或已修正为正常交易，故不予修正，交易情况指数均100；</w:t>
            </w:r>
          </w:p>
        </w:tc>
      </w:tr>
      <w:tr w14:paraId="6AF3B62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8779DE5">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项目类型</w:t>
            </w:r>
          </w:p>
        </w:tc>
        <w:tc>
          <w:tcPr>
            <w:tcW w:w="531" w:type="pct"/>
            <w:tcBorders>
              <w:top w:val="nil"/>
              <w:left w:val="nil"/>
              <w:bottom w:val="single" w:color="auto" w:sz="4" w:space="0"/>
              <w:right w:val="single" w:color="auto" w:sz="4" w:space="0"/>
            </w:tcBorders>
            <w:noWrap/>
            <w:vAlign w:val="center"/>
          </w:tcPr>
          <w:p w14:paraId="7FF13B9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4883B8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960163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640041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70EA6363">
            <w:pPr>
              <w:snapToGrid w:val="0"/>
              <w:spacing w:line="240" w:lineRule="exact"/>
              <w:jc w:val="both"/>
              <w:rPr>
                <w:rFonts w:ascii="Arial" w:hAnsi="Arial" w:cs="Arial"/>
                <w:color w:val="auto"/>
                <w:sz w:val="16"/>
                <w:szCs w:val="18"/>
              </w:rPr>
            </w:pPr>
            <w:r>
              <w:rPr>
                <w:rFonts w:ascii="Arial" w:hAnsi="Arial" w:cs="Arial"/>
                <w:color w:val="auto"/>
                <w:sz w:val="16"/>
                <w:szCs w:val="18"/>
              </w:rPr>
              <w:t>可比实例均为</w:t>
            </w:r>
            <w:r>
              <w:rPr>
                <w:rFonts w:hint="eastAsia" w:ascii="Arial" w:hAnsi="Arial" w:cs="Arial"/>
                <w:color w:val="auto"/>
                <w:sz w:val="16"/>
                <w:szCs w:val="18"/>
              </w:rPr>
              <w:t>住宅</w:t>
            </w:r>
            <w:r>
              <w:rPr>
                <w:rFonts w:ascii="Arial" w:hAnsi="Arial" w:cs="Arial"/>
                <w:color w:val="auto"/>
                <w:sz w:val="16"/>
                <w:szCs w:val="18"/>
              </w:rPr>
              <w:t>，故不予修正，交易情况指数均100；</w:t>
            </w:r>
          </w:p>
        </w:tc>
      </w:tr>
      <w:tr w14:paraId="36A07159">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22A04400">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区域</w:t>
            </w:r>
          </w:p>
          <w:p w14:paraId="795D6646">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状况</w:t>
            </w:r>
          </w:p>
        </w:tc>
        <w:tc>
          <w:tcPr>
            <w:tcW w:w="535" w:type="pct"/>
            <w:tcBorders>
              <w:top w:val="nil"/>
              <w:left w:val="nil"/>
              <w:bottom w:val="single" w:color="auto" w:sz="4" w:space="0"/>
              <w:right w:val="single" w:color="auto" w:sz="4" w:space="0"/>
            </w:tcBorders>
            <w:vAlign w:val="center"/>
          </w:tcPr>
          <w:p w14:paraId="0F298711">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居住区成熟度</w:t>
            </w:r>
          </w:p>
        </w:tc>
        <w:tc>
          <w:tcPr>
            <w:tcW w:w="531" w:type="pct"/>
            <w:tcBorders>
              <w:top w:val="nil"/>
              <w:left w:val="nil"/>
              <w:bottom w:val="single" w:color="auto" w:sz="4" w:space="0"/>
              <w:right w:val="single" w:color="auto" w:sz="4" w:space="0"/>
            </w:tcBorders>
            <w:noWrap/>
            <w:vAlign w:val="center"/>
          </w:tcPr>
          <w:p w14:paraId="472F3F9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AA64D7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8F73D2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FF2CAE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05FCF4C">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从好到差划分为优、较优、一般、较劣、劣五个等级，每个等级相差5分，确定可比实例1、2、3该因素指数分别为100、100、100；</w:t>
            </w:r>
          </w:p>
        </w:tc>
      </w:tr>
      <w:tr w14:paraId="54749A8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4293BE6">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CEBB4DA">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道路通达度</w:t>
            </w:r>
          </w:p>
        </w:tc>
        <w:tc>
          <w:tcPr>
            <w:tcW w:w="531" w:type="pct"/>
            <w:tcBorders>
              <w:top w:val="nil"/>
              <w:left w:val="nil"/>
              <w:bottom w:val="single" w:color="auto" w:sz="4" w:space="0"/>
              <w:right w:val="single" w:color="auto" w:sz="4" w:space="0"/>
            </w:tcBorders>
            <w:noWrap/>
            <w:vAlign w:val="center"/>
          </w:tcPr>
          <w:p w14:paraId="7986084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5F87A0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6DA66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196553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6F4F68CE">
            <w:pPr>
              <w:snapToGrid w:val="0"/>
              <w:spacing w:line="240" w:lineRule="exact"/>
              <w:jc w:val="both"/>
              <w:rPr>
                <w:rFonts w:ascii="Arial" w:hAnsi="Arial" w:cs="Arial"/>
                <w:color w:val="auto"/>
                <w:sz w:val="16"/>
                <w:szCs w:val="18"/>
              </w:rPr>
            </w:pPr>
            <w:r>
              <w:rPr>
                <w:rFonts w:ascii="Arial" w:hAnsi="Arial" w:cs="Arial"/>
                <w:color w:val="auto"/>
                <w:sz w:val="16"/>
                <w:szCs w:val="18"/>
              </w:rPr>
              <w:t>按照距离干道的距离和干道等级分为优、较优、一般、较劣、劣五个等级，每个等级相差2分，确定可比实例1、2、3该因素指数分别为100、100、100；</w:t>
            </w:r>
          </w:p>
        </w:tc>
      </w:tr>
      <w:tr w14:paraId="5C385979">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858F1E8">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74501FD">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D69FCF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619353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01C4BE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8981E6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6ED42911">
            <w:pPr>
              <w:snapToGrid w:val="0"/>
              <w:spacing w:line="240" w:lineRule="exact"/>
              <w:jc w:val="both"/>
              <w:rPr>
                <w:rFonts w:ascii="Arial" w:hAnsi="Arial" w:cs="Arial"/>
                <w:color w:val="auto"/>
                <w:sz w:val="16"/>
                <w:szCs w:val="18"/>
              </w:rPr>
            </w:pPr>
            <w:r>
              <w:rPr>
                <w:rFonts w:ascii="Arial" w:hAnsi="Arial" w:cs="Arial"/>
                <w:color w:val="auto"/>
                <w:sz w:val="16"/>
                <w:szCs w:val="18"/>
              </w:rPr>
              <w:t>按照距离轨道交通的距离，0.5km为一档，每个等级相差</w:t>
            </w:r>
            <w:r>
              <w:rPr>
                <w:rFonts w:hint="eastAsia" w:ascii="Arial" w:hAnsi="Arial" w:cs="Arial"/>
                <w:color w:val="auto"/>
                <w:sz w:val="16"/>
                <w:szCs w:val="18"/>
              </w:rPr>
              <w:t>1</w:t>
            </w:r>
            <w:r>
              <w:rPr>
                <w:rFonts w:ascii="Arial" w:hAnsi="Arial" w:cs="Arial"/>
                <w:color w:val="auto"/>
                <w:sz w:val="16"/>
                <w:szCs w:val="18"/>
              </w:rPr>
              <w:t>分，确定可比实例1、2、3该因素指数分别为100、100、100；</w:t>
            </w:r>
          </w:p>
        </w:tc>
      </w:tr>
      <w:tr w14:paraId="7297EE1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8CD7129">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C7B3BE9">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距离公交站点距离</w:t>
            </w:r>
          </w:p>
        </w:tc>
        <w:tc>
          <w:tcPr>
            <w:tcW w:w="531" w:type="pct"/>
            <w:tcBorders>
              <w:top w:val="nil"/>
              <w:left w:val="nil"/>
              <w:bottom w:val="single" w:color="auto" w:sz="4" w:space="0"/>
              <w:right w:val="single" w:color="auto" w:sz="4" w:space="0"/>
            </w:tcBorders>
            <w:noWrap/>
            <w:vAlign w:val="center"/>
          </w:tcPr>
          <w:p w14:paraId="1EB649F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24046F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6F07C4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2DD83B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1713EDD6">
            <w:pPr>
              <w:snapToGrid w:val="0"/>
              <w:spacing w:line="240" w:lineRule="exact"/>
              <w:jc w:val="both"/>
              <w:rPr>
                <w:rFonts w:ascii="Arial" w:hAnsi="Arial" w:cs="Arial"/>
                <w:color w:val="auto"/>
                <w:sz w:val="16"/>
                <w:szCs w:val="18"/>
              </w:rPr>
            </w:pPr>
            <w:r>
              <w:rPr>
                <w:rFonts w:ascii="Arial" w:hAnsi="Arial" w:cs="Arial"/>
                <w:color w:val="auto"/>
                <w:sz w:val="16"/>
                <w:szCs w:val="18"/>
              </w:rPr>
              <w:t>按照距离公交站点的距离，0.5km为一档，每个等级相差2分，确定可比实例1、2、3该因素指数分别为100、100、100；</w:t>
            </w:r>
          </w:p>
        </w:tc>
      </w:tr>
      <w:tr w14:paraId="4F9C931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9964099">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4390FD1">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环境质量优劣度</w:t>
            </w:r>
          </w:p>
        </w:tc>
        <w:tc>
          <w:tcPr>
            <w:tcW w:w="531" w:type="pct"/>
            <w:tcBorders>
              <w:top w:val="nil"/>
              <w:left w:val="nil"/>
              <w:bottom w:val="single" w:color="auto" w:sz="4" w:space="0"/>
              <w:right w:val="single" w:color="auto" w:sz="4" w:space="0"/>
            </w:tcBorders>
            <w:noWrap/>
            <w:vAlign w:val="center"/>
          </w:tcPr>
          <w:p w14:paraId="3C207D6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578706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87DD76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EBE0B3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6BC06982">
            <w:pPr>
              <w:snapToGrid w:val="0"/>
              <w:spacing w:line="240" w:lineRule="exact"/>
              <w:jc w:val="both"/>
              <w:rPr>
                <w:rFonts w:ascii="Arial" w:hAnsi="Arial" w:cs="Arial"/>
                <w:color w:val="auto"/>
                <w:sz w:val="16"/>
                <w:szCs w:val="18"/>
              </w:rPr>
            </w:pPr>
            <w:r>
              <w:rPr>
                <w:rFonts w:hint="eastAsia" w:ascii="Arial" w:hAnsi="Arial" w:cs="Arial"/>
                <w:color w:val="auto"/>
                <w:sz w:val="16"/>
                <w:szCs w:val="18"/>
              </w:rPr>
              <w:t>根据周边污染源的范围，判断优劣，每档相差2分</w:t>
            </w:r>
            <w:r>
              <w:rPr>
                <w:rFonts w:ascii="Arial" w:hAnsi="Arial" w:cs="Arial"/>
                <w:color w:val="auto"/>
                <w:sz w:val="16"/>
                <w:szCs w:val="18"/>
              </w:rPr>
              <w:t>，确定可比实例1、2、3该因素指数分别为100、100、100</w:t>
            </w:r>
            <w:r>
              <w:rPr>
                <w:rFonts w:hint="eastAsia" w:ascii="Arial" w:hAnsi="Arial" w:cs="Arial"/>
                <w:color w:val="auto"/>
                <w:sz w:val="16"/>
                <w:szCs w:val="18"/>
              </w:rPr>
              <w:t>；</w:t>
            </w:r>
          </w:p>
        </w:tc>
      </w:tr>
      <w:tr w14:paraId="199E5E8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4C3C4B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55EF893">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自然环境</w:t>
            </w:r>
          </w:p>
        </w:tc>
        <w:tc>
          <w:tcPr>
            <w:tcW w:w="531" w:type="pct"/>
            <w:tcBorders>
              <w:top w:val="nil"/>
              <w:left w:val="nil"/>
              <w:bottom w:val="single" w:color="auto" w:sz="4" w:space="0"/>
              <w:right w:val="single" w:color="auto" w:sz="4" w:space="0"/>
            </w:tcBorders>
            <w:noWrap/>
            <w:vAlign w:val="center"/>
          </w:tcPr>
          <w:p w14:paraId="4772F38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FF61B0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F7794D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996BA6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679CC45">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从好到差划分为好、较好、一般、较差、差五个等级，每个等级相差2分，确定可比实例1、2、3该因素指数分别为100、100、100；</w:t>
            </w:r>
          </w:p>
        </w:tc>
      </w:tr>
      <w:tr w14:paraId="540F8C0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9CB38F">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5A16B55">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小区环境</w:t>
            </w:r>
          </w:p>
        </w:tc>
        <w:tc>
          <w:tcPr>
            <w:tcW w:w="531" w:type="pct"/>
            <w:tcBorders>
              <w:top w:val="nil"/>
              <w:left w:val="nil"/>
              <w:bottom w:val="single" w:color="auto" w:sz="4" w:space="0"/>
              <w:right w:val="single" w:color="auto" w:sz="4" w:space="0"/>
            </w:tcBorders>
            <w:noWrap/>
            <w:vAlign w:val="center"/>
          </w:tcPr>
          <w:p w14:paraId="4C9F9BC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22823E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8F5D2A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99FD91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45821A5">
            <w:pPr>
              <w:snapToGrid w:val="0"/>
              <w:spacing w:line="240" w:lineRule="exact"/>
              <w:jc w:val="both"/>
              <w:rPr>
                <w:rFonts w:ascii="Arial" w:hAnsi="Arial" w:cs="Arial"/>
                <w:color w:val="auto"/>
                <w:sz w:val="16"/>
                <w:szCs w:val="18"/>
              </w:rPr>
            </w:pPr>
            <w:r>
              <w:rPr>
                <w:rFonts w:hint="eastAsia" w:ascii="Arial" w:hAnsi="Arial" w:cs="Arial"/>
                <w:color w:val="auto"/>
                <w:sz w:val="16"/>
                <w:szCs w:val="18"/>
              </w:rPr>
              <w:t>根据小区道路、绿化率、景观设计及人车分流情况分为一档，每级相差1分，</w:t>
            </w:r>
            <w:r>
              <w:rPr>
                <w:rFonts w:ascii="Arial" w:hAnsi="Arial" w:cs="Arial"/>
                <w:color w:val="auto"/>
                <w:sz w:val="16"/>
                <w:szCs w:val="18"/>
              </w:rPr>
              <w:t>确定可比实例1、2、3该因素指数分别为100、100、100；</w:t>
            </w:r>
          </w:p>
        </w:tc>
      </w:tr>
      <w:tr w14:paraId="0D758AC2">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37D0279">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DD4D2CC">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公共服务设施状况</w:t>
            </w:r>
          </w:p>
        </w:tc>
        <w:tc>
          <w:tcPr>
            <w:tcW w:w="531" w:type="pct"/>
            <w:tcBorders>
              <w:top w:val="nil"/>
              <w:left w:val="nil"/>
              <w:bottom w:val="single" w:color="auto" w:sz="4" w:space="0"/>
              <w:right w:val="single" w:color="auto" w:sz="4" w:space="0"/>
            </w:tcBorders>
            <w:noWrap/>
            <w:vAlign w:val="center"/>
          </w:tcPr>
          <w:p w14:paraId="08A792E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FBAB97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96A3AD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B60027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0D4AE666">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从好到差划分为齐全、较齐全、一般、较不齐全、不齐全五个等级，每个等级相差5分，确定可比实例1、2、3该因素指数分别为100、100、100；</w:t>
            </w:r>
          </w:p>
        </w:tc>
      </w:tr>
      <w:tr w14:paraId="02D92CB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158F4B0">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CAFF753">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建筑类型</w:t>
            </w:r>
          </w:p>
        </w:tc>
        <w:tc>
          <w:tcPr>
            <w:tcW w:w="531" w:type="pct"/>
            <w:tcBorders>
              <w:top w:val="nil"/>
              <w:left w:val="nil"/>
              <w:bottom w:val="single" w:color="auto" w:sz="4" w:space="0"/>
              <w:right w:val="single" w:color="auto" w:sz="4" w:space="0"/>
            </w:tcBorders>
            <w:noWrap/>
            <w:vAlign w:val="center"/>
          </w:tcPr>
          <w:p w14:paraId="05B020D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0E9A5E9">
            <w:pPr>
              <w:snapToGrid w:val="0"/>
              <w:spacing w:line="240" w:lineRule="exact"/>
              <w:jc w:val="both"/>
              <w:rPr>
                <w:rFonts w:ascii="Arial" w:hAnsi="Arial" w:cs="Arial"/>
                <w:color w:val="auto"/>
                <w:sz w:val="16"/>
                <w:szCs w:val="18"/>
              </w:rPr>
            </w:pPr>
            <w:r>
              <w:rPr>
                <w:rFonts w:ascii="Arial" w:hAnsi="Arial" w:cs="Arial"/>
                <w:color w:val="auto"/>
                <w:sz w:val="16"/>
                <w:szCs w:val="18"/>
              </w:rPr>
              <w:t>1</w:t>
            </w:r>
            <w:r>
              <w:rPr>
                <w:rFonts w:hint="eastAsia" w:ascii="Arial" w:hAnsi="Arial" w:cs="Arial"/>
                <w:color w:val="auto"/>
                <w:sz w:val="16"/>
                <w:szCs w:val="18"/>
              </w:rPr>
              <w:t>00</w:t>
            </w:r>
          </w:p>
        </w:tc>
        <w:tc>
          <w:tcPr>
            <w:tcW w:w="531" w:type="pct"/>
            <w:tcBorders>
              <w:top w:val="nil"/>
              <w:left w:val="nil"/>
              <w:bottom w:val="single" w:color="auto" w:sz="4" w:space="0"/>
              <w:right w:val="single" w:color="auto" w:sz="4" w:space="0"/>
            </w:tcBorders>
            <w:noWrap/>
            <w:vAlign w:val="center"/>
          </w:tcPr>
          <w:p w14:paraId="2E8EBD8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508B9E2">
            <w:pPr>
              <w:snapToGrid w:val="0"/>
              <w:spacing w:line="240" w:lineRule="exact"/>
              <w:jc w:val="both"/>
              <w:rPr>
                <w:rFonts w:ascii="Arial" w:hAnsi="Arial" w:cs="Arial"/>
                <w:color w:val="auto"/>
                <w:sz w:val="16"/>
                <w:szCs w:val="18"/>
              </w:rPr>
            </w:pPr>
            <w:r>
              <w:rPr>
                <w:rFonts w:ascii="Arial" w:hAnsi="Arial" w:cs="Arial"/>
                <w:color w:val="auto"/>
                <w:sz w:val="16"/>
                <w:szCs w:val="18"/>
              </w:rPr>
              <w:t>10</w:t>
            </w:r>
            <w:r>
              <w:rPr>
                <w:rFonts w:hint="eastAsia" w:ascii="Arial" w:hAnsi="Arial" w:cs="Arial"/>
                <w:color w:val="auto"/>
                <w:sz w:val="16"/>
                <w:szCs w:val="18"/>
              </w:rPr>
              <w:t>5</w:t>
            </w:r>
          </w:p>
        </w:tc>
        <w:tc>
          <w:tcPr>
            <w:tcW w:w="2032" w:type="pct"/>
            <w:tcBorders>
              <w:top w:val="nil"/>
              <w:left w:val="nil"/>
              <w:bottom w:val="single" w:color="auto" w:sz="4" w:space="0"/>
              <w:right w:val="single" w:color="auto" w:sz="4" w:space="0"/>
            </w:tcBorders>
            <w:vAlign w:val="center"/>
          </w:tcPr>
          <w:p w14:paraId="2ACFD989">
            <w:pPr>
              <w:snapToGrid w:val="0"/>
              <w:spacing w:line="240" w:lineRule="exact"/>
              <w:jc w:val="both"/>
              <w:rPr>
                <w:rFonts w:ascii="Arial" w:hAnsi="Arial" w:cs="Arial"/>
                <w:color w:val="auto"/>
                <w:sz w:val="16"/>
                <w:szCs w:val="18"/>
              </w:rPr>
            </w:pPr>
            <w:r>
              <w:rPr>
                <w:rFonts w:ascii="Arial" w:hAnsi="Arial" w:cs="Arial"/>
                <w:color w:val="auto"/>
                <w:sz w:val="16"/>
                <w:szCs w:val="18"/>
              </w:rPr>
              <w:t>分为</w:t>
            </w:r>
            <w:r>
              <w:rPr>
                <w:rFonts w:hint="eastAsia" w:ascii="Arial" w:hAnsi="Arial" w:cs="Arial"/>
                <w:color w:val="auto"/>
                <w:sz w:val="16"/>
                <w:szCs w:val="18"/>
              </w:rPr>
              <w:t>多层板楼、高层板楼、板塔结合、塔楼四</w:t>
            </w:r>
            <w:r>
              <w:rPr>
                <w:rFonts w:ascii="Arial" w:hAnsi="Arial" w:cs="Arial"/>
                <w:color w:val="auto"/>
                <w:sz w:val="16"/>
                <w:szCs w:val="18"/>
              </w:rPr>
              <w:t>个等级，以估价对象指数为 100，每相差一个等级，每级相差</w:t>
            </w:r>
            <w:r>
              <w:rPr>
                <w:rFonts w:hint="eastAsia" w:ascii="Arial" w:hAnsi="Arial" w:cs="Arial"/>
                <w:color w:val="auto"/>
                <w:sz w:val="16"/>
                <w:szCs w:val="18"/>
              </w:rPr>
              <w:t>5</w:t>
            </w:r>
            <w:r>
              <w:rPr>
                <w:rFonts w:ascii="Arial" w:hAnsi="Arial" w:cs="Arial"/>
                <w:color w:val="auto"/>
                <w:sz w:val="16"/>
                <w:szCs w:val="18"/>
              </w:rPr>
              <w:t>分，确定可比实例1、2、3该因素指数分别为</w:t>
            </w:r>
            <w:r>
              <w:rPr>
                <w:rFonts w:hint="eastAsia" w:ascii="Arial" w:hAnsi="Arial" w:cs="Arial"/>
                <w:color w:val="auto"/>
                <w:sz w:val="16"/>
                <w:szCs w:val="18"/>
              </w:rPr>
              <w:t>100</w:t>
            </w:r>
            <w:r>
              <w:rPr>
                <w:rFonts w:ascii="Arial" w:hAnsi="Arial" w:cs="Arial"/>
                <w:color w:val="auto"/>
                <w:sz w:val="16"/>
                <w:szCs w:val="18"/>
              </w:rPr>
              <w:t>、</w:t>
            </w:r>
            <w:r>
              <w:rPr>
                <w:rFonts w:hint="eastAsia" w:ascii="Arial" w:hAnsi="Arial" w:cs="Arial"/>
                <w:color w:val="auto"/>
                <w:sz w:val="16"/>
                <w:szCs w:val="18"/>
              </w:rPr>
              <w:t>100</w:t>
            </w:r>
            <w:r>
              <w:rPr>
                <w:rFonts w:ascii="Arial" w:hAnsi="Arial" w:cs="Arial"/>
                <w:color w:val="auto"/>
                <w:sz w:val="16"/>
                <w:szCs w:val="18"/>
              </w:rPr>
              <w:t>、10</w:t>
            </w:r>
            <w:r>
              <w:rPr>
                <w:rFonts w:hint="eastAsia" w:ascii="Arial" w:hAnsi="Arial" w:cs="Arial"/>
                <w:color w:val="auto"/>
                <w:sz w:val="16"/>
                <w:szCs w:val="18"/>
              </w:rPr>
              <w:t>5</w:t>
            </w:r>
            <w:r>
              <w:rPr>
                <w:rFonts w:ascii="Arial" w:hAnsi="Arial" w:cs="Arial"/>
                <w:color w:val="auto"/>
                <w:sz w:val="16"/>
                <w:szCs w:val="18"/>
              </w:rPr>
              <w:t>；</w:t>
            </w:r>
          </w:p>
        </w:tc>
      </w:tr>
      <w:tr w14:paraId="21B17B8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095616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5DC6FFCB">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楼层</w:t>
            </w:r>
          </w:p>
        </w:tc>
        <w:tc>
          <w:tcPr>
            <w:tcW w:w="531" w:type="pct"/>
            <w:tcBorders>
              <w:top w:val="nil"/>
              <w:left w:val="nil"/>
              <w:bottom w:val="single" w:color="auto" w:sz="4" w:space="0"/>
              <w:right w:val="single" w:color="auto" w:sz="4" w:space="0"/>
            </w:tcBorders>
            <w:noWrap/>
            <w:vAlign w:val="center"/>
          </w:tcPr>
          <w:p w14:paraId="364FE8E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2A613A6">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284C9036">
            <w:pPr>
              <w:snapToGrid w:val="0"/>
              <w:spacing w:line="240" w:lineRule="exact"/>
              <w:jc w:val="both"/>
              <w:rPr>
                <w:rFonts w:ascii="Arial" w:hAnsi="Arial" w:cs="Arial"/>
                <w:color w:val="auto"/>
                <w:sz w:val="16"/>
                <w:szCs w:val="18"/>
              </w:rPr>
            </w:pPr>
            <w:r>
              <w:rPr>
                <w:rFonts w:hint="eastAsia" w:ascii="Arial" w:hAnsi="Arial" w:cs="Arial"/>
                <w:color w:val="auto"/>
                <w:sz w:val="16"/>
                <w:szCs w:val="18"/>
              </w:rPr>
              <w:t>101</w:t>
            </w:r>
          </w:p>
        </w:tc>
        <w:tc>
          <w:tcPr>
            <w:tcW w:w="531" w:type="pct"/>
            <w:tcBorders>
              <w:top w:val="nil"/>
              <w:left w:val="nil"/>
              <w:bottom w:val="single" w:color="auto" w:sz="4" w:space="0"/>
              <w:right w:val="single" w:color="auto" w:sz="4" w:space="0"/>
            </w:tcBorders>
            <w:noWrap/>
            <w:vAlign w:val="center"/>
          </w:tcPr>
          <w:p w14:paraId="1C45375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2668E8A3">
            <w:pPr>
              <w:snapToGrid w:val="0"/>
              <w:spacing w:line="240" w:lineRule="exact"/>
              <w:jc w:val="both"/>
              <w:rPr>
                <w:rFonts w:ascii="Arial" w:hAnsi="Arial" w:cs="Arial"/>
                <w:color w:val="auto"/>
                <w:sz w:val="16"/>
                <w:szCs w:val="18"/>
              </w:rPr>
            </w:pPr>
            <w:r>
              <w:rPr>
                <w:rFonts w:ascii="Arial" w:hAnsi="Arial" w:cs="Arial"/>
                <w:color w:val="auto"/>
                <w:sz w:val="16"/>
                <w:szCs w:val="18"/>
              </w:rPr>
              <w:t>分为高楼层、中楼层、低楼层两个等级，以估价对象指数为 100，每相差一个等级，每级相差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99</w:t>
            </w:r>
            <w:r>
              <w:rPr>
                <w:rFonts w:ascii="Arial" w:hAnsi="Arial" w:cs="Arial"/>
                <w:color w:val="auto"/>
                <w:sz w:val="16"/>
                <w:szCs w:val="18"/>
              </w:rPr>
              <w:t>、</w:t>
            </w:r>
            <w:r>
              <w:rPr>
                <w:rFonts w:hint="eastAsia" w:ascii="Arial" w:hAnsi="Arial" w:cs="Arial"/>
                <w:color w:val="auto"/>
                <w:sz w:val="16"/>
                <w:szCs w:val="18"/>
              </w:rPr>
              <w:t>101</w:t>
            </w:r>
            <w:r>
              <w:rPr>
                <w:rFonts w:ascii="Arial" w:hAnsi="Arial" w:cs="Arial"/>
                <w:color w:val="auto"/>
                <w:sz w:val="16"/>
                <w:szCs w:val="18"/>
              </w:rPr>
              <w:t>、100；</w:t>
            </w:r>
          </w:p>
        </w:tc>
      </w:tr>
      <w:tr w14:paraId="0D34FA3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0DB9F83">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4833F66">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朝向</w:t>
            </w:r>
          </w:p>
        </w:tc>
        <w:tc>
          <w:tcPr>
            <w:tcW w:w="531" w:type="pct"/>
            <w:tcBorders>
              <w:top w:val="nil"/>
              <w:left w:val="nil"/>
              <w:bottom w:val="single" w:color="auto" w:sz="4" w:space="0"/>
              <w:right w:val="single" w:color="auto" w:sz="4" w:space="0"/>
            </w:tcBorders>
            <w:noWrap/>
            <w:vAlign w:val="center"/>
          </w:tcPr>
          <w:p w14:paraId="6A2431F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99D27E6">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6D10564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6C9E23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29F73EE7">
            <w:pPr>
              <w:snapToGrid w:val="0"/>
              <w:spacing w:line="240" w:lineRule="exact"/>
              <w:jc w:val="both"/>
              <w:rPr>
                <w:rFonts w:ascii="Arial" w:hAnsi="Arial" w:cs="Arial"/>
                <w:color w:val="auto"/>
                <w:sz w:val="16"/>
                <w:szCs w:val="18"/>
              </w:rPr>
            </w:pPr>
            <w:r>
              <w:rPr>
                <w:rFonts w:ascii="Arial" w:hAnsi="Arial" w:cs="Arial"/>
                <w:color w:val="auto"/>
                <w:sz w:val="16"/>
                <w:szCs w:val="18"/>
              </w:rPr>
              <w:t>从优到劣依次为：为南北向；南向；东、南；西、南；东、西；东；西；东、北；西、北；北。每档相差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99、100、</w:t>
            </w:r>
            <w:r>
              <w:rPr>
                <w:rFonts w:ascii="Arial" w:hAnsi="Arial" w:cs="Arial"/>
                <w:color w:val="auto"/>
                <w:sz w:val="16"/>
                <w:szCs w:val="18"/>
              </w:rPr>
              <w:t>1</w:t>
            </w:r>
            <w:r>
              <w:rPr>
                <w:rFonts w:hint="eastAsia" w:ascii="Arial" w:hAnsi="Arial" w:cs="Arial"/>
                <w:color w:val="auto"/>
                <w:sz w:val="16"/>
                <w:szCs w:val="18"/>
              </w:rPr>
              <w:t>00</w:t>
            </w:r>
            <w:r>
              <w:rPr>
                <w:rFonts w:ascii="Arial" w:hAnsi="Arial" w:cs="Arial"/>
                <w:color w:val="auto"/>
                <w:sz w:val="16"/>
                <w:szCs w:val="18"/>
              </w:rPr>
              <w:t>；</w:t>
            </w:r>
          </w:p>
        </w:tc>
      </w:tr>
      <w:tr w14:paraId="49B1B5FD">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470B33A">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实物</w:t>
            </w:r>
          </w:p>
          <w:p w14:paraId="32989356">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状况</w:t>
            </w:r>
          </w:p>
        </w:tc>
        <w:tc>
          <w:tcPr>
            <w:tcW w:w="535" w:type="pct"/>
            <w:tcBorders>
              <w:top w:val="nil"/>
              <w:left w:val="nil"/>
              <w:bottom w:val="single" w:color="auto" w:sz="4" w:space="0"/>
              <w:right w:val="single" w:color="auto" w:sz="4" w:space="0"/>
            </w:tcBorders>
            <w:vAlign w:val="center"/>
          </w:tcPr>
          <w:p w14:paraId="225906DC">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成新度</w:t>
            </w:r>
          </w:p>
        </w:tc>
        <w:tc>
          <w:tcPr>
            <w:tcW w:w="531" w:type="pct"/>
            <w:tcBorders>
              <w:top w:val="nil"/>
              <w:left w:val="nil"/>
              <w:bottom w:val="single" w:color="auto" w:sz="4" w:space="0"/>
              <w:right w:val="single" w:color="auto" w:sz="4" w:space="0"/>
            </w:tcBorders>
            <w:noWrap/>
            <w:vAlign w:val="center"/>
          </w:tcPr>
          <w:p w14:paraId="4C68FDB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2DB110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92828E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4B71D15">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2032" w:type="pct"/>
            <w:tcBorders>
              <w:top w:val="nil"/>
              <w:left w:val="nil"/>
              <w:bottom w:val="single" w:color="auto" w:sz="4" w:space="0"/>
              <w:right w:val="single" w:color="auto" w:sz="4" w:space="0"/>
            </w:tcBorders>
            <w:vAlign w:val="center"/>
          </w:tcPr>
          <w:p w14:paraId="2FE39AAD">
            <w:pPr>
              <w:snapToGrid w:val="0"/>
              <w:spacing w:line="240" w:lineRule="exact"/>
              <w:jc w:val="both"/>
              <w:rPr>
                <w:rFonts w:ascii="Arial" w:hAnsi="Arial" w:cs="Arial"/>
                <w:color w:val="auto"/>
                <w:sz w:val="16"/>
                <w:szCs w:val="18"/>
              </w:rPr>
            </w:pPr>
            <w:r>
              <w:rPr>
                <w:rFonts w:ascii="Arial" w:hAnsi="Arial" w:cs="Arial"/>
                <w:color w:val="auto"/>
                <w:sz w:val="16"/>
                <w:szCs w:val="18"/>
              </w:rPr>
              <w:t>根据90%（含）-100%、80%（含）-90%、70%（含）-80%、60%（含）-70%、60%以下分为五个等级，每级相差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100、100、99</w:t>
            </w:r>
            <w:r>
              <w:rPr>
                <w:rFonts w:ascii="Arial" w:hAnsi="Arial" w:cs="Arial"/>
                <w:color w:val="auto"/>
                <w:sz w:val="16"/>
                <w:szCs w:val="18"/>
              </w:rPr>
              <w:t>；</w:t>
            </w:r>
          </w:p>
        </w:tc>
      </w:tr>
      <w:tr w14:paraId="52C41A6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19F8E44">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1219B00">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公共区域装修</w:t>
            </w:r>
          </w:p>
        </w:tc>
        <w:tc>
          <w:tcPr>
            <w:tcW w:w="531" w:type="pct"/>
            <w:tcBorders>
              <w:top w:val="nil"/>
              <w:left w:val="nil"/>
              <w:bottom w:val="single" w:color="auto" w:sz="4" w:space="0"/>
              <w:right w:val="single" w:color="auto" w:sz="4" w:space="0"/>
            </w:tcBorders>
            <w:noWrap/>
            <w:vAlign w:val="center"/>
          </w:tcPr>
          <w:p w14:paraId="21440FB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B1C9D1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3C3C75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8C20BE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374E529D">
            <w:pPr>
              <w:snapToGrid w:val="0"/>
              <w:spacing w:line="240" w:lineRule="exact"/>
              <w:jc w:val="both"/>
              <w:rPr>
                <w:rFonts w:ascii="Arial" w:hAnsi="Arial" w:cs="Arial"/>
                <w:color w:val="auto"/>
                <w:sz w:val="16"/>
                <w:szCs w:val="18"/>
              </w:rPr>
            </w:pPr>
            <w:r>
              <w:rPr>
                <w:rFonts w:ascii="Arial" w:hAnsi="Arial" w:cs="Arial"/>
                <w:color w:val="auto"/>
                <w:sz w:val="16"/>
                <w:szCs w:val="18"/>
              </w:rPr>
              <w:t>分为精装修、普通装修、简单装修、毛坯等，以估价对象指数为 100，每级相差2分，确定可比实例1、2、3该因素指数分别为100、100、100；</w:t>
            </w:r>
          </w:p>
        </w:tc>
      </w:tr>
      <w:tr w14:paraId="17A13FC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8354180">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E1E96CE">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室内装饰装修</w:t>
            </w:r>
          </w:p>
        </w:tc>
        <w:tc>
          <w:tcPr>
            <w:tcW w:w="531" w:type="pct"/>
            <w:tcBorders>
              <w:top w:val="nil"/>
              <w:left w:val="nil"/>
              <w:bottom w:val="single" w:color="auto" w:sz="4" w:space="0"/>
              <w:right w:val="single" w:color="auto" w:sz="4" w:space="0"/>
            </w:tcBorders>
            <w:noWrap/>
            <w:vAlign w:val="center"/>
          </w:tcPr>
          <w:p w14:paraId="368C255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9825A6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8D2A6F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45C162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7BCA36B2">
            <w:pPr>
              <w:snapToGrid w:val="0"/>
              <w:spacing w:line="240" w:lineRule="exact"/>
              <w:jc w:val="both"/>
              <w:rPr>
                <w:rFonts w:ascii="Arial" w:hAnsi="Arial" w:cs="Arial"/>
                <w:color w:val="auto"/>
                <w:sz w:val="16"/>
                <w:szCs w:val="18"/>
              </w:rPr>
            </w:pPr>
            <w:r>
              <w:rPr>
                <w:rFonts w:ascii="Arial" w:hAnsi="Arial" w:cs="Arial"/>
                <w:color w:val="auto"/>
                <w:sz w:val="16"/>
                <w:szCs w:val="18"/>
              </w:rPr>
              <w:t>分为精装修、普通装修、简单装修、毛坯等，以估价对象指数为 100，每级相差3分，确定可比实例1、2、3该因素指数分别为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002EFCF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0188B8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68ADE33B">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设施设备</w:t>
            </w:r>
          </w:p>
        </w:tc>
        <w:tc>
          <w:tcPr>
            <w:tcW w:w="531" w:type="pct"/>
            <w:tcBorders>
              <w:top w:val="nil"/>
              <w:left w:val="nil"/>
              <w:bottom w:val="single" w:color="auto" w:sz="4" w:space="0"/>
              <w:right w:val="single" w:color="auto" w:sz="4" w:space="0"/>
            </w:tcBorders>
            <w:noWrap/>
            <w:vAlign w:val="center"/>
          </w:tcPr>
          <w:p w14:paraId="71F32DD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9318D8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D0F75B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524E3F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234A9B27">
            <w:pPr>
              <w:snapToGrid w:val="0"/>
              <w:spacing w:line="240" w:lineRule="exact"/>
              <w:jc w:val="both"/>
              <w:rPr>
                <w:rFonts w:ascii="Arial" w:hAnsi="Arial" w:cs="Arial"/>
                <w:color w:val="auto"/>
                <w:sz w:val="16"/>
                <w:szCs w:val="18"/>
              </w:rPr>
            </w:pPr>
            <w:r>
              <w:rPr>
                <w:rFonts w:ascii="Arial" w:hAnsi="Arial" w:cs="Arial"/>
                <w:color w:val="auto"/>
                <w:sz w:val="16"/>
                <w:szCs w:val="18"/>
              </w:rPr>
              <w:t>根据实际配备情况，分为完善、较完善、一般、较不完善、不完善五个等级，每级相差</w:t>
            </w:r>
            <w:r>
              <w:rPr>
                <w:rFonts w:hint="eastAsia" w:ascii="Arial" w:hAnsi="Arial" w:cs="Arial"/>
                <w:color w:val="auto"/>
                <w:sz w:val="16"/>
                <w:szCs w:val="18"/>
              </w:rPr>
              <w:t>3</w:t>
            </w:r>
            <w:r>
              <w:rPr>
                <w:rFonts w:ascii="Arial" w:hAnsi="Arial" w:cs="Arial"/>
                <w:color w:val="auto"/>
                <w:sz w:val="16"/>
                <w:szCs w:val="18"/>
              </w:rPr>
              <w:t>分，确定可比实例1、2、3该因素指数分别为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753FCBA3">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5AB4262">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61E7B5A">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综合管理服务设施</w:t>
            </w:r>
          </w:p>
        </w:tc>
        <w:tc>
          <w:tcPr>
            <w:tcW w:w="531" w:type="pct"/>
            <w:tcBorders>
              <w:top w:val="nil"/>
              <w:left w:val="nil"/>
              <w:bottom w:val="single" w:color="auto" w:sz="4" w:space="0"/>
              <w:right w:val="single" w:color="auto" w:sz="4" w:space="0"/>
            </w:tcBorders>
            <w:noWrap/>
            <w:vAlign w:val="center"/>
          </w:tcPr>
          <w:p w14:paraId="4A6EF41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D96689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E36A9E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221600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56DED92">
            <w:pPr>
              <w:snapToGrid w:val="0"/>
              <w:spacing w:line="240" w:lineRule="exact"/>
              <w:jc w:val="both"/>
              <w:rPr>
                <w:rFonts w:ascii="Arial" w:hAnsi="Arial" w:cs="Arial"/>
                <w:color w:val="auto"/>
                <w:sz w:val="16"/>
                <w:szCs w:val="18"/>
              </w:rPr>
            </w:pPr>
            <w:r>
              <w:rPr>
                <w:rFonts w:ascii="Arial" w:hAnsi="Arial" w:cs="Arial"/>
                <w:color w:val="auto"/>
                <w:sz w:val="16"/>
                <w:szCs w:val="18"/>
              </w:rPr>
              <w:t>根据实际管理服务，确定可比实例1、2、3该因素指数分别为100、100、100；</w:t>
            </w:r>
          </w:p>
        </w:tc>
      </w:tr>
      <w:tr w14:paraId="76C4695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B7415A4">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F6EFDEF">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户型布局</w:t>
            </w:r>
          </w:p>
        </w:tc>
        <w:tc>
          <w:tcPr>
            <w:tcW w:w="531" w:type="pct"/>
            <w:tcBorders>
              <w:top w:val="nil"/>
              <w:left w:val="nil"/>
              <w:bottom w:val="single" w:color="auto" w:sz="4" w:space="0"/>
              <w:right w:val="single" w:color="auto" w:sz="4" w:space="0"/>
            </w:tcBorders>
            <w:noWrap/>
            <w:vAlign w:val="center"/>
          </w:tcPr>
          <w:p w14:paraId="00108D0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988" w:type="dxa"/>
            <w:tcBorders>
              <w:top w:val="nil"/>
              <w:left w:val="nil"/>
              <w:bottom w:val="single" w:color="auto" w:sz="4" w:space="0"/>
              <w:right w:val="single" w:color="auto" w:sz="4" w:space="0"/>
            </w:tcBorders>
            <w:noWrap/>
            <w:vAlign w:val="center"/>
          </w:tcPr>
          <w:p w14:paraId="15FDDDF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988" w:type="dxa"/>
            <w:tcBorders>
              <w:top w:val="nil"/>
              <w:left w:val="nil"/>
              <w:bottom w:val="single" w:color="auto" w:sz="4" w:space="0"/>
              <w:right w:val="single" w:color="auto" w:sz="4" w:space="0"/>
            </w:tcBorders>
            <w:noWrap/>
            <w:vAlign w:val="center"/>
          </w:tcPr>
          <w:p w14:paraId="47382F1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988" w:type="dxa"/>
            <w:tcBorders>
              <w:top w:val="nil"/>
              <w:left w:val="nil"/>
              <w:bottom w:val="single" w:color="auto" w:sz="4" w:space="0"/>
              <w:right w:val="single" w:color="auto" w:sz="4" w:space="0"/>
            </w:tcBorders>
            <w:noWrap/>
            <w:vAlign w:val="center"/>
          </w:tcPr>
          <w:p w14:paraId="5173198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7A7430F">
            <w:pPr>
              <w:snapToGrid w:val="0"/>
              <w:spacing w:line="240" w:lineRule="exact"/>
              <w:jc w:val="both"/>
              <w:rPr>
                <w:rFonts w:ascii="Arial" w:hAnsi="Arial" w:cs="Arial"/>
                <w:color w:val="auto"/>
                <w:sz w:val="16"/>
                <w:szCs w:val="18"/>
              </w:rPr>
            </w:pPr>
            <w:r>
              <w:rPr>
                <w:rFonts w:ascii="Arial" w:hAnsi="Arial" w:cs="Arial"/>
                <w:color w:val="auto"/>
                <w:sz w:val="16"/>
                <w:szCs w:val="18"/>
              </w:rPr>
              <w:t>根据布局对于使用率的影响，确定可比实例1、2、3该因素指数分别为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02AF683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8094494">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4698E138">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户型结构</w:t>
            </w:r>
          </w:p>
        </w:tc>
        <w:tc>
          <w:tcPr>
            <w:tcW w:w="531" w:type="pct"/>
            <w:tcBorders>
              <w:top w:val="nil"/>
              <w:left w:val="nil"/>
              <w:bottom w:val="single" w:color="auto" w:sz="4" w:space="0"/>
              <w:right w:val="single" w:color="auto" w:sz="4" w:space="0"/>
            </w:tcBorders>
            <w:noWrap/>
            <w:vAlign w:val="center"/>
          </w:tcPr>
          <w:p w14:paraId="7204FA0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3F9EDB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620437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ECA085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27AF146D">
            <w:pPr>
              <w:snapToGrid w:val="0"/>
              <w:spacing w:line="240" w:lineRule="exact"/>
              <w:jc w:val="both"/>
              <w:rPr>
                <w:rFonts w:ascii="Arial" w:hAnsi="Arial" w:cs="Arial"/>
                <w:color w:val="auto"/>
                <w:sz w:val="16"/>
                <w:szCs w:val="18"/>
              </w:rPr>
            </w:pPr>
            <w:r>
              <w:rPr>
                <w:rFonts w:ascii="Arial" w:hAnsi="Arial" w:cs="Arial"/>
                <w:color w:val="auto"/>
                <w:sz w:val="16"/>
                <w:szCs w:val="18"/>
              </w:rPr>
              <w:t>估价对象与案例均为</w:t>
            </w:r>
            <w:r>
              <w:rPr>
                <w:rFonts w:hint="eastAsia" w:ascii="Arial" w:hAnsi="Arial" w:cs="Arial"/>
                <w:color w:val="auto"/>
                <w:sz w:val="16"/>
                <w:szCs w:val="18"/>
              </w:rPr>
              <w:t>平层，</w:t>
            </w:r>
            <w:r>
              <w:rPr>
                <w:rFonts w:ascii="Arial" w:hAnsi="Arial" w:cs="Arial"/>
                <w:color w:val="auto"/>
                <w:sz w:val="16"/>
                <w:szCs w:val="18"/>
              </w:rPr>
              <w:t>确定可比实例1、2、3该因素指数分别为100、100、100；</w:t>
            </w:r>
          </w:p>
        </w:tc>
      </w:tr>
      <w:tr w14:paraId="65F2343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E3D34C3">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D1DD43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建筑面积</w:t>
            </w:r>
          </w:p>
        </w:tc>
        <w:tc>
          <w:tcPr>
            <w:tcW w:w="531" w:type="pct"/>
            <w:tcBorders>
              <w:top w:val="nil"/>
              <w:left w:val="nil"/>
              <w:bottom w:val="single" w:color="auto" w:sz="4" w:space="0"/>
              <w:right w:val="single" w:color="auto" w:sz="4" w:space="0"/>
            </w:tcBorders>
            <w:noWrap/>
            <w:vAlign w:val="center"/>
          </w:tcPr>
          <w:p w14:paraId="6C63156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037E416">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6B35DC28">
            <w:pPr>
              <w:snapToGrid w:val="0"/>
              <w:spacing w:line="240" w:lineRule="exact"/>
              <w:jc w:val="both"/>
              <w:rPr>
                <w:rFonts w:ascii="Arial" w:hAnsi="Arial" w:cs="Arial"/>
                <w:color w:val="auto"/>
                <w:sz w:val="16"/>
                <w:szCs w:val="18"/>
              </w:rPr>
            </w:pPr>
            <w:r>
              <w:rPr>
                <w:rFonts w:hint="eastAsia"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C4BE544">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2032" w:type="pct"/>
            <w:tcBorders>
              <w:top w:val="nil"/>
              <w:left w:val="nil"/>
              <w:bottom w:val="single" w:color="auto" w:sz="4" w:space="0"/>
              <w:right w:val="single" w:color="auto" w:sz="4" w:space="0"/>
            </w:tcBorders>
            <w:vAlign w:val="center"/>
          </w:tcPr>
          <w:p w14:paraId="56A7298F">
            <w:pPr>
              <w:snapToGrid w:val="0"/>
              <w:spacing w:line="240" w:lineRule="exact"/>
              <w:jc w:val="both"/>
              <w:rPr>
                <w:rFonts w:ascii="Arial" w:hAnsi="Arial"/>
                <w:color w:val="auto"/>
              </w:rPr>
            </w:pPr>
            <w:r>
              <w:rPr>
                <w:rFonts w:ascii="Arial" w:hAnsi="Arial" w:cs="Arial"/>
                <w:color w:val="auto"/>
                <w:sz w:val="16"/>
                <w:szCs w:val="18"/>
              </w:rPr>
              <w:t>根据建筑面积对其价值的影响，从好到差划分为</w:t>
            </w:r>
            <w:r>
              <w:rPr>
                <w:rFonts w:hint="eastAsia" w:ascii="Arial" w:hAnsi="Arial" w:cs="Arial"/>
                <w:color w:val="auto"/>
                <w:sz w:val="16"/>
                <w:szCs w:val="18"/>
              </w:rPr>
              <w:t>60</w:t>
            </w:r>
            <w:r>
              <w:rPr>
                <w:rFonts w:ascii="Arial" w:hAnsi="Arial" w:cs="Arial"/>
                <w:color w:val="auto"/>
                <w:sz w:val="16"/>
                <w:szCs w:val="18"/>
              </w:rPr>
              <w:t>（含）平方米及以下、</w:t>
            </w:r>
            <w:r>
              <w:rPr>
                <w:rFonts w:hint="eastAsia" w:ascii="Arial" w:hAnsi="Arial" w:cs="Arial"/>
                <w:color w:val="auto"/>
                <w:sz w:val="16"/>
                <w:szCs w:val="18"/>
              </w:rPr>
              <w:t>60</w:t>
            </w:r>
            <w:r>
              <w:rPr>
                <w:rFonts w:ascii="Arial" w:hAnsi="Arial" w:cs="Arial"/>
                <w:color w:val="auto"/>
                <w:sz w:val="16"/>
                <w:szCs w:val="18"/>
              </w:rPr>
              <w:t>-</w:t>
            </w:r>
            <w:r>
              <w:rPr>
                <w:rFonts w:hint="eastAsia" w:ascii="Arial" w:hAnsi="Arial" w:cs="Arial"/>
                <w:color w:val="auto"/>
                <w:sz w:val="16"/>
                <w:szCs w:val="18"/>
              </w:rPr>
              <w:t>7</w:t>
            </w:r>
            <w:r>
              <w:rPr>
                <w:rFonts w:ascii="Arial" w:hAnsi="Arial" w:cs="Arial"/>
                <w:color w:val="auto"/>
                <w:sz w:val="16"/>
                <w:szCs w:val="18"/>
              </w:rPr>
              <w:t>0（含）平方米、</w:t>
            </w:r>
            <w:r>
              <w:rPr>
                <w:rFonts w:hint="eastAsia" w:ascii="Arial" w:hAnsi="Arial" w:cs="Arial"/>
                <w:color w:val="auto"/>
                <w:sz w:val="16"/>
                <w:szCs w:val="18"/>
              </w:rPr>
              <w:t>7</w:t>
            </w:r>
            <w:r>
              <w:rPr>
                <w:rFonts w:ascii="Arial" w:hAnsi="Arial" w:cs="Arial"/>
                <w:color w:val="auto"/>
                <w:sz w:val="16"/>
                <w:szCs w:val="18"/>
              </w:rPr>
              <w:t>0-</w:t>
            </w:r>
            <w:r>
              <w:rPr>
                <w:rFonts w:hint="eastAsia" w:ascii="Arial" w:hAnsi="Arial" w:cs="Arial"/>
                <w:color w:val="auto"/>
                <w:sz w:val="16"/>
                <w:szCs w:val="18"/>
              </w:rPr>
              <w:t>8</w:t>
            </w:r>
            <w:r>
              <w:rPr>
                <w:rFonts w:ascii="Arial" w:hAnsi="Arial" w:cs="Arial"/>
                <w:color w:val="auto"/>
                <w:sz w:val="16"/>
                <w:szCs w:val="18"/>
              </w:rPr>
              <w:t>0（含）</w:t>
            </w: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w:t>
            </w:r>
            <w:r>
              <w:rPr>
                <w:rFonts w:ascii="Arial" w:hAnsi="Arial" w:cs="Arial"/>
                <w:color w:val="auto"/>
                <w:sz w:val="16"/>
                <w:szCs w:val="18"/>
              </w:rPr>
              <w:t>0（含）</w:t>
            </w:r>
            <w:r>
              <w:rPr>
                <w:rFonts w:hint="eastAsia" w:ascii="Arial" w:hAnsi="Arial" w:cs="Arial"/>
                <w:color w:val="auto"/>
                <w:sz w:val="16"/>
                <w:szCs w:val="18"/>
              </w:rPr>
              <w:t>、90</w:t>
            </w:r>
            <w:r>
              <w:rPr>
                <w:rFonts w:ascii="Arial" w:hAnsi="Arial" w:cs="Arial"/>
                <w:color w:val="auto"/>
                <w:sz w:val="16"/>
                <w:szCs w:val="18"/>
              </w:rPr>
              <w:t>-</w:t>
            </w:r>
            <w:r>
              <w:rPr>
                <w:rFonts w:hint="eastAsia" w:ascii="Arial" w:hAnsi="Arial" w:cs="Arial"/>
                <w:color w:val="auto"/>
                <w:sz w:val="16"/>
                <w:szCs w:val="18"/>
              </w:rPr>
              <w:t>10</w:t>
            </w:r>
            <w:r>
              <w:rPr>
                <w:rFonts w:ascii="Arial" w:hAnsi="Arial" w:cs="Arial"/>
                <w:color w:val="auto"/>
                <w:sz w:val="16"/>
                <w:szCs w:val="18"/>
              </w:rPr>
              <w:t>0（含）</w:t>
            </w:r>
            <w:r>
              <w:rPr>
                <w:rFonts w:hint="eastAsia" w:ascii="Arial" w:hAnsi="Arial" w:cs="Arial"/>
                <w:color w:val="auto"/>
                <w:sz w:val="16"/>
                <w:szCs w:val="18"/>
              </w:rPr>
              <w:t>、100</w:t>
            </w:r>
            <w:r>
              <w:rPr>
                <w:rFonts w:ascii="Arial" w:hAnsi="Arial" w:cs="Arial"/>
                <w:color w:val="auto"/>
                <w:sz w:val="16"/>
                <w:szCs w:val="18"/>
              </w:rPr>
              <w:t>-</w:t>
            </w:r>
            <w:r>
              <w:rPr>
                <w:rFonts w:hint="eastAsia" w:ascii="Arial" w:hAnsi="Arial" w:cs="Arial"/>
                <w:color w:val="auto"/>
                <w:sz w:val="16"/>
                <w:szCs w:val="18"/>
              </w:rPr>
              <w:t>11</w:t>
            </w:r>
            <w:r>
              <w:rPr>
                <w:rFonts w:ascii="Arial" w:hAnsi="Arial" w:cs="Arial"/>
                <w:color w:val="auto"/>
                <w:sz w:val="16"/>
                <w:szCs w:val="18"/>
              </w:rPr>
              <w:t>0（含）</w:t>
            </w:r>
            <w:r>
              <w:rPr>
                <w:rFonts w:hint="eastAsia" w:ascii="Arial" w:hAnsi="Arial" w:cs="Arial"/>
                <w:color w:val="auto"/>
                <w:sz w:val="16"/>
                <w:szCs w:val="18"/>
              </w:rPr>
              <w:t>、110</w:t>
            </w:r>
            <w:r>
              <w:rPr>
                <w:rFonts w:ascii="Arial" w:hAnsi="Arial" w:cs="Arial"/>
                <w:color w:val="auto"/>
                <w:sz w:val="16"/>
                <w:szCs w:val="18"/>
              </w:rPr>
              <w:t>-</w:t>
            </w:r>
            <w:r>
              <w:rPr>
                <w:rFonts w:hint="eastAsia" w:ascii="Arial" w:hAnsi="Arial" w:cs="Arial"/>
                <w:color w:val="auto"/>
                <w:sz w:val="16"/>
                <w:szCs w:val="18"/>
              </w:rPr>
              <w:t>12</w:t>
            </w:r>
            <w:r>
              <w:rPr>
                <w:rFonts w:ascii="Arial" w:hAnsi="Arial" w:cs="Arial"/>
                <w:color w:val="auto"/>
                <w:sz w:val="16"/>
                <w:szCs w:val="18"/>
              </w:rPr>
              <w:t>0（含）</w:t>
            </w:r>
            <w:r>
              <w:rPr>
                <w:rFonts w:hint="eastAsia" w:ascii="Arial" w:hAnsi="Arial" w:cs="Arial"/>
                <w:color w:val="auto"/>
                <w:sz w:val="16"/>
                <w:szCs w:val="18"/>
              </w:rPr>
              <w:t>、120</w:t>
            </w:r>
            <w:r>
              <w:rPr>
                <w:rFonts w:ascii="Arial" w:hAnsi="Arial" w:cs="Arial"/>
                <w:color w:val="auto"/>
                <w:sz w:val="16"/>
                <w:szCs w:val="18"/>
              </w:rPr>
              <w:t>-</w:t>
            </w:r>
            <w:r>
              <w:rPr>
                <w:rFonts w:hint="eastAsia" w:ascii="Arial" w:hAnsi="Arial" w:cs="Arial"/>
                <w:color w:val="auto"/>
                <w:sz w:val="16"/>
                <w:szCs w:val="18"/>
              </w:rPr>
              <w:t>13</w:t>
            </w:r>
            <w:r>
              <w:rPr>
                <w:rFonts w:ascii="Arial" w:hAnsi="Arial" w:cs="Arial"/>
                <w:color w:val="auto"/>
                <w:sz w:val="16"/>
                <w:szCs w:val="18"/>
              </w:rPr>
              <w:t>0（含）</w:t>
            </w:r>
            <w:r>
              <w:rPr>
                <w:rFonts w:hint="eastAsia" w:ascii="Arial" w:hAnsi="Arial" w:cs="Arial"/>
                <w:color w:val="auto"/>
                <w:sz w:val="16"/>
                <w:szCs w:val="18"/>
              </w:rPr>
              <w:t>、130</w:t>
            </w:r>
            <w:r>
              <w:rPr>
                <w:rFonts w:ascii="Arial" w:hAnsi="Arial" w:cs="Arial"/>
                <w:color w:val="auto"/>
                <w:sz w:val="16"/>
                <w:szCs w:val="18"/>
              </w:rPr>
              <w:t>-</w:t>
            </w:r>
            <w:r>
              <w:rPr>
                <w:rFonts w:hint="eastAsia" w:ascii="Arial" w:hAnsi="Arial" w:cs="Arial"/>
                <w:color w:val="auto"/>
                <w:sz w:val="16"/>
                <w:szCs w:val="18"/>
              </w:rPr>
              <w:t>14</w:t>
            </w:r>
            <w:r>
              <w:rPr>
                <w:rFonts w:ascii="Arial" w:hAnsi="Arial" w:cs="Arial"/>
                <w:color w:val="auto"/>
                <w:sz w:val="16"/>
                <w:szCs w:val="18"/>
              </w:rPr>
              <w:t>0（含）平方米及以上。以估价对象该因素指数为100，各可比实例与之相比，确定可比实例1、2、3该因素指数分别为</w:t>
            </w:r>
            <w:r>
              <w:rPr>
                <w:rFonts w:hint="eastAsia" w:ascii="Arial" w:hAnsi="Arial" w:cs="Arial"/>
                <w:color w:val="auto"/>
                <w:sz w:val="16"/>
                <w:szCs w:val="18"/>
              </w:rPr>
              <w:t>99、100、99</w:t>
            </w:r>
            <w:r>
              <w:rPr>
                <w:rFonts w:ascii="Arial" w:hAnsi="Arial" w:cs="Arial"/>
                <w:color w:val="auto"/>
                <w:sz w:val="16"/>
                <w:szCs w:val="18"/>
              </w:rPr>
              <w:t>；</w:t>
            </w:r>
          </w:p>
        </w:tc>
      </w:tr>
      <w:tr w14:paraId="554A3D7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7C9A641">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DFBCCA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家具家电</w:t>
            </w:r>
          </w:p>
        </w:tc>
        <w:tc>
          <w:tcPr>
            <w:tcW w:w="531" w:type="pct"/>
            <w:tcBorders>
              <w:top w:val="nil"/>
              <w:left w:val="nil"/>
              <w:bottom w:val="single" w:color="auto" w:sz="4" w:space="0"/>
              <w:right w:val="single" w:color="auto" w:sz="4" w:space="0"/>
            </w:tcBorders>
            <w:noWrap/>
            <w:vAlign w:val="center"/>
          </w:tcPr>
          <w:p w14:paraId="2FE6EF9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9836F2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24BA3C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AD5D74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38B00F5D">
            <w:pPr>
              <w:widowControl/>
              <w:adjustRightInd/>
              <w:spacing w:line="240" w:lineRule="auto"/>
              <w:textAlignment w:val="auto"/>
              <w:rPr>
                <w:rFonts w:ascii="Arial" w:hAnsi="Arial"/>
                <w:color w:val="auto"/>
              </w:rPr>
            </w:pPr>
            <w:r>
              <w:rPr>
                <w:rFonts w:ascii="Arial" w:hAnsi="Arial" w:cs="Arial"/>
                <w:color w:val="auto"/>
                <w:sz w:val="16"/>
                <w:szCs w:val="18"/>
              </w:rPr>
              <w:t>根据家具家电配备齐全程度，以估价对象该因素指数为100，各可比实例与之相比，确定可比实例1、2、3该因素指数分别为</w:t>
            </w:r>
            <w:r>
              <w:rPr>
                <w:rFonts w:hint="eastAsia" w:ascii="Arial" w:hAnsi="Arial" w:cs="Arial"/>
                <w:color w:val="auto"/>
                <w:sz w:val="16"/>
                <w:szCs w:val="18"/>
              </w:rPr>
              <w:t>10</w:t>
            </w:r>
            <w:r>
              <w:rPr>
                <w:rFonts w:ascii="Arial" w:hAnsi="Arial" w:cs="Arial"/>
                <w:color w:val="auto"/>
                <w:sz w:val="16"/>
                <w:szCs w:val="18"/>
              </w:rPr>
              <w:t>0</w:t>
            </w:r>
            <w:r>
              <w:rPr>
                <w:rFonts w:hint="eastAsia" w:ascii="Arial" w:hAnsi="Arial" w:cs="Arial"/>
                <w:color w:val="auto"/>
                <w:sz w:val="16"/>
                <w:szCs w:val="18"/>
              </w:rPr>
              <w:t>、10</w:t>
            </w:r>
            <w:r>
              <w:rPr>
                <w:rFonts w:ascii="Arial" w:hAnsi="Arial" w:cs="Arial"/>
                <w:color w:val="auto"/>
                <w:sz w:val="16"/>
                <w:szCs w:val="18"/>
              </w:rPr>
              <w:t>0</w:t>
            </w:r>
            <w:r>
              <w:rPr>
                <w:rFonts w:hint="eastAsia" w:ascii="Arial" w:hAnsi="Arial" w:cs="Arial"/>
                <w:color w:val="auto"/>
                <w:sz w:val="16"/>
                <w:szCs w:val="18"/>
              </w:rPr>
              <w:t>、10</w:t>
            </w:r>
            <w:r>
              <w:rPr>
                <w:rFonts w:ascii="Arial" w:hAnsi="Arial" w:cs="Arial"/>
                <w:color w:val="auto"/>
                <w:sz w:val="16"/>
                <w:szCs w:val="18"/>
              </w:rPr>
              <w:t>0</w:t>
            </w:r>
          </w:p>
        </w:tc>
      </w:tr>
      <w:tr w14:paraId="347FC4D4">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1C243660">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446D34C">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服务及管理水平</w:t>
            </w:r>
          </w:p>
        </w:tc>
        <w:tc>
          <w:tcPr>
            <w:tcW w:w="531" w:type="pct"/>
            <w:tcBorders>
              <w:top w:val="nil"/>
              <w:left w:val="nil"/>
              <w:bottom w:val="single" w:color="auto" w:sz="4" w:space="0"/>
              <w:right w:val="single" w:color="auto" w:sz="4" w:space="0"/>
            </w:tcBorders>
            <w:noWrap/>
            <w:vAlign w:val="center"/>
          </w:tcPr>
          <w:p w14:paraId="1C24DCF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D3D6E6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C0751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A59359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6B68F4AF">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根据是否配置服务管家、是否封闭式管理，以估价对象该因素指数为100，各可比实例与之相比，确定可比实例1、2、3该因素指数分别为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6E0CACB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4AEB82F">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5DDC9B45">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水电气费执行标准</w:t>
            </w:r>
          </w:p>
        </w:tc>
        <w:tc>
          <w:tcPr>
            <w:tcW w:w="531" w:type="pct"/>
            <w:tcBorders>
              <w:top w:val="nil"/>
              <w:left w:val="nil"/>
              <w:bottom w:val="single" w:color="auto" w:sz="4" w:space="0"/>
              <w:right w:val="single" w:color="auto" w:sz="4" w:space="0"/>
            </w:tcBorders>
            <w:noWrap/>
            <w:vAlign w:val="center"/>
          </w:tcPr>
          <w:p w14:paraId="733D88B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AB3E9B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319112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3B2F30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332358A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估价对象与案例均采用民水民电，确定可比实例1、2、3该因素指数分别为100、100、100。</w:t>
            </w:r>
          </w:p>
        </w:tc>
      </w:tr>
    </w:tbl>
    <w:p w14:paraId="774C106C">
      <w:pPr>
        <w:wordWrap w:val="0"/>
        <w:overflowPunct w:val="0"/>
        <w:spacing w:line="480" w:lineRule="auto"/>
        <w:rPr>
          <w:rFonts w:ascii="Arial" w:hAnsi="Arial"/>
          <w:color w:val="auto"/>
          <w:sz w:val="21"/>
          <w:szCs w:val="21"/>
        </w:rPr>
      </w:pPr>
    </w:p>
    <w:p w14:paraId="3C1EF4F3">
      <w:pPr>
        <w:wordWrap w:val="0"/>
        <w:overflowPunct w:val="0"/>
        <w:spacing w:line="480" w:lineRule="auto"/>
        <w:rPr>
          <w:rFonts w:ascii="Arial" w:hAnsi="Arial"/>
          <w:color w:val="auto"/>
          <w:sz w:val="21"/>
          <w:szCs w:val="21"/>
        </w:rPr>
      </w:pPr>
    </w:p>
    <w:p w14:paraId="0AA7CF8B">
      <w:pPr>
        <w:wordWrap w:val="0"/>
        <w:overflowPunct w:val="0"/>
        <w:spacing w:line="480" w:lineRule="auto"/>
        <w:rPr>
          <w:rFonts w:ascii="Arial" w:hAnsi="Arial"/>
          <w:color w:val="auto"/>
          <w:sz w:val="21"/>
          <w:szCs w:val="21"/>
        </w:rPr>
      </w:pPr>
    </w:p>
    <w:p w14:paraId="62D1C2FD">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（3）编制因素比较修正系数表</w:t>
      </w:r>
      <w:r>
        <w:rPr>
          <w:rFonts w:ascii="Arial" w:hAnsi="Arial"/>
          <w:color w:val="auto"/>
          <w:sz w:val="21"/>
          <w:szCs w:val="21"/>
        </w:rPr>
        <w:t xml:space="preserve"> </w:t>
      </w:r>
    </w:p>
    <w:p w14:paraId="2432464B">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根据比较因素条件指数表，编制因素各项目比较修正系数表，详见下表：</w:t>
      </w:r>
    </w:p>
    <w:p w14:paraId="37BF71AE">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AE4A19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678F02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w:t>
            </w:r>
          </w:p>
        </w:tc>
        <w:tc>
          <w:tcPr>
            <w:tcW w:w="897" w:type="pct"/>
            <w:tcBorders>
              <w:top w:val="single" w:color="auto" w:sz="4" w:space="0"/>
              <w:left w:val="nil"/>
              <w:bottom w:val="single" w:color="auto" w:sz="4" w:space="0"/>
              <w:right w:val="single" w:color="auto" w:sz="4" w:space="0"/>
            </w:tcBorders>
            <w:vAlign w:val="center"/>
          </w:tcPr>
          <w:p w14:paraId="28A2277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4</w:t>
            </w:r>
          </w:p>
        </w:tc>
        <w:tc>
          <w:tcPr>
            <w:tcW w:w="897" w:type="pct"/>
            <w:tcBorders>
              <w:top w:val="single" w:color="auto" w:sz="4" w:space="0"/>
              <w:left w:val="nil"/>
              <w:bottom w:val="single" w:color="auto" w:sz="4" w:space="0"/>
              <w:right w:val="single" w:color="auto" w:sz="4" w:space="0"/>
            </w:tcBorders>
            <w:vAlign w:val="center"/>
          </w:tcPr>
          <w:p w14:paraId="6FD0E08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5</w:t>
            </w:r>
          </w:p>
        </w:tc>
        <w:tc>
          <w:tcPr>
            <w:tcW w:w="897" w:type="pct"/>
            <w:tcBorders>
              <w:top w:val="single" w:color="auto" w:sz="4" w:space="0"/>
              <w:left w:val="nil"/>
              <w:bottom w:val="single" w:color="auto" w:sz="4" w:space="0"/>
              <w:right w:val="single" w:color="auto" w:sz="4" w:space="0"/>
            </w:tcBorders>
            <w:vAlign w:val="center"/>
          </w:tcPr>
          <w:p w14:paraId="3B41EB1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6</w:t>
            </w:r>
          </w:p>
        </w:tc>
      </w:tr>
      <w:tr w14:paraId="223A56A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0187F6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小区名称</w:t>
            </w:r>
          </w:p>
        </w:tc>
        <w:tc>
          <w:tcPr>
            <w:tcW w:w="1707" w:type="dxa"/>
            <w:tcBorders>
              <w:top w:val="nil"/>
              <w:left w:val="nil"/>
              <w:bottom w:val="single" w:color="auto" w:sz="4" w:space="0"/>
              <w:right w:val="single" w:color="auto" w:sz="4" w:space="0"/>
            </w:tcBorders>
            <w:vAlign w:val="center"/>
          </w:tcPr>
          <w:p w14:paraId="26DBEF47">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1707" w:type="dxa"/>
            <w:tcBorders>
              <w:top w:val="nil"/>
              <w:left w:val="nil"/>
              <w:bottom w:val="single" w:color="auto" w:sz="4" w:space="0"/>
              <w:right w:val="single" w:color="auto" w:sz="4" w:space="0"/>
            </w:tcBorders>
            <w:vAlign w:val="center"/>
          </w:tcPr>
          <w:p w14:paraId="5E77495D">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1708" w:type="dxa"/>
            <w:tcBorders>
              <w:top w:val="nil"/>
              <w:left w:val="nil"/>
              <w:bottom w:val="single" w:color="auto" w:sz="4" w:space="0"/>
              <w:right w:val="single" w:color="auto" w:sz="4" w:space="0"/>
            </w:tcBorders>
            <w:vAlign w:val="center"/>
          </w:tcPr>
          <w:p w14:paraId="21465512">
            <w:pPr>
              <w:widowControl/>
              <w:snapToGrid w:val="0"/>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蓝天花园</w:t>
            </w:r>
          </w:p>
        </w:tc>
      </w:tr>
      <w:tr w14:paraId="3DAB432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31BFB19">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平均租金（元/平方米·月）</w:t>
            </w:r>
          </w:p>
        </w:tc>
        <w:tc>
          <w:tcPr>
            <w:tcW w:w="1707" w:type="dxa"/>
            <w:tcBorders>
              <w:top w:val="nil"/>
              <w:left w:val="nil"/>
              <w:bottom w:val="single" w:color="auto" w:sz="4" w:space="0"/>
              <w:right w:val="single" w:color="auto" w:sz="4" w:space="0"/>
            </w:tcBorders>
            <w:vAlign w:val="center"/>
          </w:tcPr>
          <w:p w14:paraId="537CB62A">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14.93</w:t>
            </w:r>
          </w:p>
        </w:tc>
        <w:tc>
          <w:tcPr>
            <w:tcW w:w="1707" w:type="dxa"/>
            <w:tcBorders>
              <w:top w:val="nil"/>
              <w:left w:val="nil"/>
              <w:bottom w:val="single" w:color="auto" w:sz="4" w:space="0"/>
              <w:right w:val="single" w:color="auto" w:sz="4" w:space="0"/>
            </w:tcBorders>
            <w:vAlign w:val="center"/>
          </w:tcPr>
          <w:p w14:paraId="7265390E">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16.52</w:t>
            </w:r>
          </w:p>
        </w:tc>
        <w:tc>
          <w:tcPr>
            <w:tcW w:w="1708" w:type="dxa"/>
            <w:tcBorders>
              <w:top w:val="nil"/>
              <w:left w:val="nil"/>
              <w:bottom w:val="single" w:color="auto" w:sz="4" w:space="0"/>
              <w:right w:val="single" w:color="auto" w:sz="4" w:space="0"/>
            </w:tcBorders>
            <w:vAlign w:val="center"/>
          </w:tcPr>
          <w:p w14:paraId="304AB916">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15.87</w:t>
            </w:r>
          </w:p>
        </w:tc>
      </w:tr>
      <w:tr w14:paraId="2D854B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E3C17EA">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交易时间</w:t>
            </w:r>
          </w:p>
        </w:tc>
        <w:tc>
          <w:tcPr>
            <w:tcW w:w="897" w:type="pct"/>
            <w:tcBorders>
              <w:top w:val="nil"/>
              <w:left w:val="nil"/>
              <w:bottom w:val="single" w:color="auto" w:sz="4" w:space="0"/>
              <w:right w:val="single" w:color="auto" w:sz="4" w:space="0"/>
            </w:tcBorders>
            <w:vAlign w:val="center"/>
          </w:tcPr>
          <w:p w14:paraId="126E69A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0D869C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95E30D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B77355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B4168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交易情况</w:t>
            </w:r>
          </w:p>
        </w:tc>
        <w:tc>
          <w:tcPr>
            <w:tcW w:w="897" w:type="pct"/>
            <w:tcBorders>
              <w:top w:val="nil"/>
              <w:left w:val="nil"/>
              <w:bottom w:val="single" w:color="auto" w:sz="4" w:space="0"/>
              <w:right w:val="single" w:color="auto" w:sz="4" w:space="0"/>
            </w:tcBorders>
            <w:vAlign w:val="center"/>
          </w:tcPr>
          <w:p w14:paraId="30D09F6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E80A13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7B5908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6F467F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745DBFD">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项目类型</w:t>
            </w:r>
          </w:p>
        </w:tc>
        <w:tc>
          <w:tcPr>
            <w:tcW w:w="897" w:type="pct"/>
            <w:tcBorders>
              <w:top w:val="nil"/>
              <w:left w:val="nil"/>
              <w:bottom w:val="single" w:color="auto" w:sz="4" w:space="0"/>
              <w:right w:val="single" w:color="auto" w:sz="4" w:space="0"/>
            </w:tcBorders>
            <w:vAlign w:val="center"/>
          </w:tcPr>
          <w:p w14:paraId="0E15582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3E3581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3B80DC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A04886B">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4944B00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区域状况</w:t>
            </w:r>
          </w:p>
        </w:tc>
        <w:tc>
          <w:tcPr>
            <w:tcW w:w="1516" w:type="pct"/>
            <w:tcBorders>
              <w:top w:val="nil"/>
              <w:left w:val="nil"/>
              <w:bottom w:val="single" w:color="auto" w:sz="4" w:space="0"/>
              <w:right w:val="single" w:color="auto" w:sz="4" w:space="0"/>
            </w:tcBorders>
            <w:vAlign w:val="center"/>
          </w:tcPr>
          <w:p w14:paraId="6B216204">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居住区成熟度</w:t>
            </w:r>
          </w:p>
        </w:tc>
        <w:tc>
          <w:tcPr>
            <w:tcW w:w="897" w:type="pct"/>
            <w:tcBorders>
              <w:top w:val="nil"/>
              <w:left w:val="nil"/>
              <w:bottom w:val="single" w:color="auto" w:sz="4" w:space="0"/>
              <w:right w:val="single" w:color="auto" w:sz="4" w:space="0"/>
            </w:tcBorders>
            <w:vAlign w:val="center"/>
          </w:tcPr>
          <w:p w14:paraId="7ABA281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2A1D9B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629509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76A28F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AF23E1F">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A460F8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道路通达度</w:t>
            </w:r>
          </w:p>
        </w:tc>
        <w:tc>
          <w:tcPr>
            <w:tcW w:w="897" w:type="pct"/>
            <w:tcBorders>
              <w:top w:val="nil"/>
              <w:left w:val="nil"/>
              <w:bottom w:val="single" w:color="auto" w:sz="4" w:space="0"/>
              <w:right w:val="single" w:color="auto" w:sz="4" w:space="0"/>
            </w:tcBorders>
            <w:vAlign w:val="center"/>
          </w:tcPr>
          <w:p w14:paraId="6CCE162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9343F2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468113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3F0F71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EB2D42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D8224D4">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距离轨道交通站点距离</w:t>
            </w:r>
          </w:p>
        </w:tc>
        <w:tc>
          <w:tcPr>
            <w:tcW w:w="897" w:type="pct"/>
            <w:tcBorders>
              <w:top w:val="nil"/>
              <w:left w:val="nil"/>
              <w:bottom w:val="single" w:color="auto" w:sz="4" w:space="0"/>
              <w:right w:val="single" w:color="auto" w:sz="4" w:space="0"/>
            </w:tcBorders>
            <w:vAlign w:val="center"/>
          </w:tcPr>
          <w:p w14:paraId="44CB9D2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257B2B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970B58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F720FB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43777C">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D4B92E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距离公交站点距离</w:t>
            </w:r>
          </w:p>
        </w:tc>
        <w:tc>
          <w:tcPr>
            <w:tcW w:w="1707" w:type="dxa"/>
            <w:tcBorders>
              <w:top w:val="nil"/>
              <w:left w:val="nil"/>
              <w:bottom w:val="single" w:color="auto" w:sz="4" w:space="0"/>
              <w:right w:val="single" w:color="auto" w:sz="4" w:space="0"/>
            </w:tcBorders>
            <w:vAlign w:val="center"/>
          </w:tcPr>
          <w:p w14:paraId="674EC2D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3958AA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2AF5B6C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0422B50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5D2B3E1">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F4B9FFF">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环境质量优劣度</w:t>
            </w:r>
          </w:p>
        </w:tc>
        <w:tc>
          <w:tcPr>
            <w:tcW w:w="1707" w:type="dxa"/>
            <w:tcBorders>
              <w:top w:val="nil"/>
              <w:left w:val="nil"/>
              <w:bottom w:val="single" w:color="auto" w:sz="4" w:space="0"/>
              <w:right w:val="single" w:color="auto" w:sz="4" w:space="0"/>
            </w:tcBorders>
            <w:vAlign w:val="center"/>
          </w:tcPr>
          <w:p w14:paraId="5345CAA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377B904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1A59DA9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134C72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288C5C2">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4177DF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自然环境</w:t>
            </w:r>
          </w:p>
        </w:tc>
        <w:tc>
          <w:tcPr>
            <w:tcW w:w="1707" w:type="dxa"/>
            <w:tcBorders>
              <w:top w:val="nil"/>
              <w:left w:val="nil"/>
              <w:bottom w:val="single" w:color="auto" w:sz="4" w:space="0"/>
              <w:right w:val="single" w:color="auto" w:sz="4" w:space="0"/>
            </w:tcBorders>
            <w:vAlign w:val="center"/>
          </w:tcPr>
          <w:p w14:paraId="64493CE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68B3777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47FBC80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558335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0C8CF28">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2BFD68C">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小区环境</w:t>
            </w:r>
          </w:p>
        </w:tc>
        <w:tc>
          <w:tcPr>
            <w:tcW w:w="1707" w:type="dxa"/>
            <w:tcBorders>
              <w:top w:val="nil"/>
              <w:left w:val="nil"/>
              <w:bottom w:val="single" w:color="auto" w:sz="4" w:space="0"/>
              <w:right w:val="single" w:color="auto" w:sz="4" w:space="0"/>
            </w:tcBorders>
            <w:vAlign w:val="center"/>
          </w:tcPr>
          <w:p w14:paraId="0496885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1DFA0C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1CAD09A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000A036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3B6160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B784AC5">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公共服务设施状况</w:t>
            </w:r>
          </w:p>
        </w:tc>
        <w:tc>
          <w:tcPr>
            <w:tcW w:w="1707" w:type="dxa"/>
            <w:tcBorders>
              <w:top w:val="nil"/>
              <w:left w:val="nil"/>
              <w:bottom w:val="single" w:color="auto" w:sz="4" w:space="0"/>
              <w:right w:val="single" w:color="auto" w:sz="4" w:space="0"/>
            </w:tcBorders>
            <w:vAlign w:val="center"/>
          </w:tcPr>
          <w:p w14:paraId="60D9548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0C8D737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2992CE8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ACF0FB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B30A77D">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4961492">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建筑类型</w:t>
            </w:r>
          </w:p>
        </w:tc>
        <w:tc>
          <w:tcPr>
            <w:tcW w:w="1707" w:type="dxa"/>
            <w:tcBorders>
              <w:top w:val="nil"/>
              <w:left w:val="nil"/>
              <w:bottom w:val="single" w:color="auto" w:sz="4" w:space="0"/>
              <w:right w:val="single" w:color="auto" w:sz="4" w:space="0"/>
            </w:tcBorders>
            <w:vAlign w:val="center"/>
          </w:tcPr>
          <w:p w14:paraId="7C9FE1F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1CAC415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17531EB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5</w:t>
            </w:r>
          </w:p>
        </w:tc>
      </w:tr>
      <w:tr w14:paraId="3237C84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49B2EF5">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065457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楼层</w:t>
            </w:r>
          </w:p>
        </w:tc>
        <w:tc>
          <w:tcPr>
            <w:tcW w:w="1707" w:type="dxa"/>
            <w:tcBorders>
              <w:top w:val="nil"/>
              <w:left w:val="nil"/>
              <w:bottom w:val="single" w:color="auto" w:sz="4" w:space="0"/>
              <w:right w:val="single" w:color="auto" w:sz="4" w:space="0"/>
            </w:tcBorders>
            <w:vAlign w:val="center"/>
          </w:tcPr>
          <w:p w14:paraId="7827E07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1707" w:type="dxa"/>
            <w:tcBorders>
              <w:top w:val="nil"/>
              <w:left w:val="nil"/>
              <w:bottom w:val="single" w:color="auto" w:sz="4" w:space="0"/>
              <w:right w:val="single" w:color="auto" w:sz="4" w:space="0"/>
            </w:tcBorders>
            <w:vAlign w:val="center"/>
          </w:tcPr>
          <w:p w14:paraId="2CDB327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1</w:t>
            </w:r>
          </w:p>
        </w:tc>
        <w:tc>
          <w:tcPr>
            <w:tcW w:w="1708" w:type="dxa"/>
            <w:tcBorders>
              <w:top w:val="nil"/>
              <w:left w:val="nil"/>
              <w:bottom w:val="single" w:color="auto" w:sz="4" w:space="0"/>
              <w:right w:val="single" w:color="auto" w:sz="4" w:space="0"/>
            </w:tcBorders>
            <w:vAlign w:val="center"/>
          </w:tcPr>
          <w:p w14:paraId="702ABA3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AEC522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10AE0B3">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95B0081">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朝向</w:t>
            </w:r>
          </w:p>
        </w:tc>
        <w:tc>
          <w:tcPr>
            <w:tcW w:w="1707" w:type="dxa"/>
            <w:tcBorders>
              <w:top w:val="nil"/>
              <w:left w:val="nil"/>
              <w:bottom w:val="single" w:color="auto" w:sz="4" w:space="0"/>
              <w:right w:val="single" w:color="auto" w:sz="4" w:space="0"/>
            </w:tcBorders>
            <w:vAlign w:val="center"/>
          </w:tcPr>
          <w:p w14:paraId="732F27A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1707" w:type="dxa"/>
            <w:tcBorders>
              <w:top w:val="nil"/>
              <w:left w:val="nil"/>
              <w:bottom w:val="single" w:color="auto" w:sz="4" w:space="0"/>
              <w:right w:val="single" w:color="auto" w:sz="4" w:space="0"/>
            </w:tcBorders>
            <w:vAlign w:val="center"/>
          </w:tcPr>
          <w:p w14:paraId="73114D3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79CC3A7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3AB5AD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4717A6E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实物状况</w:t>
            </w:r>
          </w:p>
        </w:tc>
        <w:tc>
          <w:tcPr>
            <w:tcW w:w="1516" w:type="pct"/>
            <w:tcBorders>
              <w:top w:val="nil"/>
              <w:left w:val="nil"/>
              <w:bottom w:val="single" w:color="auto" w:sz="4" w:space="0"/>
              <w:right w:val="single" w:color="auto" w:sz="4" w:space="0"/>
            </w:tcBorders>
            <w:vAlign w:val="center"/>
          </w:tcPr>
          <w:p w14:paraId="716B1A3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成新度</w:t>
            </w:r>
          </w:p>
        </w:tc>
        <w:tc>
          <w:tcPr>
            <w:tcW w:w="1707" w:type="dxa"/>
            <w:tcBorders>
              <w:top w:val="nil"/>
              <w:left w:val="nil"/>
              <w:bottom w:val="single" w:color="auto" w:sz="4" w:space="0"/>
              <w:right w:val="single" w:color="auto" w:sz="4" w:space="0"/>
            </w:tcBorders>
            <w:vAlign w:val="center"/>
          </w:tcPr>
          <w:p w14:paraId="34D9036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046437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13A09CC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r>
      <w:tr w14:paraId="7FBF491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FC85D5E">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4B2BDA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公共区域装修</w:t>
            </w:r>
          </w:p>
        </w:tc>
        <w:tc>
          <w:tcPr>
            <w:tcW w:w="1707" w:type="dxa"/>
            <w:tcBorders>
              <w:top w:val="nil"/>
              <w:left w:val="nil"/>
              <w:bottom w:val="single" w:color="auto" w:sz="4" w:space="0"/>
              <w:right w:val="single" w:color="auto" w:sz="4" w:space="0"/>
            </w:tcBorders>
            <w:vAlign w:val="center"/>
          </w:tcPr>
          <w:p w14:paraId="4821CB9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38B39B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1F32ED1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F30DFFC">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6865376D">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0E0C3288">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室内装饰装修</w:t>
            </w:r>
          </w:p>
        </w:tc>
        <w:tc>
          <w:tcPr>
            <w:tcW w:w="1707" w:type="dxa"/>
            <w:tcBorders>
              <w:top w:val="nil"/>
              <w:left w:val="nil"/>
              <w:bottom w:val="single" w:color="auto" w:sz="4" w:space="0"/>
              <w:right w:val="single" w:color="auto" w:sz="4" w:space="0"/>
            </w:tcBorders>
            <w:vAlign w:val="center"/>
          </w:tcPr>
          <w:p w14:paraId="04FB4E6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37FB3B0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3C1365B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8128F6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10DB897">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266F3DD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设施设备</w:t>
            </w:r>
          </w:p>
        </w:tc>
        <w:tc>
          <w:tcPr>
            <w:tcW w:w="1707" w:type="dxa"/>
            <w:tcBorders>
              <w:top w:val="nil"/>
              <w:left w:val="nil"/>
              <w:bottom w:val="single" w:color="auto" w:sz="4" w:space="0"/>
              <w:right w:val="single" w:color="auto" w:sz="4" w:space="0"/>
            </w:tcBorders>
            <w:vAlign w:val="center"/>
          </w:tcPr>
          <w:p w14:paraId="14A52C4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1FA0E70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7ACBD0B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40BEE9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B1593E0">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05D6F0A4">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综合管理服务设施</w:t>
            </w:r>
          </w:p>
        </w:tc>
        <w:tc>
          <w:tcPr>
            <w:tcW w:w="1707" w:type="dxa"/>
            <w:tcBorders>
              <w:top w:val="nil"/>
              <w:left w:val="nil"/>
              <w:bottom w:val="single" w:color="auto" w:sz="4" w:space="0"/>
              <w:right w:val="single" w:color="auto" w:sz="4" w:space="0"/>
            </w:tcBorders>
            <w:vAlign w:val="center"/>
          </w:tcPr>
          <w:p w14:paraId="21DA653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26A048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483CEAE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C3CAD5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8CDE94F">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E7C413B">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户型布局</w:t>
            </w:r>
          </w:p>
        </w:tc>
        <w:tc>
          <w:tcPr>
            <w:tcW w:w="1707" w:type="dxa"/>
            <w:tcBorders>
              <w:top w:val="nil"/>
              <w:left w:val="nil"/>
              <w:bottom w:val="single" w:color="auto" w:sz="4" w:space="0"/>
              <w:right w:val="single" w:color="auto" w:sz="4" w:space="0"/>
            </w:tcBorders>
            <w:vAlign w:val="center"/>
          </w:tcPr>
          <w:p w14:paraId="0FDF63D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08067FD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7C63D05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1AF8FA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ED3AA1E">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93218DC">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户型结构</w:t>
            </w:r>
          </w:p>
        </w:tc>
        <w:tc>
          <w:tcPr>
            <w:tcW w:w="1707" w:type="dxa"/>
            <w:tcBorders>
              <w:top w:val="nil"/>
              <w:left w:val="nil"/>
              <w:bottom w:val="single" w:color="auto" w:sz="4" w:space="0"/>
              <w:right w:val="single" w:color="auto" w:sz="4" w:space="0"/>
            </w:tcBorders>
            <w:vAlign w:val="center"/>
          </w:tcPr>
          <w:p w14:paraId="11F0B99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B0BBD1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6C61741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376487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7274997">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93F2828">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建筑面积</w:t>
            </w:r>
          </w:p>
        </w:tc>
        <w:tc>
          <w:tcPr>
            <w:tcW w:w="1707" w:type="dxa"/>
            <w:tcBorders>
              <w:top w:val="nil"/>
              <w:left w:val="nil"/>
              <w:bottom w:val="single" w:color="auto" w:sz="4" w:space="0"/>
              <w:right w:val="single" w:color="auto" w:sz="4" w:space="0"/>
            </w:tcBorders>
            <w:vAlign w:val="center"/>
          </w:tcPr>
          <w:p w14:paraId="46F45B9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1707" w:type="dxa"/>
            <w:tcBorders>
              <w:top w:val="nil"/>
              <w:left w:val="nil"/>
              <w:bottom w:val="single" w:color="auto" w:sz="4" w:space="0"/>
              <w:right w:val="single" w:color="auto" w:sz="4" w:space="0"/>
            </w:tcBorders>
            <w:vAlign w:val="center"/>
          </w:tcPr>
          <w:p w14:paraId="2769F67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2720E17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r>
      <w:tr w14:paraId="080BAC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BC75DA4">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0A6036F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家具家电</w:t>
            </w:r>
          </w:p>
        </w:tc>
        <w:tc>
          <w:tcPr>
            <w:tcW w:w="897" w:type="pct"/>
            <w:tcBorders>
              <w:top w:val="nil"/>
              <w:left w:val="nil"/>
              <w:bottom w:val="single" w:color="auto" w:sz="4" w:space="0"/>
              <w:right w:val="single" w:color="auto" w:sz="4" w:space="0"/>
            </w:tcBorders>
            <w:vAlign w:val="center"/>
          </w:tcPr>
          <w:p w14:paraId="282897A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384E2B1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9D9151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0B09CC4">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42EABE69">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权益状况</w:t>
            </w:r>
          </w:p>
        </w:tc>
        <w:tc>
          <w:tcPr>
            <w:tcW w:w="1516" w:type="pct"/>
            <w:tcBorders>
              <w:top w:val="nil"/>
              <w:left w:val="nil"/>
              <w:bottom w:val="single" w:color="auto" w:sz="4" w:space="0"/>
              <w:right w:val="single" w:color="auto" w:sz="4" w:space="0"/>
            </w:tcBorders>
            <w:vAlign w:val="center"/>
          </w:tcPr>
          <w:p w14:paraId="429789C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服务及管理水平</w:t>
            </w:r>
          </w:p>
        </w:tc>
        <w:tc>
          <w:tcPr>
            <w:tcW w:w="897" w:type="pct"/>
            <w:tcBorders>
              <w:top w:val="nil"/>
              <w:left w:val="nil"/>
              <w:bottom w:val="single" w:color="auto" w:sz="4" w:space="0"/>
              <w:right w:val="single" w:color="auto" w:sz="4" w:space="0"/>
            </w:tcBorders>
            <w:vAlign w:val="center"/>
          </w:tcPr>
          <w:p w14:paraId="4A8D63A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D348E4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444064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1C4FCB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7AEB0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60979E5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水电气费执行标准</w:t>
            </w:r>
          </w:p>
        </w:tc>
        <w:tc>
          <w:tcPr>
            <w:tcW w:w="897" w:type="pct"/>
            <w:tcBorders>
              <w:top w:val="nil"/>
              <w:left w:val="nil"/>
              <w:bottom w:val="single" w:color="auto" w:sz="4" w:space="0"/>
              <w:right w:val="single" w:color="auto" w:sz="4" w:space="0"/>
            </w:tcBorders>
            <w:vAlign w:val="center"/>
          </w:tcPr>
          <w:p w14:paraId="33A198C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96E5D0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9F4073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14A2C9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D1F62D4">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581F25E6">
            <w:pPr>
              <w:spacing w:line="240" w:lineRule="auto"/>
              <w:jc w:val="center"/>
              <w:rPr>
                <w:rFonts w:ascii="Arial" w:hAnsi="Arial" w:cs="Arial"/>
                <w:color w:val="auto"/>
                <w:sz w:val="16"/>
                <w:szCs w:val="18"/>
              </w:rPr>
            </w:pPr>
            <w:r>
              <w:rPr>
                <w:rFonts w:hint="eastAsia" w:ascii="Arial" w:hAnsi="Arial" w:cs="Arial"/>
                <w:color w:val="auto"/>
                <w:sz w:val="16"/>
                <w:szCs w:val="18"/>
              </w:rPr>
              <w:t>1.0306</w:t>
            </w:r>
          </w:p>
        </w:tc>
        <w:tc>
          <w:tcPr>
            <w:tcW w:w="897" w:type="pct"/>
            <w:tcBorders>
              <w:top w:val="single" w:color="auto" w:sz="4" w:space="0"/>
              <w:left w:val="nil"/>
              <w:bottom w:val="single" w:color="auto" w:sz="4" w:space="0"/>
              <w:right w:val="single" w:color="auto" w:sz="4" w:space="0"/>
            </w:tcBorders>
            <w:vAlign w:val="center"/>
          </w:tcPr>
          <w:p w14:paraId="3DFDBBF3">
            <w:pPr>
              <w:spacing w:line="240" w:lineRule="auto"/>
              <w:jc w:val="center"/>
              <w:rPr>
                <w:rFonts w:ascii="Arial" w:hAnsi="Arial" w:cs="Arial"/>
                <w:color w:val="auto"/>
                <w:sz w:val="16"/>
                <w:szCs w:val="18"/>
              </w:rPr>
            </w:pPr>
            <w:r>
              <w:rPr>
                <w:rFonts w:hint="eastAsia" w:ascii="Arial" w:hAnsi="Arial" w:cs="Arial"/>
                <w:color w:val="auto"/>
                <w:sz w:val="16"/>
                <w:szCs w:val="18"/>
              </w:rPr>
              <w:t>0.9901</w:t>
            </w:r>
          </w:p>
        </w:tc>
        <w:tc>
          <w:tcPr>
            <w:tcW w:w="897" w:type="pct"/>
            <w:tcBorders>
              <w:top w:val="single" w:color="auto" w:sz="4" w:space="0"/>
              <w:left w:val="nil"/>
              <w:bottom w:val="single" w:color="auto" w:sz="4" w:space="0"/>
              <w:right w:val="single" w:color="auto" w:sz="4" w:space="0"/>
            </w:tcBorders>
            <w:vAlign w:val="center"/>
          </w:tcPr>
          <w:p w14:paraId="4A20397C">
            <w:pPr>
              <w:spacing w:line="240" w:lineRule="auto"/>
              <w:jc w:val="center"/>
              <w:rPr>
                <w:rFonts w:ascii="Arial" w:hAnsi="Arial" w:cs="Arial"/>
                <w:color w:val="auto"/>
                <w:sz w:val="16"/>
                <w:szCs w:val="18"/>
              </w:rPr>
            </w:pPr>
            <w:r>
              <w:rPr>
                <w:rFonts w:hint="eastAsia" w:ascii="Arial" w:hAnsi="Arial" w:cs="Arial"/>
                <w:color w:val="auto"/>
                <w:sz w:val="16"/>
                <w:szCs w:val="18"/>
              </w:rPr>
              <w:t>0.9717</w:t>
            </w:r>
          </w:p>
        </w:tc>
      </w:tr>
      <w:tr w14:paraId="66FA33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59CFE2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2CE4C6D">
            <w:pPr>
              <w:spacing w:line="240" w:lineRule="auto"/>
              <w:jc w:val="center"/>
              <w:rPr>
                <w:rFonts w:ascii="Arial" w:hAnsi="Arial" w:cs="Arial"/>
                <w:color w:val="auto"/>
                <w:sz w:val="16"/>
                <w:szCs w:val="18"/>
              </w:rPr>
            </w:pPr>
            <w:r>
              <w:rPr>
                <w:rFonts w:hint="eastAsia" w:ascii="Arial" w:hAnsi="Arial" w:cs="Arial"/>
                <w:color w:val="auto"/>
                <w:sz w:val="16"/>
                <w:szCs w:val="18"/>
              </w:rPr>
              <w:t>15.39</w:t>
            </w:r>
          </w:p>
        </w:tc>
        <w:tc>
          <w:tcPr>
            <w:tcW w:w="897" w:type="pct"/>
            <w:tcBorders>
              <w:top w:val="single" w:color="auto" w:sz="4" w:space="0"/>
              <w:left w:val="nil"/>
              <w:bottom w:val="single" w:color="auto" w:sz="4" w:space="0"/>
              <w:right w:val="single" w:color="auto" w:sz="4" w:space="0"/>
            </w:tcBorders>
            <w:vAlign w:val="center"/>
          </w:tcPr>
          <w:p w14:paraId="0F569E8F">
            <w:pPr>
              <w:spacing w:line="240" w:lineRule="auto"/>
              <w:jc w:val="center"/>
              <w:rPr>
                <w:rFonts w:ascii="Arial" w:hAnsi="Arial" w:cs="Arial"/>
                <w:color w:val="auto"/>
                <w:sz w:val="16"/>
                <w:szCs w:val="18"/>
              </w:rPr>
            </w:pPr>
            <w:r>
              <w:rPr>
                <w:rFonts w:hint="eastAsia" w:ascii="Arial" w:hAnsi="Arial" w:cs="Arial"/>
                <w:color w:val="auto"/>
                <w:sz w:val="16"/>
                <w:szCs w:val="18"/>
              </w:rPr>
              <w:t>16.36</w:t>
            </w:r>
          </w:p>
        </w:tc>
        <w:tc>
          <w:tcPr>
            <w:tcW w:w="897" w:type="pct"/>
            <w:tcBorders>
              <w:top w:val="single" w:color="auto" w:sz="4" w:space="0"/>
              <w:left w:val="nil"/>
              <w:bottom w:val="single" w:color="auto" w:sz="4" w:space="0"/>
              <w:right w:val="single" w:color="auto" w:sz="4" w:space="0"/>
            </w:tcBorders>
            <w:vAlign w:val="center"/>
          </w:tcPr>
          <w:p w14:paraId="090D86D4">
            <w:pPr>
              <w:spacing w:line="240" w:lineRule="auto"/>
              <w:jc w:val="center"/>
              <w:rPr>
                <w:rFonts w:ascii="Arial" w:hAnsi="Arial" w:cs="Arial"/>
                <w:color w:val="auto"/>
                <w:sz w:val="16"/>
                <w:szCs w:val="18"/>
              </w:rPr>
            </w:pPr>
            <w:r>
              <w:rPr>
                <w:rFonts w:hint="eastAsia" w:ascii="Arial" w:hAnsi="Arial" w:cs="Arial"/>
                <w:color w:val="auto"/>
                <w:sz w:val="16"/>
                <w:szCs w:val="18"/>
              </w:rPr>
              <w:t>15.42</w:t>
            </w:r>
          </w:p>
        </w:tc>
      </w:tr>
    </w:tbl>
    <w:p w14:paraId="278F0B55">
      <w:pPr>
        <w:wordWrap w:val="0"/>
        <w:overflowPunct w:val="0"/>
        <w:spacing w:before="240" w:beforeLines="100" w:line="480" w:lineRule="auto"/>
        <w:ind w:firstLine="420" w:firstLineChars="200"/>
        <w:rPr>
          <w:rFonts w:ascii="Arial" w:hAnsi="Arial"/>
          <w:color w:val="auto"/>
          <w:sz w:val="21"/>
          <w:szCs w:val="21"/>
        </w:rPr>
      </w:pPr>
      <w:r>
        <w:rPr>
          <w:rFonts w:hint="eastAsia" w:ascii="Arial" w:hAnsi="Arial"/>
          <w:color w:val="auto"/>
          <w:sz w:val="21"/>
          <w:szCs w:val="21"/>
        </w:rPr>
        <w:t>注：</w:t>
      </w:r>
      <w:r>
        <w:rPr>
          <w:rFonts w:ascii="Arial" w:hAnsi="Arial"/>
          <w:color w:val="auto"/>
          <w:sz w:val="21"/>
          <w:szCs w:val="21"/>
        </w:rPr>
        <w:t>比准价格＝比较</w:t>
      </w:r>
      <w:r>
        <w:rPr>
          <w:rFonts w:hint="eastAsia" w:ascii="Arial" w:hAnsi="Arial"/>
          <w:color w:val="auto"/>
          <w:sz w:val="21"/>
          <w:szCs w:val="21"/>
        </w:rPr>
        <w:t>实例</w:t>
      </w:r>
      <w:r>
        <w:rPr>
          <w:rFonts w:ascii="Arial" w:hAnsi="Arial"/>
          <w:color w:val="auto"/>
          <w:sz w:val="21"/>
          <w:szCs w:val="21"/>
        </w:rPr>
        <w:t>平均租金×（待估房地产</w:t>
      </w:r>
      <w:r>
        <w:rPr>
          <w:rFonts w:hint="eastAsia" w:ascii="Arial" w:hAnsi="Arial"/>
          <w:color w:val="auto"/>
          <w:sz w:val="21"/>
          <w:szCs w:val="21"/>
        </w:rPr>
        <w:t>交易时间</w:t>
      </w:r>
      <w:r>
        <w:rPr>
          <w:rFonts w:ascii="Arial" w:hAnsi="Arial"/>
          <w:color w:val="auto"/>
          <w:sz w:val="21"/>
          <w:szCs w:val="21"/>
        </w:rPr>
        <w:t>房地产价租赁格指数/可比实例交易</w:t>
      </w:r>
      <w:r>
        <w:rPr>
          <w:rFonts w:hint="eastAsia" w:ascii="Arial" w:hAnsi="Arial"/>
          <w:color w:val="auto"/>
          <w:sz w:val="21"/>
          <w:szCs w:val="21"/>
        </w:rPr>
        <w:t>时间</w:t>
      </w:r>
      <w:r>
        <w:rPr>
          <w:rFonts w:ascii="Arial" w:hAnsi="Arial"/>
          <w:color w:val="auto"/>
          <w:sz w:val="21"/>
          <w:szCs w:val="21"/>
        </w:rPr>
        <w:t>房地产租赁价格指数）×（待估房地产交易情况指数/可比实例</w:t>
      </w:r>
      <w:r>
        <w:rPr>
          <w:rFonts w:hint="eastAsia" w:ascii="Arial" w:hAnsi="Arial"/>
          <w:color w:val="auto"/>
          <w:sz w:val="21"/>
          <w:szCs w:val="21"/>
        </w:rPr>
        <w:t>交易情况</w:t>
      </w:r>
      <w:r>
        <w:rPr>
          <w:rFonts w:ascii="Arial" w:hAnsi="Arial"/>
          <w:color w:val="auto"/>
          <w:sz w:val="21"/>
          <w:szCs w:val="21"/>
        </w:rPr>
        <w:t>指数）×（待估房地产</w:t>
      </w:r>
      <w:r>
        <w:rPr>
          <w:rFonts w:hint="eastAsia" w:ascii="Arial" w:hAnsi="Arial"/>
          <w:color w:val="auto"/>
          <w:sz w:val="21"/>
          <w:szCs w:val="21"/>
        </w:rPr>
        <w:t>项目类型</w:t>
      </w:r>
      <w:r>
        <w:rPr>
          <w:rFonts w:ascii="Arial" w:hAnsi="Arial"/>
          <w:color w:val="auto"/>
          <w:sz w:val="21"/>
          <w:szCs w:val="21"/>
        </w:rPr>
        <w:t>指数/可比实例</w:t>
      </w:r>
      <w:r>
        <w:rPr>
          <w:rFonts w:hint="eastAsia" w:ascii="Arial" w:hAnsi="Arial"/>
          <w:color w:val="auto"/>
          <w:sz w:val="21"/>
          <w:szCs w:val="21"/>
        </w:rPr>
        <w:t>项目类型</w:t>
      </w:r>
      <w:r>
        <w:rPr>
          <w:rFonts w:ascii="Arial" w:hAnsi="Arial"/>
          <w:color w:val="auto"/>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color w:val="auto"/>
          <w:sz w:val="21"/>
          <w:szCs w:val="21"/>
        </w:rPr>
        <w:t>权益</w:t>
      </w:r>
      <w:r>
        <w:rPr>
          <w:rFonts w:ascii="Arial" w:hAnsi="Arial"/>
          <w:color w:val="auto"/>
          <w:sz w:val="21"/>
          <w:szCs w:val="21"/>
        </w:rPr>
        <w:t>状况条件指数/可比实例房地产</w:t>
      </w:r>
      <w:r>
        <w:rPr>
          <w:rFonts w:hint="eastAsia" w:ascii="Arial" w:hAnsi="Arial"/>
          <w:color w:val="auto"/>
          <w:sz w:val="21"/>
          <w:szCs w:val="21"/>
        </w:rPr>
        <w:t>权益</w:t>
      </w:r>
      <w:r>
        <w:rPr>
          <w:rFonts w:ascii="Arial" w:hAnsi="Arial"/>
          <w:color w:val="auto"/>
          <w:sz w:val="21"/>
          <w:szCs w:val="21"/>
        </w:rPr>
        <w:t>状况条件指数）</w:t>
      </w:r>
    </w:p>
    <w:p w14:paraId="35B2871C">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（4）影响因素选择实例修正后的价值计算</w:t>
      </w:r>
      <w:r>
        <w:rPr>
          <w:rFonts w:ascii="Arial" w:hAnsi="Arial"/>
          <w:color w:val="auto"/>
          <w:sz w:val="21"/>
          <w:szCs w:val="21"/>
        </w:rPr>
        <w:t xml:space="preserve"> </w:t>
      </w:r>
    </w:p>
    <w:p w14:paraId="1CF5FEBD">
      <w:pPr>
        <w:overflowPunct w:val="0"/>
        <w:spacing w:line="480" w:lineRule="auto"/>
        <w:ind w:firstLine="420" w:firstLineChars="200"/>
        <w:jc w:val="both"/>
        <w:rPr>
          <w:rFonts w:ascii="Arial" w:hAnsi="Arial"/>
          <w:color w:val="auto"/>
          <w:sz w:val="21"/>
          <w:szCs w:val="21"/>
        </w:rPr>
      </w:pPr>
      <w:r>
        <w:rPr>
          <w:rFonts w:ascii="Arial" w:hAnsi="Arial"/>
          <w:color w:val="auto"/>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color w:val="auto"/>
          <w:sz w:val="21"/>
          <w:szCs w:val="21"/>
        </w:rPr>
        <w:t>3</w:t>
      </w:r>
      <w:r>
        <w:rPr>
          <w:rFonts w:ascii="Arial" w:hAnsi="Arial"/>
          <w:color w:val="auto"/>
          <w:sz w:val="21"/>
          <w:szCs w:val="21"/>
        </w:rPr>
        <w:t>个可比案例的比准价格的简单算术平均值作为项目</w:t>
      </w:r>
      <w:r>
        <w:rPr>
          <w:rFonts w:hint="eastAsia" w:ascii="Arial" w:hAnsi="Arial"/>
          <w:color w:val="auto"/>
          <w:sz w:val="21"/>
          <w:szCs w:val="21"/>
        </w:rPr>
        <w:t>典型户型</w:t>
      </w:r>
      <w:r>
        <w:rPr>
          <w:rFonts w:ascii="Arial" w:hAnsi="Arial"/>
          <w:color w:val="auto"/>
          <w:sz w:val="21"/>
          <w:szCs w:val="21"/>
        </w:rPr>
        <w:t>的评估价格</w:t>
      </w:r>
      <w:r>
        <w:rPr>
          <w:rFonts w:hint="eastAsia" w:ascii="Arial" w:hAnsi="Arial"/>
          <w:color w:val="auto"/>
          <w:sz w:val="21"/>
          <w:szCs w:val="21"/>
        </w:rPr>
        <w:t>。</w:t>
      </w:r>
    </w:p>
    <w:p w14:paraId="243A49AA">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即：标准房</w:t>
      </w:r>
      <w:r>
        <w:rPr>
          <w:rFonts w:ascii="Arial" w:hAnsi="Arial"/>
          <w:color w:val="auto"/>
          <w:sz w:val="21"/>
          <w:szCs w:val="21"/>
        </w:rPr>
        <w:t>2</w:t>
      </w:r>
      <w:r>
        <w:rPr>
          <w:rFonts w:hint="eastAsia" w:ascii="Arial" w:hAnsi="Arial"/>
          <w:bCs/>
          <w:color w:val="auto"/>
          <w:sz w:val="21"/>
        </w:rPr>
        <w:t>市场租赁住房租金</w:t>
      </w:r>
      <w:r>
        <w:rPr>
          <w:rFonts w:hint="eastAsia" w:ascii="Arial" w:hAnsi="Arial"/>
          <w:color w:val="auto"/>
          <w:sz w:val="21"/>
          <w:szCs w:val="21"/>
        </w:rPr>
        <w:t>＝（15.39+16.36+15.42）÷</w:t>
      </w:r>
      <w:r>
        <w:rPr>
          <w:rFonts w:ascii="Arial" w:hAnsi="Arial"/>
          <w:color w:val="auto"/>
          <w:sz w:val="21"/>
          <w:szCs w:val="21"/>
        </w:rPr>
        <w:t>3</w:t>
      </w:r>
      <w:r>
        <w:rPr>
          <w:rFonts w:hint="eastAsia" w:ascii="Arial" w:hAnsi="Arial"/>
          <w:color w:val="auto"/>
          <w:sz w:val="21"/>
          <w:szCs w:val="21"/>
        </w:rPr>
        <w:t>+1.56</w:t>
      </w:r>
    </w:p>
    <w:p w14:paraId="6B28D0A7">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 xml:space="preserve">                            </w:t>
      </w:r>
      <w:r>
        <w:rPr>
          <w:rFonts w:hint="eastAsia" w:ascii="Arial" w:hAnsi="Arial"/>
          <w:color w:val="auto"/>
          <w:sz w:val="21"/>
          <w:szCs w:val="21"/>
        </w:rPr>
        <w:t>＝15.72+1.56</w:t>
      </w:r>
    </w:p>
    <w:p w14:paraId="17D984F7">
      <w:pPr>
        <w:wordWrap w:val="0"/>
        <w:overflowPunct w:val="0"/>
        <w:spacing w:line="480" w:lineRule="auto"/>
        <w:ind w:firstLine="3360" w:firstLineChars="1600"/>
        <w:rPr>
          <w:rFonts w:hint="eastAsia" w:ascii="宋体" w:hAnsi="宋体"/>
          <w:color w:val="auto"/>
          <w:sz w:val="21"/>
          <w:szCs w:val="21"/>
        </w:rPr>
      </w:pPr>
      <w:r>
        <w:rPr>
          <w:rFonts w:hint="eastAsia" w:ascii="Arial" w:hAnsi="Arial"/>
          <w:color w:val="auto"/>
          <w:sz w:val="21"/>
          <w:szCs w:val="21"/>
        </w:rPr>
        <w:t>＝17.28（元/平方米·月）</w:t>
      </w:r>
      <w:r>
        <w:rPr>
          <w:rFonts w:hint="eastAsia" w:ascii="宋体" w:hAnsi="宋体"/>
          <w:color w:val="auto"/>
          <w:sz w:val="21"/>
          <w:szCs w:val="21"/>
        </w:rPr>
        <w:t>（含物业费、不含取暖费）</w:t>
      </w:r>
    </w:p>
    <w:p w14:paraId="0ECEB999">
      <w:pPr>
        <w:wordWrap w:val="0"/>
        <w:overflowPunct w:val="0"/>
        <w:spacing w:line="480" w:lineRule="auto"/>
        <w:ind w:firstLine="422" w:firstLineChars="200"/>
        <w:rPr>
          <w:rFonts w:ascii="Arial" w:hAnsi="Arial" w:cs="Arial"/>
          <w:b/>
          <w:color w:val="auto"/>
          <w:sz w:val="21"/>
          <w:szCs w:val="21"/>
        </w:rPr>
      </w:pPr>
      <w:r>
        <w:rPr>
          <w:rFonts w:hint="eastAsia" w:ascii="Arial" w:hAnsi="Arial" w:cs="Arial"/>
          <w:b/>
          <w:color w:val="auto"/>
          <w:sz w:val="21"/>
          <w:szCs w:val="21"/>
        </w:rPr>
        <w:t>C.标准房</w:t>
      </w:r>
      <w:r>
        <w:rPr>
          <w:rFonts w:ascii="Arial" w:hAnsi="Arial" w:cs="Arial"/>
          <w:b/>
          <w:color w:val="auto"/>
          <w:sz w:val="21"/>
          <w:szCs w:val="21"/>
        </w:rPr>
        <w:t>3</w:t>
      </w:r>
      <w:r>
        <w:rPr>
          <w:rFonts w:hint="eastAsia" w:ascii="Arial" w:hAnsi="Arial" w:cs="Arial"/>
          <w:b/>
          <w:color w:val="auto"/>
          <w:sz w:val="21"/>
          <w:szCs w:val="21"/>
        </w:rPr>
        <w:t>（三</w:t>
      </w:r>
      <w:r>
        <w:rPr>
          <w:rFonts w:hint="eastAsia" w:ascii="宋体" w:hAnsi="宋体"/>
          <w:b/>
          <w:color w:val="auto"/>
          <w:sz w:val="21"/>
          <w:szCs w:val="21"/>
        </w:rPr>
        <w:t>居室标准房市场租金水平）</w:t>
      </w:r>
    </w:p>
    <w:p w14:paraId="2BB2C919">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1.选取案例并作因素条件说明</w:t>
      </w:r>
    </w:p>
    <w:p w14:paraId="04D98580">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通过对北京市</w:t>
      </w:r>
      <w:r>
        <w:rPr>
          <w:rFonts w:hint="eastAsia" w:ascii="Arial" w:hAnsi="Arial" w:cs="Arial"/>
          <w:color w:val="auto"/>
          <w:sz w:val="21"/>
          <w:szCs w:val="21"/>
        </w:rPr>
        <w:t>大兴</w:t>
      </w:r>
      <w:r>
        <w:rPr>
          <w:rFonts w:ascii="Arial" w:hAnsi="Arial" w:cs="Arial"/>
          <w:color w:val="auto"/>
          <w:sz w:val="21"/>
          <w:szCs w:val="21"/>
        </w:rPr>
        <w:t>区及其周边</w:t>
      </w:r>
      <w:r>
        <w:rPr>
          <w:rFonts w:hint="eastAsia" w:ascii="Arial" w:hAnsi="Arial" w:cs="Arial"/>
          <w:color w:val="auto"/>
          <w:sz w:val="21"/>
          <w:szCs w:val="21"/>
        </w:rPr>
        <w:t>住宅</w:t>
      </w:r>
      <w:r>
        <w:rPr>
          <w:rFonts w:ascii="Arial" w:hAnsi="Arial" w:cs="Arial"/>
          <w:color w:val="auto"/>
          <w:sz w:val="21"/>
          <w:szCs w:val="21"/>
        </w:rPr>
        <w:t>市场的调查，选取近期同一供需圈内邻近地区的三个租赁</w:t>
      </w:r>
      <w:r>
        <w:rPr>
          <w:rFonts w:hint="eastAsia" w:ascii="Arial" w:hAnsi="Arial" w:cs="Arial"/>
          <w:color w:val="auto"/>
          <w:sz w:val="21"/>
          <w:szCs w:val="21"/>
        </w:rPr>
        <w:t>实例</w:t>
      </w:r>
      <w:r>
        <w:rPr>
          <w:rFonts w:ascii="Arial" w:hAnsi="Arial" w:cs="Arial"/>
          <w:color w:val="auto"/>
          <w:sz w:val="21"/>
          <w:szCs w:val="21"/>
        </w:rPr>
        <w:t>进行比较。</w:t>
      </w:r>
    </w:p>
    <w:p w14:paraId="27E32291">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7：</w:t>
      </w:r>
    </w:p>
    <w:p w14:paraId="4FB1EED0">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北京城建宽院国誉府</w:t>
      </w:r>
    </w:p>
    <w:p w14:paraId="78238F1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大兴区采文路与育仁街交叉路口往东南约100米</w:t>
      </w:r>
    </w:p>
    <w:p w14:paraId="0735EE15">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3AFB4511">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549561CF">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•用途：住宅</w:t>
      </w:r>
    </w:p>
    <w:p w14:paraId="01D62ABA">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可比实例7周边2公里内有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东</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采风路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可比实例7</w:t>
      </w:r>
      <w:r>
        <w:rPr>
          <w:rFonts w:ascii="Arial" w:hAnsi="Arial" w:cs="Arial"/>
          <w:color w:val="auto"/>
          <w:sz w:val="21"/>
          <w:szCs w:val="21"/>
        </w:rPr>
        <w:t>为</w:t>
      </w:r>
      <w:r>
        <w:rPr>
          <w:rFonts w:hint="eastAsia" w:ascii="Arial" w:hAnsi="Arial" w:cs="Arial"/>
          <w:color w:val="auto"/>
          <w:sz w:val="21"/>
          <w:szCs w:val="21"/>
        </w:rPr>
        <w:t>四</w:t>
      </w:r>
      <w:r>
        <w:rPr>
          <w:rFonts w:ascii="Arial" w:hAnsi="Arial" w:cs="Arial"/>
          <w:color w:val="auto"/>
          <w:sz w:val="21"/>
          <w:szCs w:val="21"/>
        </w:rPr>
        <w:t>居室户型，</w:t>
      </w:r>
      <w:r>
        <w:rPr>
          <w:rFonts w:hint="eastAsia" w:ascii="Arial" w:hAnsi="Arial" w:cs="Arial"/>
          <w:color w:val="auto"/>
          <w:sz w:val="21"/>
          <w:szCs w:val="21"/>
        </w:rPr>
        <w:t>低</w:t>
      </w:r>
      <w:r>
        <w:rPr>
          <w:rFonts w:ascii="Arial" w:hAnsi="Arial" w:cs="Arial"/>
          <w:color w:val="auto"/>
          <w:sz w:val="21"/>
          <w:szCs w:val="21"/>
        </w:rPr>
        <w:t>楼层，</w:t>
      </w:r>
      <w:r>
        <w:rPr>
          <w:rFonts w:hint="eastAsia" w:ascii="Arial" w:hAnsi="Arial" w:cs="Arial"/>
          <w:color w:val="auto"/>
          <w:sz w:val="21"/>
          <w:szCs w:val="21"/>
        </w:rPr>
        <w:t>南北</w:t>
      </w:r>
      <w:r>
        <w:rPr>
          <w:rFonts w:ascii="Arial" w:hAnsi="Arial" w:cs="Arial"/>
          <w:color w:val="auto"/>
          <w:sz w:val="21"/>
          <w:szCs w:val="21"/>
        </w:rPr>
        <w:t>朝向，建成年份为</w:t>
      </w:r>
      <w:r>
        <w:rPr>
          <w:rFonts w:hint="eastAsia" w:ascii="Arial" w:hAnsi="Arial" w:cs="Arial"/>
          <w:color w:val="auto"/>
          <w:sz w:val="21"/>
          <w:szCs w:val="21"/>
        </w:rPr>
        <w:t>2021</w:t>
      </w:r>
      <w:r>
        <w:rPr>
          <w:rFonts w:ascii="Arial" w:hAnsi="Arial" w:cs="Arial"/>
          <w:color w:val="auto"/>
          <w:sz w:val="21"/>
          <w:szCs w:val="21"/>
        </w:rPr>
        <w:t>年，建筑结构为</w:t>
      </w:r>
      <w:r>
        <w:rPr>
          <w:rFonts w:hint="eastAsia" w:ascii="Arial" w:hAnsi="Arial" w:cs="Arial"/>
          <w:color w:val="auto"/>
          <w:sz w:val="21"/>
          <w:szCs w:val="21"/>
        </w:rPr>
        <w:t>混合</w:t>
      </w:r>
      <w:r>
        <w:rPr>
          <w:rFonts w:ascii="Arial" w:hAnsi="Arial" w:cs="Arial"/>
          <w:color w:val="auto"/>
          <w:sz w:val="21"/>
          <w:szCs w:val="21"/>
        </w:rPr>
        <w:t>结构，装修为精装修，建筑面积为</w:t>
      </w:r>
      <w:r>
        <w:rPr>
          <w:rFonts w:hint="eastAsia" w:ascii="Arial" w:hAnsi="Arial" w:cs="Arial"/>
          <w:color w:val="auto"/>
          <w:sz w:val="21"/>
          <w:szCs w:val="21"/>
        </w:rPr>
        <w:t>130.96</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为19.09元/平方米·月（含物业费4.38元/平方米·月、取暖费2.5元/平方米·月）。</w:t>
      </w:r>
    </w:p>
    <w:p w14:paraId="1031E3F6">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8：</w:t>
      </w:r>
    </w:p>
    <w:p w14:paraId="6503054C">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恒盛波尔多小镇南区</w:t>
      </w:r>
    </w:p>
    <w:p w14:paraId="3FEF168A">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大兴区采育镇育镇街32号</w:t>
      </w:r>
    </w:p>
    <w:p w14:paraId="5240957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12B3785D">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0A1D31C0">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•用途：住宅</w:t>
      </w:r>
    </w:p>
    <w:p w14:paraId="1D0A3B70">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可比实例8周边有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东</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福源路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可比实例8</w:t>
      </w:r>
      <w:r>
        <w:rPr>
          <w:rFonts w:ascii="Arial" w:hAnsi="Arial" w:cs="Arial"/>
          <w:color w:val="auto"/>
          <w:sz w:val="21"/>
          <w:szCs w:val="21"/>
        </w:rPr>
        <w:t>为</w:t>
      </w:r>
      <w:r>
        <w:rPr>
          <w:rFonts w:hint="eastAsia" w:ascii="Arial" w:hAnsi="Arial" w:cs="Arial"/>
          <w:color w:val="auto"/>
          <w:sz w:val="21"/>
          <w:szCs w:val="21"/>
        </w:rPr>
        <w:t>三</w:t>
      </w:r>
      <w:r>
        <w:rPr>
          <w:rFonts w:ascii="Arial" w:hAnsi="Arial" w:cs="Arial"/>
          <w:color w:val="auto"/>
          <w:sz w:val="21"/>
          <w:szCs w:val="21"/>
        </w:rPr>
        <w:t>居室户型，</w:t>
      </w:r>
      <w:r>
        <w:rPr>
          <w:rFonts w:hint="eastAsia" w:ascii="Arial" w:hAnsi="Arial" w:cs="Arial"/>
          <w:color w:val="auto"/>
          <w:sz w:val="21"/>
          <w:szCs w:val="21"/>
        </w:rPr>
        <w:t>中</w:t>
      </w:r>
      <w:r>
        <w:rPr>
          <w:rFonts w:ascii="Arial" w:hAnsi="Arial" w:cs="Arial"/>
          <w:color w:val="auto"/>
          <w:sz w:val="21"/>
          <w:szCs w:val="21"/>
        </w:rPr>
        <w:t>楼层，</w:t>
      </w:r>
      <w:r>
        <w:rPr>
          <w:rFonts w:hint="eastAsia" w:ascii="Arial" w:hAnsi="Arial" w:cs="Arial"/>
          <w:color w:val="auto"/>
          <w:sz w:val="21"/>
          <w:szCs w:val="21"/>
        </w:rPr>
        <w:t>南北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01</w:t>
      </w:r>
      <w:r>
        <w:rPr>
          <w:rFonts w:hint="eastAsia" w:ascii="Arial" w:hAnsi="Arial" w:cs="Arial"/>
          <w:color w:val="auto"/>
          <w:sz w:val="21"/>
          <w:szCs w:val="21"/>
        </w:rPr>
        <w:t>3</w:t>
      </w:r>
      <w:r>
        <w:rPr>
          <w:rFonts w:ascii="Arial" w:hAnsi="Arial" w:cs="Arial"/>
          <w:color w:val="auto"/>
          <w:sz w:val="21"/>
          <w:szCs w:val="21"/>
        </w:rPr>
        <w:t>年，建筑结构为</w:t>
      </w:r>
      <w:r>
        <w:rPr>
          <w:rFonts w:hint="eastAsia" w:ascii="Arial" w:hAnsi="Arial" w:cs="Arial"/>
          <w:color w:val="auto"/>
          <w:sz w:val="21"/>
          <w:szCs w:val="21"/>
        </w:rPr>
        <w:t>混合</w:t>
      </w:r>
      <w:r>
        <w:rPr>
          <w:rFonts w:ascii="Arial" w:hAnsi="Arial" w:cs="Arial"/>
          <w:color w:val="auto"/>
          <w:sz w:val="21"/>
          <w:szCs w:val="21"/>
        </w:rPr>
        <w:t>结构，装修为精装修，建筑面积为</w:t>
      </w:r>
      <w:r>
        <w:rPr>
          <w:rFonts w:hint="eastAsia" w:ascii="Arial" w:hAnsi="Arial" w:cs="Arial"/>
          <w:color w:val="auto"/>
          <w:sz w:val="21"/>
          <w:szCs w:val="21"/>
        </w:rPr>
        <w:t>102.42</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为20.50元/平方米·月（含物业费1.68元/平方米·月、取暖费2.5元/平方米·月）。</w:t>
      </w:r>
    </w:p>
    <w:p w14:paraId="2C97035E">
      <w:pPr>
        <w:wordWrap w:val="0"/>
        <w:overflowPunct w:val="0"/>
        <w:spacing w:line="480" w:lineRule="auto"/>
        <w:ind w:firstLine="420" w:firstLineChars="200"/>
        <w:rPr>
          <w:rFonts w:ascii="Arial" w:hAnsi="Arial" w:cs="Arial"/>
          <w:color w:val="auto"/>
          <w:sz w:val="21"/>
          <w:szCs w:val="21"/>
        </w:rPr>
      </w:pPr>
      <w:r>
        <w:rPr>
          <w:rFonts w:hint="eastAsia" w:ascii="Arial" w:hAnsi="Arial" w:cs="Arial"/>
          <w:color w:val="auto"/>
          <w:sz w:val="21"/>
          <w:szCs w:val="21"/>
        </w:rPr>
        <w:t>可比实例</w:t>
      </w:r>
      <w:r>
        <w:rPr>
          <w:rFonts w:ascii="Arial" w:hAnsi="Arial" w:cs="Arial"/>
          <w:color w:val="auto"/>
          <w:sz w:val="21"/>
          <w:szCs w:val="21"/>
        </w:rPr>
        <w:t>9：</w:t>
      </w:r>
    </w:p>
    <w:p w14:paraId="3868F228">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•项目名称：</w:t>
      </w:r>
      <w:r>
        <w:rPr>
          <w:rFonts w:hint="eastAsia" w:ascii="Arial" w:hAnsi="Arial" w:cs="Arial"/>
          <w:color w:val="auto"/>
          <w:sz w:val="21"/>
          <w:szCs w:val="21"/>
        </w:rPr>
        <w:t>当代采育满庭春MOMA</w:t>
      </w:r>
    </w:p>
    <w:p w14:paraId="2D1ECD89">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•项目坐落：</w:t>
      </w:r>
      <w:r>
        <w:rPr>
          <w:rFonts w:hint="eastAsia" w:ascii="Arial" w:hAnsi="Arial" w:cs="Arial"/>
          <w:color w:val="auto"/>
          <w:sz w:val="21"/>
          <w:szCs w:val="21"/>
        </w:rPr>
        <w:t>大兴区采育镇育胜街36号</w:t>
      </w:r>
    </w:p>
    <w:p w14:paraId="11BFD4E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•交易时间：202</w:t>
      </w:r>
      <w:r>
        <w:rPr>
          <w:rFonts w:hint="eastAsia" w:ascii="Arial" w:hAnsi="Arial" w:cs="Arial"/>
          <w:color w:val="auto"/>
          <w:sz w:val="21"/>
          <w:szCs w:val="21"/>
        </w:rPr>
        <w:t>5</w:t>
      </w:r>
      <w:r>
        <w:rPr>
          <w:rFonts w:ascii="Arial" w:hAnsi="Arial" w:cs="Arial"/>
          <w:color w:val="auto"/>
          <w:sz w:val="21"/>
          <w:szCs w:val="21"/>
        </w:rPr>
        <w:t>年</w:t>
      </w:r>
      <w:r>
        <w:rPr>
          <w:rFonts w:hint="eastAsia" w:ascii="Arial" w:hAnsi="Arial" w:cs="Arial"/>
          <w:color w:val="auto"/>
          <w:sz w:val="21"/>
          <w:szCs w:val="21"/>
        </w:rPr>
        <w:t>12</w:t>
      </w:r>
      <w:r>
        <w:rPr>
          <w:rFonts w:ascii="Arial" w:hAnsi="Arial" w:cs="Arial"/>
          <w:color w:val="auto"/>
          <w:sz w:val="21"/>
          <w:szCs w:val="21"/>
        </w:rPr>
        <w:t>月</w:t>
      </w:r>
    </w:p>
    <w:p w14:paraId="0757EE2D">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•交易情况：正常出租</w:t>
      </w:r>
    </w:p>
    <w:p w14:paraId="5358EDAB">
      <w:pPr>
        <w:wordWrap w:val="0"/>
        <w:overflowPunct w:val="0"/>
        <w:spacing w:line="480" w:lineRule="auto"/>
        <w:ind w:firstLine="420" w:firstLineChars="200"/>
        <w:rPr>
          <w:rFonts w:ascii="Arial" w:hAnsi="Arial" w:cs="Arial"/>
          <w:color w:val="auto"/>
          <w:sz w:val="21"/>
          <w:szCs w:val="21"/>
        </w:rPr>
      </w:pPr>
      <w:r>
        <w:rPr>
          <w:rFonts w:ascii="Arial" w:hAnsi="Arial" w:cs="Arial"/>
          <w:color w:val="auto"/>
          <w:sz w:val="21"/>
          <w:szCs w:val="21"/>
        </w:rPr>
        <w:t xml:space="preserve">•用途：住宅  </w:t>
      </w:r>
    </w:p>
    <w:p w14:paraId="15A2913D">
      <w:pPr>
        <w:wordWrap w:val="0"/>
        <w:overflowPunct w:val="0"/>
        <w:spacing w:line="480" w:lineRule="auto"/>
        <w:ind w:firstLine="420" w:firstLineChars="200"/>
        <w:jc w:val="both"/>
        <w:rPr>
          <w:rFonts w:ascii="Arial" w:hAnsi="Arial" w:cs="Arial"/>
          <w:color w:val="auto"/>
          <w:sz w:val="21"/>
          <w:szCs w:val="21"/>
        </w:rPr>
      </w:pPr>
      <w:r>
        <w:rPr>
          <w:rFonts w:hint="eastAsia" w:ascii="Arial" w:hAnsi="Arial" w:cs="Arial"/>
          <w:color w:val="auto"/>
          <w:sz w:val="21"/>
          <w:szCs w:val="21"/>
        </w:rPr>
        <w:t>可比实例9周边有</w:t>
      </w:r>
      <w:r>
        <w:rPr>
          <w:rFonts w:hint="eastAsia" w:ascii="Arial" w:hAnsi="Arial" w:cs="Arial"/>
          <w:color w:val="auto"/>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color w:val="auto"/>
          <w:sz w:val="21"/>
          <w:szCs w:val="21"/>
        </w:rPr>
        <w:t>；</w:t>
      </w:r>
      <w:r>
        <w:rPr>
          <w:rFonts w:hint="eastAsia" w:ascii="Arial" w:hAnsi="Arial" w:cs="Arial"/>
          <w:color w:val="auto"/>
          <w:sz w:val="21"/>
          <w:szCs w:val="21"/>
        </w:rPr>
        <w:t>西</w:t>
      </w:r>
      <w:r>
        <w:rPr>
          <w:rFonts w:ascii="Arial" w:hAnsi="Arial" w:cs="Arial"/>
          <w:color w:val="auto"/>
          <w:sz w:val="21"/>
          <w:szCs w:val="21"/>
        </w:rPr>
        <w:t>侧紧邻城市</w:t>
      </w:r>
      <w:r>
        <w:rPr>
          <w:rFonts w:hint="eastAsia" w:ascii="Arial" w:hAnsi="Arial" w:cs="Arial"/>
          <w:color w:val="auto"/>
          <w:sz w:val="21"/>
          <w:szCs w:val="21"/>
        </w:rPr>
        <w:t>次干道</w:t>
      </w:r>
      <w:r>
        <w:rPr>
          <w:rFonts w:ascii="Arial" w:hAnsi="Arial" w:cs="Arial"/>
          <w:color w:val="auto"/>
          <w:sz w:val="21"/>
          <w:szCs w:val="21"/>
        </w:rPr>
        <w:t>——</w:t>
      </w:r>
      <w:r>
        <w:rPr>
          <w:rFonts w:hint="eastAsia" w:ascii="Arial" w:hAnsi="Arial" w:cs="Arial"/>
          <w:color w:val="auto"/>
          <w:sz w:val="21"/>
          <w:szCs w:val="21"/>
        </w:rPr>
        <w:t>采凤路</w:t>
      </w:r>
      <w:r>
        <w:rPr>
          <w:rFonts w:ascii="Arial" w:hAnsi="Arial" w:cs="Arial"/>
          <w:color w:val="auto"/>
          <w:sz w:val="21"/>
          <w:szCs w:val="21"/>
        </w:rPr>
        <w:t>，</w:t>
      </w:r>
      <w:r>
        <w:rPr>
          <w:rFonts w:hint="eastAsia" w:ascii="Arial" w:hAnsi="Arial" w:cs="Arial"/>
          <w:color w:val="auto"/>
          <w:kern w:val="2"/>
          <w:sz w:val="21"/>
          <w:szCs w:val="21"/>
        </w:rPr>
        <w:t>周边2公里范围内无轨道交通站点，周边1公里内有926路、955路、兴20路、兴32路、兴43路、兴940路等公交线路途径并设立站点，综合评价交通便捷度一般；</w:t>
      </w:r>
      <w:r>
        <w:rPr>
          <w:rFonts w:ascii="Arial" w:hAnsi="Arial" w:cs="Arial"/>
          <w:color w:val="auto"/>
          <w:sz w:val="21"/>
          <w:szCs w:val="21"/>
        </w:rPr>
        <w:t>周边有</w:t>
      </w:r>
      <w:r>
        <w:rPr>
          <w:rFonts w:hint="eastAsia" w:ascii="Arial" w:hAnsi="Arial" w:cs="Arial"/>
          <w:color w:val="auto"/>
          <w:kern w:val="2"/>
          <w:sz w:val="21"/>
          <w:szCs w:val="21"/>
        </w:rPr>
        <w:t>采育公园、凤河</w:t>
      </w:r>
      <w:r>
        <w:rPr>
          <w:rFonts w:ascii="Arial" w:hAnsi="Arial" w:cs="Arial"/>
          <w:color w:val="auto"/>
          <w:sz w:val="21"/>
          <w:szCs w:val="21"/>
        </w:rPr>
        <w:t>等自然景观，</w:t>
      </w:r>
      <w:r>
        <w:rPr>
          <w:rFonts w:hint="eastAsia" w:ascii="Arial" w:hAnsi="Arial" w:cs="Arial"/>
          <w:color w:val="auto"/>
          <w:sz w:val="21"/>
          <w:szCs w:val="21"/>
        </w:rPr>
        <w:t>5公里范围内无污染源，</w:t>
      </w:r>
      <w:r>
        <w:rPr>
          <w:rFonts w:ascii="Arial" w:hAnsi="Arial" w:cs="Arial"/>
          <w:color w:val="auto"/>
          <w:sz w:val="21"/>
          <w:szCs w:val="21"/>
        </w:rPr>
        <w:t>自然与人环境</w:t>
      </w:r>
      <w:r>
        <w:rPr>
          <w:rFonts w:hint="eastAsia" w:ascii="Arial" w:hAnsi="Arial" w:cs="Arial"/>
          <w:color w:val="auto"/>
          <w:sz w:val="21"/>
          <w:szCs w:val="21"/>
        </w:rPr>
        <w:t>一般</w:t>
      </w:r>
      <w:r>
        <w:rPr>
          <w:rFonts w:ascii="Arial" w:hAnsi="Arial" w:cs="Arial"/>
          <w:color w:val="auto"/>
          <w:sz w:val="21"/>
          <w:szCs w:val="21"/>
        </w:rPr>
        <w:t>；周边</w:t>
      </w:r>
      <w:r>
        <w:rPr>
          <w:rFonts w:hint="eastAsia" w:ascii="Arial" w:hAnsi="Arial" w:cs="Arial"/>
          <w:color w:val="auto"/>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color w:val="auto"/>
          <w:sz w:val="21"/>
          <w:szCs w:val="21"/>
        </w:rPr>
        <w:t>；所在社区有专业物业公司，物业服务保障好</w:t>
      </w:r>
      <w:r>
        <w:rPr>
          <w:rFonts w:hint="eastAsia" w:ascii="Arial" w:hAnsi="Arial" w:cs="Arial"/>
          <w:color w:val="auto"/>
          <w:sz w:val="21"/>
          <w:szCs w:val="21"/>
        </w:rPr>
        <w:t>，</w:t>
      </w:r>
      <w:r>
        <w:rPr>
          <w:rFonts w:ascii="Arial" w:hAnsi="Arial" w:cs="Arial"/>
          <w:color w:val="auto"/>
          <w:sz w:val="21"/>
          <w:szCs w:val="21"/>
        </w:rPr>
        <w:t>有一定规模的绿化，环境较好，区内未配有专属活动站；</w:t>
      </w:r>
      <w:r>
        <w:rPr>
          <w:rFonts w:hint="eastAsia" w:ascii="Arial" w:hAnsi="Arial" w:cs="Arial"/>
          <w:color w:val="auto"/>
          <w:sz w:val="21"/>
          <w:szCs w:val="21"/>
        </w:rPr>
        <w:t>社区</w:t>
      </w:r>
      <w:r>
        <w:rPr>
          <w:rFonts w:ascii="Arial" w:hAnsi="Arial" w:cs="Arial"/>
          <w:color w:val="auto"/>
          <w:sz w:val="21"/>
          <w:szCs w:val="21"/>
        </w:rPr>
        <w:t>有一定数量的专业人员管理，居住管理一般；</w:t>
      </w:r>
      <w:r>
        <w:rPr>
          <w:rFonts w:hint="eastAsia" w:ascii="Arial" w:hAnsi="Arial" w:cs="Arial"/>
          <w:color w:val="auto"/>
          <w:sz w:val="21"/>
          <w:szCs w:val="21"/>
        </w:rPr>
        <w:t>可比实例9</w:t>
      </w:r>
      <w:r>
        <w:rPr>
          <w:rFonts w:ascii="Arial" w:hAnsi="Arial" w:cs="Arial"/>
          <w:color w:val="auto"/>
          <w:sz w:val="21"/>
          <w:szCs w:val="21"/>
        </w:rPr>
        <w:t>为</w:t>
      </w:r>
      <w:r>
        <w:rPr>
          <w:rFonts w:hint="eastAsia" w:ascii="Arial" w:hAnsi="Arial" w:cs="Arial"/>
          <w:color w:val="auto"/>
          <w:sz w:val="21"/>
          <w:szCs w:val="21"/>
        </w:rPr>
        <w:t>三居室</w:t>
      </w:r>
      <w:r>
        <w:rPr>
          <w:rFonts w:ascii="Arial" w:hAnsi="Arial" w:cs="Arial"/>
          <w:color w:val="auto"/>
          <w:sz w:val="21"/>
          <w:szCs w:val="21"/>
        </w:rPr>
        <w:t>户型，</w:t>
      </w:r>
      <w:r>
        <w:rPr>
          <w:rFonts w:hint="eastAsia" w:ascii="Arial" w:hAnsi="Arial" w:cs="Arial"/>
          <w:color w:val="auto"/>
          <w:sz w:val="21"/>
          <w:szCs w:val="21"/>
        </w:rPr>
        <w:t>低</w:t>
      </w:r>
      <w:r>
        <w:rPr>
          <w:rFonts w:ascii="Arial" w:hAnsi="Arial" w:cs="Arial"/>
          <w:color w:val="auto"/>
          <w:sz w:val="21"/>
          <w:szCs w:val="21"/>
        </w:rPr>
        <w:t>楼层，</w:t>
      </w:r>
      <w:r>
        <w:rPr>
          <w:rFonts w:hint="eastAsia" w:ascii="Arial" w:hAnsi="Arial" w:cs="Arial"/>
          <w:color w:val="auto"/>
          <w:sz w:val="21"/>
          <w:szCs w:val="21"/>
        </w:rPr>
        <w:t>南</w:t>
      </w:r>
      <w:r>
        <w:rPr>
          <w:rFonts w:ascii="Arial" w:hAnsi="Arial" w:cs="Arial"/>
          <w:color w:val="auto"/>
          <w:sz w:val="21"/>
          <w:szCs w:val="21"/>
        </w:rPr>
        <w:t>朝向，建成年份为</w:t>
      </w:r>
      <w:r>
        <w:rPr>
          <w:rFonts w:hint="eastAsia" w:ascii="Arial" w:hAnsi="Arial" w:cs="Arial"/>
          <w:color w:val="auto"/>
          <w:sz w:val="21"/>
          <w:szCs w:val="21"/>
        </w:rPr>
        <w:t>2</w:t>
      </w:r>
      <w:r>
        <w:rPr>
          <w:rFonts w:ascii="Arial" w:hAnsi="Arial" w:cs="Arial"/>
          <w:color w:val="auto"/>
          <w:sz w:val="21"/>
          <w:szCs w:val="21"/>
        </w:rPr>
        <w:t>01</w:t>
      </w:r>
      <w:r>
        <w:rPr>
          <w:rFonts w:hint="eastAsia" w:ascii="Arial" w:hAnsi="Arial" w:cs="Arial"/>
          <w:color w:val="auto"/>
          <w:sz w:val="21"/>
          <w:szCs w:val="21"/>
        </w:rPr>
        <w:t>4</w:t>
      </w:r>
      <w:r>
        <w:rPr>
          <w:rFonts w:ascii="Arial" w:hAnsi="Arial" w:cs="Arial"/>
          <w:color w:val="auto"/>
          <w:sz w:val="21"/>
          <w:szCs w:val="21"/>
        </w:rPr>
        <w:t>年，建筑结构为钢混结构，装修为精装修，建筑面积为</w:t>
      </w:r>
      <w:r>
        <w:rPr>
          <w:rFonts w:hint="eastAsia" w:ascii="Arial" w:hAnsi="Arial" w:cs="Arial"/>
          <w:color w:val="auto"/>
          <w:sz w:val="21"/>
          <w:szCs w:val="21"/>
        </w:rPr>
        <w:t>119.98</w:t>
      </w:r>
      <w:r>
        <w:rPr>
          <w:rFonts w:ascii="Arial" w:hAnsi="Arial" w:cs="Arial"/>
          <w:color w:val="auto"/>
          <w:sz w:val="21"/>
          <w:szCs w:val="21"/>
        </w:rPr>
        <w:t>平方米，</w:t>
      </w:r>
      <w:r>
        <w:rPr>
          <w:rFonts w:hint="eastAsia" w:ascii="宋体" w:hAnsi="宋体"/>
          <w:color w:val="auto"/>
          <w:sz w:val="21"/>
          <w:szCs w:val="21"/>
        </w:rPr>
        <w:t>配备家具、家电齐全，功能正常，质量有保证。交易价格</w:t>
      </w:r>
      <w:r>
        <w:rPr>
          <w:rFonts w:hint="eastAsia" w:ascii="Arial" w:hAnsi="Arial" w:cs="Arial"/>
          <w:color w:val="auto"/>
          <w:sz w:val="21"/>
          <w:szCs w:val="21"/>
        </w:rPr>
        <w:t>为22.50元/平方米·月（含物业费2.66元/平方米·月、取暖费2.5元/平方米·月）。</w:t>
      </w:r>
    </w:p>
    <w:p w14:paraId="18AA9C04">
      <w:pPr>
        <w:wordWrap w:val="0"/>
        <w:overflowPunct w:val="0"/>
        <w:spacing w:line="480" w:lineRule="auto"/>
        <w:ind w:firstLine="420" w:firstLineChars="200"/>
        <w:rPr>
          <w:rFonts w:hint="eastAsia" w:ascii="宋体" w:hAnsi="宋体"/>
          <w:color w:val="auto"/>
          <w:sz w:val="21"/>
          <w:szCs w:val="21"/>
        </w:rPr>
      </w:pPr>
      <w:r>
        <w:rPr>
          <w:rFonts w:hint="eastAsia" w:ascii="宋体" w:hAnsi="宋体"/>
          <w:color w:val="auto"/>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6E37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4300A89">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交易案例</w:t>
            </w:r>
          </w:p>
        </w:tc>
        <w:tc>
          <w:tcPr>
            <w:tcW w:w="1813" w:type="dxa"/>
            <w:vAlign w:val="center"/>
          </w:tcPr>
          <w:p w14:paraId="221115B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估价对象</w:t>
            </w:r>
          </w:p>
        </w:tc>
        <w:tc>
          <w:tcPr>
            <w:tcW w:w="1813" w:type="dxa"/>
            <w:vAlign w:val="center"/>
          </w:tcPr>
          <w:p w14:paraId="047BEA0D">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可比实例7</w:t>
            </w:r>
          </w:p>
        </w:tc>
        <w:tc>
          <w:tcPr>
            <w:tcW w:w="1812" w:type="dxa"/>
            <w:vAlign w:val="center"/>
          </w:tcPr>
          <w:p w14:paraId="20CEA7E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可比实例8</w:t>
            </w:r>
          </w:p>
        </w:tc>
        <w:tc>
          <w:tcPr>
            <w:tcW w:w="1813" w:type="dxa"/>
            <w:vAlign w:val="center"/>
          </w:tcPr>
          <w:p w14:paraId="330BFEB8">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可比实例9</w:t>
            </w:r>
          </w:p>
        </w:tc>
      </w:tr>
      <w:tr w14:paraId="3334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6761BC8">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项目名称</w:t>
            </w:r>
          </w:p>
        </w:tc>
        <w:tc>
          <w:tcPr>
            <w:tcW w:w="1813" w:type="dxa"/>
            <w:vAlign w:val="center"/>
          </w:tcPr>
          <w:p w14:paraId="5C14C7DB">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1813" w:type="dxa"/>
            <w:vAlign w:val="center"/>
          </w:tcPr>
          <w:p w14:paraId="24441499">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北京城建宽院国誉府</w:t>
            </w:r>
          </w:p>
        </w:tc>
        <w:tc>
          <w:tcPr>
            <w:tcW w:w="1812" w:type="dxa"/>
            <w:vAlign w:val="center"/>
          </w:tcPr>
          <w:p w14:paraId="62D6E49B">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恒盛波尔多小镇南区苑</w:t>
            </w:r>
          </w:p>
        </w:tc>
        <w:tc>
          <w:tcPr>
            <w:tcW w:w="1813" w:type="dxa"/>
            <w:vAlign w:val="center"/>
          </w:tcPr>
          <w:p w14:paraId="690D02E5">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r>
      <w:tr w14:paraId="4981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2E68BA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租金价格（元/㎡·</w:t>
            </w:r>
            <w:r>
              <w:rPr>
                <w:rFonts w:hint="eastAsia" w:ascii="Arial" w:hAnsi="Arial" w:cs="Arial"/>
                <w:color w:val="auto"/>
                <w:sz w:val="16"/>
                <w:szCs w:val="18"/>
              </w:rPr>
              <w:t>月</w:t>
            </w:r>
            <w:r>
              <w:rPr>
                <w:rFonts w:ascii="Arial" w:hAnsi="Arial" w:cs="Arial"/>
                <w:color w:val="auto"/>
                <w:sz w:val="16"/>
                <w:szCs w:val="18"/>
              </w:rPr>
              <w:t>）</w:t>
            </w:r>
          </w:p>
        </w:tc>
        <w:tc>
          <w:tcPr>
            <w:tcW w:w="1813" w:type="dxa"/>
            <w:vAlign w:val="center"/>
          </w:tcPr>
          <w:p w14:paraId="31894CBB">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13" w:type="dxa"/>
            <w:vAlign w:val="center"/>
          </w:tcPr>
          <w:p w14:paraId="7B517673">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19.09</w:t>
            </w:r>
          </w:p>
        </w:tc>
        <w:tc>
          <w:tcPr>
            <w:tcW w:w="1812" w:type="dxa"/>
            <w:vAlign w:val="center"/>
          </w:tcPr>
          <w:p w14:paraId="7F3A15C8">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20.50</w:t>
            </w:r>
          </w:p>
        </w:tc>
        <w:tc>
          <w:tcPr>
            <w:tcW w:w="1813" w:type="dxa"/>
            <w:vAlign w:val="center"/>
          </w:tcPr>
          <w:p w14:paraId="72628B2B">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22.50</w:t>
            </w:r>
          </w:p>
        </w:tc>
      </w:tr>
      <w:tr w14:paraId="1EFC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A1493FD">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w:t>
            </w:r>
            <w:r>
              <w:rPr>
                <w:rFonts w:ascii="Arial" w:hAnsi="Arial" w:cs="Arial"/>
                <w:color w:val="auto"/>
                <w:sz w:val="16"/>
                <w:szCs w:val="18"/>
              </w:rPr>
              <w:t>租金内涵</w:t>
            </w:r>
          </w:p>
        </w:tc>
        <w:tc>
          <w:tcPr>
            <w:tcW w:w="1813" w:type="dxa"/>
            <w:vAlign w:val="center"/>
          </w:tcPr>
          <w:p w14:paraId="227DFEEB">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56A94514">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c>
          <w:tcPr>
            <w:tcW w:w="1812" w:type="dxa"/>
            <w:vAlign w:val="center"/>
          </w:tcPr>
          <w:p w14:paraId="36CBE396">
            <w:pPr>
              <w:spacing w:line="276" w:lineRule="auto"/>
              <w:rPr>
                <w:color w:val="auto"/>
                <w:sz w:val="16"/>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c>
          <w:tcPr>
            <w:tcW w:w="1813" w:type="dxa"/>
            <w:vAlign w:val="center"/>
          </w:tcPr>
          <w:p w14:paraId="46E6CABB">
            <w:pPr>
              <w:spacing w:line="276" w:lineRule="auto"/>
              <w:rPr>
                <w:color w:val="auto"/>
                <w:sz w:val="16"/>
              </w:rPr>
            </w:pPr>
            <w:r>
              <w:rPr>
                <w:rFonts w:hint="eastAsia" w:ascii="Arial" w:hAnsi="Arial" w:cs="Arial"/>
                <w:color w:val="auto"/>
                <w:sz w:val="16"/>
                <w:szCs w:val="18"/>
              </w:rPr>
              <w:t>含房屋、家具家电使用费及租赁税费、物业费、供暖费</w:t>
            </w:r>
            <w:r>
              <w:rPr>
                <w:rFonts w:ascii="Arial" w:hAnsi="Arial" w:cs="Arial"/>
                <w:color w:val="auto"/>
                <w:sz w:val="16"/>
                <w:szCs w:val="18"/>
              </w:rPr>
              <w:t>，不含</w:t>
            </w:r>
            <w:r>
              <w:rPr>
                <w:rFonts w:hint="eastAsia" w:ascii="Arial" w:hAnsi="Arial" w:cs="Arial"/>
                <w:color w:val="auto"/>
                <w:sz w:val="16"/>
                <w:szCs w:val="18"/>
              </w:rPr>
              <w:t>增值服务费</w:t>
            </w:r>
            <w:r>
              <w:rPr>
                <w:rFonts w:ascii="Arial" w:hAnsi="Arial" w:cs="Arial"/>
                <w:color w:val="auto"/>
                <w:sz w:val="16"/>
                <w:szCs w:val="18"/>
              </w:rPr>
              <w:t>、制冷费、水电费、天然气费、通信费、有线电视费及上网宽带费</w:t>
            </w:r>
            <w:r>
              <w:rPr>
                <w:rFonts w:hint="eastAsia" w:ascii="Arial" w:hAnsi="Arial" w:cs="Arial"/>
                <w:color w:val="auto"/>
                <w:sz w:val="16"/>
                <w:szCs w:val="18"/>
              </w:rPr>
              <w:t>、车位使用费</w:t>
            </w:r>
            <w:r>
              <w:rPr>
                <w:rFonts w:ascii="Arial" w:hAnsi="Arial" w:cs="Arial"/>
                <w:color w:val="auto"/>
                <w:sz w:val="16"/>
                <w:szCs w:val="18"/>
              </w:rPr>
              <w:t>等</w:t>
            </w:r>
          </w:p>
        </w:tc>
      </w:tr>
      <w:tr w14:paraId="54C8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05FA47C">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00361AA4">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扣减物业费、供暖费</w:t>
            </w:r>
          </w:p>
        </w:tc>
        <w:tc>
          <w:tcPr>
            <w:tcW w:w="1813" w:type="dxa"/>
            <w:vAlign w:val="center"/>
          </w:tcPr>
          <w:p w14:paraId="36A8C724">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6.88</w:t>
            </w:r>
          </w:p>
        </w:tc>
        <w:tc>
          <w:tcPr>
            <w:tcW w:w="1812" w:type="dxa"/>
            <w:vAlign w:val="center"/>
          </w:tcPr>
          <w:p w14:paraId="03EC8773">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4.18</w:t>
            </w:r>
          </w:p>
        </w:tc>
        <w:tc>
          <w:tcPr>
            <w:tcW w:w="1813" w:type="dxa"/>
            <w:vAlign w:val="center"/>
          </w:tcPr>
          <w:p w14:paraId="241500B3">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5.16</w:t>
            </w:r>
          </w:p>
        </w:tc>
      </w:tr>
      <w:tr w14:paraId="09A6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E359982">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594ED84E">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w:t>
            </w:r>
            <w:r>
              <w:rPr>
                <w:rFonts w:ascii="Arial" w:hAnsi="Arial" w:cs="Arial"/>
                <w:color w:val="auto"/>
                <w:sz w:val="16"/>
                <w:szCs w:val="18"/>
              </w:rPr>
              <w:t>租金内涵</w:t>
            </w:r>
            <w:r>
              <w:rPr>
                <w:rFonts w:hint="eastAsia" w:ascii="Arial" w:hAnsi="Arial" w:cs="Arial"/>
                <w:color w:val="auto"/>
                <w:sz w:val="16"/>
                <w:szCs w:val="18"/>
              </w:rPr>
              <w:t>后价格</w:t>
            </w:r>
          </w:p>
        </w:tc>
        <w:tc>
          <w:tcPr>
            <w:tcW w:w="1813" w:type="dxa"/>
            <w:vAlign w:val="center"/>
          </w:tcPr>
          <w:p w14:paraId="40CD1E8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12.21</w:t>
            </w:r>
          </w:p>
        </w:tc>
        <w:tc>
          <w:tcPr>
            <w:tcW w:w="1812" w:type="dxa"/>
            <w:vAlign w:val="center"/>
          </w:tcPr>
          <w:p w14:paraId="1817D923">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16.32</w:t>
            </w:r>
          </w:p>
        </w:tc>
        <w:tc>
          <w:tcPr>
            <w:tcW w:w="1813" w:type="dxa"/>
            <w:vAlign w:val="center"/>
          </w:tcPr>
          <w:p w14:paraId="65F1D5E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17.34</w:t>
            </w:r>
          </w:p>
        </w:tc>
      </w:tr>
      <w:tr w14:paraId="3CBE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13131EA">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统一租赁行为条件</w:t>
            </w:r>
          </w:p>
        </w:tc>
        <w:tc>
          <w:tcPr>
            <w:tcW w:w="1813" w:type="dxa"/>
            <w:vAlign w:val="center"/>
          </w:tcPr>
          <w:p w14:paraId="3754CF4D">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3" w:type="dxa"/>
          </w:tcPr>
          <w:p w14:paraId="4BA18906">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2" w:type="dxa"/>
          </w:tcPr>
          <w:p w14:paraId="0F129309">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c>
          <w:tcPr>
            <w:tcW w:w="1813" w:type="dxa"/>
          </w:tcPr>
          <w:p w14:paraId="569F6A4E">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一年租期，月付，无免租期</w:t>
            </w:r>
          </w:p>
        </w:tc>
      </w:tr>
      <w:tr w14:paraId="2E85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153529D">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54953CC8">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修正系数</w:t>
            </w:r>
          </w:p>
        </w:tc>
        <w:tc>
          <w:tcPr>
            <w:tcW w:w="1813" w:type="dxa"/>
            <w:vAlign w:val="center"/>
          </w:tcPr>
          <w:p w14:paraId="7C49A622">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2" w:type="dxa"/>
            <w:vAlign w:val="center"/>
          </w:tcPr>
          <w:p w14:paraId="3077729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3" w:type="dxa"/>
            <w:vAlign w:val="center"/>
          </w:tcPr>
          <w:p w14:paraId="7174F26F">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r>
      <w:tr w14:paraId="6441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52A99D2B">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统一计价单位</w:t>
            </w:r>
          </w:p>
        </w:tc>
        <w:tc>
          <w:tcPr>
            <w:tcW w:w="1813" w:type="dxa"/>
            <w:vAlign w:val="center"/>
          </w:tcPr>
          <w:p w14:paraId="4FFF5CC7">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3" w:type="dxa"/>
            <w:vAlign w:val="center"/>
          </w:tcPr>
          <w:p w14:paraId="12971630">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2" w:type="dxa"/>
            <w:vAlign w:val="center"/>
          </w:tcPr>
          <w:p w14:paraId="493AE563">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c>
          <w:tcPr>
            <w:tcW w:w="1813" w:type="dxa"/>
            <w:vAlign w:val="center"/>
          </w:tcPr>
          <w:p w14:paraId="737ED869">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人民币，元/建筑平方米·</w:t>
            </w:r>
            <w:r>
              <w:rPr>
                <w:rFonts w:hint="eastAsia" w:ascii="Arial" w:hAnsi="Arial" w:cs="Arial"/>
                <w:color w:val="auto"/>
                <w:sz w:val="16"/>
                <w:szCs w:val="18"/>
              </w:rPr>
              <w:t>月</w:t>
            </w:r>
          </w:p>
        </w:tc>
      </w:tr>
      <w:tr w14:paraId="19A9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14ED103">
            <w:pPr>
              <w:pStyle w:val="61"/>
              <w:autoSpaceDE w:val="0"/>
              <w:autoSpaceDN w:val="0"/>
              <w:spacing w:line="240" w:lineRule="exact"/>
              <w:textAlignment w:val="bottom"/>
              <w:rPr>
                <w:rFonts w:ascii="Arial" w:hAnsi="Arial" w:cs="Arial"/>
                <w:color w:val="auto"/>
                <w:sz w:val="16"/>
                <w:szCs w:val="18"/>
              </w:rPr>
            </w:pPr>
          </w:p>
        </w:tc>
        <w:tc>
          <w:tcPr>
            <w:tcW w:w="1813" w:type="dxa"/>
            <w:vAlign w:val="center"/>
          </w:tcPr>
          <w:p w14:paraId="37B538A8">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修正系数</w:t>
            </w:r>
          </w:p>
        </w:tc>
        <w:tc>
          <w:tcPr>
            <w:tcW w:w="1813" w:type="dxa"/>
            <w:vAlign w:val="center"/>
          </w:tcPr>
          <w:p w14:paraId="3E4B5355">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2" w:type="dxa"/>
            <w:vAlign w:val="center"/>
          </w:tcPr>
          <w:p w14:paraId="6AC8B699">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c>
          <w:tcPr>
            <w:tcW w:w="1813" w:type="dxa"/>
            <w:vAlign w:val="center"/>
          </w:tcPr>
          <w:p w14:paraId="3111F9C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1</w:t>
            </w:r>
          </w:p>
        </w:tc>
      </w:tr>
      <w:tr w14:paraId="23F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5A9CCCE">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价格（元/㎡·天）</w:t>
            </w:r>
          </w:p>
        </w:tc>
        <w:tc>
          <w:tcPr>
            <w:tcW w:w="1813" w:type="dxa"/>
            <w:vAlign w:val="center"/>
          </w:tcPr>
          <w:p w14:paraId="5E22B7C0">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13" w:type="dxa"/>
            <w:vAlign w:val="center"/>
          </w:tcPr>
          <w:p w14:paraId="74F0347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12.21</w:t>
            </w:r>
          </w:p>
        </w:tc>
        <w:tc>
          <w:tcPr>
            <w:tcW w:w="1812" w:type="dxa"/>
            <w:vAlign w:val="center"/>
          </w:tcPr>
          <w:p w14:paraId="3E1897E9">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16.32</w:t>
            </w:r>
          </w:p>
        </w:tc>
        <w:tc>
          <w:tcPr>
            <w:tcW w:w="1813" w:type="dxa"/>
            <w:vAlign w:val="center"/>
          </w:tcPr>
          <w:p w14:paraId="50889CC9">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17.34</w:t>
            </w:r>
          </w:p>
        </w:tc>
      </w:tr>
    </w:tbl>
    <w:p w14:paraId="56756D2B">
      <w:pPr>
        <w:wordWrap w:val="0"/>
        <w:overflowPunct w:val="0"/>
        <w:spacing w:line="480" w:lineRule="auto"/>
        <w:ind w:firstLine="420" w:firstLineChars="200"/>
        <w:rPr>
          <w:rFonts w:hint="eastAsia" w:ascii="宋体" w:hAnsi="宋体"/>
          <w:color w:val="auto"/>
          <w:sz w:val="21"/>
          <w:szCs w:val="21"/>
        </w:rPr>
      </w:pPr>
    </w:p>
    <w:p w14:paraId="71E9F1B8">
      <w:pPr>
        <w:wordWrap w:val="0"/>
        <w:overflowPunct w:val="0"/>
        <w:spacing w:line="480" w:lineRule="auto"/>
        <w:ind w:firstLine="420" w:firstLineChars="200"/>
        <w:rPr>
          <w:rFonts w:hint="eastAsia" w:ascii="宋体" w:hAnsi="宋体"/>
          <w:color w:val="auto"/>
          <w:sz w:val="21"/>
          <w:szCs w:val="21"/>
        </w:rPr>
      </w:pPr>
      <w:r>
        <w:rPr>
          <w:rFonts w:hint="eastAsia" w:ascii="宋体" w:hAnsi="宋体"/>
          <w:color w:val="auto"/>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74DD423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36EB1DA6">
            <w:pPr>
              <w:jc w:val="center"/>
              <w:rPr>
                <w:rFonts w:hint="eastAsia" w:ascii="华文细黑" w:hAnsi="华文细黑" w:eastAsia="华文细黑"/>
                <w:color w:val="auto"/>
              </w:rPr>
            </w:pPr>
            <w:r>
              <w:rPr>
                <w:rFonts w:hint="eastAsia" w:ascii="华文细黑" w:hAnsi="华文细黑" w:eastAsia="华文细黑"/>
                <w:color w:val="auto"/>
              </w:rPr>
              <w:t>实例位置</w:t>
            </w:r>
          </w:p>
        </w:tc>
      </w:tr>
      <w:tr w14:paraId="186E9F6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674335AA">
            <w:pPr>
              <w:jc w:val="center"/>
              <w:rPr>
                <w:rFonts w:ascii="Calibri" w:hAnsi="Calibri"/>
                <w:color w:val="auto"/>
              </w:rPr>
            </w:pPr>
            <w:r>
              <w:rPr>
                <w:color w:val="auto"/>
              </w:rPr>
              <w:drawing>
                <wp:inline distT="0" distB="0" distL="114300" distR="114300">
                  <wp:extent cx="5861050" cy="4114800"/>
                  <wp:effectExtent l="0" t="0" r="635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4"/>
                          <a:stretch>
                            <a:fillRect/>
                          </a:stretch>
                        </pic:blipFill>
                        <pic:spPr>
                          <a:xfrm>
                            <a:off x="0" y="0"/>
                            <a:ext cx="5861050" cy="4114800"/>
                          </a:xfrm>
                          <a:prstGeom prst="rect">
                            <a:avLst/>
                          </a:prstGeom>
                          <a:noFill/>
                          <a:ln>
                            <a:noFill/>
                          </a:ln>
                        </pic:spPr>
                      </pic:pic>
                    </a:graphicData>
                  </a:graphic>
                </wp:inline>
              </w:drawing>
            </w:r>
          </w:p>
        </w:tc>
      </w:tr>
    </w:tbl>
    <w:p w14:paraId="66E570A1">
      <w:pPr>
        <w:rPr>
          <w:color w:val="auto"/>
        </w:rPr>
      </w:pPr>
    </w:p>
    <w:p w14:paraId="0B1EBE43">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br w:type="page"/>
      </w:r>
      <w:r>
        <w:rPr>
          <w:rFonts w:hint="eastAsia" w:ascii="Arial" w:hAnsi="Arial"/>
          <w:color w:val="auto"/>
          <w:sz w:val="21"/>
          <w:szCs w:val="21"/>
        </w:rPr>
        <w:t>（1）建立比较因素条件说明表</w:t>
      </w:r>
      <w:r>
        <w:rPr>
          <w:rFonts w:ascii="Arial" w:hAnsi="Arial"/>
          <w:color w:val="auto"/>
          <w:sz w:val="21"/>
          <w:szCs w:val="21"/>
        </w:rPr>
        <w:t xml:space="preserve"> </w:t>
      </w:r>
    </w:p>
    <w:p w14:paraId="3575C7CA">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color w:val="auto"/>
          <w:sz w:val="21"/>
          <w:szCs w:val="21"/>
        </w:rPr>
        <w:t>：</w:t>
      </w:r>
    </w:p>
    <w:p w14:paraId="027E53BF">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7449C338">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35F852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284F16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012EF0E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7</w:t>
            </w:r>
          </w:p>
        </w:tc>
        <w:tc>
          <w:tcPr>
            <w:tcW w:w="968" w:type="pct"/>
            <w:tcBorders>
              <w:top w:val="single" w:color="auto" w:sz="4" w:space="0"/>
              <w:left w:val="nil"/>
              <w:bottom w:val="single" w:color="auto" w:sz="4" w:space="0"/>
              <w:right w:val="single" w:color="auto" w:sz="4" w:space="0"/>
            </w:tcBorders>
            <w:vAlign w:val="center"/>
          </w:tcPr>
          <w:p w14:paraId="00DC0BD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8</w:t>
            </w:r>
          </w:p>
        </w:tc>
        <w:tc>
          <w:tcPr>
            <w:tcW w:w="970" w:type="pct"/>
            <w:tcBorders>
              <w:top w:val="single" w:color="auto" w:sz="4" w:space="0"/>
              <w:left w:val="nil"/>
              <w:bottom w:val="single" w:color="auto" w:sz="4" w:space="0"/>
              <w:right w:val="single" w:color="auto" w:sz="4" w:space="0"/>
            </w:tcBorders>
            <w:vAlign w:val="center"/>
          </w:tcPr>
          <w:p w14:paraId="14BEBC4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可比案例</w:t>
            </w:r>
            <w:r>
              <w:rPr>
                <w:rFonts w:hint="eastAsia" w:ascii="Arial" w:hAnsi="Arial" w:cs="Arial"/>
                <w:color w:val="auto"/>
                <w:sz w:val="16"/>
                <w:szCs w:val="18"/>
              </w:rPr>
              <w:t>9</w:t>
            </w:r>
          </w:p>
        </w:tc>
      </w:tr>
      <w:tr w14:paraId="69483B2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CD3419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小区名称</w:t>
            </w:r>
          </w:p>
        </w:tc>
        <w:tc>
          <w:tcPr>
            <w:tcW w:w="968" w:type="pct"/>
            <w:tcBorders>
              <w:top w:val="nil"/>
              <w:left w:val="nil"/>
              <w:bottom w:val="single" w:color="auto" w:sz="4" w:space="0"/>
              <w:right w:val="single" w:color="auto" w:sz="4" w:space="0"/>
            </w:tcBorders>
            <w:vAlign w:val="center"/>
          </w:tcPr>
          <w:p w14:paraId="5F87A128">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1844" w:type="dxa"/>
            <w:tcBorders>
              <w:top w:val="nil"/>
              <w:left w:val="nil"/>
              <w:bottom w:val="single" w:color="auto" w:sz="4" w:space="0"/>
              <w:right w:val="single" w:color="auto" w:sz="4" w:space="0"/>
            </w:tcBorders>
            <w:vAlign w:val="center"/>
          </w:tcPr>
          <w:p w14:paraId="713E65ED">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北京城建宽院国誉府</w:t>
            </w:r>
          </w:p>
        </w:tc>
        <w:tc>
          <w:tcPr>
            <w:tcW w:w="1844" w:type="dxa"/>
            <w:tcBorders>
              <w:top w:val="nil"/>
              <w:left w:val="nil"/>
              <w:bottom w:val="single" w:color="auto" w:sz="4" w:space="0"/>
              <w:right w:val="single" w:color="auto" w:sz="4" w:space="0"/>
            </w:tcBorders>
            <w:vAlign w:val="center"/>
          </w:tcPr>
          <w:p w14:paraId="01D9329B">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恒盛波尔多小镇南区苑</w:t>
            </w:r>
          </w:p>
        </w:tc>
        <w:tc>
          <w:tcPr>
            <w:tcW w:w="1847" w:type="dxa"/>
            <w:tcBorders>
              <w:top w:val="nil"/>
              <w:left w:val="nil"/>
              <w:bottom w:val="single" w:color="auto" w:sz="4" w:space="0"/>
              <w:right w:val="single" w:color="auto" w:sz="4" w:space="0"/>
            </w:tcBorders>
            <w:vAlign w:val="center"/>
          </w:tcPr>
          <w:p w14:paraId="04772161">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r>
      <w:tr w14:paraId="1C7BC13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311A7B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平均租金（元/平方米·月）</w:t>
            </w:r>
          </w:p>
        </w:tc>
        <w:tc>
          <w:tcPr>
            <w:tcW w:w="968" w:type="pct"/>
            <w:tcBorders>
              <w:top w:val="nil"/>
              <w:left w:val="nil"/>
              <w:bottom w:val="single" w:color="auto" w:sz="4" w:space="0"/>
              <w:right w:val="single" w:color="auto" w:sz="4" w:space="0"/>
            </w:tcBorders>
            <w:vAlign w:val="center"/>
          </w:tcPr>
          <w:p w14:paraId="275AF0C4">
            <w:pPr>
              <w:pStyle w:val="61"/>
              <w:autoSpaceDE w:val="0"/>
              <w:autoSpaceDN w:val="0"/>
              <w:spacing w:line="240" w:lineRule="exact"/>
              <w:textAlignment w:val="bottom"/>
              <w:rPr>
                <w:rFonts w:ascii="Arial" w:hAnsi="Arial" w:cs="Arial"/>
                <w:color w:val="auto"/>
                <w:sz w:val="16"/>
                <w:szCs w:val="18"/>
              </w:rPr>
            </w:pPr>
            <w:r>
              <w:rPr>
                <w:rFonts w:ascii="Arial" w:hAnsi="Arial" w:cs="Arial"/>
                <w:color w:val="auto"/>
                <w:sz w:val="16"/>
                <w:szCs w:val="18"/>
              </w:rPr>
              <w:t>待估</w:t>
            </w:r>
          </w:p>
        </w:tc>
        <w:tc>
          <w:tcPr>
            <w:tcW w:w="1844" w:type="dxa"/>
            <w:tcBorders>
              <w:top w:val="nil"/>
              <w:left w:val="nil"/>
              <w:bottom w:val="single" w:color="auto" w:sz="4" w:space="0"/>
              <w:right w:val="single" w:color="auto" w:sz="4" w:space="0"/>
            </w:tcBorders>
            <w:vAlign w:val="center"/>
          </w:tcPr>
          <w:p w14:paraId="66D36345">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12.21</w:t>
            </w:r>
          </w:p>
        </w:tc>
        <w:tc>
          <w:tcPr>
            <w:tcW w:w="1844" w:type="dxa"/>
            <w:tcBorders>
              <w:top w:val="nil"/>
              <w:left w:val="nil"/>
              <w:bottom w:val="single" w:color="auto" w:sz="4" w:space="0"/>
              <w:right w:val="single" w:color="auto" w:sz="4" w:space="0"/>
            </w:tcBorders>
            <w:vAlign w:val="center"/>
          </w:tcPr>
          <w:p w14:paraId="569446A0">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16.32</w:t>
            </w:r>
          </w:p>
        </w:tc>
        <w:tc>
          <w:tcPr>
            <w:tcW w:w="1847" w:type="dxa"/>
            <w:tcBorders>
              <w:top w:val="nil"/>
              <w:left w:val="nil"/>
              <w:bottom w:val="single" w:color="auto" w:sz="4" w:space="0"/>
              <w:right w:val="single" w:color="auto" w:sz="4" w:space="0"/>
            </w:tcBorders>
            <w:vAlign w:val="center"/>
          </w:tcPr>
          <w:p w14:paraId="11664BEF">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17.34</w:t>
            </w:r>
          </w:p>
        </w:tc>
      </w:tr>
      <w:tr w14:paraId="5F53A67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2AFB64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交易时间</w:t>
            </w:r>
          </w:p>
        </w:tc>
        <w:tc>
          <w:tcPr>
            <w:tcW w:w="968" w:type="pct"/>
            <w:tcBorders>
              <w:top w:val="nil"/>
              <w:left w:val="nil"/>
              <w:bottom w:val="single" w:color="auto" w:sz="4" w:space="0"/>
              <w:right w:val="single" w:color="auto" w:sz="4" w:space="0"/>
            </w:tcBorders>
            <w:vAlign w:val="center"/>
          </w:tcPr>
          <w:p w14:paraId="39F0286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2025年12月26日</w:t>
            </w:r>
          </w:p>
        </w:tc>
        <w:tc>
          <w:tcPr>
            <w:tcW w:w="968" w:type="pct"/>
            <w:tcBorders>
              <w:top w:val="nil"/>
              <w:left w:val="nil"/>
              <w:bottom w:val="single" w:color="auto" w:sz="4" w:space="0"/>
              <w:right w:val="single" w:color="auto" w:sz="4" w:space="0"/>
            </w:tcBorders>
            <w:vAlign w:val="center"/>
          </w:tcPr>
          <w:p w14:paraId="4D4A6E6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c>
          <w:tcPr>
            <w:tcW w:w="968" w:type="pct"/>
            <w:tcBorders>
              <w:top w:val="nil"/>
              <w:left w:val="nil"/>
              <w:bottom w:val="single" w:color="auto" w:sz="4" w:space="0"/>
              <w:right w:val="single" w:color="auto" w:sz="4" w:space="0"/>
            </w:tcBorders>
            <w:vAlign w:val="center"/>
          </w:tcPr>
          <w:p w14:paraId="3B7B2D3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c>
          <w:tcPr>
            <w:tcW w:w="970" w:type="pct"/>
            <w:tcBorders>
              <w:top w:val="nil"/>
              <w:left w:val="nil"/>
              <w:bottom w:val="single" w:color="auto" w:sz="4" w:space="0"/>
              <w:right w:val="single" w:color="auto" w:sz="4" w:space="0"/>
            </w:tcBorders>
            <w:vAlign w:val="center"/>
          </w:tcPr>
          <w:p w14:paraId="7F82FDE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202</w:t>
            </w:r>
            <w:r>
              <w:rPr>
                <w:rFonts w:hint="eastAsia" w:ascii="Arial" w:hAnsi="Arial" w:cs="Arial"/>
                <w:color w:val="auto"/>
                <w:sz w:val="16"/>
                <w:szCs w:val="18"/>
              </w:rPr>
              <w:t>5</w:t>
            </w:r>
            <w:r>
              <w:rPr>
                <w:rFonts w:ascii="Arial" w:hAnsi="Arial" w:cs="Arial"/>
                <w:color w:val="auto"/>
                <w:sz w:val="16"/>
                <w:szCs w:val="18"/>
              </w:rPr>
              <w:t>年</w:t>
            </w:r>
            <w:r>
              <w:rPr>
                <w:rFonts w:hint="eastAsia" w:ascii="Arial" w:hAnsi="Arial" w:cs="Arial"/>
                <w:color w:val="auto"/>
                <w:sz w:val="16"/>
                <w:szCs w:val="18"/>
              </w:rPr>
              <w:t>12</w:t>
            </w:r>
            <w:r>
              <w:rPr>
                <w:rFonts w:ascii="Arial" w:hAnsi="Arial" w:cs="Arial"/>
                <w:color w:val="auto"/>
                <w:sz w:val="16"/>
                <w:szCs w:val="18"/>
              </w:rPr>
              <w:t>月</w:t>
            </w:r>
          </w:p>
        </w:tc>
      </w:tr>
      <w:tr w14:paraId="00276DB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7250BF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交易情况</w:t>
            </w:r>
          </w:p>
        </w:tc>
        <w:tc>
          <w:tcPr>
            <w:tcW w:w="968" w:type="pct"/>
            <w:tcBorders>
              <w:top w:val="nil"/>
              <w:left w:val="nil"/>
              <w:bottom w:val="single" w:color="auto" w:sz="4" w:space="0"/>
              <w:right w:val="single" w:color="auto" w:sz="4" w:space="0"/>
            </w:tcBorders>
            <w:vAlign w:val="center"/>
          </w:tcPr>
          <w:p w14:paraId="53484D6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68" w:type="pct"/>
            <w:tcBorders>
              <w:top w:val="nil"/>
              <w:left w:val="nil"/>
              <w:bottom w:val="single" w:color="auto" w:sz="4" w:space="0"/>
              <w:right w:val="single" w:color="auto" w:sz="4" w:space="0"/>
            </w:tcBorders>
            <w:vAlign w:val="center"/>
          </w:tcPr>
          <w:p w14:paraId="17CD75D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68" w:type="pct"/>
            <w:tcBorders>
              <w:top w:val="nil"/>
              <w:left w:val="nil"/>
              <w:bottom w:val="single" w:color="auto" w:sz="4" w:space="0"/>
              <w:right w:val="single" w:color="auto" w:sz="4" w:space="0"/>
            </w:tcBorders>
            <w:vAlign w:val="center"/>
          </w:tcPr>
          <w:p w14:paraId="402F107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c>
          <w:tcPr>
            <w:tcW w:w="970" w:type="pct"/>
            <w:tcBorders>
              <w:top w:val="nil"/>
              <w:left w:val="nil"/>
              <w:bottom w:val="single" w:color="auto" w:sz="4" w:space="0"/>
              <w:right w:val="single" w:color="auto" w:sz="4" w:space="0"/>
            </w:tcBorders>
            <w:vAlign w:val="center"/>
          </w:tcPr>
          <w:p w14:paraId="6896E6F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正常</w:t>
            </w:r>
          </w:p>
        </w:tc>
      </w:tr>
      <w:tr w14:paraId="1D005F3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3A9EDF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项目类型</w:t>
            </w:r>
          </w:p>
        </w:tc>
        <w:tc>
          <w:tcPr>
            <w:tcW w:w="968" w:type="pct"/>
            <w:tcBorders>
              <w:top w:val="nil"/>
              <w:left w:val="nil"/>
              <w:bottom w:val="single" w:color="auto" w:sz="4" w:space="0"/>
              <w:right w:val="single" w:color="auto" w:sz="4" w:space="0"/>
            </w:tcBorders>
            <w:vAlign w:val="center"/>
          </w:tcPr>
          <w:p w14:paraId="291ACB5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c>
          <w:tcPr>
            <w:tcW w:w="968" w:type="pct"/>
            <w:tcBorders>
              <w:top w:val="nil"/>
              <w:left w:val="nil"/>
              <w:bottom w:val="single" w:color="auto" w:sz="4" w:space="0"/>
              <w:right w:val="single" w:color="auto" w:sz="4" w:space="0"/>
            </w:tcBorders>
            <w:vAlign w:val="center"/>
          </w:tcPr>
          <w:p w14:paraId="03F789B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c>
          <w:tcPr>
            <w:tcW w:w="968" w:type="pct"/>
            <w:tcBorders>
              <w:top w:val="nil"/>
              <w:left w:val="nil"/>
              <w:bottom w:val="single" w:color="auto" w:sz="4" w:space="0"/>
              <w:right w:val="single" w:color="auto" w:sz="4" w:space="0"/>
            </w:tcBorders>
            <w:vAlign w:val="center"/>
          </w:tcPr>
          <w:p w14:paraId="4A6AA1C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c>
          <w:tcPr>
            <w:tcW w:w="970" w:type="pct"/>
            <w:tcBorders>
              <w:top w:val="nil"/>
              <w:left w:val="nil"/>
              <w:bottom w:val="single" w:color="auto" w:sz="4" w:space="0"/>
              <w:right w:val="single" w:color="auto" w:sz="4" w:space="0"/>
            </w:tcBorders>
            <w:vAlign w:val="center"/>
          </w:tcPr>
          <w:p w14:paraId="77CD609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住宅</w:t>
            </w:r>
          </w:p>
        </w:tc>
      </w:tr>
      <w:tr w14:paraId="5ECA1182">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3251CEA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区域状况</w:t>
            </w:r>
          </w:p>
        </w:tc>
        <w:tc>
          <w:tcPr>
            <w:tcW w:w="758" w:type="pct"/>
            <w:tcBorders>
              <w:top w:val="nil"/>
              <w:left w:val="nil"/>
              <w:bottom w:val="single" w:color="auto" w:sz="4" w:space="0"/>
              <w:right w:val="single" w:color="auto" w:sz="4" w:space="0"/>
            </w:tcBorders>
            <w:vAlign w:val="center"/>
          </w:tcPr>
          <w:p w14:paraId="0772627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居住区成熟度</w:t>
            </w:r>
          </w:p>
        </w:tc>
        <w:tc>
          <w:tcPr>
            <w:tcW w:w="968" w:type="pct"/>
            <w:tcBorders>
              <w:top w:val="nil"/>
              <w:left w:val="nil"/>
              <w:bottom w:val="single" w:color="auto" w:sz="4" w:space="0"/>
              <w:right w:val="single" w:color="auto" w:sz="4" w:space="0"/>
            </w:tcBorders>
            <w:vAlign w:val="center"/>
          </w:tcPr>
          <w:p w14:paraId="4A38621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70181E0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68445D7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21C35CC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color w:val="auto"/>
                <w:sz w:val="16"/>
                <w:szCs w:val="18"/>
              </w:rPr>
              <w:t>。</w:t>
            </w:r>
          </w:p>
        </w:tc>
      </w:tr>
      <w:tr w14:paraId="1E6D16B8">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90E8750">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0D69CEC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道路通达度</w:t>
            </w:r>
          </w:p>
        </w:tc>
        <w:tc>
          <w:tcPr>
            <w:tcW w:w="968" w:type="pct"/>
            <w:tcBorders>
              <w:top w:val="nil"/>
              <w:left w:val="nil"/>
              <w:bottom w:val="single" w:color="auto" w:sz="4" w:space="0"/>
              <w:right w:val="single" w:color="auto" w:sz="4" w:space="0"/>
            </w:tcBorders>
            <w:vAlign w:val="center"/>
          </w:tcPr>
          <w:p w14:paraId="2F2F2D9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c>
          <w:tcPr>
            <w:tcW w:w="1844" w:type="dxa"/>
            <w:tcBorders>
              <w:top w:val="nil"/>
              <w:left w:val="nil"/>
              <w:bottom w:val="single" w:color="auto" w:sz="4" w:space="0"/>
              <w:right w:val="single" w:color="auto" w:sz="4" w:space="0"/>
            </w:tcBorders>
            <w:vAlign w:val="center"/>
          </w:tcPr>
          <w:p w14:paraId="3FF3FC2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0E1C396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周边500米内有城市次干道——福源路</w:t>
            </w:r>
          </w:p>
        </w:tc>
        <w:tc>
          <w:tcPr>
            <w:tcW w:w="1847" w:type="dxa"/>
            <w:tcBorders>
              <w:top w:val="nil"/>
              <w:left w:val="nil"/>
              <w:bottom w:val="single" w:color="auto" w:sz="4" w:space="0"/>
              <w:right w:val="single" w:color="auto" w:sz="4" w:space="0"/>
            </w:tcBorders>
            <w:vAlign w:val="center"/>
          </w:tcPr>
          <w:p w14:paraId="6BD3263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周边500米内有城市次干道——采凤路</w:t>
            </w:r>
          </w:p>
        </w:tc>
      </w:tr>
      <w:tr w14:paraId="5BB86E3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A0D607E">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4E3B9ED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距离轨道交通站点距离</w:t>
            </w:r>
          </w:p>
        </w:tc>
        <w:tc>
          <w:tcPr>
            <w:tcW w:w="968" w:type="pct"/>
            <w:tcBorders>
              <w:top w:val="nil"/>
              <w:left w:val="nil"/>
              <w:bottom w:val="single" w:color="auto" w:sz="4" w:space="0"/>
              <w:right w:val="single" w:color="auto" w:sz="4" w:space="0"/>
            </w:tcBorders>
            <w:vAlign w:val="center"/>
          </w:tcPr>
          <w:p w14:paraId="6049422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757B6D7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1B22666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c>
          <w:tcPr>
            <w:tcW w:w="1847" w:type="dxa"/>
            <w:tcBorders>
              <w:top w:val="nil"/>
              <w:left w:val="nil"/>
              <w:bottom w:val="single" w:color="auto" w:sz="4" w:space="0"/>
              <w:right w:val="single" w:color="auto" w:sz="4" w:space="0"/>
            </w:tcBorders>
            <w:vAlign w:val="center"/>
          </w:tcPr>
          <w:p w14:paraId="11BEB1D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周边2公里范围内无轨道交通站点</w:t>
            </w:r>
          </w:p>
        </w:tc>
      </w:tr>
      <w:tr w14:paraId="3BB73333">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D687B1C">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3C47C02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距离公交站点距离</w:t>
            </w:r>
          </w:p>
        </w:tc>
        <w:tc>
          <w:tcPr>
            <w:tcW w:w="968" w:type="pct"/>
            <w:tcBorders>
              <w:top w:val="nil"/>
              <w:left w:val="nil"/>
              <w:bottom w:val="single" w:color="auto" w:sz="4" w:space="0"/>
              <w:right w:val="single" w:color="auto" w:sz="4" w:space="0"/>
            </w:tcBorders>
            <w:vAlign w:val="center"/>
          </w:tcPr>
          <w:p w14:paraId="27A48AD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6E6F23A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38B8D8A7">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265C3DA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周边1公里内有926路、955路、兴20路、兴32路、兴43路、兴940路等公交线路途径并设立站点，综合评价交通便捷度一般</w:t>
            </w:r>
          </w:p>
        </w:tc>
      </w:tr>
      <w:tr w14:paraId="7756714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7E33F015">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298E5D8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环境质量优劣度</w:t>
            </w:r>
          </w:p>
        </w:tc>
        <w:tc>
          <w:tcPr>
            <w:tcW w:w="968" w:type="pct"/>
            <w:tcBorders>
              <w:top w:val="nil"/>
              <w:left w:val="nil"/>
              <w:bottom w:val="single" w:color="auto" w:sz="4" w:space="0"/>
              <w:right w:val="single" w:color="auto" w:sz="4" w:space="0"/>
            </w:tcBorders>
            <w:vAlign w:val="center"/>
          </w:tcPr>
          <w:p w14:paraId="55A7B0E1">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68" w:type="pct"/>
            <w:tcBorders>
              <w:top w:val="nil"/>
              <w:left w:val="nil"/>
              <w:bottom w:val="single" w:color="auto" w:sz="4" w:space="0"/>
              <w:right w:val="single" w:color="auto" w:sz="4" w:space="0"/>
            </w:tcBorders>
            <w:vAlign w:val="center"/>
          </w:tcPr>
          <w:p w14:paraId="1D398C9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68" w:type="pct"/>
            <w:tcBorders>
              <w:top w:val="nil"/>
              <w:left w:val="nil"/>
              <w:bottom w:val="single" w:color="auto" w:sz="4" w:space="0"/>
              <w:right w:val="single" w:color="auto" w:sz="4" w:space="0"/>
            </w:tcBorders>
            <w:vAlign w:val="center"/>
          </w:tcPr>
          <w:p w14:paraId="43D3696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周边5km内无污染源</w:t>
            </w:r>
          </w:p>
        </w:tc>
        <w:tc>
          <w:tcPr>
            <w:tcW w:w="970" w:type="pct"/>
            <w:tcBorders>
              <w:top w:val="nil"/>
              <w:left w:val="nil"/>
              <w:bottom w:val="single" w:color="auto" w:sz="4" w:space="0"/>
              <w:right w:val="single" w:color="auto" w:sz="4" w:space="0"/>
            </w:tcBorders>
            <w:vAlign w:val="center"/>
          </w:tcPr>
          <w:p w14:paraId="20805C0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周边5km内无污染源</w:t>
            </w:r>
          </w:p>
        </w:tc>
      </w:tr>
      <w:tr w14:paraId="3E618E41">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A454FC5">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6012066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自然及人文环境</w:t>
            </w:r>
          </w:p>
        </w:tc>
        <w:tc>
          <w:tcPr>
            <w:tcW w:w="968" w:type="pct"/>
            <w:tcBorders>
              <w:top w:val="nil"/>
              <w:left w:val="nil"/>
              <w:bottom w:val="single" w:color="auto" w:sz="4" w:space="0"/>
              <w:right w:val="single" w:color="auto" w:sz="4" w:space="0"/>
            </w:tcBorders>
            <w:vAlign w:val="center"/>
          </w:tcPr>
          <w:p w14:paraId="2E8D062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73319A0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50EEB73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70F6929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周边有采育公园、凤河等自然景观，自然与人文环境一般。</w:t>
            </w:r>
          </w:p>
        </w:tc>
      </w:tr>
      <w:tr w14:paraId="53BCD63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F9B3BD7">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415373F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小区环境</w:t>
            </w:r>
          </w:p>
        </w:tc>
        <w:tc>
          <w:tcPr>
            <w:tcW w:w="968" w:type="pct"/>
            <w:tcBorders>
              <w:top w:val="nil"/>
              <w:left w:val="nil"/>
              <w:bottom w:val="single" w:color="auto" w:sz="4" w:space="0"/>
              <w:right w:val="single" w:color="auto" w:sz="4" w:space="0"/>
            </w:tcBorders>
            <w:vAlign w:val="center"/>
          </w:tcPr>
          <w:p w14:paraId="39954BF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F8FE5C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3E6F9D40">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5AF0676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小区道路整洁、绿化率高、有景观设计、人车分流</w:t>
            </w:r>
          </w:p>
        </w:tc>
      </w:tr>
      <w:tr w14:paraId="158711B7">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E736529">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7BFC938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公共服务设施状况</w:t>
            </w:r>
          </w:p>
        </w:tc>
        <w:tc>
          <w:tcPr>
            <w:tcW w:w="968" w:type="pct"/>
            <w:tcBorders>
              <w:top w:val="nil"/>
              <w:left w:val="nil"/>
              <w:bottom w:val="single" w:color="auto" w:sz="4" w:space="0"/>
              <w:right w:val="single" w:color="auto" w:sz="4" w:space="0"/>
            </w:tcBorders>
            <w:vAlign w:val="center"/>
          </w:tcPr>
          <w:p w14:paraId="23B5C19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0ED0CCB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7B4B7DC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1A24EC3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7B92257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79BF4622">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39F2907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建筑类型</w:t>
            </w:r>
          </w:p>
        </w:tc>
        <w:tc>
          <w:tcPr>
            <w:tcW w:w="968" w:type="pct"/>
            <w:tcBorders>
              <w:top w:val="nil"/>
              <w:left w:val="nil"/>
              <w:bottom w:val="single" w:color="auto" w:sz="4" w:space="0"/>
              <w:right w:val="single" w:color="auto" w:sz="4" w:space="0"/>
            </w:tcBorders>
            <w:vAlign w:val="center"/>
          </w:tcPr>
          <w:p w14:paraId="299C364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高层板楼</w:t>
            </w:r>
          </w:p>
        </w:tc>
        <w:tc>
          <w:tcPr>
            <w:tcW w:w="968" w:type="pct"/>
            <w:tcBorders>
              <w:top w:val="nil"/>
              <w:left w:val="nil"/>
              <w:bottom w:val="single" w:color="auto" w:sz="4" w:space="0"/>
              <w:right w:val="single" w:color="auto" w:sz="4" w:space="0"/>
            </w:tcBorders>
            <w:vAlign w:val="center"/>
          </w:tcPr>
          <w:p w14:paraId="68DA81C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多层板楼</w:t>
            </w:r>
          </w:p>
        </w:tc>
        <w:tc>
          <w:tcPr>
            <w:tcW w:w="968" w:type="pct"/>
            <w:tcBorders>
              <w:top w:val="nil"/>
              <w:left w:val="nil"/>
              <w:bottom w:val="single" w:color="auto" w:sz="4" w:space="0"/>
              <w:right w:val="single" w:color="auto" w:sz="4" w:space="0"/>
            </w:tcBorders>
            <w:vAlign w:val="center"/>
          </w:tcPr>
          <w:p w14:paraId="21B2910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多层板楼</w:t>
            </w:r>
          </w:p>
        </w:tc>
        <w:tc>
          <w:tcPr>
            <w:tcW w:w="970" w:type="pct"/>
            <w:tcBorders>
              <w:top w:val="nil"/>
              <w:left w:val="nil"/>
              <w:bottom w:val="single" w:color="auto" w:sz="4" w:space="0"/>
              <w:right w:val="single" w:color="auto" w:sz="4" w:space="0"/>
            </w:tcBorders>
            <w:vAlign w:val="center"/>
          </w:tcPr>
          <w:p w14:paraId="5A72A78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多层板楼</w:t>
            </w:r>
          </w:p>
        </w:tc>
      </w:tr>
      <w:tr w14:paraId="41F0227C">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0B4E369">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2684F33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55731DB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中</w:t>
            </w: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3C478058">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低</w:t>
            </w:r>
            <w:r>
              <w:rPr>
                <w:rFonts w:ascii="Arial" w:hAnsi="Arial" w:cs="Arial"/>
                <w:color w:val="auto"/>
                <w:sz w:val="16"/>
                <w:szCs w:val="18"/>
              </w:rPr>
              <w:t>楼层</w:t>
            </w:r>
          </w:p>
        </w:tc>
        <w:tc>
          <w:tcPr>
            <w:tcW w:w="968" w:type="pct"/>
            <w:tcBorders>
              <w:top w:val="nil"/>
              <w:left w:val="nil"/>
              <w:bottom w:val="single" w:color="auto" w:sz="4" w:space="0"/>
              <w:right w:val="single" w:color="auto" w:sz="4" w:space="0"/>
            </w:tcBorders>
            <w:vAlign w:val="center"/>
          </w:tcPr>
          <w:p w14:paraId="1E1396C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中</w:t>
            </w:r>
            <w:r>
              <w:rPr>
                <w:rFonts w:ascii="Arial" w:hAnsi="Arial" w:cs="Arial"/>
                <w:color w:val="auto"/>
                <w:sz w:val="16"/>
                <w:szCs w:val="18"/>
              </w:rPr>
              <w:t>楼层</w:t>
            </w:r>
          </w:p>
        </w:tc>
        <w:tc>
          <w:tcPr>
            <w:tcW w:w="970" w:type="pct"/>
            <w:tcBorders>
              <w:top w:val="nil"/>
              <w:left w:val="nil"/>
              <w:bottom w:val="single" w:color="auto" w:sz="4" w:space="0"/>
              <w:right w:val="single" w:color="auto" w:sz="4" w:space="0"/>
            </w:tcBorders>
            <w:vAlign w:val="center"/>
          </w:tcPr>
          <w:p w14:paraId="708BE57F">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低</w:t>
            </w:r>
            <w:r>
              <w:rPr>
                <w:rFonts w:ascii="Arial" w:hAnsi="Arial" w:cs="Arial"/>
                <w:color w:val="auto"/>
                <w:sz w:val="16"/>
                <w:szCs w:val="18"/>
              </w:rPr>
              <w:t>楼层</w:t>
            </w:r>
          </w:p>
        </w:tc>
      </w:tr>
      <w:tr w14:paraId="0753354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3467D7DF">
            <w:pPr>
              <w:widowControl/>
              <w:adjustRightInd/>
              <w:spacing w:line="240" w:lineRule="auto"/>
              <w:jc w:val="center"/>
              <w:textAlignment w:val="auto"/>
              <w:rPr>
                <w:rFonts w:ascii="Arial" w:hAnsi="Arial" w:cs="Arial"/>
                <w:color w:val="auto"/>
                <w:sz w:val="16"/>
                <w:szCs w:val="18"/>
              </w:rPr>
            </w:pPr>
          </w:p>
        </w:tc>
        <w:tc>
          <w:tcPr>
            <w:tcW w:w="758" w:type="pct"/>
            <w:tcBorders>
              <w:top w:val="nil"/>
              <w:left w:val="nil"/>
              <w:bottom w:val="single" w:color="auto" w:sz="4" w:space="0"/>
              <w:right w:val="single" w:color="auto" w:sz="4" w:space="0"/>
            </w:tcBorders>
            <w:vAlign w:val="center"/>
          </w:tcPr>
          <w:p w14:paraId="0ED1644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朝向</w:t>
            </w:r>
          </w:p>
        </w:tc>
        <w:tc>
          <w:tcPr>
            <w:tcW w:w="968" w:type="pct"/>
            <w:tcBorders>
              <w:top w:val="nil"/>
              <w:left w:val="nil"/>
              <w:bottom w:val="single" w:color="auto" w:sz="4" w:space="0"/>
              <w:right w:val="single" w:color="auto" w:sz="4" w:space="0"/>
            </w:tcBorders>
            <w:vAlign w:val="center"/>
          </w:tcPr>
          <w:p w14:paraId="1200983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68" w:type="pct"/>
            <w:tcBorders>
              <w:top w:val="nil"/>
              <w:left w:val="nil"/>
              <w:bottom w:val="single" w:color="auto" w:sz="4" w:space="0"/>
              <w:right w:val="single" w:color="auto" w:sz="4" w:space="0"/>
            </w:tcBorders>
            <w:vAlign w:val="center"/>
          </w:tcPr>
          <w:p w14:paraId="3BDD2896">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68" w:type="pct"/>
            <w:tcBorders>
              <w:top w:val="nil"/>
              <w:left w:val="nil"/>
              <w:bottom w:val="single" w:color="auto" w:sz="4" w:space="0"/>
              <w:right w:val="single" w:color="auto" w:sz="4" w:space="0"/>
            </w:tcBorders>
            <w:vAlign w:val="center"/>
          </w:tcPr>
          <w:p w14:paraId="2E6AE6D3">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c>
          <w:tcPr>
            <w:tcW w:w="970" w:type="pct"/>
            <w:tcBorders>
              <w:top w:val="nil"/>
              <w:left w:val="nil"/>
              <w:bottom w:val="single" w:color="auto" w:sz="4" w:space="0"/>
              <w:right w:val="single" w:color="auto" w:sz="4" w:space="0"/>
            </w:tcBorders>
            <w:vAlign w:val="center"/>
          </w:tcPr>
          <w:p w14:paraId="5625E872">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南北</w:t>
            </w:r>
          </w:p>
        </w:tc>
      </w:tr>
      <w:tr w14:paraId="0BB934D1">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1E30CDA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514E2AC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3ECAF29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68" w:type="pct"/>
            <w:tcBorders>
              <w:top w:val="single" w:color="auto" w:sz="4" w:space="0"/>
              <w:left w:val="nil"/>
              <w:bottom w:val="single" w:color="auto" w:sz="4" w:space="0"/>
              <w:right w:val="single" w:color="auto" w:sz="4" w:space="0"/>
            </w:tcBorders>
            <w:vAlign w:val="center"/>
          </w:tcPr>
          <w:p w14:paraId="0AC9B22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9</w:t>
            </w:r>
            <w:r>
              <w:rPr>
                <w:rFonts w:ascii="Arial" w:hAnsi="Arial" w:cs="Arial"/>
                <w:color w:val="auto"/>
                <w:sz w:val="16"/>
                <w:szCs w:val="18"/>
              </w:rPr>
              <w:t>0-</w:t>
            </w:r>
            <w:r>
              <w:rPr>
                <w:rFonts w:hint="eastAsia" w:ascii="Arial" w:hAnsi="Arial" w:cs="Arial"/>
                <w:color w:val="auto"/>
                <w:sz w:val="16"/>
                <w:szCs w:val="18"/>
              </w:rPr>
              <w:t>100</w:t>
            </w:r>
            <w:r>
              <w:rPr>
                <w:rFonts w:ascii="Arial" w:hAnsi="Arial" w:cs="Arial"/>
                <w:color w:val="auto"/>
                <w:sz w:val="16"/>
                <w:szCs w:val="18"/>
              </w:rPr>
              <w:t>%</w:t>
            </w:r>
          </w:p>
        </w:tc>
        <w:tc>
          <w:tcPr>
            <w:tcW w:w="968" w:type="pct"/>
            <w:tcBorders>
              <w:top w:val="single" w:color="auto" w:sz="4" w:space="0"/>
              <w:left w:val="nil"/>
              <w:bottom w:val="single" w:color="auto" w:sz="4" w:space="0"/>
              <w:right w:val="single" w:color="auto" w:sz="4" w:space="0"/>
            </w:tcBorders>
            <w:vAlign w:val="center"/>
          </w:tcPr>
          <w:p w14:paraId="76C50C9C">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c>
          <w:tcPr>
            <w:tcW w:w="970" w:type="pct"/>
            <w:tcBorders>
              <w:top w:val="single" w:color="auto" w:sz="4" w:space="0"/>
              <w:left w:val="nil"/>
              <w:bottom w:val="single" w:color="auto" w:sz="4" w:space="0"/>
              <w:right w:val="single" w:color="auto" w:sz="4" w:space="0"/>
            </w:tcBorders>
            <w:vAlign w:val="center"/>
          </w:tcPr>
          <w:p w14:paraId="0081B995">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90</w:t>
            </w:r>
            <w:r>
              <w:rPr>
                <w:rFonts w:ascii="Arial" w:hAnsi="Arial" w:cs="Arial"/>
                <w:color w:val="auto"/>
                <w:sz w:val="16"/>
                <w:szCs w:val="18"/>
              </w:rPr>
              <w:t>%</w:t>
            </w:r>
          </w:p>
        </w:tc>
      </w:tr>
      <w:tr w14:paraId="089944F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B2BE56E">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3E0D987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2A9E29B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10B3960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48F024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0D581E9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r>
      <w:tr w14:paraId="39CFACF4">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AF6A817">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639B72B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D8BBF5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5538AB5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68" w:type="pct"/>
            <w:tcBorders>
              <w:top w:val="single" w:color="auto" w:sz="4" w:space="0"/>
              <w:left w:val="nil"/>
              <w:bottom w:val="single" w:color="auto" w:sz="4" w:space="0"/>
              <w:right w:val="single" w:color="auto" w:sz="4" w:space="0"/>
            </w:tcBorders>
            <w:vAlign w:val="center"/>
          </w:tcPr>
          <w:p w14:paraId="7A1346E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c>
          <w:tcPr>
            <w:tcW w:w="970" w:type="pct"/>
            <w:tcBorders>
              <w:top w:val="single" w:color="auto" w:sz="4" w:space="0"/>
              <w:left w:val="nil"/>
              <w:bottom w:val="single" w:color="auto" w:sz="4" w:space="0"/>
              <w:right w:val="single" w:color="auto" w:sz="4" w:space="0"/>
            </w:tcBorders>
            <w:vAlign w:val="center"/>
          </w:tcPr>
          <w:p w14:paraId="5093311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精装修</w:t>
            </w:r>
          </w:p>
        </w:tc>
      </w:tr>
      <w:tr w14:paraId="57149063">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F2AE5CE">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5BBEEF8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6F7998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3C8E2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6C94CDA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23A39EE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较完善</w:t>
            </w:r>
          </w:p>
        </w:tc>
      </w:tr>
      <w:tr w14:paraId="14FA950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AF3F8D6">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0C9DFF8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46103C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8DB07C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45C5CA9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快递柜、垃圾分类收集点</w:t>
            </w:r>
          </w:p>
        </w:tc>
        <w:tc>
          <w:tcPr>
            <w:tcW w:w="970" w:type="pct"/>
            <w:tcBorders>
              <w:top w:val="single" w:color="auto" w:sz="4" w:space="0"/>
              <w:left w:val="nil"/>
              <w:bottom w:val="single" w:color="auto" w:sz="4" w:space="0"/>
              <w:right w:val="single" w:color="auto" w:sz="4" w:space="0"/>
            </w:tcBorders>
            <w:vAlign w:val="center"/>
          </w:tcPr>
          <w:p w14:paraId="4FF8C06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快递柜、垃圾分类收集点</w:t>
            </w:r>
          </w:p>
        </w:tc>
      </w:tr>
      <w:tr w14:paraId="540F1259">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C32E974">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7832F9C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56A5443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1D362A9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420C1F4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66187A0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两居室</w:t>
            </w:r>
          </w:p>
        </w:tc>
      </w:tr>
      <w:tr w14:paraId="76A104C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13FC110">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65DE6FC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2172435D">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78F111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690669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CBBAB2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平层</w:t>
            </w:r>
          </w:p>
        </w:tc>
      </w:tr>
      <w:tr w14:paraId="52459740">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1A402C05">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2AE56F7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3EF121A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128.85</w:t>
            </w:r>
          </w:p>
        </w:tc>
        <w:tc>
          <w:tcPr>
            <w:tcW w:w="968" w:type="pct"/>
            <w:tcBorders>
              <w:top w:val="single" w:color="auto" w:sz="4" w:space="0"/>
              <w:left w:val="nil"/>
              <w:bottom w:val="single" w:color="auto" w:sz="4" w:space="0"/>
              <w:right w:val="single" w:color="auto" w:sz="4" w:space="0"/>
            </w:tcBorders>
            <w:vAlign w:val="center"/>
          </w:tcPr>
          <w:p w14:paraId="43A5218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130.96</w:t>
            </w:r>
          </w:p>
        </w:tc>
        <w:tc>
          <w:tcPr>
            <w:tcW w:w="968" w:type="pct"/>
            <w:tcBorders>
              <w:top w:val="single" w:color="auto" w:sz="4" w:space="0"/>
              <w:left w:val="nil"/>
              <w:bottom w:val="single" w:color="auto" w:sz="4" w:space="0"/>
              <w:right w:val="single" w:color="auto" w:sz="4" w:space="0"/>
            </w:tcBorders>
            <w:vAlign w:val="center"/>
          </w:tcPr>
          <w:p w14:paraId="3104A079">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102.42</w:t>
            </w:r>
          </w:p>
        </w:tc>
        <w:tc>
          <w:tcPr>
            <w:tcW w:w="970" w:type="pct"/>
            <w:tcBorders>
              <w:top w:val="single" w:color="auto" w:sz="4" w:space="0"/>
              <w:left w:val="nil"/>
              <w:bottom w:val="single" w:color="auto" w:sz="4" w:space="0"/>
              <w:right w:val="single" w:color="auto" w:sz="4" w:space="0"/>
            </w:tcBorders>
            <w:vAlign w:val="center"/>
          </w:tcPr>
          <w:p w14:paraId="198D06AB">
            <w:pPr>
              <w:widowControl/>
              <w:adjustRightInd/>
              <w:spacing w:line="240" w:lineRule="auto"/>
              <w:jc w:val="center"/>
              <w:textAlignment w:val="auto"/>
              <w:rPr>
                <w:rFonts w:ascii="Arial" w:hAnsi="Arial" w:cs="Arial"/>
                <w:color w:val="auto"/>
                <w:sz w:val="16"/>
                <w:szCs w:val="18"/>
              </w:rPr>
            </w:pPr>
            <w:r>
              <w:rPr>
                <w:rFonts w:hint="eastAsia" w:ascii="Arial" w:hAnsi="Arial" w:cs="Arial"/>
                <w:color w:val="auto"/>
                <w:sz w:val="16"/>
                <w:szCs w:val="18"/>
              </w:rPr>
              <w:t>119.98</w:t>
            </w:r>
          </w:p>
        </w:tc>
      </w:tr>
      <w:tr w14:paraId="16D43CBC">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2C856E1">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6AB9CD6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7509D62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156ACD4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3D50D39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60D2ECD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配备家具、家电齐全；功能正常，质量有保证，好</w:t>
            </w:r>
          </w:p>
        </w:tc>
      </w:tr>
      <w:tr w14:paraId="69E04BB0">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672AC93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6F7649C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7F9285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C8E664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DF7951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E1FED5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普通物业管理，封闭式管理</w:t>
            </w:r>
          </w:p>
        </w:tc>
      </w:tr>
      <w:tr w14:paraId="4825EB6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5CC4842A">
            <w:pPr>
              <w:widowControl/>
              <w:adjustRightInd/>
              <w:spacing w:line="240" w:lineRule="auto"/>
              <w:jc w:val="center"/>
              <w:textAlignment w:val="auto"/>
              <w:rPr>
                <w:rFonts w:ascii="Arial" w:hAnsi="Arial" w:cs="Arial"/>
                <w:color w:val="auto"/>
                <w:sz w:val="16"/>
                <w:szCs w:val="18"/>
              </w:rPr>
            </w:pPr>
          </w:p>
        </w:tc>
        <w:tc>
          <w:tcPr>
            <w:tcW w:w="758" w:type="pct"/>
            <w:tcBorders>
              <w:top w:val="single" w:color="auto" w:sz="4" w:space="0"/>
              <w:left w:val="nil"/>
              <w:bottom w:val="single" w:color="auto" w:sz="4" w:space="0"/>
              <w:right w:val="single" w:color="auto" w:sz="4" w:space="0"/>
            </w:tcBorders>
            <w:vAlign w:val="center"/>
          </w:tcPr>
          <w:p w14:paraId="7A0F284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328A2B8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9B3AE6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D35BA1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1320CE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民水民电</w:t>
            </w:r>
          </w:p>
        </w:tc>
      </w:tr>
    </w:tbl>
    <w:p w14:paraId="71C5E247">
      <w:pPr>
        <w:overflowPunct w:val="0"/>
        <w:spacing w:line="480" w:lineRule="auto"/>
        <w:ind w:firstLine="420" w:firstLineChars="200"/>
        <w:jc w:val="center"/>
        <w:rPr>
          <w:rFonts w:ascii="Arial" w:hAnsi="Arial"/>
          <w:color w:val="auto"/>
          <w:sz w:val="21"/>
          <w:szCs w:val="21"/>
        </w:rPr>
      </w:pPr>
    </w:p>
    <w:p w14:paraId="4F86BFA5">
      <w:pPr>
        <w:overflowPunct w:val="0"/>
        <w:spacing w:line="480" w:lineRule="auto"/>
        <w:ind w:firstLine="420" w:firstLineChars="200"/>
        <w:jc w:val="center"/>
        <w:rPr>
          <w:rFonts w:ascii="Arial" w:hAnsi="Arial"/>
          <w:color w:val="auto"/>
          <w:sz w:val="21"/>
          <w:szCs w:val="21"/>
        </w:rPr>
      </w:pPr>
    </w:p>
    <w:p w14:paraId="7F72EE89">
      <w:pPr>
        <w:overflowPunct w:val="0"/>
        <w:spacing w:line="480" w:lineRule="auto"/>
        <w:ind w:firstLine="420" w:firstLineChars="200"/>
        <w:jc w:val="center"/>
        <w:rPr>
          <w:rFonts w:ascii="Arial" w:hAnsi="Arial"/>
          <w:color w:val="auto"/>
          <w:sz w:val="21"/>
          <w:szCs w:val="21"/>
        </w:rPr>
      </w:pPr>
    </w:p>
    <w:p w14:paraId="7735F68D">
      <w:pPr>
        <w:overflowPunct w:val="0"/>
        <w:spacing w:line="480" w:lineRule="auto"/>
        <w:ind w:firstLine="420" w:firstLineChars="200"/>
        <w:jc w:val="center"/>
        <w:rPr>
          <w:rFonts w:ascii="Arial" w:hAnsi="Arial"/>
          <w:color w:val="auto"/>
          <w:sz w:val="21"/>
          <w:szCs w:val="21"/>
        </w:rPr>
      </w:pPr>
    </w:p>
    <w:p w14:paraId="6C4077EE">
      <w:pPr>
        <w:overflowPunct w:val="0"/>
        <w:spacing w:line="480" w:lineRule="auto"/>
        <w:ind w:firstLine="420" w:firstLineChars="200"/>
        <w:jc w:val="center"/>
        <w:rPr>
          <w:rFonts w:ascii="Arial" w:hAnsi="Arial"/>
          <w:color w:val="auto"/>
          <w:sz w:val="21"/>
          <w:szCs w:val="21"/>
        </w:rPr>
      </w:pPr>
    </w:p>
    <w:p w14:paraId="0045D748">
      <w:pPr>
        <w:overflowPunct w:val="0"/>
        <w:spacing w:line="480" w:lineRule="auto"/>
        <w:ind w:firstLine="420" w:firstLineChars="200"/>
        <w:jc w:val="center"/>
        <w:rPr>
          <w:rFonts w:ascii="Arial" w:hAnsi="Arial"/>
          <w:color w:val="auto"/>
          <w:sz w:val="21"/>
          <w:szCs w:val="21"/>
        </w:rPr>
      </w:pPr>
    </w:p>
    <w:p w14:paraId="12609557">
      <w:pPr>
        <w:overflowPunct w:val="0"/>
        <w:spacing w:line="480" w:lineRule="auto"/>
        <w:ind w:firstLine="420" w:firstLineChars="200"/>
        <w:jc w:val="center"/>
        <w:rPr>
          <w:rFonts w:ascii="Arial" w:hAnsi="Arial"/>
          <w:color w:val="auto"/>
          <w:sz w:val="21"/>
          <w:szCs w:val="21"/>
        </w:rPr>
      </w:pPr>
    </w:p>
    <w:p w14:paraId="1E4DD638">
      <w:pPr>
        <w:overflowPunct w:val="0"/>
        <w:spacing w:line="480" w:lineRule="auto"/>
        <w:ind w:firstLine="420" w:firstLineChars="200"/>
        <w:jc w:val="center"/>
        <w:rPr>
          <w:rFonts w:ascii="Arial" w:hAnsi="Arial"/>
          <w:color w:val="auto"/>
          <w:sz w:val="21"/>
          <w:szCs w:val="21"/>
        </w:rPr>
      </w:pPr>
    </w:p>
    <w:p w14:paraId="2B1FD940">
      <w:pPr>
        <w:overflowPunct w:val="0"/>
        <w:spacing w:line="480" w:lineRule="auto"/>
        <w:ind w:firstLine="420" w:firstLineChars="200"/>
        <w:jc w:val="center"/>
        <w:rPr>
          <w:rFonts w:ascii="Arial" w:hAnsi="Arial"/>
          <w:color w:val="auto"/>
          <w:sz w:val="21"/>
          <w:szCs w:val="21"/>
        </w:rPr>
      </w:pPr>
    </w:p>
    <w:p w14:paraId="7FDE2D0F">
      <w:pPr>
        <w:wordWrap w:val="0"/>
        <w:overflowPunct w:val="0"/>
        <w:spacing w:line="480" w:lineRule="auto"/>
        <w:rPr>
          <w:rFonts w:ascii="Arial" w:hAnsi="Arial"/>
          <w:color w:val="auto"/>
          <w:sz w:val="21"/>
          <w:szCs w:val="21"/>
        </w:rPr>
      </w:pPr>
    </w:p>
    <w:p w14:paraId="09739D3A">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br w:type="page"/>
      </w:r>
      <w:r>
        <w:rPr>
          <w:rFonts w:hint="eastAsia" w:ascii="Arial" w:hAnsi="Arial"/>
          <w:color w:val="auto"/>
          <w:sz w:val="21"/>
          <w:szCs w:val="21"/>
        </w:rPr>
        <w:t>（2）</w:t>
      </w:r>
      <w:r>
        <w:rPr>
          <w:rFonts w:ascii="Arial" w:hAnsi="Arial"/>
          <w:color w:val="auto"/>
          <w:sz w:val="21"/>
          <w:szCs w:val="21"/>
        </w:rPr>
        <w:t xml:space="preserve"> </w:t>
      </w:r>
      <w:r>
        <w:rPr>
          <w:rFonts w:hint="eastAsia" w:ascii="Arial" w:hAnsi="Arial"/>
          <w:color w:val="auto"/>
          <w:sz w:val="21"/>
          <w:szCs w:val="21"/>
        </w:rPr>
        <w:t>建立比较因素条件指数表和因素比较修正系数表</w:t>
      </w:r>
      <w:r>
        <w:rPr>
          <w:rFonts w:ascii="Arial" w:hAnsi="Arial"/>
          <w:color w:val="auto"/>
          <w:sz w:val="21"/>
          <w:szCs w:val="21"/>
        </w:rPr>
        <w:t xml:space="preserve"> </w:t>
      </w:r>
    </w:p>
    <w:p w14:paraId="33636874">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color w:val="auto"/>
          <w:sz w:val="21"/>
          <w:szCs w:val="21"/>
        </w:rPr>
        <w:t>：</w:t>
      </w:r>
    </w:p>
    <w:p w14:paraId="07AAEE54">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育新花园</w:t>
      </w:r>
      <w:r>
        <w:rPr>
          <w:rFonts w:ascii="Arial" w:hAnsi="Arial"/>
          <w:color w:val="auto"/>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57B2F7DC">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385CB3B">
            <w:pPr>
              <w:snapToGrid w:val="0"/>
              <w:spacing w:line="240" w:lineRule="exact"/>
              <w:jc w:val="right"/>
              <w:rPr>
                <w:rFonts w:hint="eastAsia" w:ascii="宋体" w:hAnsi="宋体" w:cs="Arial"/>
                <w:color w:val="auto"/>
                <w:sz w:val="16"/>
                <w:szCs w:val="18"/>
              </w:rPr>
            </w:pPr>
            <w:r>
              <w:rPr>
                <w:rFonts w:ascii="宋体" w:hAnsi="宋体" w:cs="Arial"/>
                <w:color w:val="auto"/>
                <w:sz w:val="16"/>
                <w:szCs w:val="18"/>
              </w:rPr>
              <w:t>估价对象及</w:t>
            </w:r>
          </w:p>
          <w:p w14:paraId="7ED2718B">
            <w:pPr>
              <w:snapToGrid w:val="0"/>
              <w:spacing w:line="240" w:lineRule="exact"/>
              <w:jc w:val="right"/>
              <w:rPr>
                <w:rFonts w:hint="eastAsia" w:ascii="宋体" w:hAnsi="宋体" w:cs="Arial"/>
                <w:color w:val="auto"/>
                <w:sz w:val="16"/>
                <w:szCs w:val="18"/>
              </w:rPr>
            </w:pPr>
            <w:r>
              <w:rPr>
                <w:rFonts w:ascii="宋体" w:hAnsi="宋体" w:cs="Arial"/>
                <w:color w:val="auto"/>
                <w:sz w:val="16"/>
                <w:szCs w:val="18"/>
              </w:rPr>
              <w:t>可比实例</w:t>
            </w:r>
          </w:p>
          <w:p w14:paraId="6A5ADCE7">
            <w:pPr>
              <w:snapToGrid w:val="0"/>
              <w:spacing w:line="240" w:lineRule="exact"/>
              <w:jc w:val="both"/>
              <w:rPr>
                <w:rFonts w:hint="eastAsia" w:ascii="宋体" w:hAnsi="宋体" w:cs="Arial"/>
                <w:color w:val="auto"/>
                <w:sz w:val="16"/>
                <w:szCs w:val="18"/>
              </w:rPr>
            </w:pPr>
          </w:p>
          <w:p w14:paraId="3AD96A0D">
            <w:pPr>
              <w:snapToGrid w:val="0"/>
              <w:spacing w:line="240" w:lineRule="exact"/>
              <w:jc w:val="both"/>
              <w:rPr>
                <w:rFonts w:hint="eastAsia" w:ascii="宋体" w:hAnsi="宋体" w:cs="Arial"/>
                <w:color w:val="auto"/>
                <w:sz w:val="16"/>
                <w:szCs w:val="18"/>
              </w:rPr>
            </w:pPr>
          </w:p>
          <w:p w14:paraId="41C65049">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002D902">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384C0F6C">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w:t>
            </w:r>
            <w:r>
              <w:rPr>
                <w:rFonts w:hint="eastAsia" w:ascii="宋体" w:hAnsi="宋体" w:cs="Arial"/>
                <w:color w:val="auto"/>
                <w:sz w:val="16"/>
                <w:szCs w:val="18"/>
              </w:rPr>
              <w:t>7</w:t>
            </w:r>
          </w:p>
        </w:tc>
        <w:tc>
          <w:tcPr>
            <w:tcW w:w="531" w:type="pct"/>
            <w:tcBorders>
              <w:top w:val="single" w:color="auto" w:sz="4" w:space="0"/>
              <w:left w:val="nil"/>
              <w:bottom w:val="single" w:color="auto" w:sz="4" w:space="0"/>
              <w:right w:val="single" w:color="auto" w:sz="4" w:space="0"/>
            </w:tcBorders>
            <w:vAlign w:val="center"/>
          </w:tcPr>
          <w:p w14:paraId="58F87913">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w:t>
            </w:r>
            <w:r>
              <w:rPr>
                <w:rFonts w:hint="eastAsia" w:ascii="宋体" w:hAnsi="宋体" w:cs="Arial"/>
                <w:color w:val="auto"/>
                <w:sz w:val="16"/>
                <w:szCs w:val="18"/>
              </w:rPr>
              <w:t>8</w:t>
            </w:r>
          </w:p>
        </w:tc>
        <w:tc>
          <w:tcPr>
            <w:tcW w:w="531" w:type="pct"/>
            <w:tcBorders>
              <w:top w:val="single" w:color="auto" w:sz="4" w:space="0"/>
              <w:left w:val="nil"/>
              <w:bottom w:val="single" w:color="auto" w:sz="4" w:space="0"/>
              <w:right w:val="single" w:color="auto" w:sz="4" w:space="0"/>
            </w:tcBorders>
            <w:vAlign w:val="center"/>
          </w:tcPr>
          <w:p w14:paraId="4F49BBBF">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可比实例</w:t>
            </w:r>
            <w:r>
              <w:rPr>
                <w:rFonts w:hint="eastAsia" w:ascii="宋体" w:hAnsi="宋体" w:cs="Arial"/>
                <w:color w:val="auto"/>
                <w:sz w:val="16"/>
                <w:szCs w:val="18"/>
              </w:rPr>
              <w:t>9</w:t>
            </w:r>
          </w:p>
        </w:tc>
        <w:tc>
          <w:tcPr>
            <w:tcW w:w="2032" w:type="pct"/>
            <w:tcBorders>
              <w:top w:val="single" w:color="auto" w:sz="4" w:space="0"/>
              <w:left w:val="nil"/>
              <w:bottom w:val="single" w:color="auto" w:sz="4" w:space="0"/>
              <w:right w:val="single" w:color="auto" w:sz="4" w:space="0"/>
            </w:tcBorders>
            <w:vAlign w:val="center"/>
          </w:tcPr>
          <w:p w14:paraId="5AB4732A">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比较因素调整说明</w:t>
            </w:r>
          </w:p>
        </w:tc>
      </w:tr>
      <w:tr w14:paraId="58964F62">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07DB9874">
            <w:pPr>
              <w:snapToGrid w:val="0"/>
              <w:spacing w:line="240" w:lineRule="exact"/>
              <w:jc w:val="both"/>
              <w:rPr>
                <w:rFonts w:hint="eastAsia" w:ascii="宋体" w:hAnsi="宋体" w:cs="Arial"/>
                <w:color w:val="auto"/>
                <w:sz w:val="16"/>
                <w:szCs w:val="18"/>
              </w:rPr>
            </w:pPr>
          </w:p>
        </w:tc>
        <w:tc>
          <w:tcPr>
            <w:tcW w:w="531" w:type="pct"/>
            <w:tcBorders>
              <w:top w:val="nil"/>
              <w:left w:val="nil"/>
              <w:bottom w:val="single" w:color="auto" w:sz="4" w:space="0"/>
              <w:right w:val="single" w:color="auto" w:sz="4" w:space="0"/>
            </w:tcBorders>
            <w:vAlign w:val="center"/>
          </w:tcPr>
          <w:p w14:paraId="0E745257">
            <w:pPr>
              <w:pStyle w:val="61"/>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育新花园</w:t>
            </w:r>
          </w:p>
        </w:tc>
        <w:tc>
          <w:tcPr>
            <w:tcW w:w="988" w:type="dxa"/>
            <w:tcBorders>
              <w:top w:val="nil"/>
              <w:left w:val="nil"/>
              <w:bottom w:val="single" w:color="auto" w:sz="4" w:space="0"/>
              <w:right w:val="single" w:color="auto" w:sz="4" w:space="0"/>
            </w:tcBorders>
            <w:vAlign w:val="center"/>
          </w:tcPr>
          <w:p w14:paraId="1F878FED">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北京城建宽院国誉府</w:t>
            </w:r>
          </w:p>
        </w:tc>
        <w:tc>
          <w:tcPr>
            <w:tcW w:w="988" w:type="dxa"/>
            <w:tcBorders>
              <w:top w:val="nil"/>
              <w:left w:val="nil"/>
              <w:bottom w:val="single" w:color="auto" w:sz="4" w:space="0"/>
              <w:right w:val="single" w:color="auto" w:sz="4" w:space="0"/>
            </w:tcBorders>
            <w:vAlign w:val="center"/>
          </w:tcPr>
          <w:p w14:paraId="2EA9330B">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恒盛波尔多小镇南区苑</w:t>
            </w:r>
          </w:p>
        </w:tc>
        <w:tc>
          <w:tcPr>
            <w:tcW w:w="988" w:type="dxa"/>
            <w:tcBorders>
              <w:top w:val="nil"/>
              <w:left w:val="nil"/>
              <w:bottom w:val="single" w:color="auto" w:sz="4" w:space="0"/>
              <w:right w:val="single" w:color="auto" w:sz="4" w:space="0"/>
            </w:tcBorders>
            <w:vAlign w:val="center"/>
          </w:tcPr>
          <w:p w14:paraId="2C17EC76">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c>
          <w:tcPr>
            <w:tcW w:w="2032" w:type="pct"/>
            <w:tcBorders>
              <w:top w:val="nil"/>
              <w:left w:val="nil"/>
              <w:bottom w:val="single" w:color="auto" w:sz="4" w:space="0"/>
              <w:right w:val="single" w:color="auto" w:sz="4" w:space="0"/>
            </w:tcBorders>
            <w:vAlign w:val="center"/>
          </w:tcPr>
          <w:p w14:paraId="2CD73EF0">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w:t>
            </w:r>
          </w:p>
        </w:tc>
      </w:tr>
      <w:tr w14:paraId="7BD29041">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19704669">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0349DB87">
            <w:pPr>
              <w:pStyle w:val="61"/>
              <w:autoSpaceDE w:val="0"/>
              <w:autoSpaceDN w:val="0"/>
              <w:spacing w:line="240" w:lineRule="exact"/>
              <w:jc w:val="left"/>
              <w:textAlignment w:val="bottom"/>
              <w:rPr>
                <w:rFonts w:hint="eastAsia" w:hAnsi="宋体" w:cs="Arial"/>
                <w:color w:val="auto"/>
                <w:sz w:val="16"/>
                <w:szCs w:val="18"/>
              </w:rPr>
            </w:pPr>
            <w:r>
              <w:rPr>
                <w:rFonts w:ascii="Arial" w:hAnsi="Arial" w:cs="Arial"/>
                <w:color w:val="auto"/>
                <w:sz w:val="16"/>
                <w:szCs w:val="18"/>
              </w:rPr>
              <w:t>待估</w:t>
            </w:r>
          </w:p>
        </w:tc>
        <w:tc>
          <w:tcPr>
            <w:tcW w:w="988" w:type="dxa"/>
            <w:tcBorders>
              <w:top w:val="nil"/>
              <w:left w:val="nil"/>
              <w:bottom w:val="single" w:color="auto" w:sz="4" w:space="0"/>
              <w:right w:val="single" w:color="auto" w:sz="4" w:space="0"/>
            </w:tcBorders>
            <w:noWrap/>
            <w:vAlign w:val="center"/>
          </w:tcPr>
          <w:p w14:paraId="4377720E">
            <w:pPr>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12.21</w:t>
            </w:r>
          </w:p>
        </w:tc>
        <w:tc>
          <w:tcPr>
            <w:tcW w:w="988" w:type="dxa"/>
            <w:tcBorders>
              <w:top w:val="nil"/>
              <w:left w:val="nil"/>
              <w:bottom w:val="single" w:color="auto" w:sz="4" w:space="0"/>
              <w:right w:val="single" w:color="auto" w:sz="4" w:space="0"/>
            </w:tcBorders>
            <w:noWrap/>
            <w:vAlign w:val="center"/>
          </w:tcPr>
          <w:p w14:paraId="585F5CC7">
            <w:pPr>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16.32</w:t>
            </w:r>
          </w:p>
        </w:tc>
        <w:tc>
          <w:tcPr>
            <w:tcW w:w="988" w:type="dxa"/>
            <w:tcBorders>
              <w:top w:val="nil"/>
              <w:left w:val="nil"/>
              <w:bottom w:val="single" w:color="auto" w:sz="4" w:space="0"/>
              <w:right w:val="single" w:color="auto" w:sz="4" w:space="0"/>
            </w:tcBorders>
            <w:noWrap/>
            <w:vAlign w:val="center"/>
          </w:tcPr>
          <w:p w14:paraId="5D771908">
            <w:pPr>
              <w:autoSpaceDE w:val="0"/>
              <w:autoSpaceDN w:val="0"/>
              <w:spacing w:line="240" w:lineRule="exact"/>
              <w:textAlignment w:val="bottom"/>
              <w:rPr>
                <w:rFonts w:ascii="Arial" w:hAnsi="Arial" w:cs="Arial"/>
                <w:color w:val="auto"/>
                <w:sz w:val="16"/>
                <w:szCs w:val="18"/>
              </w:rPr>
            </w:pPr>
            <w:r>
              <w:rPr>
                <w:rFonts w:hint="eastAsia" w:ascii="Arial" w:hAnsi="Arial" w:cs="Arial"/>
                <w:color w:val="auto"/>
                <w:sz w:val="16"/>
                <w:szCs w:val="18"/>
              </w:rPr>
              <w:t>17.34</w:t>
            </w:r>
          </w:p>
        </w:tc>
        <w:tc>
          <w:tcPr>
            <w:tcW w:w="2032" w:type="pct"/>
            <w:tcBorders>
              <w:top w:val="nil"/>
              <w:left w:val="nil"/>
              <w:bottom w:val="single" w:color="auto" w:sz="4" w:space="0"/>
              <w:right w:val="single" w:color="auto" w:sz="4" w:space="0"/>
            </w:tcBorders>
            <w:vAlign w:val="center"/>
          </w:tcPr>
          <w:p w14:paraId="3D082079">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w:t>
            </w:r>
          </w:p>
        </w:tc>
      </w:tr>
      <w:tr w14:paraId="717B432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7F506B2">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交易时间</w:t>
            </w:r>
          </w:p>
        </w:tc>
        <w:tc>
          <w:tcPr>
            <w:tcW w:w="531" w:type="pct"/>
            <w:tcBorders>
              <w:top w:val="nil"/>
              <w:left w:val="nil"/>
              <w:bottom w:val="single" w:color="auto" w:sz="4" w:space="0"/>
              <w:right w:val="single" w:color="auto" w:sz="4" w:space="0"/>
            </w:tcBorders>
            <w:noWrap/>
            <w:vAlign w:val="center"/>
          </w:tcPr>
          <w:p w14:paraId="6E0EC8E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3D675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6B3059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CE9810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35073B50">
            <w:pPr>
              <w:snapToGrid w:val="0"/>
              <w:spacing w:line="240" w:lineRule="exact"/>
              <w:jc w:val="both"/>
              <w:rPr>
                <w:rFonts w:ascii="Arial" w:hAnsi="Arial" w:cs="Arial"/>
                <w:color w:val="auto"/>
                <w:sz w:val="16"/>
                <w:szCs w:val="18"/>
              </w:rPr>
            </w:pPr>
            <w:r>
              <w:rPr>
                <w:rFonts w:ascii="Arial" w:hAnsi="Arial" w:cs="Arial"/>
                <w:color w:val="auto"/>
                <w:sz w:val="16"/>
                <w:szCs w:val="18"/>
              </w:rPr>
              <w:t>估价对象与可比实例的交易时间一致，因此确定估价对象与可比实例该因素指数均为100；</w:t>
            </w:r>
          </w:p>
        </w:tc>
      </w:tr>
      <w:tr w14:paraId="1541771C">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0CB2561">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交易情况</w:t>
            </w:r>
          </w:p>
        </w:tc>
        <w:tc>
          <w:tcPr>
            <w:tcW w:w="531" w:type="pct"/>
            <w:tcBorders>
              <w:top w:val="nil"/>
              <w:left w:val="nil"/>
              <w:bottom w:val="single" w:color="auto" w:sz="4" w:space="0"/>
              <w:right w:val="single" w:color="auto" w:sz="4" w:space="0"/>
            </w:tcBorders>
            <w:noWrap/>
            <w:vAlign w:val="center"/>
          </w:tcPr>
          <w:p w14:paraId="2C65AC5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392597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07F9A8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A57F48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0B4C9D76">
            <w:pPr>
              <w:snapToGrid w:val="0"/>
              <w:spacing w:line="240" w:lineRule="exact"/>
              <w:jc w:val="both"/>
              <w:rPr>
                <w:rFonts w:ascii="Arial" w:hAnsi="Arial" w:cs="Arial"/>
                <w:color w:val="auto"/>
                <w:sz w:val="16"/>
                <w:szCs w:val="18"/>
              </w:rPr>
            </w:pPr>
            <w:r>
              <w:rPr>
                <w:rFonts w:ascii="Arial" w:hAnsi="Arial" w:cs="Arial"/>
                <w:color w:val="auto"/>
                <w:sz w:val="16"/>
                <w:szCs w:val="18"/>
              </w:rPr>
              <w:t>可比实例均为正常交易或已修正为正常交易，故不予修正，交易情况指数均100；</w:t>
            </w:r>
          </w:p>
        </w:tc>
      </w:tr>
      <w:tr w14:paraId="150B308E">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B832C57">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项目类型</w:t>
            </w:r>
          </w:p>
        </w:tc>
        <w:tc>
          <w:tcPr>
            <w:tcW w:w="531" w:type="pct"/>
            <w:tcBorders>
              <w:top w:val="nil"/>
              <w:left w:val="nil"/>
              <w:bottom w:val="single" w:color="auto" w:sz="4" w:space="0"/>
              <w:right w:val="single" w:color="auto" w:sz="4" w:space="0"/>
            </w:tcBorders>
            <w:noWrap/>
            <w:vAlign w:val="center"/>
          </w:tcPr>
          <w:p w14:paraId="4248BDC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BA6442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4916E7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A47FDC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6DFDC17">
            <w:pPr>
              <w:snapToGrid w:val="0"/>
              <w:spacing w:line="240" w:lineRule="exact"/>
              <w:jc w:val="both"/>
              <w:rPr>
                <w:rFonts w:ascii="Arial" w:hAnsi="Arial" w:cs="Arial"/>
                <w:color w:val="auto"/>
                <w:sz w:val="16"/>
                <w:szCs w:val="18"/>
              </w:rPr>
            </w:pPr>
            <w:r>
              <w:rPr>
                <w:rFonts w:ascii="Arial" w:hAnsi="Arial" w:cs="Arial"/>
                <w:color w:val="auto"/>
                <w:sz w:val="16"/>
                <w:szCs w:val="18"/>
              </w:rPr>
              <w:t>可比实例均为</w:t>
            </w:r>
            <w:r>
              <w:rPr>
                <w:rFonts w:hint="eastAsia" w:ascii="Arial" w:hAnsi="Arial" w:cs="Arial"/>
                <w:color w:val="auto"/>
                <w:sz w:val="16"/>
                <w:szCs w:val="18"/>
              </w:rPr>
              <w:t>住宅</w:t>
            </w:r>
            <w:r>
              <w:rPr>
                <w:rFonts w:ascii="Arial" w:hAnsi="Arial" w:cs="Arial"/>
                <w:color w:val="auto"/>
                <w:sz w:val="16"/>
                <w:szCs w:val="18"/>
              </w:rPr>
              <w:t>，故不予修正，交易情况指数均100；</w:t>
            </w:r>
          </w:p>
        </w:tc>
      </w:tr>
      <w:tr w14:paraId="0608FC9A">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9527506">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区域</w:t>
            </w:r>
          </w:p>
          <w:p w14:paraId="1B606549">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状况</w:t>
            </w:r>
          </w:p>
        </w:tc>
        <w:tc>
          <w:tcPr>
            <w:tcW w:w="535" w:type="pct"/>
            <w:tcBorders>
              <w:top w:val="nil"/>
              <w:left w:val="nil"/>
              <w:bottom w:val="single" w:color="auto" w:sz="4" w:space="0"/>
              <w:right w:val="single" w:color="auto" w:sz="4" w:space="0"/>
            </w:tcBorders>
            <w:vAlign w:val="center"/>
          </w:tcPr>
          <w:p w14:paraId="5C1A6FE5">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居住区成熟度</w:t>
            </w:r>
          </w:p>
        </w:tc>
        <w:tc>
          <w:tcPr>
            <w:tcW w:w="531" w:type="pct"/>
            <w:tcBorders>
              <w:top w:val="nil"/>
              <w:left w:val="nil"/>
              <w:bottom w:val="single" w:color="auto" w:sz="4" w:space="0"/>
              <w:right w:val="single" w:color="auto" w:sz="4" w:space="0"/>
            </w:tcBorders>
            <w:noWrap/>
            <w:vAlign w:val="center"/>
          </w:tcPr>
          <w:p w14:paraId="7D437DE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1410AD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749955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CF4515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03E1BC7F">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从好到差划分为优、较优、一般、较劣、劣五个等级，每个等级相差5分，确定可比实例1、2、3该因素指数分别为100、100、100；</w:t>
            </w:r>
          </w:p>
        </w:tc>
      </w:tr>
      <w:tr w14:paraId="036211F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1CF56B8">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2A3EA238">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道路通达度</w:t>
            </w:r>
          </w:p>
        </w:tc>
        <w:tc>
          <w:tcPr>
            <w:tcW w:w="531" w:type="pct"/>
            <w:tcBorders>
              <w:top w:val="nil"/>
              <w:left w:val="nil"/>
              <w:bottom w:val="single" w:color="auto" w:sz="4" w:space="0"/>
              <w:right w:val="single" w:color="auto" w:sz="4" w:space="0"/>
            </w:tcBorders>
            <w:noWrap/>
            <w:vAlign w:val="center"/>
          </w:tcPr>
          <w:p w14:paraId="3FE1FBD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B8805A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C4CE21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C8AFFD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7B86F496">
            <w:pPr>
              <w:snapToGrid w:val="0"/>
              <w:spacing w:line="240" w:lineRule="exact"/>
              <w:jc w:val="both"/>
              <w:rPr>
                <w:rFonts w:ascii="Arial" w:hAnsi="Arial" w:cs="Arial"/>
                <w:color w:val="auto"/>
                <w:sz w:val="16"/>
                <w:szCs w:val="18"/>
              </w:rPr>
            </w:pPr>
            <w:r>
              <w:rPr>
                <w:rFonts w:ascii="Arial" w:hAnsi="Arial" w:cs="Arial"/>
                <w:color w:val="auto"/>
                <w:sz w:val="16"/>
                <w:szCs w:val="18"/>
              </w:rPr>
              <w:t>按照距离干道的距离和干道等级分为优、较优、一般、较劣、劣五个等级，每个等级相差2分，确定可比实例1、2、3该因素指数分别为100、100、100；</w:t>
            </w:r>
          </w:p>
        </w:tc>
      </w:tr>
      <w:tr w14:paraId="367FF61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457BA65">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4969F18">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71620C7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986477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F71813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077100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2AE5F04">
            <w:pPr>
              <w:snapToGrid w:val="0"/>
              <w:spacing w:line="240" w:lineRule="exact"/>
              <w:jc w:val="both"/>
              <w:rPr>
                <w:rFonts w:ascii="Arial" w:hAnsi="Arial" w:cs="Arial"/>
                <w:color w:val="auto"/>
                <w:sz w:val="16"/>
                <w:szCs w:val="18"/>
              </w:rPr>
            </w:pPr>
            <w:r>
              <w:rPr>
                <w:rFonts w:ascii="Arial" w:hAnsi="Arial" w:cs="Arial"/>
                <w:color w:val="auto"/>
                <w:sz w:val="16"/>
                <w:szCs w:val="18"/>
              </w:rPr>
              <w:t>按照距离轨道交通的距离，0.5km为一档，每个等级相差</w:t>
            </w:r>
            <w:r>
              <w:rPr>
                <w:rFonts w:hint="eastAsia" w:ascii="Arial" w:hAnsi="Arial" w:cs="Arial"/>
                <w:color w:val="auto"/>
                <w:sz w:val="16"/>
                <w:szCs w:val="18"/>
              </w:rPr>
              <w:t>1</w:t>
            </w:r>
            <w:r>
              <w:rPr>
                <w:rFonts w:ascii="Arial" w:hAnsi="Arial" w:cs="Arial"/>
                <w:color w:val="auto"/>
                <w:sz w:val="16"/>
                <w:szCs w:val="18"/>
              </w:rPr>
              <w:t>分，确定可比实例1、2、3该因素指数分别为100、100、100；</w:t>
            </w:r>
          </w:p>
        </w:tc>
      </w:tr>
      <w:tr w14:paraId="0696AA1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60FCD4E">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07440F18">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距离公交站点距离</w:t>
            </w:r>
          </w:p>
        </w:tc>
        <w:tc>
          <w:tcPr>
            <w:tcW w:w="531" w:type="pct"/>
            <w:tcBorders>
              <w:top w:val="nil"/>
              <w:left w:val="nil"/>
              <w:bottom w:val="single" w:color="auto" w:sz="4" w:space="0"/>
              <w:right w:val="single" w:color="auto" w:sz="4" w:space="0"/>
            </w:tcBorders>
            <w:noWrap/>
            <w:vAlign w:val="center"/>
          </w:tcPr>
          <w:p w14:paraId="5903B27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DE208D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37943B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E27C52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16C45FAA">
            <w:pPr>
              <w:snapToGrid w:val="0"/>
              <w:spacing w:line="240" w:lineRule="exact"/>
              <w:jc w:val="both"/>
              <w:rPr>
                <w:rFonts w:ascii="Arial" w:hAnsi="Arial" w:cs="Arial"/>
                <w:color w:val="auto"/>
                <w:sz w:val="16"/>
                <w:szCs w:val="18"/>
              </w:rPr>
            </w:pPr>
            <w:r>
              <w:rPr>
                <w:rFonts w:ascii="Arial" w:hAnsi="Arial" w:cs="Arial"/>
                <w:color w:val="auto"/>
                <w:sz w:val="16"/>
                <w:szCs w:val="18"/>
              </w:rPr>
              <w:t>按照距离公交站点的距离，0.5km为一档，每个等级相差2分，确定可比实例1、2、3该因素指数分别为100、100、100；</w:t>
            </w:r>
          </w:p>
        </w:tc>
      </w:tr>
      <w:tr w14:paraId="729F7E9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D080A12">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8774CF4">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环境质量优劣度</w:t>
            </w:r>
          </w:p>
        </w:tc>
        <w:tc>
          <w:tcPr>
            <w:tcW w:w="531" w:type="pct"/>
            <w:tcBorders>
              <w:top w:val="nil"/>
              <w:left w:val="nil"/>
              <w:bottom w:val="single" w:color="auto" w:sz="4" w:space="0"/>
              <w:right w:val="single" w:color="auto" w:sz="4" w:space="0"/>
            </w:tcBorders>
            <w:noWrap/>
            <w:vAlign w:val="center"/>
          </w:tcPr>
          <w:p w14:paraId="33CFDC2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3D576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44FBE3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241717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13A9C2B6">
            <w:pPr>
              <w:snapToGrid w:val="0"/>
              <w:spacing w:line="240" w:lineRule="exact"/>
              <w:jc w:val="both"/>
              <w:rPr>
                <w:rFonts w:ascii="Arial" w:hAnsi="Arial" w:cs="Arial"/>
                <w:color w:val="auto"/>
                <w:sz w:val="16"/>
                <w:szCs w:val="18"/>
              </w:rPr>
            </w:pPr>
            <w:r>
              <w:rPr>
                <w:rFonts w:hint="eastAsia" w:ascii="Arial" w:hAnsi="Arial" w:cs="Arial"/>
                <w:color w:val="auto"/>
                <w:sz w:val="16"/>
                <w:szCs w:val="18"/>
              </w:rPr>
              <w:t>根据周边污染源的范围，判断优劣，每档相差2分</w:t>
            </w:r>
            <w:r>
              <w:rPr>
                <w:rFonts w:ascii="Arial" w:hAnsi="Arial" w:cs="Arial"/>
                <w:color w:val="auto"/>
                <w:sz w:val="16"/>
                <w:szCs w:val="18"/>
              </w:rPr>
              <w:t>，确定可比实例1、2、3该因素指数分别为100、100、100</w:t>
            </w:r>
            <w:r>
              <w:rPr>
                <w:rFonts w:hint="eastAsia" w:ascii="Arial" w:hAnsi="Arial" w:cs="Arial"/>
                <w:color w:val="auto"/>
                <w:sz w:val="16"/>
                <w:szCs w:val="18"/>
              </w:rPr>
              <w:t>；</w:t>
            </w:r>
          </w:p>
        </w:tc>
      </w:tr>
      <w:tr w14:paraId="6685AE5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C8ECE1">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6345539">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自然环境</w:t>
            </w:r>
          </w:p>
        </w:tc>
        <w:tc>
          <w:tcPr>
            <w:tcW w:w="531" w:type="pct"/>
            <w:tcBorders>
              <w:top w:val="nil"/>
              <w:left w:val="nil"/>
              <w:bottom w:val="single" w:color="auto" w:sz="4" w:space="0"/>
              <w:right w:val="single" w:color="auto" w:sz="4" w:space="0"/>
            </w:tcBorders>
            <w:noWrap/>
            <w:vAlign w:val="center"/>
          </w:tcPr>
          <w:p w14:paraId="70B62B5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7A8CAC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178BE1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020505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02B7F6DA">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从好到差划分为好、较好、一般、较差、差五个等级，每个等级相差2分，确定可比实例1、2、3该因素指数分别为100、100、100；</w:t>
            </w:r>
          </w:p>
        </w:tc>
      </w:tr>
      <w:tr w14:paraId="094942B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17EDCDC">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6AEBC1CE">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小区环境</w:t>
            </w:r>
          </w:p>
        </w:tc>
        <w:tc>
          <w:tcPr>
            <w:tcW w:w="531" w:type="pct"/>
            <w:tcBorders>
              <w:top w:val="nil"/>
              <w:left w:val="nil"/>
              <w:bottom w:val="single" w:color="auto" w:sz="4" w:space="0"/>
              <w:right w:val="single" w:color="auto" w:sz="4" w:space="0"/>
            </w:tcBorders>
            <w:noWrap/>
            <w:vAlign w:val="center"/>
          </w:tcPr>
          <w:p w14:paraId="7176EC8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A5CD81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6DA336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BF3FDC6">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2A5B3D3E">
            <w:pPr>
              <w:snapToGrid w:val="0"/>
              <w:spacing w:line="240" w:lineRule="exact"/>
              <w:jc w:val="both"/>
              <w:rPr>
                <w:rFonts w:ascii="Arial" w:hAnsi="Arial" w:cs="Arial"/>
                <w:color w:val="auto"/>
                <w:sz w:val="16"/>
                <w:szCs w:val="18"/>
              </w:rPr>
            </w:pPr>
            <w:r>
              <w:rPr>
                <w:rFonts w:hint="eastAsia" w:ascii="Arial" w:hAnsi="Arial" w:cs="Arial"/>
                <w:color w:val="auto"/>
                <w:sz w:val="16"/>
                <w:szCs w:val="18"/>
              </w:rPr>
              <w:t>根据小区道路、绿化率、景观设计及人车分流情况分为一档，每级相差1分，</w:t>
            </w:r>
            <w:r>
              <w:rPr>
                <w:rFonts w:ascii="Arial" w:hAnsi="Arial" w:cs="Arial"/>
                <w:color w:val="auto"/>
                <w:sz w:val="16"/>
                <w:szCs w:val="18"/>
              </w:rPr>
              <w:t>确定可比实例1、2、3该因素指数分别为100、100、100；</w:t>
            </w:r>
          </w:p>
        </w:tc>
      </w:tr>
      <w:tr w14:paraId="43386C9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A918CD2">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CD4376C">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公共服务设施状况</w:t>
            </w:r>
          </w:p>
        </w:tc>
        <w:tc>
          <w:tcPr>
            <w:tcW w:w="531" w:type="pct"/>
            <w:tcBorders>
              <w:top w:val="nil"/>
              <w:left w:val="nil"/>
              <w:bottom w:val="single" w:color="auto" w:sz="4" w:space="0"/>
              <w:right w:val="single" w:color="auto" w:sz="4" w:space="0"/>
            </w:tcBorders>
            <w:noWrap/>
            <w:vAlign w:val="center"/>
          </w:tcPr>
          <w:p w14:paraId="145EE9A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8356C3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485C36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AA5906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2CA14DF5">
            <w:pPr>
              <w:snapToGrid w:val="0"/>
              <w:spacing w:line="240" w:lineRule="exact"/>
              <w:jc w:val="both"/>
              <w:rPr>
                <w:rFonts w:ascii="Arial" w:hAnsi="Arial" w:cs="Arial"/>
                <w:color w:val="auto"/>
                <w:sz w:val="16"/>
                <w:szCs w:val="18"/>
              </w:rPr>
            </w:pPr>
            <w:r>
              <w:rPr>
                <w:rFonts w:ascii="Arial" w:hAnsi="Arial" w:cs="Arial"/>
                <w:color w:val="auto"/>
                <w:sz w:val="16"/>
                <w:szCs w:val="18"/>
              </w:rPr>
              <w:t>从好到差划分为齐全、较齐全、一般、较不齐全、不齐全五个等级，每个等级相差5分，确定可比实例1、2、3该因素指数分别为100、100、100；</w:t>
            </w:r>
          </w:p>
        </w:tc>
      </w:tr>
      <w:tr w14:paraId="6CBB4ED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6ABE793">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6BDFEE1B">
            <w:pPr>
              <w:widowControl/>
              <w:adjustRightInd/>
              <w:spacing w:line="240" w:lineRule="auto"/>
              <w:jc w:val="center"/>
              <w:textAlignment w:val="auto"/>
              <w:rPr>
                <w:rFonts w:hint="eastAsia" w:ascii="宋体" w:hAnsi="宋体" w:cs="Arial"/>
                <w:color w:val="auto"/>
                <w:sz w:val="16"/>
                <w:szCs w:val="18"/>
              </w:rPr>
            </w:pPr>
            <w:r>
              <w:rPr>
                <w:rFonts w:hint="eastAsia" w:ascii="宋体" w:hAnsi="宋体" w:cs="Arial"/>
                <w:color w:val="auto"/>
                <w:sz w:val="16"/>
                <w:szCs w:val="18"/>
              </w:rPr>
              <w:t>建筑类型</w:t>
            </w:r>
          </w:p>
        </w:tc>
        <w:tc>
          <w:tcPr>
            <w:tcW w:w="531" w:type="pct"/>
            <w:tcBorders>
              <w:top w:val="nil"/>
              <w:left w:val="nil"/>
              <w:bottom w:val="single" w:color="auto" w:sz="4" w:space="0"/>
              <w:right w:val="single" w:color="auto" w:sz="4" w:space="0"/>
            </w:tcBorders>
            <w:noWrap/>
            <w:vAlign w:val="center"/>
          </w:tcPr>
          <w:p w14:paraId="08BE7DB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EEAA649">
            <w:pPr>
              <w:snapToGrid w:val="0"/>
              <w:spacing w:line="240" w:lineRule="exact"/>
              <w:jc w:val="both"/>
              <w:rPr>
                <w:rFonts w:ascii="Arial" w:hAnsi="Arial" w:cs="Arial"/>
                <w:color w:val="auto"/>
                <w:sz w:val="16"/>
                <w:szCs w:val="18"/>
              </w:rPr>
            </w:pPr>
            <w:r>
              <w:rPr>
                <w:rFonts w:ascii="Arial" w:hAnsi="Arial" w:cs="Arial"/>
                <w:color w:val="auto"/>
                <w:sz w:val="16"/>
                <w:szCs w:val="18"/>
              </w:rPr>
              <w:t>1</w:t>
            </w:r>
            <w:r>
              <w:rPr>
                <w:rFonts w:hint="eastAsia" w:ascii="Arial" w:hAnsi="Arial" w:cs="Arial"/>
                <w:color w:val="auto"/>
                <w:sz w:val="16"/>
                <w:szCs w:val="18"/>
              </w:rPr>
              <w:t>05</w:t>
            </w:r>
          </w:p>
        </w:tc>
        <w:tc>
          <w:tcPr>
            <w:tcW w:w="531" w:type="pct"/>
            <w:tcBorders>
              <w:top w:val="nil"/>
              <w:left w:val="nil"/>
              <w:bottom w:val="single" w:color="auto" w:sz="4" w:space="0"/>
              <w:right w:val="single" w:color="auto" w:sz="4" w:space="0"/>
            </w:tcBorders>
            <w:noWrap/>
            <w:vAlign w:val="center"/>
          </w:tcPr>
          <w:p w14:paraId="5AFA0434">
            <w:pPr>
              <w:snapToGrid w:val="0"/>
              <w:spacing w:line="240" w:lineRule="exact"/>
              <w:jc w:val="both"/>
              <w:rPr>
                <w:rFonts w:ascii="Arial" w:hAnsi="Arial" w:cs="Arial"/>
                <w:color w:val="auto"/>
                <w:sz w:val="16"/>
                <w:szCs w:val="18"/>
              </w:rPr>
            </w:pPr>
            <w:r>
              <w:rPr>
                <w:rFonts w:ascii="Arial" w:hAnsi="Arial" w:cs="Arial"/>
                <w:color w:val="auto"/>
                <w:sz w:val="16"/>
                <w:szCs w:val="18"/>
              </w:rPr>
              <w:t>10</w:t>
            </w:r>
            <w:r>
              <w:rPr>
                <w:rFonts w:hint="eastAsia" w:ascii="Arial" w:hAnsi="Arial" w:cs="Arial"/>
                <w:color w:val="auto"/>
                <w:sz w:val="16"/>
                <w:szCs w:val="18"/>
              </w:rPr>
              <w:t>5</w:t>
            </w:r>
          </w:p>
        </w:tc>
        <w:tc>
          <w:tcPr>
            <w:tcW w:w="531" w:type="pct"/>
            <w:tcBorders>
              <w:top w:val="nil"/>
              <w:left w:val="nil"/>
              <w:bottom w:val="single" w:color="auto" w:sz="4" w:space="0"/>
              <w:right w:val="single" w:color="auto" w:sz="4" w:space="0"/>
            </w:tcBorders>
            <w:noWrap/>
            <w:vAlign w:val="center"/>
          </w:tcPr>
          <w:p w14:paraId="448015E2">
            <w:pPr>
              <w:snapToGrid w:val="0"/>
              <w:spacing w:line="240" w:lineRule="exact"/>
              <w:jc w:val="both"/>
              <w:rPr>
                <w:rFonts w:ascii="Arial" w:hAnsi="Arial" w:cs="Arial"/>
                <w:color w:val="auto"/>
                <w:sz w:val="16"/>
                <w:szCs w:val="18"/>
              </w:rPr>
            </w:pPr>
            <w:r>
              <w:rPr>
                <w:rFonts w:ascii="Arial" w:hAnsi="Arial" w:cs="Arial"/>
                <w:color w:val="auto"/>
                <w:sz w:val="16"/>
                <w:szCs w:val="18"/>
              </w:rPr>
              <w:t>10</w:t>
            </w:r>
            <w:r>
              <w:rPr>
                <w:rFonts w:hint="eastAsia" w:ascii="Arial" w:hAnsi="Arial" w:cs="Arial"/>
                <w:color w:val="auto"/>
                <w:sz w:val="16"/>
                <w:szCs w:val="18"/>
              </w:rPr>
              <w:t>0</w:t>
            </w:r>
          </w:p>
        </w:tc>
        <w:tc>
          <w:tcPr>
            <w:tcW w:w="2032" w:type="pct"/>
            <w:tcBorders>
              <w:top w:val="nil"/>
              <w:left w:val="nil"/>
              <w:bottom w:val="single" w:color="auto" w:sz="4" w:space="0"/>
              <w:right w:val="single" w:color="auto" w:sz="4" w:space="0"/>
            </w:tcBorders>
            <w:vAlign w:val="center"/>
          </w:tcPr>
          <w:p w14:paraId="00D45486">
            <w:pPr>
              <w:snapToGrid w:val="0"/>
              <w:spacing w:line="240" w:lineRule="exact"/>
              <w:jc w:val="both"/>
              <w:rPr>
                <w:rFonts w:ascii="Arial" w:hAnsi="Arial" w:cs="Arial"/>
                <w:color w:val="auto"/>
                <w:sz w:val="16"/>
                <w:szCs w:val="18"/>
              </w:rPr>
            </w:pPr>
            <w:r>
              <w:rPr>
                <w:rFonts w:ascii="Arial" w:hAnsi="Arial" w:cs="Arial"/>
                <w:color w:val="auto"/>
                <w:sz w:val="16"/>
                <w:szCs w:val="18"/>
              </w:rPr>
              <w:t>分为</w:t>
            </w:r>
            <w:r>
              <w:rPr>
                <w:rFonts w:hint="eastAsia" w:ascii="Arial" w:hAnsi="Arial" w:cs="Arial"/>
                <w:color w:val="auto"/>
                <w:sz w:val="16"/>
                <w:szCs w:val="18"/>
              </w:rPr>
              <w:t>多层板楼、高层板楼、板塔结合、塔楼四</w:t>
            </w:r>
            <w:r>
              <w:rPr>
                <w:rFonts w:ascii="Arial" w:hAnsi="Arial" w:cs="Arial"/>
                <w:color w:val="auto"/>
                <w:sz w:val="16"/>
                <w:szCs w:val="18"/>
              </w:rPr>
              <w:t>个等级，以估价对象指数为 100，每相差一个等级，每级相差</w:t>
            </w:r>
            <w:r>
              <w:rPr>
                <w:rFonts w:hint="eastAsia" w:ascii="Arial" w:hAnsi="Arial" w:cs="Arial"/>
                <w:color w:val="auto"/>
                <w:sz w:val="16"/>
                <w:szCs w:val="18"/>
              </w:rPr>
              <w:t>5</w:t>
            </w:r>
            <w:r>
              <w:rPr>
                <w:rFonts w:ascii="Arial" w:hAnsi="Arial" w:cs="Arial"/>
                <w:color w:val="auto"/>
                <w:sz w:val="16"/>
                <w:szCs w:val="18"/>
              </w:rPr>
              <w:t>分，确定可比实例1、2、3该因素指数分别为</w:t>
            </w:r>
            <w:r>
              <w:rPr>
                <w:rFonts w:hint="eastAsia" w:ascii="Arial" w:hAnsi="Arial" w:cs="Arial"/>
                <w:color w:val="auto"/>
                <w:sz w:val="16"/>
                <w:szCs w:val="18"/>
              </w:rPr>
              <w:t>105</w:t>
            </w:r>
            <w:r>
              <w:rPr>
                <w:rFonts w:ascii="Arial" w:hAnsi="Arial" w:cs="Arial"/>
                <w:color w:val="auto"/>
                <w:sz w:val="16"/>
                <w:szCs w:val="18"/>
              </w:rPr>
              <w:t>、</w:t>
            </w:r>
            <w:r>
              <w:rPr>
                <w:rFonts w:hint="eastAsia" w:ascii="Arial" w:hAnsi="Arial" w:cs="Arial"/>
                <w:color w:val="auto"/>
                <w:sz w:val="16"/>
                <w:szCs w:val="18"/>
              </w:rPr>
              <w:t>105</w:t>
            </w:r>
            <w:r>
              <w:rPr>
                <w:rFonts w:ascii="Arial" w:hAnsi="Arial" w:cs="Arial"/>
                <w:color w:val="auto"/>
                <w:sz w:val="16"/>
                <w:szCs w:val="18"/>
              </w:rPr>
              <w:t>、10</w:t>
            </w:r>
            <w:r>
              <w:rPr>
                <w:rFonts w:hint="eastAsia" w:ascii="Arial" w:hAnsi="Arial" w:cs="Arial"/>
                <w:color w:val="auto"/>
                <w:sz w:val="16"/>
                <w:szCs w:val="18"/>
              </w:rPr>
              <w:t>0</w:t>
            </w:r>
            <w:r>
              <w:rPr>
                <w:rFonts w:ascii="Arial" w:hAnsi="Arial" w:cs="Arial"/>
                <w:color w:val="auto"/>
                <w:sz w:val="16"/>
                <w:szCs w:val="18"/>
              </w:rPr>
              <w:t>；</w:t>
            </w:r>
          </w:p>
        </w:tc>
      </w:tr>
      <w:tr w14:paraId="218B521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8CCE78C">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17DBCFE3">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楼层</w:t>
            </w:r>
          </w:p>
        </w:tc>
        <w:tc>
          <w:tcPr>
            <w:tcW w:w="531" w:type="pct"/>
            <w:tcBorders>
              <w:top w:val="nil"/>
              <w:left w:val="nil"/>
              <w:bottom w:val="single" w:color="auto" w:sz="4" w:space="0"/>
              <w:right w:val="single" w:color="auto" w:sz="4" w:space="0"/>
            </w:tcBorders>
            <w:noWrap/>
            <w:vAlign w:val="center"/>
          </w:tcPr>
          <w:p w14:paraId="66C2EBC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EDB8FCC">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28287DE5">
            <w:pPr>
              <w:snapToGrid w:val="0"/>
              <w:spacing w:line="240" w:lineRule="exact"/>
              <w:jc w:val="both"/>
              <w:rPr>
                <w:rFonts w:ascii="Arial" w:hAnsi="Arial" w:cs="Arial"/>
                <w:color w:val="auto"/>
                <w:sz w:val="16"/>
                <w:szCs w:val="18"/>
              </w:rPr>
            </w:pPr>
            <w:r>
              <w:rPr>
                <w:rFonts w:hint="eastAsia"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4728C8A">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2032" w:type="pct"/>
            <w:tcBorders>
              <w:top w:val="nil"/>
              <w:left w:val="nil"/>
              <w:bottom w:val="single" w:color="auto" w:sz="4" w:space="0"/>
              <w:right w:val="single" w:color="auto" w:sz="4" w:space="0"/>
            </w:tcBorders>
            <w:vAlign w:val="center"/>
          </w:tcPr>
          <w:p w14:paraId="29865583">
            <w:pPr>
              <w:snapToGrid w:val="0"/>
              <w:spacing w:line="240" w:lineRule="exact"/>
              <w:jc w:val="both"/>
              <w:rPr>
                <w:rFonts w:ascii="Arial" w:hAnsi="Arial" w:cs="Arial"/>
                <w:color w:val="auto"/>
                <w:sz w:val="16"/>
                <w:szCs w:val="18"/>
              </w:rPr>
            </w:pPr>
            <w:r>
              <w:rPr>
                <w:rFonts w:ascii="Arial" w:hAnsi="Arial" w:cs="Arial"/>
                <w:color w:val="auto"/>
                <w:sz w:val="16"/>
                <w:szCs w:val="18"/>
              </w:rPr>
              <w:t>分为高楼层、中楼层、低楼层两个等级，以估价对象指数为 100，每相差一个等级，每级相差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99</w:t>
            </w:r>
            <w:r>
              <w:rPr>
                <w:rFonts w:ascii="Arial" w:hAnsi="Arial" w:cs="Arial"/>
                <w:color w:val="auto"/>
                <w:sz w:val="16"/>
                <w:szCs w:val="18"/>
              </w:rPr>
              <w:t>、</w:t>
            </w:r>
            <w:r>
              <w:rPr>
                <w:rFonts w:hint="eastAsia" w:ascii="Arial" w:hAnsi="Arial" w:cs="Arial"/>
                <w:color w:val="auto"/>
                <w:sz w:val="16"/>
                <w:szCs w:val="18"/>
              </w:rPr>
              <w:t>100</w:t>
            </w:r>
            <w:r>
              <w:rPr>
                <w:rFonts w:ascii="Arial" w:hAnsi="Arial" w:cs="Arial"/>
                <w:color w:val="auto"/>
                <w:sz w:val="16"/>
                <w:szCs w:val="18"/>
              </w:rPr>
              <w:t>、</w:t>
            </w:r>
            <w:r>
              <w:rPr>
                <w:rFonts w:hint="eastAsia" w:ascii="Arial" w:hAnsi="Arial" w:cs="Arial"/>
                <w:color w:val="auto"/>
                <w:sz w:val="16"/>
                <w:szCs w:val="18"/>
              </w:rPr>
              <w:t>99</w:t>
            </w:r>
            <w:r>
              <w:rPr>
                <w:rFonts w:ascii="Arial" w:hAnsi="Arial" w:cs="Arial"/>
                <w:color w:val="auto"/>
                <w:sz w:val="16"/>
                <w:szCs w:val="18"/>
              </w:rPr>
              <w:t>；</w:t>
            </w:r>
          </w:p>
        </w:tc>
      </w:tr>
      <w:tr w14:paraId="3DDB788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8D90B7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99A4055">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朝向</w:t>
            </w:r>
          </w:p>
        </w:tc>
        <w:tc>
          <w:tcPr>
            <w:tcW w:w="531" w:type="pct"/>
            <w:tcBorders>
              <w:top w:val="nil"/>
              <w:left w:val="nil"/>
              <w:bottom w:val="single" w:color="auto" w:sz="4" w:space="0"/>
              <w:right w:val="single" w:color="auto" w:sz="4" w:space="0"/>
            </w:tcBorders>
            <w:noWrap/>
            <w:vAlign w:val="center"/>
          </w:tcPr>
          <w:p w14:paraId="6DA2BDD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759CD74">
            <w:pPr>
              <w:snapToGrid w:val="0"/>
              <w:spacing w:line="240" w:lineRule="exact"/>
              <w:jc w:val="both"/>
              <w:rPr>
                <w:rFonts w:ascii="Arial" w:hAnsi="Arial" w:cs="Arial"/>
                <w:color w:val="auto"/>
                <w:sz w:val="16"/>
                <w:szCs w:val="18"/>
              </w:rPr>
            </w:pPr>
            <w:r>
              <w:rPr>
                <w:rFonts w:hint="eastAsia"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B2BA7C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4D0E99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D9F2857">
            <w:pPr>
              <w:snapToGrid w:val="0"/>
              <w:spacing w:line="240" w:lineRule="exact"/>
              <w:jc w:val="both"/>
              <w:rPr>
                <w:rFonts w:ascii="Arial" w:hAnsi="Arial" w:cs="Arial"/>
                <w:color w:val="auto"/>
                <w:sz w:val="16"/>
                <w:szCs w:val="18"/>
              </w:rPr>
            </w:pPr>
            <w:r>
              <w:rPr>
                <w:rFonts w:ascii="Arial" w:hAnsi="Arial" w:cs="Arial"/>
                <w:color w:val="auto"/>
                <w:sz w:val="16"/>
                <w:szCs w:val="18"/>
              </w:rPr>
              <w:t>从优到劣依次为：为南北向；南向；东、南；西、南；东、西；东；西；东、北；西、北；北。每档相差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100、100、</w:t>
            </w:r>
            <w:r>
              <w:rPr>
                <w:rFonts w:ascii="Arial" w:hAnsi="Arial" w:cs="Arial"/>
                <w:color w:val="auto"/>
                <w:sz w:val="16"/>
                <w:szCs w:val="18"/>
              </w:rPr>
              <w:t>1</w:t>
            </w:r>
            <w:r>
              <w:rPr>
                <w:rFonts w:hint="eastAsia" w:ascii="Arial" w:hAnsi="Arial" w:cs="Arial"/>
                <w:color w:val="auto"/>
                <w:sz w:val="16"/>
                <w:szCs w:val="18"/>
              </w:rPr>
              <w:t>00</w:t>
            </w:r>
            <w:r>
              <w:rPr>
                <w:rFonts w:ascii="Arial" w:hAnsi="Arial" w:cs="Arial"/>
                <w:color w:val="auto"/>
                <w:sz w:val="16"/>
                <w:szCs w:val="18"/>
              </w:rPr>
              <w:t>；</w:t>
            </w:r>
          </w:p>
        </w:tc>
      </w:tr>
      <w:tr w14:paraId="42B442B0">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27ACCF75">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实物</w:t>
            </w:r>
          </w:p>
          <w:p w14:paraId="2B9F7640">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状况</w:t>
            </w:r>
          </w:p>
        </w:tc>
        <w:tc>
          <w:tcPr>
            <w:tcW w:w="535" w:type="pct"/>
            <w:tcBorders>
              <w:top w:val="nil"/>
              <w:left w:val="nil"/>
              <w:bottom w:val="single" w:color="auto" w:sz="4" w:space="0"/>
              <w:right w:val="single" w:color="auto" w:sz="4" w:space="0"/>
            </w:tcBorders>
            <w:vAlign w:val="center"/>
          </w:tcPr>
          <w:p w14:paraId="1F883850">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成新度</w:t>
            </w:r>
          </w:p>
        </w:tc>
        <w:tc>
          <w:tcPr>
            <w:tcW w:w="531" w:type="pct"/>
            <w:tcBorders>
              <w:top w:val="nil"/>
              <w:left w:val="nil"/>
              <w:bottom w:val="single" w:color="auto" w:sz="4" w:space="0"/>
              <w:right w:val="single" w:color="auto" w:sz="4" w:space="0"/>
            </w:tcBorders>
            <w:noWrap/>
            <w:vAlign w:val="center"/>
          </w:tcPr>
          <w:p w14:paraId="47E51E5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BC9E22C">
            <w:pPr>
              <w:snapToGrid w:val="0"/>
              <w:spacing w:line="240" w:lineRule="exact"/>
              <w:jc w:val="both"/>
              <w:rPr>
                <w:rFonts w:ascii="Arial" w:hAnsi="Arial" w:cs="Arial"/>
                <w:color w:val="auto"/>
                <w:sz w:val="16"/>
                <w:szCs w:val="18"/>
              </w:rPr>
            </w:pPr>
            <w:r>
              <w:rPr>
                <w:rFonts w:ascii="Arial" w:hAnsi="Arial" w:cs="Arial"/>
                <w:color w:val="auto"/>
                <w:sz w:val="16"/>
                <w:szCs w:val="18"/>
              </w:rPr>
              <w:t>10</w:t>
            </w:r>
            <w:r>
              <w:rPr>
                <w:rFonts w:hint="eastAsia" w:ascii="Arial" w:hAnsi="Arial" w:cs="Arial"/>
                <w:color w:val="auto"/>
                <w:sz w:val="16"/>
                <w:szCs w:val="18"/>
              </w:rPr>
              <w:t>1</w:t>
            </w:r>
          </w:p>
        </w:tc>
        <w:tc>
          <w:tcPr>
            <w:tcW w:w="531" w:type="pct"/>
            <w:tcBorders>
              <w:top w:val="nil"/>
              <w:left w:val="nil"/>
              <w:bottom w:val="single" w:color="auto" w:sz="4" w:space="0"/>
              <w:right w:val="single" w:color="auto" w:sz="4" w:space="0"/>
            </w:tcBorders>
            <w:noWrap/>
            <w:vAlign w:val="center"/>
          </w:tcPr>
          <w:p w14:paraId="4AF6816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DCF614C">
            <w:pPr>
              <w:snapToGrid w:val="0"/>
              <w:spacing w:line="240" w:lineRule="exact"/>
              <w:jc w:val="both"/>
              <w:rPr>
                <w:rFonts w:ascii="Arial" w:hAnsi="Arial" w:cs="Arial"/>
                <w:color w:val="auto"/>
                <w:sz w:val="16"/>
                <w:szCs w:val="18"/>
              </w:rPr>
            </w:pPr>
            <w:r>
              <w:rPr>
                <w:rFonts w:hint="eastAsia"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7D49DBD">
            <w:pPr>
              <w:snapToGrid w:val="0"/>
              <w:spacing w:line="240" w:lineRule="exact"/>
              <w:jc w:val="both"/>
              <w:rPr>
                <w:rFonts w:ascii="Arial" w:hAnsi="Arial" w:cs="Arial"/>
                <w:color w:val="auto"/>
                <w:sz w:val="16"/>
                <w:szCs w:val="18"/>
              </w:rPr>
            </w:pPr>
            <w:r>
              <w:rPr>
                <w:rFonts w:ascii="Arial" w:hAnsi="Arial" w:cs="Arial"/>
                <w:color w:val="auto"/>
                <w:sz w:val="16"/>
                <w:szCs w:val="18"/>
              </w:rPr>
              <w:t>根据90%（含）-100%、80%（含）-90%、70%（含）-80%、60%（含）-70%、60%以下分为五个等级，每级相差</w:t>
            </w:r>
            <w:r>
              <w:rPr>
                <w:rFonts w:hint="eastAsia" w:ascii="Arial" w:hAnsi="Arial" w:cs="Arial"/>
                <w:color w:val="auto"/>
                <w:sz w:val="16"/>
                <w:szCs w:val="18"/>
              </w:rPr>
              <w:t>1</w:t>
            </w:r>
            <w:r>
              <w:rPr>
                <w:rFonts w:ascii="Arial" w:hAnsi="Arial" w:cs="Arial"/>
                <w:color w:val="auto"/>
                <w:sz w:val="16"/>
                <w:szCs w:val="18"/>
              </w:rPr>
              <w:t>分，确定可比实例1、2、3该因素指数分别为</w:t>
            </w:r>
            <w:r>
              <w:rPr>
                <w:rFonts w:hint="eastAsia" w:ascii="Arial" w:hAnsi="Arial" w:cs="Arial"/>
                <w:color w:val="auto"/>
                <w:sz w:val="16"/>
                <w:szCs w:val="18"/>
              </w:rPr>
              <w:t>101、100、100</w:t>
            </w:r>
            <w:r>
              <w:rPr>
                <w:rFonts w:ascii="Arial" w:hAnsi="Arial" w:cs="Arial"/>
                <w:color w:val="auto"/>
                <w:sz w:val="16"/>
                <w:szCs w:val="18"/>
              </w:rPr>
              <w:t>；</w:t>
            </w:r>
          </w:p>
        </w:tc>
      </w:tr>
      <w:tr w14:paraId="47E2665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86F2A6A">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BBADB21">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公共区域装修</w:t>
            </w:r>
          </w:p>
        </w:tc>
        <w:tc>
          <w:tcPr>
            <w:tcW w:w="531" w:type="pct"/>
            <w:tcBorders>
              <w:top w:val="nil"/>
              <w:left w:val="nil"/>
              <w:bottom w:val="single" w:color="auto" w:sz="4" w:space="0"/>
              <w:right w:val="single" w:color="auto" w:sz="4" w:space="0"/>
            </w:tcBorders>
            <w:noWrap/>
            <w:vAlign w:val="center"/>
          </w:tcPr>
          <w:p w14:paraId="4A756AC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58E8D2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8C97C0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4A85CE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A01F35F">
            <w:pPr>
              <w:snapToGrid w:val="0"/>
              <w:spacing w:line="240" w:lineRule="exact"/>
              <w:jc w:val="both"/>
              <w:rPr>
                <w:rFonts w:ascii="Arial" w:hAnsi="Arial" w:cs="Arial"/>
                <w:color w:val="auto"/>
                <w:sz w:val="16"/>
                <w:szCs w:val="18"/>
              </w:rPr>
            </w:pPr>
            <w:r>
              <w:rPr>
                <w:rFonts w:ascii="Arial" w:hAnsi="Arial" w:cs="Arial"/>
                <w:color w:val="auto"/>
                <w:sz w:val="16"/>
                <w:szCs w:val="18"/>
              </w:rPr>
              <w:t>分为精装修、普通装修、简单装修、毛坯等，以估价对象指数为 100，每级相差2分，确定可比实例1、2、3该因素指数分别为100、100、100；</w:t>
            </w:r>
          </w:p>
        </w:tc>
      </w:tr>
      <w:tr w14:paraId="680121C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37D07D9">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EA2ED6A">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室内装饰装修</w:t>
            </w:r>
          </w:p>
        </w:tc>
        <w:tc>
          <w:tcPr>
            <w:tcW w:w="531" w:type="pct"/>
            <w:tcBorders>
              <w:top w:val="nil"/>
              <w:left w:val="nil"/>
              <w:bottom w:val="single" w:color="auto" w:sz="4" w:space="0"/>
              <w:right w:val="single" w:color="auto" w:sz="4" w:space="0"/>
            </w:tcBorders>
            <w:noWrap/>
            <w:vAlign w:val="center"/>
          </w:tcPr>
          <w:p w14:paraId="4B7AF6B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756AF7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395D61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6435893">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60A9AA8F">
            <w:pPr>
              <w:snapToGrid w:val="0"/>
              <w:spacing w:line="240" w:lineRule="exact"/>
              <w:jc w:val="both"/>
              <w:rPr>
                <w:rFonts w:ascii="Arial" w:hAnsi="Arial" w:cs="Arial"/>
                <w:color w:val="auto"/>
                <w:sz w:val="16"/>
                <w:szCs w:val="18"/>
              </w:rPr>
            </w:pPr>
            <w:r>
              <w:rPr>
                <w:rFonts w:ascii="Arial" w:hAnsi="Arial" w:cs="Arial"/>
                <w:color w:val="auto"/>
                <w:sz w:val="16"/>
                <w:szCs w:val="18"/>
              </w:rPr>
              <w:t>分为精装修、普通装修、简单装修、毛坯等，以估价对象指数为 100，每级相差3分，确定可比实例1、2、3该因素指数分别为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084D9BC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E7932AC">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5A99BB7C">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设施设备</w:t>
            </w:r>
          </w:p>
        </w:tc>
        <w:tc>
          <w:tcPr>
            <w:tcW w:w="531" w:type="pct"/>
            <w:tcBorders>
              <w:top w:val="nil"/>
              <w:left w:val="nil"/>
              <w:bottom w:val="single" w:color="auto" w:sz="4" w:space="0"/>
              <w:right w:val="single" w:color="auto" w:sz="4" w:space="0"/>
            </w:tcBorders>
            <w:noWrap/>
            <w:vAlign w:val="center"/>
          </w:tcPr>
          <w:p w14:paraId="56BA7D6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B6AC8B1">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AA1FF1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3C34E6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6A3785E">
            <w:pPr>
              <w:snapToGrid w:val="0"/>
              <w:spacing w:line="240" w:lineRule="exact"/>
              <w:jc w:val="both"/>
              <w:rPr>
                <w:rFonts w:ascii="Arial" w:hAnsi="Arial" w:cs="Arial"/>
                <w:color w:val="auto"/>
                <w:sz w:val="16"/>
                <w:szCs w:val="18"/>
              </w:rPr>
            </w:pPr>
            <w:r>
              <w:rPr>
                <w:rFonts w:ascii="Arial" w:hAnsi="Arial" w:cs="Arial"/>
                <w:color w:val="auto"/>
                <w:sz w:val="16"/>
                <w:szCs w:val="18"/>
              </w:rPr>
              <w:t>根据实际配备情况，分为完善、较完善、一般、较不完善、不完善五个等级，每级相差</w:t>
            </w:r>
            <w:r>
              <w:rPr>
                <w:rFonts w:hint="eastAsia" w:ascii="Arial" w:hAnsi="Arial" w:cs="Arial"/>
                <w:color w:val="auto"/>
                <w:sz w:val="16"/>
                <w:szCs w:val="18"/>
              </w:rPr>
              <w:t>3</w:t>
            </w:r>
            <w:r>
              <w:rPr>
                <w:rFonts w:ascii="Arial" w:hAnsi="Arial" w:cs="Arial"/>
                <w:color w:val="auto"/>
                <w:sz w:val="16"/>
                <w:szCs w:val="18"/>
              </w:rPr>
              <w:t>分，确定可比实例1、2、3该因素指数分别为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1B4CBD2B">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45DA471">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377A4EA7">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综合管理服务设施</w:t>
            </w:r>
          </w:p>
        </w:tc>
        <w:tc>
          <w:tcPr>
            <w:tcW w:w="531" w:type="pct"/>
            <w:tcBorders>
              <w:top w:val="nil"/>
              <w:left w:val="nil"/>
              <w:bottom w:val="single" w:color="auto" w:sz="4" w:space="0"/>
              <w:right w:val="single" w:color="auto" w:sz="4" w:space="0"/>
            </w:tcBorders>
            <w:noWrap/>
            <w:vAlign w:val="center"/>
          </w:tcPr>
          <w:p w14:paraId="6A28411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55538AA">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16BA58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29BA08B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60EDBBDB">
            <w:pPr>
              <w:snapToGrid w:val="0"/>
              <w:spacing w:line="240" w:lineRule="exact"/>
              <w:jc w:val="both"/>
              <w:rPr>
                <w:rFonts w:ascii="Arial" w:hAnsi="Arial" w:cs="Arial"/>
                <w:color w:val="auto"/>
                <w:sz w:val="16"/>
                <w:szCs w:val="18"/>
              </w:rPr>
            </w:pPr>
            <w:r>
              <w:rPr>
                <w:rFonts w:ascii="Arial" w:hAnsi="Arial" w:cs="Arial"/>
                <w:color w:val="auto"/>
                <w:sz w:val="16"/>
                <w:szCs w:val="18"/>
              </w:rPr>
              <w:t>根据实际管理服务，确定可比实例1、2、3该因素指数分别为100、100、100；</w:t>
            </w:r>
          </w:p>
        </w:tc>
      </w:tr>
      <w:tr w14:paraId="6B5750A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A01D0B8">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62B1023A">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户型布局</w:t>
            </w:r>
          </w:p>
        </w:tc>
        <w:tc>
          <w:tcPr>
            <w:tcW w:w="531" w:type="pct"/>
            <w:tcBorders>
              <w:top w:val="nil"/>
              <w:left w:val="nil"/>
              <w:bottom w:val="single" w:color="auto" w:sz="4" w:space="0"/>
              <w:right w:val="single" w:color="auto" w:sz="4" w:space="0"/>
            </w:tcBorders>
            <w:noWrap/>
            <w:vAlign w:val="center"/>
          </w:tcPr>
          <w:p w14:paraId="3BAF4DA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988" w:type="dxa"/>
            <w:tcBorders>
              <w:top w:val="nil"/>
              <w:left w:val="nil"/>
              <w:bottom w:val="single" w:color="auto" w:sz="4" w:space="0"/>
              <w:right w:val="single" w:color="auto" w:sz="4" w:space="0"/>
            </w:tcBorders>
            <w:noWrap/>
            <w:vAlign w:val="center"/>
          </w:tcPr>
          <w:p w14:paraId="4F43C12F">
            <w:pPr>
              <w:snapToGrid w:val="0"/>
              <w:spacing w:line="240" w:lineRule="exact"/>
              <w:jc w:val="both"/>
              <w:rPr>
                <w:rFonts w:ascii="Arial" w:hAnsi="Arial" w:cs="Arial"/>
                <w:color w:val="auto"/>
                <w:sz w:val="16"/>
                <w:szCs w:val="18"/>
              </w:rPr>
            </w:pPr>
            <w:r>
              <w:rPr>
                <w:rFonts w:hint="eastAsia" w:ascii="Arial" w:hAnsi="Arial" w:cs="Arial"/>
                <w:color w:val="auto"/>
                <w:sz w:val="16"/>
                <w:szCs w:val="18"/>
              </w:rPr>
              <w:t>98</w:t>
            </w:r>
          </w:p>
        </w:tc>
        <w:tc>
          <w:tcPr>
            <w:tcW w:w="988" w:type="dxa"/>
            <w:tcBorders>
              <w:top w:val="nil"/>
              <w:left w:val="nil"/>
              <w:bottom w:val="single" w:color="auto" w:sz="4" w:space="0"/>
              <w:right w:val="single" w:color="auto" w:sz="4" w:space="0"/>
            </w:tcBorders>
            <w:noWrap/>
            <w:vAlign w:val="center"/>
          </w:tcPr>
          <w:p w14:paraId="7557120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988" w:type="dxa"/>
            <w:tcBorders>
              <w:top w:val="nil"/>
              <w:left w:val="nil"/>
              <w:bottom w:val="single" w:color="auto" w:sz="4" w:space="0"/>
              <w:right w:val="single" w:color="auto" w:sz="4" w:space="0"/>
            </w:tcBorders>
            <w:noWrap/>
            <w:vAlign w:val="center"/>
          </w:tcPr>
          <w:p w14:paraId="285B43E0">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047BE2B">
            <w:pPr>
              <w:snapToGrid w:val="0"/>
              <w:spacing w:line="240" w:lineRule="exact"/>
              <w:jc w:val="both"/>
              <w:rPr>
                <w:rFonts w:ascii="Arial" w:hAnsi="Arial" w:cs="Arial"/>
                <w:color w:val="auto"/>
                <w:sz w:val="16"/>
                <w:szCs w:val="18"/>
              </w:rPr>
            </w:pPr>
            <w:r>
              <w:rPr>
                <w:rFonts w:ascii="Arial" w:hAnsi="Arial" w:cs="Arial"/>
                <w:color w:val="auto"/>
                <w:sz w:val="16"/>
                <w:szCs w:val="18"/>
              </w:rPr>
              <w:t>根据布局对于使用率的影响，确定可比实例1、2、3该因素指数分别为</w:t>
            </w:r>
            <w:r>
              <w:rPr>
                <w:rFonts w:hint="eastAsia" w:ascii="Arial" w:hAnsi="Arial" w:cs="Arial"/>
                <w:color w:val="auto"/>
                <w:sz w:val="16"/>
                <w:szCs w:val="18"/>
              </w:rPr>
              <w:t>98、100、100</w:t>
            </w:r>
            <w:r>
              <w:rPr>
                <w:rFonts w:ascii="Arial" w:hAnsi="Arial" w:cs="Arial"/>
                <w:color w:val="auto"/>
                <w:sz w:val="16"/>
                <w:szCs w:val="18"/>
              </w:rPr>
              <w:t>；</w:t>
            </w:r>
          </w:p>
        </w:tc>
      </w:tr>
      <w:tr w14:paraId="350F1EC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FBD4EF7">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6C8B13CC">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户型结构</w:t>
            </w:r>
          </w:p>
        </w:tc>
        <w:tc>
          <w:tcPr>
            <w:tcW w:w="531" w:type="pct"/>
            <w:tcBorders>
              <w:top w:val="nil"/>
              <w:left w:val="nil"/>
              <w:bottom w:val="single" w:color="auto" w:sz="4" w:space="0"/>
              <w:right w:val="single" w:color="auto" w:sz="4" w:space="0"/>
            </w:tcBorders>
            <w:noWrap/>
            <w:vAlign w:val="center"/>
          </w:tcPr>
          <w:p w14:paraId="2E83708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381730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1826373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D214639">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08FBB3E">
            <w:pPr>
              <w:snapToGrid w:val="0"/>
              <w:spacing w:line="240" w:lineRule="exact"/>
              <w:jc w:val="both"/>
              <w:rPr>
                <w:rFonts w:ascii="Arial" w:hAnsi="Arial" w:cs="Arial"/>
                <w:color w:val="auto"/>
                <w:sz w:val="16"/>
                <w:szCs w:val="18"/>
              </w:rPr>
            </w:pPr>
            <w:r>
              <w:rPr>
                <w:rFonts w:ascii="Arial" w:hAnsi="Arial" w:cs="Arial"/>
                <w:color w:val="auto"/>
                <w:sz w:val="16"/>
                <w:szCs w:val="18"/>
              </w:rPr>
              <w:t>估价对象与案例均为</w:t>
            </w:r>
            <w:r>
              <w:rPr>
                <w:rFonts w:hint="eastAsia" w:ascii="Arial" w:hAnsi="Arial" w:cs="Arial"/>
                <w:color w:val="auto"/>
                <w:sz w:val="16"/>
                <w:szCs w:val="18"/>
              </w:rPr>
              <w:t>平层，</w:t>
            </w:r>
            <w:r>
              <w:rPr>
                <w:rFonts w:ascii="Arial" w:hAnsi="Arial" w:cs="Arial"/>
                <w:color w:val="auto"/>
                <w:sz w:val="16"/>
                <w:szCs w:val="18"/>
              </w:rPr>
              <w:t>确定可比实例1、2、3该因素指数分别为100、100、100；</w:t>
            </w:r>
          </w:p>
        </w:tc>
      </w:tr>
      <w:tr w14:paraId="7DA62B6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01B94CD">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5D284946">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建筑面积</w:t>
            </w:r>
          </w:p>
        </w:tc>
        <w:tc>
          <w:tcPr>
            <w:tcW w:w="531" w:type="pct"/>
            <w:tcBorders>
              <w:top w:val="nil"/>
              <w:left w:val="nil"/>
              <w:bottom w:val="single" w:color="auto" w:sz="4" w:space="0"/>
              <w:right w:val="single" w:color="auto" w:sz="4" w:space="0"/>
            </w:tcBorders>
            <w:noWrap/>
            <w:vAlign w:val="center"/>
          </w:tcPr>
          <w:p w14:paraId="6D8FE33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40D68B6">
            <w:pPr>
              <w:snapToGrid w:val="0"/>
              <w:spacing w:line="240" w:lineRule="exact"/>
              <w:jc w:val="both"/>
              <w:rPr>
                <w:rFonts w:ascii="Arial" w:hAnsi="Arial" w:cs="Arial"/>
                <w:color w:val="auto"/>
                <w:sz w:val="16"/>
                <w:szCs w:val="18"/>
              </w:rPr>
            </w:pPr>
            <w:r>
              <w:rPr>
                <w:rFonts w:hint="eastAsia" w:ascii="Arial" w:hAnsi="Arial" w:cs="Arial"/>
                <w:color w:val="auto"/>
                <w:sz w:val="16"/>
                <w:szCs w:val="18"/>
              </w:rPr>
              <w:t>99</w:t>
            </w:r>
          </w:p>
        </w:tc>
        <w:tc>
          <w:tcPr>
            <w:tcW w:w="531" w:type="pct"/>
            <w:tcBorders>
              <w:top w:val="nil"/>
              <w:left w:val="nil"/>
              <w:bottom w:val="single" w:color="auto" w:sz="4" w:space="0"/>
              <w:right w:val="single" w:color="auto" w:sz="4" w:space="0"/>
            </w:tcBorders>
            <w:noWrap/>
            <w:vAlign w:val="center"/>
          </w:tcPr>
          <w:p w14:paraId="5176E7F5">
            <w:pPr>
              <w:snapToGrid w:val="0"/>
              <w:spacing w:line="240" w:lineRule="exact"/>
              <w:jc w:val="both"/>
              <w:rPr>
                <w:rFonts w:ascii="Arial" w:hAnsi="Arial" w:cs="Arial"/>
                <w:color w:val="auto"/>
                <w:sz w:val="16"/>
                <w:szCs w:val="18"/>
              </w:rPr>
            </w:pPr>
            <w:r>
              <w:rPr>
                <w:rFonts w:hint="eastAsia" w:ascii="Arial" w:hAnsi="Arial" w:cs="Arial"/>
                <w:color w:val="auto"/>
                <w:sz w:val="16"/>
                <w:szCs w:val="18"/>
              </w:rPr>
              <w:t>102</w:t>
            </w:r>
          </w:p>
        </w:tc>
        <w:tc>
          <w:tcPr>
            <w:tcW w:w="531" w:type="pct"/>
            <w:tcBorders>
              <w:top w:val="nil"/>
              <w:left w:val="nil"/>
              <w:bottom w:val="single" w:color="auto" w:sz="4" w:space="0"/>
              <w:right w:val="single" w:color="auto" w:sz="4" w:space="0"/>
            </w:tcBorders>
            <w:noWrap/>
            <w:vAlign w:val="center"/>
          </w:tcPr>
          <w:p w14:paraId="59AD73AD">
            <w:pPr>
              <w:snapToGrid w:val="0"/>
              <w:spacing w:line="240" w:lineRule="exact"/>
              <w:jc w:val="both"/>
              <w:rPr>
                <w:rFonts w:ascii="Arial" w:hAnsi="Arial" w:cs="Arial"/>
                <w:color w:val="auto"/>
                <w:sz w:val="16"/>
                <w:szCs w:val="18"/>
              </w:rPr>
            </w:pPr>
            <w:r>
              <w:rPr>
                <w:rFonts w:hint="eastAsia" w:ascii="Arial" w:hAnsi="Arial" w:cs="Arial"/>
                <w:color w:val="auto"/>
                <w:sz w:val="16"/>
                <w:szCs w:val="18"/>
              </w:rPr>
              <w:t>101</w:t>
            </w:r>
          </w:p>
        </w:tc>
        <w:tc>
          <w:tcPr>
            <w:tcW w:w="2032" w:type="pct"/>
            <w:tcBorders>
              <w:top w:val="nil"/>
              <w:left w:val="nil"/>
              <w:bottom w:val="single" w:color="auto" w:sz="4" w:space="0"/>
              <w:right w:val="single" w:color="auto" w:sz="4" w:space="0"/>
            </w:tcBorders>
            <w:vAlign w:val="center"/>
          </w:tcPr>
          <w:p w14:paraId="6E3B8D3C">
            <w:pPr>
              <w:snapToGrid w:val="0"/>
              <w:spacing w:line="240" w:lineRule="exact"/>
              <w:jc w:val="both"/>
              <w:rPr>
                <w:rFonts w:ascii="Arial" w:hAnsi="Arial"/>
                <w:color w:val="auto"/>
              </w:rPr>
            </w:pPr>
            <w:r>
              <w:rPr>
                <w:rFonts w:ascii="Arial" w:hAnsi="Arial" w:cs="Arial"/>
                <w:color w:val="auto"/>
                <w:sz w:val="16"/>
                <w:szCs w:val="18"/>
              </w:rPr>
              <w:t>根据建筑面积对其价值的影响，从好到差划分为</w:t>
            </w:r>
            <w:r>
              <w:rPr>
                <w:rFonts w:hint="eastAsia" w:ascii="Arial" w:hAnsi="Arial" w:cs="Arial"/>
                <w:color w:val="auto"/>
                <w:sz w:val="16"/>
                <w:szCs w:val="18"/>
              </w:rPr>
              <w:t>60</w:t>
            </w:r>
            <w:r>
              <w:rPr>
                <w:rFonts w:ascii="Arial" w:hAnsi="Arial" w:cs="Arial"/>
                <w:color w:val="auto"/>
                <w:sz w:val="16"/>
                <w:szCs w:val="18"/>
              </w:rPr>
              <w:t>（含）平方米及以下、</w:t>
            </w:r>
            <w:r>
              <w:rPr>
                <w:rFonts w:hint="eastAsia" w:ascii="Arial" w:hAnsi="Arial" w:cs="Arial"/>
                <w:color w:val="auto"/>
                <w:sz w:val="16"/>
                <w:szCs w:val="18"/>
              </w:rPr>
              <w:t>60</w:t>
            </w:r>
            <w:r>
              <w:rPr>
                <w:rFonts w:ascii="Arial" w:hAnsi="Arial" w:cs="Arial"/>
                <w:color w:val="auto"/>
                <w:sz w:val="16"/>
                <w:szCs w:val="18"/>
              </w:rPr>
              <w:t>-</w:t>
            </w:r>
            <w:r>
              <w:rPr>
                <w:rFonts w:hint="eastAsia" w:ascii="Arial" w:hAnsi="Arial" w:cs="Arial"/>
                <w:color w:val="auto"/>
                <w:sz w:val="16"/>
                <w:szCs w:val="18"/>
              </w:rPr>
              <w:t>7</w:t>
            </w:r>
            <w:r>
              <w:rPr>
                <w:rFonts w:ascii="Arial" w:hAnsi="Arial" w:cs="Arial"/>
                <w:color w:val="auto"/>
                <w:sz w:val="16"/>
                <w:szCs w:val="18"/>
              </w:rPr>
              <w:t>0（含）平方米、</w:t>
            </w:r>
            <w:r>
              <w:rPr>
                <w:rFonts w:hint="eastAsia" w:ascii="Arial" w:hAnsi="Arial" w:cs="Arial"/>
                <w:color w:val="auto"/>
                <w:sz w:val="16"/>
                <w:szCs w:val="18"/>
              </w:rPr>
              <w:t>7</w:t>
            </w:r>
            <w:r>
              <w:rPr>
                <w:rFonts w:ascii="Arial" w:hAnsi="Arial" w:cs="Arial"/>
                <w:color w:val="auto"/>
                <w:sz w:val="16"/>
                <w:szCs w:val="18"/>
              </w:rPr>
              <w:t>0-</w:t>
            </w:r>
            <w:r>
              <w:rPr>
                <w:rFonts w:hint="eastAsia" w:ascii="Arial" w:hAnsi="Arial" w:cs="Arial"/>
                <w:color w:val="auto"/>
                <w:sz w:val="16"/>
                <w:szCs w:val="18"/>
              </w:rPr>
              <w:t>8</w:t>
            </w:r>
            <w:r>
              <w:rPr>
                <w:rFonts w:ascii="Arial" w:hAnsi="Arial" w:cs="Arial"/>
                <w:color w:val="auto"/>
                <w:sz w:val="16"/>
                <w:szCs w:val="18"/>
              </w:rPr>
              <w:t>0（含）</w:t>
            </w:r>
            <w:r>
              <w:rPr>
                <w:rFonts w:hint="eastAsia" w:ascii="Arial" w:hAnsi="Arial" w:cs="Arial"/>
                <w:color w:val="auto"/>
                <w:sz w:val="16"/>
                <w:szCs w:val="18"/>
              </w:rPr>
              <w:t>、8</w:t>
            </w:r>
            <w:r>
              <w:rPr>
                <w:rFonts w:ascii="Arial" w:hAnsi="Arial" w:cs="Arial"/>
                <w:color w:val="auto"/>
                <w:sz w:val="16"/>
                <w:szCs w:val="18"/>
              </w:rPr>
              <w:t>0-</w:t>
            </w:r>
            <w:r>
              <w:rPr>
                <w:rFonts w:hint="eastAsia" w:ascii="Arial" w:hAnsi="Arial" w:cs="Arial"/>
                <w:color w:val="auto"/>
                <w:sz w:val="16"/>
                <w:szCs w:val="18"/>
              </w:rPr>
              <w:t>9</w:t>
            </w:r>
            <w:r>
              <w:rPr>
                <w:rFonts w:ascii="Arial" w:hAnsi="Arial" w:cs="Arial"/>
                <w:color w:val="auto"/>
                <w:sz w:val="16"/>
                <w:szCs w:val="18"/>
              </w:rPr>
              <w:t>0（含）</w:t>
            </w:r>
            <w:r>
              <w:rPr>
                <w:rFonts w:hint="eastAsia" w:ascii="Arial" w:hAnsi="Arial" w:cs="Arial"/>
                <w:color w:val="auto"/>
                <w:sz w:val="16"/>
                <w:szCs w:val="18"/>
              </w:rPr>
              <w:t>、90</w:t>
            </w:r>
            <w:r>
              <w:rPr>
                <w:rFonts w:ascii="Arial" w:hAnsi="Arial" w:cs="Arial"/>
                <w:color w:val="auto"/>
                <w:sz w:val="16"/>
                <w:szCs w:val="18"/>
              </w:rPr>
              <w:t>-</w:t>
            </w:r>
            <w:r>
              <w:rPr>
                <w:rFonts w:hint="eastAsia" w:ascii="Arial" w:hAnsi="Arial" w:cs="Arial"/>
                <w:color w:val="auto"/>
                <w:sz w:val="16"/>
                <w:szCs w:val="18"/>
              </w:rPr>
              <w:t>10</w:t>
            </w:r>
            <w:r>
              <w:rPr>
                <w:rFonts w:ascii="Arial" w:hAnsi="Arial" w:cs="Arial"/>
                <w:color w:val="auto"/>
                <w:sz w:val="16"/>
                <w:szCs w:val="18"/>
              </w:rPr>
              <w:t>0（含）</w:t>
            </w:r>
            <w:r>
              <w:rPr>
                <w:rFonts w:hint="eastAsia" w:ascii="Arial" w:hAnsi="Arial" w:cs="Arial"/>
                <w:color w:val="auto"/>
                <w:sz w:val="16"/>
                <w:szCs w:val="18"/>
              </w:rPr>
              <w:t>、100</w:t>
            </w:r>
            <w:r>
              <w:rPr>
                <w:rFonts w:ascii="Arial" w:hAnsi="Arial" w:cs="Arial"/>
                <w:color w:val="auto"/>
                <w:sz w:val="16"/>
                <w:szCs w:val="18"/>
              </w:rPr>
              <w:t>-</w:t>
            </w:r>
            <w:r>
              <w:rPr>
                <w:rFonts w:hint="eastAsia" w:ascii="Arial" w:hAnsi="Arial" w:cs="Arial"/>
                <w:color w:val="auto"/>
                <w:sz w:val="16"/>
                <w:szCs w:val="18"/>
              </w:rPr>
              <w:t>11</w:t>
            </w:r>
            <w:r>
              <w:rPr>
                <w:rFonts w:ascii="Arial" w:hAnsi="Arial" w:cs="Arial"/>
                <w:color w:val="auto"/>
                <w:sz w:val="16"/>
                <w:szCs w:val="18"/>
              </w:rPr>
              <w:t>0（含）</w:t>
            </w:r>
            <w:r>
              <w:rPr>
                <w:rFonts w:hint="eastAsia" w:ascii="Arial" w:hAnsi="Arial" w:cs="Arial"/>
                <w:color w:val="auto"/>
                <w:sz w:val="16"/>
                <w:szCs w:val="18"/>
              </w:rPr>
              <w:t>、110</w:t>
            </w:r>
            <w:r>
              <w:rPr>
                <w:rFonts w:ascii="Arial" w:hAnsi="Arial" w:cs="Arial"/>
                <w:color w:val="auto"/>
                <w:sz w:val="16"/>
                <w:szCs w:val="18"/>
              </w:rPr>
              <w:t>-</w:t>
            </w:r>
            <w:r>
              <w:rPr>
                <w:rFonts w:hint="eastAsia" w:ascii="Arial" w:hAnsi="Arial" w:cs="Arial"/>
                <w:color w:val="auto"/>
                <w:sz w:val="16"/>
                <w:szCs w:val="18"/>
              </w:rPr>
              <w:t>12</w:t>
            </w:r>
            <w:r>
              <w:rPr>
                <w:rFonts w:ascii="Arial" w:hAnsi="Arial" w:cs="Arial"/>
                <w:color w:val="auto"/>
                <w:sz w:val="16"/>
                <w:szCs w:val="18"/>
              </w:rPr>
              <w:t>0（含）</w:t>
            </w:r>
            <w:r>
              <w:rPr>
                <w:rFonts w:hint="eastAsia" w:ascii="Arial" w:hAnsi="Arial" w:cs="Arial"/>
                <w:color w:val="auto"/>
                <w:sz w:val="16"/>
                <w:szCs w:val="18"/>
              </w:rPr>
              <w:t>、120</w:t>
            </w:r>
            <w:r>
              <w:rPr>
                <w:rFonts w:ascii="Arial" w:hAnsi="Arial" w:cs="Arial"/>
                <w:color w:val="auto"/>
                <w:sz w:val="16"/>
                <w:szCs w:val="18"/>
              </w:rPr>
              <w:t>-</w:t>
            </w:r>
            <w:r>
              <w:rPr>
                <w:rFonts w:hint="eastAsia" w:ascii="Arial" w:hAnsi="Arial" w:cs="Arial"/>
                <w:color w:val="auto"/>
                <w:sz w:val="16"/>
                <w:szCs w:val="18"/>
              </w:rPr>
              <w:t>13</w:t>
            </w:r>
            <w:r>
              <w:rPr>
                <w:rFonts w:ascii="Arial" w:hAnsi="Arial" w:cs="Arial"/>
                <w:color w:val="auto"/>
                <w:sz w:val="16"/>
                <w:szCs w:val="18"/>
              </w:rPr>
              <w:t>0（含）</w:t>
            </w:r>
            <w:r>
              <w:rPr>
                <w:rFonts w:hint="eastAsia" w:ascii="Arial" w:hAnsi="Arial" w:cs="Arial"/>
                <w:color w:val="auto"/>
                <w:sz w:val="16"/>
                <w:szCs w:val="18"/>
              </w:rPr>
              <w:t>、130</w:t>
            </w:r>
            <w:r>
              <w:rPr>
                <w:rFonts w:ascii="Arial" w:hAnsi="Arial" w:cs="Arial"/>
                <w:color w:val="auto"/>
                <w:sz w:val="16"/>
                <w:szCs w:val="18"/>
              </w:rPr>
              <w:t>-</w:t>
            </w:r>
            <w:r>
              <w:rPr>
                <w:rFonts w:hint="eastAsia" w:ascii="Arial" w:hAnsi="Arial" w:cs="Arial"/>
                <w:color w:val="auto"/>
                <w:sz w:val="16"/>
                <w:szCs w:val="18"/>
              </w:rPr>
              <w:t>14</w:t>
            </w:r>
            <w:r>
              <w:rPr>
                <w:rFonts w:ascii="Arial" w:hAnsi="Arial" w:cs="Arial"/>
                <w:color w:val="auto"/>
                <w:sz w:val="16"/>
                <w:szCs w:val="18"/>
              </w:rPr>
              <w:t>0（含）平方米及以上。以估价对象该因素指数为100，各可比实例与之相比，确定可比实例1、2、3该因素指数分别为</w:t>
            </w:r>
            <w:r>
              <w:rPr>
                <w:rFonts w:hint="eastAsia" w:ascii="Arial" w:hAnsi="Arial" w:cs="Arial"/>
                <w:color w:val="auto"/>
                <w:sz w:val="16"/>
                <w:szCs w:val="18"/>
              </w:rPr>
              <w:t>99、102、101</w:t>
            </w:r>
            <w:r>
              <w:rPr>
                <w:rFonts w:ascii="Arial" w:hAnsi="Arial" w:cs="Arial"/>
                <w:color w:val="auto"/>
                <w:sz w:val="16"/>
                <w:szCs w:val="18"/>
              </w:rPr>
              <w:t>；</w:t>
            </w:r>
          </w:p>
        </w:tc>
      </w:tr>
      <w:tr w14:paraId="5E24636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ADB40B7">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784E9EE5">
            <w:pPr>
              <w:widowControl/>
              <w:adjustRightInd/>
              <w:spacing w:line="240" w:lineRule="auto"/>
              <w:jc w:val="center"/>
              <w:textAlignment w:val="auto"/>
              <w:rPr>
                <w:rFonts w:hint="eastAsia" w:ascii="宋体" w:hAnsi="宋体" w:cs="Arial"/>
                <w:color w:val="auto"/>
                <w:sz w:val="16"/>
                <w:szCs w:val="18"/>
              </w:rPr>
            </w:pPr>
            <w:r>
              <w:rPr>
                <w:rFonts w:ascii="宋体" w:hAnsi="宋体" w:cs="Arial"/>
                <w:color w:val="auto"/>
                <w:sz w:val="16"/>
                <w:szCs w:val="18"/>
              </w:rPr>
              <w:t>家具家电</w:t>
            </w:r>
          </w:p>
        </w:tc>
        <w:tc>
          <w:tcPr>
            <w:tcW w:w="531" w:type="pct"/>
            <w:tcBorders>
              <w:top w:val="nil"/>
              <w:left w:val="nil"/>
              <w:bottom w:val="single" w:color="auto" w:sz="4" w:space="0"/>
              <w:right w:val="single" w:color="auto" w:sz="4" w:space="0"/>
            </w:tcBorders>
            <w:noWrap/>
            <w:vAlign w:val="center"/>
          </w:tcPr>
          <w:p w14:paraId="7B329F1D">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00F195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E4BF78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036480A4">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41A7D1B2">
            <w:pPr>
              <w:widowControl/>
              <w:adjustRightInd/>
              <w:spacing w:line="240" w:lineRule="auto"/>
              <w:textAlignment w:val="auto"/>
              <w:rPr>
                <w:rFonts w:ascii="Arial" w:hAnsi="Arial"/>
                <w:color w:val="auto"/>
              </w:rPr>
            </w:pPr>
            <w:r>
              <w:rPr>
                <w:rFonts w:ascii="Arial" w:hAnsi="Arial" w:cs="Arial"/>
                <w:color w:val="auto"/>
                <w:sz w:val="16"/>
                <w:szCs w:val="18"/>
              </w:rPr>
              <w:t>根据家具家电配备齐全程度，以估价对象该因素指数为100，各可比实例与之相比，确定可比实例1、2、3该因素指数分别为</w:t>
            </w:r>
            <w:r>
              <w:rPr>
                <w:rFonts w:hint="eastAsia" w:ascii="Arial" w:hAnsi="Arial" w:cs="Arial"/>
                <w:color w:val="auto"/>
                <w:sz w:val="16"/>
                <w:szCs w:val="18"/>
              </w:rPr>
              <w:t>10</w:t>
            </w:r>
            <w:r>
              <w:rPr>
                <w:rFonts w:ascii="Arial" w:hAnsi="Arial" w:cs="Arial"/>
                <w:color w:val="auto"/>
                <w:sz w:val="16"/>
                <w:szCs w:val="18"/>
              </w:rPr>
              <w:t>0</w:t>
            </w:r>
            <w:r>
              <w:rPr>
                <w:rFonts w:hint="eastAsia" w:ascii="Arial" w:hAnsi="Arial" w:cs="Arial"/>
                <w:color w:val="auto"/>
                <w:sz w:val="16"/>
                <w:szCs w:val="18"/>
              </w:rPr>
              <w:t>、10</w:t>
            </w:r>
            <w:r>
              <w:rPr>
                <w:rFonts w:ascii="Arial" w:hAnsi="Arial" w:cs="Arial"/>
                <w:color w:val="auto"/>
                <w:sz w:val="16"/>
                <w:szCs w:val="18"/>
              </w:rPr>
              <w:t>0</w:t>
            </w:r>
            <w:r>
              <w:rPr>
                <w:rFonts w:hint="eastAsia" w:ascii="Arial" w:hAnsi="Arial" w:cs="Arial"/>
                <w:color w:val="auto"/>
                <w:sz w:val="16"/>
                <w:szCs w:val="18"/>
              </w:rPr>
              <w:t>、10</w:t>
            </w:r>
            <w:r>
              <w:rPr>
                <w:rFonts w:ascii="Arial" w:hAnsi="Arial" w:cs="Arial"/>
                <w:color w:val="auto"/>
                <w:sz w:val="16"/>
                <w:szCs w:val="18"/>
              </w:rPr>
              <w:t>0</w:t>
            </w:r>
          </w:p>
        </w:tc>
      </w:tr>
      <w:tr w14:paraId="35404219">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3505E957">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ED58BAB">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服务及管理水平</w:t>
            </w:r>
          </w:p>
        </w:tc>
        <w:tc>
          <w:tcPr>
            <w:tcW w:w="531" w:type="pct"/>
            <w:tcBorders>
              <w:top w:val="nil"/>
              <w:left w:val="nil"/>
              <w:bottom w:val="single" w:color="auto" w:sz="4" w:space="0"/>
              <w:right w:val="single" w:color="auto" w:sz="4" w:space="0"/>
            </w:tcBorders>
            <w:noWrap/>
            <w:vAlign w:val="center"/>
          </w:tcPr>
          <w:p w14:paraId="215BE987">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5E1AA1AE">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EB96E8C">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6AD2BEA2">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31E83B8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根据是否配置服务管家、是否封闭式管理，以估价对象该因素指数为100，各可比实例与之相比，确定可比实例1、2、3该因素指数分别为</w:t>
            </w:r>
            <w:r>
              <w:rPr>
                <w:rFonts w:hint="eastAsia" w:ascii="Arial" w:hAnsi="Arial" w:cs="Arial"/>
                <w:color w:val="auto"/>
                <w:sz w:val="16"/>
                <w:szCs w:val="18"/>
              </w:rPr>
              <w:t>100、100、100</w:t>
            </w:r>
            <w:r>
              <w:rPr>
                <w:rFonts w:ascii="Arial" w:hAnsi="Arial" w:cs="Arial"/>
                <w:color w:val="auto"/>
                <w:sz w:val="16"/>
                <w:szCs w:val="18"/>
              </w:rPr>
              <w:t>。</w:t>
            </w:r>
          </w:p>
        </w:tc>
      </w:tr>
      <w:tr w14:paraId="3A86EFDC">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D347851">
            <w:pPr>
              <w:snapToGrid w:val="0"/>
              <w:spacing w:line="240" w:lineRule="exact"/>
              <w:jc w:val="both"/>
              <w:rPr>
                <w:rFonts w:hint="eastAsia" w:ascii="宋体" w:hAnsi="宋体" w:cs="Arial"/>
                <w:color w:val="auto"/>
                <w:sz w:val="16"/>
                <w:szCs w:val="18"/>
              </w:rPr>
            </w:pPr>
          </w:p>
        </w:tc>
        <w:tc>
          <w:tcPr>
            <w:tcW w:w="535" w:type="pct"/>
            <w:tcBorders>
              <w:top w:val="nil"/>
              <w:left w:val="nil"/>
              <w:bottom w:val="single" w:color="auto" w:sz="4" w:space="0"/>
              <w:right w:val="single" w:color="auto" w:sz="4" w:space="0"/>
            </w:tcBorders>
            <w:vAlign w:val="center"/>
          </w:tcPr>
          <w:p w14:paraId="60F8C751">
            <w:pPr>
              <w:snapToGrid w:val="0"/>
              <w:spacing w:line="240" w:lineRule="exact"/>
              <w:jc w:val="both"/>
              <w:rPr>
                <w:rFonts w:hint="eastAsia" w:ascii="宋体" w:hAnsi="宋体" w:cs="Arial"/>
                <w:color w:val="auto"/>
                <w:sz w:val="16"/>
                <w:szCs w:val="18"/>
              </w:rPr>
            </w:pPr>
            <w:r>
              <w:rPr>
                <w:rFonts w:ascii="宋体" w:hAnsi="宋体" w:cs="Arial"/>
                <w:color w:val="auto"/>
                <w:sz w:val="16"/>
                <w:szCs w:val="18"/>
              </w:rPr>
              <w:t>水电气费执行标准</w:t>
            </w:r>
          </w:p>
        </w:tc>
        <w:tc>
          <w:tcPr>
            <w:tcW w:w="531" w:type="pct"/>
            <w:tcBorders>
              <w:top w:val="nil"/>
              <w:left w:val="nil"/>
              <w:bottom w:val="single" w:color="auto" w:sz="4" w:space="0"/>
              <w:right w:val="single" w:color="auto" w:sz="4" w:space="0"/>
            </w:tcBorders>
            <w:noWrap/>
            <w:vAlign w:val="center"/>
          </w:tcPr>
          <w:p w14:paraId="43034D0F">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70B02218">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3018F745">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531" w:type="pct"/>
            <w:tcBorders>
              <w:top w:val="nil"/>
              <w:left w:val="nil"/>
              <w:bottom w:val="single" w:color="auto" w:sz="4" w:space="0"/>
              <w:right w:val="single" w:color="auto" w:sz="4" w:space="0"/>
            </w:tcBorders>
            <w:noWrap/>
            <w:vAlign w:val="center"/>
          </w:tcPr>
          <w:p w14:paraId="48D2D1FB">
            <w:pPr>
              <w:snapToGrid w:val="0"/>
              <w:spacing w:line="240" w:lineRule="exact"/>
              <w:jc w:val="both"/>
              <w:rPr>
                <w:rFonts w:ascii="Arial" w:hAnsi="Arial" w:cs="Arial"/>
                <w:color w:val="auto"/>
                <w:sz w:val="16"/>
                <w:szCs w:val="18"/>
              </w:rPr>
            </w:pPr>
            <w:r>
              <w:rPr>
                <w:rFonts w:ascii="Arial" w:hAnsi="Arial" w:cs="Arial"/>
                <w:color w:val="auto"/>
                <w:sz w:val="16"/>
                <w:szCs w:val="18"/>
              </w:rPr>
              <w:t>100</w:t>
            </w:r>
          </w:p>
        </w:tc>
        <w:tc>
          <w:tcPr>
            <w:tcW w:w="2032" w:type="pct"/>
            <w:tcBorders>
              <w:top w:val="nil"/>
              <w:left w:val="nil"/>
              <w:bottom w:val="single" w:color="auto" w:sz="4" w:space="0"/>
              <w:right w:val="single" w:color="auto" w:sz="4" w:space="0"/>
            </w:tcBorders>
            <w:vAlign w:val="center"/>
          </w:tcPr>
          <w:p w14:paraId="5ACE61B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估价对象与案例均采用民水民电，确定可比实例1、2、3该因素指数分别为100、100、100。</w:t>
            </w:r>
          </w:p>
        </w:tc>
      </w:tr>
    </w:tbl>
    <w:p w14:paraId="65ACB0F9">
      <w:pPr>
        <w:wordWrap w:val="0"/>
        <w:overflowPunct w:val="0"/>
        <w:spacing w:line="480" w:lineRule="auto"/>
        <w:rPr>
          <w:rFonts w:ascii="Arial" w:hAnsi="Arial"/>
          <w:color w:val="auto"/>
          <w:sz w:val="21"/>
          <w:szCs w:val="21"/>
        </w:rPr>
      </w:pPr>
    </w:p>
    <w:p w14:paraId="2D0E296F">
      <w:pPr>
        <w:wordWrap w:val="0"/>
        <w:overflowPunct w:val="0"/>
        <w:spacing w:line="480" w:lineRule="auto"/>
        <w:rPr>
          <w:rFonts w:ascii="Arial" w:hAnsi="Arial"/>
          <w:color w:val="auto"/>
          <w:sz w:val="21"/>
          <w:szCs w:val="21"/>
        </w:rPr>
      </w:pPr>
    </w:p>
    <w:p w14:paraId="13584D29">
      <w:pPr>
        <w:wordWrap w:val="0"/>
        <w:overflowPunct w:val="0"/>
        <w:spacing w:line="480" w:lineRule="auto"/>
        <w:rPr>
          <w:rFonts w:ascii="Arial" w:hAnsi="Arial"/>
          <w:color w:val="auto"/>
          <w:sz w:val="21"/>
          <w:szCs w:val="21"/>
        </w:rPr>
      </w:pPr>
    </w:p>
    <w:p w14:paraId="3D94DC76">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（3）编制因素比较修正系数表</w:t>
      </w:r>
      <w:r>
        <w:rPr>
          <w:rFonts w:ascii="Arial" w:hAnsi="Arial"/>
          <w:color w:val="auto"/>
          <w:sz w:val="21"/>
          <w:szCs w:val="21"/>
        </w:rPr>
        <w:t xml:space="preserve"> </w:t>
      </w:r>
    </w:p>
    <w:p w14:paraId="12DA680C">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根据比较因素条件指数表，编制因素各项目比较修正系数表，详见下表：</w:t>
      </w:r>
    </w:p>
    <w:p w14:paraId="5FD64B48">
      <w:pPr>
        <w:overflowPunct w:val="0"/>
        <w:spacing w:line="480" w:lineRule="auto"/>
        <w:ind w:firstLine="420" w:firstLineChars="200"/>
        <w:jc w:val="center"/>
        <w:rPr>
          <w:rFonts w:ascii="Arial" w:hAnsi="Arial"/>
          <w:color w:val="auto"/>
          <w:sz w:val="21"/>
          <w:szCs w:val="21"/>
        </w:rPr>
      </w:pPr>
      <w:r>
        <w:rPr>
          <w:rFonts w:hint="eastAsia" w:ascii="Arial" w:hAnsi="Arial"/>
          <w:color w:val="auto"/>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1F51A3E5">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B12E87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F6CF8D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7</w:t>
            </w:r>
          </w:p>
        </w:tc>
        <w:tc>
          <w:tcPr>
            <w:tcW w:w="897" w:type="pct"/>
            <w:tcBorders>
              <w:top w:val="single" w:color="auto" w:sz="4" w:space="0"/>
              <w:left w:val="nil"/>
              <w:bottom w:val="single" w:color="auto" w:sz="4" w:space="0"/>
              <w:right w:val="single" w:color="auto" w:sz="4" w:space="0"/>
            </w:tcBorders>
            <w:vAlign w:val="center"/>
          </w:tcPr>
          <w:p w14:paraId="72943C1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8</w:t>
            </w:r>
          </w:p>
        </w:tc>
        <w:tc>
          <w:tcPr>
            <w:tcW w:w="897" w:type="pct"/>
            <w:tcBorders>
              <w:top w:val="single" w:color="auto" w:sz="4" w:space="0"/>
              <w:left w:val="nil"/>
              <w:bottom w:val="single" w:color="auto" w:sz="4" w:space="0"/>
              <w:right w:val="single" w:color="auto" w:sz="4" w:space="0"/>
            </w:tcBorders>
            <w:vAlign w:val="center"/>
          </w:tcPr>
          <w:p w14:paraId="3BD2C16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可比实例</w:t>
            </w:r>
            <w:r>
              <w:rPr>
                <w:rFonts w:hint="eastAsia" w:ascii="Arial" w:hAnsi="Arial" w:cs="Arial"/>
                <w:color w:val="auto"/>
                <w:sz w:val="16"/>
                <w:szCs w:val="18"/>
              </w:rPr>
              <w:t>9</w:t>
            </w:r>
          </w:p>
        </w:tc>
      </w:tr>
      <w:tr w14:paraId="066CE48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A09531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小区名称</w:t>
            </w:r>
          </w:p>
        </w:tc>
        <w:tc>
          <w:tcPr>
            <w:tcW w:w="1707" w:type="dxa"/>
            <w:tcBorders>
              <w:top w:val="nil"/>
              <w:left w:val="nil"/>
              <w:bottom w:val="single" w:color="auto" w:sz="4" w:space="0"/>
              <w:right w:val="single" w:color="auto" w:sz="4" w:space="0"/>
            </w:tcBorders>
            <w:vAlign w:val="center"/>
          </w:tcPr>
          <w:p w14:paraId="72C69850">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北京城建宽院国誉府</w:t>
            </w:r>
          </w:p>
        </w:tc>
        <w:tc>
          <w:tcPr>
            <w:tcW w:w="1707" w:type="dxa"/>
            <w:tcBorders>
              <w:top w:val="nil"/>
              <w:left w:val="nil"/>
              <w:bottom w:val="single" w:color="auto" w:sz="4" w:space="0"/>
              <w:right w:val="single" w:color="auto" w:sz="4" w:space="0"/>
            </w:tcBorders>
            <w:vAlign w:val="center"/>
          </w:tcPr>
          <w:p w14:paraId="47CE1CEA">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恒盛波尔多小镇南区苑</w:t>
            </w:r>
          </w:p>
        </w:tc>
        <w:tc>
          <w:tcPr>
            <w:tcW w:w="1708" w:type="dxa"/>
            <w:tcBorders>
              <w:top w:val="nil"/>
              <w:left w:val="nil"/>
              <w:bottom w:val="single" w:color="auto" w:sz="4" w:space="0"/>
              <w:right w:val="single" w:color="auto" w:sz="4" w:space="0"/>
            </w:tcBorders>
            <w:vAlign w:val="center"/>
          </w:tcPr>
          <w:p w14:paraId="49380D8E">
            <w:pPr>
              <w:widowControl/>
              <w:spacing w:line="240" w:lineRule="exact"/>
              <w:jc w:val="center"/>
              <w:textAlignment w:val="center"/>
              <w:rPr>
                <w:rFonts w:ascii="Arial" w:hAnsi="Arial" w:cs="Arial"/>
                <w:color w:val="auto"/>
                <w:sz w:val="16"/>
                <w:szCs w:val="18"/>
              </w:rPr>
            </w:pPr>
            <w:r>
              <w:rPr>
                <w:rFonts w:hint="eastAsia" w:ascii="Arial" w:hAnsi="Arial" w:cs="Arial"/>
                <w:color w:val="auto"/>
                <w:sz w:val="16"/>
                <w:szCs w:val="18"/>
              </w:rPr>
              <w:t>当代采育满庭春MOMA</w:t>
            </w:r>
          </w:p>
        </w:tc>
      </w:tr>
      <w:tr w14:paraId="1190602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A8867D0">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平均租金（元/平方米·月）</w:t>
            </w:r>
          </w:p>
        </w:tc>
        <w:tc>
          <w:tcPr>
            <w:tcW w:w="1707" w:type="dxa"/>
            <w:tcBorders>
              <w:top w:val="nil"/>
              <w:left w:val="nil"/>
              <w:bottom w:val="single" w:color="auto" w:sz="4" w:space="0"/>
              <w:right w:val="single" w:color="auto" w:sz="4" w:space="0"/>
            </w:tcBorders>
            <w:vAlign w:val="center"/>
          </w:tcPr>
          <w:p w14:paraId="7E035CB1">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12.21</w:t>
            </w:r>
          </w:p>
        </w:tc>
        <w:tc>
          <w:tcPr>
            <w:tcW w:w="1707" w:type="dxa"/>
            <w:tcBorders>
              <w:top w:val="nil"/>
              <w:left w:val="nil"/>
              <w:bottom w:val="single" w:color="auto" w:sz="4" w:space="0"/>
              <w:right w:val="single" w:color="auto" w:sz="4" w:space="0"/>
            </w:tcBorders>
            <w:vAlign w:val="center"/>
          </w:tcPr>
          <w:p w14:paraId="6207F31A">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16.32</w:t>
            </w:r>
          </w:p>
        </w:tc>
        <w:tc>
          <w:tcPr>
            <w:tcW w:w="1708" w:type="dxa"/>
            <w:tcBorders>
              <w:top w:val="nil"/>
              <w:left w:val="nil"/>
              <w:bottom w:val="single" w:color="auto" w:sz="4" w:space="0"/>
              <w:right w:val="single" w:color="auto" w:sz="4" w:space="0"/>
            </w:tcBorders>
            <w:vAlign w:val="center"/>
          </w:tcPr>
          <w:p w14:paraId="66060F93">
            <w:pPr>
              <w:autoSpaceDE w:val="0"/>
              <w:autoSpaceDN w:val="0"/>
              <w:spacing w:line="240" w:lineRule="exact"/>
              <w:jc w:val="center"/>
              <w:textAlignment w:val="bottom"/>
              <w:rPr>
                <w:rFonts w:ascii="Arial" w:hAnsi="Arial" w:cs="Arial"/>
                <w:color w:val="auto"/>
                <w:sz w:val="16"/>
                <w:szCs w:val="18"/>
              </w:rPr>
            </w:pPr>
            <w:r>
              <w:rPr>
                <w:rFonts w:hint="eastAsia" w:ascii="Arial" w:hAnsi="Arial" w:cs="Arial"/>
                <w:color w:val="auto"/>
                <w:sz w:val="16"/>
                <w:szCs w:val="18"/>
              </w:rPr>
              <w:t>17.34</w:t>
            </w:r>
          </w:p>
        </w:tc>
      </w:tr>
      <w:tr w14:paraId="157F088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AC5ABA1">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交易时间</w:t>
            </w:r>
          </w:p>
        </w:tc>
        <w:tc>
          <w:tcPr>
            <w:tcW w:w="897" w:type="pct"/>
            <w:tcBorders>
              <w:top w:val="nil"/>
              <w:left w:val="nil"/>
              <w:bottom w:val="single" w:color="auto" w:sz="4" w:space="0"/>
              <w:right w:val="single" w:color="auto" w:sz="4" w:space="0"/>
            </w:tcBorders>
            <w:vAlign w:val="center"/>
          </w:tcPr>
          <w:p w14:paraId="3C563C2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34F21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1DB3CAF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08105B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576FADC">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交易情况</w:t>
            </w:r>
          </w:p>
        </w:tc>
        <w:tc>
          <w:tcPr>
            <w:tcW w:w="897" w:type="pct"/>
            <w:tcBorders>
              <w:top w:val="nil"/>
              <w:left w:val="nil"/>
              <w:bottom w:val="single" w:color="auto" w:sz="4" w:space="0"/>
              <w:right w:val="single" w:color="auto" w:sz="4" w:space="0"/>
            </w:tcBorders>
            <w:vAlign w:val="center"/>
          </w:tcPr>
          <w:p w14:paraId="00829F4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E24C94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544A468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66620A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0C637DF">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项目类型</w:t>
            </w:r>
          </w:p>
        </w:tc>
        <w:tc>
          <w:tcPr>
            <w:tcW w:w="897" w:type="pct"/>
            <w:tcBorders>
              <w:top w:val="nil"/>
              <w:left w:val="nil"/>
              <w:bottom w:val="single" w:color="auto" w:sz="4" w:space="0"/>
              <w:right w:val="single" w:color="auto" w:sz="4" w:space="0"/>
            </w:tcBorders>
            <w:vAlign w:val="center"/>
          </w:tcPr>
          <w:p w14:paraId="3F5A246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0344F3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1CF3D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76ACA28">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6FF4B0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区域状况</w:t>
            </w:r>
          </w:p>
        </w:tc>
        <w:tc>
          <w:tcPr>
            <w:tcW w:w="1516" w:type="pct"/>
            <w:tcBorders>
              <w:top w:val="nil"/>
              <w:left w:val="nil"/>
              <w:bottom w:val="single" w:color="auto" w:sz="4" w:space="0"/>
              <w:right w:val="single" w:color="auto" w:sz="4" w:space="0"/>
            </w:tcBorders>
            <w:vAlign w:val="center"/>
          </w:tcPr>
          <w:p w14:paraId="0AED693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居住区成熟度</w:t>
            </w:r>
          </w:p>
        </w:tc>
        <w:tc>
          <w:tcPr>
            <w:tcW w:w="897" w:type="pct"/>
            <w:tcBorders>
              <w:top w:val="nil"/>
              <w:left w:val="nil"/>
              <w:bottom w:val="single" w:color="auto" w:sz="4" w:space="0"/>
              <w:right w:val="single" w:color="auto" w:sz="4" w:space="0"/>
            </w:tcBorders>
            <w:vAlign w:val="center"/>
          </w:tcPr>
          <w:p w14:paraId="50EB170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5DE9D5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847D95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39D098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6DA46A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7ED58AF8">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道路通达度</w:t>
            </w:r>
          </w:p>
        </w:tc>
        <w:tc>
          <w:tcPr>
            <w:tcW w:w="897" w:type="pct"/>
            <w:tcBorders>
              <w:top w:val="nil"/>
              <w:left w:val="nil"/>
              <w:bottom w:val="single" w:color="auto" w:sz="4" w:space="0"/>
              <w:right w:val="single" w:color="auto" w:sz="4" w:space="0"/>
            </w:tcBorders>
            <w:vAlign w:val="center"/>
          </w:tcPr>
          <w:p w14:paraId="61415A8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33AF8C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86707A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2105E1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A82550F">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505E6F5">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距离轨道交通站点距离</w:t>
            </w:r>
          </w:p>
        </w:tc>
        <w:tc>
          <w:tcPr>
            <w:tcW w:w="897" w:type="pct"/>
            <w:tcBorders>
              <w:top w:val="nil"/>
              <w:left w:val="nil"/>
              <w:bottom w:val="single" w:color="auto" w:sz="4" w:space="0"/>
              <w:right w:val="single" w:color="auto" w:sz="4" w:space="0"/>
            </w:tcBorders>
            <w:vAlign w:val="center"/>
          </w:tcPr>
          <w:p w14:paraId="0E7A1BE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D8DFB2E">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4AEA1AB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F04FDE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8F55565">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6D9C568">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距离公交站点距离</w:t>
            </w:r>
          </w:p>
        </w:tc>
        <w:tc>
          <w:tcPr>
            <w:tcW w:w="1707" w:type="dxa"/>
            <w:tcBorders>
              <w:top w:val="nil"/>
              <w:left w:val="nil"/>
              <w:bottom w:val="single" w:color="auto" w:sz="4" w:space="0"/>
              <w:right w:val="single" w:color="auto" w:sz="4" w:space="0"/>
            </w:tcBorders>
            <w:vAlign w:val="center"/>
          </w:tcPr>
          <w:p w14:paraId="3B76E5B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B57B3D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4E9BEDF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B714BA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8DC40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2A678CB">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环境质量优劣度</w:t>
            </w:r>
          </w:p>
        </w:tc>
        <w:tc>
          <w:tcPr>
            <w:tcW w:w="1707" w:type="dxa"/>
            <w:tcBorders>
              <w:top w:val="nil"/>
              <w:left w:val="nil"/>
              <w:bottom w:val="single" w:color="auto" w:sz="4" w:space="0"/>
              <w:right w:val="single" w:color="auto" w:sz="4" w:space="0"/>
            </w:tcBorders>
            <w:vAlign w:val="center"/>
          </w:tcPr>
          <w:p w14:paraId="1774D05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7768CC0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0A690F0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3FDC56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46FA7D9">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0A86FE9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自然环境</w:t>
            </w:r>
          </w:p>
        </w:tc>
        <w:tc>
          <w:tcPr>
            <w:tcW w:w="1707" w:type="dxa"/>
            <w:tcBorders>
              <w:top w:val="nil"/>
              <w:left w:val="nil"/>
              <w:bottom w:val="single" w:color="auto" w:sz="4" w:space="0"/>
              <w:right w:val="single" w:color="auto" w:sz="4" w:space="0"/>
            </w:tcBorders>
            <w:vAlign w:val="center"/>
          </w:tcPr>
          <w:p w14:paraId="77E1704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1E9DE91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2B046E0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FB4BE6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989F4FB">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5C87F362">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小区环境</w:t>
            </w:r>
          </w:p>
        </w:tc>
        <w:tc>
          <w:tcPr>
            <w:tcW w:w="1707" w:type="dxa"/>
            <w:tcBorders>
              <w:top w:val="nil"/>
              <w:left w:val="nil"/>
              <w:bottom w:val="single" w:color="auto" w:sz="4" w:space="0"/>
              <w:right w:val="single" w:color="auto" w:sz="4" w:space="0"/>
            </w:tcBorders>
            <w:vAlign w:val="center"/>
          </w:tcPr>
          <w:p w14:paraId="6690EB4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609E626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3732B77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5692260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3F9200D">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74F7A20">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公共服务设施状况</w:t>
            </w:r>
          </w:p>
        </w:tc>
        <w:tc>
          <w:tcPr>
            <w:tcW w:w="1707" w:type="dxa"/>
            <w:tcBorders>
              <w:top w:val="nil"/>
              <w:left w:val="nil"/>
              <w:bottom w:val="single" w:color="auto" w:sz="4" w:space="0"/>
              <w:right w:val="single" w:color="auto" w:sz="4" w:space="0"/>
            </w:tcBorders>
            <w:vAlign w:val="center"/>
          </w:tcPr>
          <w:p w14:paraId="4F0CEA9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3D8FF82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572F8F1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1D11700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FCA8462">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57457E44">
            <w:pPr>
              <w:widowControl/>
              <w:adjustRightInd/>
              <w:spacing w:line="240" w:lineRule="auto"/>
              <w:textAlignment w:val="auto"/>
              <w:rPr>
                <w:rFonts w:ascii="Arial" w:hAnsi="Arial" w:cs="Arial"/>
                <w:color w:val="auto"/>
                <w:sz w:val="16"/>
                <w:szCs w:val="18"/>
              </w:rPr>
            </w:pPr>
            <w:r>
              <w:rPr>
                <w:rFonts w:hint="eastAsia" w:ascii="Arial" w:hAnsi="Arial" w:cs="Arial"/>
                <w:color w:val="auto"/>
                <w:sz w:val="16"/>
                <w:szCs w:val="18"/>
              </w:rPr>
              <w:t>建筑类型</w:t>
            </w:r>
          </w:p>
        </w:tc>
        <w:tc>
          <w:tcPr>
            <w:tcW w:w="1707" w:type="dxa"/>
            <w:tcBorders>
              <w:top w:val="nil"/>
              <w:left w:val="nil"/>
              <w:bottom w:val="single" w:color="auto" w:sz="4" w:space="0"/>
              <w:right w:val="single" w:color="auto" w:sz="4" w:space="0"/>
            </w:tcBorders>
            <w:vAlign w:val="center"/>
          </w:tcPr>
          <w:p w14:paraId="2009C84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5</w:t>
            </w:r>
          </w:p>
        </w:tc>
        <w:tc>
          <w:tcPr>
            <w:tcW w:w="1707" w:type="dxa"/>
            <w:tcBorders>
              <w:top w:val="nil"/>
              <w:left w:val="nil"/>
              <w:bottom w:val="single" w:color="auto" w:sz="4" w:space="0"/>
              <w:right w:val="single" w:color="auto" w:sz="4" w:space="0"/>
            </w:tcBorders>
            <w:vAlign w:val="center"/>
          </w:tcPr>
          <w:p w14:paraId="3256046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5</w:t>
            </w:r>
          </w:p>
        </w:tc>
        <w:tc>
          <w:tcPr>
            <w:tcW w:w="1708" w:type="dxa"/>
            <w:tcBorders>
              <w:top w:val="nil"/>
              <w:left w:val="nil"/>
              <w:bottom w:val="single" w:color="auto" w:sz="4" w:space="0"/>
              <w:right w:val="single" w:color="auto" w:sz="4" w:space="0"/>
            </w:tcBorders>
            <w:vAlign w:val="center"/>
          </w:tcPr>
          <w:p w14:paraId="28F3690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0</w:t>
            </w:r>
          </w:p>
        </w:tc>
      </w:tr>
      <w:tr w14:paraId="0F8893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102F297">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292159FB">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楼层</w:t>
            </w:r>
          </w:p>
        </w:tc>
        <w:tc>
          <w:tcPr>
            <w:tcW w:w="1707" w:type="dxa"/>
            <w:tcBorders>
              <w:top w:val="nil"/>
              <w:left w:val="nil"/>
              <w:bottom w:val="single" w:color="auto" w:sz="4" w:space="0"/>
              <w:right w:val="single" w:color="auto" w:sz="4" w:space="0"/>
            </w:tcBorders>
            <w:vAlign w:val="center"/>
          </w:tcPr>
          <w:p w14:paraId="7F85C4D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1707" w:type="dxa"/>
            <w:tcBorders>
              <w:top w:val="nil"/>
              <w:left w:val="nil"/>
              <w:bottom w:val="single" w:color="auto" w:sz="4" w:space="0"/>
              <w:right w:val="single" w:color="auto" w:sz="4" w:space="0"/>
            </w:tcBorders>
            <w:vAlign w:val="center"/>
          </w:tcPr>
          <w:p w14:paraId="49DCE04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0</w:t>
            </w:r>
          </w:p>
        </w:tc>
        <w:tc>
          <w:tcPr>
            <w:tcW w:w="1708" w:type="dxa"/>
            <w:tcBorders>
              <w:top w:val="nil"/>
              <w:left w:val="nil"/>
              <w:bottom w:val="single" w:color="auto" w:sz="4" w:space="0"/>
              <w:right w:val="single" w:color="auto" w:sz="4" w:space="0"/>
            </w:tcBorders>
            <w:vAlign w:val="center"/>
          </w:tcPr>
          <w:p w14:paraId="3994763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r>
      <w:tr w14:paraId="260B46D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A259F5">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061C7F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朝向</w:t>
            </w:r>
          </w:p>
        </w:tc>
        <w:tc>
          <w:tcPr>
            <w:tcW w:w="1707" w:type="dxa"/>
            <w:tcBorders>
              <w:top w:val="nil"/>
              <w:left w:val="nil"/>
              <w:bottom w:val="single" w:color="auto" w:sz="4" w:space="0"/>
              <w:right w:val="single" w:color="auto" w:sz="4" w:space="0"/>
            </w:tcBorders>
            <w:vAlign w:val="center"/>
          </w:tcPr>
          <w:p w14:paraId="024074B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100</w:t>
            </w:r>
          </w:p>
        </w:tc>
        <w:tc>
          <w:tcPr>
            <w:tcW w:w="1707" w:type="dxa"/>
            <w:tcBorders>
              <w:top w:val="nil"/>
              <w:left w:val="nil"/>
              <w:bottom w:val="single" w:color="auto" w:sz="4" w:space="0"/>
              <w:right w:val="single" w:color="auto" w:sz="4" w:space="0"/>
            </w:tcBorders>
            <w:vAlign w:val="center"/>
          </w:tcPr>
          <w:p w14:paraId="7DCB711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00BE77E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43A5A67C">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9A88E9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实物状况</w:t>
            </w:r>
          </w:p>
        </w:tc>
        <w:tc>
          <w:tcPr>
            <w:tcW w:w="1516" w:type="pct"/>
            <w:tcBorders>
              <w:top w:val="nil"/>
              <w:left w:val="nil"/>
              <w:bottom w:val="single" w:color="auto" w:sz="4" w:space="0"/>
              <w:right w:val="single" w:color="auto" w:sz="4" w:space="0"/>
            </w:tcBorders>
            <w:vAlign w:val="center"/>
          </w:tcPr>
          <w:p w14:paraId="727384A5">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成新度</w:t>
            </w:r>
          </w:p>
        </w:tc>
        <w:tc>
          <w:tcPr>
            <w:tcW w:w="1707" w:type="dxa"/>
            <w:tcBorders>
              <w:top w:val="nil"/>
              <w:left w:val="nil"/>
              <w:bottom w:val="single" w:color="auto" w:sz="4" w:space="0"/>
              <w:right w:val="single" w:color="auto" w:sz="4" w:space="0"/>
            </w:tcBorders>
            <w:vAlign w:val="center"/>
          </w:tcPr>
          <w:p w14:paraId="54B4963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2EF32C7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41FDE0CB">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r>
      <w:tr w14:paraId="317115C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4F0BB9D">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625A4455">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公共区域装修</w:t>
            </w:r>
          </w:p>
        </w:tc>
        <w:tc>
          <w:tcPr>
            <w:tcW w:w="1707" w:type="dxa"/>
            <w:tcBorders>
              <w:top w:val="nil"/>
              <w:left w:val="nil"/>
              <w:bottom w:val="single" w:color="auto" w:sz="4" w:space="0"/>
              <w:right w:val="single" w:color="auto" w:sz="4" w:space="0"/>
            </w:tcBorders>
            <w:vAlign w:val="center"/>
          </w:tcPr>
          <w:p w14:paraId="3BFC69F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D79F09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2A0F8BC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59F02A2">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A5C27C9">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1C6F3D5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室内装饰装修</w:t>
            </w:r>
          </w:p>
        </w:tc>
        <w:tc>
          <w:tcPr>
            <w:tcW w:w="1707" w:type="dxa"/>
            <w:tcBorders>
              <w:top w:val="nil"/>
              <w:left w:val="nil"/>
              <w:bottom w:val="single" w:color="auto" w:sz="4" w:space="0"/>
              <w:right w:val="single" w:color="auto" w:sz="4" w:space="0"/>
            </w:tcBorders>
            <w:vAlign w:val="center"/>
          </w:tcPr>
          <w:p w14:paraId="7290D49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3939C36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780B53E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6F24B71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034FDC2">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2BF7CD7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设施设备</w:t>
            </w:r>
          </w:p>
        </w:tc>
        <w:tc>
          <w:tcPr>
            <w:tcW w:w="1707" w:type="dxa"/>
            <w:tcBorders>
              <w:top w:val="nil"/>
              <w:left w:val="nil"/>
              <w:bottom w:val="single" w:color="auto" w:sz="4" w:space="0"/>
              <w:right w:val="single" w:color="auto" w:sz="4" w:space="0"/>
            </w:tcBorders>
            <w:vAlign w:val="center"/>
          </w:tcPr>
          <w:p w14:paraId="5C9183A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557567F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1421C8E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29BB51F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E907BD0">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7EADD03">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综合管理服务设施</w:t>
            </w:r>
          </w:p>
        </w:tc>
        <w:tc>
          <w:tcPr>
            <w:tcW w:w="1707" w:type="dxa"/>
            <w:tcBorders>
              <w:top w:val="nil"/>
              <w:left w:val="nil"/>
              <w:bottom w:val="single" w:color="auto" w:sz="4" w:space="0"/>
              <w:right w:val="single" w:color="auto" w:sz="4" w:space="0"/>
            </w:tcBorders>
            <w:vAlign w:val="center"/>
          </w:tcPr>
          <w:p w14:paraId="482D9F1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193C4D5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39707167">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807330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51B06">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002A6CE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户型布局</w:t>
            </w:r>
          </w:p>
        </w:tc>
        <w:tc>
          <w:tcPr>
            <w:tcW w:w="1707" w:type="dxa"/>
            <w:tcBorders>
              <w:top w:val="nil"/>
              <w:left w:val="nil"/>
              <w:bottom w:val="single" w:color="auto" w:sz="4" w:space="0"/>
              <w:right w:val="single" w:color="auto" w:sz="4" w:space="0"/>
            </w:tcBorders>
            <w:vAlign w:val="center"/>
          </w:tcPr>
          <w:p w14:paraId="76A19F5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98</w:t>
            </w:r>
          </w:p>
        </w:tc>
        <w:tc>
          <w:tcPr>
            <w:tcW w:w="1707" w:type="dxa"/>
            <w:tcBorders>
              <w:top w:val="nil"/>
              <w:left w:val="nil"/>
              <w:bottom w:val="single" w:color="auto" w:sz="4" w:space="0"/>
              <w:right w:val="single" w:color="auto" w:sz="4" w:space="0"/>
            </w:tcBorders>
            <w:vAlign w:val="center"/>
          </w:tcPr>
          <w:p w14:paraId="316A548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573A70D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7F109B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3E8936">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522B076">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户型结构</w:t>
            </w:r>
          </w:p>
        </w:tc>
        <w:tc>
          <w:tcPr>
            <w:tcW w:w="1707" w:type="dxa"/>
            <w:tcBorders>
              <w:top w:val="nil"/>
              <w:left w:val="nil"/>
              <w:bottom w:val="single" w:color="auto" w:sz="4" w:space="0"/>
              <w:right w:val="single" w:color="auto" w:sz="4" w:space="0"/>
            </w:tcBorders>
            <w:vAlign w:val="center"/>
          </w:tcPr>
          <w:p w14:paraId="5ED88285">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7" w:type="dxa"/>
            <w:tcBorders>
              <w:top w:val="nil"/>
              <w:left w:val="nil"/>
              <w:bottom w:val="single" w:color="auto" w:sz="4" w:space="0"/>
              <w:right w:val="single" w:color="auto" w:sz="4" w:space="0"/>
            </w:tcBorders>
            <w:vAlign w:val="center"/>
          </w:tcPr>
          <w:p w14:paraId="3314187C">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1708" w:type="dxa"/>
            <w:tcBorders>
              <w:top w:val="nil"/>
              <w:left w:val="nil"/>
              <w:bottom w:val="single" w:color="auto" w:sz="4" w:space="0"/>
              <w:right w:val="single" w:color="auto" w:sz="4" w:space="0"/>
            </w:tcBorders>
            <w:vAlign w:val="center"/>
          </w:tcPr>
          <w:p w14:paraId="24FC23AA">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740B5E4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0DE2CE">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30C2DD7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建筑面积</w:t>
            </w:r>
          </w:p>
        </w:tc>
        <w:tc>
          <w:tcPr>
            <w:tcW w:w="1707" w:type="dxa"/>
            <w:tcBorders>
              <w:top w:val="nil"/>
              <w:left w:val="nil"/>
              <w:bottom w:val="single" w:color="auto" w:sz="4" w:space="0"/>
              <w:right w:val="single" w:color="auto" w:sz="4" w:space="0"/>
            </w:tcBorders>
            <w:vAlign w:val="center"/>
          </w:tcPr>
          <w:p w14:paraId="3EB6F5F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99</w:t>
            </w:r>
          </w:p>
        </w:tc>
        <w:tc>
          <w:tcPr>
            <w:tcW w:w="1707" w:type="dxa"/>
            <w:tcBorders>
              <w:top w:val="nil"/>
              <w:left w:val="nil"/>
              <w:bottom w:val="single" w:color="auto" w:sz="4" w:space="0"/>
              <w:right w:val="single" w:color="auto" w:sz="4" w:space="0"/>
            </w:tcBorders>
            <w:vAlign w:val="center"/>
          </w:tcPr>
          <w:p w14:paraId="0C071FD6">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w:t>
            </w:r>
            <w:r>
              <w:rPr>
                <w:rFonts w:hint="eastAsia" w:ascii="Arial" w:hAnsi="Arial" w:cs="Arial"/>
                <w:color w:val="auto"/>
                <w:sz w:val="16"/>
                <w:szCs w:val="18"/>
              </w:rPr>
              <w:t>2</w:t>
            </w:r>
          </w:p>
        </w:tc>
        <w:tc>
          <w:tcPr>
            <w:tcW w:w="1708" w:type="dxa"/>
            <w:tcBorders>
              <w:top w:val="nil"/>
              <w:left w:val="nil"/>
              <w:bottom w:val="single" w:color="auto" w:sz="4" w:space="0"/>
              <w:right w:val="single" w:color="auto" w:sz="4" w:space="0"/>
            </w:tcBorders>
            <w:vAlign w:val="center"/>
          </w:tcPr>
          <w:p w14:paraId="085D0812">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w:t>
            </w:r>
            <w:r>
              <w:rPr>
                <w:rFonts w:hint="eastAsia" w:ascii="Arial" w:hAnsi="Arial" w:cs="Arial"/>
                <w:color w:val="auto"/>
                <w:sz w:val="16"/>
                <w:szCs w:val="18"/>
              </w:rPr>
              <w:t>101</w:t>
            </w:r>
          </w:p>
        </w:tc>
      </w:tr>
      <w:tr w14:paraId="46E8EFBA">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32C850F">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0DF9845E">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家具家电</w:t>
            </w:r>
          </w:p>
        </w:tc>
        <w:tc>
          <w:tcPr>
            <w:tcW w:w="897" w:type="pct"/>
            <w:tcBorders>
              <w:top w:val="nil"/>
              <w:left w:val="nil"/>
              <w:bottom w:val="single" w:color="auto" w:sz="4" w:space="0"/>
              <w:right w:val="single" w:color="auto" w:sz="4" w:space="0"/>
            </w:tcBorders>
            <w:vAlign w:val="center"/>
          </w:tcPr>
          <w:p w14:paraId="3857BDA0">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191274CD">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4178F7F">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3C4ED60B">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71417E52">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权益状况</w:t>
            </w:r>
          </w:p>
        </w:tc>
        <w:tc>
          <w:tcPr>
            <w:tcW w:w="1516" w:type="pct"/>
            <w:tcBorders>
              <w:top w:val="nil"/>
              <w:left w:val="nil"/>
              <w:bottom w:val="single" w:color="auto" w:sz="4" w:space="0"/>
              <w:right w:val="single" w:color="auto" w:sz="4" w:space="0"/>
            </w:tcBorders>
            <w:vAlign w:val="center"/>
          </w:tcPr>
          <w:p w14:paraId="78980220">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服务及管理水平</w:t>
            </w:r>
          </w:p>
        </w:tc>
        <w:tc>
          <w:tcPr>
            <w:tcW w:w="897" w:type="pct"/>
            <w:tcBorders>
              <w:top w:val="nil"/>
              <w:left w:val="nil"/>
              <w:bottom w:val="single" w:color="auto" w:sz="4" w:space="0"/>
              <w:right w:val="single" w:color="auto" w:sz="4" w:space="0"/>
            </w:tcBorders>
            <w:vAlign w:val="center"/>
          </w:tcPr>
          <w:p w14:paraId="7A968D04">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7CACDB5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0E67B9C8">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0D1D8DB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7763A2A">
            <w:pPr>
              <w:widowControl/>
              <w:adjustRightInd/>
              <w:spacing w:line="240" w:lineRule="auto"/>
              <w:textAlignment w:val="auto"/>
              <w:rPr>
                <w:rFonts w:ascii="Arial" w:hAnsi="Arial" w:cs="Arial"/>
                <w:color w:val="auto"/>
                <w:sz w:val="16"/>
                <w:szCs w:val="18"/>
              </w:rPr>
            </w:pPr>
          </w:p>
        </w:tc>
        <w:tc>
          <w:tcPr>
            <w:tcW w:w="1516" w:type="pct"/>
            <w:tcBorders>
              <w:top w:val="nil"/>
              <w:left w:val="nil"/>
              <w:bottom w:val="single" w:color="auto" w:sz="4" w:space="0"/>
              <w:right w:val="single" w:color="auto" w:sz="4" w:space="0"/>
            </w:tcBorders>
            <w:vAlign w:val="center"/>
          </w:tcPr>
          <w:p w14:paraId="4DA232C0">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水电气费执行标准</w:t>
            </w:r>
          </w:p>
        </w:tc>
        <w:tc>
          <w:tcPr>
            <w:tcW w:w="897" w:type="pct"/>
            <w:tcBorders>
              <w:top w:val="nil"/>
              <w:left w:val="nil"/>
              <w:bottom w:val="single" w:color="auto" w:sz="4" w:space="0"/>
              <w:right w:val="single" w:color="auto" w:sz="4" w:space="0"/>
            </w:tcBorders>
            <w:vAlign w:val="center"/>
          </w:tcPr>
          <w:p w14:paraId="6281D341">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299246D9">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c>
          <w:tcPr>
            <w:tcW w:w="897" w:type="pct"/>
            <w:tcBorders>
              <w:top w:val="nil"/>
              <w:left w:val="nil"/>
              <w:bottom w:val="single" w:color="auto" w:sz="4" w:space="0"/>
              <w:right w:val="single" w:color="auto" w:sz="4" w:space="0"/>
            </w:tcBorders>
            <w:vAlign w:val="center"/>
          </w:tcPr>
          <w:p w14:paraId="6BB4AB53">
            <w:pPr>
              <w:widowControl/>
              <w:adjustRightInd/>
              <w:spacing w:line="240" w:lineRule="auto"/>
              <w:jc w:val="center"/>
              <w:textAlignment w:val="auto"/>
              <w:rPr>
                <w:rFonts w:ascii="Arial" w:hAnsi="Arial" w:cs="Arial"/>
                <w:color w:val="auto"/>
                <w:sz w:val="16"/>
                <w:szCs w:val="18"/>
              </w:rPr>
            </w:pPr>
            <w:r>
              <w:rPr>
                <w:rFonts w:ascii="Arial" w:hAnsi="Arial" w:cs="Arial"/>
                <w:color w:val="auto"/>
                <w:sz w:val="16"/>
                <w:szCs w:val="18"/>
              </w:rPr>
              <w:t>100/100</w:t>
            </w:r>
          </w:p>
        </w:tc>
      </w:tr>
      <w:tr w14:paraId="0FB197A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1D22AA7">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6BB109A">
            <w:pPr>
              <w:spacing w:line="240" w:lineRule="auto"/>
              <w:jc w:val="center"/>
              <w:rPr>
                <w:rFonts w:ascii="Arial" w:hAnsi="Arial" w:cs="Arial"/>
                <w:color w:val="auto"/>
                <w:sz w:val="16"/>
                <w:szCs w:val="18"/>
              </w:rPr>
            </w:pPr>
            <w:r>
              <w:rPr>
                <w:rFonts w:hint="eastAsia" w:ascii="Arial" w:hAnsi="Arial" w:cs="Arial"/>
                <w:color w:val="auto"/>
                <w:sz w:val="16"/>
                <w:szCs w:val="18"/>
              </w:rPr>
              <w:t>0.9817</w:t>
            </w:r>
          </w:p>
        </w:tc>
        <w:tc>
          <w:tcPr>
            <w:tcW w:w="897" w:type="pct"/>
            <w:tcBorders>
              <w:top w:val="single" w:color="auto" w:sz="4" w:space="0"/>
              <w:left w:val="nil"/>
              <w:bottom w:val="single" w:color="auto" w:sz="4" w:space="0"/>
              <w:right w:val="single" w:color="auto" w:sz="4" w:space="0"/>
            </w:tcBorders>
            <w:vAlign w:val="center"/>
          </w:tcPr>
          <w:p w14:paraId="4178A5CF">
            <w:pPr>
              <w:spacing w:line="240" w:lineRule="auto"/>
              <w:jc w:val="center"/>
              <w:rPr>
                <w:rFonts w:ascii="Arial" w:hAnsi="Arial" w:cs="Arial"/>
                <w:color w:val="auto"/>
                <w:sz w:val="16"/>
                <w:szCs w:val="18"/>
              </w:rPr>
            </w:pPr>
            <w:r>
              <w:rPr>
                <w:rFonts w:hint="eastAsia" w:ascii="Arial" w:hAnsi="Arial" w:cs="Arial"/>
                <w:color w:val="auto"/>
                <w:sz w:val="16"/>
                <w:szCs w:val="18"/>
              </w:rPr>
              <w:t>0.9337</w:t>
            </w:r>
          </w:p>
        </w:tc>
        <w:tc>
          <w:tcPr>
            <w:tcW w:w="897" w:type="pct"/>
            <w:tcBorders>
              <w:top w:val="single" w:color="auto" w:sz="4" w:space="0"/>
              <w:left w:val="nil"/>
              <w:bottom w:val="single" w:color="auto" w:sz="4" w:space="0"/>
              <w:right w:val="single" w:color="auto" w:sz="4" w:space="0"/>
            </w:tcBorders>
            <w:vAlign w:val="center"/>
          </w:tcPr>
          <w:p w14:paraId="4C7DC313">
            <w:pPr>
              <w:spacing w:line="240" w:lineRule="auto"/>
              <w:jc w:val="center"/>
              <w:rPr>
                <w:rFonts w:ascii="Arial" w:hAnsi="Arial" w:cs="Arial"/>
                <w:color w:val="auto"/>
                <w:sz w:val="16"/>
                <w:szCs w:val="18"/>
              </w:rPr>
            </w:pPr>
            <w:r>
              <w:rPr>
                <w:rFonts w:hint="eastAsia" w:ascii="Arial" w:hAnsi="Arial" w:cs="Arial"/>
                <w:color w:val="auto"/>
                <w:sz w:val="16"/>
                <w:szCs w:val="18"/>
              </w:rPr>
              <w:t>0.9525</w:t>
            </w:r>
          </w:p>
        </w:tc>
      </w:tr>
      <w:tr w14:paraId="3D509E8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14B7A4">
            <w:pPr>
              <w:widowControl/>
              <w:adjustRightInd/>
              <w:spacing w:line="240" w:lineRule="auto"/>
              <w:textAlignment w:val="auto"/>
              <w:rPr>
                <w:rFonts w:ascii="Arial" w:hAnsi="Arial" w:cs="Arial"/>
                <w:color w:val="auto"/>
                <w:sz w:val="16"/>
                <w:szCs w:val="18"/>
              </w:rPr>
            </w:pPr>
            <w:r>
              <w:rPr>
                <w:rFonts w:ascii="Arial" w:hAnsi="Arial" w:cs="Arial"/>
                <w:color w:val="auto"/>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54D5E8B7">
            <w:pPr>
              <w:spacing w:line="240" w:lineRule="auto"/>
              <w:jc w:val="center"/>
              <w:rPr>
                <w:rFonts w:ascii="Arial" w:hAnsi="Arial" w:cs="Arial"/>
                <w:color w:val="auto"/>
                <w:sz w:val="16"/>
                <w:szCs w:val="18"/>
              </w:rPr>
            </w:pPr>
            <w:r>
              <w:rPr>
                <w:rFonts w:hint="eastAsia" w:ascii="Arial" w:hAnsi="Arial" w:cs="Arial"/>
                <w:color w:val="auto"/>
                <w:sz w:val="16"/>
                <w:szCs w:val="18"/>
              </w:rPr>
              <w:t>11.99</w:t>
            </w:r>
          </w:p>
        </w:tc>
        <w:tc>
          <w:tcPr>
            <w:tcW w:w="897" w:type="pct"/>
            <w:tcBorders>
              <w:top w:val="single" w:color="auto" w:sz="4" w:space="0"/>
              <w:left w:val="nil"/>
              <w:bottom w:val="single" w:color="auto" w:sz="4" w:space="0"/>
              <w:right w:val="single" w:color="auto" w:sz="4" w:space="0"/>
            </w:tcBorders>
            <w:vAlign w:val="center"/>
          </w:tcPr>
          <w:p w14:paraId="2D4DA207">
            <w:pPr>
              <w:spacing w:line="240" w:lineRule="auto"/>
              <w:jc w:val="center"/>
              <w:rPr>
                <w:rFonts w:ascii="Arial" w:hAnsi="Arial" w:cs="Arial"/>
                <w:color w:val="auto"/>
                <w:sz w:val="16"/>
                <w:szCs w:val="18"/>
              </w:rPr>
            </w:pPr>
            <w:r>
              <w:rPr>
                <w:rFonts w:hint="eastAsia" w:ascii="Arial" w:hAnsi="Arial" w:cs="Arial"/>
                <w:color w:val="auto"/>
                <w:sz w:val="16"/>
                <w:szCs w:val="18"/>
              </w:rPr>
              <w:t>15.24</w:t>
            </w:r>
          </w:p>
        </w:tc>
        <w:tc>
          <w:tcPr>
            <w:tcW w:w="897" w:type="pct"/>
            <w:tcBorders>
              <w:top w:val="single" w:color="auto" w:sz="4" w:space="0"/>
              <w:left w:val="nil"/>
              <w:bottom w:val="single" w:color="auto" w:sz="4" w:space="0"/>
              <w:right w:val="single" w:color="auto" w:sz="4" w:space="0"/>
            </w:tcBorders>
            <w:vAlign w:val="center"/>
          </w:tcPr>
          <w:p w14:paraId="164DAF73">
            <w:pPr>
              <w:spacing w:line="240" w:lineRule="auto"/>
              <w:jc w:val="center"/>
              <w:rPr>
                <w:rFonts w:ascii="Arial" w:hAnsi="Arial" w:cs="Arial"/>
                <w:color w:val="auto"/>
                <w:sz w:val="16"/>
                <w:szCs w:val="18"/>
              </w:rPr>
            </w:pPr>
            <w:r>
              <w:rPr>
                <w:rFonts w:hint="eastAsia" w:ascii="Arial" w:hAnsi="Arial" w:cs="Arial"/>
                <w:color w:val="auto"/>
                <w:sz w:val="16"/>
                <w:szCs w:val="18"/>
              </w:rPr>
              <w:t>16.52</w:t>
            </w:r>
          </w:p>
        </w:tc>
      </w:tr>
    </w:tbl>
    <w:p w14:paraId="58DD7887">
      <w:pPr>
        <w:wordWrap w:val="0"/>
        <w:overflowPunct w:val="0"/>
        <w:spacing w:before="240" w:beforeLines="100" w:line="480" w:lineRule="auto"/>
        <w:ind w:firstLine="420" w:firstLineChars="200"/>
        <w:rPr>
          <w:rFonts w:ascii="Arial" w:hAnsi="Arial"/>
          <w:color w:val="auto"/>
          <w:sz w:val="21"/>
          <w:szCs w:val="21"/>
        </w:rPr>
      </w:pPr>
      <w:r>
        <w:rPr>
          <w:rFonts w:hint="eastAsia" w:ascii="Arial" w:hAnsi="Arial"/>
          <w:color w:val="auto"/>
          <w:sz w:val="21"/>
          <w:szCs w:val="21"/>
        </w:rPr>
        <w:t>注：</w:t>
      </w:r>
      <w:r>
        <w:rPr>
          <w:rFonts w:ascii="Arial" w:hAnsi="Arial"/>
          <w:color w:val="auto"/>
          <w:sz w:val="21"/>
          <w:szCs w:val="21"/>
        </w:rPr>
        <w:t>比准价格＝比较</w:t>
      </w:r>
      <w:r>
        <w:rPr>
          <w:rFonts w:hint="eastAsia" w:ascii="Arial" w:hAnsi="Arial"/>
          <w:color w:val="auto"/>
          <w:sz w:val="21"/>
          <w:szCs w:val="21"/>
        </w:rPr>
        <w:t>实例</w:t>
      </w:r>
      <w:r>
        <w:rPr>
          <w:rFonts w:ascii="Arial" w:hAnsi="Arial"/>
          <w:color w:val="auto"/>
          <w:sz w:val="21"/>
          <w:szCs w:val="21"/>
        </w:rPr>
        <w:t>平均租金×（待估房地产</w:t>
      </w:r>
      <w:r>
        <w:rPr>
          <w:rFonts w:hint="eastAsia" w:ascii="Arial" w:hAnsi="Arial"/>
          <w:color w:val="auto"/>
          <w:sz w:val="21"/>
          <w:szCs w:val="21"/>
        </w:rPr>
        <w:t>交易时间</w:t>
      </w:r>
      <w:r>
        <w:rPr>
          <w:rFonts w:ascii="Arial" w:hAnsi="Arial"/>
          <w:color w:val="auto"/>
          <w:sz w:val="21"/>
          <w:szCs w:val="21"/>
        </w:rPr>
        <w:t>房地产价租赁格指数/可比实例交易</w:t>
      </w:r>
      <w:r>
        <w:rPr>
          <w:rFonts w:hint="eastAsia" w:ascii="Arial" w:hAnsi="Arial"/>
          <w:color w:val="auto"/>
          <w:sz w:val="21"/>
          <w:szCs w:val="21"/>
        </w:rPr>
        <w:t>时间</w:t>
      </w:r>
      <w:r>
        <w:rPr>
          <w:rFonts w:ascii="Arial" w:hAnsi="Arial"/>
          <w:color w:val="auto"/>
          <w:sz w:val="21"/>
          <w:szCs w:val="21"/>
        </w:rPr>
        <w:t>房地产租赁价格指数）×（待估房地产交易情况指数/可比实例</w:t>
      </w:r>
      <w:r>
        <w:rPr>
          <w:rFonts w:hint="eastAsia" w:ascii="Arial" w:hAnsi="Arial"/>
          <w:color w:val="auto"/>
          <w:sz w:val="21"/>
          <w:szCs w:val="21"/>
        </w:rPr>
        <w:t>交易情况</w:t>
      </w:r>
      <w:r>
        <w:rPr>
          <w:rFonts w:ascii="Arial" w:hAnsi="Arial"/>
          <w:color w:val="auto"/>
          <w:sz w:val="21"/>
          <w:szCs w:val="21"/>
        </w:rPr>
        <w:t>指数）×（待估房地产</w:t>
      </w:r>
      <w:r>
        <w:rPr>
          <w:rFonts w:hint="eastAsia" w:ascii="Arial" w:hAnsi="Arial"/>
          <w:color w:val="auto"/>
          <w:sz w:val="21"/>
          <w:szCs w:val="21"/>
        </w:rPr>
        <w:t>项目类型</w:t>
      </w:r>
      <w:r>
        <w:rPr>
          <w:rFonts w:ascii="Arial" w:hAnsi="Arial"/>
          <w:color w:val="auto"/>
          <w:sz w:val="21"/>
          <w:szCs w:val="21"/>
        </w:rPr>
        <w:t>指数/可比实例</w:t>
      </w:r>
      <w:r>
        <w:rPr>
          <w:rFonts w:hint="eastAsia" w:ascii="Arial" w:hAnsi="Arial"/>
          <w:color w:val="auto"/>
          <w:sz w:val="21"/>
          <w:szCs w:val="21"/>
        </w:rPr>
        <w:t>项目类型</w:t>
      </w:r>
      <w:r>
        <w:rPr>
          <w:rFonts w:ascii="Arial" w:hAnsi="Arial"/>
          <w:color w:val="auto"/>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color w:val="auto"/>
          <w:sz w:val="21"/>
          <w:szCs w:val="21"/>
        </w:rPr>
        <w:t>权益</w:t>
      </w:r>
      <w:r>
        <w:rPr>
          <w:rFonts w:ascii="Arial" w:hAnsi="Arial"/>
          <w:color w:val="auto"/>
          <w:sz w:val="21"/>
          <w:szCs w:val="21"/>
        </w:rPr>
        <w:t>状况条件指数/可比实例房地产</w:t>
      </w:r>
      <w:r>
        <w:rPr>
          <w:rFonts w:hint="eastAsia" w:ascii="Arial" w:hAnsi="Arial"/>
          <w:color w:val="auto"/>
          <w:sz w:val="21"/>
          <w:szCs w:val="21"/>
        </w:rPr>
        <w:t>权益</w:t>
      </w:r>
      <w:r>
        <w:rPr>
          <w:rFonts w:ascii="Arial" w:hAnsi="Arial"/>
          <w:color w:val="auto"/>
          <w:sz w:val="21"/>
          <w:szCs w:val="21"/>
        </w:rPr>
        <w:t>状况条件指数）</w:t>
      </w:r>
    </w:p>
    <w:p w14:paraId="4365BFB0">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（4）影响因素选择实例修正后的价值计算</w:t>
      </w:r>
      <w:r>
        <w:rPr>
          <w:rFonts w:ascii="Arial" w:hAnsi="Arial"/>
          <w:color w:val="auto"/>
          <w:sz w:val="21"/>
          <w:szCs w:val="21"/>
        </w:rPr>
        <w:t xml:space="preserve"> </w:t>
      </w:r>
    </w:p>
    <w:p w14:paraId="3177AB50">
      <w:pPr>
        <w:overflowPunct w:val="0"/>
        <w:spacing w:line="480" w:lineRule="auto"/>
        <w:ind w:firstLine="420" w:firstLineChars="200"/>
        <w:jc w:val="both"/>
        <w:rPr>
          <w:rFonts w:ascii="Arial" w:hAnsi="Arial"/>
          <w:color w:val="auto"/>
          <w:sz w:val="21"/>
          <w:szCs w:val="21"/>
        </w:rPr>
      </w:pPr>
      <w:r>
        <w:rPr>
          <w:rFonts w:ascii="Arial" w:hAnsi="Arial"/>
          <w:color w:val="auto"/>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color w:val="auto"/>
          <w:sz w:val="21"/>
          <w:szCs w:val="21"/>
        </w:rPr>
        <w:t>3</w:t>
      </w:r>
      <w:r>
        <w:rPr>
          <w:rFonts w:ascii="Arial" w:hAnsi="Arial"/>
          <w:color w:val="auto"/>
          <w:sz w:val="21"/>
          <w:szCs w:val="21"/>
        </w:rPr>
        <w:t>个可比案例的比准价格的简单算术平均值作为项目</w:t>
      </w:r>
      <w:r>
        <w:rPr>
          <w:rFonts w:hint="eastAsia" w:ascii="Arial" w:hAnsi="Arial"/>
          <w:color w:val="auto"/>
          <w:sz w:val="21"/>
          <w:szCs w:val="21"/>
        </w:rPr>
        <w:t>典型户型</w:t>
      </w:r>
      <w:r>
        <w:rPr>
          <w:rFonts w:ascii="Arial" w:hAnsi="Arial"/>
          <w:color w:val="auto"/>
          <w:sz w:val="21"/>
          <w:szCs w:val="21"/>
        </w:rPr>
        <w:t>的评估价格</w:t>
      </w:r>
      <w:r>
        <w:rPr>
          <w:rFonts w:hint="eastAsia" w:ascii="Arial" w:hAnsi="Arial"/>
          <w:color w:val="auto"/>
          <w:sz w:val="21"/>
          <w:szCs w:val="21"/>
        </w:rPr>
        <w:t>。</w:t>
      </w:r>
    </w:p>
    <w:p w14:paraId="56F3F6E0">
      <w:pPr>
        <w:wordWrap w:val="0"/>
        <w:overflowPunct w:val="0"/>
        <w:spacing w:line="480" w:lineRule="auto"/>
        <w:ind w:firstLine="420" w:firstLineChars="200"/>
        <w:rPr>
          <w:rFonts w:ascii="Arial" w:hAnsi="Arial"/>
          <w:color w:val="auto"/>
          <w:sz w:val="21"/>
          <w:szCs w:val="21"/>
        </w:rPr>
      </w:pPr>
      <w:r>
        <w:rPr>
          <w:rFonts w:hint="eastAsia" w:ascii="Arial" w:hAnsi="Arial"/>
          <w:color w:val="auto"/>
          <w:sz w:val="21"/>
          <w:szCs w:val="21"/>
        </w:rPr>
        <w:t>即：标准房</w:t>
      </w:r>
      <w:r>
        <w:rPr>
          <w:rFonts w:ascii="Arial" w:hAnsi="Arial"/>
          <w:color w:val="auto"/>
          <w:sz w:val="21"/>
          <w:szCs w:val="21"/>
        </w:rPr>
        <w:t>3</w:t>
      </w:r>
      <w:r>
        <w:rPr>
          <w:rFonts w:hint="eastAsia" w:ascii="Arial" w:hAnsi="Arial"/>
          <w:bCs/>
          <w:color w:val="auto"/>
          <w:sz w:val="21"/>
        </w:rPr>
        <w:t>市场租赁住房租金</w:t>
      </w:r>
      <w:r>
        <w:rPr>
          <w:rFonts w:hint="eastAsia" w:ascii="Arial" w:hAnsi="Arial"/>
          <w:color w:val="auto"/>
          <w:sz w:val="21"/>
          <w:szCs w:val="21"/>
        </w:rPr>
        <w:t>＝（11.99+15.24+16.32）÷</w:t>
      </w:r>
      <w:r>
        <w:rPr>
          <w:rFonts w:ascii="Arial" w:hAnsi="Arial"/>
          <w:color w:val="auto"/>
          <w:sz w:val="21"/>
          <w:szCs w:val="21"/>
        </w:rPr>
        <w:t>3</w:t>
      </w:r>
      <w:r>
        <w:rPr>
          <w:rFonts w:hint="eastAsia" w:ascii="Arial" w:hAnsi="Arial"/>
          <w:color w:val="auto"/>
          <w:sz w:val="21"/>
          <w:szCs w:val="21"/>
        </w:rPr>
        <w:t>+1.56</w:t>
      </w:r>
    </w:p>
    <w:p w14:paraId="6852CEE8">
      <w:pPr>
        <w:wordWrap w:val="0"/>
        <w:overflowPunct w:val="0"/>
        <w:spacing w:line="480" w:lineRule="auto"/>
        <w:ind w:firstLine="420" w:firstLineChars="200"/>
        <w:rPr>
          <w:rFonts w:ascii="Arial" w:hAnsi="Arial"/>
          <w:color w:val="auto"/>
          <w:sz w:val="21"/>
          <w:szCs w:val="21"/>
        </w:rPr>
      </w:pPr>
      <w:r>
        <w:rPr>
          <w:rFonts w:ascii="Arial" w:hAnsi="Arial"/>
          <w:color w:val="auto"/>
          <w:sz w:val="21"/>
          <w:szCs w:val="21"/>
        </w:rPr>
        <w:t xml:space="preserve">                            </w:t>
      </w:r>
      <w:r>
        <w:rPr>
          <w:rFonts w:hint="eastAsia" w:ascii="Arial" w:hAnsi="Arial"/>
          <w:color w:val="auto"/>
          <w:sz w:val="21"/>
          <w:szCs w:val="21"/>
        </w:rPr>
        <w:t>＝14.58+1.56</w:t>
      </w:r>
    </w:p>
    <w:p w14:paraId="4BD88AD3">
      <w:pPr>
        <w:wordWrap w:val="0"/>
        <w:overflowPunct w:val="0"/>
        <w:spacing w:line="480" w:lineRule="auto"/>
        <w:ind w:firstLine="3360" w:firstLineChars="1600"/>
        <w:rPr>
          <w:rFonts w:hint="eastAsia" w:ascii="宋体" w:hAnsi="宋体"/>
          <w:color w:val="auto"/>
          <w:sz w:val="21"/>
          <w:szCs w:val="21"/>
        </w:rPr>
      </w:pPr>
      <w:r>
        <w:rPr>
          <w:rFonts w:hint="eastAsia" w:ascii="Arial" w:hAnsi="Arial"/>
          <w:color w:val="auto"/>
          <w:sz w:val="21"/>
          <w:szCs w:val="21"/>
        </w:rPr>
        <w:t>＝16.14（元/平方米·月）</w:t>
      </w:r>
      <w:r>
        <w:rPr>
          <w:rFonts w:hint="eastAsia" w:ascii="宋体" w:hAnsi="宋体"/>
          <w:color w:val="auto"/>
          <w:sz w:val="21"/>
          <w:szCs w:val="21"/>
        </w:rPr>
        <w:t>（含物业费、不含取暖费）</w:t>
      </w:r>
    </w:p>
    <w:p w14:paraId="4D5293BF">
      <w:pPr>
        <w:wordWrap w:val="0"/>
        <w:overflowPunct w:val="0"/>
        <w:spacing w:line="480" w:lineRule="auto"/>
        <w:ind w:firstLine="420" w:firstLineChars="200"/>
        <w:rPr>
          <w:color w:val="auto"/>
          <w:kern w:val="2"/>
          <w:sz w:val="21"/>
          <w:szCs w:val="21"/>
        </w:rPr>
      </w:pPr>
      <w:bookmarkStart w:id="72" w:name="_Toc525655441"/>
      <w:bookmarkStart w:id="73" w:name="_Toc155267108"/>
    </w:p>
    <w:p w14:paraId="73FAF115">
      <w:pPr>
        <w:pStyle w:val="3"/>
        <w:numPr>
          <w:ilvl w:val="0"/>
          <w:numId w:val="0"/>
        </w:numPr>
        <w:spacing w:line="480" w:lineRule="auto"/>
        <w:ind w:left="358" w:hanging="358" w:hangingChars="170"/>
        <w:jc w:val="both"/>
        <w:rPr>
          <w:rFonts w:eastAsia="宋体"/>
          <w:color w:val="auto"/>
          <w:kern w:val="2"/>
          <w:sz w:val="21"/>
          <w:szCs w:val="21"/>
        </w:rPr>
      </w:pPr>
      <w:r>
        <w:rPr>
          <w:rFonts w:eastAsia="宋体"/>
          <w:color w:val="auto"/>
          <w:kern w:val="2"/>
          <w:sz w:val="21"/>
          <w:szCs w:val="21"/>
        </w:rPr>
        <w:t>六、估价结果确定</w:t>
      </w:r>
      <w:bookmarkEnd w:id="72"/>
      <w:bookmarkEnd w:id="73"/>
    </w:p>
    <w:p w14:paraId="7CFFA5A4">
      <w:pPr>
        <w:overflowPunct w:val="0"/>
        <w:spacing w:line="480" w:lineRule="auto"/>
        <w:ind w:firstLine="420" w:firstLineChars="200"/>
        <w:jc w:val="both"/>
        <w:textAlignment w:val="auto"/>
        <w:rPr>
          <w:rFonts w:ascii="Arial" w:hAnsi="Arial" w:cs="Arial"/>
          <w:color w:val="auto"/>
          <w:sz w:val="21"/>
          <w:szCs w:val="21"/>
        </w:rPr>
      </w:pPr>
      <w:r>
        <w:rPr>
          <w:rFonts w:ascii="Arial" w:hAnsi="Arial" w:cs="Arial"/>
          <w:color w:val="auto"/>
          <w:sz w:val="21"/>
          <w:szCs w:val="21"/>
        </w:rPr>
        <w:t>评估专业人员根据估价的目的，</w:t>
      </w:r>
      <w:r>
        <w:rPr>
          <w:rFonts w:hint="eastAsia" w:ascii="Arial" w:hAnsi="Arial" w:cs="Arial"/>
          <w:color w:val="auto"/>
          <w:sz w:val="21"/>
          <w:szCs w:val="21"/>
        </w:rPr>
        <w:t>遵循估价原则，</w:t>
      </w:r>
      <w:r>
        <w:rPr>
          <w:rFonts w:ascii="Arial" w:hAnsi="Arial" w:cs="Arial"/>
          <w:color w:val="auto"/>
          <w:sz w:val="21"/>
          <w:szCs w:val="21"/>
        </w:rPr>
        <w:t>按照估价的程序，采用科学的估价方法，在认真分析现有资料的基础上，通过仔细测算和认真分析各种影响房地产</w:t>
      </w:r>
      <w:r>
        <w:rPr>
          <w:rFonts w:hint="eastAsia" w:ascii="Arial" w:hAnsi="Arial" w:cs="Arial"/>
          <w:color w:val="auto"/>
          <w:sz w:val="21"/>
          <w:szCs w:val="21"/>
        </w:rPr>
        <w:t>租赁</w:t>
      </w:r>
      <w:r>
        <w:rPr>
          <w:rFonts w:ascii="Arial" w:hAnsi="Arial" w:cs="Arial"/>
          <w:color w:val="auto"/>
          <w:sz w:val="21"/>
          <w:szCs w:val="21"/>
        </w:rPr>
        <w:t>价格的因素，</w:t>
      </w:r>
      <w:r>
        <w:rPr>
          <w:rFonts w:hint="eastAsia" w:ascii="Arial" w:hAnsi="Arial" w:cs="Arial"/>
          <w:color w:val="auto"/>
          <w:sz w:val="21"/>
          <w:szCs w:val="21"/>
        </w:rPr>
        <w:t>最终</w:t>
      </w:r>
      <w:r>
        <w:rPr>
          <w:rFonts w:ascii="Arial" w:hAnsi="Arial" w:cs="Arial"/>
          <w:color w:val="auto"/>
          <w:sz w:val="21"/>
          <w:szCs w:val="21"/>
        </w:rPr>
        <w:t>确定</w:t>
      </w:r>
      <w:r>
        <w:rPr>
          <w:rFonts w:hint="eastAsia" w:ascii="Arial" w:hAnsi="Arial" w:cs="Arial"/>
          <w:color w:val="auto"/>
          <w:sz w:val="21"/>
          <w:szCs w:val="21"/>
        </w:rPr>
        <w:t>项目于价值时点2025年12月26日同地段、同品质市场租赁住房租金为：</w:t>
      </w:r>
    </w:p>
    <w:p w14:paraId="76827DE2">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一居室（52.63-69.91</w:t>
      </w:r>
      <w:r>
        <w:rPr>
          <w:rFonts w:ascii="Arial" w:hAnsi="Arial" w:cs="Arial"/>
          <w:b/>
          <w:bCs/>
          <w:color w:val="auto"/>
          <w:sz w:val="21"/>
          <w:szCs w:val="21"/>
        </w:rPr>
        <w:t>平方米）</w:t>
      </w:r>
      <w:r>
        <w:rPr>
          <w:rFonts w:hint="eastAsia" w:ascii="Arial" w:hAnsi="Arial" w:cs="Arial"/>
          <w:b/>
          <w:bCs/>
          <w:color w:val="auto"/>
          <w:sz w:val="21"/>
          <w:szCs w:val="21"/>
        </w:rPr>
        <w:t>：21.46元/平方米·月</w:t>
      </w:r>
    </w:p>
    <w:p w14:paraId="07244A4E">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两居室（72.82-88.38</w:t>
      </w:r>
      <w:r>
        <w:rPr>
          <w:rFonts w:ascii="Arial" w:hAnsi="Arial" w:cs="Arial"/>
          <w:b/>
          <w:bCs/>
          <w:color w:val="auto"/>
          <w:sz w:val="21"/>
          <w:szCs w:val="21"/>
        </w:rPr>
        <w:t>平方米）</w:t>
      </w:r>
      <w:r>
        <w:rPr>
          <w:rFonts w:hint="eastAsia" w:ascii="Arial" w:hAnsi="Arial" w:cs="Arial"/>
          <w:b/>
          <w:bCs/>
          <w:color w:val="auto"/>
          <w:sz w:val="21"/>
          <w:szCs w:val="21"/>
        </w:rPr>
        <w:t>：17.28元/平方米·月</w:t>
      </w:r>
    </w:p>
    <w:p w14:paraId="164347EA">
      <w:pPr>
        <w:overflowPunct w:val="0"/>
        <w:spacing w:line="480" w:lineRule="auto"/>
        <w:ind w:firstLine="422" w:firstLineChars="200"/>
        <w:jc w:val="both"/>
        <w:textAlignment w:val="auto"/>
        <w:rPr>
          <w:rFonts w:ascii="Arial" w:hAnsi="Arial" w:cs="Arial"/>
          <w:b/>
          <w:bCs/>
          <w:color w:val="auto"/>
          <w:sz w:val="21"/>
          <w:szCs w:val="21"/>
        </w:rPr>
      </w:pPr>
      <w:r>
        <w:rPr>
          <w:rFonts w:hint="eastAsia" w:ascii="Arial" w:hAnsi="Arial" w:cs="Arial"/>
          <w:b/>
          <w:bCs/>
          <w:color w:val="auto"/>
          <w:sz w:val="21"/>
          <w:szCs w:val="21"/>
        </w:rPr>
        <w:t>三居室（90.99-129.32</w:t>
      </w:r>
      <w:r>
        <w:rPr>
          <w:rFonts w:ascii="Arial" w:hAnsi="Arial" w:cs="Arial"/>
          <w:b/>
          <w:bCs/>
          <w:color w:val="auto"/>
          <w:sz w:val="21"/>
          <w:szCs w:val="21"/>
        </w:rPr>
        <w:t>平方米</w:t>
      </w:r>
      <w:r>
        <w:rPr>
          <w:rFonts w:hint="eastAsia" w:ascii="Arial" w:hAnsi="Arial" w:cs="Arial"/>
          <w:b/>
          <w:bCs/>
          <w:color w:val="auto"/>
          <w:sz w:val="21"/>
          <w:szCs w:val="21"/>
        </w:rPr>
        <w:t>）：16.14元/平方米·月</w:t>
      </w:r>
    </w:p>
    <w:p w14:paraId="2E2A8A9D">
      <w:pPr>
        <w:overflowPunct w:val="0"/>
        <w:spacing w:line="480" w:lineRule="auto"/>
        <w:ind w:firstLine="360" w:firstLineChars="200"/>
        <w:jc w:val="both"/>
        <w:textAlignment w:val="auto"/>
        <w:rPr>
          <w:rFonts w:ascii="Arial" w:hAnsi="Arial" w:cs="Arial"/>
          <w:color w:val="auto"/>
          <w:sz w:val="18"/>
          <w:szCs w:val="18"/>
        </w:rPr>
      </w:pPr>
      <w:r>
        <w:rPr>
          <w:rFonts w:ascii="Arial" w:hAnsi="Arial" w:cs="Arial"/>
          <w:color w:val="auto"/>
          <w:sz w:val="18"/>
          <w:szCs w:val="18"/>
        </w:rPr>
        <w:t>注：1、</w:t>
      </w:r>
      <w:r>
        <w:rPr>
          <w:rFonts w:hint="eastAsia" w:ascii="Arial" w:hAnsi="Arial" w:cs="Arial"/>
          <w:color w:val="auto"/>
          <w:sz w:val="18"/>
          <w:szCs w:val="18"/>
        </w:rPr>
        <w:t>评估的详细结果、过程及有关说明，详见《估价结果报告》、《估价技术报告》。</w:t>
      </w:r>
    </w:p>
    <w:p w14:paraId="31148220">
      <w:pPr>
        <w:overflowPunct w:val="0"/>
        <w:spacing w:line="480" w:lineRule="auto"/>
        <w:ind w:left="720" w:leftChars="150" w:hanging="360" w:hangingChars="200"/>
        <w:jc w:val="both"/>
        <w:textAlignment w:val="auto"/>
        <w:rPr>
          <w:rFonts w:ascii="Arial" w:hAnsi="Arial" w:cs="Arial"/>
          <w:color w:val="auto"/>
          <w:sz w:val="18"/>
          <w:szCs w:val="18"/>
        </w:rPr>
      </w:pPr>
      <w:r>
        <w:rPr>
          <w:rFonts w:ascii="Arial" w:hAnsi="Arial" w:cs="Arial"/>
          <w:color w:val="auto"/>
          <w:sz w:val="18"/>
          <w:szCs w:val="18"/>
        </w:rPr>
        <w:t xml:space="preserve">    </w:t>
      </w:r>
      <w:r>
        <w:rPr>
          <w:rFonts w:hint="eastAsia" w:ascii="Arial" w:hAnsi="Arial" w:cs="Arial"/>
          <w:color w:val="auto"/>
          <w:sz w:val="18"/>
          <w:szCs w:val="18"/>
        </w:rPr>
        <w:t>2</w:t>
      </w:r>
      <w:r>
        <w:rPr>
          <w:rFonts w:ascii="Arial" w:hAnsi="Arial" w:cs="Arial"/>
          <w:color w:val="auto"/>
          <w:sz w:val="18"/>
          <w:szCs w:val="18"/>
        </w:rPr>
        <w:t>、</w:t>
      </w:r>
      <w:r>
        <w:rPr>
          <w:rFonts w:hint="eastAsia" w:ascii="Arial" w:hAnsi="Arial" w:cs="Arial"/>
          <w:color w:val="auto"/>
          <w:sz w:val="18"/>
          <w:szCs w:val="18"/>
        </w:rPr>
        <w:t>市场租赁住房租金是指市场租赁住房于价值时点在公开市场上的平均租金，包含房屋、家具家电使用费、物业费及租赁税费，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7AD0DE56">
      <w:pPr>
        <w:overflowPunct w:val="0"/>
        <w:spacing w:line="480" w:lineRule="auto"/>
        <w:ind w:left="720" w:leftChars="150" w:hanging="360" w:hangingChars="200"/>
        <w:jc w:val="both"/>
        <w:textAlignment w:val="auto"/>
        <w:rPr>
          <w:rFonts w:ascii="Arial" w:hAnsi="Arial" w:cs="Arial"/>
          <w:color w:val="auto"/>
          <w:sz w:val="18"/>
          <w:szCs w:val="18"/>
        </w:rPr>
        <w:sectPr>
          <w:headerReference r:id="rId24" w:type="first"/>
          <w:headerReference r:id="rId22" w:type="default"/>
          <w:headerReference r:id="rId23" w:type="even"/>
          <w:pgSz w:w="11907" w:h="16840"/>
          <w:pgMar w:top="1843" w:right="1134" w:bottom="1134" w:left="1134" w:header="1134" w:footer="907" w:gutter="340"/>
          <w:cols w:space="720" w:num="1"/>
          <w:docGrid w:linePitch="326" w:charSpace="0"/>
        </w:sectPr>
      </w:pPr>
    </w:p>
    <w:p w14:paraId="39EE8BD8">
      <w:pPr>
        <w:overflowPunct w:val="0"/>
        <w:spacing w:line="480" w:lineRule="auto"/>
        <w:ind w:left="720" w:leftChars="150" w:hanging="360" w:hangingChars="200"/>
        <w:jc w:val="both"/>
        <w:textAlignment w:val="auto"/>
        <w:rPr>
          <w:rFonts w:ascii="Arial" w:hAnsi="Arial" w:cs="Arial"/>
          <w:color w:val="auto"/>
          <w:sz w:val="18"/>
          <w:szCs w:val="18"/>
        </w:rPr>
      </w:pPr>
    </w:p>
    <w:p w14:paraId="0F77A807">
      <w:pPr>
        <w:pStyle w:val="2"/>
        <w:spacing w:line="480" w:lineRule="auto"/>
        <w:jc w:val="center"/>
        <w:rPr>
          <w:rFonts w:eastAsia="方正黑体简体"/>
          <w:b w:val="0"/>
          <w:color w:val="auto"/>
          <w:kern w:val="2"/>
          <w:sz w:val="32"/>
          <w:szCs w:val="32"/>
        </w:rPr>
      </w:pPr>
      <w:bookmarkStart w:id="74" w:name="_Toc155267109"/>
      <w:r>
        <w:rPr>
          <w:rFonts w:hint="eastAsia" w:eastAsia="方正黑体简体"/>
          <w:b w:val="0"/>
          <w:color w:val="auto"/>
          <w:kern w:val="2"/>
          <w:sz w:val="32"/>
          <w:szCs w:val="32"/>
        </w:rPr>
        <w:t>附   件</w:t>
      </w:r>
      <w:bookmarkEnd w:id="74"/>
    </w:p>
    <w:p w14:paraId="7C75BDC0">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《估价委托书》复印件</w:t>
      </w:r>
    </w:p>
    <w:p w14:paraId="4BFD6B35">
      <w:pPr>
        <w:numPr>
          <w:ilvl w:val="0"/>
          <w:numId w:val="11"/>
        </w:numPr>
        <w:spacing w:line="360" w:lineRule="auto"/>
        <w:jc w:val="both"/>
        <w:rPr>
          <w:rFonts w:ascii="Arial" w:hAnsi="Arial" w:cs="Arial"/>
          <w:color w:val="auto"/>
          <w:sz w:val="21"/>
          <w:szCs w:val="21"/>
        </w:rPr>
      </w:pPr>
      <w:r>
        <w:rPr>
          <w:rFonts w:ascii="Arial" w:hAnsi="Arial" w:cs="Arial"/>
          <w:color w:val="auto"/>
          <w:sz w:val="21"/>
          <w:szCs w:val="21"/>
        </w:rPr>
        <w:t>估价对象所在位置示意图</w:t>
      </w:r>
    </w:p>
    <w:p w14:paraId="54069EDA">
      <w:pPr>
        <w:numPr>
          <w:ilvl w:val="0"/>
          <w:numId w:val="11"/>
        </w:numPr>
        <w:spacing w:line="360" w:lineRule="auto"/>
        <w:jc w:val="both"/>
        <w:rPr>
          <w:rFonts w:ascii="Arial" w:hAnsi="Arial" w:cs="Arial"/>
          <w:color w:val="auto"/>
          <w:sz w:val="21"/>
          <w:szCs w:val="21"/>
        </w:rPr>
      </w:pPr>
      <w:r>
        <w:rPr>
          <w:rFonts w:ascii="Arial" w:hAnsi="Arial" w:cs="Arial"/>
          <w:color w:val="auto"/>
          <w:sz w:val="21"/>
          <w:szCs w:val="21"/>
        </w:rPr>
        <w:t>估价对象</w:t>
      </w:r>
      <w:r>
        <w:rPr>
          <w:rFonts w:hint="eastAsia" w:ascii="Arial" w:hAnsi="Arial" w:cs="Arial"/>
          <w:color w:val="auto"/>
          <w:sz w:val="21"/>
          <w:szCs w:val="21"/>
        </w:rPr>
        <w:t>现状</w:t>
      </w:r>
      <w:r>
        <w:rPr>
          <w:rFonts w:ascii="Arial" w:hAnsi="Arial" w:cs="Arial"/>
          <w:color w:val="auto"/>
          <w:sz w:val="21"/>
          <w:szCs w:val="21"/>
        </w:rPr>
        <w:t>照片</w:t>
      </w:r>
    </w:p>
    <w:p w14:paraId="1D08FFCB">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《北京市大兴区发展和改革委员会 关于转发大兴区采育镇城镇中心区定向安置房项目核准批复的通知》[京兴发改转（2010）3号]及附件复印件</w:t>
      </w:r>
    </w:p>
    <w:p w14:paraId="7D49C61D">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《国有土地使用证》[京兴国用（2010）出第00133、00134、00135号]部分复印件</w:t>
      </w:r>
    </w:p>
    <w:p w14:paraId="12424FA8">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《北京市大兴区发展和改革委员会 关于转发大兴区采育镇区四号地01-0001A、B地块住宅混合公建用地、二类居住用地回迁安置房项目核准批复的通知》[京兴发改转（2012）27号]及附件复印件</w:t>
      </w:r>
    </w:p>
    <w:p w14:paraId="14F6A318">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《北京市大兴区采育镇四号地01-0001A、01-0001B地块项目开发回购协议书补充协议》[兴采01-0001协字（2012）001号附件1]复印件</w:t>
      </w:r>
    </w:p>
    <w:p w14:paraId="54DB98FF">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《北京市大兴区住房和城乡建设委员会 关于采育数字时尚小镇保障性住房使用管理有关问题的请示》[京兴建文（2025）123号]复印件</w:t>
      </w:r>
    </w:p>
    <w:p w14:paraId="07896135">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《北京市大兴区住房和城乡建设委员会 关于采育数字时尚小镇保障性住房相关事宜专题会会议纪要》复印件</w:t>
      </w:r>
    </w:p>
    <w:p w14:paraId="3C62D751">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》[X京房权证兴字第144437、144436、144435、144444、1444440、144439、144442、144443、144449、144445、144447、194022号]复印件</w:t>
      </w:r>
    </w:p>
    <w:p w14:paraId="36EB0695">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》[X京房权证兴字第100091、102139、102135、102136、102140、102137、102138、103831、102031、110683、110394、110393、110397、110396、110395、110392、110389号]复印件</w:t>
      </w:r>
    </w:p>
    <w:p w14:paraId="716858E5">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》[X京房权证兴字第103107、103825号]复印件</w:t>
      </w:r>
    </w:p>
    <w:p w14:paraId="4B273011">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w:t>
      </w:r>
      <w:r>
        <w:rPr>
          <w:rFonts w:hint="eastAsia" w:ascii="Arial" w:hAnsi="Arial" w:cs="Arial"/>
          <w:color w:val="auto"/>
          <w:sz w:val="21"/>
          <w:szCs w:val="21"/>
          <w:lang w:eastAsia="zh-CN"/>
        </w:rPr>
        <w:t>房屋所有权证</w:t>
      </w:r>
      <w:r>
        <w:rPr>
          <w:rFonts w:hint="eastAsia" w:ascii="Arial" w:hAnsi="Arial" w:cs="Arial"/>
          <w:color w:val="auto"/>
          <w:sz w:val="21"/>
          <w:szCs w:val="21"/>
        </w:rPr>
        <w:t>》[X京房权证兴字第146943、146944、102030、100093、102028号]复印件</w:t>
      </w:r>
    </w:p>
    <w:p w14:paraId="396BE527">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《北京市房屋建筑和市政基础设施工程竣工验收备案表》[编号：1004大竣2012（建）0138号、1005大竣2012（建）0139号、1006大竣2012（建）0140号、1007大竣2012（建）0141号]复印件</w:t>
      </w:r>
    </w:p>
    <w:p w14:paraId="7B42CEFF">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《北京市房屋建筑和市政基础设施工程竣工验收备案表》[编号：0327大竣2014（建）0049号、0149大竣2014（建）0029号、0150大竣2014（建）0030号、0151大竣2014（建）0031号]复印件</w:t>
      </w:r>
    </w:p>
    <w:p w14:paraId="4D0C17EE">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《采育数字时尚小镇保障性住房趸组协议》及其附件复印件</w:t>
      </w:r>
    </w:p>
    <w:p w14:paraId="63FED2B6">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估价委托人《营业执照（副本）》复印件</w:t>
      </w:r>
    </w:p>
    <w:p w14:paraId="41E6745F">
      <w:pPr>
        <w:numPr>
          <w:ilvl w:val="0"/>
          <w:numId w:val="11"/>
        </w:numPr>
        <w:spacing w:line="360" w:lineRule="auto"/>
        <w:jc w:val="both"/>
        <w:rPr>
          <w:rFonts w:ascii="Arial" w:hAnsi="Arial" w:cs="Arial"/>
          <w:color w:val="auto"/>
          <w:sz w:val="21"/>
          <w:szCs w:val="21"/>
        </w:rPr>
      </w:pPr>
      <w:r>
        <w:rPr>
          <w:rFonts w:ascii="Arial" w:hAnsi="Arial" w:cs="Arial"/>
          <w:color w:val="auto"/>
          <w:sz w:val="21"/>
          <w:szCs w:val="21"/>
        </w:rPr>
        <w:t>房地产估价机构《营业执照（副本）》复印件</w:t>
      </w:r>
    </w:p>
    <w:p w14:paraId="410B3BB3">
      <w:pPr>
        <w:numPr>
          <w:ilvl w:val="0"/>
          <w:numId w:val="11"/>
        </w:numPr>
        <w:spacing w:line="360" w:lineRule="auto"/>
        <w:jc w:val="both"/>
        <w:rPr>
          <w:rFonts w:ascii="Arial" w:hAnsi="Arial" w:cs="Arial"/>
          <w:color w:val="auto"/>
          <w:sz w:val="21"/>
          <w:szCs w:val="21"/>
        </w:rPr>
      </w:pPr>
      <w:r>
        <w:rPr>
          <w:rFonts w:ascii="Arial" w:hAnsi="Arial" w:cs="Arial"/>
          <w:color w:val="auto"/>
          <w:sz w:val="21"/>
          <w:szCs w:val="21"/>
        </w:rPr>
        <w:t>房地产估价机构资质证书复印件</w:t>
      </w:r>
    </w:p>
    <w:p w14:paraId="66FE1E0A">
      <w:pPr>
        <w:numPr>
          <w:ilvl w:val="0"/>
          <w:numId w:val="11"/>
        </w:numPr>
        <w:spacing w:line="360" w:lineRule="auto"/>
        <w:jc w:val="both"/>
        <w:rPr>
          <w:rFonts w:ascii="Arial" w:hAnsi="Arial" w:cs="Arial"/>
          <w:color w:val="auto"/>
          <w:sz w:val="21"/>
          <w:szCs w:val="21"/>
        </w:rPr>
      </w:pPr>
      <w:r>
        <w:rPr>
          <w:rFonts w:hint="eastAsia" w:ascii="Arial" w:hAnsi="Arial" w:cs="Arial"/>
          <w:color w:val="auto"/>
          <w:sz w:val="21"/>
          <w:szCs w:val="21"/>
        </w:rPr>
        <w:t>评估专业人员</w:t>
      </w:r>
      <w:r>
        <w:rPr>
          <w:rFonts w:ascii="Arial" w:hAnsi="Arial" w:cs="Arial"/>
          <w:color w:val="auto"/>
          <w:sz w:val="21"/>
          <w:szCs w:val="21"/>
        </w:rPr>
        <w:t>执业证书复印件</w:t>
      </w:r>
    </w:p>
    <w:sectPr>
      <w:pgSz w:w="11907" w:h="16840"/>
      <w:pgMar w:top="1843" w:right="1134" w:bottom="1134" w:left="1134" w:header="1134" w:footer="907"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3000509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KSOFF9CC612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B19D8">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44B5E">
    <w:pPr>
      <w:pStyle w:val="21"/>
      <w:framePr w:wrap="around" w:vAnchor="text" w:hAnchor="margin" w:xAlign="center" w:y="1"/>
      <w:rPr>
        <w:rStyle w:val="37"/>
      </w:rPr>
    </w:pPr>
    <w:r>
      <w:fldChar w:fldCharType="begin"/>
    </w:r>
    <w:r>
      <w:rPr>
        <w:rStyle w:val="37"/>
      </w:rPr>
      <w:instrText xml:space="preserve">PAGE  </w:instrText>
    </w:r>
    <w:r>
      <w:fldChar w:fldCharType="end"/>
    </w:r>
  </w:p>
  <w:p w14:paraId="1F0C4ADD">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96868">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8A446">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F32C61B">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70190">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C55F">
    <w:pPr>
      <w:pStyle w:val="21"/>
      <w:framePr w:wrap="around" w:vAnchor="text" w:hAnchor="margin" w:xAlign="center" w:y="1"/>
      <w:rPr>
        <w:rStyle w:val="37"/>
      </w:rPr>
    </w:pPr>
    <w:r>
      <w:fldChar w:fldCharType="begin"/>
    </w:r>
    <w:r>
      <w:rPr>
        <w:rStyle w:val="37"/>
      </w:rPr>
      <w:instrText xml:space="preserve">PAGE  </w:instrText>
    </w:r>
    <w:r>
      <w:fldChar w:fldCharType="end"/>
    </w:r>
  </w:p>
  <w:p w14:paraId="30D8BB35">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967F5">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F0D48">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15F6">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3D473">
    <w:pPr>
      <w:pStyle w:val="22"/>
      <w:pBdr>
        <w:bottom w:val="none" w:color="auto" w:sz="0" w:space="0"/>
      </w:pBdr>
    </w:pPr>
    <w:bookmarkStart w:id="75" w:name="_Hlk154502003"/>
    <w:bookmarkStart w:id="76"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5"/>
    <w:bookmarkEnd w:id="76"/>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168F8">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18AD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76B85">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4C7FC">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9647">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12E0">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36052">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C4878">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A8B7">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DDE02">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0C1"/>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4F7845"/>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058"/>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5F7AA8"/>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3DD"/>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3B43"/>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21C"/>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67F1E"/>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96"/>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BC3"/>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4BAE"/>
    <w:rsid w:val="00FF6085"/>
    <w:rsid w:val="00FF6DC4"/>
    <w:rsid w:val="00FF706B"/>
    <w:rsid w:val="00FF7393"/>
    <w:rsid w:val="00FF7492"/>
    <w:rsid w:val="02225B04"/>
    <w:rsid w:val="0337738D"/>
    <w:rsid w:val="0376348B"/>
    <w:rsid w:val="04806B11"/>
    <w:rsid w:val="05015EA4"/>
    <w:rsid w:val="07944DAE"/>
    <w:rsid w:val="08053EFD"/>
    <w:rsid w:val="08F31CBC"/>
    <w:rsid w:val="09370DBB"/>
    <w:rsid w:val="0A2B71BE"/>
    <w:rsid w:val="0B550CF8"/>
    <w:rsid w:val="0BE91440"/>
    <w:rsid w:val="0BEF6A57"/>
    <w:rsid w:val="0C2A7A8F"/>
    <w:rsid w:val="0C957D9E"/>
    <w:rsid w:val="0C9E047D"/>
    <w:rsid w:val="0D587038"/>
    <w:rsid w:val="0DA87805"/>
    <w:rsid w:val="0F057A1D"/>
    <w:rsid w:val="0F362BEE"/>
    <w:rsid w:val="130927B2"/>
    <w:rsid w:val="13EB21F9"/>
    <w:rsid w:val="15160239"/>
    <w:rsid w:val="15C947BC"/>
    <w:rsid w:val="16B30054"/>
    <w:rsid w:val="18393F11"/>
    <w:rsid w:val="18BA03EC"/>
    <w:rsid w:val="19513DE9"/>
    <w:rsid w:val="19555CF5"/>
    <w:rsid w:val="19D43730"/>
    <w:rsid w:val="1A420699"/>
    <w:rsid w:val="1A562397"/>
    <w:rsid w:val="1AA255DC"/>
    <w:rsid w:val="1B446693"/>
    <w:rsid w:val="1BF9747E"/>
    <w:rsid w:val="1C5F6668"/>
    <w:rsid w:val="1D750D86"/>
    <w:rsid w:val="1E5A3F53"/>
    <w:rsid w:val="1E5B44E7"/>
    <w:rsid w:val="1EDF6D30"/>
    <w:rsid w:val="1F6C10DE"/>
    <w:rsid w:val="20EC5803"/>
    <w:rsid w:val="210D0C83"/>
    <w:rsid w:val="238E0DF3"/>
    <w:rsid w:val="23902475"/>
    <w:rsid w:val="248F5924"/>
    <w:rsid w:val="24D942F0"/>
    <w:rsid w:val="25B35AF5"/>
    <w:rsid w:val="26214108"/>
    <w:rsid w:val="26BE1474"/>
    <w:rsid w:val="26EA4592"/>
    <w:rsid w:val="26EB3E67"/>
    <w:rsid w:val="271E159B"/>
    <w:rsid w:val="279A4F13"/>
    <w:rsid w:val="28083CAF"/>
    <w:rsid w:val="28433F5A"/>
    <w:rsid w:val="28AF5856"/>
    <w:rsid w:val="29B33362"/>
    <w:rsid w:val="2A2B355E"/>
    <w:rsid w:val="2A557F75"/>
    <w:rsid w:val="2C1856FE"/>
    <w:rsid w:val="2C956D4E"/>
    <w:rsid w:val="2DAD00C8"/>
    <w:rsid w:val="303B19BB"/>
    <w:rsid w:val="305241D5"/>
    <w:rsid w:val="3150593A"/>
    <w:rsid w:val="315D3273"/>
    <w:rsid w:val="316D3DF6"/>
    <w:rsid w:val="317653A0"/>
    <w:rsid w:val="324266D0"/>
    <w:rsid w:val="32B9008D"/>
    <w:rsid w:val="32E75E2A"/>
    <w:rsid w:val="33F20F2A"/>
    <w:rsid w:val="35BF0856"/>
    <w:rsid w:val="37C4673A"/>
    <w:rsid w:val="392526A5"/>
    <w:rsid w:val="3A370C19"/>
    <w:rsid w:val="3ADE5D64"/>
    <w:rsid w:val="3B4E4C98"/>
    <w:rsid w:val="3BA819F4"/>
    <w:rsid w:val="3D1201AC"/>
    <w:rsid w:val="3D891FB8"/>
    <w:rsid w:val="3EB47508"/>
    <w:rsid w:val="3F19380F"/>
    <w:rsid w:val="3FDF6807"/>
    <w:rsid w:val="40471E5C"/>
    <w:rsid w:val="407F58F4"/>
    <w:rsid w:val="40F2256A"/>
    <w:rsid w:val="42F06635"/>
    <w:rsid w:val="43064E70"/>
    <w:rsid w:val="43EA39CC"/>
    <w:rsid w:val="43EF0FE2"/>
    <w:rsid w:val="43F82FDF"/>
    <w:rsid w:val="43FB7987"/>
    <w:rsid w:val="46C36F5E"/>
    <w:rsid w:val="47D236DF"/>
    <w:rsid w:val="47E04ECA"/>
    <w:rsid w:val="48CA281A"/>
    <w:rsid w:val="49975A5C"/>
    <w:rsid w:val="4A251E1B"/>
    <w:rsid w:val="4A4245CD"/>
    <w:rsid w:val="4A4F6337"/>
    <w:rsid w:val="4AE01685"/>
    <w:rsid w:val="4BE60F1D"/>
    <w:rsid w:val="4C013661"/>
    <w:rsid w:val="4C8311CB"/>
    <w:rsid w:val="4D6E221F"/>
    <w:rsid w:val="4DA16EA9"/>
    <w:rsid w:val="4DE41F8A"/>
    <w:rsid w:val="4E916F1E"/>
    <w:rsid w:val="4ECF5314"/>
    <w:rsid w:val="4EE01C53"/>
    <w:rsid w:val="4EE31744"/>
    <w:rsid w:val="4F710AFD"/>
    <w:rsid w:val="4F8A5A9D"/>
    <w:rsid w:val="505F14C7"/>
    <w:rsid w:val="518252DB"/>
    <w:rsid w:val="51EB2889"/>
    <w:rsid w:val="53D33B35"/>
    <w:rsid w:val="545C7FCE"/>
    <w:rsid w:val="55292E8A"/>
    <w:rsid w:val="55C72CD8"/>
    <w:rsid w:val="569267A7"/>
    <w:rsid w:val="573B1451"/>
    <w:rsid w:val="576F1263"/>
    <w:rsid w:val="578810DA"/>
    <w:rsid w:val="59985FA3"/>
    <w:rsid w:val="59B368E2"/>
    <w:rsid w:val="5A2F0E8B"/>
    <w:rsid w:val="5A70032F"/>
    <w:rsid w:val="5BC44840"/>
    <w:rsid w:val="5C14118E"/>
    <w:rsid w:val="5C311D40"/>
    <w:rsid w:val="5D465377"/>
    <w:rsid w:val="5D6E4482"/>
    <w:rsid w:val="5DCB699B"/>
    <w:rsid w:val="5F765739"/>
    <w:rsid w:val="5FD403BA"/>
    <w:rsid w:val="601B2AEB"/>
    <w:rsid w:val="60663E56"/>
    <w:rsid w:val="60F2109D"/>
    <w:rsid w:val="616E49ED"/>
    <w:rsid w:val="62044554"/>
    <w:rsid w:val="625C563D"/>
    <w:rsid w:val="635A354E"/>
    <w:rsid w:val="63A430D3"/>
    <w:rsid w:val="64DE1478"/>
    <w:rsid w:val="65F16A93"/>
    <w:rsid w:val="6697565C"/>
    <w:rsid w:val="66CC0FE3"/>
    <w:rsid w:val="67A4786A"/>
    <w:rsid w:val="67D16185"/>
    <w:rsid w:val="68555E3C"/>
    <w:rsid w:val="687938F3"/>
    <w:rsid w:val="698D5D2B"/>
    <w:rsid w:val="69A27DD9"/>
    <w:rsid w:val="6A0C33B6"/>
    <w:rsid w:val="6ABA2F28"/>
    <w:rsid w:val="6ABC4ECB"/>
    <w:rsid w:val="6AD46799"/>
    <w:rsid w:val="6ADB7A47"/>
    <w:rsid w:val="6AEF52A0"/>
    <w:rsid w:val="6B142F59"/>
    <w:rsid w:val="6B2E730F"/>
    <w:rsid w:val="6B4A24D7"/>
    <w:rsid w:val="6BE62696"/>
    <w:rsid w:val="6C08062F"/>
    <w:rsid w:val="6D0A63C2"/>
    <w:rsid w:val="6DBC76BD"/>
    <w:rsid w:val="6E5378F4"/>
    <w:rsid w:val="707149AA"/>
    <w:rsid w:val="70B56644"/>
    <w:rsid w:val="72037883"/>
    <w:rsid w:val="72542898"/>
    <w:rsid w:val="72DC7A37"/>
    <w:rsid w:val="72DE4054"/>
    <w:rsid w:val="72FC77E5"/>
    <w:rsid w:val="73221F8B"/>
    <w:rsid w:val="74507348"/>
    <w:rsid w:val="748C2BD9"/>
    <w:rsid w:val="74A215D5"/>
    <w:rsid w:val="74C50E20"/>
    <w:rsid w:val="769211D6"/>
    <w:rsid w:val="779E44BF"/>
    <w:rsid w:val="77A52A33"/>
    <w:rsid w:val="788A2AAC"/>
    <w:rsid w:val="79D74B7F"/>
    <w:rsid w:val="7A590988"/>
    <w:rsid w:val="7AFB1A3F"/>
    <w:rsid w:val="7C3945CD"/>
    <w:rsid w:val="7C43369E"/>
    <w:rsid w:val="7CB73744"/>
    <w:rsid w:val="7CD82038"/>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字符"/>
    <w:link w:val="2"/>
    <w:qFormat/>
    <w:uiPriority w:val="0"/>
    <w:rPr>
      <w:rFonts w:ascii="Arial" w:hAnsi="Arial" w:eastAsia="仿宋_GB2312" w:cs="Arial"/>
      <w:b/>
      <w:sz w:val="28"/>
    </w:rPr>
  </w:style>
  <w:style w:type="character" w:customStyle="1" w:styleId="69">
    <w:name w:val="标题 2 字符"/>
    <w:link w:val="3"/>
    <w:qFormat/>
    <w:uiPriority w:val="0"/>
    <w:rPr>
      <w:rFonts w:ascii="Arial" w:hAnsi="Arial" w:eastAsia="仿宋_GB2312" w:cs="Arial"/>
      <w:b/>
      <w:bCs/>
      <w:sz w:val="28"/>
    </w:rPr>
  </w:style>
  <w:style w:type="character" w:customStyle="1" w:styleId="70">
    <w:name w:val="标题 3 字符"/>
    <w:link w:val="4"/>
    <w:qFormat/>
    <w:uiPriority w:val="0"/>
    <w:rPr>
      <w:rFonts w:ascii="仿宋_GB2312" w:hAnsi="Arial" w:eastAsia="仿宋_GB2312" w:cs="Arial"/>
      <w:sz w:val="28"/>
    </w:rPr>
  </w:style>
  <w:style w:type="character" w:customStyle="1" w:styleId="71">
    <w:name w:val="标题 4 字符"/>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字符"/>
    <w:link w:val="12"/>
    <w:qFormat/>
    <w:uiPriority w:val="0"/>
    <w:rPr>
      <w:rFonts w:eastAsia="隶书"/>
      <w:sz w:val="52"/>
    </w:rPr>
  </w:style>
  <w:style w:type="character" w:customStyle="1" w:styleId="75">
    <w:name w:val="正文文本缩进 字符"/>
    <w:link w:val="13"/>
    <w:qFormat/>
    <w:uiPriority w:val="0"/>
    <w:rPr>
      <w:rFonts w:ascii="楷体_GB2312" w:eastAsia="楷体_GB2312"/>
      <w:kern w:val="2"/>
      <w:sz w:val="28"/>
    </w:rPr>
  </w:style>
  <w:style w:type="character" w:customStyle="1" w:styleId="76">
    <w:name w:val="纯文本 字符"/>
    <w:link w:val="16"/>
    <w:qFormat/>
    <w:uiPriority w:val="0"/>
    <w:rPr>
      <w:rFonts w:ascii="宋体" w:hAnsi="Courier New"/>
      <w:kern w:val="2"/>
      <w:sz w:val="21"/>
    </w:rPr>
  </w:style>
  <w:style w:type="character" w:customStyle="1" w:styleId="77">
    <w:name w:val="日期 字符"/>
    <w:link w:val="18"/>
    <w:qFormat/>
    <w:uiPriority w:val="0"/>
    <w:rPr>
      <w:rFonts w:ascii="楷体_GB2312" w:eastAsia="楷体_GB2312"/>
      <w:b/>
      <w:sz w:val="28"/>
    </w:rPr>
  </w:style>
  <w:style w:type="character" w:customStyle="1" w:styleId="78">
    <w:name w:val="正文文本缩进 2 字符"/>
    <w:link w:val="19"/>
    <w:qFormat/>
    <w:uiPriority w:val="0"/>
    <w:rPr>
      <w:rFonts w:ascii="楷体_GB2312" w:eastAsia="楷体_GB2312"/>
      <w:kern w:val="2"/>
      <w:sz w:val="28"/>
    </w:rPr>
  </w:style>
  <w:style w:type="character" w:customStyle="1" w:styleId="79">
    <w:name w:val="批注框文本 字符"/>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字符"/>
    <w:link w:val="26"/>
    <w:qFormat/>
    <w:uiPriority w:val="0"/>
    <w:rPr>
      <w:rFonts w:ascii="楷体_GB2312" w:eastAsia="楷体_GB2312"/>
      <w:kern w:val="2"/>
      <w:sz w:val="28"/>
    </w:rPr>
  </w:style>
  <w:style w:type="character" w:customStyle="1" w:styleId="83">
    <w:name w:val="正文文本 2 字符"/>
    <w:link w:val="29"/>
    <w:qFormat/>
    <w:uiPriority w:val="0"/>
    <w:rPr>
      <w:rFonts w:eastAsia="仿宋_GB2312"/>
      <w:sz w:val="28"/>
    </w:rPr>
  </w:style>
  <w:style w:type="character" w:customStyle="1" w:styleId="84">
    <w:name w:val="批注主题 字符"/>
    <w:link w:val="31"/>
    <w:semiHidden/>
    <w:qFormat/>
    <w:uiPriority w:val="0"/>
    <w:rPr>
      <w:b/>
      <w:bCs/>
      <w:sz w:val="24"/>
    </w:rPr>
  </w:style>
  <w:style w:type="character" w:customStyle="1" w:styleId="85">
    <w:name w:val="正文文本首行缩进 字符"/>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chart" Target="charts/chart1.xml"/><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footer" Target="footer6.xml"/><Relationship Id="rId20" Type="http://schemas.openxmlformats.org/officeDocument/2006/relationships/footer" Target="footer5.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6c35e09-555d-4622-80d0-27110baf2e84}"/>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4798</Words>
  <Characters>5545</Characters>
  <Lines>485</Lines>
  <Paragraphs>136</Paragraphs>
  <TotalTime>7</TotalTime>
  <ScaleCrop>false</ScaleCrop>
  <LinksUpToDate>false</LinksUpToDate>
  <CharactersWithSpaces>5598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2026-03-05T10:30:29Z</dcterms:modified>
  <dc:title>电 话：82253558  传真：82253565</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9FF73FF44DE74A68A792E4AAE66BCF85_13</vt:lpwstr>
  </property>
  <property fmtid="{D5CDD505-2E9C-101B-9397-08002B2CF9AE}" pid="4" name="KSOTemplateDocerSaveRecord">
    <vt:lpwstr>eyJoZGlkIjoiOTcwMTMwZTgwZjBhOWY5ZDIzMzA3YjZmYWI3ZGQ5NjUiLCJ1c2VySWQiOiIyMDkxMDc5NzUifQ==</vt:lpwstr>
  </property>
</Properties>
</file>