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39" w:rsidRDefault="00FA3B45" w:rsidP="00B87EAD">
      <w:pPr>
        <w:spacing w:after="100" w:afterAutospacing="1"/>
        <w:jc w:val="center"/>
        <w:rPr>
          <w:rFonts w:ascii="Arial" w:eastAsia="楷体_GB2312" w:hAnsi="Arial" w:cs="Times New Roman"/>
          <w:b/>
          <w:kern w:val="0"/>
          <w:sz w:val="36"/>
          <w:szCs w:val="36"/>
        </w:rPr>
      </w:pPr>
      <w:r w:rsidRPr="00FE3ABC">
        <w:rPr>
          <w:rFonts w:ascii="Arial" w:eastAsia="楷体_GB2312" w:hAnsi="Arial" w:cs="Times New Roman" w:hint="eastAsia"/>
          <w:b/>
          <w:kern w:val="0"/>
          <w:sz w:val="36"/>
          <w:szCs w:val="36"/>
        </w:rPr>
        <w:t>关于</w:t>
      </w:r>
      <w:r w:rsidR="008E2239" w:rsidRPr="008E2239">
        <w:rPr>
          <w:rFonts w:ascii="Arial" w:eastAsia="楷体_GB2312" w:hAnsi="Arial" w:cs="Times New Roman" w:hint="eastAsia"/>
          <w:b/>
          <w:kern w:val="0"/>
          <w:sz w:val="36"/>
          <w:szCs w:val="36"/>
        </w:rPr>
        <w:t>《恒丰银行股份有限公司</w:t>
      </w:r>
    </w:p>
    <w:p w:rsidR="00AB599C" w:rsidRPr="00FE3ABC" w:rsidRDefault="008E2239" w:rsidP="00B87EAD">
      <w:pPr>
        <w:spacing w:after="100" w:afterAutospacing="1"/>
        <w:jc w:val="center"/>
        <w:rPr>
          <w:rFonts w:ascii="Arial" w:eastAsia="楷体_GB2312" w:hAnsi="Arial" w:cs="Times New Roman"/>
          <w:b/>
          <w:kern w:val="0"/>
          <w:sz w:val="36"/>
          <w:szCs w:val="36"/>
        </w:rPr>
      </w:pPr>
      <w:r w:rsidRPr="008E2239">
        <w:rPr>
          <w:rFonts w:ascii="Arial" w:eastAsia="楷体_GB2312" w:hAnsi="Arial" w:cs="Times New Roman" w:hint="eastAsia"/>
          <w:b/>
          <w:kern w:val="0"/>
          <w:sz w:val="36"/>
          <w:szCs w:val="36"/>
        </w:rPr>
        <w:t>关于不动产估价报告书的意见》</w:t>
      </w:r>
      <w:r w:rsidR="00AA7353" w:rsidRPr="00FE3ABC">
        <w:rPr>
          <w:rFonts w:ascii="Arial" w:eastAsia="楷体_GB2312" w:hAnsi="Arial" w:cs="Times New Roman" w:hint="eastAsia"/>
          <w:b/>
          <w:kern w:val="0"/>
          <w:sz w:val="36"/>
          <w:szCs w:val="36"/>
        </w:rPr>
        <w:t>答复</w:t>
      </w:r>
    </w:p>
    <w:p w:rsidR="00FA3B45" w:rsidRPr="00FE3ABC" w:rsidRDefault="00C3228F" w:rsidP="00B87EAD">
      <w:pPr>
        <w:spacing w:beforeLines="100" w:before="312" w:line="276" w:lineRule="auto"/>
        <w:rPr>
          <w:rFonts w:ascii="Arial" w:eastAsia="楷体_GB2312" w:hAnsi="Arial" w:cs="Times New Roman"/>
          <w:b/>
          <w:kern w:val="0"/>
          <w:sz w:val="28"/>
          <w:szCs w:val="28"/>
        </w:rPr>
      </w:pPr>
      <w:r w:rsidRPr="00FE3ABC">
        <w:rPr>
          <w:rFonts w:ascii="Arial" w:eastAsia="楷体_GB2312" w:hAnsi="Arial" w:cs="Times New Roman" w:hint="eastAsia"/>
          <w:b/>
          <w:kern w:val="0"/>
          <w:sz w:val="28"/>
          <w:szCs w:val="28"/>
        </w:rPr>
        <w:t>济南铁路运输中级法院</w:t>
      </w:r>
      <w:r w:rsidR="009D1CED" w:rsidRPr="00FE3ABC">
        <w:rPr>
          <w:rFonts w:ascii="Arial" w:eastAsia="楷体_GB2312" w:hAnsi="Arial" w:cs="Times New Roman" w:hint="eastAsia"/>
          <w:b/>
          <w:kern w:val="0"/>
          <w:sz w:val="28"/>
          <w:szCs w:val="28"/>
        </w:rPr>
        <w:t>：</w:t>
      </w:r>
    </w:p>
    <w:p w:rsidR="006114C4" w:rsidRPr="00FE3ABC"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我公司于</w:t>
      </w:r>
      <w:r w:rsidR="00C3228F"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C3228F" w:rsidRPr="00FE3ABC">
        <w:rPr>
          <w:rFonts w:ascii="Arial" w:eastAsia="楷体_GB2312" w:hAnsi="Arial" w:cs="Times New Roman"/>
          <w:kern w:val="0"/>
          <w:sz w:val="28"/>
          <w:szCs w:val="28"/>
        </w:rPr>
        <w:t>8</w:t>
      </w:r>
      <w:r w:rsidR="006114C4" w:rsidRPr="00FE3ABC">
        <w:rPr>
          <w:rFonts w:ascii="Arial" w:eastAsia="楷体_GB2312" w:hAnsi="Arial" w:cs="Times New Roman" w:hint="eastAsia"/>
          <w:kern w:val="0"/>
          <w:sz w:val="28"/>
          <w:szCs w:val="28"/>
        </w:rPr>
        <w:t>月</w:t>
      </w:r>
      <w:r w:rsidR="00C3228F" w:rsidRPr="00FE3ABC">
        <w:rPr>
          <w:rFonts w:ascii="Arial" w:eastAsia="楷体_GB2312" w:hAnsi="Arial" w:cs="Times New Roman" w:hint="eastAsia"/>
          <w:kern w:val="0"/>
          <w:sz w:val="28"/>
          <w:szCs w:val="28"/>
        </w:rPr>
        <w:t>1</w:t>
      </w:r>
      <w:r w:rsidR="00C3228F" w:rsidRPr="00FE3ABC">
        <w:rPr>
          <w:rFonts w:ascii="Arial" w:eastAsia="楷体_GB2312" w:hAnsi="Arial" w:cs="Times New Roman"/>
          <w:kern w:val="0"/>
          <w:sz w:val="28"/>
          <w:szCs w:val="28"/>
        </w:rPr>
        <w:t>6</w:t>
      </w:r>
      <w:r w:rsidR="006114C4" w:rsidRPr="00FE3ABC">
        <w:rPr>
          <w:rFonts w:ascii="Arial" w:eastAsia="楷体_GB2312" w:hAnsi="Arial" w:cs="Times New Roman" w:hint="eastAsia"/>
          <w:kern w:val="0"/>
          <w:sz w:val="28"/>
          <w:szCs w:val="28"/>
        </w:rPr>
        <w:t>日受贵院委托对</w:t>
      </w:r>
      <w:r w:rsidR="00FE3ABC" w:rsidRPr="00FE3ABC">
        <w:rPr>
          <w:rFonts w:ascii="Arial" w:eastAsia="楷体_GB2312" w:hAnsi="Arial" w:cs="Times New Roman"/>
          <w:kern w:val="0"/>
          <w:sz w:val="28"/>
          <w:szCs w:val="28"/>
        </w:rPr>
        <w:t>北京市东城区朝阳门内大街</w:t>
      </w:r>
      <w:r w:rsidR="00FE3ABC" w:rsidRPr="00FE3ABC">
        <w:rPr>
          <w:rFonts w:ascii="Arial" w:eastAsia="楷体_GB2312" w:hAnsi="Arial" w:cs="Times New Roman"/>
          <w:kern w:val="0"/>
          <w:sz w:val="28"/>
          <w:szCs w:val="28"/>
        </w:rPr>
        <w:t>298</w:t>
      </w:r>
      <w:r w:rsidR="00FE3ABC" w:rsidRPr="00FE3ABC">
        <w:rPr>
          <w:rFonts w:ascii="Arial" w:eastAsia="楷体_GB2312" w:hAnsi="Arial" w:cs="Times New Roman"/>
          <w:kern w:val="0"/>
          <w:sz w:val="28"/>
          <w:szCs w:val="28"/>
        </w:rPr>
        <w:t>号盈地大厦商业、办公、地下车库用房房地产市场租金</w:t>
      </w:r>
      <w:r w:rsidR="00FE3ABC" w:rsidRPr="00FE3ABC">
        <w:rPr>
          <w:rFonts w:ascii="Arial" w:eastAsia="楷体_GB2312" w:hAnsi="Arial" w:cs="Times New Roman" w:hint="eastAsia"/>
          <w:kern w:val="0"/>
          <w:sz w:val="28"/>
          <w:szCs w:val="28"/>
        </w:rPr>
        <w:t>、</w:t>
      </w:r>
      <w:r w:rsidR="00FE3ABC" w:rsidRPr="00FE3ABC">
        <w:rPr>
          <w:rFonts w:ascii="Arial" w:eastAsia="楷体_GB2312" w:hAnsi="Arial" w:cs="Times New Roman" w:hint="eastAsia"/>
          <w:kern w:val="0"/>
          <w:sz w:val="28"/>
          <w:szCs w:val="28"/>
        </w:rPr>
        <w:t>2</w:t>
      </w:r>
      <w:r w:rsidR="00FE3ABC" w:rsidRPr="00FE3ABC">
        <w:rPr>
          <w:rFonts w:ascii="Arial" w:eastAsia="楷体_GB2312" w:hAnsi="Arial" w:cs="Times New Roman"/>
          <w:kern w:val="0"/>
          <w:sz w:val="28"/>
          <w:szCs w:val="28"/>
        </w:rPr>
        <w:t>020</w:t>
      </w:r>
      <w:r w:rsidR="00FE3ABC" w:rsidRPr="00FE3ABC">
        <w:rPr>
          <w:rFonts w:ascii="Arial" w:eastAsia="楷体_GB2312" w:hAnsi="Arial" w:cs="Times New Roman" w:hint="eastAsia"/>
          <w:kern w:val="0"/>
          <w:sz w:val="28"/>
          <w:szCs w:val="28"/>
        </w:rPr>
        <w:t>年</w:t>
      </w:r>
      <w:r w:rsidR="00FE3ABC" w:rsidRPr="00FE3ABC">
        <w:rPr>
          <w:rFonts w:ascii="Arial" w:eastAsia="楷体_GB2312" w:hAnsi="Arial" w:cs="Times New Roman" w:hint="eastAsia"/>
          <w:kern w:val="0"/>
          <w:sz w:val="28"/>
          <w:szCs w:val="28"/>
        </w:rPr>
        <w:t>1</w:t>
      </w:r>
      <w:r w:rsidR="00FE3ABC" w:rsidRPr="00FE3ABC">
        <w:rPr>
          <w:rFonts w:ascii="Arial" w:eastAsia="楷体_GB2312" w:hAnsi="Arial" w:cs="Times New Roman"/>
          <w:kern w:val="0"/>
          <w:sz w:val="28"/>
          <w:szCs w:val="28"/>
        </w:rPr>
        <w:t>2</w:t>
      </w:r>
      <w:r w:rsidR="00FE3ABC" w:rsidRPr="00FE3ABC">
        <w:rPr>
          <w:rFonts w:ascii="Arial" w:eastAsia="楷体_GB2312" w:hAnsi="Arial" w:cs="Times New Roman" w:hint="eastAsia"/>
          <w:kern w:val="0"/>
          <w:sz w:val="28"/>
          <w:szCs w:val="28"/>
        </w:rPr>
        <w:t>月</w:t>
      </w:r>
      <w:r w:rsidR="00FE3ABC" w:rsidRPr="00FE3ABC">
        <w:rPr>
          <w:rFonts w:ascii="Arial" w:eastAsia="楷体_GB2312" w:hAnsi="Arial" w:cs="Times New Roman" w:hint="eastAsia"/>
          <w:kern w:val="0"/>
          <w:sz w:val="28"/>
          <w:szCs w:val="28"/>
        </w:rPr>
        <w:t>1</w:t>
      </w:r>
      <w:r w:rsidR="00FE3ABC" w:rsidRPr="00FE3ABC">
        <w:rPr>
          <w:rFonts w:ascii="Arial" w:eastAsia="楷体_GB2312" w:hAnsi="Arial" w:cs="Times New Roman"/>
          <w:kern w:val="0"/>
          <w:sz w:val="28"/>
          <w:szCs w:val="28"/>
        </w:rPr>
        <w:t>5</w:t>
      </w:r>
      <w:r w:rsidR="00FE3ABC" w:rsidRPr="00FE3ABC">
        <w:rPr>
          <w:rFonts w:ascii="Arial" w:eastAsia="楷体_GB2312" w:hAnsi="Arial" w:cs="Times New Roman" w:hint="eastAsia"/>
          <w:kern w:val="0"/>
          <w:sz w:val="28"/>
          <w:szCs w:val="28"/>
        </w:rPr>
        <w:t>日的装修价值</w:t>
      </w:r>
      <w:r w:rsidR="006114C4" w:rsidRPr="00FE3ABC">
        <w:rPr>
          <w:rFonts w:ascii="Arial" w:eastAsia="楷体_GB2312" w:hAnsi="Arial" w:cs="Times New Roman" w:hint="eastAsia"/>
          <w:kern w:val="0"/>
          <w:sz w:val="28"/>
          <w:szCs w:val="28"/>
        </w:rPr>
        <w:t>进行评估，于</w:t>
      </w:r>
      <w:r w:rsidR="00FE3ABC"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6114C4" w:rsidRPr="00FE3ABC">
        <w:rPr>
          <w:rFonts w:ascii="Arial" w:eastAsia="楷体_GB2312" w:hAnsi="Arial" w:cs="Times New Roman" w:hint="eastAsia"/>
          <w:kern w:val="0"/>
          <w:sz w:val="28"/>
          <w:szCs w:val="28"/>
        </w:rPr>
        <w:t>1</w:t>
      </w:r>
      <w:r w:rsidR="00FE3ABC" w:rsidRPr="00FE3ABC">
        <w:rPr>
          <w:rFonts w:ascii="Arial" w:eastAsia="楷体_GB2312" w:hAnsi="Arial" w:cs="Times New Roman"/>
          <w:kern w:val="0"/>
          <w:sz w:val="28"/>
          <w:szCs w:val="28"/>
        </w:rPr>
        <w:t>0</w:t>
      </w:r>
      <w:r w:rsidR="006114C4" w:rsidRPr="00FE3ABC">
        <w:rPr>
          <w:rFonts w:ascii="Arial" w:eastAsia="楷体_GB2312" w:hAnsi="Arial" w:cs="Times New Roman" w:hint="eastAsia"/>
          <w:kern w:val="0"/>
          <w:sz w:val="28"/>
          <w:szCs w:val="28"/>
        </w:rPr>
        <w:t>月</w:t>
      </w:r>
      <w:r w:rsidR="00FE3ABC" w:rsidRPr="00FE3ABC">
        <w:rPr>
          <w:rFonts w:ascii="Arial" w:eastAsia="楷体_GB2312" w:hAnsi="Arial" w:cs="Times New Roman"/>
          <w:kern w:val="0"/>
          <w:sz w:val="28"/>
          <w:szCs w:val="28"/>
        </w:rPr>
        <w:t>28</w:t>
      </w:r>
      <w:r w:rsidR="006114C4" w:rsidRPr="00FE3ABC">
        <w:rPr>
          <w:rFonts w:ascii="Arial" w:eastAsia="楷体_GB2312" w:hAnsi="Arial" w:cs="Times New Roman" w:hint="eastAsia"/>
          <w:kern w:val="0"/>
          <w:sz w:val="28"/>
          <w:szCs w:val="28"/>
        </w:rPr>
        <w:t>日对估价对象进行实地查勘，于</w:t>
      </w:r>
      <w:r w:rsidR="00FE3ABC"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FE3ABC" w:rsidRPr="00FE3ABC">
        <w:rPr>
          <w:rFonts w:ascii="Arial" w:eastAsia="楷体_GB2312" w:hAnsi="Arial" w:cs="Times New Roman"/>
          <w:kern w:val="0"/>
          <w:sz w:val="28"/>
          <w:szCs w:val="28"/>
        </w:rPr>
        <w:t>12</w:t>
      </w:r>
      <w:r w:rsidR="006114C4" w:rsidRPr="00FE3ABC">
        <w:rPr>
          <w:rFonts w:ascii="Arial" w:eastAsia="楷体_GB2312" w:hAnsi="Arial" w:cs="Times New Roman" w:hint="eastAsia"/>
          <w:kern w:val="0"/>
          <w:sz w:val="28"/>
          <w:szCs w:val="28"/>
        </w:rPr>
        <w:t>月</w:t>
      </w:r>
      <w:r w:rsidR="00FE3ABC" w:rsidRPr="00FE3ABC">
        <w:rPr>
          <w:rFonts w:ascii="Arial" w:eastAsia="楷体_GB2312" w:hAnsi="Arial" w:cs="Times New Roman"/>
          <w:kern w:val="0"/>
          <w:sz w:val="28"/>
          <w:szCs w:val="28"/>
        </w:rPr>
        <w:t>30</w:t>
      </w:r>
      <w:r w:rsidR="006114C4" w:rsidRPr="00FE3ABC">
        <w:rPr>
          <w:rFonts w:ascii="Arial" w:eastAsia="楷体_GB2312" w:hAnsi="Arial" w:cs="Times New Roman" w:hint="eastAsia"/>
          <w:kern w:val="0"/>
          <w:sz w:val="28"/>
          <w:szCs w:val="28"/>
        </w:rPr>
        <w:t>日出具</w:t>
      </w:r>
      <w:r w:rsidR="00F34468" w:rsidRPr="00FE3ABC">
        <w:rPr>
          <w:rFonts w:ascii="Arial" w:eastAsia="楷体_GB2312" w:hAnsi="Arial" w:cs="Times New Roman" w:hint="eastAsia"/>
          <w:kern w:val="0"/>
          <w:sz w:val="28"/>
          <w:szCs w:val="28"/>
        </w:rPr>
        <w:t>评估</w:t>
      </w:r>
      <w:r w:rsidR="006114C4" w:rsidRPr="00FE3ABC">
        <w:rPr>
          <w:rFonts w:ascii="Arial" w:eastAsia="楷体_GB2312" w:hAnsi="Arial" w:cs="Times New Roman" w:hint="eastAsia"/>
          <w:kern w:val="0"/>
          <w:sz w:val="28"/>
          <w:szCs w:val="28"/>
        </w:rPr>
        <w:t>鉴定报告。</w:t>
      </w:r>
    </w:p>
    <w:p w:rsidR="00645E71" w:rsidRPr="00FE3ABC" w:rsidRDefault="00FE3ABC" w:rsidP="00FE3ABC">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kern w:val="0"/>
          <w:sz w:val="28"/>
          <w:szCs w:val="28"/>
        </w:rPr>
        <w:t>2022</w:t>
      </w:r>
      <w:r w:rsidR="001C7AA9" w:rsidRPr="00FE3ABC">
        <w:rPr>
          <w:rFonts w:ascii="Arial" w:eastAsia="楷体_GB2312" w:hAnsi="Arial" w:cs="Times New Roman" w:hint="eastAsia"/>
          <w:kern w:val="0"/>
          <w:sz w:val="28"/>
          <w:szCs w:val="28"/>
        </w:rPr>
        <w:t>年</w:t>
      </w:r>
      <w:r w:rsidRPr="00FE3ABC">
        <w:rPr>
          <w:rFonts w:ascii="Arial" w:eastAsia="楷体_GB2312" w:hAnsi="Arial" w:cs="Times New Roman"/>
          <w:kern w:val="0"/>
          <w:sz w:val="28"/>
          <w:szCs w:val="28"/>
        </w:rPr>
        <w:t>2</w:t>
      </w:r>
      <w:r w:rsidR="001C7AA9" w:rsidRPr="00FE3ABC">
        <w:rPr>
          <w:rFonts w:ascii="Arial" w:eastAsia="楷体_GB2312" w:hAnsi="Arial" w:cs="Times New Roman" w:hint="eastAsia"/>
          <w:kern w:val="0"/>
          <w:sz w:val="28"/>
          <w:szCs w:val="28"/>
        </w:rPr>
        <w:t>月</w:t>
      </w:r>
      <w:r w:rsidRPr="00FE3ABC">
        <w:rPr>
          <w:rFonts w:ascii="Arial" w:eastAsia="楷体_GB2312" w:hAnsi="Arial" w:cs="Times New Roman"/>
          <w:kern w:val="0"/>
          <w:sz w:val="28"/>
          <w:szCs w:val="28"/>
        </w:rPr>
        <w:t>9</w:t>
      </w:r>
      <w:r w:rsidR="001C7AA9" w:rsidRPr="00FE3ABC">
        <w:rPr>
          <w:rFonts w:ascii="Arial" w:eastAsia="楷体_GB2312" w:hAnsi="Arial" w:cs="Times New Roman" w:hint="eastAsia"/>
          <w:kern w:val="0"/>
          <w:sz w:val="28"/>
          <w:szCs w:val="28"/>
        </w:rPr>
        <w:t>日</w:t>
      </w:r>
      <w:r w:rsidR="006114C4" w:rsidRPr="00FE3ABC">
        <w:rPr>
          <w:rFonts w:ascii="Arial" w:eastAsia="楷体_GB2312" w:hAnsi="Arial" w:cs="Times New Roman" w:hint="eastAsia"/>
          <w:kern w:val="0"/>
          <w:sz w:val="28"/>
          <w:szCs w:val="28"/>
        </w:rPr>
        <w:t>，我公司</w:t>
      </w:r>
      <w:r w:rsidR="00BD25DC" w:rsidRPr="00FE3ABC">
        <w:rPr>
          <w:rFonts w:ascii="Arial" w:eastAsia="楷体_GB2312" w:hAnsi="Arial" w:cs="Times New Roman" w:hint="eastAsia"/>
          <w:kern w:val="0"/>
          <w:sz w:val="28"/>
          <w:szCs w:val="28"/>
        </w:rPr>
        <w:t>收到贵院</w:t>
      </w:r>
      <w:r w:rsidRPr="00FE3ABC">
        <w:rPr>
          <w:rFonts w:ascii="Arial" w:eastAsia="楷体_GB2312" w:hAnsi="Arial" w:cs="Times New Roman" w:hint="eastAsia"/>
          <w:kern w:val="0"/>
          <w:sz w:val="28"/>
          <w:szCs w:val="28"/>
        </w:rPr>
        <w:t>发来</w:t>
      </w:r>
      <w:r w:rsidR="006B02D4" w:rsidRPr="00FE3ABC">
        <w:rPr>
          <w:rFonts w:ascii="Arial" w:eastAsia="楷体_GB2312" w:hAnsi="Arial" w:cs="Times New Roman" w:hint="eastAsia"/>
          <w:kern w:val="0"/>
          <w:sz w:val="28"/>
          <w:szCs w:val="28"/>
        </w:rPr>
        <w:t>的</w:t>
      </w:r>
      <w:r w:rsidR="00BD25DC" w:rsidRPr="00FE3ABC">
        <w:rPr>
          <w:rFonts w:ascii="Arial" w:eastAsia="楷体_GB2312" w:hAnsi="Arial" w:cs="Times New Roman" w:hint="eastAsia"/>
          <w:kern w:val="0"/>
          <w:sz w:val="28"/>
          <w:szCs w:val="28"/>
        </w:rPr>
        <w:t>《</w:t>
      </w:r>
      <w:r w:rsidRPr="00FE3ABC">
        <w:rPr>
          <w:rFonts w:ascii="Arial" w:eastAsia="楷体_GB2312" w:hAnsi="Arial" w:cs="Times New Roman" w:hint="eastAsia"/>
          <w:kern w:val="0"/>
          <w:sz w:val="28"/>
          <w:szCs w:val="28"/>
        </w:rPr>
        <w:t>恒丰银行股份有限公司关于不动产估价报告书的意见</w:t>
      </w:r>
      <w:r w:rsidR="00BD25DC" w:rsidRPr="00FE3ABC">
        <w:rPr>
          <w:rFonts w:ascii="Arial" w:eastAsia="楷体_GB2312" w:hAnsi="Arial" w:cs="Times New Roman" w:hint="eastAsia"/>
          <w:kern w:val="0"/>
          <w:sz w:val="28"/>
          <w:szCs w:val="28"/>
        </w:rPr>
        <w:t>》</w:t>
      </w:r>
      <w:r w:rsidRPr="00FE3ABC">
        <w:rPr>
          <w:rFonts w:ascii="Arial" w:eastAsia="楷体_GB2312" w:hAnsi="Arial" w:cs="Times New Roman" w:hint="eastAsia"/>
          <w:kern w:val="0"/>
          <w:sz w:val="28"/>
          <w:szCs w:val="28"/>
        </w:rPr>
        <w:t>，恒丰银行股份有限公司对评估报告提出异议</w:t>
      </w:r>
      <w:r w:rsidR="008E2239">
        <w:rPr>
          <w:rFonts w:ascii="Arial" w:eastAsia="楷体_GB2312" w:hAnsi="Arial" w:cs="Times New Roman" w:hint="eastAsia"/>
          <w:kern w:val="0"/>
          <w:sz w:val="28"/>
          <w:szCs w:val="28"/>
        </w:rPr>
        <w:t>。</w:t>
      </w:r>
      <w:r w:rsidR="00BB7AD1" w:rsidRPr="00FE3ABC">
        <w:rPr>
          <w:rFonts w:ascii="Arial" w:eastAsia="楷体_GB2312" w:hAnsi="Arial" w:cs="Times New Roman" w:hint="eastAsia"/>
          <w:kern w:val="0"/>
          <w:sz w:val="28"/>
          <w:szCs w:val="28"/>
        </w:rPr>
        <w:t>现对异议答复如下：</w:t>
      </w:r>
    </w:p>
    <w:p w:rsidR="00FE3ABC" w:rsidRPr="00FE3ABC" w:rsidRDefault="00FE3ABC" w:rsidP="00FE3ABC">
      <w:pPr>
        <w:numPr>
          <w:ilvl w:val="0"/>
          <w:numId w:val="9"/>
        </w:numPr>
        <w:ind w:firstLineChars="200" w:firstLine="562"/>
        <w:rPr>
          <w:rFonts w:ascii="楷体_GB2312" w:eastAsia="楷体_GB2312" w:hAnsi="黑体-简" w:cs="黑体-简"/>
          <w:b/>
          <w:bCs/>
          <w:sz w:val="28"/>
          <w:szCs w:val="28"/>
        </w:rPr>
      </w:pPr>
      <w:r w:rsidRPr="00FE3ABC">
        <w:rPr>
          <w:rFonts w:ascii="楷体_GB2312" w:eastAsia="楷体_GB2312" w:hAnsi="黑体-简" w:cs="黑体-简" w:hint="eastAsia"/>
          <w:b/>
          <w:bCs/>
          <w:sz w:val="28"/>
          <w:szCs w:val="28"/>
        </w:rPr>
        <w:t>关于租金评估报告的质询意见</w:t>
      </w:r>
      <w:r>
        <w:rPr>
          <w:rFonts w:ascii="楷体_GB2312" w:eastAsia="楷体_GB2312" w:hAnsi="黑体-简" w:cs="黑体-简" w:hint="eastAsia"/>
          <w:b/>
          <w:bCs/>
          <w:sz w:val="28"/>
          <w:szCs w:val="28"/>
        </w:rPr>
        <w:t>的答复</w:t>
      </w:r>
    </w:p>
    <w:p w:rsidR="00FE3ABC" w:rsidRPr="00FE3ABC" w:rsidRDefault="00FE3ABC" w:rsidP="00FE3ABC">
      <w:pPr>
        <w:pStyle w:val="aa"/>
        <w:numPr>
          <w:ilvl w:val="0"/>
          <w:numId w:val="11"/>
        </w:numPr>
        <w:ind w:left="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评估报告采用了比较法和收益法两种评估方法，但未提供技术报告，无法判断比较法中选取可比案例的标准、修正过程、2017年至2020年租金价格变动幅度和依据，以及收益法参数的选取情况等，要求评估机构作进一步说明或提供技术报告。</w:t>
      </w:r>
    </w:p>
    <w:p w:rsidR="00FE3ABC" w:rsidRPr="00FE3ABC" w:rsidRDefault="00FE3ABC" w:rsidP="00FE3ABC">
      <w:pPr>
        <w:ind w:firstLineChars="200" w:firstLine="562"/>
        <w:jc w:val="left"/>
        <w:rPr>
          <w:rFonts w:ascii="楷体_GB2312" w:eastAsia="楷体_GB2312" w:hAnsi="仿宋" w:cs="仿宋"/>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估价报告分为估价结果报告和估价技术报告，估价结果报告是向估价委托人提供的，估价技术报告是机构存档并供行政管理部门核查备案及专家技术评审使用。</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关于选择案例的标准，我们在评估过程中对估价对象周边可比区域进行了详细分析，并且对各区域交易实例进行了搜集、整理、分析。</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盈地大厦所在的东四区域，距离朝阳门商圈、东单商圈约1.5公里，</w:t>
      </w:r>
      <w:r w:rsidRPr="00FE3ABC">
        <w:rPr>
          <w:rFonts w:ascii="楷体_GB2312" w:eastAsia="楷体_GB2312" w:hAnsi="仿宋" w:cs="仿宋" w:hint="eastAsia"/>
          <w:sz w:val="28"/>
          <w:szCs w:val="28"/>
        </w:rPr>
        <w:lastRenderedPageBreak/>
        <w:t>东四、东单、朝阳门商圈临主路状况、交通便捷度、配套设施完善度等条件具有较高的可比性。</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朝阳门商圈，横跨东二环朝阳门立交桥东西两侧。桥西侧朝阳门内大街，聚集中国银行北京分行所在的凯恒大厦（朝阳门SOHO一期）、朝阳门SOHO、银河SOHO、北京INN；桥东侧朝阳门外大街，聚集外交部大楼、丰联广场、联合大厦、泛利大厦、中国人寿大厦等，商业写字楼项目较多，入驻率高，办公集聚程度较好。</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从东直门到建国门的东二环沿线，是北京市甲级写字楼高度聚集的区域，聚集了中石化、中海油、中石化、五矿、中青旅、保利、华润、人保寿险、中粮集团等央企、国企的办公楼；聚集了农行北京分行、中行北京分行、中信银行、兴业银行等金融机构的办公楼，聚集了外交部、司法部、文化旅游部等部委的办公楼；以及北京来福士广场、东环广场、中汇广场、中银凯恒中心、银河SOHO、兆泰国际中心等商业写字楼高度聚集区域，商业写字楼项目多，入驻率高，办公集聚程度好。</w:t>
      </w:r>
    </w:p>
    <w:p w:rsidR="00DF2867"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东单商圈，位于东长安街与东单北大街的交汇处，聚集了中国农业银行总行、东方广场、民生金融中心、华夏银行等办公楼，办公集聚程度较好。</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东城区商业集中区域主要有前门大街、东单商业街、崇文门商业圈、东直门簋街、朝阳门银河SOHO、悠唐中心等，其他区域商业较分散，多为沿街商铺。</w:t>
      </w:r>
    </w:p>
    <w:p w:rsidR="00D76CC6" w:rsidRPr="00FE3ABC" w:rsidRDefault="00D76CC6" w:rsidP="00D76CC6">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我们共搜集周边可比商圈商业、办公、车库租金实例超过100宗，有充分的交易实例支持我们最终选定可比实例。</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lastRenderedPageBreak/>
        <w:t>在以朝阳门为中心的东二环沿线写字楼集聚区，搜集了居然大厦2015-2017年8宗租金实例、丰联广场2016-2019年10宗租金实例、当代MOMA2017-2020年8宗租金实例、银河SOHO2013-2020年18宗租金实例、五矿广场2015-2019年18宗租金实例、德信京汇2016-2018年9宗租金实例、万豪中心2016年6宗租金实例。</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东单商圈搜集了民生金融中心2012-2020年30宗租金实例、东方广场2015-2020年商业办公平均交易数据。</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前门商圈搜集了2013-2018年16个租金实例。</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修正过程为根据房地产估价规范按不同楼层设定的具体用途对区位（如办公集聚程度、商业繁华度、交通便捷度、公共配套设施、环境等）、实物（如建筑类型、建筑规模、建筑结构、公共部分装修、设施设备、层高等）和权益（如用途、年限、产权状况等）状况逐项进行比较，量化差异对可比实例的价格进行相应调整。</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对于2017-2020年租金变化幅度，我们在评估过程中，根据调查分析整理，选择戴德梁行、仲量联行、第一太平三家机构的研究报告进行相互比较验证，并与我们掌握的租金数据进行比对，认为三家机构的研究报告是连续有效的，并且符合市场变化趋势。研究报告不仅有全市平均水平，也有写字楼典型区域的数据，其中东二环沿线的写字楼市场是我们报告中重点分析的可比区域，也是地处核心区域的写字楼集聚区</w:t>
      </w:r>
      <w:r w:rsidR="00192F3C">
        <w:rPr>
          <w:rFonts w:ascii="楷体_GB2312" w:eastAsia="楷体_GB2312" w:hAnsi="仿宋" w:cs="仿宋" w:hint="eastAsia"/>
          <w:sz w:val="28"/>
          <w:szCs w:val="28"/>
        </w:rPr>
        <w:t>。</w:t>
      </w:r>
      <w:r w:rsidRPr="00FE3ABC">
        <w:rPr>
          <w:rFonts w:ascii="楷体_GB2312" w:eastAsia="楷体_GB2312" w:hAnsi="仿宋" w:cs="仿宋" w:hint="eastAsia"/>
          <w:sz w:val="28"/>
          <w:szCs w:val="28"/>
        </w:rPr>
        <w:t>因此，选取这三家机构北京市写字楼市场的租金分析数据作为依据。</w:t>
      </w:r>
    </w:p>
    <w:p w:rsidR="00DF2867" w:rsidRPr="00FE3ABC" w:rsidRDefault="00FE3ABC" w:rsidP="00FE3ABC">
      <w:pPr>
        <w:spacing w:line="480" w:lineRule="auto"/>
        <w:ind w:firstLineChars="200" w:firstLine="560"/>
        <w:rPr>
          <w:rFonts w:ascii="楷体_GB2312" w:eastAsia="楷体_GB2312" w:hAnsi="仿宋" w:cs="仿宋" w:hint="eastAsia"/>
          <w:sz w:val="28"/>
          <w:szCs w:val="28"/>
        </w:rPr>
      </w:pPr>
      <w:r w:rsidRPr="00FE3ABC">
        <w:rPr>
          <w:rFonts w:ascii="楷体_GB2312" w:eastAsia="楷体_GB2312" w:hAnsi="仿宋" w:cs="仿宋" w:hint="eastAsia"/>
          <w:sz w:val="28"/>
          <w:szCs w:val="28"/>
        </w:rPr>
        <w:t>收益法</w:t>
      </w:r>
      <w:r w:rsidR="00192F3C">
        <w:rPr>
          <w:rFonts w:ascii="楷体_GB2312" w:eastAsia="楷体_GB2312" w:hAnsi="仿宋" w:cs="仿宋" w:hint="eastAsia"/>
          <w:sz w:val="28"/>
          <w:szCs w:val="28"/>
        </w:rPr>
        <w:t>测算时</w:t>
      </w:r>
      <w:r w:rsidRPr="00FE3ABC">
        <w:rPr>
          <w:rFonts w:ascii="楷体_GB2312" w:eastAsia="楷体_GB2312" w:hAnsi="仿宋" w:cs="仿宋" w:hint="eastAsia"/>
          <w:sz w:val="28"/>
          <w:szCs w:val="28"/>
        </w:rPr>
        <w:t>我们选用收益法中的直接资本化法，通过比较法修正大宗交易实例求取估价对象整体价值，再采用合适的资本化率测算估价</w:t>
      </w:r>
      <w:r w:rsidRPr="00FE3ABC">
        <w:rPr>
          <w:rFonts w:ascii="楷体_GB2312" w:eastAsia="楷体_GB2312" w:hAnsi="仿宋" w:cs="仿宋" w:hint="eastAsia"/>
          <w:sz w:val="28"/>
          <w:szCs w:val="28"/>
        </w:rPr>
        <w:lastRenderedPageBreak/>
        <w:t>对象整体租金。我们搜集了北京市2016-2021年大宗交易案例超100宗，除了工业地产以外，大部分集中于商业、办公及配套的地下车库的综合用途，案例选择的也是区位和规模相似的商业、办公及配套地下车库综合用途可比实例，其收益模式与估价对象相同。资本化率是我们选取了中心城区17个商业、办公及地下车库综合用途的项目，根据其大宗交易价格和所在项目相应租金水平测算得出。</w:t>
      </w:r>
    </w:p>
    <w:p w:rsidR="00FE3ABC" w:rsidRPr="00FE3ABC" w:rsidRDefault="00FE3ABC" w:rsidP="00FE3ABC">
      <w:pPr>
        <w:pStyle w:val="aa"/>
        <w:numPr>
          <w:ilvl w:val="0"/>
          <w:numId w:val="11"/>
        </w:numPr>
        <w:ind w:left="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评估报告第2页评估结果一览表测算结果载明：比较法租金单价7.5元/平方米·天，收益法租金单价5.6元/平方米·天，两者价差较大，但未提供技术说明，无法判断比较法和收益法之间价差形成的原因及适用的情景，请求对两种评估结果的差异、适用性及权重处理作技术说明。</w:t>
      </w:r>
    </w:p>
    <w:p w:rsidR="00DF2867" w:rsidRPr="00FE3ABC" w:rsidRDefault="00FE3ABC" w:rsidP="00FE3ABC">
      <w:pPr>
        <w:spacing w:line="480" w:lineRule="auto"/>
        <w:ind w:firstLineChars="200" w:firstLine="562"/>
        <w:rPr>
          <w:rFonts w:ascii="楷体_GB2312" w:eastAsia="楷体_GB2312" w:hAnsi="仿宋" w:cs="Arial" w:hint="eastAsia"/>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本次评估采用比较法和收益法，考虑两种评估方法的代表性、估价资料的完整性、参数选取的客观性、参数确定的时效性、估价结果的现势性等各方面因素，并分别赋值，比较法权重取55%，收益法权重取45%，两种方法加权确定评估结果，符合市场正常水平。</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3、评估报告第7页载明“设备设施按照双方交接清单确定”、第8页载明：“设定每个价值时点设施设备可正常使用”，但报告援引的《主要设备移交清单》是西藏金泽单方提供的，与双方均认可的《房屋租赁合同》附件的《房屋设备交割清单》略有出入，且《主要设备移交清单》中仅能体现设备的型号的数量，并不能反映设备的运行情况。实际上，盈地大厦出租时，电梯、消防、空调、供暖、给排水、变配电等设施设备绝大部分已经年久失修、脱保脱检，根本不能正常运转使用，故报告</w:t>
      </w:r>
      <w:r w:rsidRPr="00FE3ABC">
        <w:rPr>
          <w:rFonts w:ascii="楷体_GB2312" w:eastAsia="楷体_GB2312" w:hAnsi="仿宋" w:cs="仿宋" w:hint="eastAsia"/>
          <w:sz w:val="28"/>
          <w:szCs w:val="28"/>
        </w:rPr>
        <w:lastRenderedPageBreak/>
        <w:t>设定的前提与事实有严重偏差，在此基础上作出的评估结果必然高于真实的租金水平。西藏金泽应对移交盈地大厦时设备设施是否能够正常运转提供相应的年检、保养、维修等资料，如无法证实设备设施能够正常运转的，评估机构需要结合设备设施在相应价值时点时的实际情况修正评估结果。</w:t>
      </w:r>
    </w:p>
    <w:p w:rsidR="00D76CC6" w:rsidRDefault="00FE3ABC" w:rsidP="00FE3ABC">
      <w:pPr>
        <w:ind w:firstLineChars="200" w:firstLine="562"/>
        <w:jc w:val="left"/>
        <w:rPr>
          <w:rFonts w:ascii="楷体_GB2312" w:eastAsia="楷体_GB2312" w:hAnsi="仿宋" w:cs="仿宋"/>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评估报告中对于设施设备的设定是根据法院提供的资料中《北京东城区朝阳门内大街298号盈地大厦交接单》的附件一《主要设备移交清单》</w:t>
      </w:r>
      <w:r w:rsidR="00D76CC6">
        <w:rPr>
          <w:rFonts w:ascii="楷体_GB2312" w:eastAsia="楷体_GB2312" w:hAnsi="仿宋" w:cs="仿宋" w:hint="eastAsia"/>
          <w:sz w:val="28"/>
          <w:szCs w:val="28"/>
        </w:rPr>
        <w:t>（</w:t>
      </w:r>
      <w:r w:rsidR="00D76CC6" w:rsidRPr="00FE3ABC">
        <w:rPr>
          <w:rFonts w:ascii="楷体_GB2312" w:eastAsia="楷体_GB2312" w:hAnsi="仿宋" w:cs="仿宋" w:hint="eastAsia"/>
          <w:sz w:val="28"/>
          <w:szCs w:val="28"/>
        </w:rPr>
        <w:t>2017年1月6日双方签字</w:t>
      </w:r>
      <w:r w:rsidR="00D76CC6">
        <w:rPr>
          <w:rFonts w:ascii="楷体_GB2312" w:eastAsia="楷体_GB2312" w:hAnsi="仿宋" w:cs="仿宋" w:hint="eastAsia"/>
          <w:sz w:val="28"/>
          <w:szCs w:val="28"/>
        </w:rPr>
        <w:t>）</w:t>
      </w:r>
      <w:r w:rsidRPr="00FE3ABC">
        <w:rPr>
          <w:rFonts w:ascii="楷体_GB2312" w:eastAsia="楷体_GB2312" w:hAnsi="仿宋" w:cs="仿宋" w:hint="eastAsia"/>
          <w:sz w:val="28"/>
          <w:szCs w:val="28"/>
        </w:rPr>
        <w:t>。</w:t>
      </w:r>
    </w:p>
    <w:p w:rsidR="00DF2867" w:rsidRPr="00FE3ABC" w:rsidRDefault="00FE3ABC" w:rsidP="00FE3ABC">
      <w:pPr>
        <w:ind w:firstLineChars="200" w:firstLine="560"/>
        <w:jc w:val="left"/>
        <w:rPr>
          <w:rFonts w:ascii="楷体_GB2312" w:eastAsia="楷体_GB2312" w:hAnsi="仿宋" w:cs="仿宋" w:hint="eastAsia"/>
          <w:sz w:val="28"/>
          <w:szCs w:val="28"/>
        </w:rPr>
      </w:pPr>
      <w:r w:rsidRPr="00FE3ABC">
        <w:rPr>
          <w:rFonts w:ascii="楷体_GB2312" w:eastAsia="楷体_GB2312" w:hAnsi="仿宋" w:cs="仿宋" w:hint="eastAsia"/>
          <w:sz w:val="28"/>
          <w:szCs w:val="28"/>
        </w:rPr>
        <w:t>关于设施设备使用情况，在报告第8页“背离事实假设”中提到“本次评估价值时点为2017年6月28日、2017年12月28日、2018年12月28日、2019年12月28日，非评估专业人员实地查勘之日，评估专业人员无法确定2017年1月租赁双方交接时的装修状态”、报告第15页“本次估价为追溯性评估，每个价值时点均为过去时点，现场实地查勘无法核对价值时点的实体状况”我们根据其已使用年限，设定设施设备可正常使用，并且在比较法中对设施设备情况进行了相应修正。</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4、评估报告第7页载明：“10.根据本次评估目的，本次评估不考虑抵押权的影响”，但盈地大厦租赁时确实存在抵押的情况，在先的抵押权会导致租赁存在一定风险，势必会对租金产生负面影响，不考虑抵押的影响作出的评估结果不够客观公正，应予以修正。</w:t>
      </w:r>
    </w:p>
    <w:p w:rsidR="00DF2867" w:rsidRPr="00FE3ABC" w:rsidRDefault="00FE3ABC" w:rsidP="00FE3ABC">
      <w:pPr>
        <w:ind w:firstLineChars="200" w:firstLine="562"/>
        <w:jc w:val="left"/>
        <w:rPr>
          <w:rFonts w:ascii="楷体_GB2312" w:eastAsia="楷体_GB2312" w:hAnsi="仿宋" w:cs="仿宋" w:hint="eastAsia"/>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《房屋租赁合同》第九条第四款中明确“租赁房屋设立抵押的，甲方必须书面通知乙方，并应告知抵押权人房屋出租的事实。甲方确保房屋的转让或抵押，不影响乙方对房屋的正常租赁使用”，并且在</w:t>
      </w:r>
      <w:r w:rsidRPr="00FE3ABC">
        <w:rPr>
          <w:rFonts w:ascii="楷体_GB2312" w:eastAsia="楷体_GB2312" w:hAnsi="仿宋" w:cs="仿宋" w:hint="eastAsia"/>
          <w:sz w:val="28"/>
          <w:szCs w:val="28"/>
        </w:rPr>
        <w:lastRenderedPageBreak/>
        <w:t>《关于签订盈地大厦补充协议的通知函》中已明确估价对象已抵押。在双方明确已设立抵押权的情况下，依据买卖不破租赁原则，估价报告中设定不考虑抵押权的影响。</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5、评估报告第15页载明：“设定价值时点的外装修与现状相同”，恒丰银行提供的鉴材《（2015）高执字第63号卷宗材料》及《2016年11月16日拍摄的盈地大厦现场照片》显示，房屋交接时的外立面老、破、旧，与勘察时的现状并不相同，上述设定与事实不符，可能导致评估结果偏高，应予以修正。</w:t>
      </w:r>
    </w:p>
    <w:p w:rsidR="00DF2867" w:rsidRPr="00FE3ABC" w:rsidRDefault="00FE3ABC" w:rsidP="00FE3ABC">
      <w:pPr>
        <w:ind w:firstLineChars="200" w:firstLine="562"/>
        <w:jc w:val="left"/>
        <w:rPr>
          <w:rFonts w:ascii="楷体_GB2312" w:eastAsia="楷体_GB2312" w:hAnsi="仿宋" w:cs="仿宋" w:hint="eastAsia"/>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本次估价为追溯性评估，无法在实地查勘时对价值时点时的外装情况进行核实。《房屋租赁合同补充合同》中明确乙方放弃重新改造外立面，只考虑翻新，参照2016年下半年有关盈地大厦公开新闻报道中的影像资料，故本次评估设定价值时点的外装形式与查勘时点相同，成新度按照使用年限进行了设定。并且在</w:t>
      </w:r>
      <w:r w:rsidR="00941F2C">
        <w:rPr>
          <w:rFonts w:ascii="楷体_GB2312" w:eastAsia="楷体_GB2312" w:hAnsi="仿宋" w:cs="仿宋" w:hint="eastAsia"/>
          <w:sz w:val="28"/>
          <w:szCs w:val="28"/>
        </w:rPr>
        <w:t>测算</w:t>
      </w:r>
      <w:r w:rsidRPr="00FE3ABC">
        <w:rPr>
          <w:rFonts w:ascii="楷体_GB2312" w:eastAsia="楷体_GB2312" w:hAnsi="仿宋" w:cs="仿宋" w:hint="eastAsia"/>
          <w:sz w:val="28"/>
          <w:szCs w:val="28"/>
        </w:rPr>
        <w:t>中考虑外装形式和成新度进行了相应修正。</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6、评估报告第18页载明：“综上，评估对象符合甲级写字楼标准，本次评估按照甲级写字楼进行设定”，但根据评估机构提供的办公楼分级标准表，显然盈地大厦在楼龄、车位配置、层高、高架地板（高架地板为租赁后装修，非出租时状态）、内部装修、供热通风与空气调节、物业管理、电梯等多项指标均不符合甲级办公楼的标准，如何得出盈地大厦符合甲级写字楼标准的结论？进一步质疑，评估机构选取的比较对象是否也为甲级写字楼标准？若如此，用比较法测算得出的租金评估价格必然高于真实、客观的市场租金价格，要求提供详细技术报告，并对</w:t>
      </w:r>
      <w:r w:rsidRPr="00FE3ABC">
        <w:rPr>
          <w:rFonts w:ascii="楷体_GB2312" w:eastAsia="楷体_GB2312" w:hAnsi="仿宋" w:cs="仿宋" w:hint="eastAsia"/>
          <w:sz w:val="28"/>
          <w:szCs w:val="28"/>
        </w:rPr>
        <w:lastRenderedPageBreak/>
        <w:t>评估结果予以修正。</w:t>
      </w:r>
    </w:p>
    <w:p w:rsidR="00FE3ABC" w:rsidRPr="00FE3ABC" w:rsidRDefault="00FE3ABC" w:rsidP="00FE3ABC">
      <w:pPr>
        <w:ind w:firstLineChars="200" w:firstLine="562"/>
        <w:jc w:val="left"/>
        <w:rPr>
          <w:rFonts w:ascii="楷体_GB2312" w:eastAsia="楷体_GB2312" w:hAnsi="仿宋" w:cs="仿宋"/>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估价对象写字楼等级是根据十五项综合分析得出的，估价对象地理位置、公共交通通达度、可见度、建筑规模、用地性质、单层面积、层高、高架地板、电梯、货梯十项满足甲级写字楼设定，故本次对估价对象写字楼设定为甲级，并在测算中考虑装修、层高、设施设备、车位配比等问题，进行了修正。</w:t>
      </w:r>
    </w:p>
    <w:p w:rsidR="00FE3ABC" w:rsidRPr="00FE3ABC" w:rsidRDefault="00FE3ABC" w:rsidP="00FE3ABC">
      <w:pPr>
        <w:numPr>
          <w:ilvl w:val="0"/>
          <w:numId w:val="9"/>
        </w:numPr>
        <w:ind w:firstLineChars="200" w:firstLine="562"/>
        <w:rPr>
          <w:rFonts w:ascii="楷体_GB2312" w:eastAsia="楷体_GB2312" w:hAnsi="黑体-简" w:cs="黑体-简"/>
          <w:b/>
          <w:bCs/>
          <w:sz w:val="28"/>
          <w:szCs w:val="28"/>
        </w:rPr>
      </w:pPr>
      <w:r w:rsidRPr="00FE3ABC">
        <w:rPr>
          <w:rFonts w:ascii="楷体_GB2312" w:eastAsia="楷体_GB2312" w:hAnsi="黑体-简" w:cs="黑体-简" w:hint="eastAsia"/>
          <w:b/>
          <w:bCs/>
          <w:sz w:val="28"/>
          <w:szCs w:val="28"/>
        </w:rPr>
        <w:t>关于装修价值评估报告的质询意见</w:t>
      </w:r>
      <w:r w:rsidR="00192F3C">
        <w:rPr>
          <w:rFonts w:ascii="楷体_GB2312" w:eastAsia="楷体_GB2312" w:hAnsi="黑体-简" w:cs="黑体-简" w:hint="eastAsia"/>
          <w:b/>
          <w:bCs/>
          <w:sz w:val="28"/>
          <w:szCs w:val="28"/>
        </w:rPr>
        <w:t>答复</w:t>
      </w:r>
    </w:p>
    <w:p w:rsidR="00FE3ABC" w:rsidRPr="00FE3ABC" w:rsidRDefault="00FE3ABC" w:rsidP="00FE3ABC">
      <w:pPr>
        <w:numPr>
          <w:ilvl w:val="0"/>
          <w:numId w:val="10"/>
        </w:num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评估报告中涉及人工成本项认定偏低，恒丰银行提供的结算报告、工程造价审计报告等均体现多个工程存在赶工费等人工成本支出，按照市场定额认定结果偏低，对人工成本费用应予以修正。</w:t>
      </w:r>
    </w:p>
    <w:p w:rsidR="00FE3ABC" w:rsidRPr="00FE3ABC" w:rsidRDefault="00FE3ABC" w:rsidP="00FE3ABC">
      <w:pPr>
        <w:spacing w:line="480" w:lineRule="auto"/>
        <w:ind w:firstLineChars="200" w:firstLine="562"/>
        <w:jc w:val="left"/>
        <w:rPr>
          <w:rFonts w:ascii="楷体_GB2312" w:eastAsia="楷体_GB2312" w:hAnsi="仿宋" w:cs="仿宋"/>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装修价值评估中各合同、各专业的工程预算，其中人工工日消耗量执行2012年《北京市建设工程计价依据-预算定额》、《北京市房屋修缮工程预算定额》，其工效满足目前施工企业的装备设备水平、成熟的施工工艺、合理的劳动组织条件下所需；其中人工工日单价执行合同施工期间，北京造价主管部门颁布的当期《北京造价信息》中的人工市场单价（按中限标准执行）。对于装修价值评估中部分专业工程结算中单独计取的赶工费支出，从项目开竣工时间、竣工后使用情况客观推算，属于非必要性支出，所以未予考虑。</w:t>
      </w:r>
    </w:p>
    <w:p w:rsidR="00FE3ABC" w:rsidRPr="00FE3ABC" w:rsidRDefault="00FE3ABC" w:rsidP="00FE3ABC">
      <w:pPr>
        <w:numPr>
          <w:ilvl w:val="0"/>
          <w:numId w:val="10"/>
        </w:num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装修价值不含增值税及附加不合理，虽然该工程为2016年4月30日取得施工证，属于营改增前施工工程，但此次评估的价值类型为现状价值，工程造价和装修价值均应包含增值税及附加，该部分费用金额不低，对评估结果影响严重，要求修正。</w:t>
      </w:r>
    </w:p>
    <w:p w:rsidR="00FE3ABC" w:rsidRPr="00FE3ABC" w:rsidRDefault="00FE3ABC" w:rsidP="00FE3ABC">
      <w:pPr>
        <w:ind w:firstLineChars="200" w:firstLine="562"/>
        <w:jc w:val="left"/>
        <w:rPr>
          <w:rFonts w:ascii="楷体_GB2312" w:eastAsia="楷体_GB2312" w:hAnsi="仿宋" w:cs="仿宋"/>
          <w:sz w:val="28"/>
          <w:szCs w:val="28"/>
        </w:rPr>
      </w:pPr>
      <w:r w:rsidRPr="00DF2867">
        <w:rPr>
          <w:rFonts w:ascii="楷体_GB2312" w:eastAsia="楷体_GB2312" w:hAnsi="仿宋" w:cs="仿宋" w:hint="eastAsia"/>
          <w:b/>
          <w:sz w:val="28"/>
          <w:szCs w:val="28"/>
        </w:rPr>
        <w:lastRenderedPageBreak/>
        <w:t>答复</w:t>
      </w:r>
      <w:r w:rsidRPr="00FE3ABC">
        <w:rPr>
          <w:rFonts w:ascii="楷体_GB2312" w:eastAsia="楷体_GB2312" w:hAnsi="仿宋" w:cs="仿宋" w:hint="eastAsia"/>
          <w:sz w:val="28"/>
          <w:szCs w:val="28"/>
        </w:rPr>
        <w:t>：装修价值评估中各专业工程造价，已按造价预算编制原则要求，计取了相关税金，按施工期增值税税率进行计取，详见附件中各专业取费汇总表中“税金部分”。</w:t>
      </w:r>
    </w:p>
    <w:p w:rsidR="00FE3ABC" w:rsidRPr="00FE3ABC" w:rsidRDefault="00FE3ABC" w:rsidP="00FE3ABC">
      <w:p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装修原值”是装修工程竣工之时的装修工程造价及配套服务费用，加上装修过程中的必要支出。“装修工程造价”包含分部分项费用、措施项目费、规费和税金。“配套服务费用”是指装修工程中配套的设计、监理、造价咨询服务费、结构检测费用。依据《房地产估价规范》4.4.3规定，房地产的必要支出包括土地成本、建设成本、管理费用、销售费用、投资利息、销售税费和开发利润。由于本项目为承租方装修完成后自用，不存在销售转让行为，故未考虑销售费用、销售税费（包括增值税及附加）及开发利润。因此，本项目的必要支出包括装修工程造价、管理费用、投资利息。</w:t>
      </w:r>
    </w:p>
    <w:p w:rsidR="00FE3ABC" w:rsidRPr="00FE3ABC" w:rsidRDefault="00FE3ABC" w:rsidP="00FE3ABC">
      <w:pPr>
        <w:numPr>
          <w:ilvl w:val="0"/>
          <w:numId w:val="10"/>
        </w:num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评估报告第12页认定的成新率为88.5%过低，盈地大厦装修工程完工后未进行任何使用，内部装饰装修属于全新状态，仅存在微乎其微的自然耗损，与正常使用产生的损耗折旧截然不同，成新率过低，要求修正。</w:t>
      </w:r>
    </w:p>
    <w:p w:rsidR="00FE3ABC" w:rsidRPr="00FE3ABC" w:rsidRDefault="00FE3ABC" w:rsidP="00FE3ABC">
      <w:pPr>
        <w:ind w:firstLineChars="200" w:firstLine="562"/>
        <w:jc w:val="left"/>
        <w:rPr>
          <w:rFonts w:ascii="楷体_GB2312" w:eastAsia="楷体_GB2312" w:hAnsi="仿宋" w:cs="仿宋"/>
          <w:sz w:val="28"/>
          <w:szCs w:val="28"/>
        </w:rPr>
      </w:pPr>
      <w:r w:rsidRPr="00DF2867">
        <w:rPr>
          <w:rFonts w:ascii="楷体_GB2312" w:eastAsia="楷体_GB2312" w:hAnsi="仿宋" w:cs="仿宋" w:hint="eastAsia"/>
          <w:b/>
          <w:sz w:val="28"/>
          <w:szCs w:val="28"/>
        </w:rPr>
        <w:t>答复</w:t>
      </w:r>
      <w:r w:rsidRPr="00FE3ABC">
        <w:rPr>
          <w:rFonts w:ascii="楷体_GB2312" w:eastAsia="楷体_GB2312" w:hAnsi="仿宋" w:cs="仿宋" w:hint="eastAsia"/>
          <w:sz w:val="28"/>
          <w:szCs w:val="28"/>
        </w:rPr>
        <w:t>：装修工程竣工后未正式入住，但采暖、安防、消防、给排水等设施设备已使用，有部分楼层已出现漏水、顶棚脱落情况，本次</w:t>
      </w:r>
      <w:r w:rsidR="00941F2C">
        <w:rPr>
          <w:rFonts w:ascii="楷体_GB2312" w:eastAsia="楷体_GB2312" w:hAnsi="仿宋" w:cs="仿宋" w:hint="eastAsia"/>
          <w:sz w:val="28"/>
          <w:szCs w:val="28"/>
        </w:rPr>
        <w:t>评估</w:t>
      </w:r>
      <w:r w:rsidRPr="00FE3ABC">
        <w:rPr>
          <w:rFonts w:ascii="楷体_GB2312" w:eastAsia="楷体_GB2312" w:hAnsi="仿宋" w:cs="仿宋" w:hint="eastAsia"/>
          <w:sz w:val="28"/>
          <w:szCs w:val="28"/>
        </w:rPr>
        <w:t>观察成新为95%，结合估价对象的装修竣工日期与价值时点的时间跨度采用直线折旧81.95%（装修耐用年限按照15年计算），简单算术平均得出综合成新率为88.5%。</w:t>
      </w:r>
    </w:p>
    <w:p w:rsidR="00FE3ABC" w:rsidRPr="00FE3ABC" w:rsidRDefault="00FE3ABC" w:rsidP="00FE3ABC">
      <w:pPr>
        <w:numPr>
          <w:ilvl w:val="0"/>
          <w:numId w:val="10"/>
        </w:numPr>
        <w:ind w:firstLineChars="200" w:firstLine="560"/>
        <w:jc w:val="left"/>
        <w:rPr>
          <w:rFonts w:ascii="楷体_GB2312" w:eastAsia="楷体_GB2312" w:hAnsi="仿宋" w:cs="仿宋"/>
          <w:sz w:val="28"/>
          <w:szCs w:val="28"/>
        </w:rPr>
      </w:pPr>
      <w:r w:rsidRPr="00FE3ABC">
        <w:rPr>
          <w:rFonts w:ascii="楷体_GB2312" w:eastAsia="楷体_GB2312" w:hAnsi="仿宋" w:cs="仿宋" w:hint="eastAsia"/>
          <w:sz w:val="28"/>
          <w:szCs w:val="28"/>
        </w:rPr>
        <w:t>因燃气工程完工后未办理通气手续</w:t>
      </w:r>
      <w:bookmarkStart w:id="0" w:name="_GoBack"/>
      <w:bookmarkEnd w:id="0"/>
      <w:r w:rsidRPr="00FE3ABC">
        <w:rPr>
          <w:rFonts w:ascii="楷体_GB2312" w:eastAsia="楷体_GB2312" w:hAnsi="仿宋" w:cs="仿宋" w:hint="eastAsia"/>
          <w:sz w:val="28"/>
          <w:szCs w:val="28"/>
        </w:rPr>
        <w:t>，故相关图纸资料等未移交</w:t>
      </w:r>
      <w:r w:rsidRPr="00FE3ABC">
        <w:rPr>
          <w:rFonts w:ascii="楷体_GB2312" w:eastAsia="楷体_GB2312" w:hAnsi="仿宋" w:cs="仿宋" w:hint="eastAsia"/>
          <w:sz w:val="28"/>
          <w:szCs w:val="28"/>
        </w:rPr>
        <w:lastRenderedPageBreak/>
        <w:t>业主，在评估时恒丰银行受限于上述客观条件无法提供燃气的相关验收及施工图纸，但天然气施工属于垄断性行业，施工单位北京市液化石油气公司设备工程分公司又属于北京国资委下属的国有独资企业，恒丰银行提供的施工合同、相应付款凭证和发票相互印证，能够真实、客观的反映燃气工程的价值，评估公司对该项工程价值不予认定不合理，要求追加认定。</w:t>
      </w:r>
    </w:p>
    <w:p w:rsidR="00FE3ABC" w:rsidRPr="00FE3ABC" w:rsidRDefault="00FE3ABC" w:rsidP="00FE3ABC">
      <w:pPr>
        <w:jc w:val="left"/>
        <w:rPr>
          <w:rFonts w:ascii="楷体_GB2312" w:eastAsia="楷体_GB2312" w:hAnsi="仿宋" w:cs="仿宋"/>
          <w:sz w:val="28"/>
          <w:szCs w:val="28"/>
        </w:rPr>
      </w:pPr>
      <w:r w:rsidRPr="00FE3ABC">
        <w:rPr>
          <w:rFonts w:ascii="楷体_GB2312" w:eastAsia="楷体_GB2312" w:hAnsi="仿宋" w:cs="仿宋" w:hint="eastAsia"/>
          <w:sz w:val="28"/>
          <w:szCs w:val="28"/>
        </w:rPr>
        <w:t xml:space="preserve">   答复：本次装修价值评估，评估采用基础方法为重编预算法，以工程竣工资料、图纸、预结算资料为基础，结合现场调查结果，重新编制工程量清单，重新计算竣工日装修工程造价。签约合同、付款凭证及发票不能作为工程造价评估根本依据。标的评估项目中燃气工程存在隐蔽工程，未能提供竣工图纸等资料，无法按重编预算法进行准确性评估。 </w:t>
      </w:r>
    </w:p>
    <w:p w:rsidR="00F04125" w:rsidRPr="00FE3ABC" w:rsidRDefault="00F04125" w:rsidP="00BF730E">
      <w:pPr>
        <w:kinsoku w:val="0"/>
        <w:autoSpaceDE w:val="0"/>
        <w:autoSpaceDN w:val="0"/>
        <w:spacing w:line="276" w:lineRule="auto"/>
        <w:contextualSpacing/>
        <w:jc w:val="left"/>
        <w:rPr>
          <w:rFonts w:ascii="楷体_GB2312" w:eastAsia="楷体_GB2312" w:hAnsi="Arial" w:cs="Times New Roman"/>
          <w:kern w:val="0"/>
          <w:sz w:val="28"/>
          <w:szCs w:val="28"/>
        </w:rPr>
      </w:pPr>
    </w:p>
    <w:p w:rsidR="009A5298" w:rsidRPr="00FE3ABC"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特此说明</w:t>
      </w:r>
      <w:r w:rsidR="00440E4F" w:rsidRPr="00FE3ABC">
        <w:rPr>
          <w:rFonts w:ascii="Arial" w:eastAsia="楷体_GB2312" w:hAnsi="Arial" w:cs="Times New Roman" w:hint="eastAsia"/>
          <w:kern w:val="0"/>
          <w:sz w:val="28"/>
          <w:szCs w:val="28"/>
        </w:rPr>
        <w:t>。</w:t>
      </w:r>
    </w:p>
    <w:p w:rsidR="001E2A3D" w:rsidRPr="00FE3ABC" w:rsidRDefault="001E2A3D" w:rsidP="00BF730E">
      <w:pPr>
        <w:kinsoku w:val="0"/>
        <w:autoSpaceDE w:val="0"/>
        <w:autoSpaceDN w:val="0"/>
        <w:spacing w:line="276" w:lineRule="auto"/>
        <w:contextualSpacing/>
        <w:rPr>
          <w:rFonts w:ascii="Arial" w:eastAsia="楷体_GB2312" w:hAnsi="Arial" w:cs="Times New Roman"/>
          <w:kern w:val="0"/>
          <w:sz w:val="28"/>
          <w:szCs w:val="28"/>
        </w:rPr>
      </w:pPr>
    </w:p>
    <w:p w:rsidR="001E2A3D" w:rsidRPr="00FE3ABC"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FE3ABC" w:rsidRDefault="00254642" w:rsidP="009A5298">
      <w:pPr>
        <w:kinsoku w:val="0"/>
        <w:spacing w:line="276" w:lineRule="auto"/>
        <w:ind w:firstLineChars="1550" w:firstLine="4340"/>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北京康正宏基房地产评估有限公司</w:t>
      </w:r>
    </w:p>
    <w:p w:rsidR="00254642" w:rsidRPr="00FE3ABC" w:rsidRDefault="00DF2867" w:rsidP="009A5298">
      <w:pPr>
        <w:wordWrap w:val="0"/>
        <w:spacing w:line="276" w:lineRule="auto"/>
        <w:ind w:firstLineChars="300" w:firstLine="840"/>
        <w:jc w:val="right"/>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二</w:t>
      </w:r>
      <w:r>
        <w:rPr>
          <w:rFonts w:ascii="Arial" w:eastAsia="楷体_GB2312" w:hAnsi="Arial" w:cs="Times New Roman" w:hint="eastAsia"/>
          <w:kern w:val="0"/>
          <w:sz w:val="28"/>
          <w:szCs w:val="28"/>
        </w:rPr>
        <w:t>〇</w:t>
      </w:r>
      <w:r>
        <w:rPr>
          <w:rFonts w:ascii="Arial" w:eastAsia="楷体_GB2312" w:hAnsi="Arial" w:cs="Times New Roman" w:hint="eastAsia"/>
          <w:kern w:val="0"/>
          <w:sz w:val="28"/>
          <w:szCs w:val="28"/>
        </w:rPr>
        <w:t>二二</w:t>
      </w:r>
      <w:r w:rsidRPr="00FE3ABC">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二</w:t>
      </w:r>
      <w:r w:rsidRPr="00FE3ABC">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十五</w:t>
      </w:r>
      <w:r w:rsidRPr="00FE3ABC">
        <w:rPr>
          <w:rFonts w:ascii="Arial" w:eastAsia="楷体_GB2312" w:hAnsi="Arial" w:cs="Times New Roman" w:hint="eastAsia"/>
          <w:kern w:val="0"/>
          <w:sz w:val="28"/>
          <w:szCs w:val="28"/>
        </w:rPr>
        <w:t>日</w:t>
      </w: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0622EA" w:rsidRPr="00FE3ABC" w:rsidRDefault="000622EA" w:rsidP="001574EF">
      <w:pPr>
        <w:spacing w:line="276" w:lineRule="auto"/>
        <w:jc w:val="left"/>
        <w:rPr>
          <w:rFonts w:ascii="Arial" w:eastAsia="楷体_GB2312" w:hAnsi="Arial" w:cs="Times New Roman"/>
          <w:kern w:val="0"/>
          <w:sz w:val="28"/>
          <w:szCs w:val="28"/>
          <w:u w:val="single"/>
        </w:rPr>
      </w:pPr>
    </w:p>
    <w:sectPr w:rsidR="000622EA" w:rsidRPr="00FE3ABC" w:rsidSect="00B65498">
      <w:head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865" w:rsidRDefault="00DC7865" w:rsidP="00FA3B45">
      <w:r>
        <w:separator/>
      </w:r>
    </w:p>
  </w:endnote>
  <w:endnote w:type="continuationSeparator" w:id="0">
    <w:p w:rsidR="00DC7865" w:rsidRDefault="00DC7865"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简">
    <w:altName w:val="Arial Unicode MS"/>
    <w:charset w:val="86"/>
    <w:family w:val="auto"/>
    <w:pitch w:val="default"/>
    <w:sig w:usb0="8000002F" w:usb1="0800004A" w:usb2="00000000" w:usb3="00000000" w:csb0="203E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865" w:rsidRDefault="00DC7865" w:rsidP="00FA3B45">
      <w:r>
        <w:separator/>
      </w:r>
    </w:p>
  </w:footnote>
  <w:footnote w:type="continuationSeparator" w:id="0">
    <w:p w:rsidR="00DC7865" w:rsidRDefault="00DC7865" w:rsidP="00FA3B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61F2D365"/>
    <w:multiLevelType w:val="singleLevel"/>
    <w:tmpl w:val="61F2D365"/>
    <w:lvl w:ilvl="0">
      <w:start w:val="1"/>
      <w:numFmt w:val="chineseCounting"/>
      <w:suff w:val="nothing"/>
      <w:lvlText w:val="%1、"/>
      <w:lvlJc w:val="left"/>
    </w:lvl>
  </w:abstractNum>
  <w:abstractNum w:abstractNumId="6" w15:restartNumberingAfterBreak="0">
    <w:nsid w:val="61F31313"/>
    <w:multiLevelType w:val="singleLevel"/>
    <w:tmpl w:val="61F31313"/>
    <w:lvl w:ilvl="0">
      <w:start w:val="1"/>
      <w:numFmt w:val="decimal"/>
      <w:suff w:val="nothing"/>
      <w:lvlText w:val="%1、"/>
      <w:lvlJc w:val="left"/>
    </w:lvl>
  </w:abstractNum>
  <w:abstractNum w:abstractNumId="7" w15:restartNumberingAfterBreak="0">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15:restartNumberingAfterBreak="0">
    <w:nsid w:val="782E56EE"/>
    <w:multiLevelType w:val="hybridMultilevel"/>
    <w:tmpl w:val="FFE8F5E2"/>
    <w:lvl w:ilvl="0" w:tplc="AA04D65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0" w15:restartNumberingAfterBreak="0">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9"/>
  </w:num>
  <w:num w:numId="3">
    <w:abstractNumId w:val="0"/>
  </w:num>
  <w:num w:numId="4">
    <w:abstractNumId w:val="7"/>
  </w:num>
  <w:num w:numId="5">
    <w:abstractNumId w:val="10"/>
  </w:num>
  <w:num w:numId="6">
    <w:abstractNumId w:val="3"/>
  </w:num>
  <w:num w:numId="7">
    <w:abstractNumId w:val="2"/>
  </w:num>
  <w:num w:numId="8">
    <w:abstractNumId w:val="4"/>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92F3C"/>
    <w:rsid w:val="001A747A"/>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54642"/>
    <w:rsid w:val="00256191"/>
    <w:rsid w:val="00256D70"/>
    <w:rsid w:val="002603C1"/>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30481"/>
    <w:rsid w:val="0033411D"/>
    <w:rsid w:val="00337FCA"/>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46176"/>
    <w:rsid w:val="008670B8"/>
    <w:rsid w:val="0088065F"/>
    <w:rsid w:val="00890889"/>
    <w:rsid w:val="008A6601"/>
    <w:rsid w:val="008B3042"/>
    <w:rsid w:val="008B528E"/>
    <w:rsid w:val="008B618C"/>
    <w:rsid w:val="008C6E53"/>
    <w:rsid w:val="008D1732"/>
    <w:rsid w:val="008E2239"/>
    <w:rsid w:val="008E2D20"/>
    <w:rsid w:val="008E3250"/>
    <w:rsid w:val="008E3EE3"/>
    <w:rsid w:val="008F022F"/>
    <w:rsid w:val="00915225"/>
    <w:rsid w:val="00916BA9"/>
    <w:rsid w:val="0092061F"/>
    <w:rsid w:val="00923EC7"/>
    <w:rsid w:val="00924440"/>
    <w:rsid w:val="00925A1F"/>
    <w:rsid w:val="00935709"/>
    <w:rsid w:val="00941F2C"/>
    <w:rsid w:val="009643E9"/>
    <w:rsid w:val="00974F70"/>
    <w:rsid w:val="00975067"/>
    <w:rsid w:val="00982206"/>
    <w:rsid w:val="00983612"/>
    <w:rsid w:val="009932DA"/>
    <w:rsid w:val="009A5298"/>
    <w:rsid w:val="009A5C8E"/>
    <w:rsid w:val="009C409C"/>
    <w:rsid w:val="009D064B"/>
    <w:rsid w:val="009D1CED"/>
    <w:rsid w:val="009E7572"/>
    <w:rsid w:val="00A01912"/>
    <w:rsid w:val="00A14671"/>
    <w:rsid w:val="00A41316"/>
    <w:rsid w:val="00A44D9E"/>
    <w:rsid w:val="00A470BC"/>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3B09"/>
    <w:rsid w:val="00B05D29"/>
    <w:rsid w:val="00B227E0"/>
    <w:rsid w:val="00B255A9"/>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3B59"/>
    <w:rsid w:val="00C3228F"/>
    <w:rsid w:val="00C37145"/>
    <w:rsid w:val="00C65B53"/>
    <w:rsid w:val="00C7238B"/>
    <w:rsid w:val="00C77FAD"/>
    <w:rsid w:val="00C937F6"/>
    <w:rsid w:val="00CA057B"/>
    <w:rsid w:val="00CA6D3C"/>
    <w:rsid w:val="00CB25F3"/>
    <w:rsid w:val="00CC74DA"/>
    <w:rsid w:val="00CE0F35"/>
    <w:rsid w:val="00D13659"/>
    <w:rsid w:val="00D16B33"/>
    <w:rsid w:val="00D17507"/>
    <w:rsid w:val="00D1761C"/>
    <w:rsid w:val="00D216F2"/>
    <w:rsid w:val="00D4191F"/>
    <w:rsid w:val="00D63936"/>
    <w:rsid w:val="00D72112"/>
    <w:rsid w:val="00D72639"/>
    <w:rsid w:val="00D763CC"/>
    <w:rsid w:val="00D76CC6"/>
    <w:rsid w:val="00D86767"/>
    <w:rsid w:val="00D93FBF"/>
    <w:rsid w:val="00DA02E9"/>
    <w:rsid w:val="00DA270C"/>
    <w:rsid w:val="00DA69E6"/>
    <w:rsid w:val="00DB1FDB"/>
    <w:rsid w:val="00DB385C"/>
    <w:rsid w:val="00DB568F"/>
    <w:rsid w:val="00DC5839"/>
    <w:rsid w:val="00DC7865"/>
    <w:rsid w:val="00DC7957"/>
    <w:rsid w:val="00DE1F5F"/>
    <w:rsid w:val="00DE5075"/>
    <w:rsid w:val="00DE5748"/>
    <w:rsid w:val="00DF2867"/>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744F"/>
    <w:rsid w:val="00EC0802"/>
    <w:rsid w:val="00EC40CB"/>
    <w:rsid w:val="00EC466E"/>
    <w:rsid w:val="00EC489B"/>
    <w:rsid w:val="00EE2DB3"/>
    <w:rsid w:val="00EE4F51"/>
    <w:rsid w:val="00F01699"/>
    <w:rsid w:val="00F01E59"/>
    <w:rsid w:val="00F020EE"/>
    <w:rsid w:val="00F04125"/>
    <w:rsid w:val="00F1031D"/>
    <w:rsid w:val="00F22DEC"/>
    <w:rsid w:val="00F34468"/>
    <w:rsid w:val="00F463F1"/>
    <w:rsid w:val="00F5079D"/>
    <w:rsid w:val="00FA1BA0"/>
    <w:rsid w:val="00FA3B45"/>
    <w:rsid w:val="00FC291F"/>
    <w:rsid w:val="00FD1B03"/>
    <w:rsid w:val="00FD3082"/>
    <w:rsid w:val="00FE02F7"/>
    <w:rsid w:val="00FE3ABC"/>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6D208"/>
  <w15:docId w15:val="{64FB7DAF-56D4-4576-BB0A-1C3C6618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 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 字符"/>
    <w:basedOn w:val="a0"/>
    <w:link w:val="a7"/>
    <w:uiPriority w:val="99"/>
    <w:semiHidden/>
    <w:rsid w:val="00534683"/>
    <w:rPr>
      <w:sz w:val="18"/>
      <w:szCs w:val="18"/>
    </w:rPr>
  </w:style>
  <w:style w:type="table" w:styleId="a9">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 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 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 字符"/>
    <w:basedOn w:val="a0"/>
    <w:link w:val="af0"/>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F5E85-16B9-47AC-80C3-321503CB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790</Words>
  <Characters>4505</Characters>
  <Application>Microsoft Office Word</Application>
  <DocSecurity>0</DocSecurity>
  <Lines>37</Lines>
  <Paragraphs>10</Paragraphs>
  <ScaleCrop>false</ScaleCrop>
  <Company>CHINA</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22</cp:revision>
  <cp:lastPrinted>2019-08-05T08:49:00Z</cp:lastPrinted>
  <dcterms:created xsi:type="dcterms:W3CDTF">2019-11-13T02:34:00Z</dcterms:created>
  <dcterms:modified xsi:type="dcterms:W3CDTF">2022-02-15T07:08:00Z</dcterms:modified>
</cp:coreProperties>
</file>