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color w:val="auto"/>
        </w:rPr>
      </w:pPr>
      <w:r>
        <w:rPr>
          <w:rFonts w:hint="eastAsia" w:ascii="Arial" w:hAnsi="Arial" w:eastAsia="宋体" w:cs="宋体"/>
          <w:color w:val="auto"/>
          <w:kern w:val="0"/>
          <w:sz w:val="20"/>
          <w:szCs w:val="20"/>
        </w:rPr>
        <w:t>报告编号：康正评字2024-1-0209-P01DYGJ2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rPr>
              <w:t>北京银行股份有限公司</w:t>
            </w:r>
            <w:r>
              <w:rPr>
                <w:rFonts w:hint="eastAsia" w:ascii="Arial" w:hAnsi="Arial" w:eastAsia="宋体" w:cs="宋体"/>
                <w:color w:val="auto"/>
                <w:kern w:val="0"/>
                <w:sz w:val="20"/>
                <w:szCs w:val="20"/>
                <w:lang w:val="en-US" w:eastAsia="zh-CN"/>
              </w:rPr>
              <w:t>门头沟绿色支行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北京市门头沟区黑山西街5号院9号楼3层301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3</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19</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金泰丽湾悦栖山</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712.98</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3（1）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3</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商业服务</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根据评估专业人员现场勘察，估价对象为超高层高，现状已隔为两层使用，考虑到处置估价对象过程中，需将估价对象恢复原状后处置，本次评估未考虑上述情况对估价结果的影响，在此提请金融机构注意。</w:t>
            </w:r>
            <w:bookmarkStart w:id="0" w:name="_GoBack"/>
            <w:bookmarkEnd w:id="0"/>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20462</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1459</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壹仟肆佰伍拾玖万元整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仅对估价对象房屋做一般性查勘，未对其进行结构、装饰及设施等内在质量的测试，不对该房屋是否有内部缺陷作鉴定。本次复估以估价对象的建筑质量达到国家或行业规定的标准要求为估价假设前提条件。</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color w:val="auto"/>
        </w:rPr>
      </w:pPr>
      <w:r>
        <w:rPr>
          <w:rFonts w:hint="eastAsia" w:ascii="Arial" w:hAnsi="Arial" w:eastAsia="宋体" w:cs="宋体"/>
          <w:kern w:val="0"/>
          <w:sz w:val="20"/>
          <w:szCs w:val="20"/>
        </w:rPr>
        <w:t>北京康正宏基房地</w:t>
      </w:r>
      <w:r>
        <w:rPr>
          <w:rFonts w:hint="eastAsia" w:ascii="Arial" w:hAnsi="Arial" w:eastAsia="宋体" w:cs="宋体"/>
          <w:color w:val="auto"/>
          <w:kern w:val="0"/>
          <w:sz w:val="20"/>
          <w:szCs w:val="20"/>
        </w:rPr>
        <w:t>产评估有限公司</w:t>
      </w:r>
    </w:p>
    <w:p>
      <w:pPr>
        <w:jc w:val="right"/>
        <w:rPr>
          <w:rFonts w:hint="eastAsia"/>
          <w:color w:val="E46C0A" w:themeColor="accent6" w:themeShade="BF"/>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三</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二十</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7D75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62</TotalTime>
  <ScaleCrop>false</ScaleCrop>
  <LinksUpToDate>false</LinksUpToDate>
  <CharactersWithSpaces>1085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2024-03-20T03:26:34Z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274858A8552D4FED871A272B2AEAA663_12</vt:lpwstr>
  </property>
</Properties>
</file>