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w:t>
      </w:r>
      <w:r>
        <w:rPr>
          <w:rFonts w:hint="eastAsia" w:ascii="Arial" w:hAnsi="Arial" w:eastAsia="方正黑体简体"/>
          <w:sz w:val="21"/>
          <w:szCs w:val="21"/>
          <w:lang w:eastAsia="zh-CN"/>
        </w:rPr>
        <w:t>大慧寺路5号院2号楼5单元5号住宅用房</w:t>
      </w:r>
      <w:r>
        <w:rPr>
          <w:rFonts w:hint="eastAsia" w:ascii="Arial" w:hAnsi="Arial" w:eastAsia="方正黑体简体"/>
          <w:sz w:val="21"/>
          <w:szCs w:val="21"/>
        </w:rPr>
        <w:t>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hint="eastAsia" w:ascii="Arial" w:hAnsi="Arial" w:eastAsia="方正黑体简体"/>
          <w:sz w:val="21"/>
          <w:szCs w:val="21"/>
          <w:highlight w:val="none"/>
          <w:lang w:eastAsia="zh-CN"/>
        </w:rPr>
      </w:pPr>
      <w:r>
        <w:rPr>
          <w:rFonts w:hint="eastAsia" w:ascii="Arial" w:hAnsi="Arial" w:eastAsia="方正黑体简体"/>
          <w:sz w:val="21"/>
          <w:szCs w:val="21"/>
          <w:highlight w:val="none"/>
          <w:lang w:eastAsia="zh-CN"/>
        </w:rPr>
        <w:t>解放军新闻传播中心出版社</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lang w:eastAsia="zh-CN"/>
        </w:rPr>
        <w:t>叶凌</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1119970111</w:t>
      </w:r>
      <w:r>
        <w:rPr>
          <w:rFonts w:ascii="Arial" w:hAnsi="Arial" w:eastAsia="方正黑体简体" w:cs="Arial"/>
          <w:sz w:val="21"/>
          <w:szCs w:val="21"/>
        </w:rPr>
        <w:t>）</w:t>
      </w:r>
      <w:r>
        <w:rPr>
          <w:rFonts w:hint="eastAsia" w:ascii="Arial" w:hAnsi="Arial" w:eastAsia="方正黑体简体"/>
          <w:sz w:val="21"/>
          <w:szCs w:val="21"/>
        </w:rPr>
        <w:t>、刘朝阳（注册号：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hint="eastAsia" w:ascii="Arial" w:hAnsi="Arial" w:eastAsia="方正黑体简体"/>
          <w:sz w:val="21"/>
          <w:szCs w:val="21"/>
          <w:highlight w:val="none"/>
          <w:lang w:eastAsia="zh-CN"/>
        </w:rPr>
      </w:pPr>
      <w:r>
        <w:rPr>
          <w:rFonts w:hint="eastAsia" w:ascii="Arial" w:hAnsi="Arial" w:eastAsia="方正黑体简体"/>
          <w:sz w:val="21"/>
          <w:szCs w:val="21"/>
          <w:lang w:eastAsia="zh-CN"/>
        </w:rPr>
        <w:t>2023年8月11日</w:t>
      </w:r>
    </w:p>
    <w:p>
      <w:pPr>
        <w:spacing w:line="320" w:lineRule="exact"/>
        <w:rPr>
          <w:rFonts w:ascii="Arial" w:hAnsi="Arial" w:eastAsia="方正黑体简体"/>
          <w:b/>
          <w:sz w:val="21"/>
          <w:szCs w:val="21"/>
          <w:highlight w:val="none"/>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footerReference r:id="rId8"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lang w:eastAsia="zh-CN"/>
        </w:rPr>
        <w:t>2023-1-0565-F01HDZC6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b/>
          <w:kern w:val="2"/>
          <w:sz w:val="21"/>
          <w:lang w:eastAsia="zh-CN"/>
        </w:rPr>
        <w:t>解放军新闻传播中心出版社</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w:t>
      </w:r>
      <w:r>
        <w:rPr>
          <w:rFonts w:hint="eastAsia" w:ascii="Arial" w:hAnsi="Arial"/>
          <w:kern w:val="2"/>
          <w:sz w:val="21"/>
          <w:lang w:eastAsia="zh-CN"/>
        </w:rPr>
        <w:t>贵社</w:t>
      </w:r>
      <w:r>
        <w:rPr>
          <w:rFonts w:hint="eastAsia" w:ascii="Arial" w:hAnsi="Arial"/>
          <w:kern w:val="2"/>
          <w:sz w:val="21"/>
        </w:rPr>
        <w:t>委托，我公司对北京市海淀区</w:t>
      </w:r>
      <w:r>
        <w:rPr>
          <w:rFonts w:hint="eastAsia" w:ascii="Arial" w:hAnsi="Arial"/>
          <w:kern w:val="2"/>
          <w:sz w:val="21"/>
          <w:lang w:eastAsia="zh-CN"/>
        </w:rPr>
        <w:t>大慧寺路5号院2号楼5单元5号住宅用房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w:t>
      </w:r>
      <w:r>
        <w:rPr>
          <w:rFonts w:hint="eastAsia" w:ascii="Arial" w:hAnsi="Arial"/>
          <w:kern w:val="2"/>
          <w:sz w:val="21"/>
          <w:lang w:eastAsia="zh-CN"/>
        </w:rPr>
        <w:t>及《房屋所有权证》</w:t>
      </w:r>
      <w:r>
        <w:rPr>
          <w:rFonts w:hint="eastAsia" w:ascii="Arial" w:hAnsi="Arial"/>
          <w:kern w:val="2"/>
          <w:sz w:val="21"/>
          <w:lang w:val="en-US" w:eastAsia="zh-CN"/>
        </w:rPr>
        <w:t>[京房权证军政海更1字第00477号]部分复印件</w:t>
      </w:r>
      <w:r>
        <w:rPr>
          <w:rFonts w:hint="eastAsia" w:ascii="Arial" w:hAnsi="Arial"/>
          <w:kern w:val="2"/>
          <w:sz w:val="21"/>
        </w:rPr>
        <w:t>，估价对象为北京市海淀区</w:t>
      </w:r>
      <w:r>
        <w:rPr>
          <w:rFonts w:hint="eastAsia" w:ascii="Arial" w:hAnsi="Arial"/>
          <w:kern w:val="2"/>
          <w:sz w:val="21"/>
          <w:lang w:eastAsia="zh-CN"/>
        </w:rPr>
        <w:t>大慧寺路5号院2号楼5单元5号住宅用房</w:t>
      </w:r>
      <w:r>
        <w:rPr>
          <w:rFonts w:hint="eastAsia" w:ascii="Arial" w:hAnsi="Arial"/>
          <w:kern w:val="2"/>
          <w:sz w:val="21"/>
        </w:rPr>
        <w:t>，设定于价值时点不动产权利人为</w:t>
      </w:r>
      <w:r>
        <w:rPr>
          <w:rFonts w:hint="eastAsia" w:ascii="Arial" w:hAnsi="Arial"/>
          <w:kern w:val="2"/>
          <w:sz w:val="21"/>
          <w:lang w:eastAsia="zh-CN"/>
        </w:rPr>
        <w:t>王兴军</w:t>
      </w:r>
      <w:r>
        <w:rPr>
          <w:rFonts w:hint="eastAsia" w:ascii="Arial" w:hAnsi="Arial"/>
          <w:kern w:val="2"/>
          <w:sz w:val="21"/>
        </w:rPr>
        <w:t>，估价对象建筑面积为</w:t>
      </w:r>
      <w:r>
        <w:rPr>
          <w:rFonts w:hint="eastAsia" w:ascii="Arial" w:hAnsi="Arial"/>
          <w:kern w:val="2"/>
          <w:sz w:val="21"/>
          <w:lang w:val="en-US" w:eastAsia="zh-CN"/>
        </w:rPr>
        <w:t>103.59</w:t>
      </w:r>
      <w:r>
        <w:rPr>
          <w:rFonts w:hint="eastAsia" w:ascii="Arial" w:hAnsi="Arial"/>
          <w:kern w:val="2"/>
          <w:sz w:val="21"/>
        </w:rPr>
        <w:t>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hint="eastAsia" w:ascii="Arial" w:hAnsi="Arial" w:eastAsia="宋体"/>
          <w:sz w:val="21"/>
          <w:lang w:eastAsia="zh-CN"/>
        </w:rPr>
      </w:pPr>
      <w:r>
        <w:rPr>
          <w:rFonts w:hint="eastAsia" w:ascii="Arial" w:hAnsi="Arial"/>
          <w:b/>
          <w:bCs/>
          <w:sz w:val="21"/>
        </w:rPr>
        <w:t>价值时点：</w:t>
      </w:r>
      <w:r>
        <w:rPr>
          <w:rFonts w:hint="eastAsia" w:ascii="Arial" w:hAnsi="Arial"/>
          <w:sz w:val="21"/>
          <w:lang w:eastAsia="zh-CN"/>
        </w:rPr>
        <w:t>2003年8月15日</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w:t>
      </w:r>
      <w:r>
        <w:rPr>
          <w:rFonts w:hint="eastAsia" w:ascii="Arial" w:hAnsi="Arial"/>
          <w:sz w:val="21"/>
          <w:szCs w:val="28"/>
          <w:lang w:eastAsia="zh-CN"/>
        </w:rPr>
        <w:t>2003年8月15日</w:t>
      </w:r>
      <w:r>
        <w:rPr>
          <w:rFonts w:hint="eastAsia" w:ascii="Arial" w:hAnsi="Arial"/>
          <w:sz w:val="21"/>
          <w:szCs w:val="28"/>
        </w:rPr>
        <w:t>，估价对象用途为住宅，根据估价委托人介绍及提供的《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》，估价对象室内装修情况设定为简单装修（涂料顶棚、涂料墙面、</w:t>
      </w:r>
      <w:r>
        <w:rPr>
          <w:rFonts w:hint="eastAsia" w:ascii="Arial" w:hAnsi="Arial"/>
          <w:sz w:val="21"/>
          <w:szCs w:val="28"/>
          <w:lang w:eastAsia="zh-CN"/>
        </w:rPr>
        <w:t>水泥地面</w:t>
      </w:r>
      <w:r>
        <w:rPr>
          <w:rFonts w:hint="eastAsia" w:ascii="Arial" w:hAnsi="Arial"/>
          <w:sz w:val="21"/>
          <w:szCs w:val="28"/>
        </w:rPr>
        <w:t>），</w:t>
      </w:r>
      <w:r>
        <w:rPr>
          <w:rFonts w:ascii="Arial" w:hAnsi="Arial"/>
          <w:sz w:val="21"/>
          <w:szCs w:val="28"/>
        </w:rPr>
        <w:t>土地</w:t>
      </w:r>
      <w:r>
        <w:rPr>
          <w:rFonts w:hint="eastAsia" w:ascii="Arial" w:hAnsi="Arial"/>
          <w:sz w:val="21"/>
          <w:szCs w:val="28"/>
        </w:rPr>
        <w:t>使用权类型设定</w:t>
      </w:r>
      <w:r>
        <w:rPr>
          <w:rFonts w:ascii="Arial" w:hAnsi="Arial"/>
          <w:sz w:val="21"/>
          <w:szCs w:val="28"/>
        </w:rPr>
        <w:t>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hint="eastAsia"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ind w:firstLine="420" w:firstLineChars="200"/>
        <w:rPr>
          <w:rFonts w:hint="eastAsia" w:ascii="Arial" w:hAnsi="Arial"/>
          <w:sz w:val="21"/>
        </w:rPr>
      </w:pPr>
    </w:p>
    <w:p>
      <w:pPr>
        <w:spacing w:line="480" w:lineRule="auto"/>
        <w:ind w:firstLine="420" w:firstLineChars="200"/>
        <w:rPr>
          <w:rFonts w:hint="eastAsia" w:ascii="Arial" w:hAnsi="Arial"/>
          <w:sz w:val="21"/>
        </w:rPr>
      </w:pP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4078</w:t>
            </w:r>
          </w:p>
        </w:tc>
        <w:tc>
          <w:tcPr>
            <w:tcW w:w="2736" w:type="dxa"/>
            <w:shd w:val="clear" w:color="auto" w:fill="auto"/>
            <w:vAlign w:val="center"/>
          </w:tcPr>
          <w:p>
            <w:pPr>
              <w:widowControl/>
              <w:adjustRightInd/>
              <w:spacing w:line="240" w:lineRule="auto"/>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5997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hint="default" w:ascii="Arial" w:hAnsi="Arial" w:eastAsia="华文细黑" w:cs="Arial"/>
                <w:sz w:val="18"/>
                <w:szCs w:val="18"/>
                <w:lang w:val="en-US" w:eastAsia="zh-CN"/>
              </w:rPr>
            </w:pPr>
            <w:r>
              <w:rPr>
                <w:rFonts w:hint="eastAsia" w:ascii="Arial" w:hAnsi="Arial" w:eastAsia="华文细黑" w:cs="Arial"/>
                <w:sz w:val="18"/>
                <w:szCs w:val="18"/>
                <w:lang w:val="en-US" w:eastAsia="zh-CN"/>
              </w:rPr>
              <w:t>4462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hint="default" w:ascii="Arial" w:hAnsi="Arial" w:eastAsia="华文细黑" w:cs="宋体"/>
                <w:sz w:val="18"/>
                <w:szCs w:val="18"/>
                <w:lang w:val="en-US" w:eastAsia="zh-CN"/>
              </w:rPr>
            </w:pPr>
            <w:r>
              <w:rPr>
                <w:rFonts w:hint="eastAsia" w:ascii="Arial" w:hAnsi="Arial" w:eastAsia="华文细黑" w:cs="宋体"/>
                <w:sz w:val="18"/>
                <w:szCs w:val="18"/>
                <w:lang w:val="en-US" w:eastAsia="zh-CN"/>
              </w:rPr>
              <w:t>462219</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肆拾陆万贰仟贰佰壹拾玖元整</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元/平方米</w:t>
      </w:r>
      <w:r>
        <w:rPr>
          <w:rFonts w:hint="eastAsia" w:ascii="Arial" w:hAnsi="Arial" w:eastAsia="华文细黑" w:cs="Arial"/>
          <w:sz w:val="18"/>
          <w:szCs w:val="18"/>
          <w:lang w:eastAsia="zh-CN"/>
        </w:rPr>
        <w:t>、元</w:t>
      </w:r>
      <w:r>
        <w:rPr>
          <w:rFonts w:ascii="Arial" w:hAnsi="Arial" w:eastAsia="华文细黑" w:cs="Arial"/>
          <w:sz w:val="18"/>
          <w:szCs w:val="18"/>
        </w:rPr>
        <w:t>（币种：人民币）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hint="default" w:ascii="Arial" w:hAnsi="Arial" w:eastAsia="华文细黑"/>
                <w:sz w:val="18"/>
                <w:szCs w:val="18"/>
                <w:lang w:val="en-US" w:eastAsia="zh-CN"/>
              </w:rPr>
            </w:pPr>
            <w:r>
              <w:rPr>
                <w:rFonts w:hint="eastAsia" w:ascii="Arial" w:hAnsi="Arial" w:eastAsia="华文细黑"/>
                <w:sz w:val="18"/>
                <w:szCs w:val="18"/>
                <w:lang w:val="en-US" w:eastAsia="zh-CN"/>
              </w:rPr>
              <w:t>1980年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设定为有偿（出让）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rPr>
          <w:rFonts w:ascii="Arial" w:hAnsi="Arial"/>
          <w:sz w:val="21"/>
        </w:rPr>
      </w:pPr>
      <w:r>
        <w:rPr>
          <w:rFonts w:hint="eastAsia" w:ascii="华文楷体" w:hAnsi="华文楷体" w:eastAsia="华文楷体" w:cs="华文楷体"/>
          <w:sz w:val="21"/>
          <w:szCs w:val="22"/>
        </w:rPr>
        <w:t>（本页无正文）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blPrEx>
          <w:tblCellMar>
            <w:top w:w="0" w:type="dxa"/>
            <w:left w:w="108" w:type="dxa"/>
            <w:bottom w:w="0" w:type="dxa"/>
            <w:right w:w="108" w:type="dxa"/>
          </w:tblCellMar>
        </w:tblPrEx>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highlight w:val="none"/>
              </w:rPr>
            </w:pPr>
            <w:r>
              <w:rPr>
                <w:rFonts w:ascii="Arial" w:hAnsi="Arial" w:cs="Arial"/>
                <w:sz w:val="21"/>
                <w:szCs w:val="21"/>
                <w:highlight w:val="none"/>
              </w:rPr>
              <w:t>二</w:t>
            </w:r>
            <w:r>
              <w:rPr>
                <w:rFonts w:hint="eastAsia" w:ascii="Arial" w:hAnsi="Arial" w:cs="Arial"/>
                <w:sz w:val="21"/>
                <w:szCs w:val="21"/>
                <w:highlight w:val="none"/>
              </w:rPr>
              <w:t>○二</w:t>
            </w:r>
            <w:r>
              <w:rPr>
                <w:rFonts w:hint="eastAsia" w:ascii="Arial" w:hAnsi="Arial" w:cs="Arial"/>
                <w:sz w:val="21"/>
                <w:szCs w:val="21"/>
                <w:highlight w:val="none"/>
                <w:lang w:eastAsia="zh-CN"/>
              </w:rPr>
              <w:t>三</w:t>
            </w:r>
            <w:r>
              <w:rPr>
                <w:rFonts w:ascii="Arial" w:hAnsi="Arial" w:cs="Arial"/>
                <w:sz w:val="21"/>
                <w:szCs w:val="21"/>
                <w:highlight w:val="none"/>
              </w:rPr>
              <w:t>年</w:t>
            </w:r>
            <w:r>
              <w:rPr>
                <w:rFonts w:hint="eastAsia" w:ascii="Arial" w:hAnsi="Arial" w:cs="Arial"/>
                <w:sz w:val="21"/>
                <w:szCs w:val="21"/>
                <w:highlight w:val="none"/>
                <w:lang w:eastAsia="zh-CN"/>
              </w:rPr>
              <w:t>八</w:t>
            </w:r>
            <w:r>
              <w:rPr>
                <w:rFonts w:hint="eastAsia" w:ascii="Arial" w:hAnsi="Arial" w:cs="Arial"/>
                <w:sz w:val="21"/>
                <w:szCs w:val="21"/>
                <w:highlight w:val="none"/>
              </w:rPr>
              <w:t>月</w:t>
            </w:r>
            <w:r>
              <w:rPr>
                <w:rFonts w:hint="eastAsia" w:ascii="Arial" w:hAnsi="Arial" w:cs="Arial"/>
                <w:sz w:val="21"/>
                <w:szCs w:val="21"/>
                <w:highlight w:val="none"/>
                <w:lang w:eastAsia="zh-CN"/>
              </w:rPr>
              <w:t>十一</w:t>
            </w:r>
            <w:r>
              <w:rPr>
                <w:rFonts w:hint="eastAsia" w:ascii="Arial" w:hAnsi="Arial" w:cs="Arial"/>
                <w:sz w:val="21"/>
                <w:szCs w:val="21"/>
                <w:highlight w:val="none"/>
              </w:rPr>
              <w:t>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9" w:type="default"/>
          <w:pgSz w:w="11907" w:h="16840"/>
          <w:pgMar w:top="1843" w:right="1304" w:bottom="1134" w:left="1304" w:header="1134" w:footer="907" w:gutter="0"/>
          <w:pgNumType w:start="1"/>
          <w:cols w:space="0" w:num="1"/>
          <w:rtlGutter w:val="0"/>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hint="eastAsia" w:ascii="Arial" w:hAnsi="Arial" w:eastAsia="宋体" w:cs="Arial"/>
          <w:kern w:val="2"/>
          <w:sz w:val="21"/>
          <w:szCs w:val="21"/>
          <w:lang w:eastAsia="zh-CN"/>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lang w:val="en-US" w:eastAsia="zh-CN"/>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估价对象相关照片</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《房屋所有权证》[</w:t>
      </w:r>
      <w:r>
        <w:rPr>
          <w:rFonts w:hint="eastAsia" w:ascii="Arial" w:hAnsi="Arial"/>
          <w:kern w:val="2"/>
          <w:sz w:val="21"/>
          <w:lang w:val="en-US" w:eastAsia="zh-CN"/>
        </w:rPr>
        <w:t>京房权证军政海更1字第00477号</w:t>
      </w:r>
      <w:r>
        <w:rPr>
          <w:rFonts w:hint="eastAsia" w:ascii="Arial" w:hAnsi="Arial" w:cs="Arial"/>
          <w:sz w:val="21"/>
          <w:szCs w:val="24"/>
        </w:rPr>
        <w:t>]</w:t>
      </w:r>
      <w:r>
        <w:rPr>
          <w:rFonts w:hint="eastAsia" w:ascii="Arial" w:hAnsi="Arial"/>
          <w:kern w:val="2"/>
          <w:sz w:val="21"/>
          <w:lang w:val="en-US" w:eastAsia="zh-CN"/>
        </w:rPr>
        <w:t>部分复印件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304" w:bottom="1134" w:left="1304" w:header="1134" w:footer="907" w:gutter="0"/>
          <w:cols w:space="0" w:num="1"/>
          <w:rtlGutter w:val="0"/>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500322960"/>
      <w:bookmarkStart w:id="2" w:name="_Toc379795041"/>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wordWrap w:val="0"/>
        <w:overflowPunct w:val="0"/>
        <w:spacing w:line="480" w:lineRule="auto"/>
        <w:jc w:val="both"/>
        <w:textAlignment w:val="auto"/>
        <w:outlineLvl w:val="0"/>
        <w:rPr>
          <w:rFonts w:ascii="Arial" w:hAnsi="Arial" w:cs="Arial"/>
          <w:color w:val="auto"/>
          <w:kern w:val="2"/>
          <w:sz w:val="21"/>
          <w:szCs w:val="21"/>
        </w:rPr>
      </w:pPr>
      <w:r>
        <w:rPr>
          <w:rFonts w:ascii="Arial" w:hAnsi="Arial" w:cs="Arial"/>
          <w:color w:val="auto"/>
          <w:kern w:val="2"/>
          <w:sz w:val="21"/>
          <w:szCs w:val="21"/>
        </w:rPr>
        <w:t>（一</w:t>
      </w:r>
      <w:r>
        <w:rPr>
          <w:rFonts w:hint="eastAsia" w:ascii="Arial" w:hAnsi="Arial" w:cs="Arial"/>
          <w:color w:val="auto"/>
          <w:kern w:val="2"/>
          <w:sz w:val="21"/>
          <w:szCs w:val="21"/>
        </w:rPr>
        <w:t>）</w:t>
      </w:r>
      <w:r>
        <w:rPr>
          <w:rFonts w:ascii="Arial" w:hAnsi="Arial" w:cs="Arial"/>
          <w:color w:val="auto"/>
          <w:kern w:val="2"/>
          <w:sz w:val="21"/>
          <w:szCs w:val="21"/>
        </w:rPr>
        <w:t>注册房地产估价师在本估价报告中对事实的说明是真实的和准确的，没有虚假记载、误导性陈述和重大遗漏。</w:t>
      </w:r>
    </w:p>
    <w:p>
      <w:pPr>
        <w:wordWrap w:val="0"/>
        <w:overflowPunct w:val="0"/>
        <w:spacing w:line="480" w:lineRule="auto"/>
        <w:jc w:val="both"/>
        <w:textAlignment w:val="auto"/>
        <w:outlineLvl w:val="0"/>
        <w:rPr>
          <w:rFonts w:ascii="Arial" w:hAnsi="Arial" w:cs="Arial"/>
          <w:color w:val="auto"/>
          <w:kern w:val="2"/>
          <w:sz w:val="21"/>
          <w:szCs w:val="21"/>
        </w:rPr>
      </w:pPr>
      <w:r>
        <w:rPr>
          <w:rFonts w:hint="eastAsia" w:ascii="Arial" w:hAnsi="Arial" w:cs="Arial"/>
          <w:color w:val="auto"/>
          <w:kern w:val="2"/>
          <w:sz w:val="21"/>
          <w:szCs w:val="21"/>
        </w:rPr>
        <w:t>（二）</w:t>
      </w:r>
      <w:r>
        <w:rPr>
          <w:rFonts w:ascii="Arial" w:hAnsi="Arial" w:cs="Arial"/>
          <w:color w:val="auto"/>
          <w:kern w:val="2"/>
          <w:sz w:val="21"/>
          <w:szCs w:val="21"/>
        </w:rPr>
        <w:t>本估价报告中的分析、意见和结论是注册房地产估价师独立、客观、公正的专业分析、意见和结论，但受到本估价报告中已说明的估价假设和限制条件的限制。</w:t>
      </w:r>
    </w:p>
    <w:p>
      <w:pPr>
        <w:wordWrap w:val="0"/>
        <w:overflowPunct w:val="0"/>
        <w:spacing w:line="480" w:lineRule="auto"/>
        <w:jc w:val="both"/>
        <w:textAlignment w:val="auto"/>
        <w:outlineLvl w:val="0"/>
        <w:rPr>
          <w:rFonts w:ascii="Arial" w:hAnsi="Arial" w:cs="Arial"/>
          <w:color w:val="auto"/>
          <w:kern w:val="2"/>
          <w:sz w:val="21"/>
          <w:szCs w:val="21"/>
        </w:rPr>
      </w:pPr>
      <w:r>
        <w:rPr>
          <w:rFonts w:ascii="Arial" w:hAnsi="Arial" w:cs="Arial"/>
          <w:color w:val="auto"/>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olor w:val="auto"/>
          <w:kern w:val="2"/>
          <w:sz w:val="21"/>
          <w:szCs w:val="21"/>
        </w:rPr>
      </w:pPr>
      <w:r>
        <w:rPr>
          <w:rFonts w:ascii="Arial" w:hAnsi="Arial" w:cs="Arial"/>
          <w:color w:val="auto"/>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textAlignment w:val="auto"/>
        <w:rPr>
          <w:rFonts w:ascii="Arial" w:hAnsi="Arial"/>
          <w:color w:val="auto"/>
          <w:sz w:val="21"/>
          <w:szCs w:val="21"/>
        </w:rPr>
      </w:pPr>
      <w:bookmarkStart w:id="3" w:name="_Toc168225811"/>
    </w:p>
    <w:p>
      <w:pPr>
        <w:overflowPunct w:val="0"/>
        <w:spacing w:line="480" w:lineRule="auto"/>
        <w:jc w:val="both"/>
        <w:textAlignment w:val="auto"/>
        <w:outlineLvl w:val="0"/>
        <w:rPr>
          <w:rFonts w:ascii="Arial" w:hAnsi="Arial"/>
          <w:color w:val="auto"/>
          <w:kern w:val="2"/>
          <w:sz w:val="21"/>
          <w:szCs w:val="21"/>
        </w:rPr>
        <w:sectPr>
          <w:headerReference r:id="rId11" w:type="first"/>
          <w:footerReference r:id="rId12" w:type="first"/>
          <w:headerReference r:id="rId10" w:type="default"/>
          <w:pgSz w:w="11907" w:h="16840"/>
          <w:pgMar w:top="1843" w:right="1304" w:bottom="1134" w:left="1304" w:header="1134" w:footer="907" w:gutter="0"/>
          <w:cols w:space="0" w:num="1"/>
          <w:rtlGutter w:val="0"/>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379795042"/>
      <w:bookmarkStart w:id="5" w:name="_Toc500322961"/>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r>
        <w:rPr>
          <w:rFonts w:hint="eastAsia" w:ascii="Arial" w:hAnsi="Arial"/>
          <w:kern w:val="2"/>
          <w:sz w:val="21"/>
        </w:rPr>
        <w:t>《估价委托书》</w:t>
      </w:r>
      <w:r>
        <w:rPr>
          <w:rFonts w:ascii="Arial" w:hAnsi="Arial" w:cs="Arial"/>
          <w:sz w:val="21"/>
        </w:rPr>
        <w:t>上载明的为</w:t>
      </w:r>
      <w:r>
        <w:rPr>
          <w:rFonts w:hint="eastAsia" w:ascii="Arial" w:hAnsi="Arial" w:cs="Arial"/>
          <w:sz w:val="21"/>
          <w:lang w:eastAsia="zh-CN"/>
        </w:rPr>
        <w:t>依据</w:t>
      </w:r>
      <w:r>
        <w:rPr>
          <w:rFonts w:hint="eastAsia" w:ascii="Arial" w:hAnsi="Arial" w:cs="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（2）根据《估价委托书》，本报告设定估价对象内部装修情况为简单装修（涂料顶棚、涂料墙面、</w:t>
      </w:r>
      <w:r>
        <w:rPr>
          <w:rFonts w:hint="eastAsia" w:ascii="宋体" w:hAnsi="宋体"/>
          <w:sz w:val="21"/>
          <w:szCs w:val="21"/>
          <w:lang w:eastAsia="zh-CN"/>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w:t>
      </w:r>
      <w:r>
        <w:rPr>
          <w:rFonts w:hint="eastAsia" w:ascii="Arial" w:hAnsi="Arial"/>
          <w:kern w:val="2"/>
          <w:sz w:val="21"/>
          <w:lang w:eastAsia="zh-CN"/>
        </w:rPr>
        <w:t>2003年8月15日</w:t>
      </w:r>
      <w:r>
        <w:rPr>
          <w:rFonts w:hint="eastAsia" w:ascii="Arial" w:hAnsi="Arial"/>
          <w:kern w:val="2"/>
          <w:sz w:val="21"/>
        </w:rPr>
        <w:t>，完成实地查勘日期为202</w:t>
      </w:r>
      <w:r>
        <w:rPr>
          <w:rFonts w:hint="eastAsia" w:ascii="Arial" w:hAnsi="Arial"/>
          <w:kern w:val="2"/>
          <w:sz w:val="21"/>
          <w:lang w:val="en-US" w:eastAsia="zh-CN"/>
        </w:rPr>
        <w:t>3</w:t>
      </w:r>
      <w:r>
        <w:rPr>
          <w:rFonts w:hint="eastAsia" w:ascii="Arial" w:hAnsi="Arial"/>
          <w:kern w:val="2"/>
          <w:sz w:val="21"/>
        </w:rPr>
        <w:t>年</w:t>
      </w:r>
      <w:r>
        <w:rPr>
          <w:rFonts w:hint="eastAsia" w:ascii="Arial" w:hAnsi="Arial"/>
          <w:kern w:val="2"/>
          <w:sz w:val="21"/>
          <w:lang w:val="en-US" w:eastAsia="zh-CN"/>
        </w:rPr>
        <w:t>7</w:t>
      </w:r>
      <w:r>
        <w:rPr>
          <w:rFonts w:hint="eastAsia" w:ascii="Arial" w:hAnsi="Arial"/>
          <w:kern w:val="2"/>
          <w:sz w:val="21"/>
        </w:rPr>
        <w:t>月2</w:t>
      </w:r>
      <w:r>
        <w:rPr>
          <w:rFonts w:hint="eastAsia" w:ascii="Arial" w:hAnsi="Arial"/>
          <w:kern w:val="2"/>
          <w:sz w:val="21"/>
          <w:lang w:val="en-US" w:eastAsia="zh-CN"/>
        </w:rPr>
        <w:t>6</w:t>
      </w:r>
      <w:r>
        <w:rPr>
          <w:rFonts w:hint="eastAsia" w:ascii="Arial" w:hAnsi="Arial"/>
          <w:kern w:val="2"/>
          <w:sz w:val="21"/>
        </w:rPr>
        <w:t>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3.不相一致假设</w:t>
      </w:r>
    </w:p>
    <w:p>
      <w:pPr>
        <w:overflowPunct w:val="0"/>
        <w:spacing w:line="480" w:lineRule="auto"/>
        <w:ind w:firstLine="420" w:firstLineChars="200"/>
        <w:jc w:val="both"/>
        <w:textAlignment w:val="auto"/>
        <w:rPr>
          <w:rFonts w:ascii="Arial" w:hAnsi="Arial"/>
          <w:sz w:val="21"/>
        </w:rPr>
      </w:pPr>
      <w:r>
        <w:rPr>
          <w:rFonts w:hint="eastAsia" w:ascii="Arial" w:hAnsi="Arial"/>
          <w:sz w:val="21"/>
          <w:lang w:eastAsia="zh-CN"/>
        </w:rPr>
        <w:t>根据《估价委托书》</w:t>
      </w:r>
      <w:r>
        <w:rPr>
          <w:rFonts w:hint="eastAsia" w:ascii="Arial" w:hAnsi="Arial"/>
          <w:sz w:val="21"/>
        </w:rPr>
        <w:t>，</w:t>
      </w:r>
      <w:r>
        <w:rPr>
          <w:rFonts w:hint="eastAsia" w:ascii="Arial" w:hAnsi="Arial"/>
          <w:sz w:val="21"/>
          <w:lang w:eastAsia="zh-CN"/>
        </w:rPr>
        <w:t>估价对象地址为北京市海淀区大慧寺路</w:t>
      </w:r>
      <w:r>
        <w:rPr>
          <w:rFonts w:hint="eastAsia" w:ascii="Arial" w:hAnsi="Arial"/>
          <w:sz w:val="21"/>
          <w:lang w:val="en-US" w:eastAsia="zh-CN"/>
        </w:rPr>
        <w:t>5号院2号楼5单元5号，根据评估专业人员实地查勘及估价委托人提供的</w:t>
      </w:r>
      <w:r>
        <w:rPr>
          <w:rFonts w:hint="eastAsia" w:ascii="Arial" w:hAnsi="Arial"/>
          <w:kern w:val="2"/>
          <w:sz w:val="21"/>
          <w:lang w:eastAsia="zh-CN"/>
        </w:rPr>
        <w:t>《房屋所有权证》</w:t>
      </w:r>
      <w:r>
        <w:rPr>
          <w:rFonts w:hint="eastAsia" w:ascii="Arial" w:hAnsi="Arial"/>
          <w:kern w:val="2"/>
          <w:sz w:val="21"/>
          <w:lang w:val="en-US" w:eastAsia="zh-CN"/>
        </w:rPr>
        <w:t>[京房权证军政海更1字第00477号]部分复印件</w:t>
      </w:r>
      <w:r>
        <w:rPr>
          <w:rFonts w:hint="eastAsia" w:ascii="Arial" w:hAnsi="Arial"/>
          <w:sz w:val="21"/>
          <w:lang w:val="en-US" w:eastAsia="zh-CN"/>
        </w:rPr>
        <w:t>，</w:t>
      </w:r>
      <w:r>
        <w:rPr>
          <w:rFonts w:hint="eastAsia" w:ascii="Arial" w:hAnsi="Arial"/>
          <w:sz w:val="21"/>
          <w:lang w:eastAsia="zh-CN"/>
        </w:rPr>
        <w:t>估价对象地址为北京市海淀区大慧寺路</w:t>
      </w:r>
      <w:r>
        <w:rPr>
          <w:rFonts w:hint="eastAsia" w:ascii="Arial" w:hAnsi="Arial"/>
          <w:sz w:val="21"/>
          <w:lang w:val="en-US" w:eastAsia="zh-CN"/>
        </w:rPr>
        <w:t>5号2号楼5单元5号，</w:t>
      </w:r>
      <w:r>
        <w:rPr>
          <w:rFonts w:hint="eastAsia" w:ascii="Arial" w:hAnsi="Arial"/>
          <w:sz w:val="21"/>
        </w:rPr>
        <w:t>本次评估设定</w:t>
      </w:r>
      <w:r>
        <w:rPr>
          <w:rFonts w:hint="eastAsia" w:ascii="Arial" w:hAnsi="Arial"/>
          <w:sz w:val="21"/>
          <w:lang w:eastAsia="zh-CN"/>
        </w:rPr>
        <w:t>《估价委托书》所</w:t>
      </w:r>
      <w:r>
        <w:rPr>
          <w:rFonts w:hint="eastAsia" w:ascii="Arial" w:hAnsi="Arial"/>
          <w:kern w:val="2"/>
          <w:sz w:val="21"/>
        </w:rPr>
        <w:t>载明的房屋坐落与</w:t>
      </w:r>
      <w:r>
        <w:rPr>
          <w:rFonts w:hint="eastAsia" w:ascii="Arial" w:hAnsi="Arial"/>
          <w:sz w:val="21"/>
        </w:rPr>
        <w:t>评估专业人员实地查勘</w:t>
      </w:r>
      <w:r>
        <w:rPr>
          <w:rFonts w:hint="eastAsia" w:ascii="Arial" w:hAnsi="Arial"/>
          <w:sz w:val="21"/>
          <w:lang w:val="en-US" w:eastAsia="zh-CN"/>
        </w:rPr>
        <w:t>及估价委托人提供的</w:t>
      </w:r>
      <w:r>
        <w:rPr>
          <w:rFonts w:hint="eastAsia" w:ascii="Arial" w:hAnsi="Arial"/>
          <w:kern w:val="2"/>
          <w:sz w:val="21"/>
          <w:lang w:eastAsia="zh-CN"/>
        </w:rPr>
        <w:t>《房屋所有权证》</w:t>
      </w:r>
      <w:r>
        <w:rPr>
          <w:rFonts w:hint="eastAsia" w:ascii="Arial" w:hAnsi="Arial"/>
          <w:kern w:val="2"/>
          <w:sz w:val="21"/>
          <w:lang w:val="en-US" w:eastAsia="zh-CN"/>
        </w:rPr>
        <w:t>[京房权证军政海更1字第00477号]部分复印件所载明</w:t>
      </w:r>
      <w:r>
        <w:rPr>
          <w:rFonts w:hint="eastAsia" w:ascii="Arial" w:hAnsi="Arial"/>
          <w:sz w:val="21"/>
        </w:rPr>
        <w:t>的物业地址为同一物业地址。</w:t>
      </w:r>
      <w:r>
        <w:rPr>
          <w:rFonts w:hint="eastAsia" w:ascii="Arial" w:hAnsi="Arial"/>
          <w:kern w:val="2"/>
          <w:sz w:val="21"/>
        </w:rPr>
        <w:t>若估价对象实际情况与设定情况不符，则估价结果需要做相应的调整直至重新评估。</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color w:val="auto"/>
          <w:kern w:val="2"/>
          <w:sz w:val="21"/>
        </w:rPr>
      </w:pPr>
      <w:r>
        <w:rPr>
          <w:rFonts w:hint="eastAsia" w:ascii="Arial" w:hAnsi="Arial"/>
          <w:kern w:val="2"/>
          <w:sz w:val="21"/>
        </w:rPr>
        <w:t>8.</w:t>
      </w:r>
      <w:r>
        <w:rPr>
          <w:rFonts w:hint="eastAsia" w:ascii="Arial" w:hAnsi="Arial" w:cs="Arial"/>
          <w:kern w:val="2"/>
          <w:sz w:val="21"/>
        </w:rPr>
        <w:t>估价</w:t>
      </w:r>
      <w:r>
        <w:rPr>
          <w:rFonts w:hint="eastAsia" w:ascii="Arial" w:hAnsi="Arial" w:cs="Arial"/>
          <w:color w:val="auto"/>
          <w:kern w:val="2"/>
          <w:sz w:val="21"/>
        </w:rPr>
        <w:t>委托人应对其提供的权属证明以及其他资料的真实性、完整性和合法性负责</w:t>
      </w:r>
      <w:r>
        <w:rPr>
          <w:rFonts w:ascii="Arial" w:hAnsi="Arial" w:cs="Arial"/>
          <w:color w:val="auto"/>
          <w:kern w:val="2"/>
          <w:sz w:val="21"/>
        </w:rPr>
        <w:t>。如因资料失实或资料提供人有所隐匿而导致估价结果失真，估价机构不承担相应的责任。</w:t>
      </w:r>
      <w:r>
        <w:rPr>
          <w:rFonts w:ascii="Arial" w:hAnsi="Arial"/>
          <w:color w:val="auto"/>
          <w:kern w:val="2"/>
          <w:sz w:val="21"/>
        </w:rPr>
        <w:t>截至本</w:t>
      </w:r>
      <w:r>
        <w:rPr>
          <w:rFonts w:hint="eastAsia" w:ascii="Arial" w:hAnsi="Arial"/>
          <w:color w:val="auto"/>
          <w:kern w:val="2"/>
          <w:sz w:val="21"/>
        </w:rPr>
        <w:t>估价</w:t>
      </w:r>
      <w:r>
        <w:rPr>
          <w:rFonts w:ascii="Arial" w:hAnsi="Arial"/>
          <w:color w:val="auto"/>
          <w:kern w:val="2"/>
          <w:sz w:val="21"/>
        </w:rPr>
        <w:t>报告出具日，估价委托人未能提供估价对象</w:t>
      </w:r>
      <w:r>
        <w:rPr>
          <w:rFonts w:hint="eastAsia" w:ascii="Arial" w:hAnsi="Arial"/>
          <w:color w:val="auto"/>
          <w:kern w:val="2"/>
          <w:sz w:val="21"/>
          <w:lang w:eastAsia="zh-CN"/>
        </w:rPr>
        <w:t>《房屋所有权证》</w:t>
      </w:r>
      <w:r>
        <w:rPr>
          <w:rFonts w:hint="eastAsia" w:ascii="Arial" w:hAnsi="Arial"/>
          <w:color w:val="auto"/>
          <w:kern w:val="2"/>
          <w:sz w:val="21"/>
          <w:lang w:val="en-US" w:eastAsia="zh-CN"/>
        </w:rPr>
        <w:t>[京房权证军政海更1字第00477号]</w:t>
      </w:r>
      <w:r>
        <w:rPr>
          <w:rFonts w:ascii="Arial" w:hAnsi="Arial"/>
          <w:color w:val="auto"/>
          <w:kern w:val="2"/>
          <w:sz w:val="21"/>
        </w:rPr>
        <w:t>等相关资料原件供评估专业人员进行核对。提请</w:t>
      </w:r>
      <w:r>
        <w:rPr>
          <w:rFonts w:hint="eastAsia" w:ascii="Arial" w:hAnsi="Arial"/>
          <w:color w:val="auto"/>
          <w:kern w:val="2"/>
          <w:sz w:val="21"/>
        </w:rPr>
        <w:t>报告使用者</w:t>
      </w:r>
      <w:r>
        <w:rPr>
          <w:rFonts w:ascii="Arial" w:hAnsi="Arial"/>
          <w:color w:val="auto"/>
          <w:kern w:val="2"/>
          <w:sz w:val="21"/>
        </w:rPr>
        <w:t>注意</w:t>
      </w:r>
      <w:r>
        <w:rPr>
          <w:rFonts w:hint="eastAsia" w:ascii="Arial" w:hAnsi="Arial"/>
          <w:color w:val="auto"/>
          <w:kern w:val="2"/>
          <w:sz w:val="21"/>
        </w:rPr>
        <w:t>，</w:t>
      </w:r>
      <w:r>
        <w:rPr>
          <w:rFonts w:ascii="Arial" w:hAnsi="Arial"/>
          <w:color w:val="auto"/>
          <w:kern w:val="2"/>
          <w:sz w:val="21"/>
        </w:rPr>
        <w:t>并确定实际</w:t>
      </w:r>
      <w:r>
        <w:rPr>
          <w:rFonts w:hint="eastAsia" w:ascii="Arial" w:hAnsi="Arial"/>
          <w:color w:val="auto"/>
          <w:kern w:val="2"/>
          <w:sz w:val="21"/>
        </w:rPr>
        <w:t>不动产</w:t>
      </w:r>
      <w:r>
        <w:rPr>
          <w:rFonts w:ascii="Arial" w:hAnsi="Arial"/>
          <w:color w:val="auto"/>
          <w:kern w:val="2"/>
          <w:sz w:val="21"/>
        </w:rPr>
        <w:t>与本</w:t>
      </w:r>
      <w:r>
        <w:rPr>
          <w:rFonts w:hint="eastAsia" w:ascii="Arial" w:hAnsi="Arial"/>
          <w:color w:val="auto"/>
          <w:kern w:val="2"/>
          <w:sz w:val="21"/>
        </w:rPr>
        <w:t>估价</w:t>
      </w:r>
      <w:r>
        <w:rPr>
          <w:rFonts w:ascii="Arial" w:hAnsi="Arial"/>
          <w:color w:val="auto"/>
          <w:kern w:val="2"/>
          <w:sz w:val="21"/>
        </w:rPr>
        <w:t>报告估价对象是否一致，如有改变，需进行重新评估。</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highlight w:val="none"/>
        </w:rPr>
      </w:pPr>
      <w:r>
        <w:rPr>
          <w:rFonts w:hint="eastAsia" w:ascii="Arial" w:hAnsi="Arial"/>
          <w:sz w:val="21"/>
        </w:rPr>
        <w:t>10本估价报告在估价机构盖章和注册房地产估</w:t>
      </w:r>
      <w:r>
        <w:rPr>
          <w:rFonts w:hint="eastAsia" w:ascii="Arial" w:hAnsi="Arial"/>
          <w:sz w:val="21"/>
          <w:highlight w:val="none"/>
        </w:rPr>
        <w:t>价师签字或</w:t>
      </w:r>
      <w:r>
        <w:rPr>
          <w:rFonts w:ascii="Arial" w:hAnsi="Arial"/>
          <w:sz w:val="21"/>
          <w:highlight w:val="none"/>
        </w:rPr>
        <w:t>签章</w:t>
      </w:r>
      <w:r>
        <w:rPr>
          <w:rFonts w:hint="eastAsia" w:ascii="Arial" w:hAnsi="Arial"/>
          <w:sz w:val="21"/>
          <w:highlight w:val="none"/>
        </w:rPr>
        <w:t>的条件下有效。</w:t>
      </w:r>
    </w:p>
    <w:p>
      <w:pPr>
        <w:overflowPunct w:val="0"/>
        <w:spacing w:line="480" w:lineRule="auto"/>
        <w:ind w:firstLine="420" w:firstLineChars="200"/>
        <w:jc w:val="both"/>
        <w:textAlignment w:val="auto"/>
        <w:rPr>
          <w:rFonts w:ascii="Arial" w:hAnsi="Arial" w:cs="Arial"/>
          <w:kern w:val="2"/>
          <w:sz w:val="21"/>
          <w:highlight w:val="none"/>
        </w:rPr>
      </w:pPr>
      <w:r>
        <w:rPr>
          <w:rFonts w:hint="eastAsia" w:ascii="Arial" w:hAnsi="Arial"/>
          <w:kern w:val="2"/>
          <w:sz w:val="21"/>
          <w:highlight w:val="none"/>
        </w:rPr>
        <w:t>11.</w:t>
      </w:r>
      <w:r>
        <w:rPr>
          <w:rFonts w:ascii="Arial" w:hAnsi="Arial" w:cs="Arial"/>
          <w:kern w:val="2"/>
          <w:sz w:val="21"/>
          <w:highlight w:val="none"/>
        </w:rPr>
        <w:t>本估价报告自出具日起壹年内有效</w:t>
      </w:r>
      <w:r>
        <w:rPr>
          <w:rFonts w:hint="eastAsia" w:ascii="Arial" w:hAnsi="Arial" w:eastAsia="楷体_GB2312" w:cs="Arial"/>
          <w:sz w:val="28"/>
          <w:szCs w:val="26"/>
          <w:highlight w:val="none"/>
        </w:rPr>
        <w:t>（</w:t>
      </w:r>
      <w:r>
        <w:rPr>
          <w:rFonts w:hint="eastAsia" w:ascii="Arial" w:hAnsi="Arial" w:cs="Arial"/>
          <w:kern w:val="2"/>
          <w:sz w:val="21"/>
          <w:highlight w:val="none"/>
        </w:rPr>
        <w:t>即</w:t>
      </w:r>
      <w:r>
        <w:rPr>
          <w:rFonts w:hint="eastAsia" w:ascii="Arial" w:hAnsi="Arial" w:cs="Arial"/>
          <w:kern w:val="2"/>
          <w:sz w:val="21"/>
          <w:highlight w:val="none"/>
          <w:lang w:eastAsia="zh-CN"/>
        </w:rPr>
        <w:t>2023年8月11日</w:t>
      </w:r>
      <w:r>
        <w:rPr>
          <w:rFonts w:hint="eastAsia" w:ascii="Arial" w:hAnsi="Arial" w:cs="Arial"/>
          <w:kern w:val="2"/>
          <w:sz w:val="21"/>
          <w:highlight w:val="none"/>
        </w:rPr>
        <w:t>至202</w:t>
      </w:r>
      <w:r>
        <w:rPr>
          <w:rFonts w:hint="eastAsia" w:ascii="Arial" w:hAnsi="Arial" w:cs="Arial"/>
          <w:kern w:val="2"/>
          <w:sz w:val="21"/>
          <w:highlight w:val="none"/>
          <w:lang w:val="en-US" w:eastAsia="zh-CN"/>
        </w:rPr>
        <w:t>4</w:t>
      </w:r>
      <w:r>
        <w:rPr>
          <w:rFonts w:hint="eastAsia" w:ascii="Arial" w:hAnsi="Arial" w:cs="Arial"/>
          <w:kern w:val="2"/>
          <w:sz w:val="21"/>
          <w:highlight w:val="none"/>
        </w:rPr>
        <w:t>年</w:t>
      </w:r>
      <w:r>
        <w:rPr>
          <w:rFonts w:hint="eastAsia" w:ascii="Arial" w:hAnsi="Arial" w:cs="Arial"/>
          <w:kern w:val="2"/>
          <w:sz w:val="21"/>
          <w:highlight w:val="none"/>
          <w:lang w:val="en-US" w:eastAsia="zh-CN"/>
        </w:rPr>
        <w:t>8</w:t>
      </w:r>
      <w:r>
        <w:rPr>
          <w:rFonts w:hint="eastAsia" w:ascii="Arial" w:hAnsi="Arial" w:cs="Arial"/>
          <w:kern w:val="2"/>
          <w:sz w:val="21"/>
          <w:highlight w:val="none"/>
        </w:rPr>
        <w:t>月</w:t>
      </w:r>
      <w:r>
        <w:rPr>
          <w:rFonts w:hint="eastAsia" w:ascii="Arial" w:hAnsi="Arial" w:cs="Arial"/>
          <w:kern w:val="2"/>
          <w:sz w:val="21"/>
          <w:highlight w:val="none"/>
          <w:lang w:val="en-US" w:eastAsia="zh-CN"/>
        </w:rPr>
        <w:t>10</w:t>
      </w:r>
      <w:r>
        <w:rPr>
          <w:rFonts w:hint="eastAsia" w:ascii="Arial" w:hAnsi="Arial" w:cs="Arial"/>
          <w:kern w:val="2"/>
          <w:sz w:val="21"/>
          <w:highlight w:val="none"/>
        </w:rPr>
        <w:t>日</w:t>
      </w:r>
      <w:r>
        <w:rPr>
          <w:rFonts w:hint="eastAsia" w:ascii="Arial" w:hAnsi="Arial" w:eastAsia="楷体_GB2312" w:cs="Arial"/>
          <w:sz w:val="28"/>
          <w:szCs w:val="26"/>
          <w:highlight w:val="none"/>
        </w:rPr>
        <w:t>）</w:t>
      </w:r>
      <w:r>
        <w:rPr>
          <w:rFonts w:hint="eastAsia" w:ascii="Arial" w:hAnsi="Arial" w:cs="Arial"/>
          <w:kern w:val="2"/>
          <w:sz w:val="21"/>
          <w:highlight w:val="none"/>
        </w:rPr>
        <w:t>。</w:t>
      </w:r>
    </w:p>
    <w:p>
      <w:pPr>
        <w:overflowPunct w:val="0"/>
        <w:spacing w:line="480" w:lineRule="auto"/>
        <w:ind w:firstLine="420" w:firstLineChars="200"/>
        <w:jc w:val="both"/>
        <w:textAlignment w:val="auto"/>
        <w:rPr>
          <w:rFonts w:ascii="Arial" w:hAnsi="Arial"/>
          <w:kern w:val="2"/>
          <w:sz w:val="21"/>
        </w:rPr>
        <w:sectPr>
          <w:pgSz w:w="11907" w:h="16840"/>
          <w:pgMar w:top="1843" w:right="1304" w:bottom="1134" w:left="1304" w:header="1134" w:footer="907" w:gutter="0"/>
          <w:cols w:space="0" w:num="1"/>
          <w:rtlGutter w:val="0"/>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168225812"/>
      <w:bookmarkStart w:id="7" w:name="_Toc500322962"/>
      <w:r>
        <w:rPr>
          <w:rFonts w:hint="eastAsia" w:eastAsia="方正黑体简体"/>
          <w:b w:val="0"/>
          <w:kern w:val="2"/>
          <w:sz w:val="32"/>
          <w:szCs w:val="32"/>
        </w:rPr>
        <w:t>估价结果报告</w:t>
      </w:r>
      <w:bookmarkEnd w:id="6"/>
      <w:bookmarkEnd w:id="7"/>
    </w:p>
    <w:tbl>
      <w:tblPr>
        <w:tblStyle w:val="32"/>
        <w:tblW w:w="9334"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85" w:type="dxa"/>
          <w:bottom w:w="85" w:type="dxa"/>
          <w:right w:w="28" w:type="dxa"/>
        </w:tblCellMar>
      </w:tblPr>
      <w:tblGrid>
        <w:gridCol w:w="479"/>
        <w:gridCol w:w="180"/>
        <w:gridCol w:w="1486"/>
        <w:gridCol w:w="1539"/>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bookmarkStart w:id="8" w:name="_Toc168225824"/>
            <w:r>
              <w:rPr>
                <w:rFonts w:hint="eastAsia" w:ascii="Arial" w:hAnsi="Arial" w:eastAsia="华文细黑"/>
                <w:b/>
                <w:kern w:val="2"/>
                <w:sz w:val="18"/>
                <w:szCs w:val="21"/>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hint="eastAsia" w:ascii="Arial" w:hAnsi="Arial" w:eastAsia="华文细黑"/>
                <w:bCs/>
                <w:sz w:val="18"/>
                <w:szCs w:val="21"/>
                <w:lang w:eastAsia="zh-CN"/>
              </w:rPr>
            </w:pPr>
            <w:r>
              <w:rPr>
                <w:rFonts w:hint="eastAsia" w:ascii="Arial" w:hAnsi="Arial" w:eastAsia="华文细黑"/>
                <w:bCs/>
                <w:sz w:val="18"/>
                <w:szCs w:val="21"/>
              </w:rPr>
              <w:t>姓名</w:t>
            </w:r>
            <w:r>
              <w:rPr>
                <w:rFonts w:ascii="Arial" w:hAnsi="Arial" w:eastAsia="华文细黑"/>
                <w:bCs/>
                <w:sz w:val="18"/>
                <w:szCs w:val="21"/>
              </w:rPr>
              <w:t>：</w:t>
            </w:r>
            <w:r>
              <w:rPr>
                <w:rFonts w:hint="eastAsia" w:ascii="Arial" w:hAnsi="Arial" w:eastAsia="华文细黑"/>
                <w:bCs/>
                <w:sz w:val="18"/>
                <w:szCs w:val="21"/>
                <w:lang w:eastAsia="zh-CN"/>
              </w:rPr>
              <w:t>解放军新闻传播中心出版社</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注册地址：</w:t>
            </w:r>
            <w:r>
              <w:rPr>
                <w:rFonts w:ascii="Arial" w:hAnsi="Arial" w:eastAsia="华文细黑" w:cs="Arial"/>
                <w:sz w:val="18"/>
                <w:szCs w:val="21"/>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r>
              <w:rPr>
                <w:rFonts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
                <w:kern w:val="2"/>
                <w:sz w:val="18"/>
                <w:szCs w:val="21"/>
              </w:rPr>
              <w:t>三、估价目的：</w:t>
            </w:r>
            <w:r>
              <w:rPr>
                <w:rFonts w:hint="eastAsia" w:ascii="Arial" w:hAnsi="Arial" w:eastAsia="华文细黑"/>
                <w:kern w:val="2"/>
                <w:sz w:val="18"/>
                <w:szCs w:val="21"/>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hint="eastAsia" w:ascii="Arial" w:hAnsi="Arial" w:eastAsia="华文细黑" w:cs="Arial"/>
                <w:bCs/>
                <w:sz w:val="18"/>
                <w:szCs w:val="21"/>
                <w:lang w:eastAsia="zh-CN"/>
              </w:rPr>
            </w:pPr>
            <w:r>
              <w:rPr>
                <w:rFonts w:ascii="Arial" w:hAnsi="Arial" w:eastAsia="华文细黑" w:cs="Arial"/>
                <w:b/>
                <w:kern w:val="2"/>
                <w:sz w:val="18"/>
                <w:szCs w:val="21"/>
              </w:rPr>
              <w:t>四、价值时点：</w:t>
            </w:r>
            <w:r>
              <w:rPr>
                <w:rFonts w:hint="eastAsia" w:ascii="Arial" w:hAnsi="Arial" w:eastAsia="华文细黑" w:cs="Arial"/>
                <w:kern w:val="2"/>
                <w:sz w:val="18"/>
                <w:szCs w:val="21"/>
                <w:lang w:eastAsia="zh-CN"/>
              </w:rPr>
              <w:t>2003年8月15日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hint="eastAsia" w:ascii="Arial" w:hAnsi="Arial" w:eastAsia="华文细黑" w:cs="Arial"/>
                <w:bCs/>
                <w:sz w:val="18"/>
                <w:szCs w:val="21"/>
                <w:lang w:eastAsia="zh-CN"/>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w:t>
            </w:r>
            <w:r>
              <w:rPr>
                <w:rFonts w:hint="eastAsia" w:ascii="Arial" w:hAnsi="Arial" w:eastAsia="华文细黑" w:cs="Arial"/>
                <w:kern w:val="2"/>
                <w:sz w:val="18"/>
                <w:szCs w:val="21"/>
                <w:highlight w:val="none"/>
              </w:rPr>
              <w:t>2</w:t>
            </w:r>
            <w:r>
              <w:rPr>
                <w:rFonts w:hint="eastAsia" w:ascii="Arial" w:hAnsi="Arial" w:eastAsia="华文细黑" w:cs="Arial"/>
                <w:kern w:val="2"/>
                <w:sz w:val="18"/>
                <w:szCs w:val="21"/>
                <w:highlight w:val="none"/>
                <w:lang w:val="en-US" w:eastAsia="zh-CN"/>
              </w:rPr>
              <w:t>3</w:t>
            </w:r>
            <w:r>
              <w:rPr>
                <w:rFonts w:hint="eastAsia" w:ascii="Arial" w:hAnsi="Arial" w:eastAsia="华文细黑" w:cs="Arial"/>
                <w:kern w:val="2"/>
                <w:sz w:val="18"/>
                <w:szCs w:val="21"/>
                <w:highlight w:val="none"/>
              </w:rPr>
              <w:t>年</w:t>
            </w:r>
            <w:r>
              <w:rPr>
                <w:rFonts w:hint="eastAsia" w:ascii="Arial" w:hAnsi="Arial" w:eastAsia="华文细黑" w:cs="Arial"/>
                <w:kern w:val="2"/>
                <w:sz w:val="18"/>
                <w:szCs w:val="21"/>
                <w:highlight w:val="none"/>
                <w:lang w:val="en-US" w:eastAsia="zh-CN"/>
              </w:rPr>
              <w:t>7</w:t>
            </w:r>
            <w:r>
              <w:rPr>
                <w:rFonts w:hint="eastAsia" w:ascii="Arial" w:hAnsi="Arial" w:eastAsia="华文细黑" w:cs="Arial"/>
                <w:kern w:val="2"/>
                <w:sz w:val="18"/>
                <w:szCs w:val="21"/>
                <w:highlight w:val="none"/>
              </w:rPr>
              <w:t>月2</w:t>
            </w:r>
            <w:r>
              <w:rPr>
                <w:rFonts w:hint="eastAsia" w:ascii="Arial" w:hAnsi="Arial" w:eastAsia="华文细黑" w:cs="Arial"/>
                <w:kern w:val="2"/>
                <w:sz w:val="18"/>
                <w:szCs w:val="21"/>
                <w:highlight w:val="none"/>
                <w:lang w:val="en-US" w:eastAsia="zh-CN"/>
              </w:rPr>
              <w:t>6</w:t>
            </w:r>
            <w:r>
              <w:rPr>
                <w:rFonts w:hint="eastAsia" w:ascii="Arial" w:hAnsi="Arial" w:eastAsia="华文细黑" w:cs="Arial"/>
                <w:kern w:val="2"/>
                <w:sz w:val="18"/>
                <w:szCs w:val="21"/>
                <w:highlight w:val="none"/>
              </w:rPr>
              <w:t>日</w:t>
            </w:r>
            <w:r>
              <w:rPr>
                <w:rFonts w:ascii="Arial" w:hAnsi="Arial" w:eastAsia="华文细黑" w:cs="Arial"/>
                <w:kern w:val="2"/>
                <w:sz w:val="18"/>
                <w:szCs w:val="21"/>
                <w:highlight w:val="none"/>
              </w:rPr>
              <w:t>至</w:t>
            </w:r>
            <w:r>
              <w:rPr>
                <w:rFonts w:hint="eastAsia" w:ascii="Arial" w:hAnsi="Arial" w:eastAsia="华文细黑" w:cs="Arial"/>
                <w:kern w:val="2"/>
                <w:sz w:val="18"/>
                <w:szCs w:val="21"/>
                <w:highlight w:val="none"/>
                <w:lang w:eastAsia="zh-CN"/>
              </w:rPr>
              <w:t>2023年8月11日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Mar>
              <w:top w:w="85" w:type="dxa"/>
              <w:left w:w="85" w:type="dxa"/>
              <w:bottom w:w="85" w:type="dxa"/>
              <w:right w:w="28" w:type="dxa"/>
            </w:tcMar>
            <w:vAlign w:val="center"/>
          </w:tcPr>
          <w:p>
            <w:pPr>
              <w:spacing w:line="360" w:lineRule="auto"/>
              <w:jc w:val="both"/>
              <w:rPr>
                <w:rFonts w:hint="eastAsia" w:ascii="Arial" w:hAnsi="Arial" w:eastAsia="华文细黑" w:cs="Arial"/>
                <w:sz w:val="18"/>
                <w:szCs w:val="21"/>
                <w:lang w:eastAsia="zh-CN"/>
              </w:rPr>
            </w:pPr>
            <w:r>
              <w:rPr>
                <w:rFonts w:hint="eastAsia" w:ascii="Arial" w:hAnsi="Arial" w:eastAsia="华文细黑" w:cs="Arial"/>
                <w:sz w:val="18"/>
                <w:szCs w:val="21"/>
              </w:rPr>
              <w:t>估价对象：北京市海淀区</w:t>
            </w:r>
            <w:r>
              <w:rPr>
                <w:rFonts w:hint="eastAsia" w:ascii="Arial" w:hAnsi="Arial" w:eastAsia="华文细黑" w:cs="Arial"/>
                <w:sz w:val="18"/>
                <w:szCs w:val="21"/>
                <w:lang w:eastAsia="zh-CN"/>
              </w:rPr>
              <w:t>大慧寺路5号院2号楼5单元5号住宅用房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不动产权利人：王兴军</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房屋坐落：北京市海淀区</w:t>
            </w:r>
            <w:r>
              <w:rPr>
                <w:rFonts w:hint="eastAsia" w:ascii="Arial" w:hAnsi="Arial" w:eastAsia="华文细黑" w:cs="Arial"/>
                <w:sz w:val="18"/>
                <w:szCs w:val="21"/>
                <w:lang w:eastAsia="zh-CN"/>
              </w:rPr>
              <w:t>大慧寺路5号院2号楼5单元5号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房屋总层数：</w:t>
            </w:r>
            <w:r>
              <w:rPr>
                <w:rFonts w:hint="eastAsia" w:ascii="Arial" w:hAnsi="Arial" w:eastAsia="华文细黑" w:cs="Arial"/>
                <w:sz w:val="18"/>
                <w:szCs w:val="21"/>
              </w:rPr>
              <w:t>6</w:t>
            </w:r>
          </w:p>
        </w:tc>
        <w:tc>
          <w:tcPr>
            <w:tcW w:w="4689" w:type="dxa"/>
            <w:gridSpan w:val="7"/>
            <w:tcMar>
              <w:top w:w="85" w:type="dxa"/>
              <w:left w:w="85" w:type="dxa"/>
              <w:bottom w:w="85" w:type="dxa"/>
              <w:right w:w="28" w:type="dxa"/>
            </w:tcMar>
            <w:vAlign w:val="center"/>
          </w:tcPr>
          <w:p>
            <w:pPr>
              <w:spacing w:line="360" w:lineRule="auto"/>
              <w:rPr>
                <w:rFonts w:hint="eastAsia" w:ascii="Arial" w:hAnsi="Arial" w:eastAsia="华文细黑" w:cs="Arial"/>
                <w:sz w:val="18"/>
                <w:szCs w:val="21"/>
                <w:lang w:val="en-US" w:eastAsia="zh-CN"/>
              </w:rPr>
            </w:pPr>
            <w:r>
              <w:rPr>
                <w:rFonts w:ascii="Arial" w:hAnsi="Arial" w:eastAsia="华文细黑" w:cs="Arial"/>
                <w:sz w:val="18"/>
                <w:szCs w:val="21"/>
              </w:rPr>
              <w:t>所在层数：</w:t>
            </w:r>
            <w:r>
              <w:rPr>
                <w:rFonts w:hint="eastAsia" w:ascii="Arial" w:hAnsi="Arial" w:eastAsia="华文细黑" w:cs="Arial"/>
                <w:sz w:val="18"/>
                <w:szCs w:val="21"/>
                <w:lang w:val="en-US" w:eastAsia="zh-CN"/>
              </w:rPr>
              <w:t>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default" w:ascii="Arial" w:hAnsi="Arial" w:eastAsia="华文细黑" w:cs="Arial"/>
                <w:sz w:val="18"/>
                <w:szCs w:val="21"/>
                <w:lang w:val="en-US" w:eastAsia="zh-CN"/>
              </w:rPr>
            </w:pPr>
            <w:r>
              <w:rPr>
                <w:rFonts w:ascii="Arial" w:hAnsi="Arial" w:eastAsia="华文细黑" w:cs="Arial"/>
                <w:sz w:val="18"/>
                <w:szCs w:val="21"/>
              </w:rPr>
              <w:t>建筑面积（</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lang w:val="en-US" w:eastAsia="zh-CN"/>
              </w:rPr>
              <w:t>103.59</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结构：</w:t>
            </w:r>
            <w:r>
              <w:rPr>
                <w:rFonts w:hint="eastAsia" w:ascii="Arial" w:hAnsi="Arial" w:eastAsia="华文细黑" w:cs="Arial"/>
                <w:sz w:val="18"/>
                <w:szCs w:val="21"/>
              </w:rPr>
              <w:t>混合结构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房屋用途：</w:t>
            </w:r>
            <w:r>
              <w:rPr>
                <w:rFonts w:hint="eastAsia" w:ascii="Arial" w:hAnsi="Arial" w:eastAsia="华文细黑" w:cs="Arial"/>
                <w:sz w:val="18"/>
                <w:szCs w:val="21"/>
              </w:rPr>
              <w:t>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建成年代：</w:t>
            </w:r>
            <w:r>
              <w:rPr>
                <w:rFonts w:hint="eastAsia" w:ascii="Arial" w:hAnsi="Arial" w:eastAsia="华文细黑" w:cs="Arial"/>
                <w:sz w:val="18"/>
                <w:szCs w:val="21"/>
                <w:lang w:val="en-US" w:eastAsia="zh-CN"/>
              </w:rPr>
              <w:t>1980</w:t>
            </w:r>
            <w:r>
              <w:rPr>
                <w:rFonts w:hint="eastAsia" w:ascii="Arial" w:hAnsi="Arial" w:eastAsia="华文细黑" w:cs="Arial"/>
                <w:sz w:val="18"/>
                <w:szCs w:val="21"/>
              </w:rPr>
              <w:t>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lang w:eastAsia="zh-CN"/>
              </w:rPr>
              <w:t>朝向：设定为南北</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现状用途：</w:t>
            </w:r>
            <w:r>
              <w:rPr>
                <w:rFonts w:hint="eastAsia" w:ascii="Arial" w:hAnsi="Arial" w:eastAsia="华文细黑" w:cs="Arial"/>
                <w:sz w:val="18"/>
                <w:szCs w:val="21"/>
              </w:rPr>
              <w:t>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使用权类型：</w:t>
            </w:r>
            <w:r>
              <w:rPr>
                <w:rFonts w:hint="eastAsia" w:ascii="Arial" w:hAnsi="Arial" w:eastAsia="华文细黑" w:cs="Arial"/>
                <w:bCs/>
                <w:sz w:val="18"/>
                <w:szCs w:val="21"/>
              </w:rPr>
              <w:t>设定为出让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48" w:beforeLines="20" w:line="360" w:lineRule="auto"/>
              <w:rPr>
                <w:rFonts w:ascii="Arial" w:hAnsi="Arial" w:eastAsia="华文细黑"/>
                <w:bCs/>
                <w:sz w:val="18"/>
                <w:szCs w:val="21"/>
              </w:rPr>
            </w:pPr>
            <w:r>
              <w:rPr>
                <w:rFonts w:hint="eastAsia" w:ascii="Arial" w:hAnsi="Arial" w:eastAsia="华文细黑"/>
                <w:kern w:val="2"/>
                <w:sz w:val="18"/>
                <w:szCs w:val="21"/>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cs="Arial"/>
                <w:sz w:val="18"/>
                <w:szCs w:val="21"/>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现</w:t>
            </w:r>
          </w:p>
          <w:p>
            <w:pPr>
              <w:spacing w:line="360" w:lineRule="auto"/>
              <w:rPr>
                <w:rFonts w:ascii="Arial" w:hAnsi="Arial" w:eastAsia="华文细黑" w:cs="Arial"/>
                <w:sz w:val="18"/>
                <w:szCs w:val="21"/>
              </w:rPr>
            </w:pPr>
            <w:r>
              <w:rPr>
                <w:rFonts w:hint="eastAsia" w:ascii="Arial" w:hAnsi="Arial" w:eastAsia="华文细黑" w:cs="Arial"/>
                <w:sz w:val="18"/>
                <w:szCs w:val="21"/>
              </w:rPr>
              <w:t>状</w:t>
            </w:r>
          </w:p>
          <w:p>
            <w:pPr>
              <w:spacing w:line="360" w:lineRule="auto"/>
              <w:rPr>
                <w:rFonts w:ascii="Arial" w:hAnsi="Arial" w:eastAsia="华文细黑" w:cs="Arial"/>
                <w:sz w:val="18"/>
                <w:szCs w:val="21"/>
              </w:rPr>
            </w:pPr>
            <w:r>
              <w:rPr>
                <w:rFonts w:hint="eastAsia" w:ascii="Arial" w:hAnsi="Arial" w:eastAsia="华文细黑" w:cs="Arial"/>
                <w:sz w:val="18"/>
                <w:szCs w:val="21"/>
              </w:rPr>
              <w:t>装</w:t>
            </w:r>
          </w:p>
          <w:p>
            <w:pPr>
              <w:spacing w:line="360" w:lineRule="auto"/>
              <w:rPr>
                <w:rFonts w:ascii="Arial" w:hAnsi="Arial" w:eastAsia="华文细黑" w:cs="Arial"/>
                <w:sz w:val="18"/>
                <w:szCs w:val="21"/>
              </w:rPr>
            </w:pPr>
            <w:r>
              <w:rPr>
                <w:rFonts w:hint="eastAsia" w:ascii="Arial" w:hAnsi="Arial" w:eastAsia="华文细黑" w:cs="Arial"/>
                <w:sz w:val="18"/>
                <w:szCs w:val="21"/>
              </w:rPr>
              <w:t>修</w:t>
            </w: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建筑类型</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多层板楼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外门</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单元类型</w:t>
            </w:r>
          </w:p>
        </w:tc>
        <w:tc>
          <w:tcPr>
            <w:tcW w:w="3098" w:type="dxa"/>
            <w:gridSpan w:val="4"/>
            <w:noWrap/>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设定为平层</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朝向</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设定为南北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位置</w:t>
            </w:r>
          </w:p>
        </w:tc>
        <w:tc>
          <w:tcPr>
            <w:tcW w:w="1539" w:type="dxa"/>
            <w:noWrap/>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顶棚</w:t>
            </w:r>
          </w:p>
        </w:tc>
        <w:tc>
          <w:tcPr>
            <w:tcW w:w="1559" w:type="dxa"/>
            <w:gridSpan w:val="3"/>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墙面</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室内</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hint="eastAsia" w:eastAsia="华文细黑"/>
                <w:b w:val="0"/>
                <w:kern w:val="2"/>
                <w:sz w:val="18"/>
                <w:szCs w:val="21"/>
              </w:rPr>
            </w:pPr>
            <w:r>
              <w:rPr>
                <w:rFonts w:hint="eastAsia" w:eastAsia="华文细黑"/>
                <w:b w:val="0"/>
                <w:kern w:val="2"/>
                <w:sz w:val="18"/>
                <w:szCs w:val="21"/>
              </w:rPr>
              <w:t>设定为简单装修（涂料顶棚、涂料墙面、</w:t>
            </w:r>
            <w:r>
              <w:rPr>
                <w:rFonts w:hint="eastAsia" w:eastAsia="华文细黑"/>
                <w:b w:val="0"/>
                <w:kern w:val="2"/>
                <w:sz w:val="18"/>
                <w:szCs w:val="21"/>
                <w:lang w:eastAsia="zh-CN"/>
              </w:rPr>
              <w:t>水泥地面</w:t>
            </w:r>
            <w:r>
              <w:rPr>
                <w:rFonts w:hint="eastAsia" w:eastAsia="华文细黑"/>
                <w:b w:val="0"/>
                <w:kern w:val="2"/>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公共部分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排水系统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供电系统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采暖系统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燃气系统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空调系统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通讯系统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消防系统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消防井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安保系统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电梯</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小区内停车</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物业管理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装修、部分</w:t>
            </w: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顶棚</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内墙面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门窗</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地面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 xml:space="preserve">设备 </w:t>
            </w:r>
          </w:p>
          <w:p>
            <w:pPr>
              <w:spacing w:line="360" w:lineRule="auto"/>
              <w:rPr>
                <w:rFonts w:ascii="Arial" w:hAnsi="Arial" w:eastAsia="华文细黑" w:cs="Arial"/>
                <w:sz w:val="18"/>
                <w:szCs w:val="21"/>
              </w:rPr>
            </w:pPr>
            <w:r>
              <w:rPr>
                <w:rFonts w:hint="eastAsia" w:ascii="Arial" w:hAnsi="Arial" w:eastAsia="华文细黑" w:cs="Arial"/>
                <w:sz w:val="18"/>
                <w:szCs w:val="21"/>
              </w:rPr>
              <w:t>部分</w:t>
            </w:r>
          </w:p>
          <w:p>
            <w:pPr>
              <w:spacing w:line="360" w:lineRule="auto"/>
              <w:rPr>
                <w:rFonts w:ascii="Arial" w:hAnsi="Arial" w:eastAsia="华文细黑" w:cs="Arial"/>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水卫</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电照</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特种设备</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w:t>
            </w:r>
            <w:r>
              <w:rPr>
                <w:rFonts w:hint="eastAsia" w:ascii="Arial" w:hAnsi="Arial" w:eastAsia="华文细黑" w:cs="Arial"/>
                <w:sz w:val="18"/>
                <w:szCs w:val="21"/>
                <w:lang w:eastAsia="zh-CN"/>
              </w:rPr>
              <w:t>项目</w:t>
            </w:r>
            <w:r>
              <w:rPr>
                <w:rFonts w:hint="eastAsia" w:ascii="Arial" w:hAnsi="Arial" w:eastAsia="华文细黑" w:cs="Arial"/>
                <w:sz w:val="18"/>
                <w:szCs w:val="21"/>
              </w:rPr>
              <w:t>四至</w:t>
            </w: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东至：国家卫生计生委科学技术研究所</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南至：中国气象局国家卫星气象中心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3716" w:type="dxa"/>
            <w:gridSpan w:val="6"/>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rPr>
              <w:t>西至：中关村南大街28号</w:t>
            </w:r>
            <w:r>
              <w:rPr>
                <w:rFonts w:hint="eastAsia" w:ascii="Arial" w:hAnsi="Arial" w:eastAsia="华文细黑" w:cs="Arial"/>
                <w:sz w:val="18"/>
                <w:szCs w:val="21"/>
                <w:lang w:eastAsia="zh-CN"/>
              </w:rPr>
              <w:t>院</w:t>
            </w:r>
          </w:p>
        </w:tc>
        <w:tc>
          <w:tcPr>
            <w:tcW w:w="3473" w:type="dxa"/>
            <w:gridSpan w:val="4"/>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rPr>
              <w:t>北至：</w:t>
            </w:r>
            <w:r>
              <w:rPr>
                <w:rFonts w:hint="eastAsia" w:ascii="Arial" w:hAnsi="Arial" w:eastAsia="华文细黑" w:cs="Arial"/>
                <w:sz w:val="18"/>
                <w:szCs w:val="21"/>
                <w:lang w:eastAsia="zh-CN"/>
              </w:rPr>
              <w:t>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基准地价土地级别</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居住类</w:t>
            </w:r>
            <w:r>
              <w:rPr>
                <w:rFonts w:hint="eastAsia" w:ascii="Arial" w:hAnsi="Arial" w:eastAsia="华文细黑"/>
                <w:sz w:val="18"/>
                <w:szCs w:val="21"/>
                <w:lang w:eastAsia="zh-CN"/>
              </w:rPr>
              <w:t>三</w:t>
            </w:r>
            <w:r>
              <w:rPr>
                <w:rFonts w:hint="eastAsia" w:ascii="Arial" w:hAnsi="Arial" w:eastAsia="华文细黑"/>
                <w:sz w:val="18"/>
                <w:szCs w:val="21"/>
              </w:rPr>
              <w:t>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居住社区成熟度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估价对象周边有大慧寺18号院</w:t>
            </w:r>
            <w:r>
              <w:rPr>
                <w:rFonts w:hint="eastAsia" w:ascii="Arial" w:hAnsi="Arial" w:eastAsia="华文细黑" w:cs="Arial"/>
                <w:sz w:val="18"/>
                <w:szCs w:val="21"/>
                <w:lang w:eastAsia="zh-CN"/>
              </w:rPr>
              <w:t>、</w:t>
            </w:r>
            <w:r>
              <w:rPr>
                <w:rFonts w:hint="eastAsia" w:ascii="Arial" w:hAnsi="Arial" w:eastAsia="华文细黑" w:cs="Arial"/>
                <w:sz w:val="18"/>
                <w:szCs w:val="21"/>
              </w:rPr>
              <w:t>大慧寺19号院、</w:t>
            </w:r>
            <w:r>
              <w:rPr>
                <w:rFonts w:hint="eastAsia" w:ascii="Arial" w:hAnsi="Arial" w:eastAsia="华文细黑" w:cs="Arial"/>
                <w:sz w:val="18"/>
                <w:szCs w:val="21"/>
                <w:lang w:eastAsia="zh-CN"/>
              </w:rPr>
              <w:t>中国气象局住宅区</w:t>
            </w:r>
            <w:r>
              <w:rPr>
                <w:rFonts w:hint="eastAsia" w:ascii="Arial" w:hAnsi="Arial" w:eastAsia="华文细黑" w:cs="Arial"/>
                <w:sz w:val="18"/>
                <w:szCs w:val="21"/>
              </w:rPr>
              <w:t>等</w:t>
            </w:r>
            <w:r>
              <w:rPr>
                <w:rFonts w:hint="eastAsia" w:ascii="Arial" w:hAnsi="Arial" w:eastAsia="华文细黑" w:cs="Arial"/>
                <w:sz w:val="18"/>
                <w:szCs w:val="21"/>
                <w:lang w:eastAsia="zh-CN"/>
              </w:rPr>
              <w:t>住宅</w:t>
            </w:r>
            <w:r>
              <w:rPr>
                <w:rFonts w:hint="eastAsia" w:ascii="Arial" w:hAnsi="Arial" w:eastAsia="华文细黑" w:cs="Arial"/>
                <w:sz w:val="18"/>
                <w:szCs w:val="21"/>
              </w:rPr>
              <w:t>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临街道路</w:t>
            </w:r>
          </w:p>
        </w:tc>
        <w:tc>
          <w:tcPr>
            <w:tcW w:w="7189" w:type="dxa"/>
            <w:gridSpan w:val="10"/>
            <w:tcMar>
              <w:top w:w="85" w:type="dxa"/>
              <w:left w:w="85" w:type="dxa"/>
              <w:bottom w:w="85" w:type="dxa"/>
              <w:right w:w="28" w:type="dxa"/>
            </w:tcMar>
            <w:vAlign w:val="center"/>
          </w:tcPr>
          <w:p>
            <w:pPr>
              <w:spacing w:line="360" w:lineRule="auto"/>
              <w:rPr>
                <w:rFonts w:hint="eastAsia" w:ascii="Arial" w:hAnsi="Arial" w:eastAsia="华文细黑" w:cs="Arial"/>
                <w:sz w:val="18"/>
                <w:szCs w:val="21"/>
                <w:lang w:eastAsia="zh-CN"/>
              </w:rPr>
            </w:pPr>
            <w:r>
              <w:rPr>
                <w:rFonts w:hint="eastAsia" w:ascii="Arial" w:hAnsi="Arial" w:eastAsia="华文细黑" w:cs="Arial"/>
                <w:sz w:val="18"/>
                <w:szCs w:val="21"/>
                <w:lang w:eastAsia="zh-CN"/>
              </w:rPr>
              <w:t>估价对象所属小区</w:t>
            </w:r>
            <w:r>
              <w:rPr>
                <w:rFonts w:hint="eastAsia" w:ascii="Arial" w:hAnsi="Arial" w:eastAsia="华文细黑" w:cs="Arial"/>
                <w:sz w:val="18"/>
                <w:szCs w:val="21"/>
              </w:rPr>
              <w:t>紧临城市支路</w:t>
            </w:r>
            <w:r>
              <w:rPr>
                <w:rFonts w:ascii="Arial" w:hAnsi="Arial" w:eastAsia="华文细黑" w:cs="Arial"/>
                <w:sz w:val="18"/>
                <w:szCs w:val="21"/>
              </w:rPr>
              <w:t>—</w:t>
            </w:r>
            <w:r>
              <w:rPr>
                <w:rFonts w:hint="eastAsia" w:ascii="Arial" w:hAnsi="Arial" w:eastAsia="华文细黑" w:cs="Arial"/>
                <w:sz w:val="18"/>
                <w:szCs w:val="21"/>
                <w:lang w:eastAsia="zh-CN"/>
              </w:rPr>
              <w:t>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周边路网较密集，</w:t>
            </w:r>
            <w:r>
              <w:rPr>
                <w:rFonts w:hint="eastAsia" w:ascii="Arial" w:hAnsi="Arial" w:eastAsia="华文细黑" w:cs="Arial"/>
                <w:sz w:val="18"/>
                <w:szCs w:val="21"/>
                <w:lang w:eastAsia="zh-CN"/>
              </w:rPr>
              <w:t>无地铁线路</w:t>
            </w:r>
            <w:r>
              <w:rPr>
                <w:rFonts w:hint="eastAsia" w:ascii="Arial" w:hAnsi="Arial" w:eastAsia="华文细黑" w:cs="Arial"/>
                <w:sz w:val="18"/>
                <w:szCs w:val="21"/>
              </w:rPr>
              <w:t>，</w:t>
            </w:r>
            <w:r>
              <w:rPr>
                <w:rFonts w:hint="eastAsia" w:ascii="Arial" w:hAnsi="Arial" w:eastAsia="华文细黑" w:cs="Arial"/>
                <w:sz w:val="18"/>
                <w:szCs w:val="21"/>
                <w:lang w:eastAsia="zh-CN"/>
              </w:rPr>
              <w:t>小区北门</w:t>
            </w:r>
            <w:r>
              <w:rPr>
                <w:rFonts w:hint="eastAsia" w:ascii="Arial" w:hAnsi="Arial" w:eastAsia="华文细黑" w:cs="Arial"/>
                <w:sz w:val="18"/>
                <w:szCs w:val="21"/>
              </w:rPr>
              <w:t>距离26路</w:t>
            </w:r>
            <w:r>
              <w:rPr>
                <w:rFonts w:hint="eastAsia" w:ascii="Arial" w:hAnsi="Arial" w:eastAsia="华文细黑" w:cs="Arial"/>
                <w:sz w:val="18"/>
                <w:szCs w:val="21"/>
                <w:lang w:eastAsia="zh-CN"/>
              </w:rPr>
              <w:t>、</w:t>
            </w:r>
            <w:r>
              <w:rPr>
                <w:rFonts w:hint="eastAsia" w:ascii="Arial" w:hAnsi="Arial" w:eastAsia="华文细黑" w:cs="Arial"/>
                <w:sz w:val="18"/>
                <w:szCs w:val="21"/>
              </w:rPr>
              <w:t>305路</w:t>
            </w:r>
            <w:r>
              <w:rPr>
                <w:rFonts w:hint="eastAsia" w:ascii="Arial" w:hAnsi="Arial" w:eastAsia="华文细黑" w:cs="Arial"/>
                <w:sz w:val="18"/>
                <w:szCs w:val="21"/>
                <w:lang w:eastAsia="zh-CN"/>
              </w:rPr>
              <w:t>、</w:t>
            </w:r>
            <w:r>
              <w:rPr>
                <w:rFonts w:hint="eastAsia" w:ascii="Arial" w:hAnsi="Arial" w:eastAsia="华文细黑" w:cs="Arial"/>
                <w:sz w:val="18"/>
                <w:szCs w:val="21"/>
              </w:rPr>
              <w:t>320路</w:t>
            </w:r>
            <w:r>
              <w:rPr>
                <w:rFonts w:hint="eastAsia" w:ascii="Arial" w:hAnsi="Arial" w:eastAsia="华文细黑" w:cs="Arial"/>
                <w:sz w:val="18"/>
                <w:szCs w:val="21"/>
                <w:lang w:eastAsia="zh-CN"/>
              </w:rPr>
              <w:t>、</w:t>
            </w:r>
            <w:r>
              <w:rPr>
                <w:rFonts w:hint="eastAsia" w:ascii="Arial" w:hAnsi="Arial" w:eastAsia="华文细黑" w:cs="Arial"/>
                <w:sz w:val="18"/>
                <w:szCs w:val="21"/>
              </w:rPr>
              <w:t>332路</w:t>
            </w:r>
            <w:r>
              <w:rPr>
                <w:rFonts w:hint="eastAsia" w:ascii="Arial" w:hAnsi="Arial" w:eastAsia="华文细黑" w:cs="Arial"/>
                <w:sz w:val="18"/>
                <w:szCs w:val="21"/>
                <w:lang w:eastAsia="zh-CN"/>
              </w:rPr>
              <w:t>、</w:t>
            </w:r>
            <w:r>
              <w:rPr>
                <w:rFonts w:hint="eastAsia" w:ascii="Arial" w:hAnsi="Arial" w:eastAsia="华文细黑" w:cs="Arial"/>
                <w:sz w:val="18"/>
                <w:szCs w:val="21"/>
              </w:rPr>
              <w:t>563路</w:t>
            </w:r>
            <w:r>
              <w:rPr>
                <w:rFonts w:hint="eastAsia" w:ascii="Arial" w:hAnsi="Arial" w:eastAsia="华文细黑" w:cs="Arial"/>
                <w:sz w:val="18"/>
                <w:szCs w:val="21"/>
                <w:lang w:eastAsia="zh-CN"/>
              </w:rPr>
              <w:t>、</w:t>
            </w:r>
            <w:r>
              <w:rPr>
                <w:rFonts w:hint="eastAsia" w:ascii="Arial" w:hAnsi="Arial" w:eastAsia="华文细黑" w:cs="Arial"/>
                <w:sz w:val="18"/>
                <w:szCs w:val="21"/>
              </w:rPr>
              <w:t>609路</w:t>
            </w:r>
            <w:r>
              <w:rPr>
                <w:rFonts w:hint="eastAsia" w:ascii="Arial" w:hAnsi="Arial" w:eastAsia="华文细黑" w:cs="Arial"/>
                <w:sz w:val="18"/>
                <w:szCs w:val="21"/>
                <w:lang w:eastAsia="zh-CN"/>
              </w:rPr>
              <w:t>、</w:t>
            </w:r>
            <w:r>
              <w:rPr>
                <w:rFonts w:hint="eastAsia" w:ascii="Arial" w:hAnsi="Arial" w:eastAsia="华文细黑" w:cs="Arial"/>
                <w:sz w:val="18"/>
                <w:szCs w:val="21"/>
              </w:rPr>
              <w:t>653路等十余条公交线路</w:t>
            </w:r>
            <w:r>
              <w:rPr>
                <w:rFonts w:hint="eastAsia" w:ascii="Arial" w:hAnsi="Arial" w:eastAsia="华文细黑" w:cs="Arial"/>
                <w:sz w:val="18"/>
                <w:szCs w:val="21"/>
                <w:lang w:eastAsia="zh-CN"/>
              </w:rPr>
              <w:t>魏公村站</w:t>
            </w:r>
            <w:r>
              <w:rPr>
                <w:rFonts w:hint="eastAsia" w:ascii="Arial" w:hAnsi="Arial" w:eastAsia="华文细黑" w:cs="Arial"/>
                <w:sz w:val="18"/>
                <w:szCs w:val="21"/>
              </w:rPr>
              <w:t>约</w:t>
            </w:r>
            <w:r>
              <w:rPr>
                <w:rFonts w:hint="eastAsia" w:ascii="Arial" w:hAnsi="Arial" w:eastAsia="华文细黑" w:cs="Arial"/>
                <w:sz w:val="18"/>
                <w:szCs w:val="21"/>
                <w:lang w:val="en-US" w:eastAsia="zh-CN"/>
              </w:rPr>
              <w:t>3</w:t>
            </w:r>
            <w:r>
              <w:rPr>
                <w:rFonts w:hint="eastAsia" w:ascii="Arial" w:hAnsi="Arial" w:eastAsia="华文细黑" w:cs="Arial"/>
                <w:sz w:val="18"/>
                <w:szCs w:val="21"/>
              </w:rPr>
              <w:t>00米，综合评价交通便捷度</w:t>
            </w:r>
            <w:r>
              <w:rPr>
                <w:rFonts w:hint="eastAsia" w:ascii="Arial" w:hAnsi="Arial" w:eastAsia="华文细黑" w:cs="Arial"/>
                <w:sz w:val="18"/>
                <w:szCs w:val="21"/>
                <w:lang w:eastAsia="zh-CN"/>
              </w:rPr>
              <w:t>一般</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估价对象所在小区绿化一般，以常住人口为主，周边有紫竹院公园、北京动物园等景观环境，有首都体育馆、</w:t>
            </w:r>
            <w:r>
              <w:rPr>
                <w:rFonts w:hint="eastAsia" w:ascii="Arial" w:hAnsi="Arial" w:eastAsia="华文细黑" w:cs="Arial"/>
                <w:sz w:val="18"/>
                <w:szCs w:val="21"/>
                <w:lang w:eastAsia="zh-CN"/>
              </w:rPr>
              <w:t>国家图书馆</w:t>
            </w:r>
            <w:r>
              <w:rPr>
                <w:rFonts w:hint="eastAsia" w:ascii="Arial" w:hAnsi="Arial" w:eastAsia="华文细黑" w:cs="Arial"/>
                <w:sz w:val="18"/>
                <w:szCs w:val="21"/>
              </w:rPr>
              <w:t>等人文</w:t>
            </w:r>
            <w:r>
              <w:rPr>
                <w:rFonts w:hint="eastAsia" w:ascii="Arial" w:hAnsi="Arial" w:eastAsia="华文细黑" w:cs="Arial"/>
                <w:sz w:val="18"/>
                <w:szCs w:val="21"/>
                <w:lang w:eastAsia="zh-CN"/>
              </w:rPr>
              <w:t>场所</w:t>
            </w:r>
            <w:r>
              <w:rPr>
                <w:rFonts w:hint="eastAsia" w:ascii="Arial" w:hAnsi="Arial" w:eastAsia="华文细黑" w:cs="Arial"/>
                <w:sz w:val="18"/>
                <w:szCs w:val="21"/>
              </w:rPr>
              <w:t>，综合评价环境状况较好。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估价对象周边有北京农商银行、中国工商银行等金融服务设施网点；北京大学口腔医院等医疗机构；北京交通大学附属中学(第二分校)</w:t>
            </w:r>
            <w:r>
              <w:rPr>
                <w:rFonts w:hint="eastAsia" w:ascii="Arial" w:hAnsi="Arial" w:eastAsia="华文细黑" w:cs="Arial"/>
                <w:sz w:val="18"/>
                <w:szCs w:val="21"/>
                <w:lang w:eastAsia="zh-CN"/>
              </w:rPr>
              <w:t>、</w:t>
            </w:r>
            <w:r>
              <w:rPr>
                <w:rFonts w:hint="eastAsia" w:ascii="Arial" w:hAnsi="Arial" w:eastAsia="华文细黑" w:cs="Arial"/>
                <w:sz w:val="18"/>
                <w:szCs w:val="21"/>
              </w:rPr>
              <w:t>中国农业科学院附属小学、中国气象局幼儿园等教育机构；家乐福(方圆店)等商业场所；公共服务设施</w:t>
            </w:r>
            <w:r>
              <w:rPr>
                <w:rFonts w:hint="eastAsia" w:ascii="Arial" w:hAnsi="Arial" w:eastAsia="华文细黑" w:cs="Arial"/>
                <w:sz w:val="18"/>
                <w:szCs w:val="21"/>
                <w:lang w:eastAsia="zh-CN"/>
              </w:rPr>
              <w:t>一般</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w:t>
            </w:r>
            <w:r>
              <w:rPr>
                <w:rFonts w:ascii="Arial" w:hAnsi="Arial" w:eastAsia="华文细黑" w:cs="Arial"/>
                <w:sz w:val="18"/>
                <w:szCs w:val="21"/>
              </w:rPr>
              <w:t>根据</w:t>
            </w:r>
            <w:r>
              <w:rPr>
                <w:rFonts w:hint="eastAsia" w:ascii="Arial" w:hAnsi="Arial" w:eastAsia="华文细黑"/>
                <w:sz w:val="18"/>
                <w:szCs w:val="21"/>
              </w:rPr>
              <w:t>《房地产估价基本术语标准》[GB/T50899-2013]，</w:t>
            </w:r>
            <w:r>
              <w:rPr>
                <w:rFonts w:ascii="Arial" w:hAnsi="Arial" w:eastAsia="华文细黑" w:cs="Arial"/>
                <w:sz w:val="18"/>
                <w:szCs w:val="21"/>
              </w:rPr>
              <w:t>市场价值是经适当营销后，由熟悉情况、谨慎行事且不受强迫的交易双方，以公平交易方式在价值时点自愿进行交易的金额</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本次估价的“房地产市场价值”是指在正常市场情况下，在价值时点</w:t>
            </w:r>
            <w:r>
              <w:rPr>
                <w:rFonts w:hint="eastAsia" w:ascii="Arial" w:hAnsi="Arial" w:eastAsia="华文细黑"/>
                <w:sz w:val="18"/>
                <w:szCs w:val="21"/>
                <w:lang w:eastAsia="zh-CN"/>
              </w:rPr>
              <w:t>2003年8月15日</w:t>
            </w:r>
            <w:r>
              <w:rPr>
                <w:rFonts w:hint="eastAsia" w:ascii="Arial" w:hAnsi="Arial" w:eastAsia="华文细黑"/>
                <w:sz w:val="18"/>
                <w:szCs w:val="21"/>
              </w:rPr>
              <w:t>，估价对象用途为住宅，室内装修情况设定为简单装修（涂料顶棚、涂料墙面、</w:t>
            </w:r>
            <w:r>
              <w:rPr>
                <w:rFonts w:hint="eastAsia" w:ascii="Arial" w:hAnsi="Arial" w:eastAsia="华文细黑"/>
                <w:sz w:val="18"/>
                <w:szCs w:val="21"/>
                <w:lang w:eastAsia="zh-CN"/>
              </w:rPr>
              <w:t>水泥地面</w:t>
            </w:r>
            <w:r>
              <w:rPr>
                <w:rFonts w:hint="eastAsia" w:ascii="Arial" w:hAnsi="Arial" w:eastAsia="华文细黑"/>
                <w:sz w:val="18"/>
                <w:szCs w:val="21"/>
              </w:rPr>
              <w:t>），</w:t>
            </w:r>
            <w:r>
              <w:rPr>
                <w:rFonts w:ascii="Arial" w:hAnsi="Arial" w:eastAsia="华文细黑" w:cs="Arial"/>
                <w:bCs/>
                <w:sz w:val="18"/>
                <w:szCs w:val="21"/>
              </w:rPr>
              <w:t>土地</w:t>
            </w:r>
            <w:r>
              <w:rPr>
                <w:rFonts w:hint="eastAsia" w:ascii="Arial" w:hAnsi="Arial" w:eastAsia="华文细黑" w:cs="Arial"/>
                <w:bCs/>
                <w:sz w:val="18"/>
                <w:szCs w:val="21"/>
              </w:rPr>
              <w:t>使用权类型设定</w:t>
            </w:r>
            <w:r>
              <w:rPr>
                <w:rFonts w:ascii="Arial" w:hAnsi="Arial" w:eastAsia="华文细黑" w:cs="Arial"/>
                <w:bCs/>
                <w:sz w:val="18"/>
                <w:szCs w:val="21"/>
              </w:rPr>
              <w:t>为</w:t>
            </w:r>
            <w:r>
              <w:rPr>
                <w:rFonts w:hint="eastAsia" w:ascii="Arial" w:hAnsi="Arial" w:eastAsia="华文细黑"/>
                <w:bCs/>
                <w:sz w:val="18"/>
                <w:szCs w:val="21"/>
              </w:rPr>
              <w:t>出让</w:t>
            </w:r>
            <w:r>
              <w:rPr>
                <w:rFonts w:hint="eastAsia" w:ascii="Arial" w:hAnsi="Arial" w:eastAsia="华文细黑"/>
                <w:sz w:val="18"/>
                <w:szCs w:val="21"/>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pPr>
              <w:spacing w:line="360" w:lineRule="auto"/>
              <w:rPr>
                <w:rFonts w:ascii="Arial" w:hAnsi="Arial" w:eastAsia="华文细黑"/>
                <w:sz w:val="18"/>
                <w:szCs w:val="21"/>
              </w:rPr>
            </w:pPr>
            <w:r>
              <w:rPr>
                <w:rFonts w:hint="eastAsia" w:ascii="Arial" w:hAnsi="Arial" w:eastAsia="华文细黑"/>
                <w:sz w:val="18"/>
                <w:szCs w:val="21"/>
              </w:rPr>
              <w:t>（一）独立、客观、公正原则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sz w:val="18"/>
                <w:szCs w:val="21"/>
              </w:rPr>
            </w:pPr>
            <w:r>
              <w:rPr>
                <w:rFonts w:hint="eastAsia" w:ascii="Arial" w:hAnsi="Arial" w:eastAsia="华文细黑"/>
                <w:sz w:val="18"/>
                <w:szCs w:val="21"/>
              </w:rPr>
              <w:t>（二）合法原则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以估价对象的</w:t>
            </w:r>
            <w:r>
              <w:rPr>
                <w:rFonts w:hint="eastAsia" w:ascii="Arial" w:hAnsi="Arial" w:eastAsia="华文细黑"/>
                <w:sz w:val="18"/>
                <w:szCs w:val="21"/>
              </w:rPr>
              <w:t>合法产权、</w:t>
            </w:r>
            <w:r>
              <w:rPr>
                <w:rFonts w:ascii="Arial" w:hAnsi="Arial" w:eastAsia="华文细黑"/>
                <w:sz w:val="18"/>
                <w:szCs w:val="21"/>
              </w:rPr>
              <w:t>合法使用、合法交易为前提进行。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hint="eastAsia" w:ascii="Arial" w:hAnsi="Arial" w:eastAsia="华文细黑"/>
                <w:sz w:val="18"/>
                <w:szCs w:val="21"/>
              </w:rPr>
              <w:t>估价对象</w:t>
            </w:r>
            <w:r>
              <w:rPr>
                <w:rFonts w:ascii="Arial" w:hAnsi="Arial" w:eastAsia="华文细黑" w:cs="Arial"/>
                <w:sz w:val="18"/>
                <w:szCs w:val="21"/>
              </w:rPr>
              <w:t>用途为</w:t>
            </w:r>
            <w:r>
              <w:rPr>
                <w:rFonts w:hint="eastAsia" w:ascii="Arial" w:hAnsi="Arial" w:eastAsia="华文细黑" w:cs="Arial"/>
                <w:sz w:val="18"/>
                <w:szCs w:val="21"/>
              </w:rPr>
              <w:t>住宅</w:t>
            </w:r>
            <w:r>
              <w:rPr>
                <w:rFonts w:ascii="Arial" w:hAnsi="Arial" w:eastAsia="华文细黑" w:cs="Arial"/>
                <w:sz w:val="18"/>
                <w:szCs w:val="21"/>
              </w:rPr>
              <w:t>，符合最高最佳利用原则</w:t>
            </w:r>
            <w:r>
              <w:rPr>
                <w:rFonts w:hint="eastAsia" w:ascii="Arial" w:hAnsi="Arial" w:eastAsia="华文细黑"/>
                <w:sz w:val="18"/>
                <w:szCs w:val="21"/>
              </w:rPr>
              <w:t>。</w:t>
            </w:r>
          </w:p>
          <w:p>
            <w:pPr>
              <w:spacing w:line="360" w:lineRule="auto"/>
              <w:rPr>
                <w:rFonts w:ascii="Arial" w:hAnsi="Arial" w:eastAsia="华文细黑"/>
                <w:sz w:val="18"/>
                <w:szCs w:val="21"/>
              </w:rPr>
            </w:pPr>
            <w:r>
              <w:rPr>
                <w:rFonts w:hint="eastAsia" w:ascii="Arial" w:hAnsi="Arial" w:eastAsia="华文细黑"/>
                <w:sz w:val="18"/>
                <w:szCs w:val="21"/>
              </w:rPr>
              <w:t>（四）替代原则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sz w:val="18"/>
                <w:szCs w:val="21"/>
              </w:rPr>
            </w:pPr>
            <w:r>
              <w:rPr>
                <w:rFonts w:hint="eastAsia" w:ascii="Arial" w:hAnsi="Arial" w:eastAsia="华文细黑"/>
                <w:sz w:val="18"/>
                <w:szCs w:val="21"/>
              </w:rPr>
              <w:t>（五）价值时点原则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21"/>
              </w:rPr>
            </w:pPr>
            <w:r>
              <w:rPr>
                <w:rFonts w:hint="eastAsia" w:ascii="Arial" w:hAnsi="Arial" w:eastAsia="华文细黑"/>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w:t>
            </w:r>
            <w:r>
              <w:rPr>
                <w:rFonts w:ascii="Arial" w:hAnsi="Arial" w:eastAsia="华文细黑"/>
                <w:sz w:val="18"/>
                <w:szCs w:val="21"/>
              </w:rPr>
              <w:t>1986</w:t>
            </w:r>
            <w:r>
              <w:rPr>
                <w:rFonts w:hint="eastAsia" w:ascii="Arial" w:hAnsi="Arial" w:eastAsia="华文细黑"/>
                <w:sz w:val="18"/>
                <w:szCs w:val="21"/>
              </w:rPr>
              <w:t>年</w:t>
            </w:r>
            <w:r>
              <w:rPr>
                <w:rFonts w:ascii="Arial" w:hAnsi="Arial" w:eastAsia="华文细黑"/>
                <w:sz w:val="18"/>
                <w:szCs w:val="21"/>
              </w:rPr>
              <w:t>6</w:t>
            </w:r>
            <w:r>
              <w:rPr>
                <w:rFonts w:hint="eastAsia" w:ascii="Arial" w:hAnsi="Arial" w:eastAsia="华文细黑"/>
                <w:sz w:val="18"/>
                <w:szCs w:val="21"/>
              </w:rPr>
              <w:t>月</w:t>
            </w:r>
            <w:r>
              <w:rPr>
                <w:rFonts w:ascii="Arial" w:hAnsi="Arial" w:eastAsia="华文细黑"/>
                <w:sz w:val="18"/>
                <w:szCs w:val="21"/>
              </w:rPr>
              <w:t>25</w:t>
            </w:r>
            <w:r>
              <w:rPr>
                <w:rFonts w:hint="eastAsia" w:ascii="Arial" w:hAnsi="Arial" w:eastAsia="华文细黑"/>
                <w:sz w:val="18"/>
                <w:szCs w:val="21"/>
              </w:rPr>
              <w:t>日第六届全国人民代表大会常务委员会第十六次会议通过，中华人民共和国主席令第</w:t>
            </w:r>
            <w:r>
              <w:rPr>
                <w:rFonts w:ascii="Arial" w:hAnsi="Arial" w:eastAsia="华文细黑"/>
                <w:sz w:val="18"/>
                <w:szCs w:val="21"/>
              </w:rPr>
              <w:t>41</w:t>
            </w:r>
            <w:r>
              <w:rPr>
                <w:rFonts w:hint="eastAsia" w:ascii="Arial" w:hAnsi="Arial" w:eastAsia="华文细黑"/>
                <w:sz w:val="18"/>
                <w:szCs w:val="21"/>
              </w:rPr>
              <w:t>号公布，</w:t>
            </w:r>
            <w:r>
              <w:rPr>
                <w:rFonts w:ascii="Arial" w:hAnsi="Arial" w:eastAsia="华文细黑"/>
                <w:sz w:val="18"/>
                <w:szCs w:val="21"/>
              </w:rPr>
              <w:t>1987</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日第七届全国人民代表大会常务委员会第五次会议第一次修正通过，自</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日起施行；</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日第九届全国人民代表大会常务委员会第四次会议修订通过，中华人民共和国主席令第</w:t>
            </w:r>
            <w:r>
              <w:rPr>
                <w:rFonts w:ascii="Arial" w:hAnsi="Arial" w:eastAsia="华文细黑"/>
                <w:sz w:val="18"/>
                <w:szCs w:val="21"/>
              </w:rPr>
              <w:t>8</w:t>
            </w:r>
            <w:r>
              <w:rPr>
                <w:rFonts w:hint="eastAsia" w:ascii="Arial" w:hAnsi="Arial" w:eastAsia="华文细黑"/>
                <w:sz w:val="18"/>
                <w:szCs w:val="21"/>
              </w:rPr>
              <w:t>号公布，自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2004</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日第十届全国人民代表大会常务委员会第十一次会议第二次修正通过，中华人民共和国主席令第</w:t>
            </w:r>
            <w:r>
              <w:rPr>
                <w:rFonts w:ascii="Arial" w:hAnsi="Arial" w:eastAsia="华文细黑"/>
                <w:sz w:val="18"/>
                <w:szCs w:val="21"/>
              </w:rPr>
              <w:t>28</w:t>
            </w:r>
            <w:r>
              <w:rPr>
                <w:rFonts w:hint="eastAsia" w:ascii="Arial" w:hAnsi="Arial" w:eastAsia="华文细黑"/>
                <w:sz w:val="18"/>
                <w:szCs w:val="21"/>
              </w:rPr>
              <w:t>号公布，自公布起日起施行；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日第十三届全国人民代表大会常务委员会第十二次会议第三次修正通过，自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w:t>
            </w:r>
            <w:r>
              <w:rPr>
                <w:rFonts w:ascii="Arial" w:hAnsi="Arial" w:eastAsia="华文细黑"/>
                <w:sz w:val="18"/>
                <w:szCs w:val="21"/>
              </w:rPr>
              <w:t>1994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5</w:t>
            </w:r>
            <w:r>
              <w:rPr>
                <w:rFonts w:hint="eastAsia" w:ascii="Arial" w:hAnsi="Arial" w:eastAsia="华文细黑"/>
                <w:sz w:val="18"/>
                <w:szCs w:val="21"/>
              </w:rPr>
              <w:t>日第八届全国人民代表大会常务委员会第八次会议通过，中华人民共和国主席令第</w:t>
            </w:r>
            <w:r>
              <w:rPr>
                <w:rFonts w:ascii="Arial" w:hAnsi="Arial" w:eastAsia="华文细黑"/>
                <w:sz w:val="18"/>
                <w:szCs w:val="21"/>
              </w:rPr>
              <w:t>29</w:t>
            </w:r>
            <w:r>
              <w:rPr>
                <w:rFonts w:hint="eastAsia" w:ascii="Arial" w:hAnsi="Arial" w:eastAsia="华文细黑"/>
                <w:sz w:val="18"/>
                <w:szCs w:val="21"/>
              </w:rPr>
              <w:t>号公布，自1986年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2007</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30</w:t>
            </w:r>
            <w:r>
              <w:rPr>
                <w:rFonts w:hint="eastAsia" w:ascii="Arial" w:hAnsi="Arial" w:eastAsia="华文细黑"/>
                <w:sz w:val="18"/>
                <w:szCs w:val="21"/>
              </w:rPr>
              <w:t>日第十届全国人民代表大会常务委员会第二十九次会议通过第一次修正通过，中华人民共和国主席令第</w:t>
            </w:r>
            <w:r>
              <w:rPr>
                <w:rFonts w:ascii="Arial" w:hAnsi="Arial" w:eastAsia="华文细黑"/>
                <w:sz w:val="18"/>
                <w:szCs w:val="21"/>
              </w:rPr>
              <w:t>72</w:t>
            </w:r>
            <w:r>
              <w:rPr>
                <w:rFonts w:hint="eastAsia" w:ascii="Arial" w:hAnsi="Arial" w:eastAsia="华文细黑"/>
                <w:sz w:val="18"/>
                <w:szCs w:val="21"/>
              </w:rPr>
              <w:t>号公布，自公布之日起施行；</w:t>
            </w:r>
            <w:r>
              <w:rPr>
                <w:rFonts w:ascii="Arial" w:hAnsi="Arial" w:eastAsia="华文细黑"/>
                <w:sz w:val="18"/>
                <w:szCs w:val="21"/>
              </w:rPr>
              <w:t>2009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日第十一届全国人民代表大会常务委员会第十次会议第二次修正通过，中华人民共和国主席令第</w:t>
            </w:r>
            <w:r>
              <w:rPr>
                <w:rFonts w:ascii="Arial" w:hAnsi="Arial" w:eastAsia="华文细黑"/>
                <w:sz w:val="18"/>
                <w:szCs w:val="21"/>
              </w:rPr>
              <w:t>18</w:t>
            </w:r>
            <w:r>
              <w:rPr>
                <w:rFonts w:hint="eastAsia" w:ascii="Arial" w:hAnsi="Arial" w:eastAsia="华文细黑"/>
                <w:sz w:val="18"/>
                <w:szCs w:val="21"/>
              </w:rPr>
              <w:t>号公布，自公布之日起施行；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日第十三届全国人大常委会第十二次会议通过第三次修正，自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w:t>
            </w:r>
            <w:r>
              <w:rPr>
                <w:rFonts w:ascii="Arial" w:hAnsi="Arial" w:eastAsia="华文细黑"/>
                <w:sz w:val="18"/>
                <w:szCs w:val="21"/>
              </w:rPr>
              <w:t xml:space="preserve">2007 </w:t>
            </w:r>
            <w:r>
              <w:rPr>
                <w:rFonts w:hint="eastAsia" w:ascii="Arial" w:hAnsi="Arial" w:eastAsia="华文细黑"/>
                <w:sz w:val="18"/>
                <w:szCs w:val="21"/>
              </w:rPr>
              <w:t>年</w:t>
            </w:r>
            <w:r>
              <w:rPr>
                <w:rFonts w:ascii="Arial" w:hAnsi="Arial" w:eastAsia="华文细黑"/>
                <w:sz w:val="18"/>
                <w:szCs w:val="21"/>
              </w:rPr>
              <w:t xml:space="preserve"> 10 </w:t>
            </w:r>
            <w:r>
              <w:rPr>
                <w:rFonts w:hint="eastAsia" w:ascii="Arial" w:hAnsi="Arial" w:eastAsia="华文细黑"/>
                <w:sz w:val="18"/>
                <w:szCs w:val="21"/>
              </w:rPr>
              <w:t>月</w:t>
            </w:r>
            <w:r>
              <w:rPr>
                <w:rFonts w:ascii="Arial" w:hAnsi="Arial" w:eastAsia="华文细黑"/>
                <w:sz w:val="18"/>
                <w:szCs w:val="21"/>
              </w:rPr>
              <w:t xml:space="preserve"> 28 </w:t>
            </w:r>
            <w:r>
              <w:rPr>
                <w:rFonts w:hint="eastAsia" w:ascii="Arial" w:hAnsi="Arial" w:eastAsia="华文细黑"/>
                <w:sz w:val="18"/>
                <w:szCs w:val="21"/>
              </w:rPr>
              <w:t>日第十届全国人民代表大会常务委员会第三十次会议通过，中华人民共和国主席令第</w:t>
            </w:r>
            <w:r>
              <w:rPr>
                <w:rFonts w:ascii="Arial" w:hAnsi="Arial" w:eastAsia="华文细黑"/>
                <w:sz w:val="18"/>
                <w:szCs w:val="21"/>
              </w:rPr>
              <w:t>74</w:t>
            </w:r>
            <w:r>
              <w:rPr>
                <w:rFonts w:hint="eastAsia" w:ascii="Arial" w:hAnsi="Arial" w:eastAsia="华文细黑"/>
                <w:sz w:val="18"/>
                <w:szCs w:val="21"/>
              </w:rPr>
              <w:t>号，自公布之日起施行；根据</w:t>
            </w:r>
            <w:r>
              <w:rPr>
                <w:rFonts w:ascii="Arial" w:hAnsi="Arial" w:eastAsia="华文细黑"/>
                <w:sz w:val="18"/>
                <w:szCs w:val="21"/>
              </w:rPr>
              <w:t xml:space="preserve"> 2015 </w:t>
            </w:r>
            <w:r>
              <w:rPr>
                <w:rFonts w:hint="eastAsia" w:ascii="Arial" w:hAnsi="Arial" w:eastAsia="华文细黑"/>
                <w:sz w:val="18"/>
                <w:szCs w:val="21"/>
              </w:rPr>
              <w:t>年</w:t>
            </w:r>
            <w:r>
              <w:rPr>
                <w:rFonts w:ascii="Arial" w:hAnsi="Arial" w:eastAsia="华文细黑"/>
                <w:sz w:val="18"/>
                <w:szCs w:val="21"/>
              </w:rPr>
              <w:t xml:space="preserve"> 4 </w:t>
            </w:r>
            <w:r>
              <w:rPr>
                <w:rFonts w:hint="eastAsia" w:ascii="Arial" w:hAnsi="Arial" w:eastAsia="华文细黑"/>
                <w:sz w:val="18"/>
                <w:szCs w:val="21"/>
              </w:rPr>
              <w:t>月</w:t>
            </w:r>
            <w:r>
              <w:rPr>
                <w:rFonts w:ascii="Arial" w:hAnsi="Arial" w:eastAsia="华文细黑"/>
                <w:sz w:val="18"/>
                <w:szCs w:val="21"/>
              </w:rPr>
              <w:t xml:space="preserve"> 24 </w:t>
            </w:r>
            <w:r>
              <w:rPr>
                <w:rFonts w:hint="eastAsia" w:ascii="Arial" w:hAnsi="Arial" w:eastAsia="华文细黑"/>
                <w:sz w:val="18"/>
                <w:szCs w:val="21"/>
              </w:rPr>
              <w:t>日第十二届全国人民代表大会常务委员会第十四次会议通过第一次修正，中华人民共和国主席令第</w:t>
            </w:r>
            <w:r>
              <w:rPr>
                <w:rFonts w:ascii="Arial" w:hAnsi="Arial" w:eastAsia="华文细黑"/>
                <w:sz w:val="18"/>
                <w:szCs w:val="21"/>
              </w:rPr>
              <w:t>23</w:t>
            </w:r>
            <w:r>
              <w:rPr>
                <w:rFonts w:hint="eastAsia" w:ascii="Arial" w:hAnsi="Arial" w:eastAsia="华文细黑"/>
                <w:sz w:val="18"/>
                <w:szCs w:val="21"/>
              </w:rPr>
              <w:t>号公布，自公布之日起施行）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4.《中华人民共和国资产评估法》（</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日第十二届全国人民代表大会常务委员会第二十一次会议通过，</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3</w:t>
            </w:r>
            <w:r>
              <w:rPr>
                <w:rFonts w:hint="eastAsia" w:ascii="Arial" w:hAnsi="Arial" w:eastAsia="华文细黑"/>
                <w:sz w:val="18"/>
                <w:szCs w:val="21"/>
              </w:rPr>
              <w:t>月</w:t>
            </w:r>
            <w:r>
              <w:rPr>
                <w:rFonts w:ascii="Arial" w:hAnsi="Arial" w:eastAsia="华文细黑"/>
                <w:sz w:val="18"/>
                <w:szCs w:val="21"/>
              </w:rPr>
              <w:t>16</w:t>
            </w:r>
            <w:r>
              <w:rPr>
                <w:rFonts w:hint="eastAsia" w:ascii="Arial" w:hAnsi="Arial" w:eastAsia="华文细黑"/>
                <w:sz w:val="18"/>
                <w:szCs w:val="21"/>
              </w:rPr>
              <w:t>日中华人民共和国主席令第</w:t>
            </w:r>
            <w:r>
              <w:rPr>
                <w:rFonts w:ascii="Arial" w:hAnsi="Arial" w:eastAsia="华文细黑"/>
                <w:sz w:val="18"/>
                <w:szCs w:val="21"/>
              </w:rPr>
              <w:t>46</w:t>
            </w:r>
            <w:r>
              <w:rPr>
                <w:rFonts w:hint="eastAsia" w:ascii="Arial" w:hAnsi="Arial" w:eastAsia="华文细黑"/>
                <w:sz w:val="18"/>
                <w:szCs w:val="21"/>
              </w:rPr>
              <w:t>号公布，自</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日第十三届全国人大三次会议表决通过，自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w:t>
            </w:r>
            <w:r>
              <w:rPr>
                <w:rFonts w:ascii="Arial" w:hAnsi="Arial" w:eastAsia="华文细黑"/>
                <w:sz w:val="18"/>
                <w:szCs w:val="21"/>
              </w:rPr>
              <w:t>1990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19</w:t>
            </w:r>
            <w:r>
              <w:rPr>
                <w:rFonts w:hint="eastAsia" w:ascii="Arial" w:hAnsi="Arial" w:eastAsia="华文细黑"/>
                <w:sz w:val="18"/>
                <w:szCs w:val="21"/>
              </w:rPr>
              <w:t>日中华人民共和国国务院令第</w:t>
            </w:r>
            <w:r>
              <w:rPr>
                <w:rFonts w:ascii="Arial" w:hAnsi="Arial" w:eastAsia="华文细黑"/>
                <w:sz w:val="18"/>
                <w:szCs w:val="21"/>
              </w:rPr>
              <w:t>55</w:t>
            </w:r>
            <w:r>
              <w:rPr>
                <w:rFonts w:hint="eastAsia" w:ascii="Arial" w:hAnsi="Arial" w:eastAsia="华文细黑"/>
                <w:sz w:val="18"/>
                <w:szCs w:val="21"/>
              </w:rPr>
              <w:t>号发布，自发布之日起施行）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24</w:t>
            </w:r>
            <w:r>
              <w:rPr>
                <w:rFonts w:hint="eastAsia" w:ascii="Arial" w:hAnsi="Arial" w:eastAsia="华文细黑"/>
                <w:sz w:val="18"/>
                <w:szCs w:val="21"/>
              </w:rPr>
              <w:t>日国务院第</w:t>
            </w:r>
            <w:r>
              <w:rPr>
                <w:rFonts w:ascii="Arial" w:hAnsi="Arial" w:eastAsia="华文细黑"/>
                <w:sz w:val="18"/>
                <w:szCs w:val="21"/>
              </w:rPr>
              <w:t>12</w:t>
            </w:r>
            <w:r>
              <w:rPr>
                <w:rFonts w:hint="eastAsia" w:ascii="Arial" w:hAnsi="Arial" w:eastAsia="华文细黑"/>
                <w:sz w:val="18"/>
                <w:szCs w:val="21"/>
              </w:rPr>
              <w:t>次常务会议通过</w:t>
            </w:r>
            <w:r>
              <w:rPr>
                <w:rFonts w:ascii="Arial" w:hAnsi="Arial" w:eastAsia="华文细黑"/>
                <w:sz w:val="18"/>
                <w:szCs w:val="21"/>
              </w:rPr>
              <w:t xml:space="preserve"> </w:t>
            </w:r>
            <w:r>
              <w:rPr>
                <w:rFonts w:hint="eastAsia" w:ascii="Arial" w:hAnsi="Arial" w:eastAsia="华文细黑"/>
                <w:sz w:val="18"/>
                <w:szCs w:val="21"/>
              </w:rPr>
              <w:t>，</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日中华人民共和国国务院令第</w:t>
            </w:r>
            <w:r>
              <w:rPr>
                <w:rFonts w:ascii="Arial" w:hAnsi="Arial" w:eastAsia="华文细黑"/>
                <w:sz w:val="18"/>
                <w:szCs w:val="21"/>
              </w:rPr>
              <w:t>256</w:t>
            </w:r>
            <w:r>
              <w:rPr>
                <w:rFonts w:hint="eastAsia" w:ascii="Arial" w:hAnsi="Arial" w:eastAsia="华文细黑"/>
                <w:sz w:val="18"/>
                <w:szCs w:val="21"/>
              </w:rPr>
              <w:t>号发布，自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2010</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日国务院第</w:t>
            </w:r>
            <w:r>
              <w:rPr>
                <w:rFonts w:ascii="Arial" w:hAnsi="Arial" w:eastAsia="华文细黑"/>
                <w:sz w:val="18"/>
                <w:szCs w:val="21"/>
              </w:rPr>
              <w:t>138</w:t>
            </w:r>
            <w:r>
              <w:rPr>
                <w:rFonts w:hint="eastAsia" w:ascii="Arial" w:hAnsi="Arial" w:eastAsia="华文细黑"/>
                <w:sz w:val="18"/>
                <w:szCs w:val="21"/>
              </w:rPr>
              <w:t>次常务会议第一次修正通过，</w:t>
            </w:r>
            <w:r>
              <w:rPr>
                <w:rFonts w:ascii="Arial" w:hAnsi="Arial" w:eastAsia="华文细黑"/>
                <w:sz w:val="18"/>
                <w:szCs w:val="21"/>
              </w:rPr>
              <w:t>2011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8</w:t>
            </w:r>
            <w:r>
              <w:rPr>
                <w:rFonts w:hint="eastAsia" w:ascii="Arial" w:hAnsi="Arial" w:eastAsia="华文细黑"/>
                <w:sz w:val="18"/>
                <w:szCs w:val="21"/>
              </w:rPr>
              <w:t>日中华人民共和国国务院令第</w:t>
            </w:r>
            <w:r>
              <w:rPr>
                <w:rFonts w:ascii="Arial" w:hAnsi="Arial" w:eastAsia="华文细黑"/>
                <w:sz w:val="18"/>
                <w:szCs w:val="21"/>
              </w:rPr>
              <w:t>588</w:t>
            </w:r>
            <w:r>
              <w:rPr>
                <w:rFonts w:hint="eastAsia" w:ascii="Arial" w:hAnsi="Arial" w:eastAsia="华文细黑"/>
                <w:sz w:val="18"/>
                <w:szCs w:val="21"/>
              </w:rPr>
              <w:t>号发布，自发布之日起施行；</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9</w:t>
            </w:r>
            <w:r>
              <w:rPr>
                <w:rFonts w:hint="eastAsia" w:ascii="Arial" w:hAnsi="Arial" w:eastAsia="华文细黑"/>
                <w:sz w:val="18"/>
                <w:szCs w:val="21"/>
              </w:rPr>
              <w:t>日国务院第</w:t>
            </w:r>
            <w:r>
              <w:rPr>
                <w:rFonts w:ascii="Arial" w:hAnsi="Arial" w:eastAsia="华文细黑"/>
                <w:sz w:val="18"/>
                <w:szCs w:val="21"/>
              </w:rPr>
              <w:t>54</w:t>
            </w:r>
            <w:r>
              <w:rPr>
                <w:rFonts w:hint="eastAsia" w:ascii="Arial" w:hAnsi="Arial" w:eastAsia="华文细黑"/>
                <w:sz w:val="18"/>
                <w:szCs w:val="21"/>
              </w:rPr>
              <w:t>次常务会议第二次修正通过，</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日中华人民共和国国务院令第</w:t>
            </w:r>
            <w:r>
              <w:rPr>
                <w:rFonts w:ascii="Arial" w:hAnsi="Arial" w:eastAsia="华文细黑"/>
                <w:sz w:val="18"/>
                <w:szCs w:val="21"/>
              </w:rPr>
              <w:t>653</w:t>
            </w:r>
            <w:r>
              <w:rPr>
                <w:rFonts w:hint="eastAsia" w:ascii="Arial" w:hAnsi="Arial" w:eastAsia="华文细黑"/>
                <w:sz w:val="18"/>
                <w:szCs w:val="21"/>
              </w:rPr>
              <w:t>号公布，自公布之日起施行；</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4</w:t>
            </w:r>
            <w:r>
              <w:rPr>
                <w:rFonts w:hint="eastAsia" w:ascii="Arial" w:hAnsi="Arial" w:eastAsia="华文细黑"/>
                <w:sz w:val="18"/>
                <w:szCs w:val="21"/>
              </w:rPr>
              <w:t>月</w:t>
            </w:r>
            <w:r>
              <w:rPr>
                <w:rFonts w:ascii="Arial" w:hAnsi="Arial" w:eastAsia="华文细黑"/>
                <w:sz w:val="18"/>
                <w:szCs w:val="21"/>
              </w:rPr>
              <w:t>21</w:t>
            </w:r>
            <w:r>
              <w:rPr>
                <w:rFonts w:hint="eastAsia" w:ascii="Arial" w:hAnsi="Arial" w:eastAsia="华文细黑"/>
                <w:sz w:val="18"/>
                <w:szCs w:val="21"/>
              </w:rPr>
              <w:t>日，国务院第</w:t>
            </w:r>
            <w:r>
              <w:rPr>
                <w:rFonts w:ascii="Arial" w:hAnsi="Arial" w:eastAsia="华文细黑"/>
                <w:sz w:val="18"/>
                <w:szCs w:val="21"/>
              </w:rPr>
              <w:t>132</w:t>
            </w:r>
            <w:r>
              <w:rPr>
                <w:rFonts w:hint="eastAsia" w:ascii="Arial" w:hAnsi="Arial" w:eastAsia="华文细黑"/>
                <w:sz w:val="18"/>
                <w:szCs w:val="21"/>
              </w:rPr>
              <w:t>次会议第三次修订通过，</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日中华人民共和国国务院令第</w:t>
            </w:r>
            <w:r>
              <w:rPr>
                <w:rFonts w:ascii="Arial" w:hAnsi="Arial" w:eastAsia="华文细黑"/>
                <w:sz w:val="18"/>
                <w:szCs w:val="21"/>
              </w:rPr>
              <w:t>743</w:t>
            </w:r>
            <w:r>
              <w:rPr>
                <w:rFonts w:hint="eastAsia" w:ascii="Arial" w:hAnsi="Arial" w:eastAsia="华文细黑"/>
                <w:sz w:val="18"/>
                <w:szCs w:val="21"/>
              </w:rPr>
              <w:t>号公布，自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9</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ascii="Arial" w:hAnsi="Arial" w:eastAsia="华文细黑"/>
                <w:sz w:val="18"/>
                <w:szCs w:val="21"/>
              </w:rPr>
              <w:t>8</w:t>
            </w:r>
            <w:r>
              <w:rPr>
                <w:rFonts w:hint="eastAsia" w:ascii="Arial" w:hAnsi="Arial" w:eastAsia="华文细黑"/>
                <w:sz w:val="18"/>
                <w:szCs w:val="21"/>
              </w:rPr>
              <w:t>.《房地产估价规范》[GB/T 50291-2015]</w:t>
            </w:r>
          </w:p>
          <w:p>
            <w:pPr>
              <w:spacing w:line="360" w:lineRule="auto"/>
              <w:ind w:firstLine="360" w:firstLineChars="200"/>
              <w:rPr>
                <w:rFonts w:ascii="Arial" w:hAnsi="Arial" w:eastAsia="华文细黑"/>
                <w:sz w:val="18"/>
                <w:szCs w:val="21"/>
              </w:rPr>
            </w:pPr>
            <w:r>
              <w:rPr>
                <w:rFonts w:ascii="Arial" w:hAnsi="Arial" w:eastAsia="华文细黑"/>
                <w:sz w:val="18"/>
                <w:szCs w:val="21"/>
              </w:rPr>
              <w:t>9</w:t>
            </w:r>
            <w:r>
              <w:rPr>
                <w:rFonts w:hint="eastAsia" w:ascii="Arial" w:hAnsi="Arial" w:eastAsia="华文细黑"/>
                <w:sz w:val="18"/>
                <w:szCs w:val="21"/>
              </w:rPr>
              <w:t>.《房地产估价基本术语标准》[GB/T50899-2013]</w:t>
            </w:r>
          </w:p>
          <w:p>
            <w:pPr>
              <w:spacing w:line="360" w:lineRule="auto"/>
              <w:ind w:firstLine="360" w:firstLineChars="200"/>
              <w:rPr>
                <w:rFonts w:ascii="Arial" w:hAnsi="Arial" w:eastAsia="华文细黑"/>
                <w:sz w:val="18"/>
                <w:szCs w:val="21"/>
              </w:rPr>
            </w:pPr>
            <w:r>
              <w:rPr>
                <w:rFonts w:ascii="Arial" w:hAnsi="Arial" w:eastAsia="华文细黑"/>
                <w:sz w:val="18"/>
                <w:szCs w:val="21"/>
              </w:rPr>
              <w:t>10</w:t>
            </w:r>
            <w:r>
              <w:rPr>
                <w:rFonts w:hint="eastAsia" w:ascii="Arial" w:hAnsi="Arial" w:eastAsia="华文细黑"/>
                <w:sz w:val="18"/>
                <w:szCs w:val="21"/>
              </w:rPr>
              <w:t>.《北京市人民政府关于更新出让国有建设用地使用权基准地价的通知》[京政发[2014]26号]</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11.《北京市发展计划委员会关于印发&lt;北京市征收城市基础设施建设费暂行办法&gt;的通知》[京计投资字﹝2002﹞1792号]</w:t>
            </w:r>
          </w:p>
          <w:p>
            <w:pPr>
              <w:spacing w:line="360" w:lineRule="auto"/>
              <w:rPr>
                <w:rFonts w:ascii="Arial" w:hAnsi="Arial" w:eastAsia="华文细黑"/>
                <w:sz w:val="18"/>
                <w:szCs w:val="21"/>
              </w:rPr>
            </w:pPr>
            <w:r>
              <w:rPr>
                <w:rFonts w:hint="eastAsia" w:ascii="Arial" w:hAnsi="Arial" w:eastAsia="华文细黑"/>
                <w:sz w:val="18"/>
                <w:szCs w:val="21"/>
              </w:rPr>
              <w:t>（二）估价委托人提供的资料</w:t>
            </w:r>
          </w:p>
          <w:p>
            <w:pPr>
              <w:spacing w:line="360" w:lineRule="auto"/>
              <w:ind w:firstLine="360" w:firstLineChars="200"/>
              <w:rPr>
                <w:rFonts w:ascii="Arial" w:hAnsi="Arial" w:eastAsia="华文细黑" w:cs="Arial"/>
                <w:sz w:val="18"/>
                <w:szCs w:val="21"/>
              </w:rPr>
            </w:pPr>
            <w:r>
              <w:rPr>
                <w:rFonts w:ascii="Arial" w:hAnsi="Arial" w:eastAsia="华文细黑" w:cs="Arial"/>
                <w:sz w:val="18"/>
                <w:szCs w:val="21"/>
              </w:rPr>
              <w:t>1.《</w:t>
            </w:r>
            <w:r>
              <w:rPr>
                <w:rFonts w:hint="eastAsia" w:ascii="Arial" w:hAnsi="Arial" w:eastAsia="华文细黑" w:cs="Arial"/>
                <w:sz w:val="18"/>
                <w:szCs w:val="21"/>
              </w:rPr>
              <w:t>估价委托书</w:t>
            </w:r>
            <w:r>
              <w:rPr>
                <w:rFonts w:ascii="Arial" w:hAnsi="Arial" w:eastAsia="华文细黑" w:cs="Arial"/>
                <w:sz w:val="18"/>
                <w:szCs w:val="21"/>
              </w:rPr>
              <w:t>》</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2.《房屋所有权证》[京房权证军政海更1字第00477号]部分复印件</w:t>
            </w:r>
          </w:p>
          <w:p>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sz w:val="18"/>
                <w:szCs w:val="21"/>
              </w:rPr>
            </w:pPr>
            <w:r>
              <w:rPr>
                <w:rFonts w:hint="eastAsia" w:ascii="Arial" w:hAnsi="Arial" w:eastAsia="华文细黑" w:cs="Arial"/>
                <w:sz w:val="18"/>
                <w:szCs w:val="21"/>
              </w:rPr>
              <w:t>由于本次评估是</w:t>
            </w:r>
            <w:r>
              <w:rPr>
                <w:rFonts w:hint="eastAsia" w:ascii="Arial" w:hAnsi="Arial" w:eastAsia="华文细黑"/>
                <w:bCs/>
                <w:sz w:val="18"/>
                <w:szCs w:val="21"/>
              </w:rPr>
              <w:t>为估价委托人处置估价对象提供价格参考依据。为估价委托人核定估价对象房地产市场价值提供参考依据</w:t>
            </w:r>
            <w:r>
              <w:rPr>
                <w:rFonts w:hint="eastAsia" w:ascii="Arial" w:hAnsi="Arial" w:eastAsia="华文细黑" w:cs="Arial"/>
                <w:sz w:val="18"/>
                <w:szCs w:val="21"/>
              </w:rPr>
              <w:t>，因此我们在认真分析研究估价对象的相关资料,并通过对邻近地区同类物业调查的基础上，根据《房地产估价规范》[GB/T 50291-2015]的估价程序，选用比较法、</w:t>
            </w:r>
            <w:r>
              <w:rPr>
                <w:rFonts w:hint="eastAsia" w:ascii="Arial" w:hAnsi="Arial" w:eastAsia="华文细黑"/>
                <w:sz w:val="18"/>
                <w:szCs w:val="21"/>
              </w:rPr>
              <w:t>成本法进行估价。估价方法简述如下：</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21"/>
              </w:rPr>
            </w:pPr>
            <w:r>
              <w:rPr>
                <w:rFonts w:hint="eastAsia" w:ascii="Arial" w:hAnsi="Arial" w:eastAsia="华文细黑" w:cs="Arial"/>
                <w:sz w:val="18"/>
                <w:szCs w:val="21"/>
              </w:rPr>
              <w:t>本次</w:t>
            </w:r>
            <w:r>
              <w:rPr>
                <w:rFonts w:hint="eastAsia" w:ascii="Arial" w:hAnsi="Arial" w:eastAsia="华文细黑"/>
                <w:sz w:val="18"/>
                <w:szCs w:val="21"/>
              </w:rPr>
              <w:t>估价</w:t>
            </w:r>
            <w:r>
              <w:rPr>
                <w:rFonts w:hint="eastAsia" w:ascii="Arial" w:hAnsi="Arial" w:eastAsia="华文细黑" w:cs="Arial"/>
                <w:sz w:val="18"/>
                <w:szCs w:val="21"/>
              </w:rPr>
              <w:t>的技术路线首先分别采用比较法、</w:t>
            </w:r>
            <w:r>
              <w:rPr>
                <w:rFonts w:hint="eastAsia" w:ascii="Arial" w:hAnsi="Arial" w:eastAsia="华文细黑"/>
                <w:sz w:val="18"/>
                <w:szCs w:val="21"/>
              </w:rPr>
              <w:t>成本法求取房地产价值。再</w:t>
            </w:r>
            <w:r>
              <w:rPr>
                <w:rFonts w:hint="eastAsia" w:ascii="Arial" w:hAnsi="Arial" w:eastAsia="华文细黑" w:cs="Arial"/>
                <w:sz w:val="18"/>
                <w:szCs w:val="21"/>
              </w:rPr>
              <w:t>依据各方法的估价结果，算术平均确定</w:t>
            </w:r>
            <w:r>
              <w:rPr>
                <w:rFonts w:hint="eastAsia" w:ascii="Arial" w:hAnsi="Arial" w:eastAsia="华文细黑"/>
                <w:sz w:val="18"/>
                <w:szCs w:val="21"/>
              </w:rPr>
              <w:t>估价对象房地产市场价值</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ascii="Arial" w:hAnsi="Arial" w:eastAsia="华文细黑" w:cs="Arial"/>
                <w:kern w:val="2"/>
                <w:sz w:val="18"/>
                <w:szCs w:val="21"/>
              </w:rPr>
            </w:pPr>
            <w:r>
              <w:rPr>
                <w:rFonts w:ascii="Arial" w:hAnsi="Arial" w:eastAsia="华文细黑" w:cs="Arial"/>
                <w:sz w:val="18"/>
                <w:szCs w:val="21"/>
              </w:rPr>
              <w:t>评估专业人员根据估价的目的，按照估价的程序，采用科学的估价方法，在认真分析现有资料的基础上，</w:t>
            </w:r>
            <w:r>
              <w:rPr>
                <w:rFonts w:hint="eastAsia" w:ascii="Arial" w:hAnsi="Arial" w:eastAsia="华文细黑"/>
                <w:sz w:val="18"/>
                <w:szCs w:val="21"/>
              </w:rPr>
              <w:t>结合本次估价的特殊要求</w:t>
            </w:r>
            <w:r>
              <w:rPr>
                <w:rFonts w:ascii="Arial" w:hAnsi="Arial" w:eastAsia="华文细黑" w:cs="Arial"/>
                <w:sz w:val="18"/>
                <w:szCs w:val="21"/>
              </w:rPr>
              <w:t>通过仔细测算和认真分析各种影响房地产价格的因素</w:t>
            </w:r>
            <w:r>
              <w:rPr>
                <w:rFonts w:hint="eastAsia" w:ascii="Arial" w:hAnsi="Arial" w:eastAsia="华文细黑" w:cs="Arial"/>
                <w:sz w:val="18"/>
                <w:szCs w:val="21"/>
              </w:rPr>
              <w:t xml:space="preserve">, </w:t>
            </w:r>
            <w:r>
              <w:rPr>
                <w:rFonts w:ascii="Arial" w:hAnsi="Arial" w:eastAsia="华文细黑" w:cs="Arial"/>
                <w:sz w:val="18"/>
                <w:szCs w:val="21"/>
              </w:rPr>
              <w:t>确定估价对象</w:t>
            </w:r>
            <w:r>
              <w:rPr>
                <w:rFonts w:hint="eastAsia" w:ascii="Arial" w:hAnsi="Arial" w:eastAsia="华文细黑" w:cs="Arial"/>
                <w:sz w:val="18"/>
                <w:szCs w:val="21"/>
              </w:rPr>
              <w:t>于价值时点的</w:t>
            </w:r>
            <w:r>
              <w:rPr>
                <w:rFonts w:ascii="Arial" w:hAnsi="Arial" w:eastAsia="华文细黑" w:cs="Arial"/>
                <w:sz w:val="18"/>
                <w:szCs w:val="21"/>
              </w:rPr>
              <w:t>房地产评估价值，详见估价结果一览表</w:t>
            </w:r>
            <w:r>
              <w:rPr>
                <w:rFonts w:hint="eastAsia" w:ascii="Arial" w:hAnsi="Arial"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21"/>
              </w:rPr>
            </w:pPr>
            <w:bookmarkStart w:id="9" w:name="OLE_LINK4"/>
            <w:bookmarkStart w:id="10" w:name="OLE_LINK3"/>
            <w:r>
              <w:rPr>
                <w:rFonts w:hint="eastAsia" w:ascii="Arial" w:hAnsi="Arial" w:eastAsia="华文细黑"/>
                <w:sz w:val="18"/>
                <w:szCs w:val="21"/>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sz w:val="18"/>
                <w:szCs w:val="21"/>
              </w:rPr>
            </w:pPr>
            <w:r>
              <w:rPr>
                <w:rFonts w:hint="eastAsia" w:ascii="Arial" w:hAnsi="Arial" w:eastAsia="华文细黑" w:cs="宋体"/>
                <w:sz w:val="18"/>
                <w:szCs w:val="21"/>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北京市海淀区大慧寺路5号院2号楼5单元5号住宅用房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default" w:ascii="Arial" w:hAnsi="Arial" w:eastAsia="华文细黑"/>
                <w:sz w:val="18"/>
                <w:szCs w:val="21"/>
                <w:lang w:val="en-US" w:eastAsia="zh-CN"/>
              </w:rPr>
            </w:pPr>
            <w:r>
              <w:rPr>
                <w:rFonts w:hint="eastAsia" w:ascii="Arial" w:hAnsi="Arial" w:eastAsia="华文细黑"/>
                <w:sz w:val="18"/>
                <w:szCs w:val="21"/>
                <w:lang w:val="en-US" w:eastAsia="zh-CN"/>
              </w:rPr>
              <w:t>103.59</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default" w:ascii="Arial" w:hAnsi="Arial" w:eastAsia="华文细黑"/>
                <w:sz w:val="18"/>
                <w:szCs w:val="21"/>
                <w:lang w:val="en-US" w:eastAsia="zh-CN"/>
              </w:rPr>
            </w:pPr>
            <w:r>
              <w:rPr>
                <w:rFonts w:hint="eastAsia" w:ascii="Arial" w:hAnsi="Arial" w:eastAsia="华文细黑"/>
                <w:sz w:val="18"/>
                <w:szCs w:val="21"/>
                <w:lang w:val="en-US" w:eastAsia="zh-CN"/>
              </w:rPr>
              <w:t>462219</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hint="default" w:ascii="Arial" w:hAnsi="Arial" w:eastAsia="华文细黑"/>
                <w:sz w:val="18"/>
                <w:szCs w:val="21"/>
                <w:lang w:val="en-US" w:eastAsia="zh-CN"/>
              </w:rPr>
            </w:pPr>
            <w:r>
              <w:rPr>
                <w:rFonts w:hint="eastAsia" w:ascii="Arial" w:hAnsi="Arial" w:eastAsia="华文细黑"/>
                <w:sz w:val="18"/>
                <w:szCs w:val="21"/>
                <w:lang w:val="en-US" w:eastAsia="zh-CN"/>
              </w:rPr>
              <w:t>4462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bCs/>
                <w:sz w:val="18"/>
                <w:szCs w:val="21"/>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宋体"/>
                <w:sz w:val="18"/>
                <w:szCs w:val="18"/>
                <w:lang w:eastAsia="zh-CN"/>
              </w:rPr>
              <w:t>肆拾陆万贰仟贰佰壹拾玖</w:t>
            </w:r>
            <w:r>
              <w:rPr>
                <w:rFonts w:hint="eastAsia" w:ascii="Arial" w:hAnsi="Arial" w:eastAsia="华文细黑" w:cs="宋体"/>
                <w:sz w:val="18"/>
                <w:szCs w:val="18"/>
              </w:rPr>
              <w:t>元整</w:t>
            </w:r>
            <w:bookmarkStart w:id="16" w:name="_GoBack"/>
            <w:bookmarkEnd w:id="16"/>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sz w:val="18"/>
                <w:szCs w:val="21"/>
              </w:rPr>
            </w:pPr>
            <w:r>
              <w:rPr>
                <w:rFonts w:hint="eastAsia" w:ascii="Arial" w:hAnsi="Arial" w:eastAsia="华文细黑"/>
                <w:sz w:val="18"/>
                <w:szCs w:val="21"/>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特别提示：</w:t>
            </w:r>
          </w:p>
          <w:p>
            <w:pPr>
              <w:spacing w:before="120" w:beforeLines="50" w:line="360" w:lineRule="auto"/>
              <w:rPr>
                <w:rFonts w:ascii="Arial" w:hAnsi="Arial" w:eastAsia="华文细黑"/>
                <w:sz w:val="18"/>
                <w:szCs w:val="21"/>
              </w:rPr>
            </w:pPr>
            <w:r>
              <w:rPr>
                <w:rFonts w:hint="eastAsia" w:ascii="Arial" w:hAnsi="Arial" w:eastAsia="华文细黑"/>
                <w:sz w:val="18"/>
                <w:szCs w:val="21"/>
              </w:rPr>
              <w:t>1.</w:t>
            </w:r>
            <w:r>
              <w:rPr>
                <w:rFonts w:hint="eastAsia"/>
              </w:rPr>
              <w:t xml:space="preserve"> </w:t>
            </w:r>
            <w:r>
              <w:rPr>
                <w:rFonts w:hint="eastAsia" w:ascii="Arial" w:hAnsi="Arial" w:eastAsia="华文细黑"/>
                <w:sz w:val="18"/>
                <w:szCs w:val="21"/>
              </w:rPr>
              <w:t>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rPr>
                <w:rFonts w:ascii="Arial" w:hAnsi="Arial" w:eastAsia="华文细黑"/>
                <w:sz w:val="18"/>
                <w:szCs w:val="21"/>
              </w:rPr>
            </w:pPr>
            <w:r>
              <w:rPr>
                <w:rFonts w:hint="eastAsia" w:ascii="Arial" w:hAnsi="Arial" w:eastAsia="华文细黑"/>
                <w:sz w:val="18"/>
                <w:szCs w:val="21"/>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叶</w:t>
            </w:r>
            <w:r>
              <w:rPr>
                <w:rFonts w:hint="eastAsia" w:ascii="Arial" w:hAnsi="Arial" w:cs="Arial"/>
                <w:sz w:val="21"/>
                <w:szCs w:val="21"/>
                <w:lang w:val="en-US" w:eastAsia="zh-CN"/>
              </w:rPr>
              <w:t xml:space="preserve">  </w:t>
            </w:r>
            <w:r>
              <w:rPr>
                <w:rFonts w:hint="eastAsia" w:ascii="Arial" w:hAnsi="Arial" w:cs="Arial"/>
                <w:sz w:val="21"/>
                <w:szCs w:val="21"/>
              </w:rPr>
              <w:t>凌</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1119970111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61" w:hRule="exact"/>
          <w:jc w:val="center"/>
        </w:trPr>
        <w:tc>
          <w:tcPr>
            <w:tcW w:w="1746" w:type="dxa"/>
            <w:shd w:val="clear" w:color="auto" w:fill="auto"/>
            <w:vAlign w:val="center"/>
          </w:tcPr>
          <w:p>
            <w:pPr>
              <w:tabs>
                <w:tab w:val="left" w:pos="5160"/>
              </w:tabs>
              <w:overflowPunct w:val="0"/>
              <w:spacing w:line="240" w:lineRule="auto"/>
              <w:rPr>
                <w:rFonts w:hint="eastAsia" w:ascii="Arial" w:hAnsi="Arial" w:eastAsia="宋体" w:cs="Arial"/>
                <w:sz w:val="21"/>
                <w:szCs w:val="21"/>
                <w:lang w:eastAsia="zh-CN"/>
              </w:rPr>
            </w:pPr>
            <w:r>
              <w:rPr>
                <w:rFonts w:hint="eastAsia" w:ascii="Arial" w:hAnsi="Arial" w:cs="Arial"/>
                <w:sz w:val="21"/>
                <w:szCs w:val="21"/>
                <w:lang w:eastAsia="zh-CN"/>
              </w:rPr>
              <w:t>常</w:t>
            </w:r>
            <w:r>
              <w:rPr>
                <w:rFonts w:hint="eastAsia" w:ascii="Arial" w:hAnsi="Arial" w:cs="Arial"/>
                <w:sz w:val="21"/>
                <w:szCs w:val="21"/>
                <w:lang w:val="en-US" w:eastAsia="zh-CN"/>
              </w:rPr>
              <w:t xml:space="preserve">  </w:t>
            </w:r>
            <w:r>
              <w:rPr>
                <w:rFonts w:hint="eastAsia" w:ascii="Arial" w:hAnsi="Arial" w:cs="Arial"/>
                <w:sz w:val="21"/>
                <w:szCs w:val="21"/>
                <w:lang w:eastAsia="zh-CN"/>
              </w:rPr>
              <w:t>畅</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w:t>
      </w:r>
      <w:r>
        <w:rPr>
          <w:rFonts w:hint="eastAsia" w:ascii="Arial" w:hAnsi="Arial"/>
          <w:sz w:val="21"/>
          <w:szCs w:val="21"/>
          <w:lang w:val="en-US" w:eastAsia="zh-CN"/>
        </w:rPr>
        <w:t>23</w:t>
      </w:r>
      <w:r>
        <w:rPr>
          <w:rFonts w:hint="eastAsia" w:ascii="Arial" w:hAnsi="Arial"/>
          <w:sz w:val="21"/>
          <w:szCs w:val="21"/>
        </w:rPr>
        <w:t>年</w:t>
      </w:r>
      <w:r>
        <w:rPr>
          <w:rFonts w:hint="eastAsia" w:ascii="Arial" w:hAnsi="Arial"/>
          <w:sz w:val="21"/>
          <w:szCs w:val="21"/>
          <w:lang w:val="en-US" w:eastAsia="zh-CN"/>
        </w:rPr>
        <w:t>7</w:t>
      </w:r>
      <w:r>
        <w:rPr>
          <w:rFonts w:hint="eastAsia" w:ascii="Arial" w:hAnsi="Arial"/>
          <w:sz w:val="21"/>
          <w:szCs w:val="21"/>
        </w:rPr>
        <w:t>月</w:t>
      </w:r>
      <w:r>
        <w:rPr>
          <w:rFonts w:hint="eastAsia" w:ascii="Arial" w:hAnsi="Arial"/>
          <w:sz w:val="21"/>
          <w:szCs w:val="21"/>
          <w:lang w:val="en-US" w:eastAsia="zh-CN"/>
        </w:rPr>
        <w:t>26</w:t>
      </w:r>
      <w:r>
        <w:rPr>
          <w:rFonts w:hint="eastAsia" w:ascii="Arial" w:hAnsi="Arial"/>
          <w:sz w:val="21"/>
          <w:szCs w:val="21"/>
        </w:rPr>
        <w:t>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500322976"/>
      <w:bookmarkStart w:id="14" w:name="_Toc168225825"/>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hint="eastAsia" w:ascii="Arial" w:hAnsi="Arial" w:eastAsia="宋体"/>
          <w:sz w:val="21"/>
          <w:szCs w:val="21"/>
          <w:highlight w:val="none"/>
          <w:lang w:eastAsia="zh-CN"/>
        </w:rPr>
      </w:pPr>
      <w:r>
        <w:rPr>
          <w:rFonts w:hint="eastAsia" w:ascii="Arial" w:hAnsi="Arial"/>
          <w:sz w:val="21"/>
          <w:szCs w:val="21"/>
        </w:rPr>
        <w:t>202</w:t>
      </w:r>
      <w:r>
        <w:rPr>
          <w:rFonts w:hint="eastAsia" w:ascii="Arial" w:hAnsi="Arial"/>
          <w:sz w:val="21"/>
          <w:szCs w:val="21"/>
          <w:lang w:val="en-US" w:eastAsia="zh-CN"/>
        </w:rPr>
        <w:t>3</w:t>
      </w:r>
      <w:r>
        <w:rPr>
          <w:rFonts w:hint="eastAsia" w:ascii="Arial" w:hAnsi="Arial"/>
          <w:sz w:val="21"/>
          <w:szCs w:val="21"/>
        </w:rPr>
        <w:t>年</w:t>
      </w:r>
      <w:r>
        <w:rPr>
          <w:rFonts w:hint="eastAsia" w:ascii="Arial" w:hAnsi="Arial"/>
          <w:sz w:val="21"/>
          <w:szCs w:val="21"/>
          <w:lang w:val="en-US" w:eastAsia="zh-CN"/>
        </w:rPr>
        <w:t>7</w:t>
      </w:r>
      <w:r>
        <w:rPr>
          <w:rFonts w:hint="eastAsia" w:ascii="Arial" w:hAnsi="Arial"/>
          <w:sz w:val="21"/>
          <w:szCs w:val="21"/>
        </w:rPr>
        <w:t>月</w:t>
      </w:r>
      <w:r>
        <w:rPr>
          <w:rFonts w:hint="eastAsia" w:ascii="Arial" w:hAnsi="Arial"/>
          <w:sz w:val="21"/>
          <w:szCs w:val="21"/>
          <w:highlight w:val="none"/>
          <w:lang w:val="en-US" w:eastAsia="zh-CN"/>
        </w:rPr>
        <w:t>26</w:t>
      </w:r>
      <w:r>
        <w:rPr>
          <w:rFonts w:hint="eastAsia" w:ascii="Arial" w:hAnsi="Arial"/>
          <w:sz w:val="21"/>
          <w:szCs w:val="21"/>
          <w:highlight w:val="none"/>
        </w:rPr>
        <w:t>日至</w:t>
      </w:r>
      <w:r>
        <w:rPr>
          <w:rFonts w:hint="eastAsia" w:ascii="Arial" w:hAnsi="Arial"/>
          <w:sz w:val="21"/>
          <w:szCs w:val="21"/>
          <w:highlight w:val="none"/>
          <w:lang w:eastAsia="zh-CN"/>
        </w:rPr>
        <w:t>2023年8月11日</w:t>
      </w:r>
    </w:p>
    <w:p>
      <w:pPr>
        <w:overflowPunct w:val="0"/>
        <w:spacing w:line="480" w:lineRule="auto"/>
        <w:ind w:firstLine="422" w:firstLineChars="200"/>
        <w:jc w:val="both"/>
        <w:textAlignment w:val="auto"/>
        <w:outlineLvl w:val="0"/>
        <w:rPr>
          <w:rFonts w:ascii="Arial" w:hAnsi="Arial"/>
          <w:b/>
          <w:kern w:val="2"/>
          <w:sz w:val="21"/>
          <w:szCs w:val="21"/>
          <w:highlight w:val="none"/>
        </w:rPr>
        <w:sectPr>
          <w:headerReference r:id="rId13" w:type="default"/>
          <w:footerReference r:id="rId14" w:type="even"/>
          <w:pgSz w:w="11907" w:h="16840"/>
          <w:pgMar w:top="1843" w:right="1304" w:bottom="1134" w:left="1304" w:header="1134" w:footer="1134" w:gutter="0"/>
          <w:cols w:space="0" w:num="1"/>
          <w:rtlGutter w:val="0"/>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估价对象相关照片</w:t>
      </w:r>
    </w:p>
    <w:p>
      <w:pPr>
        <w:numPr>
          <w:ilvl w:val="0"/>
          <w:numId w:val="7"/>
        </w:numPr>
        <w:spacing w:line="420" w:lineRule="exact"/>
        <w:jc w:val="both"/>
        <w:rPr>
          <w:rFonts w:ascii="Arial" w:hAnsi="Arial" w:cs="Arial"/>
          <w:sz w:val="21"/>
          <w:szCs w:val="24"/>
        </w:rPr>
      </w:pPr>
      <w:r>
        <w:rPr>
          <w:rFonts w:hint="eastAsia" w:ascii="Arial" w:hAnsi="Arial" w:cs="Arial"/>
          <w:sz w:val="21"/>
          <w:szCs w:val="24"/>
        </w:rPr>
        <w:t>《房屋所有权证》[京房权证军政海更1字第00477号]部分复印件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5" w:type="default"/>
      <w:pgSz w:w="11907" w:h="16840"/>
      <w:pgMar w:top="1843" w:right="1304" w:bottom="1134" w:left="1304" w:header="1134" w:footer="1134" w:gutter="0"/>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lang w:eastAsia="zh-CN"/>
      </w:rPr>
      <w:t>2023-1-0565-F01HDZC6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17</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6C61474"/>
    <w:rsid w:val="3CC61F27"/>
    <w:rsid w:val="3D137337"/>
    <w:rsid w:val="3D54014E"/>
    <w:rsid w:val="40877145"/>
    <w:rsid w:val="47B451CC"/>
    <w:rsid w:val="48E972FC"/>
    <w:rsid w:val="4F225E53"/>
    <w:rsid w:val="4F97175D"/>
    <w:rsid w:val="526E3FD4"/>
    <w:rsid w:val="53290004"/>
    <w:rsid w:val="572763C6"/>
    <w:rsid w:val="5B5D6613"/>
    <w:rsid w:val="5CF53CAB"/>
    <w:rsid w:val="5F17347A"/>
    <w:rsid w:val="5F1F6488"/>
    <w:rsid w:val="600F2B4C"/>
    <w:rsid w:val="656613CB"/>
    <w:rsid w:val="6A164BB8"/>
    <w:rsid w:val="6A8E7AFC"/>
    <w:rsid w:val="77C40767"/>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8530</Words>
  <Characters>9043</Characters>
  <Lines>76</Lines>
  <Paragraphs>21</Paragraphs>
  <TotalTime>1</TotalTime>
  <ScaleCrop>false</ScaleCrop>
  <LinksUpToDate>false</LinksUpToDate>
  <CharactersWithSpaces>9167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2022-04-12T03:32:00Z</cp:lastPrinted>
  <dcterms:modified xsi:type="dcterms:W3CDTF">2023-08-08T09:17:07Z</dcterms:modified>
  <dc:title>电 话：82253558  传真：82253565</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