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北京市海淀区定慧北里30号楼四单元二层2号住宅用房房地产市场价值评估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王志军</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陈颖</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1120060040</w:t>
      </w:r>
      <w:r>
        <w:rPr>
          <w:rFonts w:ascii="Arial" w:hAnsi="Arial" w:eastAsia="方正黑体简体" w:cs="Arial"/>
          <w:sz w:val="21"/>
          <w:szCs w:val="21"/>
        </w:rPr>
        <w:t>）</w:t>
      </w:r>
      <w:r>
        <w:rPr>
          <w:rFonts w:hint="eastAsia" w:ascii="Arial" w:hAnsi="Arial" w:eastAsia="方正黑体简体"/>
          <w:sz w:val="21"/>
          <w:szCs w:val="21"/>
        </w:rPr>
        <w:t>、刘朝阳（注册号：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2022年3月4日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footerReference r:id="rId8"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2022-1-0095-F01HDZC6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b/>
          <w:kern w:val="2"/>
          <w:sz w:val="21"/>
        </w:rPr>
        <w:t>王志军先生</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受您委托，我公司对北京市海淀区定慧北里30号楼四单元二层2号住宅用房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证明》复印件及《住户住房情况调查表》复印件，估价对象为北京市海淀区定慧北里30号楼四单元二层2号住宅用房，设定于价值时点不动产权利人为王志军，估价对象建筑面积为118.67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ascii="Arial" w:hAnsi="Arial"/>
          <w:sz w:val="21"/>
        </w:rPr>
      </w:pPr>
      <w:r>
        <w:rPr>
          <w:rFonts w:hint="eastAsia" w:ascii="Arial" w:hAnsi="Arial"/>
          <w:b/>
          <w:bCs/>
          <w:sz w:val="21"/>
        </w:rPr>
        <w:t>价值时点：</w:t>
      </w:r>
      <w:r>
        <w:rPr>
          <w:rFonts w:hint="eastAsia" w:ascii="Arial" w:hAnsi="Arial"/>
          <w:sz w:val="21"/>
        </w:rPr>
        <w:t>2005年4月1日</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本次估价的“房地产市场价值”是指在正常市场情况下，在价值时点2005年4月1日，估价对象用途为住宅，根据估价委托人介绍及提供的《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》，估价对象室内装修情况设定为简单装修（涂料顶棚、涂料墙面、水泥地面），</w:t>
      </w:r>
      <w:r>
        <w:rPr>
          <w:rFonts w:ascii="Arial" w:hAnsi="Arial"/>
          <w:sz w:val="21"/>
          <w:szCs w:val="28"/>
        </w:rPr>
        <w:t>土地取得方式为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hint="eastAsia"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ind w:firstLine="420" w:firstLineChars="200"/>
        <w:rPr>
          <w:rFonts w:hint="eastAsia" w:ascii="Arial" w:hAnsi="Arial"/>
          <w:sz w:val="21"/>
        </w:rPr>
      </w:pPr>
    </w:p>
    <w:p>
      <w:pPr>
        <w:spacing w:line="480" w:lineRule="auto"/>
        <w:ind w:firstLine="420" w:firstLineChars="200"/>
        <w:rPr>
          <w:rFonts w:hint="eastAsia" w:ascii="Arial" w:hAnsi="Arial"/>
          <w:sz w:val="21"/>
        </w:rPr>
      </w:pPr>
    </w:p>
    <w:p>
      <w:pPr>
        <w:spacing w:line="480" w:lineRule="auto"/>
        <w:jc w:val="both"/>
        <w:rPr>
          <w:rFonts w:hint="eastAsia"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5293</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6532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657550</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陆拾伍万柒仟伍佰伍拾元整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ascii="Arial" w:hAnsi="Arial" w:eastAsia="华文细黑" w:cs="Arial"/>
                <w:sz w:val="18"/>
                <w:szCs w:val="18"/>
              </w:rPr>
              <w:t>楼面价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5541</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万元、元/平方米（币种：人民币）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1998年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rPr>
          <w:rFonts w:hint="eastAsia" w:ascii="华文楷体" w:hAnsi="华文楷体" w:eastAsia="华文楷体" w:cs="华文楷体"/>
          <w:sz w:val="21"/>
          <w:szCs w:val="22"/>
        </w:rPr>
      </w:pPr>
    </w:p>
    <w:p>
      <w:pPr>
        <w:spacing w:line="480" w:lineRule="auto"/>
        <w:rPr>
          <w:rFonts w:hint="eastAsia" w:ascii="华文楷体" w:hAnsi="华文楷体" w:eastAsia="华文楷体" w:cs="华文楷体"/>
          <w:sz w:val="21"/>
          <w:szCs w:val="22"/>
        </w:rPr>
      </w:pPr>
    </w:p>
    <w:p>
      <w:pPr>
        <w:spacing w:line="480" w:lineRule="auto"/>
        <w:rPr>
          <w:rFonts w:hint="eastAsia" w:ascii="华文楷体" w:hAnsi="华文楷体" w:eastAsia="华文楷体" w:cs="华文楷体"/>
          <w:sz w:val="21"/>
          <w:szCs w:val="22"/>
        </w:rPr>
      </w:pPr>
    </w:p>
    <w:p>
      <w:pPr>
        <w:spacing w:line="480" w:lineRule="auto"/>
        <w:rPr>
          <w:rFonts w:hint="eastAsia" w:ascii="华文楷体" w:hAnsi="华文楷体" w:eastAsia="华文楷体" w:cs="华文楷体"/>
          <w:sz w:val="21"/>
          <w:szCs w:val="22"/>
        </w:rPr>
      </w:pPr>
    </w:p>
    <w:p>
      <w:pPr>
        <w:spacing w:line="480" w:lineRule="auto"/>
        <w:rPr>
          <w:rFonts w:hint="eastAsia" w:ascii="华文楷体" w:hAnsi="华文楷体" w:eastAsia="华文楷体" w:cs="华文楷体"/>
          <w:sz w:val="21"/>
          <w:szCs w:val="22"/>
        </w:rPr>
      </w:pPr>
    </w:p>
    <w:p>
      <w:pPr>
        <w:spacing w:line="480" w:lineRule="auto"/>
        <w:rPr>
          <w:rFonts w:hint="eastAsia" w:ascii="华文楷体" w:hAnsi="华文楷体" w:eastAsia="华文楷体" w:cs="华文楷体"/>
          <w:sz w:val="21"/>
          <w:szCs w:val="22"/>
        </w:rPr>
      </w:pPr>
    </w:p>
    <w:p>
      <w:pPr>
        <w:spacing w:line="480" w:lineRule="auto"/>
        <w:rPr>
          <w:rFonts w:hint="eastAsia" w:ascii="华文楷体" w:hAnsi="华文楷体" w:eastAsia="华文楷体" w:cs="华文楷体"/>
          <w:sz w:val="21"/>
          <w:szCs w:val="22"/>
        </w:rPr>
      </w:pPr>
    </w:p>
    <w:p>
      <w:pPr>
        <w:spacing w:line="480" w:lineRule="auto"/>
        <w:rPr>
          <w:rFonts w:hint="eastAsia" w:ascii="华文楷体" w:hAnsi="华文楷体" w:eastAsia="华文楷体" w:cs="华文楷体"/>
          <w:sz w:val="21"/>
          <w:szCs w:val="22"/>
        </w:rPr>
      </w:pPr>
    </w:p>
    <w:p>
      <w:pPr>
        <w:spacing w:line="480" w:lineRule="auto"/>
        <w:rPr>
          <w:rFonts w:ascii="Arial" w:hAnsi="Arial"/>
          <w:sz w:val="21"/>
        </w:rPr>
      </w:pPr>
      <w:r>
        <w:rPr>
          <w:rFonts w:hint="eastAsia" w:ascii="华文楷体" w:hAnsi="华文楷体" w:eastAsia="华文楷体" w:cs="华文楷体"/>
          <w:sz w:val="21"/>
          <w:szCs w:val="22"/>
        </w:rPr>
        <w:t>（本页无正文）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blPrEx>
          <w:tblCellMar>
            <w:top w:w="0" w:type="dxa"/>
            <w:left w:w="108" w:type="dxa"/>
            <w:bottom w:w="0" w:type="dxa"/>
            <w:right w:w="108" w:type="dxa"/>
          </w:tblCellMar>
        </w:tblPrEx>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○二二</w:t>
            </w:r>
            <w:r>
              <w:rPr>
                <w:rFonts w:ascii="Arial" w:hAnsi="Arial" w:cs="Arial"/>
                <w:sz w:val="21"/>
                <w:szCs w:val="21"/>
              </w:rPr>
              <w:t>年</w:t>
            </w:r>
            <w:r>
              <w:rPr>
                <w:rFonts w:hint="eastAsia" w:ascii="Arial" w:hAnsi="Arial" w:cs="Arial"/>
                <w:sz w:val="21"/>
                <w:szCs w:val="21"/>
              </w:rPr>
              <w:t>三月四日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9" w:type="default"/>
          <w:pgSz w:w="11907" w:h="16840"/>
          <w:pgMar w:top="1843" w:right="1134" w:bottom="1191" w:left="1134" w:header="1134" w:footer="1134" w:gutter="340"/>
          <w:pgNumType w:start="1"/>
          <w:cols w:space="72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估价对象实地查勘情况和相关照片</w:t>
      </w:r>
    </w:p>
    <w:p>
      <w:pPr>
        <w:numPr>
          <w:ilvl w:val="0"/>
          <w:numId w:val="6"/>
        </w:numPr>
        <w:spacing w:line="420" w:lineRule="exact"/>
        <w:ind w:left="851" w:hanging="425"/>
        <w:jc w:val="both"/>
        <w:rPr>
          <w:rFonts w:ascii="Arial" w:hAnsi="Arial" w:cs="Arial"/>
          <w:sz w:val="21"/>
          <w:szCs w:val="24"/>
        </w:rPr>
      </w:pPr>
      <w:r>
        <w:rPr>
          <w:rFonts w:hint="eastAsia" w:ascii="Arial" w:hAnsi="Arial"/>
          <w:kern w:val="2"/>
          <w:sz w:val="21"/>
        </w:rPr>
        <w:t>《证明》</w:t>
      </w:r>
      <w:r>
        <w:rPr>
          <w:rFonts w:hint="eastAsia" w:ascii="Arial" w:hAnsi="Arial" w:cs="Arial"/>
          <w:sz w:val="21"/>
          <w:szCs w:val="24"/>
        </w:rPr>
        <w:t>复印件</w:t>
      </w:r>
    </w:p>
    <w:p>
      <w:pPr>
        <w:numPr>
          <w:ilvl w:val="0"/>
          <w:numId w:val="6"/>
        </w:numPr>
        <w:spacing w:line="420" w:lineRule="exact"/>
        <w:ind w:left="851" w:hanging="425"/>
        <w:jc w:val="both"/>
        <w:rPr>
          <w:rFonts w:ascii="Arial" w:hAnsi="Arial" w:cs="Arial"/>
          <w:sz w:val="21"/>
          <w:szCs w:val="24"/>
        </w:rPr>
      </w:pPr>
      <w:r>
        <w:rPr>
          <w:rFonts w:hint="eastAsia" w:ascii="Arial" w:hAnsi="Arial"/>
          <w:kern w:val="2"/>
          <w:sz w:val="21"/>
        </w:rPr>
        <w:t>《住户住房情况调查表》</w:t>
      </w:r>
      <w:r>
        <w:rPr>
          <w:rFonts w:hint="eastAsia"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500322960"/>
      <w:bookmarkStart w:id="2" w:name="_Toc379795041"/>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1" w:type="first"/>
          <w:footerReference r:id="rId12" w:type="first"/>
          <w:headerReference r:id="rId10" w:type="default"/>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500322961"/>
      <w:bookmarkStart w:id="5" w:name="_Toc379795042"/>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r>
        <w:rPr>
          <w:rFonts w:hint="eastAsia" w:ascii="Arial" w:hAnsi="Arial"/>
          <w:kern w:val="2"/>
          <w:sz w:val="21"/>
        </w:rPr>
        <w:t>《估价委托书》、《证明》复印件及《住户住房情况调查表》复印件</w:t>
      </w:r>
      <w:r>
        <w:rPr>
          <w:rFonts w:ascii="Arial" w:hAnsi="Arial" w:cs="Arial"/>
          <w:sz w:val="21"/>
        </w:rPr>
        <w:t>上载明的为依据</w:t>
      </w:r>
      <w:r>
        <w:rPr>
          <w:rFonts w:hint="eastAsia" w:ascii="Arial" w:hAnsi="Arial" w:cs="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（2）根据《估价委托书》，本报告设定估价对象内部装修情况为简单装修（涂料顶棚、涂料墙面、</w:t>
      </w:r>
      <w:r>
        <w:rPr>
          <w:rFonts w:hint="eastAsia" w:ascii="宋体" w:hAnsi="宋体"/>
          <w:sz w:val="21"/>
          <w:szCs w:val="21"/>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估价委托人未能提供估价对象权属文件等资料，根据估价委托人提供的《估价委托书》及《证明》复印件，房屋建成年份为1995年，本次估价房屋建成年份以估价委托人提供的《估价委托书》及《证明》复印件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本次估价价值时点为2005年4月1日，完成实地查勘日期为2022年2月28日，价值时点与完成实地查勘日期不一致，本次估价假定</w:t>
      </w:r>
      <w:r>
        <w:rPr>
          <w:rFonts w:hint="eastAsia" w:ascii="Arial" w:hAnsi="Arial"/>
          <w:kern w:val="2"/>
          <w:sz w:val="21"/>
          <w:lang w:val="en-US" w:eastAsia="zh-CN"/>
        </w:rPr>
        <w:t>估价对象于</w:t>
      </w:r>
      <w:r>
        <w:rPr>
          <w:rFonts w:hint="eastAsia" w:ascii="Arial" w:hAnsi="Arial"/>
          <w:kern w:val="2"/>
          <w:sz w:val="21"/>
        </w:rPr>
        <w:t>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3.不相一致假设</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根据估价委托人提供的《证明》复印件，估价对象</w:t>
      </w:r>
      <w:r>
        <w:rPr>
          <w:rFonts w:hint="eastAsia" w:ascii="Arial" w:hAnsi="Arial"/>
          <w:kern w:val="2"/>
          <w:sz w:val="21"/>
          <w:lang w:val="en-US" w:eastAsia="zh-CN"/>
        </w:rPr>
        <w:t>于价值时点</w:t>
      </w:r>
      <w:r>
        <w:rPr>
          <w:rFonts w:hint="eastAsia" w:ascii="Arial" w:hAnsi="Arial"/>
          <w:kern w:val="2"/>
          <w:sz w:val="21"/>
        </w:rPr>
        <w:t>住房性质为成本价出售住房，根据估价委托人提供的《估价委托书》，估价对象房屋性质为商品房，本次评估房屋性质以《估价委托书》上房屋性质为商品房为依据。</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即2022年3月4日至2023年3月3日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500322962"/>
      <w:bookmarkStart w:id="7" w:name="_Toc168225812"/>
      <w:r>
        <w:rPr>
          <w:rFonts w:hint="eastAsia" w:eastAsia="方正黑体简体"/>
          <w:b w:val="0"/>
          <w:kern w:val="2"/>
          <w:sz w:val="32"/>
          <w:szCs w:val="32"/>
        </w:rPr>
        <w:t>估价结果报告</w:t>
      </w:r>
      <w:bookmarkEnd w:id="6"/>
      <w:bookmarkEnd w:id="7"/>
    </w:p>
    <w:tbl>
      <w:tblPr>
        <w:tblStyle w:val="32"/>
        <w:tblW w:w="9298"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478"/>
        <w:gridCol w:w="179"/>
        <w:gridCol w:w="1460"/>
        <w:gridCol w:w="297"/>
        <w:gridCol w:w="1256"/>
        <w:gridCol w:w="33"/>
        <w:gridCol w:w="924"/>
        <w:gridCol w:w="596"/>
        <w:gridCol w:w="331"/>
        <w:gridCol w:w="285"/>
        <w:gridCol w:w="960"/>
        <w:gridCol w:w="119"/>
        <w:gridCol w:w="423"/>
        <w:gridCol w:w="1957"/>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
                <w:bCs/>
                <w:sz w:val="18"/>
                <w:szCs w:val="18"/>
              </w:rPr>
            </w:pPr>
            <w:bookmarkStart w:id="8" w:name="_Toc168225824"/>
            <w:r>
              <w:rPr>
                <w:rFonts w:ascii="Arial" w:hAnsi="Arial" w:eastAsia="华文细黑" w:cs="Arial"/>
                <w:b/>
                <w:kern w:val="2"/>
                <w:sz w:val="18"/>
                <w:szCs w:val="18"/>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18"/>
              </w:rPr>
            </w:pPr>
            <w:r>
              <w:rPr>
                <w:rFonts w:ascii="Arial" w:hAnsi="Arial" w:eastAsia="华文细黑" w:cs="Arial"/>
                <w:bCs/>
                <w:sz w:val="18"/>
                <w:szCs w:val="18"/>
              </w:rPr>
              <w:t>姓名：王志军</w:t>
            </w:r>
          </w:p>
          <w:p>
            <w:pPr>
              <w:spacing w:line="360" w:lineRule="auto"/>
              <w:rPr>
                <w:rFonts w:ascii="Arial" w:hAnsi="Arial" w:eastAsia="华文细黑" w:cs="Arial"/>
                <w:bCs/>
                <w:sz w:val="18"/>
                <w:szCs w:val="18"/>
              </w:rPr>
            </w:pPr>
            <w:r>
              <w:rPr>
                <w:rFonts w:hint="eastAsia" w:ascii="Arial" w:hAnsi="Arial" w:eastAsia="华文细黑" w:cs="Arial"/>
                <w:bCs/>
                <w:sz w:val="18"/>
                <w:szCs w:val="18"/>
              </w:rPr>
              <w:t>联系电话：15601219412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cs="Arial"/>
                <w:b/>
                <w:bCs/>
                <w:sz w:val="18"/>
                <w:szCs w:val="18"/>
              </w:rPr>
            </w:pPr>
            <w:r>
              <w:rPr>
                <w:rFonts w:ascii="Arial" w:hAnsi="Arial" w:eastAsia="华文细黑" w:cs="Arial"/>
                <w:b/>
                <w:kern w:val="2"/>
                <w:sz w:val="18"/>
                <w:szCs w:val="18"/>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825" w:type="dxa"/>
            <w:gridSpan w:val="11"/>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bCs/>
                <w:sz w:val="18"/>
                <w:szCs w:val="18"/>
              </w:rPr>
              <w:t>估价机构：</w:t>
            </w:r>
            <w:r>
              <w:rPr>
                <w:rFonts w:ascii="Arial" w:hAnsi="Arial" w:eastAsia="华文细黑" w:cs="Arial"/>
                <w:sz w:val="18"/>
                <w:szCs w:val="18"/>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bCs/>
                <w:sz w:val="18"/>
                <w:szCs w:val="18"/>
              </w:rPr>
              <w:t>法定代表人：</w:t>
            </w:r>
            <w:r>
              <w:rPr>
                <w:rFonts w:ascii="Arial" w:hAnsi="Arial" w:eastAsia="华文细黑" w:cs="Arial"/>
                <w:sz w:val="18"/>
                <w:szCs w:val="18"/>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825" w:type="dxa"/>
            <w:gridSpan w:val="11"/>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bCs/>
                <w:sz w:val="18"/>
                <w:szCs w:val="18"/>
              </w:rPr>
              <w:t>注册地址：</w:t>
            </w:r>
            <w:r>
              <w:rPr>
                <w:rFonts w:ascii="Arial" w:hAnsi="Arial" w:eastAsia="华文细黑" w:cs="Arial"/>
                <w:sz w:val="18"/>
                <w:szCs w:val="18"/>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bCs/>
                <w:sz w:val="18"/>
                <w:szCs w:val="18"/>
              </w:rPr>
              <w:t>邮政编码：</w:t>
            </w:r>
            <w:r>
              <w:rPr>
                <w:rFonts w:ascii="Arial" w:hAnsi="Arial" w:eastAsia="华文细黑" w:cs="Arial"/>
                <w:sz w:val="18"/>
                <w:szCs w:val="18"/>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18"/>
              </w:rPr>
            </w:pPr>
            <w:r>
              <w:rPr>
                <w:rFonts w:ascii="Arial" w:hAnsi="Arial" w:eastAsia="华文细黑" w:cs="Arial"/>
                <w:bCs/>
                <w:sz w:val="18"/>
                <w:szCs w:val="18"/>
              </w:rPr>
              <w:t>估价机构资质：</w:t>
            </w:r>
            <w:r>
              <w:rPr>
                <w:rFonts w:ascii="Arial" w:hAnsi="Arial" w:eastAsia="华文细黑" w:cs="Arial"/>
                <w:sz w:val="18"/>
                <w:szCs w:val="18"/>
              </w:rPr>
              <w:t>建设部一级房地产价格评估机构（建房估备字[2013第]081号）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18"/>
              </w:rPr>
            </w:pPr>
            <w:r>
              <w:rPr>
                <w:rFonts w:ascii="Arial" w:hAnsi="Arial" w:eastAsia="华文细黑" w:cs="Arial"/>
                <w:b/>
                <w:kern w:val="2"/>
                <w:sz w:val="18"/>
                <w:szCs w:val="18"/>
              </w:rPr>
              <w:t>三、估价目的：</w:t>
            </w:r>
            <w:r>
              <w:rPr>
                <w:rFonts w:ascii="Arial" w:hAnsi="Arial" w:eastAsia="华文细黑" w:cs="Arial"/>
                <w:kern w:val="2"/>
                <w:sz w:val="18"/>
                <w:szCs w:val="18"/>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18"/>
              </w:rPr>
            </w:pPr>
            <w:r>
              <w:rPr>
                <w:rFonts w:ascii="Arial" w:hAnsi="Arial" w:eastAsia="华文细黑" w:cs="Arial"/>
                <w:b/>
                <w:kern w:val="2"/>
                <w:sz w:val="18"/>
                <w:szCs w:val="18"/>
              </w:rPr>
              <w:t>四、价值时点：</w:t>
            </w:r>
            <w:r>
              <w:rPr>
                <w:rFonts w:ascii="Arial" w:hAnsi="Arial" w:eastAsia="华文细黑" w:cs="Arial"/>
                <w:kern w:val="2"/>
                <w:sz w:val="18"/>
                <w:szCs w:val="18"/>
              </w:rPr>
              <w:t>2005年4月1日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18"/>
              </w:rPr>
            </w:pPr>
            <w:r>
              <w:rPr>
                <w:rFonts w:ascii="Arial" w:hAnsi="Arial" w:eastAsia="华文细黑" w:cs="Arial"/>
                <w:b/>
                <w:kern w:val="2"/>
                <w:sz w:val="18"/>
                <w:szCs w:val="18"/>
              </w:rPr>
              <w:t>五、估价作业期</w:t>
            </w:r>
            <w:r>
              <w:rPr>
                <w:rFonts w:ascii="Arial" w:hAnsi="Arial" w:eastAsia="华文细黑" w:cs="Arial"/>
                <w:b/>
                <w:bCs/>
                <w:sz w:val="18"/>
                <w:szCs w:val="18"/>
              </w:rPr>
              <w:t>：</w:t>
            </w:r>
            <w:r>
              <w:rPr>
                <w:rFonts w:ascii="Arial" w:hAnsi="Arial" w:eastAsia="华文细黑" w:cs="Arial"/>
                <w:kern w:val="2"/>
                <w:sz w:val="18"/>
                <w:szCs w:val="18"/>
              </w:rPr>
              <w:t>2022年2月28日至2022年3月4日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
                <w:bCs/>
                <w:sz w:val="18"/>
                <w:szCs w:val="18"/>
              </w:rPr>
            </w:pPr>
            <w:r>
              <w:rPr>
                <w:rFonts w:ascii="Arial" w:hAnsi="Arial" w:eastAsia="华文细黑" w:cs="Arial"/>
                <w:b/>
                <w:kern w:val="2"/>
                <w:sz w:val="18"/>
                <w:szCs w:val="18"/>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估价对象：北京市海淀区定慧北里30号楼四单元二层2号住宅用房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不动产权利人：王志军</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房屋坐落：北京市海淀区定慧北里30号楼四单元二层2号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房屋总层数：6</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所在层数：2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建筑面积（㎡）：118.67</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套内建筑面积（含阳台）（㎡）：——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结构：混合</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建成年代：设定1998年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房屋用途：住宅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现状用途：设定为住宅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45" w:type="dxa"/>
            <w:gridSpan w:val="7"/>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18"/>
              </w:rPr>
            </w:pPr>
            <w:r>
              <w:rPr>
                <w:rFonts w:ascii="Arial" w:hAnsi="Arial" w:eastAsia="华文细黑" w:cs="Arial"/>
                <w:bCs/>
                <w:sz w:val="18"/>
                <w:szCs w:val="18"/>
              </w:rPr>
              <w:t>使用权类型：出让</w:t>
            </w:r>
          </w:p>
        </w:tc>
        <w:tc>
          <w:tcPr>
            <w:tcW w:w="4689" w:type="dxa"/>
            <w:gridSpan w:val="7"/>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18"/>
              </w:rPr>
            </w:pPr>
            <w:r>
              <w:rPr>
                <w:rFonts w:ascii="Arial" w:hAnsi="Arial" w:eastAsia="华文细黑" w:cs="Arial"/>
                <w:bCs/>
                <w:sz w:val="18"/>
                <w:szCs w:val="18"/>
              </w:rPr>
              <w:t>土地用途：城镇住宅用地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18"/>
              </w:rPr>
            </w:pPr>
            <w:r>
              <w:rPr>
                <w:rFonts w:ascii="Arial" w:hAnsi="Arial" w:eastAsia="华文细黑" w:cs="Arial"/>
                <w:bCs/>
                <w:sz w:val="18"/>
                <w:szCs w:val="18"/>
              </w:rPr>
              <w:t>本报告设定国有土地使用权最高土地使用年限70年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18"/>
              </w:rPr>
            </w:pPr>
            <w:r>
              <w:rPr>
                <w:rFonts w:ascii="Arial" w:hAnsi="Arial" w:eastAsia="华文细黑" w:cs="Arial"/>
                <w:sz w:val="18"/>
                <w:szCs w:val="18"/>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48" w:beforeLines="20" w:line="360" w:lineRule="auto"/>
              <w:rPr>
                <w:rFonts w:ascii="Arial" w:hAnsi="Arial" w:eastAsia="华文细黑" w:cs="Arial"/>
                <w:bCs/>
                <w:sz w:val="18"/>
                <w:szCs w:val="18"/>
              </w:rPr>
            </w:pPr>
            <w:r>
              <w:rPr>
                <w:rFonts w:ascii="Arial" w:hAnsi="Arial" w:eastAsia="华文细黑" w:cs="Arial"/>
                <w:kern w:val="2"/>
                <w:sz w:val="18"/>
                <w:szCs w:val="18"/>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项目</w:t>
            </w:r>
          </w:p>
        </w:tc>
        <w:tc>
          <w:tcPr>
            <w:tcW w:w="7209" w:type="dxa"/>
            <w:gridSpan w:val="11"/>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现</w:t>
            </w:r>
          </w:p>
          <w:p>
            <w:pPr>
              <w:spacing w:line="360" w:lineRule="auto"/>
              <w:rPr>
                <w:rFonts w:ascii="Arial" w:hAnsi="Arial" w:eastAsia="华文细黑" w:cs="Arial"/>
                <w:sz w:val="18"/>
                <w:szCs w:val="18"/>
              </w:rPr>
            </w:pPr>
            <w:r>
              <w:rPr>
                <w:rFonts w:ascii="Arial" w:hAnsi="Arial" w:eastAsia="华文细黑" w:cs="Arial"/>
                <w:sz w:val="18"/>
                <w:szCs w:val="18"/>
              </w:rPr>
              <w:t>状</w:t>
            </w:r>
          </w:p>
          <w:p>
            <w:pPr>
              <w:spacing w:line="360" w:lineRule="auto"/>
              <w:rPr>
                <w:rFonts w:ascii="Arial" w:hAnsi="Arial" w:eastAsia="华文细黑" w:cs="Arial"/>
                <w:sz w:val="18"/>
                <w:szCs w:val="18"/>
              </w:rPr>
            </w:pPr>
            <w:r>
              <w:rPr>
                <w:rFonts w:ascii="Arial" w:hAnsi="Arial" w:eastAsia="华文细黑" w:cs="Arial"/>
                <w:sz w:val="18"/>
                <w:szCs w:val="18"/>
              </w:rPr>
              <w:t>装</w:t>
            </w:r>
          </w:p>
          <w:p>
            <w:pPr>
              <w:spacing w:line="360" w:lineRule="auto"/>
              <w:rPr>
                <w:rFonts w:ascii="Arial" w:hAnsi="Arial" w:eastAsia="华文细黑" w:cs="Arial"/>
                <w:sz w:val="18"/>
                <w:szCs w:val="18"/>
              </w:rPr>
            </w:pPr>
            <w:r>
              <w:rPr>
                <w:rFonts w:ascii="Arial" w:hAnsi="Arial" w:eastAsia="华文细黑" w:cs="Arial"/>
                <w:sz w:val="18"/>
                <w:szCs w:val="18"/>
              </w:rPr>
              <w:t>修</w:t>
            </w:r>
          </w:p>
        </w:tc>
        <w:tc>
          <w:tcPr>
            <w:tcW w:w="1646"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建筑类型</w:t>
            </w:r>
          </w:p>
        </w:tc>
        <w:tc>
          <w:tcPr>
            <w:tcW w:w="7209" w:type="dxa"/>
            <w:gridSpan w:val="11"/>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18"/>
              </w:rPr>
            </w:pPr>
            <w:r>
              <w:rPr>
                <w:rFonts w:ascii="Arial" w:hAnsi="Arial" w:eastAsia="华文细黑" w:cs="Arial"/>
                <w:sz w:val="18"/>
                <w:szCs w:val="18"/>
              </w:rPr>
              <w:t>多层板楼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外墙面</w:t>
            </w:r>
          </w:p>
        </w:tc>
        <w:tc>
          <w:tcPr>
            <w:tcW w:w="7209" w:type="dxa"/>
            <w:gridSpan w:val="11"/>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18"/>
              </w:rPr>
            </w:pPr>
            <w:r>
              <w:rPr>
                <w:rFonts w:ascii="Arial" w:hAnsi="Arial" w:eastAsia="华文细黑" w:cs="Arial"/>
                <w:sz w:val="18"/>
                <w:szCs w:val="18"/>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外门</w:t>
            </w:r>
          </w:p>
        </w:tc>
        <w:tc>
          <w:tcPr>
            <w:tcW w:w="7209" w:type="dxa"/>
            <w:gridSpan w:val="11"/>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18"/>
              </w:rPr>
            </w:pPr>
            <w:r>
              <w:rPr>
                <w:rFonts w:ascii="Arial" w:hAnsi="Arial" w:eastAsia="华文细黑" w:cs="Arial"/>
                <w:sz w:val="18"/>
                <w:szCs w:val="18"/>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单元类型</w:t>
            </w:r>
          </w:p>
        </w:tc>
        <w:tc>
          <w:tcPr>
            <w:tcW w:w="3118" w:type="dxa"/>
            <w:gridSpan w:val="5"/>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18"/>
              </w:rPr>
            </w:pPr>
            <w:r>
              <w:rPr>
                <w:rFonts w:ascii="Arial" w:hAnsi="Arial" w:eastAsia="华文细黑" w:cs="Arial"/>
                <w:sz w:val="18"/>
                <w:szCs w:val="18"/>
              </w:rPr>
              <w:t>设定为平层</w:t>
            </w:r>
          </w:p>
        </w:tc>
        <w:tc>
          <w:tcPr>
            <w:tcW w:w="1701" w:type="dxa"/>
            <w:gridSpan w:val="4"/>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18"/>
              </w:rPr>
            </w:pPr>
            <w:r>
              <w:rPr>
                <w:rFonts w:ascii="Arial" w:hAnsi="Arial" w:eastAsia="华文细黑" w:cs="Arial"/>
                <w:sz w:val="18"/>
                <w:szCs w:val="18"/>
              </w:rPr>
              <w:t>朝向</w:t>
            </w:r>
          </w:p>
        </w:tc>
        <w:tc>
          <w:tcPr>
            <w:tcW w:w="2390"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设定为南北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after="48" w:afterLines="20" w:line="360" w:lineRule="auto"/>
              <w:rPr>
                <w:rFonts w:ascii="Arial" w:hAnsi="Arial" w:eastAsia="华文细黑" w:cs="Arial"/>
                <w:sz w:val="18"/>
                <w:szCs w:val="18"/>
              </w:rPr>
            </w:pPr>
            <w:r>
              <w:rPr>
                <w:rFonts w:ascii="Arial" w:hAnsi="Arial" w:eastAsia="华文细黑" w:cs="Arial"/>
                <w:sz w:val="18"/>
                <w:szCs w:val="18"/>
              </w:rPr>
              <w:t>位置</w:t>
            </w:r>
          </w:p>
        </w:tc>
        <w:tc>
          <w:tcPr>
            <w:tcW w:w="1559" w:type="dxa"/>
            <w:gridSpan w:val="2"/>
            <w:noWrap/>
            <w:tcMar>
              <w:top w:w="85" w:type="dxa"/>
              <w:left w:w="85" w:type="dxa"/>
              <w:bottom w:w="85" w:type="dxa"/>
              <w:right w:w="28" w:type="dxa"/>
            </w:tcMar>
            <w:vAlign w:val="center"/>
          </w:tcPr>
          <w:p>
            <w:pPr>
              <w:spacing w:after="48" w:afterLines="20" w:line="360" w:lineRule="auto"/>
              <w:rPr>
                <w:rFonts w:ascii="Arial" w:hAnsi="Arial" w:eastAsia="华文细黑" w:cs="Arial"/>
                <w:sz w:val="18"/>
                <w:szCs w:val="18"/>
              </w:rPr>
            </w:pPr>
            <w:r>
              <w:rPr>
                <w:rFonts w:ascii="Arial" w:hAnsi="Arial" w:eastAsia="华文细黑" w:cs="Arial"/>
                <w:sz w:val="18"/>
                <w:szCs w:val="18"/>
              </w:rPr>
              <w:t>顶棚</w:t>
            </w:r>
          </w:p>
        </w:tc>
        <w:tc>
          <w:tcPr>
            <w:tcW w:w="1559" w:type="dxa"/>
            <w:gridSpan w:val="3"/>
            <w:tcMar>
              <w:top w:w="85" w:type="dxa"/>
              <w:left w:w="85" w:type="dxa"/>
              <w:bottom w:w="85" w:type="dxa"/>
              <w:right w:w="28" w:type="dxa"/>
            </w:tcMar>
            <w:vAlign w:val="center"/>
          </w:tcPr>
          <w:p>
            <w:pPr>
              <w:spacing w:after="48" w:afterLines="20" w:line="360" w:lineRule="auto"/>
              <w:rPr>
                <w:rFonts w:ascii="Arial" w:hAnsi="Arial" w:eastAsia="华文细黑" w:cs="Arial"/>
                <w:sz w:val="18"/>
                <w:szCs w:val="18"/>
              </w:rPr>
            </w:pPr>
            <w:r>
              <w:rPr>
                <w:rFonts w:ascii="Arial" w:hAnsi="Arial" w:eastAsia="华文细黑" w:cs="Arial"/>
                <w:sz w:val="18"/>
                <w:szCs w:val="18"/>
              </w:rPr>
              <w:t>墙面</w:t>
            </w:r>
          </w:p>
        </w:tc>
        <w:tc>
          <w:tcPr>
            <w:tcW w:w="1701" w:type="dxa"/>
            <w:gridSpan w:val="4"/>
            <w:tcMar>
              <w:top w:w="85" w:type="dxa"/>
              <w:left w:w="85" w:type="dxa"/>
              <w:bottom w:w="85" w:type="dxa"/>
              <w:right w:w="28" w:type="dxa"/>
            </w:tcMar>
            <w:vAlign w:val="center"/>
          </w:tcPr>
          <w:p>
            <w:pPr>
              <w:spacing w:after="48" w:afterLines="20" w:line="360" w:lineRule="auto"/>
              <w:rPr>
                <w:rFonts w:ascii="Arial" w:hAnsi="Arial" w:eastAsia="华文细黑" w:cs="Arial"/>
                <w:sz w:val="18"/>
                <w:szCs w:val="18"/>
              </w:rPr>
            </w:pPr>
            <w:r>
              <w:rPr>
                <w:rFonts w:ascii="Arial" w:hAnsi="Arial" w:eastAsia="华文细黑" w:cs="Arial"/>
                <w:sz w:val="18"/>
                <w:szCs w:val="18"/>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18"/>
              </w:rPr>
            </w:pPr>
            <w:r>
              <w:rPr>
                <w:rFonts w:eastAsia="华文细黑"/>
                <w:b w:val="0"/>
                <w:kern w:val="2"/>
                <w:sz w:val="18"/>
                <w:szCs w:val="18"/>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646" w:type="dxa"/>
            <w:gridSpan w:val="2"/>
            <w:tcMar>
              <w:top w:w="85" w:type="dxa"/>
              <w:left w:w="85" w:type="dxa"/>
              <w:bottom w:w="85" w:type="dxa"/>
              <w:right w:w="28" w:type="dxa"/>
            </w:tcMar>
            <w:vAlign w:val="center"/>
          </w:tcPr>
          <w:p>
            <w:pPr>
              <w:spacing w:after="120" w:afterLines="50" w:line="360" w:lineRule="auto"/>
              <w:rPr>
                <w:rFonts w:ascii="Arial" w:hAnsi="Arial" w:eastAsia="华文细黑" w:cs="Arial"/>
                <w:sz w:val="18"/>
                <w:szCs w:val="18"/>
              </w:rPr>
            </w:pPr>
            <w:r>
              <w:rPr>
                <w:rFonts w:ascii="Arial" w:hAnsi="Arial" w:eastAsia="华文细黑" w:cs="Arial"/>
                <w:sz w:val="18"/>
                <w:szCs w:val="18"/>
              </w:rPr>
              <w:t>室内</w:t>
            </w:r>
          </w:p>
        </w:tc>
        <w:tc>
          <w:tcPr>
            <w:tcW w:w="7209" w:type="dxa"/>
            <w:gridSpan w:val="11"/>
            <w:noWrap/>
            <w:tcMar>
              <w:top w:w="85" w:type="dxa"/>
              <w:left w:w="85" w:type="dxa"/>
              <w:bottom w:w="85" w:type="dxa"/>
              <w:right w:w="28" w:type="dxa"/>
            </w:tcMar>
            <w:vAlign w:val="center"/>
          </w:tcPr>
          <w:p>
            <w:pPr>
              <w:spacing w:after="120" w:afterLines="50" w:line="360" w:lineRule="auto"/>
              <w:rPr>
                <w:rFonts w:ascii="Arial" w:hAnsi="Arial" w:eastAsia="华文细黑" w:cs="Arial"/>
                <w:sz w:val="18"/>
                <w:szCs w:val="18"/>
              </w:rPr>
            </w:pPr>
            <w:r>
              <w:rPr>
                <w:rFonts w:ascii="Arial" w:hAnsi="Arial" w:eastAsia="华文细黑" w:cs="Arial"/>
                <w:sz w:val="18"/>
                <w:szCs w:val="18"/>
              </w:rPr>
              <w:t>设定为简单装修（涂料顶棚、涂料墙面、水泥地面）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公共部分</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18"/>
              </w:rPr>
            </w:pPr>
            <w:r>
              <w:rPr>
                <w:rFonts w:eastAsia="华文细黑"/>
                <w:b w:val="0"/>
                <w:kern w:val="2"/>
                <w:sz w:val="18"/>
                <w:szCs w:val="18"/>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供水系统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排水系统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供电系统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采暖系统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燃气系统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空调系统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通讯系统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消防系统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消防井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安保系统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电梯</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小区内停车</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物业管理</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18"/>
              </w:rPr>
            </w:pPr>
            <w:r>
              <w:rPr>
                <w:rFonts w:eastAsia="华文细黑"/>
                <w:b w:val="0"/>
                <w:kern w:val="2"/>
                <w:sz w:val="18"/>
                <w:szCs w:val="18"/>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项目</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装修、部分</w:t>
            </w: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外墙面</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顶棚</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内墙面</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门窗</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地面</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 xml:space="preserve">设备 </w:t>
            </w:r>
          </w:p>
          <w:p>
            <w:pPr>
              <w:spacing w:line="360" w:lineRule="auto"/>
              <w:rPr>
                <w:rFonts w:ascii="Arial" w:hAnsi="Arial" w:eastAsia="华文细黑" w:cs="Arial"/>
                <w:sz w:val="18"/>
                <w:szCs w:val="18"/>
              </w:rPr>
            </w:pPr>
            <w:r>
              <w:rPr>
                <w:rFonts w:ascii="Arial" w:hAnsi="Arial" w:eastAsia="华文细黑" w:cs="Arial"/>
                <w:sz w:val="18"/>
                <w:szCs w:val="18"/>
              </w:rPr>
              <w:t>部分</w:t>
            </w:r>
          </w:p>
          <w:p>
            <w:pPr>
              <w:spacing w:line="360" w:lineRule="auto"/>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水卫</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电照</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特种设备</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18"/>
              </w:rPr>
            </w:pPr>
            <w:r>
              <w:rPr>
                <w:rFonts w:ascii="Arial" w:hAnsi="Arial" w:eastAsia="华文细黑" w:cs="Arial"/>
                <w:sz w:val="18"/>
                <w:szCs w:val="18"/>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vMerge w:val="restart"/>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估价对象所属楼宇四至</w:t>
            </w:r>
          </w:p>
        </w:tc>
        <w:tc>
          <w:tcPr>
            <w:tcW w:w="3438" w:type="dxa"/>
            <w:gridSpan w:val="6"/>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东至：定慧北里西路</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南至：丰裕写字楼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18"/>
              </w:rPr>
            </w:pPr>
          </w:p>
        </w:tc>
        <w:tc>
          <w:tcPr>
            <w:tcW w:w="3438" w:type="dxa"/>
            <w:gridSpan w:val="6"/>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西至：正源定慧福里</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北至：恩济大厦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基准地价土地级别</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居住类四级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居住社区成熟度</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估价对象周边有定慧北里社区、定慧东里社区、永安东里社区、正源定慧福里等小区，居住小区规模较大，综合评价居住社区成熟度较好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临街道路</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紧临城市支路—定慧北里西路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交通便捷度</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估价对象周边路网较密集，无轨道交通，距离89路，414路，653路等公交</w:t>
            </w:r>
            <w:r>
              <w:rPr>
                <w:rFonts w:hint="eastAsia" w:ascii="Arial" w:hAnsi="Arial" w:eastAsia="华文细黑" w:cs="Arial"/>
                <w:sz w:val="18"/>
                <w:szCs w:val="18"/>
                <w:lang w:eastAsia="zh-CN"/>
              </w:rPr>
              <w:t>站点（</w:t>
            </w:r>
            <w:r>
              <w:rPr>
                <w:rFonts w:ascii="Arial" w:hAnsi="Arial" w:eastAsia="华文细黑" w:cs="Arial"/>
                <w:sz w:val="18"/>
                <w:szCs w:val="18"/>
              </w:rPr>
              <w:t>恩济西街南</w:t>
            </w:r>
            <w:r>
              <w:rPr>
                <w:rFonts w:hint="eastAsia" w:ascii="Arial" w:hAnsi="Arial" w:eastAsia="华文细黑" w:cs="Arial"/>
                <w:sz w:val="18"/>
                <w:szCs w:val="18"/>
                <w:lang w:eastAsia="zh-CN"/>
              </w:rPr>
              <w:t>）</w:t>
            </w:r>
            <w:r>
              <w:rPr>
                <w:rFonts w:ascii="Arial" w:hAnsi="Arial" w:eastAsia="华文细黑" w:cs="Arial"/>
                <w:sz w:val="18"/>
                <w:szCs w:val="18"/>
              </w:rPr>
              <w:t>约500米，估价对象周边停车较为困难，综合评价交通便捷度一般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环境状况</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估价对象所在小区绿化一般，以常住人口为主，周边有玲珑园、永定河引水渠等自然环境，周边鲜有人文设施，综合评价环境状况一般。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公共服务设施</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估价对象周边有中国邮政储蓄银行、中国建设银行等金融服务设施网点；有北京汉琨中医医院、北京五路居中医院、北京大学肿瘤医院等医疗机构；有中国人民大学附属小学(亮甲东校区)、北京市二十一世纪国际学校、六一小学等教育机构；有集美家居(定慧桥商场店)、家乐福(定慧桥店)等</w:t>
            </w:r>
            <w:r>
              <w:rPr>
                <w:rFonts w:ascii="Arial" w:hAnsi="Arial" w:eastAsia="华文细黑" w:cs="Arial"/>
                <w:color w:val="000000"/>
                <w:sz w:val="18"/>
                <w:szCs w:val="18"/>
              </w:rPr>
              <w:t>商业网点，</w:t>
            </w:r>
            <w:r>
              <w:rPr>
                <w:rFonts w:ascii="Arial" w:hAnsi="Arial" w:eastAsia="华文细黑" w:cs="Arial"/>
                <w:sz w:val="18"/>
                <w:szCs w:val="18"/>
              </w:rPr>
              <w:t>综合评价公共服务设施较好。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
                <w:bCs/>
                <w:sz w:val="18"/>
                <w:szCs w:val="18"/>
              </w:rPr>
            </w:pPr>
            <w:r>
              <w:rPr>
                <w:rFonts w:ascii="Arial" w:hAnsi="Arial" w:eastAsia="华文细黑" w:cs="Arial"/>
                <w:b/>
                <w:kern w:val="2"/>
                <w:sz w:val="18"/>
                <w:szCs w:val="18"/>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cs="Arial"/>
                <w:sz w:val="18"/>
                <w:szCs w:val="18"/>
              </w:rPr>
            </w:pPr>
            <w:r>
              <w:rPr>
                <w:rFonts w:ascii="Arial" w:hAnsi="Arial" w:eastAsia="华文细黑" w:cs="Arial"/>
                <w:sz w:val="18"/>
                <w:szCs w:val="18"/>
              </w:rPr>
              <w:t>根据房地产估价规范、国家现行有关标准规定和项目的具体要求，本次评估采用的是市场价值标准。根据《房地产估价基本术语标准》[GB/T50899-2013]，市场价值是经适当营销后，由熟悉情况、谨慎行事且不受强迫的交易双方，以公平交易方式在价值时点自愿进行交易的金额。</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本次估价的“房地产市场价值”是指在正常市场情况下，在价值时点2005年4月1日，估价对象用途为住宅，室内装修情况设定为简单装修（涂料顶棚、涂料墙面、水泥地面），</w:t>
            </w:r>
            <w:r>
              <w:rPr>
                <w:rFonts w:ascii="Arial" w:hAnsi="Arial" w:eastAsia="华文细黑" w:cs="Arial"/>
                <w:bCs/>
                <w:sz w:val="18"/>
                <w:szCs w:val="18"/>
              </w:rPr>
              <w:t>土地取得方式为出让</w:t>
            </w:r>
            <w:r>
              <w:rPr>
                <w:rFonts w:ascii="Arial" w:hAnsi="Arial" w:eastAsia="华文细黑" w:cs="Arial"/>
                <w:sz w:val="18"/>
                <w:szCs w:val="18"/>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rPr>
                <w:rFonts w:ascii="Arial" w:hAnsi="Arial" w:eastAsia="华文细黑" w:cs="Arial"/>
                <w:b/>
                <w:sz w:val="18"/>
                <w:szCs w:val="18"/>
              </w:rPr>
            </w:pPr>
            <w:r>
              <w:rPr>
                <w:rFonts w:ascii="Arial" w:hAnsi="Arial" w:eastAsia="华文细黑" w:cs="Arial"/>
                <w:b/>
                <w:kern w:val="2"/>
                <w:sz w:val="18"/>
                <w:szCs w:val="18"/>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我们在本次估价时遵循了以下原则：</w:t>
            </w:r>
          </w:p>
          <w:p>
            <w:pPr>
              <w:spacing w:line="360" w:lineRule="auto"/>
              <w:rPr>
                <w:rFonts w:ascii="Arial" w:hAnsi="Arial" w:eastAsia="华文细黑" w:cs="Arial"/>
                <w:sz w:val="18"/>
                <w:szCs w:val="18"/>
              </w:rPr>
            </w:pPr>
            <w:r>
              <w:rPr>
                <w:rFonts w:ascii="Arial" w:hAnsi="Arial" w:eastAsia="华文细黑" w:cs="Arial"/>
                <w:sz w:val="18"/>
                <w:szCs w:val="18"/>
              </w:rPr>
              <w:t>（一）独立、客观、公正原则</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cs="Arial"/>
                <w:sz w:val="18"/>
                <w:szCs w:val="18"/>
              </w:rPr>
            </w:pPr>
            <w:r>
              <w:rPr>
                <w:rFonts w:ascii="Arial" w:hAnsi="Arial" w:eastAsia="华文细黑" w:cs="Arial"/>
                <w:sz w:val="18"/>
                <w:szCs w:val="18"/>
              </w:rPr>
              <w:t>（二）合法原则</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房地产估价遵循合法原则，应当以估价对象的合法产权、合法使用、合法交易为前提进行。</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估价对象在价值时点具有合法的产权且用途合法。估价对象在价值时点交易或处分方式是合法的。根据《中华人民共和国城市房地产管理法》[主席令第72号]，估价对象符合上市交易的法律规定。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cs="Arial"/>
                <w:sz w:val="18"/>
                <w:szCs w:val="18"/>
              </w:rPr>
            </w:pPr>
            <w:r>
              <w:rPr>
                <w:rFonts w:ascii="Arial" w:hAnsi="Arial" w:eastAsia="华文细黑" w:cs="Arial"/>
                <w:sz w:val="18"/>
                <w:szCs w:val="18"/>
              </w:rPr>
              <w:t>（三）最高最佳利用原则</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住宅，符合最高最佳利用原则。</w:t>
            </w:r>
          </w:p>
          <w:p>
            <w:pPr>
              <w:spacing w:line="360" w:lineRule="auto"/>
              <w:rPr>
                <w:rFonts w:ascii="Arial" w:hAnsi="Arial" w:eastAsia="华文细黑" w:cs="Arial"/>
                <w:sz w:val="18"/>
                <w:szCs w:val="18"/>
              </w:rPr>
            </w:pPr>
            <w:r>
              <w:rPr>
                <w:rFonts w:ascii="Arial" w:hAnsi="Arial" w:eastAsia="华文细黑" w:cs="Arial"/>
                <w:sz w:val="18"/>
                <w:szCs w:val="18"/>
              </w:rPr>
              <w:t>（四）替代原则</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cs="Arial"/>
                <w:sz w:val="18"/>
                <w:szCs w:val="18"/>
              </w:rPr>
            </w:pPr>
            <w:r>
              <w:rPr>
                <w:rFonts w:ascii="Arial" w:hAnsi="Arial" w:eastAsia="华文细黑" w:cs="Arial"/>
                <w:sz w:val="18"/>
                <w:szCs w:val="18"/>
              </w:rPr>
              <w:t>（五）价值时点原则</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18"/>
              </w:rPr>
            </w:pPr>
            <w:r>
              <w:rPr>
                <w:rFonts w:ascii="Arial" w:hAnsi="Arial" w:eastAsia="华文细黑" w:cs="Arial"/>
                <w:sz w:val="18"/>
                <w:szCs w:val="1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
                <w:sz w:val="18"/>
                <w:szCs w:val="18"/>
              </w:rPr>
            </w:pPr>
            <w:r>
              <w:rPr>
                <w:rFonts w:ascii="Arial" w:hAnsi="Arial" w:eastAsia="华文细黑" w:cs="Arial"/>
                <w:b/>
                <w:kern w:val="2"/>
                <w:sz w:val="18"/>
                <w:szCs w:val="18"/>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（一）有关的法律、法规及技术标准文件</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4.《中华人民共和国资产评估法》（2016年7月2日第十二届全国人民代表大会常务委员会第二十一次会议通过，2016年3月16日中华人民共和国主席令第46号公布，自2016年12月1日起施行）</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5.《中华人民共和国民法典》（2020年5月28日第十三届全国人大三次会议表决通过，自2021年1月1日起施行）</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6.《中华人民共和国城镇国有土地使用权出让和转让暂行条例》（1990年5月19日中华人民共和国国务院令第55号发布，自发布之日起施行）</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8.《房地产估价规范》[GB/T 50291-2015]</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9.《房地产估价基本术语标准》[GB/T50899-2013]</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10.《北京市人民政府关于调整本市出让国有建设用地使用权基准地价的通知》[京政发[2002]32号]</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11.《北京市发展计划委员会关于印发&lt;北京市征收城市基础设施建设费暂行办法&gt;的通知》[京计投资字﹝2002﹞1792号]</w:t>
            </w:r>
          </w:p>
          <w:p>
            <w:pPr>
              <w:spacing w:line="360" w:lineRule="auto"/>
              <w:rPr>
                <w:rFonts w:ascii="Arial" w:hAnsi="Arial" w:eastAsia="华文细黑" w:cs="Arial"/>
                <w:sz w:val="18"/>
                <w:szCs w:val="18"/>
              </w:rPr>
            </w:pPr>
            <w:r>
              <w:rPr>
                <w:rFonts w:ascii="Arial" w:hAnsi="Arial" w:eastAsia="华文细黑" w:cs="Arial"/>
                <w:sz w:val="18"/>
                <w:szCs w:val="18"/>
              </w:rPr>
              <w:t>（二）估价委托人提供的资料</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1.《估价委托书》</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2.《证明》复印件</w:t>
            </w:r>
          </w:p>
          <w:p>
            <w:pPr>
              <w:spacing w:line="360" w:lineRule="auto"/>
              <w:ind w:firstLine="360" w:firstLineChars="200"/>
              <w:rPr>
                <w:rFonts w:ascii="Arial" w:hAnsi="Arial" w:eastAsia="华文细黑" w:cs="Arial"/>
                <w:sz w:val="18"/>
                <w:szCs w:val="18"/>
              </w:rPr>
            </w:pPr>
            <w:r>
              <w:rPr>
                <w:rFonts w:ascii="Arial" w:hAnsi="Arial" w:eastAsia="华文细黑" w:cs="Arial"/>
                <w:sz w:val="18"/>
                <w:szCs w:val="18"/>
              </w:rPr>
              <w:t>3.《住户住房情况调查表》复印件</w:t>
            </w:r>
          </w:p>
          <w:p>
            <w:pPr>
              <w:spacing w:line="360" w:lineRule="auto"/>
              <w:rPr>
                <w:rFonts w:ascii="Arial" w:hAnsi="Arial" w:eastAsia="华文细黑" w:cs="Arial"/>
                <w:sz w:val="18"/>
                <w:szCs w:val="18"/>
              </w:rPr>
            </w:pPr>
            <w:r>
              <w:rPr>
                <w:rFonts w:ascii="Arial" w:hAnsi="Arial" w:eastAsia="华文细黑" w:cs="Arial"/>
                <w:sz w:val="18"/>
                <w:szCs w:val="18"/>
              </w:rPr>
              <w:t>（三）评估专业人员实地查勘的有关资料</w:t>
            </w:r>
          </w:p>
          <w:p>
            <w:pPr>
              <w:spacing w:line="360" w:lineRule="auto"/>
              <w:rPr>
                <w:rFonts w:ascii="Arial" w:hAnsi="Arial" w:eastAsia="华文细黑" w:cs="Arial"/>
                <w:kern w:val="2"/>
                <w:sz w:val="18"/>
                <w:szCs w:val="18"/>
              </w:rPr>
            </w:pPr>
            <w:r>
              <w:rPr>
                <w:rFonts w:ascii="Arial" w:hAnsi="Arial" w:eastAsia="华文细黑" w:cs="Arial"/>
                <w:sz w:val="18"/>
                <w:szCs w:val="18"/>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
                <w:sz w:val="18"/>
                <w:szCs w:val="18"/>
              </w:rPr>
            </w:pPr>
            <w:r>
              <w:rPr>
                <w:rFonts w:ascii="Arial" w:hAnsi="Arial" w:eastAsia="华文细黑" w:cs="Arial"/>
                <w:b/>
                <w:kern w:val="2"/>
                <w:sz w:val="18"/>
                <w:szCs w:val="18"/>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cs="Arial"/>
                <w:sz w:val="18"/>
                <w:szCs w:val="18"/>
              </w:rPr>
            </w:pPr>
            <w:r>
              <w:rPr>
                <w:rFonts w:ascii="Arial" w:hAnsi="Arial" w:eastAsia="华文细黑" w:cs="Arial"/>
                <w:sz w:val="18"/>
                <w:szCs w:val="18"/>
              </w:rPr>
              <w:t>由于本次评估是</w:t>
            </w:r>
            <w:r>
              <w:rPr>
                <w:rFonts w:ascii="Arial" w:hAnsi="Arial" w:eastAsia="华文细黑" w:cs="Arial"/>
                <w:bCs/>
                <w:sz w:val="18"/>
                <w:szCs w:val="18"/>
              </w:rPr>
              <w:t>为估价委托人处置估价对象提供价格参考依据。为估价委托人核定估价对象房地产市场价值提供参考依据</w:t>
            </w:r>
            <w:r>
              <w:rPr>
                <w:rFonts w:ascii="Arial" w:hAnsi="Arial" w:eastAsia="华文细黑" w:cs="Arial"/>
                <w:sz w:val="18"/>
                <w:szCs w:val="18"/>
              </w:rPr>
              <w:t>，因此我们在认真分析研究估价对象的相关资料,并通过对邻近地区同类物业调查的基础上,根据《房地产估价规范》[GB/T 50291-2015]的估价程序,选用比较法、成本法进行估价。估价方法简述如下：</w:t>
            </w:r>
          </w:p>
          <w:p>
            <w:pPr>
              <w:pStyle w:val="40"/>
              <w:autoSpaceDE w:val="0"/>
              <w:autoSpaceDN w:val="0"/>
              <w:spacing w:line="360" w:lineRule="auto"/>
              <w:ind w:right="6" w:firstLine="360" w:firstLineChars="200"/>
              <w:textAlignment w:val="bottom"/>
              <w:rPr>
                <w:rFonts w:ascii="Arial" w:hAnsi="Arial" w:eastAsia="华文细黑" w:cs="Arial"/>
                <w:sz w:val="18"/>
                <w:szCs w:val="18"/>
              </w:rPr>
            </w:pPr>
            <w:r>
              <w:rPr>
                <w:rFonts w:ascii="Arial" w:hAnsi="Arial" w:eastAsia="华文细黑"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cs="Arial"/>
                <w:sz w:val="18"/>
                <w:szCs w:val="18"/>
              </w:rPr>
            </w:pPr>
            <w:r>
              <w:rPr>
                <w:rFonts w:ascii="Arial" w:hAnsi="Arial" w:eastAsia="华文细黑" w:cs="Arial"/>
                <w:sz w:val="18"/>
                <w:szCs w:val="1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18"/>
              </w:rPr>
            </w:pPr>
            <w:r>
              <w:rPr>
                <w:rFonts w:ascii="Arial" w:hAnsi="Arial" w:eastAsia="华文细黑" w:cs="Arial"/>
                <w:sz w:val="18"/>
                <w:szCs w:val="18"/>
              </w:rPr>
              <w:t>本次估价的技术路线首先分别采用比较法、成本法求取房地产价值。再依据各方法的估价结果，算术平均确定估价对象房地产市场价值。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18"/>
              </w:rPr>
            </w:pPr>
            <w:r>
              <w:rPr>
                <w:rFonts w:ascii="Arial" w:hAnsi="Arial" w:eastAsia="华文细黑" w:cs="Arial"/>
                <w:b/>
                <w:kern w:val="2"/>
                <w:sz w:val="18"/>
                <w:szCs w:val="18"/>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ascii="Arial" w:hAnsi="Arial" w:eastAsia="华文细黑" w:cs="Arial"/>
                <w:kern w:val="2"/>
                <w:sz w:val="18"/>
                <w:szCs w:val="18"/>
              </w:rPr>
            </w:pPr>
            <w:r>
              <w:rPr>
                <w:rFonts w:ascii="Arial" w:hAnsi="Arial" w:eastAsia="华文细黑" w:cs="Arial"/>
                <w:sz w:val="18"/>
                <w:szCs w:val="18"/>
              </w:rPr>
              <w:t>评估专业人员根据估价的目的，按照估价的程序，采用科学的估价方法，在认真分析现有资料的基础上，结合本次估价的特殊要求通过仔细测算和认真分析各种影响房地产价格的因素, 确定估价对象于价值时点的房地产评估价值，详见估价结果一览表。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18"/>
              </w:rPr>
            </w:pPr>
            <w:bookmarkStart w:id="9" w:name="OLE_LINK3"/>
            <w:bookmarkStart w:id="10" w:name="OLE_LINK4"/>
            <w:r>
              <w:rPr>
                <w:rFonts w:ascii="Arial" w:hAnsi="Arial" w:eastAsia="华文细黑" w:cs="Arial"/>
                <w:sz w:val="18"/>
                <w:szCs w:val="18"/>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sz w:val="18"/>
                <w:szCs w:val="18"/>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sz w:val="18"/>
                <w:szCs w:val="18"/>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hint="eastAsia" w:ascii="Arial" w:hAnsi="Arial" w:eastAsia="华文细黑" w:cs="Arial"/>
                <w:sz w:val="18"/>
                <w:szCs w:val="18"/>
                <w:lang w:eastAsia="zh-CN"/>
              </w:rPr>
            </w:pPr>
            <w:r>
              <w:rPr>
                <w:rFonts w:ascii="Arial" w:hAnsi="Arial" w:eastAsia="华文细黑" w:cs="Arial"/>
                <w:sz w:val="18"/>
                <w:szCs w:val="18"/>
              </w:rPr>
              <w:t>房地产市场价值</w:t>
            </w:r>
            <w:r>
              <w:rPr>
                <w:rFonts w:hint="eastAsia" w:ascii="Arial" w:hAnsi="Arial" w:eastAsia="华文细黑" w:cs="Arial"/>
                <w:sz w:val="18"/>
                <w:szCs w:val="18"/>
                <w:lang w:eastAsia="zh-CN"/>
              </w:rPr>
              <w:t>（</w:t>
            </w:r>
            <w:r>
              <w:rPr>
                <w:rFonts w:ascii="Arial" w:hAnsi="Arial" w:eastAsia="华文细黑" w:cs="Arial"/>
                <w:sz w:val="18"/>
                <w:szCs w:val="18"/>
              </w:rPr>
              <w:t>币种：人民币</w:t>
            </w:r>
            <w:r>
              <w:rPr>
                <w:rFonts w:hint="eastAsia" w:ascii="Arial" w:hAnsi="Arial" w:eastAsia="华文细黑" w:cs="Arial"/>
                <w:sz w:val="18"/>
                <w:szCs w:val="18"/>
                <w:lang w:eastAsia="zh-CN"/>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sz w:val="18"/>
                <w:szCs w:val="18"/>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sz w:val="18"/>
                <w:szCs w:val="18"/>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17"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sz w:val="18"/>
                <w:szCs w:val="18"/>
              </w:rPr>
              <w:t>北京市海淀区定慧北里30号楼四单元二层2号住宅用房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sz w:val="18"/>
                <w:szCs w:val="18"/>
              </w:rPr>
              <w:t>118.67</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sz w:val="18"/>
                <w:szCs w:val="18"/>
              </w:rPr>
              <w:t>657550</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sz w:val="18"/>
                <w:szCs w:val="18"/>
              </w:rPr>
              <w:t>5541</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81" w:hRule="atLeast"/>
          <w:jc w:val="center"/>
        </w:trPr>
        <w:tc>
          <w:tcPr>
            <w:tcW w:w="3717"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rPr>
            </w:pPr>
            <w:r>
              <w:rPr>
                <w:rFonts w:ascii="Arial" w:hAnsi="Arial" w:eastAsia="华文细黑" w:cs="Arial"/>
                <w:bCs/>
                <w:sz w:val="18"/>
                <w:szCs w:val="18"/>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cs="Arial"/>
                <w:sz w:val="18"/>
                <w:szCs w:val="18"/>
                <w:highlight w:val="yellow"/>
              </w:rPr>
            </w:pPr>
            <w:r>
              <w:rPr>
                <w:rFonts w:ascii="Arial" w:hAnsi="Arial" w:eastAsia="华文细黑" w:cs="Arial"/>
                <w:sz w:val="18"/>
                <w:szCs w:val="18"/>
              </w:rPr>
              <w:t>陆拾伍万柒仟伍佰伍拾元整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rPr>
                <w:rFonts w:ascii="Arial" w:hAnsi="Arial" w:eastAsia="华文细黑" w:cs="Arial"/>
                <w:sz w:val="18"/>
                <w:szCs w:val="18"/>
              </w:rPr>
            </w:pPr>
            <w:r>
              <w:rPr>
                <w:rFonts w:ascii="Arial" w:hAnsi="Arial" w:eastAsia="华文细黑" w:cs="Arial"/>
                <w:sz w:val="18"/>
                <w:szCs w:val="18"/>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sz w:val="18"/>
                <w:szCs w:val="18"/>
              </w:rPr>
            </w:pPr>
            <w:r>
              <w:rPr>
                <w:rFonts w:ascii="Arial" w:hAnsi="Arial" w:eastAsia="华文细黑" w:cs="Arial"/>
                <w:sz w:val="18"/>
                <w:szCs w:val="18"/>
              </w:rPr>
              <w:t>特别提示：</w:t>
            </w:r>
          </w:p>
          <w:p>
            <w:pPr>
              <w:spacing w:before="120" w:beforeLines="50" w:line="360" w:lineRule="auto"/>
              <w:rPr>
                <w:rFonts w:ascii="Arial" w:hAnsi="Arial" w:eastAsia="华文细黑" w:cs="Arial"/>
                <w:sz w:val="18"/>
                <w:szCs w:val="18"/>
              </w:rPr>
            </w:pPr>
            <w:r>
              <w:rPr>
                <w:rFonts w:ascii="Arial" w:hAnsi="Arial" w:eastAsia="华文细黑" w:cs="Arial"/>
                <w:sz w:val="18"/>
                <w:szCs w:val="18"/>
              </w:rPr>
              <w:t>1. 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rPr>
                <w:rFonts w:ascii="Arial" w:hAnsi="Arial" w:eastAsia="华文细黑" w:cs="Arial"/>
                <w:sz w:val="18"/>
                <w:szCs w:val="18"/>
              </w:rPr>
            </w:pPr>
            <w:r>
              <w:rPr>
                <w:rFonts w:ascii="Arial" w:hAnsi="Arial" w:eastAsia="华文细黑" w:cs="Arial"/>
                <w:sz w:val="18"/>
                <w:szCs w:val="18"/>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陈  颖</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hint="eastAsia" w:ascii="Arial" w:hAnsi="Arial" w:cs="Arial"/>
                <w:sz w:val="21"/>
                <w:szCs w:val="21"/>
              </w:rPr>
              <w:t>060040</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边  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2022年2月28日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500322976"/>
      <w:bookmarkStart w:id="14" w:name="_Toc168225825"/>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2022年2月28日至2022年3月4日</w:t>
      </w:r>
    </w:p>
    <w:p>
      <w:pPr>
        <w:overflowPunct w:val="0"/>
        <w:spacing w:line="480" w:lineRule="auto"/>
        <w:ind w:firstLine="422" w:firstLineChars="200"/>
        <w:jc w:val="both"/>
        <w:textAlignment w:val="auto"/>
        <w:outlineLvl w:val="0"/>
        <w:rPr>
          <w:rFonts w:ascii="Arial" w:hAnsi="Arial"/>
          <w:b/>
          <w:kern w:val="2"/>
          <w:sz w:val="21"/>
          <w:szCs w:val="21"/>
        </w:rPr>
        <w:sectPr>
          <w:headerReference r:id="rId13" w:type="default"/>
          <w:footerReference r:id="rId14" w:type="even"/>
          <w:pgSz w:w="11907" w:h="16840"/>
          <w:pgMar w:top="1843" w:right="1134" w:bottom="1191" w:left="1134" w:header="1134" w:footer="1134" w:gutter="340"/>
          <w:cols w:space="720" w:num="1"/>
          <w:docGrid w:linePitch="326" w:charSpace="0"/>
        </w:sectPr>
      </w:pPr>
      <w:bookmarkStart w:id="16" w:name="_GoBack"/>
      <w:bookmarkEnd w:id="16"/>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估价对象实地查勘情况和相关照片</w:t>
      </w:r>
    </w:p>
    <w:p>
      <w:pPr>
        <w:numPr>
          <w:ilvl w:val="0"/>
          <w:numId w:val="7"/>
        </w:numPr>
        <w:spacing w:line="420" w:lineRule="exact"/>
        <w:jc w:val="both"/>
        <w:rPr>
          <w:rFonts w:ascii="Arial" w:hAnsi="Arial" w:cs="Arial"/>
          <w:sz w:val="21"/>
          <w:szCs w:val="24"/>
        </w:rPr>
      </w:pPr>
      <w:r>
        <w:rPr>
          <w:rFonts w:hint="eastAsia" w:ascii="Arial" w:hAnsi="Arial"/>
          <w:kern w:val="2"/>
          <w:sz w:val="21"/>
        </w:rPr>
        <w:t>《证明》</w:t>
      </w:r>
      <w:r>
        <w:rPr>
          <w:rFonts w:hint="eastAsia" w:ascii="Arial" w:hAnsi="Arial" w:cs="Arial"/>
          <w:sz w:val="21"/>
          <w:szCs w:val="24"/>
        </w:rPr>
        <w:t>复印件</w:t>
      </w:r>
    </w:p>
    <w:p>
      <w:pPr>
        <w:numPr>
          <w:ilvl w:val="0"/>
          <w:numId w:val="7"/>
        </w:numPr>
        <w:spacing w:line="420" w:lineRule="exact"/>
        <w:jc w:val="both"/>
        <w:rPr>
          <w:rFonts w:ascii="Arial" w:hAnsi="Arial" w:cs="Arial"/>
          <w:sz w:val="21"/>
          <w:szCs w:val="24"/>
        </w:rPr>
      </w:pPr>
      <w:r>
        <w:rPr>
          <w:rFonts w:hint="eastAsia" w:ascii="Arial" w:hAnsi="Arial"/>
          <w:kern w:val="2"/>
          <w:sz w:val="21"/>
        </w:rPr>
        <w:t>《住户住房情况调查表》</w:t>
      </w:r>
      <w:r>
        <w:rPr>
          <w:rFonts w:hint="eastAsia" w:ascii="Arial" w:hAnsi="Arial" w:cs="Arial"/>
          <w:sz w:val="21"/>
          <w:szCs w:val="24"/>
        </w:rPr>
        <w:t>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5" w:type="default"/>
      <w:pgSz w:w="11907" w:h="16840"/>
      <w:pgMar w:top="1843" w:right="1134" w:bottom="1191" w:left="1134" w:header="1134" w:footer="1134" w:gutter="34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2022-1-0095-F01HDZC6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16</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11D"/>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0348"/>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2DC3"/>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5AF2"/>
    <w:rsid w:val="00C675F3"/>
    <w:rsid w:val="00C705A0"/>
    <w:rsid w:val="00C708D4"/>
    <w:rsid w:val="00C71060"/>
    <w:rsid w:val="00C720FC"/>
    <w:rsid w:val="00C72F4B"/>
    <w:rsid w:val="00C73456"/>
    <w:rsid w:val="00C750DB"/>
    <w:rsid w:val="00C80823"/>
    <w:rsid w:val="00C84F79"/>
    <w:rsid w:val="00C8580E"/>
    <w:rsid w:val="00C86F6F"/>
    <w:rsid w:val="00C919F1"/>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26A3CE8"/>
    <w:rsid w:val="0E8C6DF2"/>
    <w:rsid w:val="120B5160"/>
    <w:rsid w:val="168F1A13"/>
    <w:rsid w:val="17006AAD"/>
    <w:rsid w:val="1DCC4182"/>
    <w:rsid w:val="22E77F3D"/>
    <w:rsid w:val="23E23F94"/>
    <w:rsid w:val="2AA135BF"/>
    <w:rsid w:val="2C46753D"/>
    <w:rsid w:val="2F9026C5"/>
    <w:rsid w:val="309B10F3"/>
    <w:rsid w:val="34281669"/>
    <w:rsid w:val="36C61474"/>
    <w:rsid w:val="38452057"/>
    <w:rsid w:val="3CC61F27"/>
    <w:rsid w:val="3D54014E"/>
    <w:rsid w:val="40877145"/>
    <w:rsid w:val="47B451CC"/>
    <w:rsid w:val="48E972FC"/>
    <w:rsid w:val="4F225E53"/>
    <w:rsid w:val="4F97175D"/>
    <w:rsid w:val="526E3FD4"/>
    <w:rsid w:val="53290004"/>
    <w:rsid w:val="572763C6"/>
    <w:rsid w:val="58FF0C5E"/>
    <w:rsid w:val="5CF53CAB"/>
    <w:rsid w:val="5F1F6488"/>
    <w:rsid w:val="5F721A5F"/>
    <w:rsid w:val="5F736BA6"/>
    <w:rsid w:val="656613CB"/>
    <w:rsid w:val="6A164BB8"/>
    <w:rsid w:val="73771DF8"/>
    <w:rsid w:val="77271253"/>
    <w:rsid w:val="77C40767"/>
    <w:rsid w:val="7EAE22FD"/>
    <w:rsid w:val="7FD12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8398</Words>
  <Characters>1775</Characters>
  <Lines>14</Lines>
  <Paragraphs>20</Paragraphs>
  <TotalTime>3</TotalTime>
  <ScaleCrop>false</ScaleCrop>
  <LinksUpToDate>false</LinksUpToDate>
  <CharactersWithSpaces>10153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2022-03-03T00:12:00Z</dcterms:created>
  <dc:creator>djg</dc:creator>
  <cp:lastModifiedBy>俊然</cp:lastModifiedBy>
  <cp:lastPrinted>2021-09-09T01:34:00Z</cp:lastPrinted>
  <dcterms:modified xsi:type="dcterms:W3CDTF">2022-03-04T01:35:41Z</dcterms:modified>
  <dc:title>电 话：82253558  传真：82253565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253F426423A24380873882465A74B910</vt:lpwstr>
  </property>
</Properties>
</file>