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pStyle w:val="47"/>
        <w:numPr>
          <w:ilvl w:val="0"/>
          <w:numId w:val="5"/>
        </w:numPr>
        <w:spacing w:line="320" w:lineRule="exact"/>
        <w:ind w:right="-93" w:firstLineChars="0"/>
        <w:outlineLvl w:val="0"/>
        <w:rPr>
          <w:rFonts w:ascii="Arial" w:hAnsi="Arial" w:eastAsia="Adobe 黑体 Std R"/>
          <w:b/>
          <w:bCs/>
          <w:sz w:val="21"/>
          <w:szCs w:val="21"/>
        </w:rPr>
      </w:pPr>
      <w:r>
        <w:rPr>
          <w:rFonts w:hint="eastAsia" w:ascii="Arial" w:hAnsi="Arial" w:eastAsia="Adobe 黑体 Std R"/>
          <w:b/>
          <w:bCs/>
          <w:sz w:val="21"/>
          <w:szCs w:val="21"/>
        </w:rPr>
        <w:t>估价项目名称：</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北京市海淀区西郊板井村市农林科学院宿舍14号楼3层1门302住宅用房房地产市场价值评估</w:t>
      </w:r>
    </w:p>
    <w:p>
      <w:pPr>
        <w:rPr>
          <w:rFonts w:ascii="Arial" w:hAnsi="Arial" w:eastAsia="方正黑体简体"/>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估价委托人：</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诸兆英</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注册房地产估价师：</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陈颖</w:t>
      </w:r>
      <w:r>
        <w:rPr>
          <w:rFonts w:hint="eastAsia" w:ascii="Arial" w:hAnsi="Arial" w:eastAsia="方正黑体简体" w:cs="Arial"/>
          <w:sz w:val="21"/>
          <w:szCs w:val="21"/>
        </w:rPr>
        <w:t>（</w:t>
      </w:r>
      <w:r>
        <w:rPr>
          <w:rFonts w:ascii="Arial" w:hAnsi="Arial" w:eastAsia="方正黑体简体" w:cs="Arial"/>
          <w:sz w:val="21"/>
          <w:szCs w:val="21"/>
        </w:rPr>
        <w:t>注册号：</w:t>
      </w:r>
      <w:r>
        <w:rPr>
          <w:rFonts w:hint="eastAsia" w:ascii="Arial" w:hAnsi="Arial" w:eastAsia="方正黑体简体" w:cs="Arial"/>
          <w:sz w:val="21"/>
          <w:szCs w:val="21"/>
        </w:rPr>
        <w:t>1120060040</w:t>
      </w:r>
      <w:r>
        <w:rPr>
          <w:rFonts w:ascii="Arial" w:hAnsi="Arial" w:eastAsia="方正黑体简体" w:cs="Arial"/>
          <w:sz w:val="21"/>
          <w:szCs w:val="21"/>
        </w:rPr>
        <w:t>）</w:t>
      </w:r>
      <w:r>
        <w:rPr>
          <w:rFonts w:hint="eastAsia" w:ascii="Arial" w:hAnsi="Arial" w:eastAsia="方正黑体简体"/>
          <w:sz w:val="21"/>
          <w:szCs w:val="21"/>
        </w:rPr>
        <w:t>、刘朝阳（注册号：</w:t>
      </w:r>
      <w:r>
        <w:rPr>
          <w:rFonts w:ascii="Arial" w:hAnsi="Arial" w:eastAsia="方正黑体简体"/>
          <w:sz w:val="21"/>
          <w:szCs w:val="21"/>
        </w:rPr>
        <w:t>1120060041</w:t>
      </w:r>
      <w:r>
        <w:rPr>
          <w:rFonts w:hint="eastAsia" w:ascii="Arial" w:hAnsi="Arial" w:eastAsia="方正黑体简体"/>
          <w:sz w:val="21"/>
          <w:szCs w:val="21"/>
        </w:rPr>
        <w:t>）</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估价报告出具日期：</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2021年9月</w:t>
      </w:r>
      <w:r>
        <w:rPr>
          <w:rFonts w:hint="eastAsia" w:ascii="Arial" w:hAnsi="Arial" w:eastAsia="方正黑体简体"/>
          <w:sz w:val="21"/>
          <w:szCs w:val="21"/>
          <w:lang w:val="en-US" w:eastAsia="zh-CN"/>
        </w:rPr>
        <w:t>26</w:t>
      </w:r>
      <w:r>
        <w:rPr>
          <w:rFonts w:hint="eastAsia" w:ascii="Arial" w:hAnsi="Arial" w:eastAsia="方正黑体简体"/>
          <w:sz w:val="21"/>
          <w:szCs w:val="21"/>
        </w:rPr>
        <w:t>日</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估价报告编号：</w:t>
      </w:r>
    </w:p>
    <w:p>
      <w:pPr>
        <w:pStyle w:val="47"/>
        <w:spacing w:line="320" w:lineRule="exact"/>
        <w:ind w:left="360" w:firstLine="0" w:firstLineChars="0"/>
        <w:rPr>
          <w:rFonts w:ascii="Arial" w:hAnsi="Arial" w:eastAsia="方正黑体简体"/>
          <w:sz w:val="21"/>
          <w:szCs w:val="21"/>
        </w:rPr>
        <w:sectPr>
          <w:headerReference r:id="rId6" w:type="first"/>
          <w:headerReference r:id="rId5" w:type="default"/>
          <w:footerReference r:id="rId7" w:type="default"/>
          <w:footerReference r:id="rId8" w:type="even"/>
          <w:type w:val="continuous"/>
          <w:pgSz w:w="11907" w:h="16840"/>
          <w:pgMar w:top="1843" w:right="1134" w:bottom="1191" w:left="1134" w:header="851" w:footer="1134" w:gutter="340"/>
          <w:cols w:space="720" w:num="1"/>
          <w:titlePg/>
          <w:docGrid w:linePitch="326" w:charSpace="0"/>
        </w:sectPr>
      </w:pPr>
      <w:r>
        <w:rPr>
          <w:rFonts w:hint="eastAsia" w:ascii="Arial" w:hAnsi="Arial" w:eastAsia="方正黑体简体"/>
          <w:sz w:val="21"/>
          <w:szCs w:val="21"/>
        </w:rPr>
        <w:t>康正评字</w:t>
      </w:r>
      <w:r>
        <w:rPr>
          <w:rFonts w:hint="eastAsia" w:ascii="Arial" w:hAnsi="Arial" w:eastAsia="方正黑体简体" w:cs="Arial"/>
          <w:sz w:val="21"/>
          <w:szCs w:val="21"/>
        </w:rPr>
        <w:t>2021-1-0511-F01HDZC6</w:t>
      </w:r>
      <w:r>
        <w:rPr>
          <w:rFonts w:hint="eastAsia" w:ascii="Arial" w:hAnsi="Arial" w:eastAsia="方正黑体简体"/>
          <w:sz w:val="21"/>
          <w:szCs w:val="21"/>
        </w:rPr>
        <w:t>号</w:t>
      </w:r>
    </w:p>
    <w:p>
      <w:pPr>
        <w:spacing w:line="480" w:lineRule="auto"/>
        <w:jc w:val="center"/>
        <w:rPr>
          <w:rFonts w:ascii="Arial" w:hAnsi="Arial" w:eastAsia="方正黑体简体"/>
          <w:kern w:val="2"/>
          <w:sz w:val="32"/>
          <w:szCs w:val="32"/>
        </w:rPr>
      </w:pPr>
      <w:bookmarkStart w:id="0" w:name="_Toc379795040"/>
      <w:r>
        <w:rPr>
          <w:rFonts w:hint="eastAsia" w:ascii="Arial" w:hAnsi="Arial" w:eastAsia="方正黑体简体"/>
          <w:kern w:val="2"/>
          <w:sz w:val="32"/>
          <w:szCs w:val="32"/>
        </w:rPr>
        <w:t>致估价委托人函</w:t>
      </w:r>
      <w:bookmarkEnd w:id="0"/>
    </w:p>
    <w:p>
      <w:pPr>
        <w:spacing w:line="480" w:lineRule="auto"/>
        <w:rPr>
          <w:rFonts w:ascii="Arial" w:hAnsi="Arial"/>
          <w:sz w:val="21"/>
        </w:rPr>
      </w:pPr>
      <w:r>
        <w:rPr>
          <w:rFonts w:hint="eastAsia" w:ascii="Arial" w:hAnsi="Arial"/>
          <w:b/>
          <w:kern w:val="2"/>
          <w:sz w:val="21"/>
        </w:rPr>
        <w:t>郭晓霏女士</w:t>
      </w:r>
      <w:r>
        <w:rPr>
          <w:rFonts w:hint="eastAsia" w:ascii="Arial" w:hAnsi="Arial"/>
          <w:sz w:val="21"/>
        </w:rPr>
        <w:t>：</w:t>
      </w:r>
    </w:p>
    <w:p>
      <w:pPr>
        <w:spacing w:line="480" w:lineRule="auto"/>
        <w:ind w:firstLine="420" w:firstLineChars="200"/>
        <w:rPr>
          <w:rFonts w:ascii="Arial" w:hAnsi="Arial"/>
          <w:sz w:val="21"/>
        </w:rPr>
      </w:pPr>
      <w:r>
        <w:rPr>
          <w:rFonts w:hint="eastAsia" w:ascii="Arial" w:hAnsi="Arial"/>
          <w:kern w:val="2"/>
          <w:sz w:val="21"/>
        </w:rPr>
        <w:t>受您委托，我公司对北京市海淀区西郊板井村市农林科学院宿舍14号楼3层1门302住宅用房</w:t>
      </w:r>
      <w:r>
        <w:rPr>
          <w:rFonts w:hint="eastAsia" w:ascii="Arial" w:hAnsi="Arial"/>
          <w:sz w:val="21"/>
        </w:rPr>
        <w:t>房地产市场价值进行了评估</w:t>
      </w:r>
      <w:r>
        <w:rPr>
          <w:rFonts w:hint="eastAsia" w:ascii="Arial" w:hAnsi="Arial"/>
          <w:kern w:val="2"/>
          <w:sz w:val="21"/>
        </w:rPr>
        <w:t>。</w:t>
      </w:r>
    </w:p>
    <w:p>
      <w:pPr>
        <w:spacing w:line="480" w:lineRule="auto"/>
        <w:ind w:firstLine="422" w:firstLineChars="200"/>
        <w:rPr>
          <w:rFonts w:ascii="Arial" w:hAnsi="Arial"/>
          <w:color w:val="auto"/>
          <w:sz w:val="21"/>
          <w:szCs w:val="28"/>
        </w:rPr>
      </w:pPr>
      <w:r>
        <w:rPr>
          <w:rFonts w:hint="eastAsia" w:ascii="Arial" w:hAnsi="Arial"/>
          <w:b/>
          <w:bCs/>
          <w:color w:val="auto"/>
          <w:sz w:val="21"/>
        </w:rPr>
        <w:t>估价对象：</w:t>
      </w:r>
      <w:r>
        <w:rPr>
          <w:rFonts w:hint="eastAsia" w:ascii="Arial" w:hAnsi="Arial"/>
          <w:color w:val="auto"/>
          <w:kern w:val="2"/>
          <w:sz w:val="21"/>
        </w:rPr>
        <w:t>根据估价委托人提供的《估价委托书》、《房屋所有权转移登记申请书》复印件，估价对象为</w:t>
      </w:r>
      <w:r>
        <w:rPr>
          <w:rFonts w:hint="eastAsia" w:ascii="Arial" w:hAnsi="Arial"/>
          <w:kern w:val="2"/>
          <w:sz w:val="21"/>
        </w:rPr>
        <w:t>北京市海淀区西郊板井村市农林科学院宿舍14号楼3层1门302住宅用房</w:t>
      </w:r>
      <w:r>
        <w:rPr>
          <w:rFonts w:hint="eastAsia" w:ascii="Arial" w:hAnsi="Arial"/>
          <w:color w:val="auto"/>
          <w:kern w:val="2"/>
          <w:sz w:val="21"/>
        </w:rPr>
        <w:t>，设定于价值时点不动产权利人为诸兆英</w:t>
      </w:r>
      <w:r>
        <w:rPr>
          <w:rFonts w:hint="eastAsia" w:ascii="Arial" w:hAnsi="Arial"/>
          <w:color w:val="auto"/>
          <w:kern w:val="2"/>
          <w:sz w:val="21"/>
          <w:lang w:eastAsia="zh-CN"/>
        </w:rPr>
        <w:t>，</w:t>
      </w:r>
      <w:r>
        <w:rPr>
          <w:rFonts w:hint="eastAsia" w:ascii="Arial" w:hAnsi="Arial"/>
          <w:color w:val="auto"/>
          <w:kern w:val="2"/>
          <w:sz w:val="21"/>
        </w:rPr>
        <w:t>估价对象建筑面积为</w:t>
      </w:r>
      <w:r>
        <w:rPr>
          <w:rFonts w:hint="eastAsia" w:ascii="Arial" w:hAnsi="Arial"/>
          <w:color w:val="auto"/>
          <w:kern w:val="2"/>
          <w:sz w:val="21"/>
          <w:lang w:val="en-US" w:eastAsia="zh-CN"/>
        </w:rPr>
        <w:t>56.01</w:t>
      </w:r>
      <w:r>
        <w:rPr>
          <w:rFonts w:hint="eastAsia" w:ascii="Arial" w:hAnsi="Arial"/>
          <w:color w:val="auto"/>
          <w:kern w:val="2"/>
          <w:sz w:val="21"/>
        </w:rPr>
        <w:t>平方米。</w:t>
      </w:r>
    </w:p>
    <w:p>
      <w:pPr>
        <w:spacing w:line="480" w:lineRule="auto"/>
        <w:ind w:firstLine="422" w:firstLineChars="200"/>
        <w:rPr>
          <w:rFonts w:ascii="Arial" w:hAnsi="Arial"/>
          <w:color w:val="auto"/>
          <w:sz w:val="21"/>
        </w:rPr>
      </w:pPr>
      <w:r>
        <w:rPr>
          <w:rFonts w:hint="eastAsia" w:ascii="Arial" w:hAnsi="Arial"/>
          <w:b/>
          <w:bCs/>
          <w:color w:val="auto"/>
          <w:sz w:val="21"/>
        </w:rPr>
        <w:t>估价目的：</w:t>
      </w:r>
      <w:r>
        <w:rPr>
          <w:rFonts w:hint="eastAsia" w:ascii="Arial" w:hAnsi="Arial"/>
          <w:color w:val="auto"/>
          <w:sz w:val="21"/>
        </w:rPr>
        <w:t>为估价委托人核定估价对象在设定条件下的房地产市场价值提供参考依据。</w:t>
      </w:r>
    </w:p>
    <w:p>
      <w:pPr>
        <w:spacing w:line="480" w:lineRule="auto"/>
        <w:ind w:firstLine="422" w:firstLineChars="200"/>
        <w:jc w:val="both"/>
        <w:rPr>
          <w:rFonts w:ascii="Arial" w:hAnsi="Arial"/>
          <w:sz w:val="21"/>
        </w:rPr>
      </w:pPr>
      <w:r>
        <w:rPr>
          <w:rFonts w:hint="eastAsia" w:ascii="Arial" w:hAnsi="Arial"/>
          <w:b/>
          <w:bCs/>
          <w:sz w:val="21"/>
        </w:rPr>
        <w:t>价值时点：</w:t>
      </w:r>
      <w:r>
        <w:rPr>
          <w:rFonts w:hint="eastAsia" w:ascii="Arial" w:hAnsi="Arial"/>
          <w:sz w:val="21"/>
        </w:rPr>
        <w:t xml:space="preserve"> 20</w:t>
      </w:r>
      <w:r>
        <w:rPr>
          <w:rFonts w:hint="eastAsia" w:ascii="Arial" w:hAnsi="Arial"/>
          <w:sz w:val="21"/>
          <w:lang w:val="en-US" w:eastAsia="zh-CN"/>
        </w:rPr>
        <w:t>07</w:t>
      </w:r>
      <w:r>
        <w:rPr>
          <w:rFonts w:hint="eastAsia" w:ascii="Arial" w:hAnsi="Arial"/>
          <w:sz w:val="21"/>
        </w:rPr>
        <w:t>年</w:t>
      </w:r>
      <w:r>
        <w:rPr>
          <w:rFonts w:hint="eastAsia" w:ascii="Arial" w:hAnsi="Arial"/>
          <w:sz w:val="21"/>
          <w:lang w:val="en-US" w:eastAsia="zh-CN"/>
        </w:rPr>
        <w:t>7</w:t>
      </w:r>
      <w:r>
        <w:rPr>
          <w:rFonts w:hint="eastAsia" w:ascii="Arial" w:hAnsi="Arial"/>
          <w:sz w:val="21"/>
        </w:rPr>
        <w:t>月</w:t>
      </w:r>
      <w:r>
        <w:rPr>
          <w:rFonts w:hint="eastAsia" w:ascii="Arial" w:hAnsi="Arial"/>
          <w:sz w:val="21"/>
          <w:lang w:val="en-US" w:eastAsia="zh-CN"/>
        </w:rPr>
        <w:t>26</w:t>
      </w:r>
      <w:r>
        <w:rPr>
          <w:rFonts w:hint="eastAsia" w:ascii="Arial" w:hAnsi="Arial"/>
          <w:sz w:val="21"/>
        </w:rPr>
        <w:t>日</w:t>
      </w:r>
    </w:p>
    <w:p>
      <w:pPr>
        <w:spacing w:line="480" w:lineRule="auto"/>
        <w:ind w:firstLine="422" w:firstLineChars="200"/>
        <w:jc w:val="both"/>
        <w:rPr>
          <w:rFonts w:eastAsia="楷体_GB2312"/>
          <w:sz w:val="28"/>
          <w:szCs w:val="28"/>
        </w:rPr>
      </w:pPr>
      <w:r>
        <w:rPr>
          <w:rFonts w:hint="eastAsia" w:ascii="Arial" w:hAnsi="Arial"/>
          <w:b/>
          <w:bCs/>
          <w:sz w:val="21"/>
        </w:rPr>
        <w:t>价值类型：</w:t>
      </w:r>
      <w:r>
        <w:rPr>
          <w:rFonts w:hint="eastAsia" w:ascii="Arial" w:hAnsi="Arial"/>
          <w:kern w:val="2"/>
          <w:sz w:val="21"/>
        </w:rPr>
        <w:t>根据房地产估价规范、国家现行有关标准规定和项目的具体要求，本次评估采用的是市场价值标准。</w:t>
      </w:r>
      <w:r>
        <w:rPr>
          <w:rFonts w:ascii="Arial" w:hAnsi="Arial"/>
          <w:kern w:val="2"/>
          <w:sz w:val="21"/>
        </w:rPr>
        <w:t>根据</w:t>
      </w:r>
      <w:r>
        <w:rPr>
          <w:rFonts w:hint="eastAsia" w:ascii="Arial" w:hAnsi="Arial"/>
          <w:sz w:val="21"/>
          <w:szCs w:val="28"/>
        </w:rPr>
        <w:t>《房地产估价基本术语标准》</w:t>
      </w:r>
      <w:r>
        <w:rPr>
          <w:rFonts w:hint="eastAsia" w:ascii="Arial" w:hAnsi="Arial"/>
          <w:kern w:val="2"/>
          <w:sz w:val="21"/>
        </w:rPr>
        <w:t>[GB/T50899-2013]，</w:t>
      </w:r>
      <w:r>
        <w:rPr>
          <w:rFonts w:ascii="Arial" w:hAnsi="Arial"/>
          <w:kern w:val="2"/>
          <w:sz w:val="21"/>
        </w:rPr>
        <w:t>市场价值是经适当营销后，由熟悉情况、谨慎行事且不受强迫的交易双方，以公平交易方式在价值时点自愿进行交易的金额</w:t>
      </w:r>
      <w:r>
        <w:rPr>
          <w:rFonts w:hint="eastAsia" w:ascii="Arial" w:hAnsi="Arial"/>
          <w:kern w:val="2"/>
          <w:sz w:val="21"/>
        </w:rPr>
        <w:t>。</w:t>
      </w:r>
    </w:p>
    <w:p>
      <w:pPr>
        <w:spacing w:line="480" w:lineRule="auto"/>
        <w:ind w:firstLine="420" w:firstLineChars="200"/>
        <w:jc w:val="both"/>
        <w:rPr>
          <w:rFonts w:ascii="Arial" w:hAnsi="Arial"/>
          <w:sz w:val="21"/>
        </w:rPr>
      </w:pPr>
      <w:r>
        <w:rPr>
          <w:rFonts w:hint="eastAsia" w:ascii="Arial" w:hAnsi="Arial"/>
          <w:sz w:val="21"/>
          <w:szCs w:val="28"/>
        </w:rPr>
        <w:t>本次估价的“房地产市场价值”是指在正常市场情况下，在价值时点20</w:t>
      </w:r>
      <w:r>
        <w:rPr>
          <w:rFonts w:hint="eastAsia" w:ascii="Arial" w:hAnsi="Arial"/>
          <w:sz w:val="21"/>
          <w:szCs w:val="28"/>
          <w:lang w:val="en-US" w:eastAsia="zh-CN"/>
        </w:rPr>
        <w:t>07</w:t>
      </w:r>
      <w:r>
        <w:rPr>
          <w:rFonts w:hint="eastAsia" w:ascii="Arial" w:hAnsi="Arial"/>
          <w:sz w:val="21"/>
          <w:szCs w:val="28"/>
        </w:rPr>
        <w:t>年</w:t>
      </w:r>
      <w:r>
        <w:rPr>
          <w:rFonts w:hint="eastAsia" w:ascii="Arial" w:hAnsi="Arial"/>
          <w:sz w:val="21"/>
          <w:szCs w:val="28"/>
          <w:lang w:val="en-US" w:eastAsia="zh-CN"/>
        </w:rPr>
        <w:t>7</w:t>
      </w:r>
      <w:r>
        <w:rPr>
          <w:rFonts w:hint="eastAsia" w:ascii="Arial" w:hAnsi="Arial"/>
          <w:sz w:val="21"/>
          <w:szCs w:val="28"/>
        </w:rPr>
        <w:t>月</w:t>
      </w:r>
      <w:r>
        <w:rPr>
          <w:rFonts w:hint="eastAsia" w:ascii="Arial" w:hAnsi="Arial"/>
          <w:sz w:val="21"/>
          <w:szCs w:val="28"/>
          <w:lang w:val="en-US" w:eastAsia="zh-CN"/>
        </w:rPr>
        <w:t>26</w:t>
      </w:r>
      <w:r>
        <w:rPr>
          <w:rFonts w:hint="eastAsia" w:ascii="Arial" w:hAnsi="Arial"/>
          <w:sz w:val="21"/>
          <w:szCs w:val="28"/>
        </w:rPr>
        <w:t>日，估价对象用途为住宅，根据估价委托人介绍及提供的《</w:t>
      </w:r>
      <w:r>
        <w:rPr>
          <w:rFonts w:hint="eastAsia" w:ascii="Arial" w:hAnsi="Arial"/>
          <w:kern w:val="2"/>
          <w:sz w:val="21"/>
        </w:rPr>
        <w:t>估价委托书</w:t>
      </w:r>
      <w:r>
        <w:rPr>
          <w:rFonts w:hint="eastAsia" w:ascii="Arial" w:hAnsi="Arial"/>
          <w:sz w:val="21"/>
          <w:szCs w:val="28"/>
        </w:rPr>
        <w:t>》，估价对象室内装修情况设定为普通装修（涂料顶棚、涂料墙面、</w:t>
      </w:r>
      <w:r>
        <w:rPr>
          <w:rFonts w:hint="eastAsia" w:ascii="Arial" w:hAnsi="Arial"/>
          <w:sz w:val="21"/>
          <w:szCs w:val="28"/>
          <w:lang w:eastAsia="zh-CN"/>
        </w:rPr>
        <w:t>水泥</w:t>
      </w:r>
      <w:r>
        <w:rPr>
          <w:rFonts w:hint="eastAsia" w:ascii="Arial" w:hAnsi="Arial"/>
          <w:sz w:val="21"/>
          <w:szCs w:val="28"/>
        </w:rPr>
        <w:t>地面），</w:t>
      </w:r>
      <w:r>
        <w:rPr>
          <w:rFonts w:ascii="Arial" w:hAnsi="Arial"/>
          <w:sz w:val="21"/>
          <w:szCs w:val="28"/>
        </w:rPr>
        <w:t>土地取得方式为</w:t>
      </w:r>
      <w:r>
        <w:rPr>
          <w:rFonts w:hint="eastAsia" w:ascii="Arial" w:hAnsi="Arial"/>
          <w:sz w:val="21"/>
          <w:szCs w:val="28"/>
        </w:rPr>
        <w:t>出让的房地产市场价值</w:t>
      </w:r>
      <w:r>
        <w:rPr>
          <w:rFonts w:hint="eastAsia" w:ascii="Arial" w:hAnsi="Arial"/>
          <w:sz w:val="21"/>
        </w:rPr>
        <w:t>。</w:t>
      </w:r>
    </w:p>
    <w:p>
      <w:pPr>
        <w:spacing w:line="480" w:lineRule="auto"/>
        <w:ind w:firstLine="422" w:firstLineChars="200"/>
        <w:jc w:val="both"/>
        <w:rPr>
          <w:rFonts w:ascii="Arial" w:hAnsi="Arial"/>
          <w:b/>
          <w:bCs/>
          <w:sz w:val="21"/>
        </w:rPr>
      </w:pPr>
      <w:r>
        <w:rPr>
          <w:rFonts w:ascii="Arial" w:hAnsi="Arial" w:cs="Arial"/>
          <w:b/>
          <w:bCs/>
          <w:sz w:val="21"/>
        </w:rPr>
        <w:t>估价方法：</w:t>
      </w:r>
      <w:r>
        <w:rPr>
          <w:rFonts w:ascii="Arial" w:hAnsi="Arial" w:cs="Arial"/>
          <w:bCs/>
          <w:sz w:val="21"/>
          <w:szCs w:val="21"/>
        </w:rPr>
        <w:t>本次评估采用的主估价方法</w:t>
      </w:r>
      <w:r>
        <w:rPr>
          <w:rFonts w:hint="eastAsia" w:ascii="Arial" w:hAnsi="Arial" w:cs="Arial"/>
          <w:bCs/>
          <w:sz w:val="21"/>
          <w:szCs w:val="21"/>
        </w:rPr>
        <w:t>为</w:t>
      </w:r>
      <w:r>
        <w:rPr>
          <w:rFonts w:hint="eastAsia" w:ascii="Arial" w:hAnsi="Arial" w:cs="宋体"/>
          <w:sz w:val="21"/>
          <w:szCs w:val="21"/>
        </w:rPr>
        <w:t>比较法</w:t>
      </w:r>
      <w:r>
        <w:rPr>
          <w:rFonts w:ascii="Arial" w:hAnsi="Arial" w:cs="Arial"/>
          <w:sz w:val="21"/>
          <w:szCs w:val="21"/>
        </w:rPr>
        <w:t>和</w:t>
      </w:r>
      <w:r>
        <w:rPr>
          <w:rFonts w:hint="eastAsia" w:ascii="Arial" w:hAnsi="Arial" w:cs="宋体"/>
          <w:sz w:val="21"/>
          <w:szCs w:val="21"/>
        </w:rPr>
        <w:t>成本法</w:t>
      </w:r>
      <w:r>
        <w:rPr>
          <w:rFonts w:ascii="Arial" w:hAnsi="Arial" w:cs="Arial"/>
          <w:sz w:val="21"/>
          <w:szCs w:val="21"/>
        </w:rPr>
        <w:t>。</w:t>
      </w:r>
    </w:p>
    <w:p>
      <w:pPr>
        <w:spacing w:line="480" w:lineRule="auto"/>
        <w:ind w:firstLine="422" w:firstLineChars="200"/>
        <w:rPr>
          <w:rFonts w:ascii="Arial" w:hAnsi="Arial"/>
          <w:sz w:val="21"/>
        </w:rPr>
      </w:pPr>
      <w:r>
        <w:rPr>
          <w:rFonts w:hint="eastAsia" w:ascii="Arial" w:hAnsi="Arial"/>
          <w:b/>
          <w:bCs/>
          <w:sz w:val="21"/>
        </w:rPr>
        <w:t>估价结果：</w:t>
      </w:r>
      <w:r>
        <w:rPr>
          <w:rFonts w:hint="eastAsia" w:ascii="Arial" w:hAnsi="Arial"/>
          <w:sz w:val="21"/>
        </w:rPr>
        <w:t>评估专业人员根据估价的目的，按照估价的程序，采用科学的估价方法，在认真分析现有资料的基础上，通过仔细测算和认真分析各种影响房地产价格的因素，确定估价对象在价值时点的房地产评估价值，详见估价结果一览表。</w:t>
      </w:r>
    </w:p>
    <w:p>
      <w:pPr>
        <w:spacing w:line="480" w:lineRule="auto"/>
        <w:rPr>
          <w:rFonts w:ascii="华文楷体" w:hAnsi="华文楷体" w:eastAsia="华文楷体" w:cs="华文楷体"/>
          <w:sz w:val="21"/>
        </w:rPr>
      </w:pPr>
      <w:r>
        <w:rPr>
          <w:rFonts w:hint="eastAsia" w:ascii="华文楷体" w:hAnsi="华文楷体" w:eastAsia="华文楷体" w:cs="华文楷体"/>
          <w:sz w:val="21"/>
        </w:rPr>
        <w:t>（转下页）</w:t>
      </w: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240" w:lineRule="auto"/>
        <w:jc w:val="center"/>
        <w:rPr>
          <w:rFonts w:ascii="Arial" w:hAnsi="Arial" w:eastAsia="方正黑体简体"/>
          <w:szCs w:val="24"/>
        </w:rPr>
      </w:pPr>
      <w:r>
        <w:rPr>
          <w:rFonts w:hint="eastAsia" w:ascii="Arial" w:hAnsi="Arial" w:eastAsia="方正黑体简体"/>
          <w:szCs w:val="24"/>
        </w:rPr>
        <w:t>估价结果一览表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324"/>
        <w:gridCol w:w="1504"/>
        <w:gridCol w:w="2735"/>
        <w:gridCol w:w="2736"/>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3828" w:type="dxa"/>
            <w:gridSpan w:val="2"/>
            <w:shd w:val="clear" w:color="auto" w:fill="auto"/>
            <w:vAlign w:val="center"/>
          </w:tcPr>
          <w:p>
            <w:pPr>
              <w:widowControl/>
              <w:adjustRightInd/>
              <w:spacing w:line="240" w:lineRule="auto"/>
              <w:jc w:val="right"/>
              <w:textAlignment w:val="auto"/>
              <w:rPr>
                <w:rFonts w:ascii="Arial" w:hAnsi="Arial" w:eastAsia="华文细黑" w:cs="宋体"/>
                <w:sz w:val="18"/>
                <w:szCs w:val="18"/>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-79375</wp:posOffset>
                      </wp:positionV>
                      <wp:extent cx="2442210" cy="448310"/>
                      <wp:effectExtent l="635" t="4445" r="14605" b="23495"/>
                      <wp:wrapNone/>
                      <wp:docPr id="1" name="直接连接符 60"/>
                      <wp:cNvGraphicFramePr/>
                      <a:graphic xmlns:a="http://schemas.openxmlformats.org/drawingml/2006/main">
                        <a:graphicData uri="http://schemas.microsoft.com/office/word/2010/wordprocessingShape">
                          <wps:wsp>
                            <wps:cNvCnPr/>
                            <wps:spPr>
                              <a:xfrm>
                                <a:off x="0" y="0"/>
                                <a:ext cx="2442210" cy="448310"/>
                              </a:xfrm>
                              <a:prstGeom prst="line">
                                <a:avLst/>
                              </a:prstGeom>
                              <a:ln w="6350" cap="flat" cmpd="sng">
                                <a:solidFill>
                                  <a:srgbClr val="404040"/>
                                </a:solidFill>
                                <a:prstDash val="sysDot"/>
                                <a:headEnd type="none" w="med" len="med"/>
                                <a:tailEnd type="none" w="med" len="med"/>
                              </a:ln>
                            </wps:spPr>
                            <wps:bodyPr/>
                          </wps:wsp>
                        </a:graphicData>
                      </a:graphic>
                    </wp:anchor>
                  </w:drawing>
                </mc:Choice>
                <mc:Fallback>
                  <w:pict>
                    <v:line id="直接连接符 60" o:spid="_x0000_s1026" o:spt="20" style="position:absolute;left:0pt;margin-left:-5.1pt;margin-top:-6.25pt;height:35.3pt;width:192.3pt;z-index:251659264;mso-width-relative:page;mso-height-relative:page;" filled="f" stroked="t" coordsize="21600,21600" o:gfxdata="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w4ca2gAAAAoBAAAPAAAAAAAAAAEAIAAAACIAAABkcnMvZG93bnJldi54bWxQSwEC&#10;FAAUAAAACACHTuJAVSxl1vIBAADfAwAADgAAAAAAAAABACAAAAApAQAAZHJzL2Uyb0RvYy54bWxQ&#10;SwUGAAAAAAYABgBZAQAAjQUAAAAA&#10;">
                      <v:fill on="f" focussize="0,0"/>
                      <v:stroke weight="0.5pt" color="#404040" joinstyle="round" dashstyle="1 1"/>
                      <v:imagedata o:title=""/>
                      <o:lock v:ext="edit" aspectratio="f"/>
                    </v:line>
                  </w:pict>
                </mc:Fallback>
              </mc:AlternateContent>
            </w:r>
            <w:r>
              <w:rPr>
                <w:rFonts w:hint="eastAsia" w:ascii="Arial" w:hAnsi="Arial" w:eastAsia="华文细黑" w:cs="宋体"/>
                <w:sz w:val="18"/>
                <w:szCs w:val="18"/>
              </w:rPr>
              <w:t>估价方法</w:t>
            </w:r>
          </w:p>
          <w:p>
            <w:pPr>
              <w:spacing w:line="240" w:lineRule="auto"/>
              <w:rPr>
                <w:rFonts w:ascii="Arial" w:hAnsi="Arial" w:cs="Arial"/>
                <w:b/>
                <w:bCs/>
                <w:sz w:val="21"/>
                <w:szCs w:val="21"/>
              </w:rPr>
            </w:pPr>
            <w:r>
              <w:rPr>
                <w:rFonts w:hint="eastAsia" w:ascii="Arial" w:hAnsi="Arial" w:eastAsia="华文细黑" w:cs="宋体"/>
                <w:sz w:val="18"/>
                <w:szCs w:val="18"/>
              </w:rPr>
              <w:t>估价对象及结果</w:t>
            </w:r>
          </w:p>
        </w:tc>
        <w:tc>
          <w:tcPr>
            <w:tcW w:w="2735"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比较法</w:t>
            </w:r>
          </w:p>
        </w:tc>
        <w:tc>
          <w:tcPr>
            <w:tcW w:w="2736"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成本法</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shd w:val="clear" w:color="auto" w:fill="auto"/>
            <w:vAlign w:val="center"/>
          </w:tcPr>
          <w:p>
            <w:pPr>
              <w:widowControl/>
              <w:adjustRightInd/>
              <w:spacing w:line="240" w:lineRule="auto"/>
              <w:textAlignment w:val="auto"/>
              <w:rPr>
                <w:rFonts w:ascii="Arial" w:hAnsi="Arial" w:cs="Arial"/>
                <w:b/>
                <w:bCs/>
                <w:sz w:val="21"/>
                <w:szCs w:val="21"/>
              </w:rPr>
            </w:pPr>
            <w:r>
              <w:rPr>
                <w:rFonts w:hint="eastAsia" w:ascii="Arial" w:hAnsi="Arial" w:eastAsia="华文细黑" w:cs="宋体"/>
                <w:sz w:val="18"/>
                <w:szCs w:val="18"/>
              </w:rPr>
              <w:t>测算结果</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2735"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8829</w:t>
            </w:r>
          </w:p>
        </w:tc>
        <w:tc>
          <w:tcPr>
            <w:tcW w:w="2736"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11322</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restart"/>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评估价值</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总价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550354</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大写金额</w:t>
            </w:r>
          </w:p>
        </w:tc>
        <w:tc>
          <w:tcPr>
            <w:tcW w:w="5471" w:type="dxa"/>
            <w:gridSpan w:val="2"/>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lang w:eastAsia="zh-CN"/>
              </w:rPr>
              <w:t>伍拾伍万零叁佰伍拾肆</w:t>
            </w:r>
            <w:r>
              <w:rPr>
                <w:rFonts w:hint="eastAsia" w:ascii="Arial" w:hAnsi="Arial" w:eastAsia="华文细黑" w:cs="宋体"/>
                <w:sz w:val="18"/>
                <w:szCs w:val="18"/>
              </w:rPr>
              <w:t>元整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9826</w:t>
            </w:r>
          </w:p>
        </w:tc>
      </w:tr>
    </w:tbl>
    <w:p>
      <w:pPr>
        <w:spacing w:line="360" w:lineRule="auto"/>
        <w:ind w:right="17"/>
        <w:rPr>
          <w:rFonts w:ascii="Arial" w:hAnsi="Arial" w:eastAsia="华文细黑" w:cs="Arial"/>
          <w:sz w:val="18"/>
          <w:szCs w:val="18"/>
        </w:rPr>
      </w:pPr>
      <w:r>
        <w:rPr>
          <w:rFonts w:hint="eastAsia" w:ascii="Arial" w:hAnsi="Arial" w:eastAsia="华文细黑"/>
          <w:sz w:val="18"/>
          <w:szCs w:val="18"/>
        </w:rPr>
        <w:t>单位：</w:t>
      </w:r>
      <w:r>
        <w:rPr>
          <w:rFonts w:ascii="Arial" w:hAnsi="Arial" w:eastAsia="华文细黑" w:cs="Arial"/>
          <w:sz w:val="18"/>
          <w:szCs w:val="18"/>
        </w:rPr>
        <w:t>万元、元/平方米（币种：人民币）</w:t>
      </w:r>
    </w:p>
    <w:p>
      <w:pPr>
        <w:spacing w:line="360" w:lineRule="auto"/>
        <w:ind w:right="17"/>
        <w:rPr>
          <w:rFonts w:ascii="Arial" w:hAnsi="Arial" w:eastAsia="华文细黑"/>
          <w:sz w:val="18"/>
          <w:szCs w:val="18"/>
        </w:rPr>
      </w:pPr>
    </w:p>
    <w:p>
      <w:pPr>
        <w:spacing w:line="240" w:lineRule="auto"/>
        <w:jc w:val="center"/>
        <w:rPr>
          <w:rFonts w:ascii="Arial" w:hAnsi="Arial" w:eastAsia="方正黑体简体"/>
          <w:bCs/>
          <w:szCs w:val="24"/>
        </w:rPr>
      </w:pPr>
      <w:r>
        <w:rPr>
          <w:rFonts w:hint="eastAsia" w:ascii="Arial" w:hAnsi="Arial" w:eastAsia="方正黑体简体"/>
          <w:bCs/>
          <w:szCs w:val="24"/>
        </w:rPr>
        <w:t>特殊事项说明表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054"/>
        <w:gridCol w:w="1458"/>
        <w:gridCol w:w="1581"/>
        <w:gridCol w:w="1451"/>
        <w:gridCol w:w="1453"/>
        <w:gridCol w:w="1302"/>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房屋性质</w:t>
            </w:r>
          </w:p>
        </w:tc>
        <w:tc>
          <w:tcPr>
            <w:tcW w:w="784" w:type="pct"/>
            <w:vAlign w:val="center"/>
          </w:tcPr>
          <w:p>
            <w:pPr>
              <w:spacing w:line="240" w:lineRule="auto"/>
              <w:rPr>
                <w:rFonts w:ascii="Arial" w:hAnsi="Arial" w:eastAsia="华文细黑"/>
                <w:b/>
                <w:bCs/>
                <w:sz w:val="18"/>
                <w:szCs w:val="18"/>
              </w:rPr>
            </w:pPr>
            <w:r>
              <w:rPr>
                <w:rFonts w:hint="eastAsia" w:ascii="Arial" w:hAnsi="Arial" w:eastAsia="华文细黑"/>
                <w:sz w:val="18"/>
                <w:szCs w:val="18"/>
              </w:rPr>
              <w:t>设定为商品房</w:t>
            </w:r>
          </w:p>
        </w:tc>
        <w:tc>
          <w:tcPr>
            <w:tcW w:w="850" w:type="pct"/>
            <w:vAlign w:val="center"/>
          </w:tcPr>
          <w:p>
            <w:pPr>
              <w:spacing w:line="240" w:lineRule="auto"/>
              <w:rPr>
                <w:rFonts w:ascii="Arial" w:hAnsi="Arial" w:eastAsia="华文细黑"/>
                <w:b/>
                <w:sz w:val="18"/>
                <w:szCs w:val="18"/>
              </w:rPr>
            </w:pPr>
            <w:r>
              <w:rPr>
                <w:rFonts w:hint="eastAsia" w:ascii="Arial" w:hAnsi="Arial" w:eastAsia="华文细黑"/>
                <w:b/>
                <w:sz w:val="18"/>
                <w:szCs w:val="18"/>
              </w:rPr>
              <w:t>规划用途</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住宅</w:t>
            </w:r>
          </w:p>
        </w:tc>
        <w:tc>
          <w:tcPr>
            <w:tcW w:w="781" w:type="pct"/>
            <w:vAlign w:val="center"/>
          </w:tcPr>
          <w:p>
            <w:pPr>
              <w:spacing w:line="240" w:lineRule="auto"/>
              <w:rPr>
                <w:rFonts w:ascii="Arial" w:hAnsi="Arial" w:eastAsia="华文细黑"/>
                <w:sz w:val="18"/>
                <w:szCs w:val="18"/>
              </w:rPr>
            </w:pPr>
            <w:r>
              <w:rPr>
                <w:rFonts w:hint="eastAsia" w:ascii="Arial" w:hAnsi="Arial" w:eastAsia="华文细黑"/>
                <w:b/>
                <w:sz w:val="18"/>
                <w:szCs w:val="18"/>
              </w:rPr>
              <w:t>现状用途</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设定为住宅（居住）</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房屋使用状况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 xml:space="preserve">设定为自用 </w:t>
            </w:r>
          </w:p>
        </w:tc>
        <w:tc>
          <w:tcPr>
            <w:tcW w:w="780" w:type="pct"/>
            <w:vAlign w:val="center"/>
          </w:tcPr>
          <w:p>
            <w:pPr>
              <w:spacing w:line="240" w:lineRule="auto"/>
              <w:rPr>
                <w:rFonts w:ascii="Arial" w:hAnsi="Arial" w:eastAsia="华文细黑"/>
                <w:sz w:val="18"/>
                <w:szCs w:val="18"/>
              </w:rPr>
            </w:pPr>
            <w:r>
              <w:rPr>
                <w:rFonts w:hint="eastAsia" w:ascii="Arial" w:hAnsi="Arial" w:eastAsia="华文细黑"/>
                <w:b/>
                <w:bCs/>
                <w:sz w:val="18"/>
                <w:szCs w:val="18"/>
              </w:rPr>
              <w:t>建成年代</w:t>
            </w:r>
          </w:p>
        </w:tc>
        <w:tc>
          <w:tcPr>
            <w:tcW w:w="1481"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19</w:t>
            </w:r>
            <w:r>
              <w:rPr>
                <w:rFonts w:hint="eastAsia" w:ascii="Arial" w:hAnsi="Arial" w:eastAsia="华文细黑"/>
                <w:sz w:val="18"/>
                <w:szCs w:val="18"/>
                <w:lang w:val="en-US" w:eastAsia="zh-CN"/>
              </w:rPr>
              <w:t>95</w:t>
            </w:r>
            <w:r>
              <w:rPr>
                <w:rFonts w:hint="eastAsia" w:ascii="Arial" w:hAnsi="Arial" w:eastAsia="华文细黑"/>
                <w:sz w:val="18"/>
                <w:szCs w:val="18"/>
              </w:rPr>
              <w:t>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土地使用权类型</w:t>
            </w:r>
          </w:p>
        </w:tc>
        <w:tc>
          <w:tcPr>
            <w:tcW w:w="784" w:type="pct"/>
            <w:vAlign w:val="center"/>
          </w:tcPr>
          <w:p>
            <w:pPr>
              <w:spacing w:line="240" w:lineRule="auto"/>
              <w:rPr>
                <w:rFonts w:ascii="Arial" w:hAnsi="Arial" w:eastAsia="华文细黑"/>
                <w:bCs/>
                <w:sz w:val="18"/>
                <w:szCs w:val="18"/>
              </w:rPr>
            </w:pPr>
            <w:r>
              <w:rPr>
                <w:rFonts w:hint="eastAsia" w:ascii="Arial" w:hAnsi="Arial" w:eastAsia="华文细黑"/>
                <w:bCs/>
                <w:sz w:val="18"/>
                <w:szCs w:val="18"/>
              </w:rPr>
              <w:t>有偿（出让）</w:t>
            </w:r>
          </w:p>
        </w:tc>
        <w:tc>
          <w:tcPr>
            <w:tcW w:w="850" w:type="pct"/>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法定最高土地</w:t>
            </w:r>
          </w:p>
          <w:p>
            <w:pPr>
              <w:spacing w:line="240" w:lineRule="auto"/>
              <w:rPr>
                <w:rFonts w:ascii="Arial" w:hAnsi="Arial" w:eastAsia="华文细黑"/>
                <w:sz w:val="18"/>
                <w:szCs w:val="18"/>
              </w:rPr>
            </w:pPr>
            <w:r>
              <w:rPr>
                <w:rFonts w:hint="eastAsia" w:ascii="Arial" w:hAnsi="Arial" w:eastAsia="华文细黑"/>
                <w:b/>
                <w:bCs/>
                <w:sz w:val="18"/>
                <w:szCs w:val="18"/>
              </w:rPr>
              <w:t>使用年限</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70年</w:t>
            </w:r>
          </w:p>
        </w:tc>
        <w:tc>
          <w:tcPr>
            <w:tcW w:w="781" w:type="pct"/>
            <w:vAlign w:val="center"/>
          </w:tcPr>
          <w:p>
            <w:pPr>
              <w:spacing w:line="240" w:lineRule="auto"/>
              <w:rPr>
                <w:rFonts w:ascii="Arial" w:hAnsi="Arial" w:eastAsia="华文细黑"/>
                <w:b/>
                <w:sz w:val="18"/>
                <w:szCs w:val="18"/>
              </w:rPr>
            </w:pPr>
            <w:r>
              <w:rPr>
                <w:rFonts w:hint="eastAsia" w:ascii="Arial" w:hAnsi="Arial" w:eastAsia="华文细黑" w:cs="宋体"/>
                <w:b/>
                <w:sz w:val="18"/>
                <w:szCs w:val="18"/>
              </w:rPr>
              <w:t>土地使用年限</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法定优先受偿款</w:t>
            </w:r>
          </w:p>
          <w:p>
            <w:pPr>
              <w:spacing w:line="240" w:lineRule="auto"/>
              <w:rPr>
                <w:rFonts w:ascii="Arial" w:hAnsi="Arial" w:eastAsia="华文细黑"/>
                <w:b/>
                <w:bCs/>
                <w:sz w:val="18"/>
                <w:szCs w:val="18"/>
              </w:rPr>
            </w:pPr>
            <w:r>
              <w:rPr>
                <w:rFonts w:hint="eastAsia" w:ascii="Arial" w:hAnsi="Arial" w:eastAsia="华文细黑"/>
                <w:b/>
                <w:bCs/>
                <w:sz w:val="18"/>
                <w:szCs w:val="18"/>
              </w:rPr>
              <w:t>（单位：元）</w:t>
            </w:r>
          </w:p>
        </w:tc>
        <w:tc>
          <w:tcPr>
            <w:tcW w:w="1634" w:type="pct"/>
            <w:gridSpan w:val="2"/>
            <w:vAlign w:val="center"/>
          </w:tcPr>
          <w:p>
            <w:pPr>
              <w:spacing w:line="240" w:lineRule="auto"/>
              <w:rPr>
                <w:rFonts w:ascii="Arial" w:hAnsi="Arial" w:eastAsia="华文细黑"/>
                <w:bCs/>
                <w:sz w:val="18"/>
                <w:szCs w:val="18"/>
              </w:rPr>
            </w:pPr>
            <w:r>
              <w:rPr>
                <w:rFonts w:ascii="Arial" w:hAnsi="Arial" w:eastAsia="华文细黑"/>
                <w:bCs/>
                <w:sz w:val="18"/>
                <w:szCs w:val="18"/>
              </w:rPr>
              <w:t>已抵押担保的债权数额</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b/>
                <w:bCs/>
                <w:sz w:val="18"/>
                <w:szCs w:val="18"/>
              </w:rPr>
            </w:pP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土地出让金、综合地价款、</w:t>
            </w:r>
          </w:p>
          <w:p>
            <w:pPr>
              <w:spacing w:line="240" w:lineRule="auto"/>
              <w:rPr>
                <w:rFonts w:ascii="Arial" w:hAnsi="Arial" w:eastAsia="华文细黑"/>
                <w:sz w:val="18"/>
                <w:szCs w:val="18"/>
              </w:rPr>
            </w:pPr>
            <w:r>
              <w:rPr>
                <w:rFonts w:hint="eastAsia" w:ascii="Arial" w:hAnsi="Arial" w:eastAsia="华文细黑"/>
                <w:sz w:val="18"/>
                <w:szCs w:val="18"/>
              </w:rPr>
              <w:t>房价款</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他项权利状况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bCs/>
                <w:sz w:val="18"/>
                <w:szCs w:val="18"/>
              </w:rPr>
              <w:t>抵押权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sz w:val="18"/>
                <w:szCs w:val="18"/>
              </w:rPr>
            </w:pPr>
          </w:p>
        </w:tc>
        <w:tc>
          <w:tcPr>
            <w:tcW w:w="1634" w:type="pct"/>
            <w:gridSpan w:val="2"/>
            <w:vAlign w:val="center"/>
          </w:tcPr>
          <w:p>
            <w:pPr>
              <w:spacing w:line="240" w:lineRule="auto"/>
              <w:rPr>
                <w:rFonts w:ascii="Arial" w:hAnsi="Arial" w:eastAsia="华文细黑"/>
                <w:bCs/>
                <w:sz w:val="18"/>
                <w:szCs w:val="18"/>
              </w:rPr>
            </w:pPr>
            <w:r>
              <w:rPr>
                <w:rFonts w:hint="eastAsia" w:ascii="Arial" w:hAnsi="Arial" w:eastAsia="华文细黑"/>
                <w:bCs/>
                <w:sz w:val="18"/>
                <w:szCs w:val="18"/>
              </w:rPr>
              <w:t>租赁权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bl>
    <w:p>
      <w:pPr>
        <w:spacing w:line="480" w:lineRule="auto"/>
        <w:ind w:firstLine="1050" w:firstLineChars="500"/>
        <w:rPr>
          <w:rFonts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ind w:firstLine="1050" w:firstLineChars="500"/>
        <w:rPr>
          <w:rFonts w:hint="eastAsia" w:ascii="Arial" w:hAnsi="Arial"/>
          <w:sz w:val="21"/>
        </w:rPr>
      </w:pPr>
    </w:p>
    <w:p>
      <w:pPr>
        <w:spacing w:line="480" w:lineRule="auto"/>
        <w:rPr>
          <w:rFonts w:hint="eastAsia" w:ascii="Arial" w:hAnsi="Arial" w:eastAsia="宋体"/>
          <w:sz w:val="21"/>
          <w:lang w:eastAsia="zh-CN"/>
        </w:rPr>
      </w:pPr>
      <w:r>
        <w:rPr>
          <w:rFonts w:hint="eastAsia" w:ascii="华文楷体" w:hAnsi="华文楷体" w:eastAsia="华文楷体" w:cs="华文楷体"/>
          <w:sz w:val="21"/>
          <w:szCs w:val="22"/>
          <w:lang w:eastAsia="zh-CN"/>
        </w:rPr>
        <w:t>（</w:t>
      </w:r>
      <w:r>
        <w:rPr>
          <w:rFonts w:hint="eastAsia" w:ascii="华文楷体" w:hAnsi="华文楷体" w:eastAsia="华文楷体" w:cs="华文楷体"/>
          <w:sz w:val="21"/>
          <w:szCs w:val="22"/>
          <w:lang w:val="en-US" w:eastAsia="zh-CN"/>
        </w:rPr>
        <w:t>本页无正文</w:t>
      </w:r>
      <w:r>
        <w:rPr>
          <w:rFonts w:hint="eastAsia" w:ascii="华文楷体" w:hAnsi="华文楷体" w:eastAsia="华文楷体" w:cs="华文楷体"/>
          <w:sz w:val="21"/>
          <w:szCs w:val="22"/>
          <w:lang w:eastAsia="zh-CN"/>
        </w:rPr>
        <w:t>）</w:t>
      </w:r>
    </w:p>
    <w:p>
      <w:pPr>
        <w:spacing w:line="480" w:lineRule="auto"/>
        <w:ind w:firstLine="1050" w:firstLineChars="500"/>
        <w:rPr>
          <w:rFonts w:hint="eastAsia" w:ascii="Arial" w:hAnsi="Arial"/>
          <w:sz w:val="21"/>
        </w:rPr>
      </w:pPr>
    </w:p>
    <w:p>
      <w:pPr>
        <w:spacing w:line="480" w:lineRule="auto"/>
        <w:ind w:firstLine="1050" w:firstLineChars="500"/>
        <w:rPr>
          <w:rFonts w:ascii="Arial" w:hAnsi="Arial"/>
          <w:sz w:val="21"/>
        </w:rPr>
      </w:pPr>
      <w:r>
        <w:rPr>
          <w:rFonts w:hint="eastAsia" w:ascii="Arial" w:hAnsi="Arial"/>
          <w:sz w:val="21"/>
        </w:rPr>
        <w:t>顺致</w:t>
      </w:r>
    </w:p>
    <w:p>
      <w:pPr>
        <w:spacing w:line="480" w:lineRule="auto"/>
        <w:ind w:firstLine="4200" w:firstLineChars="2000"/>
        <w:rPr>
          <w:rFonts w:ascii="Arial" w:hAnsi="Arial"/>
          <w:sz w:val="21"/>
        </w:rPr>
      </w:pPr>
    </w:p>
    <w:p>
      <w:pPr>
        <w:spacing w:line="480" w:lineRule="auto"/>
        <w:rPr>
          <w:rFonts w:ascii="Arial" w:hAnsi="Arial"/>
          <w:sz w:val="21"/>
        </w:rPr>
      </w:pPr>
      <w:r>
        <w:rPr>
          <w:rFonts w:hint="eastAsia" w:ascii="Arial" w:hAnsi="Arial"/>
          <w:sz w:val="21"/>
        </w:rPr>
        <w:t>商祺</w:t>
      </w:r>
    </w:p>
    <w:p>
      <w:pPr>
        <w:spacing w:line="360" w:lineRule="auto"/>
        <w:jc w:val="right"/>
        <w:rPr>
          <w:rFonts w:ascii="Arial" w:hAnsi="Arial" w:eastAsia="楷体_GB2312"/>
          <w:sz w:val="28"/>
        </w:rPr>
      </w:pPr>
      <w:r>
        <w:rPr>
          <w:rFonts w:hint="eastAsia" w:ascii="Arial" w:hAnsi="Arial" w:eastAsia="楷体_GB2312"/>
          <w:sz w:val="28"/>
        </w:rPr>
        <w:t xml:space="preserve">                                               </w:t>
      </w:r>
    </w:p>
    <w:tbl>
      <w:tblPr>
        <w:tblStyle w:val="32"/>
        <w:tblW w:w="0" w:type="auto"/>
        <w:tblInd w:w="5920" w:type="dxa"/>
        <w:tblLayout w:type="autofit"/>
        <w:tblCellMar>
          <w:top w:w="0" w:type="dxa"/>
          <w:left w:w="108" w:type="dxa"/>
          <w:bottom w:w="0" w:type="dxa"/>
          <w:right w:w="108" w:type="dxa"/>
        </w:tblCellMar>
      </w:tblPr>
      <w:tblGrid>
        <w:gridCol w:w="3402"/>
      </w:tblGrid>
      <w:tr>
        <w:tc>
          <w:tcPr>
            <w:tcW w:w="3402"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108" w:type="dxa"/>
            <w:bottom w:w="0" w:type="dxa"/>
            <w:right w:w="108" w:type="dxa"/>
          </w:tblCellMar>
        </w:tblPrEx>
        <w:trPr>
          <w:trHeight w:val="1431" w:hRule="atLeast"/>
        </w:trPr>
        <w:tc>
          <w:tcPr>
            <w:tcW w:w="3402" w:type="dxa"/>
            <w:shd w:val="clear" w:color="auto" w:fill="auto"/>
          </w:tcPr>
          <w:p>
            <w:pPr>
              <w:spacing w:line="480" w:lineRule="auto"/>
              <w:rPr>
                <w:rFonts w:ascii="Arial" w:hAnsi="Arial" w:cs="Arial"/>
                <w:sz w:val="21"/>
                <w:szCs w:val="21"/>
              </w:rPr>
            </w:pPr>
            <w:r>
              <w:rPr>
                <w:rFonts w:ascii="Arial" w:hAnsi="Arial" w:cs="Arial"/>
                <w:sz w:val="21"/>
                <w:szCs w:val="21"/>
              </w:rPr>
              <w:t>法定代表人：</w:t>
            </w:r>
          </w:p>
        </w:tc>
      </w:tr>
      <w:tr>
        <w:tblPrEx>
          <w:tblCellMar>
            <w:top w:w="0" w:type="dxa"/>
            <w:left w:w="108" w:type="dxa"/>
            <w:bottom w:w="0" w:type="dxa"/>
            <w:right w:w="108" w:type="dxa"/>
          </w:tblCellMar>
        </w:tblPrEx>
        <w:tc>
          <w:tcPr>
            <w:tcW w:w="3402" w:type="dxa"/>
            <w:shd w:val="clear" w:color="auto" w:fill="auto"/>
          </w:tcPr>
          <w:p>
            <w:pPr>
              <w:spacing w:line="480" w:lineRule="auto"/>
              <w:jc w:val="right"/>
              <w:rPr>
                <w:rFonts w:ascii="Arial" w:hAnsi="Arial" w:cs="Arial"/>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九月</w:t>
            </w:r>
            <w:r>
              <w:rPr>
                <w:rFonts w:hint="eastAsia" w:ascii="Arial" w:hAnsi="Arial" w:cs="Arial"/>
                <w:sz w:val="21"/>
                <w:szCs w:val="21"/>
                <w:lang w:eastAsia="zh-CN"/>
              </w:rPr>
              <w:t>二十六</w:t>
            </w:r>
            <w:r>
              <w:rPr>
                <w:rFonts w:hint="eastAsia" w:ascii="Arial" w:hAnsi="Arial" w:cs="Arial"/>
                <w:sz w:val="21"/>
                <w:szCs w:val="21"/>
              </w:rPr>
              <w:t>日</w:t>
            </w:r>
          </w:p>
        </w:tc>
      </w:tr>
    </w:tbl>
    <w:p>
      <w:pPr>
        <w:spacing w:line="360" w:lineRule="auto"/>
        <w:jc w:val="right"/>
        <w:rPr>
          <w:rFonts w:ascii="Arial" w:hAnsi="Arial"/>
        </w:rPr>
      </w:pPr>
      <w:r>
        <w:rPr>
          <w:rFonts w:hint="eastAsia" w:ascii="Arial" w:hAnsi="Arial" w:eastAsia="楷体_GB2312"/>
          <w:sz w:val="28"/>
        </w:rPr>
        <w:t xml:space="preserve"> </w:t>
      </w:r>
    </w:p>
    <w:p>
      <w:pPr>
        <w:rPr>
          <w:rFonts w:ascii="Arial" w:hAnsi="Arial"/>
        </w:rPr>
        <w:sectPr>
          <w:headerReference r:id="rId9" w:type="default"/>
          <w:pgSz w:w="11907" w:h="16840"/>
          <w:pgMar w:top="1843" w:right="1134" w:bottom="1191" w:left="1134" w:header="1134" w:footer="1134" w:gutter="340"/>
          <w:pgNumType w:start="1"/>
          <w:cols w:space="720" w:num="1"/>
          <w:docGrid w:linePitch="326" w:charSpace="0"/>
        </w:sectPr>
      </w:pPr>
    </w:p>
    <w:p>
      <w:pPr>
        <w:spacing w:line="480" w:lineRule="auto"/>
        <w:jc w:val="center"/>
        <w:outlineLvl w:val="0"/>
        <w:rPr>
          <w:rFonts w:ascii="Arial" w:hAnsi="Arial" w:eastAsia="方正黑体简体"/>
          <w:sz w:val="32"/>
          <w:szCs w:val="32"/>
        </w:rPr>
      </w:pPr>
      <w:r>
        <w:rPr>
          <w:rFonts w:hint="eastAsia" w:ascii="Arial" w:hAnsi="Arial" w:eastAsia="方正黑体简体"/>
          <w:sz w:val="32"/>
          <w:szCs w:val="32"/>
        </w:rPr>
        <w:t>目   录</w:t>
      </w:r>
    </w:p>
    <w:p>
      <w:pPr>
        <w:pStyle w:val="22"/>
        <w:rPr>
          <w:rFonts w:ascii="Arial" w:hAnsi="Arial" w:eastAsia="宋体" w:cs="Arial"/>
          <w:b w:val="0"/>
          <w:bCs w:val="0"/>
          <w:kern w:val="2"/>
          <w:sz w:val="21"/>
          <w:szCs w:val="21"/>
        </w:rPr>
      </w:pPr>
      <w:r>
        <w:rPr>
          <w:rFonts w:ascii="Arial" w:hAnsi="Arial" w:eastAsia="宋体" w:cs="Arial"/>
          <w:sz w:val="21"/>
          <w:szCs w:val="21"/>
        </w:rPr>
        <w:fldChar w:fldCharType="begin"/>
      </w:r>
      <w:r>
        <w:rPr>
          <w:rFonts w:ascii="Arial" w:hAnsi="Arial" w:eastAsia="宋体" w:cs="Arial"/>
          <w:sz w:val="21"/>
          <w:szCs w:val="21"/>
        </w:rPr>
        <w:instrText xml:space="preserve"> TOC \o "1-3" \h \z </w:instrText>
      </w:r>
      <w:r>
        <w:rPr>
          <w:rFonts w:ascii="Arial" w:hAnsi="Arial" w:eastAsia="宋体" w:cs="Arial"/>
          <w:sz w:val="21"/>
          <w:szCs w:val="21"/>
        </w:rPr>
        <w:fldChar w:fldCharType="separate"/>
      </w:r>
      <w:r>
        <w:fldChar w:fldCharType="begin"/>
      </w:r>
      <w:r>
        <w:instrText xml:space="preserve"> HYPERLINK \l "_Toc500322960" </w:instrText>
      </w:r>
      <w:r>
        <w:fldChar w:fldCharType="separate"/>
      </w:r>
      <w:r>
        <w:rPr>
          <w:rStyle w:val="38"/>
          <w:rFonts w:ascii="Arial" w:hAnsi="Arial" w:eastAsia="宋体" w:cs="Arial"/>
          <w:color w:val="auto"/>
          <w:sz w:val="21"/>
          <w:szCs w:val="21"/>
        </w:rPr>
        <w:t>估价师声明</w:t>
      </w:r>
      <w:r>
        <w:rPr>
          <w:rFonts w:ascii="Arial" w:hAnsi="Arial" w:eastAsia="宋体" w:cs="Arial"/>
          <w:sz w:val="21"/>
          <w:szCs w:val="21"/>
        </w:rPr>
        <w:tab/>
      </w:r>
      <w:r>
        <w:rPr>
          <w:rFonts w:hint="eastAsia" w:ascii="Arial" w:hAnsi="Arial" w:eastAsia="宋体" w:cs="Arial"/>
          <w:sz w:val="21"/>
          <w:szCs w:val="21"/>
          <w:lang w:val="en-US" w:eastAsia="zh-CN"/>
        </w:rPr>
        <w:t>5</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"_Toc500322961" </w:instrText>
      </w:r>
      <w:r>
        <w:fldChar w:fldCharType="separate"/>
      </w:r>
      <w:r>
        <w:rPr>
          <w:rStyle w:val="38"/>
          <w:rFonts w:ascii="Arial" w:hAnsi="Arial" w:eastAsia="宋体" w:cs="Arial"/>
          <w:color w:val="auto"/>
          <w:sz w:val="21"/>
          <w:szCs w:val="21"/>
        </w:rPr>
        <w:t>估价假设和限制条件</w:t>
      </w:r>
      <w:r>
        <w:rPr>
          <w:rFonts w:ascii="Arial" w:hAnsi="Arial" w:eastAsia="宋体" w:cs="Arial"/>
          <w:sz w:val="21"/>
          <w:szCs w:val="21"/>
        </w:rPr>
        <w:tab/>
      </w:r>
      <w:r>
        <w:rPr>
          <w:rFonts w:hint="eastAsia" w:ascii="Arial" w:hAnsi="Arial" w:eastAsia="宋体" w:cs="Arial"/>
          <w:sz w:val="21"/>
          <w:szCs w:val="21"/>
          <w:lang w:val="en-US" w:eastAsia="zh-CN"/>
        </w:rPr>
        <w:t>6</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"_Toc500322962" </w:instrText>
      </w:r>
      <w:r>
        <w:fldChar w:fldCharType="separate"/>
      </w:r>
      <w:r>
        <w:rPr>
          <w:rStyle w:val="38"/>
          <w:rFonts w:ascii="Arial" w:hAnsi="Arial" w:eastAsia="宋体" w:cs="Arial"/>
          <w:color w:val="auto"/>
          <w:sz w:val="21"/>
          <w:szCs w:val="21"/>
        </w:rPr>
        <w:t>估价结果报告</w:t>
      </w:r>
      <w:r>
        <w:rPr>
          <w:rFonts w:ascii="Arial" w:hAnsi="Arial" w:eastAsia="宋体" w:cs="Arial"/>
          <w:sz w:val="21"/>
          <w:szCs w:val="21"/>
        </w:rPr>
        <w:tab/>
      </w:r>
      <w:r>
        <w:rPr>
          <w:rFonts w:hint="eastAsia" w:ascii="Arial" w:hAnsi="Arial" w:eastAsia="宋体" w:cs="Arial"/>
          <w:sz w:val="21"/>
          <w:szCs w:val="21"/>
          <w:lang w:val="en-US" w:eastAsia="zh-CN"/>
        </w:rPr>
        <w:t>9</w:t>
      </w:r>
      <w:r>
        <w:rPr>
          <w:rFonts w:hint="eastAsia" w:ascii="Arial" w:hAnsi="Arial" w:eastAsia="宋体" w:cs="Arial"/>
          <w:sz w:val="21"/>
          <w:szCs w:val="21"/>
        </w:rPr>
        <w:fldChar w:fldCharType="end"/>
      </w:r>
    </w:p>
    <w:p>
      <w:pPr>
        <w:pStyle w:val="26"/>
        <w:rPr>
          <w:rFonts w:ascii="Arial" w:hAnsi="Arial" w:cs="Arial"/>
          <w:kern w:val="2"/>
          <w:sz w:val="21"/>
          <w:szCs w:val="21"/>
        </w:rPr>
      </w:pPr>
      <w:r>
        <w:fldChar w:fldCharType="begin"/>
      </w:r>
      <w:r>
        <w:instrText xml:space="preserve"> HYPERLINK \l "_Toc500322963" </w:instrText>
      </w:r>
      <w:r>
        <w:fldChar w:fldCharType="separate"/>
      </w:r>
      <w:r>
        <w:rPr>
          <w:rStyle w:val="38"/>
          <w:rFonts w:ascii="Arial" w:hAnsi="Arial" w:cs="Arial"/>
          <w:color w:val="auto"/>
          <w:sz w:val="21"/>
          <w:szCs w:val="21"/>
        </w:rPr>
        <w:t>一、估价委托人</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"_Toc500322964" </w:instrText>
      </w:r>
      <w:r>
        <w:fldChar w:fldCharType="separate"/>
      </w:r>
      <w:r>
        <w:rPr>
          <w:rStyle w:val="38"/>
          <w:rFonts w:ascii="Arial" w:hAnsi="Arial" w:cs="Arial"/>
          <w:color w:val="auto"/>
          <w:sz w:val="21"/>
          <w:szCs w:val="21"/>
        </w:rPr>
        <w:t>二、房地产估价机构</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"_Toc500322965" </w:instrText>
      </w:r>
      <w:r>
        <w:fldChar w:fldCharType="separate"/>
      </w:r>
      <w:r>
        <w:rPr>
          <w:rStyle w:val="38"/>
          <w:rFonts w:ascii="Arial" w:hAnsi="Arial" w:cs="Arial"/>
          <w:color w:val="auto"/>
          <w:sz w:val="21"/>
          <w:szCs w:val="21"/>
        </w:rPr>
        <w:t>三、估价目的</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"_Toc500322966" </w:instrText>
      </w:r>
      <w:r>
        <w:fldChar w:fldCharType="separate"/>
      </w:r>
      <w:r>
        <w:rPr>
          <w:rStyle w:val="38"/>
          <w:rFonts w:ascii="Arial" w:hAnsi="Arial" w:cs="Arial"/>
          <w:color w:val="auto"/>
          <w:sz w:val="21"/>
          <w:szCs w:val="21"/>
        </w:rPr>
        <w:t>四、</w:t>
      </w:r>
      <w:r>
        <w:rPr>
          <w:rStyle w:val="38"/>
          <w:rFonts w:hint="eastAsia" w:ascii="Arial" w:hAnsi="Arial" w:cs="Arial"/>
          <w:color w:val="auto"/>
          <w:sz w:val="21"/>
          <w:szCs w:val="21"/>
        </w:rPr>
        <w:t>价值时点</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"_Toc500322967" </w:instrText>
      </w:r>
      <w:r>
        <w:fldChar w:fldCharType="separate"/>
      </w:r>
      <w:r>
        <w:rPr>
          <w:rStyle w:val="38"/>
          <w:rFonts w:ascii="Arial" w:hAnsi="Arial" w:cs="Arial"/>
          <w:color w:val="auto"/>
          <w:sz w:val="21"/>
          <w:szCs w:val="21"/>
        </w:rPr>
        <w:t>五、</w:t>
      </w:r>
      <w:r>
        <w:rPr>
          <w:rStyle w:val="38"/>
          <w:rFonts w:hint="eastAsia" w:ascii="Arial" w:hAnsi="Arial" w:cs="Arial"/>
          <w:color w:val="auto"/>
          <w:sz w:val="21"/>
          <w:szCs w:val="21"/>
        </w:rPr>
        <w:t>估价作业期</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hint="eastAsia" w:ascii="Arial" w:hAnsi="Arial" w:eastAsia="宋体" w:cs="Arial"/>
          <w:kern w:val="2"/>
          <w:sz w:val="21"/>
          <w:szCs w:val="21"/>
          <w:lang w:val="en-US" w:eastAsia="zh-CN"/>
        </w:rPr>
      </w:pPr>
      <w:r>
        <w:fldChar w:fldCharType="begin"/>
      </w:r>
      <w:r>
        <w:instrText xml:space="preserve"> HYPERLINK \l "_Toc500322968" </w:instrText>
      </w:r>
      <w:r>
        <w:fldChar w:fldCharType="separate"/>
      </w:r>
      <w:r>
        <w:rPr>
          <w:rStyle w:val="38"/>
          <w:rFonts w:ascii="Arial" w:hAnsi="Arial" w:cs="Arial"/>
          <w:color w:val="auto"/>
          <w:sz w:val="21"/>
          <w:szCs w:val="21"/>
        </w:rPr>
        <w:t>六、</w:t>
      </w:r>
      <w:r>
        <w:rPr>
          <w:rStyle w:val="38"/>
          <w:rFonts w:hint="eastAsia" w:ascii="Arial" w:hAnsi="Arial" w:cs="Arial"/>
          <w:color w:val="auto"/>
          <w:sz w:val="21"/>
          <w:szCs w:val="21"/>
        </w:rPr>
        <w:t>估价对象概况</w:t>
      </w:r>
      <w:r>
        <w:rPr>
          <w:rFonts w:ascii="Arial" w:hAnsi="Arial" w:cs="Arial"/>
          <w:sz w:val="21"/>
          <w:szCs w:val="21"/>
        </w:rPr>
        <w:tab/>
      </w:r>
      <w:r>
        <w:rPr>
          <w:rFonts w:hint="eastAsia" w:ascii="Arial" w:hAnsi="Arial" w:cs="Arial"/>
          <w:sz w:val="21"/>
          <w:szCs w:val="21"/>
          <w:lang w:val="en-US" w:eastAsia="zh-CN"/>
        </w:rPr>
        <w:t>9</w:t>
      </w:r>
      <w:r>
        <w:rPr>
          <w:rFonts w:hint="eastAsia" w:ascii="Arial" w:hAnsi="Arial" w:cs="Arial"/>
          <w:sz w:val="21"/>
          <w:szCs w:val="21"/>
        </w:rPr>
        <w:fldChar w:fldCharType="end"/>
      </w:r>
    </w:p>
    <w:p>
      <w:pPr>
        <w:pStyle w:val="26"/>
        <w:rPr>
          <w:rFonts w:hint="eastAsia" w:ascii="Arial" w:hAnsi="Arial" w:eastAsia="宋体" w:cs="Arial"/>
          <w:kern w:val="2"/>
          <w:sz w:val="21"/>
          <w:szCs w:val="21"/>
          <w:lang w:eastAsia="zh-CN"/>
        </w:rPr>
      </w:pPr>
      <w:r>
        <w:fldChar w:fldCharType="begin"/>
      </w:r>
      <w:r>
        <w:instrText xml:space="preserve"> HYPERLINK \l "_Toc500322969" </w:instrText>
      </w:r>
      <w:r>
        <w:fldChar w:fldCharType="separate"/>
      </w:r>
      <w:r>
        <w:rPr>
          <w:rStyle w:val="38"/>
          <w:rFonts w:ascii="Arial" w:hAnsi="Arial" w:cs="Arial"/>
          <w:color w:val="auto"/>
          <w:sz w:val="21"/>
          <w:szCs w:val="21"/>
        </w:rPr>
        <w:t>七、价值</w:t>
      </w:r>
      <w:r>
        <w:rPr>
          <w:rStyle w:val="38"/>
          <w:rFonts w:hint="eastAsia" w:ascii="Arial" w:hAnsi="Arial" w:cs="Arial"/>
          <w:color w:val="auto"/>
          <w:sz w:val="21"/>
          <w:szCs w:val="21"/>
        </w:rPr>
        <w:t>定义</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2</w:t>
      </w:r>
    </w:p>
    <w:p>
      <w:pPr>
        <w:pStyle w:val="26"/>
        <w:rPr>
          <w:rFonts w:hint="eastAsia" w:ascii="Arial" w:hAnsi="Arial" w:eastAsia="宋体" w:cs="Arial"/>
          <w:kern w:val="2"/>
          <w:sz w:val="21"/>
          <w:szCs w:val="21"/>
          <w:lang w:eastAsia="zh-CN"/>
        </w:rPr>
      </w:pPr>
      <w:r>
        <w:fldChar w:fldCharType="begin"/>
      </w:r>
      <w:r>
        <w:instrText xml:space="preserve"> HYPERLINK \l "_Toc500322970" </w:instrText>
      </w:r>
      <w:r>
        <w:fldChar w:fldCharType="separate"/>
      </w:r>
      <w:r>
        <w:rPr>
          <w:rStyle w:val="38"/>
          <w:rFonts w:ascii="Arial" w:hAnsi="Arial" w:cs="Arial"/>
          <w:color w:val="auto"/>
          <w:sz w:val="21"/>
          <w:szCs w:val="21"/>
        </w:rPr>
        <w:t>八、估价原则</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2</w:t>
      </w:r>
      <w:bookmarkStart w:id="16" w:name="_GoBack"/>
      <w:bookmarkEnd w:id="16"/>
    </w:p>
    <w:p>
      <w:pPr>
        <w:pStyle w:val="26"/>
        <w:rPr>
          <w:rFonts w:hint="default" w:ascii="Arial" w:hAnsi="Arial" w:eastAsia="宋体" w:cs="Arial"/>
          <w:kern w:val="2"/>
          <w:sz w:val="21"/>
          <w:szCs w:val="21"/>
          <w:lang w:val="en-US" w:eastAsia="zh-CN"/>
        </w:rPr>
      </w:pPr>
      <w:r>
        <w:fldChar w:fldCharType="begin"/>
      </w:r>
      <w:r>
        <w:instrText xml:space="preserve"> HYPERLINK \l "_Toc500322971" </w:instrText>
      </w:r>
      <w:r>
        <w:fldChar w:fldCharType="separate"/>
      </w:r>
      <w:r>
        <w:rPr>
          <w:rStyle w:val="38"/>
          <w:rFonts w:ascii="Arial" w:hAnsi="Arial" w:cs="Arial"/>
          <w:color w:val="auto"/>
          <w:sz w:val="21"/>
          <w:szCs w:val="21"/>
        </w:rPr>
        <w:t>九、估价依据</w:t>
      </w:r>
      <w:r>
        <w:rPr>
          <w:rFonts w:ascii="Arial" w:hAnsi="Arial" w:cs="Arial"/>
          <w:sz w:val="21"/>
          <w:szCs w:val="21"/>
        </w:rPr>
        <w:tab/>
      </w:r>
      <w:r>
        <w:rPr>
          <w:rFonts w:ascii="Arial" w:hAnsi="Arial" w:cs="Arial"/>
          <w:sz w:val="21"/>
          <w:szCs w:val="21"/>
        </w:rPr>
        <w:fldChar w:fldCharType="end"/>
      </w:r>
      <w:r>
        <w:rPr>
          <w:rFonts w:hint="eastAsia" w:ascii="Arial" w:hAnsi="Arial" w:cs="Arial"/>
          <w:sz w:val="21"/>
          <w:szCs w:val="21"/>
          <w:lang w:val="en-US" w:eastAsia="zh-CN"/>
        </w:rPr>
        <w:t>13</w:t>
      </w:r>
    </w:p>
    <w:p>
      <w:pPr>
        <w:pStyle w:val="26"/>
        <w:rPr>
          <w:rFonts w:hint="eastAsia" w:ascii="Arial" w:hAnsi="Arial" w:eastAsia="宋体" w:cs="Arial"/>
          <w:kern w:val="2"/>
          <w:sz w:val="21"/>
          <w:szCs w:val="21"/>
          <w:lang w:val="en-US" w:eastAsia="zh-CN"/>
        </w:rPr>
      </w:pPr>
      <w:r>
        <w:fldChar w:fldCharType="begin"/>
      </w:r>
      <w:r>
        <w:instrText xml:space="preserve"> HYPERLINK \l "_Toc500322972" </w:instrText>
      </w:r>
      <w:r>
        <w:fldChar w:fldCharType="separate"/>
      </w:r>
      <w:r>
        <w:rPr>
          <w:rStyle w:val="38"/>
          <w:rFonts w:ascii="Arial" w:hAnsi="Arial" w:cs="Arial"/>
          <w:color w:val="auto"/>
          <w:sz w:val="21"/>
          <w:szCs w:val="21"/>
        </w:rPr>
        <w:t>十、估价方法</w:t>
      </w:r>
      <w:r>
        <w:rPr>
          <w:rFonts w:ascii="Arial" w:hAnsi="Arial" w:cs="Arial"/>
          <w:sz w:val="21"/>
          <w:szCs w:val="21"/>
        </w:rPr>
        <w:tab/>
      </w:r>
      <w:r>
        <w:rPr>
          <w:rFonts w:hint="eastAsia" w:ascii="Arial" w:hAnsi="Arial" w:cs="Arial"/>
          <w:sz w:val="21"/>
          <w:szCs w:val="21"/>
          <w:lang w:val="en-US" w:eastAsia="zh-CN"/>
        </w:rPr>
        <w:t>1</w:t>
      </w:r>
      <w:r>
        <w:rPr>
          <w:rFonts w:ascii="Arial" w:hAnsi="Arial" w:cs="Arial"/>
          <w:sz w:val="21"/>
          <w:szCs w:val="21"/>
        </w:rPr>
        <w:fldChar w:fldCharType="end"/>
      </w:r>
      <w:r>
        <w:rPr>
          <w:rFonts w:hint="eastAsia" w:ascii="Arial" w:hAnsi="Arial" w:cs="Arial"/>
          <w:sz w:val="21"/>
          <w:szCs w:val="21"/>
          <w:lang w:val="en-US" w:eastAsia="zh-CN"/>
        </w:rPr>
        <w:t>5</w:t>
      </w:r>
    </w:p>
    <w:p>
      <w:pPr>
        <w:pStyle w:val="26"/>
        <w:rPr>
          <w:rFonts w:hint="eastAsia" w:ascii="Arial" w:hAnsi="Arial" w:eastAsia="宋体" w:cs="Arial"/>
          <w:kern w:val="2"/>
          <w:sz w:val="21"/>
          <w:szCs w:val="21"/>
          <w:lang w:eastAsia="zh-CN"/>
        </w:rPr>
      </w:pPr>
      <w:r>
        <w:fldChar w:fldCharType="begin"/>
      </w:r>
      <w:r>
        <w:instrText xml:space="preserve"> HYPERLINK \l "_Toc500322973" </w:instrText>
      </w:r>
      <w:r>
        <w:fldChar w:fldCharType="separate"/>
      </w:r>
      <w:r>
        <w:rPr>
          <w:rStyle w:val="38"/>
          <w:rFonts w:ascii="Arial" w:hAnsi="Arial" w:cs="Arial"/>
          <w:color w:val="auto"/>
          <w:sz w:val="21"/>
          <w:szCs w:val="21"/>
        </w:rPr>
        <w:t>十一、估价结果</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5</w:t>
      </w:r>
    </w:p>
    <w:p>
      <w:pPr>
        <w:pStyle w:val="26"/>
        <w:rPr>
          <w:rFonts w:hint="eastAsia" w:ascii="Arial" w:hAnsi="Arial" w:eastAsia="宋体" w:cs="Arial"/>
          <w:kern w:val="2"/>
          <w:sz w:val="21"/>
          <w:szCs w:val="21"/>
          <w:lang w:eastAsia="zh-CN"/>
        </w:rPr>
      </w:pPr>
      <w:r>
        <w:fldChar w:fldCharType="begin"/>
      </w:r>
      <w:r>
        <w:instrText xml:space="preserve"> HYPERLINK \l "_Toc500322974" </w:instrText>
      </w:r>
      <w:r>
        <w:fldChar w:fldCharType="separate"/>
      </w:r>
      <w:r>
        <w:rPr>
          <w:rStyle w:val="38"/>
          <w:rFonts w:ascii="Arial" w:hAnsi="Arial" w:cs="Arial"/>
          <w:color w:val="auto"/>
          <w:sz w:val="21"/>
          <w:szCs w:val="21"/>
        </w:rPr>
        <w:t>十二、参与本次估价工作的评估专业人员</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6</w:t>
      </w:r>
    </w:p>
    <w:p>
      <w:pPr>
        <w:pStyle w:val="26"/>
        <w:rPr>
          <w:rFonts w:hint="eastAsia" w:ascii="Arial" w:hAnsi="Arial" w:eastAsia="宋体" w:cs="Arial"/>
          <w:kern w:val="2"/>
          <w:sz w:val="21"/>
          <w:szCs w:val="21"/>
          <w:lang w:eastAsia="zh-CN"/>
        </w:rPr>
      </w:pPr>
      <w:r>
        <w:fldChar w:fldCharType="begin"/>
      </w:r>
      <w:r>
        <w:instrText xml:space="preserve"> HYPERLINK \l "_Toc500322975" </w:instrText>
      </w:r>
      <w:r>
        <w:fldChar w:fldCharType="separate"/>
      </w:r>
      <w:r>
        <w:rPr>
          <w:rStyle w:val="38"/>
          <w:rFonts w:ascii="Arial" w:hAnsi="Arial" w:cs="Arial"/>
          <w:color w:val="auto"/>
          <w:sz w:val="21"/>
          <w:szCs w:val="21"/>
        </w:rPr>
        <w:t>十三、实地查勘期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6</w:t>
      </w:r>
    </w:p>
    <w:p>
      <w:pPr>
        <w:pStyle w:val="26"/>
        <w:rPr>
          <w:rFonts w:hint="eastAsia" w:ascii="Arial" w:hAnsi="Arial" w:eastAsia="宋体" w:cs="Arial"/>
          <w:kern w:val="2"/>
          <w:sz w:val="21"/>
          <w:szCs w:val="21"/>
          <w:lang w:eastAsia="zh-CN"/>
        </w:rPr>
      </w:pPr>
      <w:r>
        <w:fldChar w:fldCharType="begin"/>
      </w:r>
      <w:r>
        <w:instrText xml:space="preserve"> HYPERLINK \l "_Toc500322976" </w:instrText>
      </w:r>
      <w:r>
        <w:fldChar w:fldCharType="separate"/>
      </w:r>
      <w:r>
        <w:rPr>
          <w:rStyle w:val="38"/>
          <w:rFonts w:ascii="Arial" w:hAnsi="Arial" w:cs="Arial"/>
          <w:color w:val="auto"/>
          <w:sz w:val="21"/>
          <w:szCs w:val="21"/>
        </w:rPr>
        <w:t>十四、估价作业期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lang w:val="en-US" w:eastAsia="zh-CN"/>
        </w:rPr>
        <w:t>6</w:t>
      </w:r>
    </w:p>
    <w:p>
      <w:pPr>
        <w:pStyle w:val="22"/>
        <w:rPr>
          <w:rFonts w:hint="eastAsia" w:ascii="Arial" w:hAnsi="Arial" w:eastAsia="宋体" w:cs="Arial"/>
          <w:b w:val="0"/>
          <w:bCs w:val="0"/>
          <w:kern w:val="2"/>
          <w:sz w:val="21"/>
          <w:szCs w:val="21"/>
          <w:lang w:eastAsia="zh-CN"/>
        </w:rPr>
      </w:pPr>
      <w:r>
        <w:fldChar w:fldCharType="begin"/>
      </w:r>
      <w:r>
        <w:instrText xml:space="preserve"> HYPERLINK \l "_Toc500322977" </w:instrText>
      </w:r>
      <w:r>
        <w:fldChar w:fldCharType="separate"/>
      </w:r>
      <w:r>
        <w:rPr>
          <w:rStyle w:val="38"/>
          <w:rFonts w:ascii="Arial" w:hAnsi="Arial" w:eastAsia="宋体" w:cs="Arial"/>
          <w:color w:val="auto"/>
          <w:sz w:val="21"/>
          <w:szCs w:val="21"/>
        </w:rPr>
        <w:t>附   件</w:t>
      </w:r>
      <w:r>
        <w:rPr>
          <w:rFonts w:ascii="Arial" w:hAnsi="Arial" w:eastAsia="宋体" w:cs="Arial"/>
          <w:sz w:val="21"/>
          <w:szCs w:val="21"/>
        </w:rPr>
        <w:tab/>
      </w:r>
      <w:r>
        <w:rPr>
          <w:rFonts w:hint="eastAsia" w:ascii="Arial" w:hAnsi="Arial" w:eastAsia="宋体" w:cs="Arial"/>
          <w:sz w:val="21"/>
          <w:szCs w:val="21"/>
        </w:rPr>
        <w:t>1</w:t>
      </w:r>
      <w:r>
        <w:rPr>
          <w:rFonts w:hint="eastAsia" w:ascii="Arial" w:hAnsi="Arial" w:eastAsia="宋体" w:cs="Arial"/>
          <w:sz w:val="21"/>
          <w:szCs w:val="21"/>
        </w:rPr>
        <w:fldChar w:fldCharType="end"/>
      </w:r>
      <w:r>
        <w:rPr>
          <w:rStyle w:val="38"/>
          <w:rFonts w:hint="eastAsia" w:ascii="Arial" w:hAnsi="Arial" w:eastAsia="宋体" w:cs="Arial"/>
          <w:color w:val="auto"/>
          <w:sz w:val="21"/>
          <w:szCs w:val="21"/>
          <w:lang w:val="en-US" w:eastAsia="zh-CN"/>
        </w:rPr>
        <w:t>7</w:t>
      </w:r>
    </w:p>
    <w:p>
      <w:pPr>
        <w:numPr>
          <w:ilvl w:val="0"/>
          <w:numId w:val="6"/>
        </w:numPr>
        <w:spacing w:line="420" w:lineRule="exact"/>
        <w:ind w:left="851" w:hanging="425"/>
        <w:jc w:val="both"/>
        <w:rPr>
          <w:rFonts w:ascii="Arial" w:hAnsi="Arial"/>
          <w:sz w:val="21"/>
          <w:szCs w:val="24"/>
          <w:highlight w:val="none"/>
        </w:rPr>
      </w:pPr>
      <w:r>
        <w:rPr>
          <w:rFonts w:ascii="Arial" w:hAnsi="Arial" w:cs="Arial"/>
          <w:sz w:val="21"/>
          <w:szCs w:val="21"/>
        </w:rPr>
        <w:fldChar w:fldCharType="end"/>
      </w:r>
      <w:r>
        <w:rPr>
          <w:rFonts w:hint="eastAsia" w:ascii="Arial" w:hAnsi="Arial"/>
          <w:sz w:val="21"/>
          <w:szCs w:val="24"/>
          <w:highlight w:val="none"/>
        </w:rPr>
        <w:t>《估价委托书》</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估价对象所在位置示意图</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估价对象实地查勘情况和相关照片</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《房屋所有权转移登记申请书》复印件</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《建成年代证明》复印件</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《物业地址证明》复印件</w:t>
      </w:r>
    </w:p>
    <w:p>
      <w:pPr>
        <w:numPr>
          <w:ilvl w:val="0"/>
          <w:numId w:val="6"/>
        </w:numPr>
        <w:spacing w:line="420" w:lineRule="exact"/>
        <w:ind w:left="851" w:hanging="425"/>
        <w:jc w:val="both"/>
        <w:rPr>
          <w:rFonts w:ascii="Arial" w:hAnsi="Arial" w:cs="Arial"/>
          <w:sz w:val="21"/>
          <w:szCs w:val="24"/>
          <w:highlight w:val="none"/>
        </w:rPr>
      </w:pPr>
      <w:r>
        <w:rPr>
          <w:rFonts w:hint="eastAsia" w:ascii="Arial" w:hAnsi="Arial" w:cs="Arial"/>
          <w:sz w:val="21"/>
          <w:szCs w:val="24"/>
          <w:highlight w:val="none"/>
        </w:rPr>
        <w:t>估价委托人身份证复印件</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房地产估价机构《营业执照（副本）》</w:t>
      </w:r>
      <w:r>
        <w:rPr>
          <w:rFonts w:ascii="Arial" w:hAnsi="Arial" w:cs="Arial"/>
          <w:sz w:val="21"/>
          <w:szCs w:val="24"/>
          <w:highlight w:val="none"/>
        </w:rPr>
        <w:t>复印件</w:t>
      </w:r>
    </w:p>
    <w:p>
      <w:pPr>
        <w:numPr>
          <w:ilvl w:val="0"/>
          <w:numId w:val="6"/>
        </w:numPr>
        <w:spacing w:line="420" w:lineRule="exact"/>
        <w:ind w:left="851" w:hanging="425"/>
        <w:jc w:val="both"/>
        <w:rPr>
          <w:rFonts w:ascii="Arial" w:hAnsi="Arial"/>
          <w:sz w:val="21"/>
          <w:szCs w:val="24"/>
          <w:highlight w:val="none"/>
        </w:rPr>
      </w:pPr>
      <w:r>
        <w:rPr>
          <w:rFonts w:hint="eastAsia" w:ascii="Arial" w:hAnsi="Arial"/>
          <w:sz w:val="21"/>
          <w:szCs w:val="24"/>
          <w:highlight w:val="none"/>
        </w:rPr>
        <w:t>房地产估价机构资质证书</w:t>
      </w:r>
      <w:r>
        <w:rPr>
          <w:rFonts w:ascii="Arial" w:hAnsi="Arial" w:cs="Arial"/>
          <w:sz w:val="21"/>
          <w:szCs w:val="24"/>
          <w:highlight w:val="none"/>
        </w:rPr>
        <w:t>复印件</w:t>
      </w:r>
    </w:p>
    <w:p>
      <w:pPr>
        <w:numPr>
          <w:ilvl w:val="0"/>
          <w:numId w:val="6"/>
        </w:numPr>
        <w:spacing w:line="420" w:lineRule="exact"/>
        <w:ind w:left="851" w:hanging="425"/>
        <w:jc w:val="both"/>
        <w:rPr>
          <w:rFonts w:ascii="Arial" w:hAnsi="Arial"/>
          <w:sz w:val="21"/>
          <w:highlight w:val="none"/>
        </w:rPr>
      </w:pPr>
      <w:r>
        <w:rPr>
          <w:rFonts w:hint="eastAsia" w:ascii="Arial" w:hAnsi="Arial"/>
          <w:sz w:val="21"/>
          <w:szCs w:val="24"/>
          <w:highlight w:val="none"/>
        </w:rPr>
        <w:t>评估专业人员执业证书</w:t>
      </w:r>
      <w:r>
        <w:rPr>
          <w:rFonts w:ascii="Arial" w:hAnsi="Arial" w:cs="Arial"/>
          <w:sz w:val="21"/>
          <w:szCs w:val="24"/>
          <w:highlight w:val="none"/>
        </w:rPr>
        <w:t>复印件</w:t>
      </w:r>
    </w:p>
    <w:p>
      <w:pPr>
        <w:spacing w:line="240" w:lineRule="auto"/>
        <w:outlineLvl w:val="0"/>
        <w:rPr>
          <w:rFonts w:ascii="Arial" w:hAnsi="Arial" w:eastAsia="楷体_GB2312"/>
          <w:i/>
          <w:kern w:val="2"/>
          <w:sz w:val="28"/>
          <w:szCs w:val="28"/>
          <w:highlight w:val="yellow"/>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 w:name="_Toc379795041"/>
      <w:bookmarkStart w:id="2" w:name="_Toc500322960"/>
      <w:r>
        <w:rPr>
          <w:rFonts w:hint="eastAsia" w:eastAsia="方正黑体简体"/>
          <w:b w:val="0"/>
          <w:kern w:val="2"/>
          <w:sz w:val="32"/>
          <w:szCs w:val="32"/>
        </w:rPr>
        <w:t>估价师声明</w:t>
      </w:r>
      <w:bookmarkEnd w:id="1"/>
      <w:bookmarkEnd w:id="2"/>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注册房地产估价师郑重声明：</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hint="eastAsia" w:ascii="Arial" w:hAnsi="Arial" w:cs="Arial"/>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pPr>
        <w:overflowPunct w:val="0"/>
        <w:spacing w:line="480" w:lineRule="auto"/>
        <w:jc w:val="both"/>
        <w:textAlignment w:val="auto"/>
        <w:outlineLvl w:val="0"/>
        <w:rPr>
          <w:rFonts w:ascii="Arial" w:hAnsi="Arial" w:cs="Arial"/>
          <w:kern w:val="2"/>
          <w:sz w:val="21"/>
          <w:szCs w:val="21"/>
        </w:rPr>
      </w:pPr>
      <w:r>
        <w:rPr>
          <w:rFonts w:hint="eastAsia" w:ascii="Arial" w:hAnsi="Arial" w:cs="Arial"/>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（六）本估价报告由北京康正宏基房地产评估有限公司负责解释</w:t>
      </w:r>
      <w:r>
        <w:rPr>
          <w:rFonts w:hint="eastAsia" w:ascii="Arial" w:hAnsi="Arial"/>
          <w:kern w:val="2"/>
          <w:sz w:val="21"/>
          <w:szCs w:val="21"/>
        </w:rPr>
        <w:t>。</w:t>
      </w:r>
    </w:p>
    <w:p>
      <w:pPr>
        <w:overflowPunct w:val="0"/>
        <w:spacing w:line="480" w:lineRule="auto"/>
        <w:jc w:val="both"/>
        <w:textAlignment w:val="auto"/>
        <w:rPr>
          <w:rFonts w:ascii="Arial" w:hAnsi="Arial"/>
          <w:sz w:val="21"/>
          <w:szCs w:val="21"/>
        </w:rPr>
      </w:pPr>
      <w:bookmarkStart w:id="3" w:name="_Toc168225811"/>
    </w:p>
    <w:p>
      <w:pPr>
        <w:overflowPunct w:val="0"/>
        <w:spacing w:line="480" w:lineRule="auto"/>
        <w:jc w:val="both"/>
        <w:textAlignment w:val="auto"/>
        <w:outlineLvl w:val="0"/>
        <w:rPr>
          <w:rFonts w:ascii="Arial" w:hAnsi="Arial"/>
          <w:kern w:val="2"/>
          <w:sz w:val="21"/>
          <w:szCs w:val="21"/>
        </w:rPr>
        <w:sectPr>
          <w:headerReference r:id="rId11" w:type="first"/>
          <w:footerReference r:id="rId12" w:type="first"/>
          <w:headerReference r:id="rId10" w:type="default"/>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4" w:name="_Toc379795042"/>
      <w:bookmarkStart w:id="5" w:name="_Toc500322961"/>
      <w:r>
        <w:rPr>
          <w:rFonts w:hint="eastAsia" w:eastAsia="方正黑体简体"/>
          <w:b w:val="0"/>
          <w:kern w:val="2"/>
          <w:sz w:val="32"/>
          <w:szCs w:val="32"/>
        </w:rPr>
        <w:t>估价假设和限制条件</w:t>
      </w:r>
      <w:bookmarkEnd w:id="4"/>
      <w:bookmarkEnd w:id="5"/>
    </w:p>
    <w:bookmarkEnd w:id="3"/>
    <w:p>
      <w:pPr>
        <w:overflowPunct w:val="0"/>
        <w:spacing w:line="480" w:lineRule="auto"/>
        <w:jc w:val="both"/>
        <w:textAlignment w:val="auto"/>
        <w:outlineLvl w:val="0"/>
        <w:rPr>
          <w:rFonts w:ascii="Arial" w:hAnsi="Arial" w:cs="Arial"/>
          <w:b/>
          <w:kern w:val="2"/>
          <w:sz w:val="21"/>
        </w:rPr>
      </w:pPr>
      <w:r>
        <w:rPr>
          <w:rFonts w:ascii="Arial" w:hAnsi="Arial" w:cs="Arial"/>
          <w:b/>
          <w:kern w:val="2"/>
          <w:sz w:val="21"/>
        </w:rPr>
        <w:t>（一）本次估价的一般假设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1.在价值时点的房地产市场为公开、平等、自愿的交易市场。</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3.本次评估设定估价对象的出让国有建设用地使用权和建筑物所有权均为合法方式取得，并支付相关税费，估价对象能够正常上市交易。</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4.评估专业人员已对估价委托人所提供的、本估价报告所依据的估价对象的权属以及其他相关资料进行了检查，</w:t>
      </w:r>
      <w:r>
        <w:rPr>
          <w:rFonts w:ascii="Arial" w:hAnsi="Arial"/>
          <w:kern w:val="2"/>
          <w:sz w:val="21"/>
        </w:rPr>
        <w:t>无理由怀疑其合法性、真实性、准确性和完整性</w:t>
      </w:r>
      <w:r>
        <w:rPr>
          <w:rFonts w:hint="eastAsia" w:ascii="Arial" w:hAnsi="Arial"/>
          <w:kern w:val="2"/>
          <w:sz w:val="21"/>
        </w:rPr>
        <w:t>。本次评估设定估价委托人提供的资料合法、属实，并且提供了与本次评估有关的所有资料，没有保留及隐瞒。</w:t>
      </w:r>
    </w:p>
    <w:p>
      <w:pPr>
        <w:overflowPunct w:val="0"/>
        <w:spacing w:line="480" w:lineRule="auto"/>
        <w:ind w:firstLine="420" w:firstLineChars="200"/>
        <w:jc w:val="both"/>
        <w:textAlignment w:val="auto"/>
        <w:rPr>
          <w:rFonts w:ascii="Arial" w:hAnsi="Arial" w:cs="Arial"/>
          <w:i/>
          <w:kern w:val="2"/>
          <w:sz w:val="21"/>
          <w:szCs w:val="21"/>
        </w:rPr>
      </w:pPr>
      <w:r>
        <w:rPr>
          <w:rFonts w:hint="eastAsia" w:ascii="Arial" w:hAnsi="Arial"/>
          <w:kern w:val="2"/>
          <w:sz w:val="21"/>
        </w:rPr>
        <w:t>5.</w:t>
      </w:r>
      <w:r>
        <w:rPr>
          <w:rFonts w:ascii="Arial" w:hAnsi="Arial" w:cs="Arial"/>
          <w:sz w:val="21"/>
        </w:rPr>
        <w:t>估价对象建筑面积以</w:t>
      </w:r>
      <w:r>
        <w:rPr>
          <w:rFonts w:hint="eastAsia" w:ascii="Arial" w:hAnsi="Arial"/>
          <w:kern w:val="2"/>
          <w:sz w:val="21"/>
        </w:rPr>
        <w:t>《估价委托书》、《房屋所有权转移登记申请书》复印件</w:t>
      </w:r>
      <w:r>
        <w:rPr>
          <w:rFonts w:ascii="Arial" w:hAnsi="Arial" w:cs="Arial"/>
          <w:sz w:val="21"/>
        </w:rPr>
        <w:t>上载明的为依据</w:t>
      </w:r>
      <w:r>
        <w:rPr>
          <w:rFonts w:hint="eastAsia" w:ascii="Arial" w:hAnsi="Arial" w:cs="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6.</w:t>
      </w:r>
      <w:r>
        <w:rPr>
          <w:rFonts w:hint="eastAsia" w:ascii="Arial" w:hAnsi="Arial"/>
          <w:kern w:val="2"/>
          <w:sz w:val="21"/>
        </w:rPr>
        <w:t>评估专业人员对估价对象外部及其周边环境进行了一般性查勘，并对</w:t>
      </w:r>
      <w:r>
        <w:rPr>
          <w:rFonts w:ascii="Arial" w:hAnsi="Arial"/>
          <w:kern w:val="2"/>
          <w:sz w:val="21"/>
        </w:rPr>
        <w:t>房屋安全</w:t>
      </w:r>
      <w:r>
        <w:rPr>
          <w:rFonts w:hint="eastAsia" w:ascii="Arial" w:hAnsi="Arial"/>
          <w:kern w:val="2"/>
          <w:sz w:val="21"/>
        </w:rPr>
        <w:t>以及</w:t>
      </w:r>
      <w:r>
        <w:rPr>
          <w:rFonts w:ascii="Arial" w:hAnsi="Arial"/>
          <w:kern w:val="2"/>
          <w:sz w:val="21"/>
        </w:rPr>
        <w:t>环境污染等</w:t>
      </w:r>
      <w:r>
        <w:rPr>
          <w:rFonts w:hint="eastAsia" w:ascii="Arial" w:hAnsi="Arial"/>
          <w:kern w:val="2"/>
          <w:sz w:val="21"/>
        </w:rPr>
        <w:t>影响估价对象价值的重大因素给予了关注</w:t>
      </w:r>
      <w:r>
        <w:rPr>
          <w:rFonts w:ascii="Arial" w:hAnsi="Arial"/>
          <w:kern w:val="2"/>
          <w:sz w:val="21"/>
        </w:rPr>
        <w:t>，</w:t>
      </w:r>
      <w:r>
        <w:rPr>
          <w:rFonts w:hint="eastAsia" w:ascii="Arial" w:hAnsi="Arial"/>
          <w:kern w:val="2"/>
          <w:sz w:val="21"/>
        </w:rPr>
        <w:t>在</w:t>
      </w:r>
      <w:r>
        <w:rPr>
          <w:rFonts w:ascii="Arial" w:hAnsi="Arial"/>
          <w:kern w:val="2"/>
          <w:sz w:val="21"/>
        </w:rPr>
        <w:t>无理由怀疑估价对象存在隐患</w:t>
      </w:r>
      <w:r>
        <w:rPr>
          <w:rFonts w:hint="eastAsia" w:ascii="Arial" w:hAnsi="Arial"/>
          <w:kern w:val="2"/>
          <w:sz w:val="21"/>
        </w:rPr>
        <w:t>且无相应的专业机构进行鉴定、检测的情况下，设定估价对象能够正常安全使用。</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7.任何有关估价对象的运作方式、程序符合国家、地方的有关法律、法规。</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rPr>
        <w:t>8</w:t>
      </w:r>
      <w:r>
        <w:rPr>
          <w:rFonts w:ascii="Arial" w:hAnsi="Arial" w:cs="Arial"/>
          <w:kern w:val="2"/>
          <w:sz w:val="21"/>
        </w:rPr>
        <w:t>.本次估价结果未考虑国家宏观政策发生重大变化以及遇有自然力和其他不可抗力对估价结果的影响。</w:t>
      </w:r>
    </w:p>
    <w:p>
      <w:pPr>
        <w:overflowPunct w:val="0"/>
        <w:spacing w:line="480" w:lineRule="auto"/>
        <w:ind w:firstLine="420" w:firstLineChars="200"/>
        <w:jc w:val="both"/>
        <w:textAlignment w:val="auto"/>
        <w:rPr>
          <w:rFonts w:ascii="Arial" w:hAnsi="Arial"/>
          <w:kern w:val="2"/>
          <w:sz w:val="21"/>
        </w:rPr>
      </w:pPr>
      <w:r>
        <w:rPr>
          <w:rFonts w:hint="eastAsia" w:ascii="Arial" w:hAnsi="Arial" w:cs="Arial"/>
          <w:kern w:val="2"/>
          <w:sz w:val="21"/>
        </w:rPr>
        <w:t>9</w:t>
      </w:r>
      <w:r>
        <w:rPr>
          <w:rFonts w:ascii="Arial" w:hAnsi="Arial" w:cs="Arial"/>
          <w:kern w:val="2"/>
          <w:sz w:val="21"/>
        </w:rPr>
        <w:t>.估价结果未考虑估价对象已承担的债务、或有债务对其价值的影响。</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（二）特殊事项假设前提</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1.未定事项假设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（1）估价委托人提供的资料中均未记载估价对象所属项目的容积率情况，本次估价采用的容积率以估价对象所在区域级别平均容积率为准。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（2）根据《估价委托书》，本报告设定估价对象内部装修情况为普通装修（涂料顶棚、涂料墙面、</w:t>
      </w:r>
      <w:r>
        <w:rPr>
          <w:rFonts w:hint="eastAsia" w:ascii="宋体" w:hAnsi="宋体"/>
          <w:sz w:val="21"/>
          <w:szCs w:val="21"/>
          <w:highlight w:val="none"/>
          <w:lang w:eastAsia="zh-CN"/>
        </w:rPr>
        <w:t>水泥</w:t>
      </w:r>
      <w:r>
        <w:rPr>
          <w:rFonts w:hint="eastAsia" w:ascii="宋体" w:hAnsi="宋体"/>
          <w:sz w:val="21"/>
          <w:szCs w:val="21"/>
          <w:highlight w:val="none"/>
        </w:rPr>
        <w:t>地面</w:t>
      </w:r>
      <w:r>
        <w:rPr>
          <w:rFonts w:hint="eastAsia" w:ascii="Arial" w:hAnsi="Arial"/>
          <w:kern w:val="2"/>
          <w:sz w:val="21"/>
        </w:rPr>
        <w:t>）。若估价对象实际装修情况与设定情况不符，则估价结果需要做相应的调整直至重新评估。本报告估价结果已包含设定的装修价值，特此说明。</w:t>
      </w:r>
    </w:p>
    <w:p>
      <w:pPr>
        <w:overflowPunct w:val="0"/>
        <w:spacing w:line="480" w:lineRule="auto"/>
        <w:ind w:firstLine="420" w:firstLineChars="200"/>
        <w:jc w:val="both"/>
        <w:textAlignment w:val="auto"/>
        <w:rPr>
          <w:rFonts w:hint="eastAsia" w:ascii="Arial" w:hAnsi="Arial"/>
          <w:kern w:val="2"/>
          <w:sz w:val="21"/>
        </w:rPr>
      </w:pPr>
      <w:r>
        <w:rPr>
          <w:rFonts w:hint="eastAsia" w:ascii="Arial" w:hAnsi="Arial"/>
          <w:kern w:val="2"/>
          <w:sz w:val="21"/>
        </w:rPr>
        <w:t>（3）根据估价委托人提供的《估价委托书》，截至价值时点，估价对象未设定抵押权、租赁权、地役权。本报告估价结果以设定估价对象在价值时点不存在抵押权为估价假设前提条件。</w:t>
      </w:r>
    </w:p>
    <w:p>
      <w:pPr>
        <w:overflowPunct w:val="0"/>
        <w:spacing w:line="480" w:lineRule="auto"/>
        <w:ind w:firstLine="420" w:firstLineChars="200"/>
        <w:jc w:val="both"/>
        <w:textAlignment w:val="auto"/>
        <w:rPr>
          <w:rFonts w:hint="eastAsia" w:ascii="Arial" w:hAnsi="Arial" w:eastAsia="宋体"/>
          <w:kern w:val="2"/>
          <w:sz w:val="21"/>
          <w:lang w:eastAsia="zh-CN"/>
        </w:rPr>
      </w:pPr>
      <w:r>
        <w:rPr>
          <w:rFonts w:hint="eastAsia" w:ascii="Arial" w:hAnsi="Arial"/>
          <w:kern w:val="2"/>
          <w:sz w:val="21"/>
          <w:lang w:eastAsia="zh-CN"/>
        </w:rPr>
        <w:t>（</w:t>
      </w:r>
      <w:r>
        <w:rPr>
          <w:rFonts w:hint="eastAsia" w:ascii="Arial" w:hAnsi="Arial"/>
          <w:kern w:val="2"/>
          <w:sz w:val="21"/>
          <w:lang w:val="en-US" w:eastAsia="zh-CN"/>
        </w:rPr>
        <w:t>4</w:t>
      </w:r>
      <w:r>
        <w:rPr>
          <w:rFonts w:hint="eastAsia" w:ascii="Arial" w:hAnsi="Arial"/>
          <w:kern w:val="2"/>
          <w:sz w:val="21"/>
          <w:lang w:eastAsia="zh-CN"/>
        </w:rPr>
        <w:t>）</w:t>
      </w:r>
      <w:r>
        <w:rPr>
          <w:rFonts w:hint="eastAsia" w:ascii="Arial" w:hAnsi="Arial"/>
          <w:kern w:val="2"/>
          <w:sz w:val="21"/>
        </w:rPr>
        <w:t>估价对象《房屋所有权转移登记申请书》复印件未记载估价对象房屋的建成年份，</w:t>
      </w:r>
      <w:r>
        <w:rPr>
          <w:rFonts w:hint="eastAsia" w:ascii="Arial" w:hAnsi="Arial"/>
          <w:kern w:val="2"/>
          <w:sz w:val="21"/>
          <w:lang w:eastAsia="zh-CN"/>
        </w:rPr>
        <w:t>根据估价委托人提供的</w:t>
      </w:r>
      <w:r>
        <w:rPr>
          <w:rFonts w:hint="eastAsia" w:ascii="Arial" w:hAnsi="Arial"/>
          <w:kern w:val="2"/>
          <w:sz w:val="21"/>
        </w:rPr>
        <w:t>《估价委托书》，房屋建成年份为</w:t>
      </w:r>
      <w:r>
        <w:rPr>
          <w:rFonts w:hint="eastAsia" w:ascii="Arial" w:hAnsi="Arial"/>
          <w:kern w:val="2"/>
          <w:sz w:val="21"/>
          <w:lang w:val="en-US" w:eastAsia="zh-CN"/>
        </w:rPr>
        <w:t>1995</w:t>
      </w:r>
      <w:r>
        <w:rPr>
          <w:rFonts w:hint="eastAsia" w:ascii="Arial" w:hAnsi="Arial"/>
          <w:kern w:val="2"/>
          <w:sz w:val="21"/>
        </w:rPr>
        <w:t>年，本次估价房屋建成年份以</w:t>
      </w:r>
      <w:r>
        <w:rPr>
          <w:rFonts w:hint="eastAsia" w:ascii="Arial" w:hAnsi="Arial"/>
          <w:kern w:val="2"/>
          <w:sz w:val="21"/>
          <w:lang w:eastAsia="zh-CN"/>
        </w:rPr>
        <w:t>估价委托人提供的</w:t>
      </w:r>
      <w:r>
        <w:rPr>
          <w:rFonts w:hint="eastAsia" w:ascii="Arial" w:hAnsi="Arial"/>
          <w:kern w:val="2"/>
          <w:sz w:val="21"/>
        </w:rPr>
        <w:t>《估价委托书》为准。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2.背离事实假设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本次估价价值时点为20</w:t>
      </w:r>
      <w:r>
        <w:rPr>
          <w:rFonts w:hint="eastAsia" w:ascii="Arial" w:hAnsi="Arial"/>
          <w:kern w:val="2"/>
          <w:sz w:val="21"/>
          <w:lang w:val="en-US" w:eastAsia="zh-CN"/>
        </w:rPr>
        <w:t>07</w:t>
      </w:r>
      <w:r>
        <w:rPr>
          <w:rFonts w:hint="eastAsia" w:ascii="Arial" w:hAnsi="Arial"/>
          <w:kern w:val="2"/>
          <w:sz w:val="21"/>
        </w:rPr>
        <w:t>年</w:t>
      </w:r>
      <w:r>
        <w:rPr>
          <w:rFonts w:hint="eastAsia" w:ascii="Arial" w:hAnsi="Arial"/>
          <w:kern w:val="2"/>
          <w:sz w:val="21"/>
          <w:lang w:val="en-US" w:eastAsia="zh-CN"/>
        </w:rPr>
        <w:t>7</w:t>
      </w:r>
      <w:r>
        <w:rPr>
          <w:rFonts w:hint="eastAsia" w:ascii="Arial" w:hAnsi="Arial"/>
          <w:kern w:val="2"/>
          <w:sz w:val="21"/>
        </w:rPr>
        <w:t>月</w:t>
      </w:r>
      <w:r>
        <w:rPr>
          <w:rFonts w:hint="eastAsia" w:ascii="Arial" w:hAnsi="Arial"/>
          <w:kern w:val="2"/>
          <w:sz w:val="21"/>
          <w:lang w:val="en-US" w:eastAsia="zh-CN"/>
        </w:rPr>
        <w:t>26</w:t>
      </w:r>
      <w:r>
        <w:rPr>
          <w:rFonts w:hint="eastAsia" w:ascii="Arial" w:hAnsi="Arial"/>
          <w:kern w:val="2"/>
          <w:sz w:val="21"/>
        </w:rPr>
        <w:t>日，完成实地查勘日期为2021年9月</w:t>
      </w:r>
      <w:r>
        <w:rPr>
          <w:rFonts w:hint="eastAsia" w:ascii="Arial" w:hAnsi="Arial"/>
          <w:kern w:val="2"/>
          <w:sz w:val="21"/>
          <w:lang w:val="en-US" w:eastAsia="zh-CN"/>
        </w:rPr>
        <w:t>18</w:t>
      </w:r>
      <w:r>
        <w:rPr>
          <w:rFonts w:hint="eastAsia" w:ascii="Arial" w:hAnsi="Arial"/>
          <w:kern w:val="2"/>
          <w:sz w:val="21"/>
        </w:rPr>
        <w:t>日，价值时点与完成实地查勘日期不一致，本次估价假定价值时点房地产状况与完成实地查勘之日的状况一致。</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3.不相一致假设</w:t>
      </w:r>
    </w:p>
    <w:p>
      <w:pPr>
        <w:overflowPunct w:val="0"/>
        <w:spacing w:line="480" w:lineRule="auto"/>
        <w:ind w:firstLine="420" w:firstLineChars="200"/>
        <w:jc w:val="both"/>
        <w:textAlignment w:val="auto"/>
        <w:rPr>
          <w:rFonts w:hint="eastAsia" w:ascii="Arial" w:hAnsi="Arial"/>
          <w:sz w:val="21"/>
        </w:rPr>
      </w:pPr>
      <w:r>
        <w:rPr>
          <w:rFonts w:hint="eastAsia" w:ascii="Arial" w:hAnsi="Arial"/>
          <w:color w:val="000000"/>
          <w:sz w:val="21"/>
        </w:rPr>
        <w:t>估价对象</w:t>
      </w:r>
      <w:r>
        <w:rPr>
          <w:rFonts w:hint="eastAsia" w:ascii="Arial" w:hAnsi="Arial"/>
          <w:kern w:val="2"/>
          <w:sz w:val="21"/>
        </w:rPr>
        <w:t>《房屋所有权转移登记申请书》复印件</w:t>
      </w:r>
      <w:r>
        <w:rPr>
          <w:rFonts w:hint="eastAsia" w:ascii="Arial" w:hAnsi="Arial"/>
          <w:kern w:val="2"/>
          <w:sz w:val="21"/>
          <w:lang w:eastAsia="zh-CN"/>
        </w:rPr>
        <w:t>载明的房屋坐落为海淀区西郊板井村市农林科学院宿舍14号楼3层1门302，</w:t>
      </w:r>
      <w:r>
        <w:rPr>
          <w:rFonts w:hint="eastAsia" w:ascii="Arial" w:hAnsi="Arial"/>
          <w:sz w:val="21"/>
        </w:rPr>
        <w:t>根据评估专业人员实地查勘</w:t>
      </w:r>
      <w:r>
        <w:rPr>
          <w:rFonts w:hint="eastAsia" w:ascii="Arial" w:hAnsi="Arial"/>
          <w:sz w:val="21"/>
          <w:lang w:eastAsia="zh-CN"/>
        </w:rPr>
        <w:t>，估价对象现状物业地址为北京市海淀区曙光花园中路</w:t>
      </w:r>
      <w:r>
        <w:rPr>
          <w:rFonts w:hint="eastAsia" w:ascii="Arial" w:hAnsi="Arial"/>
          <w:sz w:val="21"/>
          <w:lang w:val="en-US" w:eastAsia="zh-CN"/>
        </w:rPr>
        <w:t>5号院14号楼1门302，</w:t>
      </w:r>
      <w:r>
        <w:rPr>
          <w:rFonts w:hint="eastAsia" w:ascii="Arial" w:hAnsi="Arial"/>
          <w:sz w:val="21"/>
          <w:lang w:eastAsia="zh-CN"/>
        </w:rPr>
        <w:t>与</w:t>
      </w:r>
      <w:r>
        <w:rPr>
          <w:rFonts w:hint="eastAsia" w:ascii="Arial" w:hAnsi="Arial"/>
          <w:sz w:val="21"/>
        </w:rPr>
        <w:t>估价对象</w:t>
      </w:r>
      <w:r>
        <w:rPr>
          <w:rFonts w:hint="eastAsia" w:ascii="Arial" w:hAnsi="Arial"/>
          <w:kern w:val="2"/>
          <w:sz w:val="21"/>
        </w:rPr>
        <w:t>《房屋所有权转移登记申请书》复印件</w:t>
      </w:r>
      <w:r>
        <w:rPr>
          <w:rFonts w:hint="eastAsia" w:ascii="Arial" w:hAnsi="Arial"/>
          <w:kern w:val="2"/>
          <w:sz w:val="21"/>
          <w:lang w:eastAsia="zh-CN"/>
        </w:rPr>
        <w:t>载明的房屋坐落</w:t>
      </w:r>
      <w:r>
        <w:rPr>
          <w:rFonts w:hint="eastAsia" w:ascii="Arial" w:hAnsi="Arial"/>
          <w:sz w:val="21"/>
        </w:rPr>
        <w:t>描述不一致。</w:t>
      </w:r>
      <w:r>
        <w:rPr>
          <w:rFonts w:hint="eastAsia" w:ascii="Arial" w:hAnsi="Arial"/>
          <w:sz w:val="21"/>
          <w:lang w:eastAsia="zh-CN"/>
        </w:rPr>
        <w:t>根据</w:t>
      </w:r>
      <w:r>
        <w:rPr>
          <w:rFonts w:hint="eastAsia" w:ascii="Arial" w:hAnsi="Arial"/>
          <w:color w:val="auto"/>
          <w:sz w:val="21"/>
          <w:lang w:eastAsia="zh-CN"/>
        </w:rPr>
        <w:t>估价委托人</w:t>
      </w:r>
      <w:r>
        <w:rPr>
          <w:rFonts w:hint="eastAsia" w:ascii="Arial" w:hAnsi="Arial"/>
          <w:color w:val="auto"/>
          <w:sz w:val="21"/>
        </w:rPr>
        <w:t>出具的《</w:t>
      </w:r>
      <w:r>
        <w:rPr>
          <w:rFonts w:hint="eastAsia" w:ascii="Arial" w:hAnsi="Arial"/>
          <w:color w:val="auto"/>
          <w:sz w:val="21"/>
          <w:lang w:eastAsia="zh-CN"/>
        </w:rPr>
        <w:t>物业地址证明</w:t>
      </w:r>
      <w:r>
        <w:rPr>
          <w:rFonts w:hint="eastAsia" w:ascii="Arial" w:hAnsi="Arial"/>
          <w:color w:val="auto"/>
          <w:sz w:val="21"/>
        </w:rPr>
        <w:t>》，</w:t>
      </w:r>
      <w:r>
        <w:rPr>
          <w:rFonts w:hint="eastAsia" w:ascii="Arial" w:hAnsi="Arial"/>
          <w:sz w:val="21"/>
        </w:rPr>
        <w:t>本次评估设定</w:t>
      </w:r>
      <w:r>
        <w:rPr>
          <w:rFonts w:hint="eastAsia" w:ascii="Arial" w:hAnsi="Arial"/>
          <w:kern w:val="2"/>
          <w:sz w:val="21"/>
        </w:rPr>
        <w:t>《房屋所有权转移登记申请书》复印件</w:t>
      </w:r>
      <w:r>
        <w:rPr>
          <w:rFonts w:hint="eastAsia" w:ascii="Arial" w:hAnsi="Arial"/>
          <w:kern w:val="2"/>
          <w:sz w:val="21"/>
          <w:lang w:eastAsia="zh-CN"/>
        </w:rPr>
        <w:t>载明的房屋坐落与</w:t>
      </w:r>
      <w:r>
        <w:rPr>
          <w:rFonts w:hint="eastAsia" w:ascii="Arial" w:hAnsi="Arial"/>
          <w:sz w:val="21"/>
        </w:rPr>
        <w:t>评估专业人员实地查勘</w:t>
      </w:r>
      <w:r>
        <w:rPr>
          <w:rFonts w:hint="eastAsia" w:ascii="Arial" w:hAnsi="Arial"/>
          <w:sz w:val="21"/>
          <w:lang w:eastAsia="zh-CN"/>
        </w:rPr>
        <w:t>的物业地址</w:t>
      </w:r>
      <w:r>
        <w:rPr>
          <w:rFonts w:hint="eastAsia" w:ascii="Arial" w:hAnsi="Arial"/>
          <w:sz w:val="21"/>
        </w:rPr>
        <w:t>为同一</w:t>
      </w:r>
      <w:r>
        <w:rPr>
          <w:rFonts w:hint="eastAsia" w:ascii="Arial" w:hAnsi="Arial"/>
          <w:sz w:val="21"/>
          <w:lang w:eastAsia="zh-CN"/>
        </w:rPr>
        <w:t>物业</w:t>
      </w:r>
      <w:r>
        <w:rPr>
          <w:rFonts w:hint="eastAsia" w:ascii="Arial" w:hAnsi="Arial"/>
          <w:sz w:val="21"/>
        </w:rPr>
        <w:t>地址。</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4.依据不足假设</w:t>
      </w:r>
    </w:p>
    <w:p>
      <w:pPr>
        <w:overflowPunct w:val="0"/>
        <w:spacing w:before="20" w:after="20" w:line="480" w:lineRule="auto"/>
        <w:ind w:firstLine="420" w:firstLineChars="200"/>
        <w:jc w:val="both"/>
        <w:textAlignment w:val="auto"/>
        <w:rPr>
          <w:rFonts w:ascii="Arial" w:hAnsi="Arial"/>
          <w:kern w:val="2"/>
          <w:sz w:val="21"/>
        </w:rPr>
      </w:pPr>
      <w:r>
        <w:rPr>
          <w:rFonts w:hint="eastAsia" w:ascii="Arial" w:hAnsi="Arial" w:cs="Arial"/>
          <w:sz w:val="21"/>
        </w:rPr>
        <w:t>无</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（三）估价报告使用限制</w:t>
      </w:r>
    </w:p>
    <w:p>
      <w:pPr>
        <w:overflowPunct w:val="0"/>
        <w:spacing w:line="480" w:lineRule="auto"/>
        <w:ind w:firstLine="420" w:firstLineChars="200"/>
        <w:jc w:val="both"/>
        <w:textAlignment w:val="auto"/>
        <w:rPr>
          <w:rFonts w:ascii="Arial" w:hAnsi="Arial" w:cs="Arial"/>
          <w:kern w:val="2"/>
          <w:sz w:val="21"/>
          <w:szCs w:val="28"/>
        </w:rPr>
      </w:pPr>
      <w:r>
        <w:rPr>
          <w:rFonts w:ascii="Arial" w:hAnsi="Arial" w:cs="Arial"/>
          <w:sz w:val="21"/>
          <w:szCs w:val="28"/>
        </w:rPr>
        <w:t>1.</w:t>
      </w:r>
      <w:r>
        <w:rPr>
          <w:rFonts w:hint="eastAsia" w:ascii="Arial" w:hAnsi="Arial" w:cs="Arial"/>
          <w:sz w:val="21"/>
          <w:szCs w:val="28"/>
        </w:rPr>
        <w:t>使用范围：本估价报告只能由估价报告载明的报告使用者使用，且只能用于本报告载明的唯一估价目的和用途。</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kern w:val="2"/>
          <w:sz w:val="21"/>
          <w:szCs w:val="28"/>
        </w:rPr>
        <w:t>2</w:t>
      </w:r>
      <w:r>
        <w:rPr>
          <w:rFonts w:ascii="Arial" w:hAnsi="Arial" w:cs="Arial"/>
          <w:kern w:val="2"/>
          <w:sz w:val="21"/>
          <w:szCs w:val="28"/>
        </w:rPr>
        <w:t>.</w:t>
      </w:r>
      <w:r>
        <w:rPr>
          <w:rFonts w:hint="eastAsia" w:ascii="Arial" w:hAnsi="Arial" w:cs="Arial"/>
          <w:sz w:val="21"/>
          <w:szCs w:val="28"/>
        </w:rPr>
        <w:t>估价委托人或者本</w:t>
      </w:r>
      <w:r>
        <w:rPr>
          <w:rFonts w:ascii="Arial" w:hAnsi="Arial" w:cs="Arial"/>
          <w:sz w:val="21"/>
        </w:rPr>
        <w:t>估价报告</w:t>
      </w:r>
      <w:r>
        <w:rPr>
          <w:rFonts w:hint="eastAsia" w:ascii="Arial" w:hAnsi="Arial" w:cs="Arial"/>
          <w:sz w:val="21"/>
          <w:szCs w:val="28"/>
        </w:rPr>
        <w:t>使用人应按照法律规定和</w:t>
      </w:r>
      <w:r>
        <w:rPr>
          <w:rFonts w:ascii="Arial" w:hAnsi="Arial" w:cs="Arial"/>
          <w:sz w:val="21"/>
        </w:rPr>
        <w:t>估价报告</w:t>
      </w:r>
      <w:r>
        <w:rPr>
          <w:rFonts w:hint="eastAsia" w:ascii="Arial" w:hAnsi="Arial" w:cs="Arial"/>
          <w:sz w:val="21"/>
          <w:szCs w:val="28"/>
        </w:rPr>
        <w:t>载明的使用范围使用本</w:t>
      </w:r>
      <w:r>
        <w:rPr>
          <w:rFonts w:ascii="Arial" w:hAnsi="Arial" w:cs="Arial"/>
          <w:sz w:val="21"/>
        </w:rPr>
        <w:t>估价报告</w:t>
      </w:r>
      <w:r>
        <w:rPr>
          <w:rFonts w:hint="eastAsia" w:ascii="Arial" w:hAnsi="Arial" w:cs="Arial"/>
          <w:sz w:val="21"/>
          <w:szCs w:val="28"/>
        </w:rPr>
        <w:t>。估价委托人或者</w:t>
      </w:r>
      <w:r>
        <w:rPr>
          <w:rFonts w:ascii="Arial" w:hAnsi="Arial" w:cs="Arial"/>
          <w:sz w:val="21"/>
        </w:rPr>
        <w:t>估价报告</w:t>
      </w:r>
      <w:r>
        <w:rPr>
          <w:rFonts w:hint="eastAsia" w:ascii="Arial" w:hAnsi="Arial" w:cs="Arial"/>
          <w:sz w:val="21"/>
          <w:szCs w:val="28"/>
        </w:rPr>
        <w:t>使用人违反前述规定使用本</w:t>
      </w:r>
      <w:r>
        <w:rPr>
          <w:rFonts w:ascii="Arial" w:hAnsi="Arial" w:cs="Arial"/>
          <w:sz w:val="21"/>
        </w:rPr>
        <w:t>估价报告</w:t>
      </w:r>
      <w:r>
        <w:rPr>
          <w:rFonts w:hint="eastAsia" w:ascii="Arial" w:hAnsi="Arial" w:cs="Arial"/>
          <w:sz w:val="21"/>
          <w:szCs w:val="28"/>
        </w:rPr>
        <w:t>的，估价机构和评估专业人员不承担责任。</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sz w:val="21"/>
          <w:szCs w:val="28"/>
        </w:rPr>
        <w:t>3.除估价委托人、估价委托合同中约定的其他估价报告使用人和法律、行政法规规定的估价报告使用人之外，其他任何机构和个人不能成为估价报告的使用人。</w:t>
      </w:r>
    </w:p>
    <w:p>
      <w:pPr>
        <w:overflowPunct w:val="0"/>
        <w:spacing w:line="480" w:lineRule="auto"/>
        <w:ind w:firstLine="420" w:firstLineChars="200"/>
        <w:jc w:val="both"/>
        <w:textAlignment w:val="auto"/>
        <w:rPr>
          <w:rFonts w:ascii="Arial" w:hAnsi="Arial" w:cs="Arial"/>
          <w:kern w:val="2"/>
          <w:sz w:val="21"/>
          <w:szCs w:val="28"/>
        </w:rPr>
      </w:pPr>
      <w:r>
        <w:rPr>
          <w:rFonts w:hint="eastAsia" w:ascii="Arial" w:hAnsi="Arial" w:cs="Arial"/>
          <w:sz w:val="21"/>
          <w:szCs w:val="28"/>
        </w:rPr>
        <w:t>4.估价报告使用人应当正确理解估价结论。估价结论不等同于估价对象可实现价格，估价结论不应当被认为是对估价对象可实现价格的保证。</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szCs w:val="28"/>
        </w:rPr>
        <w:t>5.</w:t>
      </w:r>
      <w:r>
        <w:rPr>
          <w:rFonts w:ascii="Arial" w:hAnsi="Arial" w:cs="Arial"/>
          <w:kern w:val="2"/>
          <w:sz w:val="21"/>
          <w:szCs w:val="21"/>
        </w:rPr>
        <w:t>本</w:t>
      </w:r>
      <w:r>
        <w:rPr>
          <w:rFonts w:ascii="Arial" w:hAnsi="Arial" w:cs="Arial"/>
          <w:sz w:val="21"/>
          <w:szCs w:val="21"/>
        </w:rPr>
        <w:t>估价报告</w:t>
      </w:r>
      <w:r>
        <w:rPr>
          <w:rFonts w:ascii="Arial" w:hAnsi="Arial" w:cs="Arial"/>
          <w:kern w:val="2"/>
          <w:sz w:val="21"/>
          <w:szCs w:val="21"/>
        </w:rPr>
        <w:t>评估目的是</w:t>
      </w:r>
      <w:r>
        <w:rPr>
          <w:rFonts w:hint="eastAsia" w:ascii="Arial" w:hAnsi="Arial"/>
          <w:sz w:val="21"/>
        </w:rPr>
        <w:t>为估价委托人核定估价对象在设定条件下的房地产市场价值提供参考依据</w:t>
      </w:r>
      <w:r>
        <w:rPr>
          <w:rFonts w:ascii="Arial" w:hAnsi="Arial" w:cs="Arial"/>
          <w:kern w:val="2"/>
          <w:sz w:val="21"/>
          <w:szCs w:val="21"/>
        </w:rPr>
        <w:t>，不做其他评估目的之用。如果估价对象的评估条件或目的发生变化，需重新进行评估。</w:t>
      </w:r>
    </w:p>
    <w:p>
      <w:pPr>
        <w:overflowPunct w:val="0"/>
        <w:spacing w:line="480" w:lineRule="auto"/>
        <w:ind w:firstLine="420" w:firstLineChars="200"/>
        <w:jc w:val="both"/>
        <w:textAlignment w:val="auto"/>
        <w:rPr>
          <w:rFonts w:ascii="Arial" w:hAnsi="Arial"/>
          <w:sz w:val="21"/>
        </w:rPr>
      </w:pPr>
      <w:r>
        <w:rPr>
          <w:rFonts w:hint="eastAsia" w:ascii="Arial" w:hAnsi="Arial"/>
          <w:kern w:val="2"/>
          <w:sz w:val="21"/>
        </w:rPr>
        <w:t>6.本估价报告估价结果为价值时点下估价对象土地在现状规划条件、建筑物在现状成新度下的房地产正常市场价值，如估价对象规划</w:t>
      </w:r>
      <w:r>
        <w:rPr>
          <w:rFonts w:ascii="Arial" w:hAnsi="Arial" w:cs="Arial"/>
          <w:kern w:val="2"/>
          <w:sz w:val="21"/>
          <w:szCs w:val="21"/>
        </w:rPr>
        <w:t>设定</w:t>
      </w:r>
      <w:r>
        <w:rPr>
          <w:rFonts w:hint="eastAsia" w:ascii="Arial" w:hAnsi="Arial"/>
          <w:kern w:val="2"/>
          <w:sz w:val="21"/>
        </w:rPr>
        <w:t>用途、建筑面积或建筑物使用状况发生变化，估价结果需要做相应的调整直至重新评估</w:t>
      </w:r>
      <w:r>
        <w:rPr>
          <w:rFonts w:hint="eastAsia" w:ascii="Arial" w:hAnsi="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7</w:t>
      </w:r>
      <w:r>
        <w:rPr>
          <w:rFonts w:hint="eastAsia" w:ascii="Arial" w:hAnsi="Arial"/>
          <w:kern w:val="2"/>
          <w:sz w:val="21"/>
        </w:rPr>
        <w:t>.</w:t>
      </w:r>
      <w:r>
        <w:rPr>
          <w:rFonts w:ascii="Arial" w:hAnsi="Arial"/>
          <w:kern w:val="2"/>
          <w:sz w:val="21"/>
        </w:rPr>
        <w:t>本报告估价对象的装修情况以</w:t>
      </w:r>
      <w:r>
        <w:rPr>
          <w:rFonts w:hint="eastAsia" w:ascii="Arial" w:hAnsi="Arial"/>
          <w:kern w:val="2"/>
          <w:sz w:val="21"/>
        </w:rPr>
        <w:t>《估价委托书》设定的装修情况</w:t>
      </w:r>
      <w:r>
        <w:rPr>
          <w:rFonts w:ascii="Arial" w:hAnsi="Arial"/>
          <w:kern w:val="2"/>
          <w:sz w:val="21"/>
        </w:rPr>
        <w:t>为依据。本报告估价结果已包含</w:t>
      </w:r>
      <w:r>
        <w:rPr>
          <w:rFonts w:hint="eastAsia" w:ascii="Arial" w:hAnsi="Arial"/>
          <w:kern w:val="2"/>
          <w:sz w:val="21"/>
        </w:rPr>
        <w:t>设定的</w:t>
      </w:r>
      <w:r>
        <w:rPr>
          <w:rFonts w:ascii="Arial" w:hAnsi="Arial"/>
          <w:kern w:val="2"/>
          <w:sz w:val="21"/>
        </w:rPr>
        <w:t>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8.</w:t>
      </w:r>
      <w:r>
        <w:rPr>
          <w:rFonts w:hint="eastAsia" w:ascii="Arial" w:hAnsi="Arial" w:cs="Arial"/>
          <w:kern w:val="2"/>
          <w:sz w:val="21"/>
        </w:rPr>
        <w:t>估价委托人应对其提供的权属证明以及其他资料的真实性、完整性和合法性负责</w:t>
      </w:r>
      <w:r>
        <w:rPr>
          <w:rFonts w:ascii="Arial" w:hAnsi="Arial" w:cs="Arial"/>
          <w:kern w:val="2"/>
          <w:sz w:val="21"/>
        </w:rPr>
        <w:t>。如因资料失实或资料提供人有所隐匿而导致估价结果失真，估价机构不承担相应的责任。</w:t>
      </w:r>
    </w:p>
    <w:p>
      <w:pPr>
        <w:overflowPunct w:val="0"/>
        <w:spacing w:line="480" w:lineRule="auto"/>
        <w:ind w:firstLine="420" w:firstLineChars="200"/>
        <w:jc w:val="both"/>
        <w:textAlignment w:val="auto"/>
        <w:rPr>
          <w:rFonts w:ascii="Arial" w:hAnsi="Arial"/>
          <w:sz w:val="21"/>
        </w:rPr>
      </w:pPr>
      <w:r>
        <w:rPr>
          <w:rFonts w:hint="eastAsia" w:ascii="Arial" w:hAnsi="Arial"/>
          <w:sz w:val="21"/>
        </w:rPr>
        <w:t>9.本估价报告中数据全部采用电算化连续计算得出，由于在报告中计算的数据均按四舍五入保留两位小数或取整，故可能出现个别等式左右不完全相等的情况，但不影响计算结果及最终评估结论的准确性。</w:t>
      </w:r>
    </w:p>
    <w:p>
      <w:pPr>
        <w:overflowPunct w:val="0"/>
        <w:spacing w:line="480" w:lineRule="auto"/>
        <w:ind w:firstLine="420" w:firstLineChars="200"/>
        <w:jc w:val="both"/>
        <w:textAlignment w:val="auto"/>
        <w:rPr>
          <w:rFonts w:ascii="Arial" w:hAnsi="Arial"/>
          <w:sz w:val="21"/>
        </w:rPr>
      </w:pPr>
      <w:r>
        <w:rPr>
          <w:rFonts w:hint="eastAsia" w:ascii="Arial" w:hAnsi="Arial"/>
          <w:sz w:val="21"/>
        </w:rPr>
        <w:t>10本估价报告在估价机构盖章和注册房地产估价师签字或</w:t>
      </w:r>
      <w:r>
        <w:rPr>
          <w:rFonts w:ascii="Arial" w:hAnsi="Arial"/>
          <w:sz w:val="21"/>
        </w:rPr>
        <w:t>签章</w:t>
      </w:r>
      <w:r>
        <w:rPr>
          <w:rFonts w:hint="eastAsia" w:ascii="Arial" w:hAnsi="Arial"/>
          <w:sz w:val="21"/>
        </w:rPr>
        <w:t>的条件下有效。</w:t>
      </w:r>
    </w:p>
    <w:p>
      <w:pPr>
        <w:overflowPunct w:val="0"/>
        <w:spacing w:line="480" w:lineRule="auto"/>
        <w:ind w:firstLine="420" w:firstLineChars="200"/>
        <w:jc w:val="both"/>
        <w:textAlignment w:val="auto"/>
        <w:rPr>
          <w:rFonts w:ascii="Arial" w:hAnsi="Arial" w:cs="Arial"/>
          <w:kern w:val="2"/>
          <w:sz w:val="21"/>
        </w:rPr>
      </w:pPr>
      <w:r>
        <w:rPr>
          <w:rFonts w:hint="eastAsia" w:ascii="Arial" w:hAnsi="Arial"/>
          <w:kern w:val="2"/>
          <w:sz w:val="21"/>
        </w:rPr>
        <w:t>11.</w:t>
      </w:r>
      <w:r>
        <w:rPr>
          <w:rFonts w:ascii="Arial" w:hAnsi="Arial" w:cs="Arial"/>
          <w:kern w:val="2"/>
          <w:sz w:val="21"/>
        </w:rPr>
        <w:t>本估价报告自出具日起壹年内有效</w:t>
      </w:r>
      <w:r>
        <w:rPr>
          <w:rFonts w:hint="eastAsia" w:ascii="Arial" w:hAnsi="Arial" w:eastAsia="楷体_GB2312" w:cs="Arial"/>
          <w:sz w:val="28"/>
          <w:szCs w:val="26"/>
        </w:rPr>
        <w:t>（</w:t>
      </w:r>
      <w:r>
        <w:rPr>
          <w:rFonts w:hint="eastAsia" w:ascii="Arial" w:hAnsi="Arial" w:cs="Arial"/>
          <w:kern w:val="2"/>
          <w:sz w:val="21"/>
        </w:rPr>
        <w:t>即2021年9月</w:t>
      </w:r>
      <w:r>
        <w:rPr>
          <w:rFonts w:hint="eastAsia" w:ascii="Arial" w:hAnsi="Arial" w:cs="Arial"/>
          <w:kern w:val="2"/>
          <w:sz w:val="21"/>
          <w:lang w:val="en-US" w:eastAsia="zh-CN"/>
        </w:rPr>
        <w:t>26</w:t>
      </w:r>
      <w:r>
        <w:rPr>
          <w:rFonts w:hint="eastAsia" w:ascii="Arial" w:hAnsi="Arial" w:cs="Arial"/>
          <w:kern w:val="2"/>
          <w:sz w:val="21"/>
        </w:rPr>
        <w:t>日至2022年9月</w:t>
      </w:r>
      <w:r>
        <w:rPr>
          <w:rFonts w:hint="eastAsia" w:ascii="Arial" w:hAnsi="Arial" w:cs="Arial"/>
          <w:kern w:val="2"/>
          <w:sz w:val="21"/>
          <w:lang w:val="en-US" w:eastAsia="zh-CN"/>
        </w:rPr>
        <w:t>25</w:t>
      </w:r>
      <w:r>
        <w:rPr>
          <w:rFonts w:hint="eastAsia" w:ascii="Arial" w:hAnsi="Arial" w:cs="Arial"/>
          <w:kern w:val="2"/>
          <w:sz w:val="21"/>
        </w:rPr>
        <w:t>日</w:t>
      </w:r>
      <w:r>
        <w:rPr>
          <w:rFonts w:hint="eastAsia" w:ascii="Arial" w:hAnsi="Arial" w:eastAsia="楷体_GB2312" w:cs="Arial"/>
          <w:sz w:val="28"/>
          <w:szCs w:val="26"/>
        </w:rPr>
        <w:t>）</w:t>
      </w:r>
      <w:r>
        <w:rPr>
          <w:rFonts w:hint="eastAsia" w:ascii="Arial" w:hAnsi="Arial" w:cs="Arial"/>
          <w:kern w:val="2"/>
          <w:sz w:val="21"/>
        </w:rPr>
        <w:t>。</w:t>
      </w:r>
    </w:p>
    <w:p>
      <w:pPr>
        <w:overflowPunct w:val="0"/>
        <w:spacing w:line="480" w:lineRule="auto"/>
        <w:ind w:firstLine="420" w:firstLineChars="200"/>
        <w:jc w:val="both"/>
        <w:textAlignment w:val="auto"/>
        <w:rPr>
          <w:rFonts w:ascii="Arial" w:hAnsi="Arial"/>
          <w:kern w:val="2"/>
          <w:sz w:val="21"/>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6" w:name="_Toc168225812"/>
      <w:bookmarkStart w:id="7" w:name="_Toc500322962"/>
      <w:r>
        <w:rPr>
          <w:rFonts w:hint="eastAsia" w:eastAsia="方正黑体简体"/>
          <w:b w:val="0"/>
          <w:kern w:val="2"/>
          <w:sz w:val="32"/>
          <w:szCs w:val="32"/>
        </w:rPr>
        <w:t>估价结果报告</w:t>
      </w:r>
      <w:bookmarkEnd w:id="6"/>
      <w:bookmarkEnd w:id="7"/>
    </w:p>
    <w:tbl>
      <w:tblPr>
        <w:tblStyle w:val="32"/>
        <w:tblW w:w="9334"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85" w:type="dxa"/>
          <w:left w:w="85" w:type="dxa"/>
          <w:bottom w:w="85" w:type="dxa"/>
          <w:right w:w="28" w:type="dxa"/>
        </w:tblCellMar>
      </w:tblPr>
      <w:tblGrid>
        <w:gridCol w:w="479"/>
        <w:gridCol w:w="180"/>
        <w:gridCol w:w="1466"/>
        <w:gridCol w:w="298"/>
        <w:gridCol w:w="1261"/>
        <w:gridCol w:w="33"/>
        <w:gridCol w:w="928"/>
        <w:gridCol w:w="598"/>
        <w:gridCol w:w="332"/>
        <w:gridCol w:w="286"/>
        <w:gridCol w:w="964"/>
        <w:gridCol w:w="119"/>
        <w:gridCol w:w="425"/>
        <w:gridCol w:w="1965"/>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bookmarkStart w:id="8" w:name="_Toc168225824"/>
            <w:r>
              <w:rPr>
                <w:rFonts w:hint="eastAsia" w:ascii="Arial" w:hAnsi="Arial" w:eastAsia="华文细黑"/>
                <w:b/>
                <w:kern w:val="2"/>
                <w:sz w:val="18"/>
                <w:szCs w:val="21"/>
              </w:rPr>
              <w:t>一、估价委托人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Cs/>
                <w:sz w:val="18"/>
                <w:szCs w:val="21"/>
              </w:rPr>
              <w:t>姓名</w:t>
            </w:r>
            <w:r>
              <w:rPr>
                <w:rFonts w:ascii="Arial" w:hAnsi="Arial" w:eastAsia="华文细黑"/>
                <w:bCs/>
                <w:sz w:val="18"/>
                <w:szCs w:val="21"/>
              </w:rPr>
              <w:t>：</w:t>
            </w:r>
            <w:r>
              <w:rPr>
                <w:rFonts w:hint="eastAsia" w:ascii="Arial" w:hAnsi="Arial" w:eastAsia="华文细黑"/>
                <w:bCs/>
                <w:sz w:val="18"/>
                <w:szCs w:val="21"/>
              </w:rPr>
              <w:t>诸兆英</w:t>
            </w:r>
          </w:p>
          <w:p>
            <w:pPr>
              <w:spacing w:line="360" w:lineRule="auto"/>
              <w:rPr>
                <w:rFonts w:hint="default" w:ascii="Arial" w:hAnsi="Arial" w:eastAsia="华文细黑"/>
                <w:bCs/>
                <w:sz w:val="18"/>
                <w:szCs w:val="21"/>
                <w:lang w:val="en-US" w:eastAsia="zh-CN"/>
              </w:rPr>
            </w:pPr>
            <w:r>
              <w:rPr>
                <w:rFonts w:hint="eastAsia" w:ascii="Arial" w:hAnsi="Arial" w:eastAsia="华文细黑"/>
                <w:bCs/>
                <w:sz w:val="18"/>
                <w:szCs w:val="21"/>
              </w:rPr>
              <w:t>身份证号码</w:t>
            </w:r>
            <w:r>
              <w:rPr>
                <w:rFonts w:ascii="Arial" w:hAnsi="Arial" w:eastAsia="华文细黑"/>
                <w:bCs/>
                <w:sz w:val="18"/>
                <w:szCs w:val="21"/>
              </w:rPr>
              <w:t>:110108</w:t>
            </w:r>
            <w:r>
              <w:rPr>
                <w:rFonts w:hint="eastAsia" w:ascii="Arial" w:hAnsi="Arial" w:eastAsia="华文细黑"/>
                <w:bCs/>
                <w:sz w:val="18"/>
                <w:szCs w:val="21"/>
                <w:lang w:val="en-US" w:eastAsia="zh-CN"/>
              </w:rPr>
              <w:t>195312304148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b/>
                <w:kern w:val="2"/>
                <w:sz w:val="18"/>
                <w:szCs w:val="21"/>
              </w:rPr>
              <w:t>二、房地产估价机构</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估价机构：</w:t>
            </w:r>
            <w:r>
              <w:rPr>
                <w:rFonts w:hint="eastAsia" w:ascii="Arial" w:hAnsi="Arial" w:eastAsia="华文细黑"/>
                <w:sz w:val="18"/>
                <w:szCs w:val="21"/>
              </w:rPr>
              <w:t>北京康正宏基房地产评估有限公司</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bCs/>
                <w:sz w:val="18"/>
                <w:szCs w:val="21"/>
              </w:rPr>
              <w:t>法定代表人：</w:t>
            </w:r>
            <w:r>
              <w:rPr>
                <w:rFonts w:hint="eastAsia" w:ascii="Arial" w:hAnsi="Arial" w:eastAsia="华文细黑"/>
                <w:sz w:val="18"/>
                <w:szCs w:val="21"/>
              </w:rPr>
              <w:t>齐宏</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825"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注册地址：</w:t>
            </w:r>
            <w:r>
              <w:rPr>
                <w:rFonts w:ascii="Arial" w:hAnsi="Arial" w:eastAsia="华文细黑" w:cs="Arial"/>
                <w:sz w:val="18"/>
                <w:szCs w:val="21"/>
              </w:rPr>
              <w:t>北京市丰台区芳城园一区16号楼2层2门配套公建01</w:t>
            </w:r>
          </w:p>
        </w:tc>
        <w:tc>
          <w:tcPr>
            <w:tcW w:w="2509" w:type="dxa"/>
            <w:gridSpan w:val="3"/>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bCs/>
                <w:sz w:val="18"/>
                <w:szCs w:val="21"/>
              </w:rPr>
              <w:t>邮政编码：</w:t>
            </w:r>
            <w:r>
              <w:rPr>
                <w:rFonts w:ascii="Arial" w:hAnsi="Arial" w:eastAsia="华文细黑" w:cs="Arial"/>
                <w:sz w:val="18"/>
                <w:szCs w:val="21"/>
              </w:rPr>
              <w:t>100078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Cs/>
                <w:sz w:val="18"/>
                <w:szCs w:val="21"/>
              </w:rPr>
              <w:t>估价机构资质：</w:t>
            </w:r>
            <w:r>
              <w:rPr>
                <w:rFonts w:ascii="Arial" w:hAnsi="Arial" w:eastAsia="华文细黑" w:cs="Arial"/>
                <w:sz w:val="18"/>
                <w:szCs w:val="21"/>
              </w:rPr>
              <w:t>建设部一级房地产价格评估机构（</w:t>
            </w:r>
            <w:r>
              <w:rPr>
                <w:rFonts w:hint="eastAsia" w:ascii="Arial" w:hAnsi="Arial" w:eastAsia="华文细黑" w:cs="Arial"/>
                <w:sz w:val="18"/>
                <w:szCs w:val="21"/>
              </w:rPr>
              <w:t>建房估备字[2013第]081号</w:t>
            </w:r>
            <w:r>
              <w:rPr>
                <w:rFonts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b/>
                <w:kern w:val="2"/>
                <w:sz w:val="18"/>
                <w:szCs w:val="21"/>
              </w:rPr>
              <w:t>三、估价目的：</w:t>
            </w:r>
            <w:r>
              <w:rPr>
                <w:rFonts w:hint="eastAsia" w:ascii="Arial" w:hAnsi="Arial" w:eastAsia="华文细黑"/>
                <w:kern w:val="2"/>
                <w:sz w:val="18"/>
                <w:szCs w:val="21"/>
              </w:rPr>
              <w:t>为估价委托人核定估价对象在设定条件下的房地产市场价值提供参考依据。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四、价值时点：</w:t>
            </w:r>
            <w:r>
              <w:rPr>
                <w:rFonts w:ascii="Arial" w:hAnsi="Arial" w:eastAsia="华文细黑" w:cs="Arial"/>
                <w:kern w:val="2"/>
                <w:sz w:val="18"/>
                <w:szCs w:val="21"/>
              </w:rPr>
              <w:t>20</w:t>
            </w:r>
            <w:r>
              <w:rPr>
                <w:rFonts w:hint="eastAsia" w:ascii="Arial" w:hAnsi="Arial" w:eastAsia="华文细黑" w:cs="Arial"/>
                <w:kern w:val="2"/>
                <w:sz w:val="18"/>
                <w:szCs w:val="21"/>
                <w:lang w:val="en-US" w:eastAsia="zh-CN"/>
              </w:rPr>
              <w:t>07</w:t>
            </w:r>
            <w:r>
              <w:rPr>
                <w:rFonts w:ascii="Arial" w:hAnsi="Arial" w:eastAsia="华文细黑" w:cs="Arial"/>
                <w:kern w:val="2"/>
                <w:sz w:val="18"/>
                <w:szCs w:val="21"/>
              </w:rPr>
              <w:t>年</w:t>
            </w:r>
            <w:r>
              <w:rPr>
                <w:rFonts w:hint="eastAsia" w:ascii="Arial" w:hAnsi="Arial" w:eastAsia="华文细黑" w:cs="Arial"/>
                <w:kern w:val="2"/>
                <w:sz w:val="18"/>
                <w:szCs w:val="21"/>
                <w:lang w:val="en-US" w:eastAsia="zh-CN"/>
              </w:rPr>
              <w:t>7</w:t>
            </w:r>
            <w:r>
              <w:rPr>
                <w:rFonts w:ascii="Arial" w:hAnsi="Arial" w:eastAsia="华文细黑" w:cs="Arial"/>
                <w:kern w:val="2"/>
                <w:sz w:val="18"/>
                <w:szCs w:val="21"/>
              </w:rPr>
              <w:t>月</w:t>
            </w:r>
            <w:r>
              <w:rPr>
                <w:rFonts w:hint="eastAsia" w:ascii="Arial" w:hAnsi="Arial" w:eastAsia="华文细黑" w:cs="Arial"/>
                <w:kern w:val="2"/>
                <w:sz w:val="18"/>
                <w:szCs w:val="21"/>
                <w:lang w:val="en-US" w:eastAsia="zh-CN"/>
              </w:rPr>
              <w:t>26</w:t>
            </w:r>
            <w:r>
              <w:rPr>
                <w:rFonts w:ascii="Arial" w:hAnsi="Arial" w:eastAsia="华文细黑" w:cs="Arial"/>
                <w:kern w:val="2"/>
                <w:sz w:val="18"/>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bCs/>
                <w:sz w:val="18"/>
                <w:szCs w:val="21"/>
              </w:rPr>
            </w:pPr>
            <w:r>
              <w:rPr>
                <w:rFonts w:ascii="Arial" w:hAnsi="Arial" w:eastAsia="华文细黑" w:cs="Arial"/>
                <w:b/>
                <w:kern w:val="2"/>
                <w:sz w:val="18"/>
                <w:szCs w:val="21"/>
              </w:rPr>
              <w:t>五、估价作业期</w:t>
            </w:r>
            <w:r>
              <w:rPr>
                <w:rFonts w:ascii="Arial" w:hAnsi="Arial" w:eastAsia="华文细黑" w:cs="Arial"/>
                <w:b/>
                <w:bCs/>
                <w:sz w:val="18"/>
                <w:szCs w:val="21"/>
              </w:rPr>
              <w:t>：</w:t>
            </w:r>
            <w:r>
              <w:rPr>
                <w:rFonts w:hint="eastAsia" w:ascii="Arial" w:hAnsi="Arial" w:eastAsia="华文细黑" w:cs="Arial"/>
                <w:kern w:val="2"/>
                <w:sz w:val="18"/>
                <w:szCs w:val="21"/>
              </w:rPr>
              <w:t>2021年9月</w:t>
            </w:r>
            <w:r>
              <w:rPr>
                <w:rFonts w:hint="eastAsia" w:ascii="Arial" w:hAnsi="Arial" w:eastAsia="华文细黑" w:cs="Arial"/>
                <w:kern w:val="2"/>
                <w:sz w:val="18"/>
                <w:szCs w:val="21"/>
                <w:lang w:val="en-US" w:eastAsia="zh-CN"/>
              </w:rPr>
              <w:t>18</w:t>
            </w:r>
            <w:r>
              <w:rPr>
                <w:rFonts w:hint="eastAsia" w:ascii="Arial" w:hAnsi="Arial" w:eastAsia="华文细黑" w:cs="Arial"/>
                <w:kern w:val="2"/>
                <w:sz w:val="18"/>
                <w:szCs w:val="21"/>
              </w:rPr>
              <w:t>日</w:t>
            </w:r>
            <w:r>
              <w:rPr>
                <w:rFonts w:ascii="Arial" w:hAnsi="Arial" w:eastAsia="华文细黑" w:cs="Arial"/>
                <w:kern w:val="2"/>
                <w:sz w:val="18"/>
                <w:szCs w:val="21"/>
              </w:rPr>
              <w:t>至</w:t>
            </w:r>
            <w:r>
              <w:rPr>
                <w:rFonts w:hint="eastAsia" w:ascii="Arial" w:hAnsi="Arial" w:eastAsia="华文细黑" w:cs="Arial"/>
                <w:kern w:val="2"/>
                <w:sz w:val="18"/>
                <w:szCs w:val="21"/>
              </w:rPr>
              <w:t>2021年9月</w:t>
            </w:r>
            <w:r>
              <w:rPr>
                <w:rFonts w:hint="eastAsia" w:ascii="Arial" w:hAnsi="Arial" w:eastAsia="华文细黑" w:cs="Arial"/>
                <w:kern w:val="2"/>
                <w:sz w:val="18"/>
                <w:szCs w:val="21"/>
                <w:lang w:val="en-US" w:eastAsia="zh-CN"/>
              </w:rPr>
              <w:t>26</w:t>
            </w:r>
            <w:r>
              <w:rPr>
                <w:rFonts w:hint="eastAsia" w:ascii="Arial" w:hAnsi="Arial" w:eastAsia="华文细黑" w:cs="Arial"/>
                <w:kern w:val="2"/>
                <w:sz w:val="18"/>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六、估价对象概况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Mar>
              <w:top w:w="85" w:type="dxa"/>
              <w:left w:w="85" w:type="dxa"/>
              <w:bottom w:w="85" w:type="dxa"/>
              <w:right w:w="28" w:type="dxa"/>
            </w:tcMar>
            <w:vAlign w:val="center"/>
          </w:tcPr>
          <w:p>
            <w:pPr>
              <w:spacing w:line="360" w:lineRule="auto"/>
              <w:jc w:val="both"/>
              <w:rPr>
                <w:rFonts w:ascii="Arial" w:hAnsi="Arial" w:eastAsia="华文细黑" w:cs="Arial"/>
                <w:sz w:val="18"/>
                <w:szCs w:val="21"/>
              </w:rPr>
            </w:pPr>
            <w:r>
              <w:rPr>
                <w:rFonts w:hint="eastAsia" w:ascii="Arial" w:hAnsi="Arial" w:eastAsia="华文细黑" w:cs="Arial"/>
                <w:sz w:val="18"/>
                <w:szCs w:val="21"/>
              </w:rPr>
              <w:t>估价对象：北京市海淀区西郊板井村市农林科学院宿舍14号楼3层1门302住宅用房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1.估价对象基本情况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不动产权利人：诸兆英</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房屋性质：设定为商品房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房屋坐落：北京市海淀区西郊板井村市农林科学院宿舍14号楼3层1门302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楼号或幢号：</w:t>
            </w:r>
            <w:r>
              <w:rPr>
                <w:rFonts w:hint="eastAsia" w:ascii="Arial" w:hAnsi="Arial" w:eastAsia="华文细黑" w:cs="Arial"/>
                <w:sz w:val="18"/>
                <w:szCs w:val="21"/>
              </w:rPr>
              <w:t>1</w:t>
            </w:r>
            <w:r>
              <w:rPr>
                <w:rFonts w:hint="eastAsia" w:ascii="Arial" w:hAnsi="Arial" w:eastAsia="华文细黑" w:cs="Arial"/>
                <w:sz w:val="18"/>
                <w:szCs w:val="21"/>
                <w:lang w:val="en-US" w:eastAsia="zh-CN"/>
              </w:rPr>
              <w:t>4</w:t>
            </w:r>
            <w:r>
              <w:rPr>
                <w:rFonts w:hint="eastAsia" w:ascii="Arial" w:hAnsi="Arial" w:eastAsia="华文细黑" w:cs="Arial"/>
                <w:sz w:val="18"/>
                <w:szCs w:val="21"/>
              </w:rPr>
              <w:t>号楼</w:t>
            </w:r>
          </w:p>
        </w:tc>
        <w:tc>
          <w:tcPr>
            <w:tcW w:w="4689" w:type="dxa"/>
            <w:gridSpan w:val="7"/>
            <w:tcMar>
              <w:top w:w="85" w:type="dxa"/>
              <w:left w:w="85" w:type="dxa"/>
              <w:bottom w:w="85" w:type="dxa"/>
              <w:right w:w="28" w:type="dxa"/>
            </w:tcMar>
            <w:vAlign w:val="center"/>
          </w:tcPr>
          <w:p>
            <w:pPr>
              <w:spacing w:line="360" w:lineRule="auto"/>
              <w:rPr>
                <w:rFonts w:hint="default" w:ascii="Arial" w:hAnsi="Arial" w:eastAsia="华文细黑" w:cs="Arial"/>
                <w:sz w:val="18"/>
                <w:szCs w:val="21"/>
                <w:lang w:val="en-US" w:eastAsia="zh-CN"/>
              </w:rPr>
            </w:pPr>
            <w:r>
              <w:rPr>
                <w:rFonts w:ascii="Arial" w:hAnsi="Arial" w:eastAsia="华文细黑" w:cs="Arial"/>
                <w:sz w:val="18"/>
                <w:szCs w:val="21"/>
              </w:rPr>
              <w:t>部位及房号：</w:t>
            </w:r>
            <w:r>
              <w:rPr>
                <w:rFonts w:hint="eastAsia" w:ascii="Arial" w:hAnsi="Arial" w:eastAsia="华文细黑" w:cs="Arial"/>
                <w:sz w:val="18"/>
                <w:szCs w:val="21"/>
                <w:lang w:val="en-US" w:eastAsia="zh-CN"/>
              </w:rPr>
              <w:t>1门302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ascii="Arial" w:hAnsi="Arial" w:eastAsia="华文细黑" w:cs="Arial"/>
                <w:sz w:val="18"/>
                <w:szCs w:val="21"/>
              </w:rPr>
              <w:t>房屋总层数：</w:t>
            </w:r>
            <w:r>
              <w:rPr>
                <w:rFonts w:hint="eastAsia" w:ascii="Arial" w:hAnsi="Arial" w:eastAsia="华文细黑" w:cs="Arial"/>
                <w:sz w:val="18"/>
                <w:szCs w:val="21"/>
                <w:lang w:val="en-US" w:eastAsia="zh-CN"/>
              </w:rPr>
              <w:t>6（0）</w:t>
            </w:r>
          </w:p>
        </w:tc>
        <w:tc>
          <w:tcPr>
            <w:tcW w:w="4689" w:type="dxa"/>
            <w:gridSpan w:val="7"/>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ascii="Arial" w:hAnsi="Arial" w:eastAsia="华文细黑" w:cs="Arial"/>
                <w:sz w:val="18"/>
                <w:szCs w:val="21"/>
              </w:rPr>
              <w:t>所在层数：</w:t>
            </w:r>
            <w:r>
              <w:rPr>
                <w:rFonts w:hint="eastAsia" w:ascii="Arial" w:hAnsi="Arial" w:eastAsia="华文细黑" w:cs="Arial"/>
                <w:sz w:val="18"/>
                <w:szCs w:val="21"/>
                <w:lang w:val="en-US" w:eastAsia="zh-CN"/>
              </w:rPr>
              <w:t>3</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hint="default" w:ascii="Arial" w:hAnsi="Arial" w:eastAsia="华文细黑" w:cs="Arial"/>
                <w:sz w:val="18"/>
                <w:szCs w:val="21"/>
                <w:lang w:val="en-US" w:eastAsia="zh-CN"/>
              </w:rPr>
            </w:pPr>
            <w:r>
              <w:rPr>
                <w:rFonts w:ascii="Arial" w:hAnsi="Arial" w:eastAsia="华文细黑" w:cs="Arial"/>
                <w:sz w:val="18"/>
                <w:szCs w:val="21"/>
              </w:rPr>
              <w:t>建筑面积（</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lang w:val="en-US" w:eastAsia="zh-CN"/>
              </w:rPr>
              <w:t>56.01</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套内建筑面积（含阳台）（</w:t>
            </w:r>
            <w:r>
              <w:rPr>
                <w:rFonts w:hint="eastAsia" w:ascii="Arial" w:hAnsi="Arial" w:eastAsia="华文细黑" w:cs="Arial"/>
                <w:sz w:val="18"/>
                <w:szCs w:val="21"/>
              </w:rPr>
              <w:t>㎡）</w:t>
            </w:r>
            <w:r>
              <w:rPr>
                <w:rFonts w:ascii="Arial" w:hAnsi="Arial" w:eastAsia="华文细黑" w:cs="Arial"/>
                <w:sz w:val="18"/>
                <w:szCs w:val="21"/>
              </w:rPr>
              <w:t>：</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hint="eastAsia" w:ascii="Arial" w:hAnsi="Arial" w:eastAsia="华文细黑" w:cs="Arial"/>
                <w:sz w:val="18"/>
                <w:szCs w:val="21"/>
                <w:lang w:eastAsia="zh-CN"/>
              </w:rPr>
            </w:pPr>
            <w:r>
              <w:rPr>
                <w:rFonts w:ascii="Arial" w:hAnsi="Arial" w:eastAsia="华文细黑" w:cs="Arial"/>
                <w:sz w:val="18"/>
                <w:szCs w:val="21"/>
              </w:rPr>
              <w:t>结构：</w:t>
            </w:r>
            <w:r>
              <w:rPr>
                <w:rFonts w:hint="eastAsia" w:ascii="Arial" w:hAnsi="Arial" w:eastAsia="华文细黑" w:cs="Arial"/>
                <w:sz w:val="18"/>
                <w:szCs w:val="21"/>
                <w:lang w:eastAsia="zh-CN"/>
              </w:rPr>
              <w:t>混合</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建成年代：</w:t>
            </w:r>
            <w:r>
              <w:rPr>
                <w:rFonts w:hint="eastAsia" w:ascii="Arial" w:hAnsi="Arial" w:eastAsia="华文细黑" w:cs="Arial"/>
                <w:sz w:val="18"/>
                <w:szCs w:val="21"/>
                <w:lang w:eastAsia="zh-CN"/>
              </w:rPr>
              <w:t>设定</w:t>
            </w:r>
            <w:r>
              <w:rPr>
                <w:rFonts w:hint="eastAsia" w:ascii="Arial" w:hAnsi="Arial" w:eastAsia="华文细黑" w:cs="Arial"/>
                <w:sz w:val="18"/>
                <w:szCs w:val="21"/>
              </w:rPr>
              <w:t>19</w:t>
            </w:r>
            <w:r>
              <w:rPr>
                <w:rFonts w:hint="eastAsia" w:ascii="Arial" w:hAnsi="Arial" w:eastAsia="华文细黑" w:cs="Arial"/>
                <w:sz w:val="18"/>
                <w:szCs w:val="21"/>
                <w:lang w:val="en-US" w:eastAsia="zh-CN"/>
              </w:rPr>
              <w:t>95</w:t>
            </w:r>
            <w:r>
              <w:rPr>
                <w:rFonts w:hint="eastAsia" w:ascii="Arial" w:hAnsi="Arial" w:eastAsia="华文细黑" w:cs="Arial"/>
                <w:sz w:val="18"/>
                <w:szCs w:val="21"/>
              </w:rPr>
              <w:t>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房屋用途：</w:t>
            </w:r>
            <w:r>
              <w:rPr>
                <w:rFonts w:hint="eastAsia" w:ascii="Arial" w:hAnsi="Arial" w:eastAsia="华文细黑" w:cs="Arial"/>
                <w:sz w:val="18"/>
                <w:szCs w:val="21"/>
              </w:rPr>
              <w:t>住宅</w:t>
            </w:r>
          </w:p>
        </w:tc>
        <w:tc>
          <w:tcPr>
            <w:tcW w:w="4689" w:type="dxa"/>
            <w:gridSpan w:val="7"/>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ascii="Arial" w:hAnsi="Arial" w:eastAsia="华文细黑" w:cs="Arial"/>
                <w:sz w:val="18"/>
                <w:szCs w:val="21"/>
              </w:rPr>
              <w:t>现状用途：</w:t>
            </w:r>
            <w:r>
              <w:rPr>
                <w:rFonts w:hint="eastAsia" w:ascii="Arial" w:hAnsi="Arial" w:eastAsia="华文细黑" w:cs="Arial"/>
                <w:sz w:val="18"/>
                <w:szCs w:val="21"/>
              </w:rPr>
              <w:t>设定为住宅</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645" w:type="dxa"/>
            <w:gridSpan w:val="7"/>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使用权类型：</w:t>
            </w:r>
            <w:r>
              <w:rPr>
                <w:rFonts w:hint="eastAsia" w:ascii="Arial" w:hAnsi="Arial" w:eastAsia="华文细黑" w:cs="Arial"/>
                <w:bCs/>
                <w:sz w:val="18"/>
                <w:szCs w:val="21"/>
              </w:rPr>
              <w:t>出让</w:t>
            </w:r>
          </w:p>
        </w:tc>
        <w:tc>
          <w:tcPr>
            <w:tcW w:w="4689" w:type="dxa"/>
            <w:gridSpan w:val="7"/>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ascii="Arial" w:hAnsi="Arial" w:eastAsia="华文细黑" w:cs="Arial"/>
                <w:bCs/>
                <w:sz w:val="18"/>
                <w:szCs w:val="21"/>
              </w:rPr>
              <w:t>土地用途：</w:t>
            </w:r>
            <w:r>
              <w:rPr>
                <w:rFonts w:hint="eastAsia" w:ascii="Arial" w:hAnsi="Arial" w:eastAsia="华文细黑" w:cs="Arial"/>
                <w:bCs/>
                <w:sz w:val="18"/>
                <w:szCs w:val="21"/>
              </w:rPr>
              <w:t>城镇住宅用地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widowControl/>
              <w:spacing w:before="48" w:beforeLines="20" w:line="360" w:lineRule="auto"/>
              <w:rPr>
                <w:rFonts w:ascii="Arial" w:hAnsi="Arial" w:eastAsia="华文细黑" w:cs="Arial"/>
                <w:bCs/>
                <w:sz w:val="18"/>
                <w:szCs w:val="21"/>
              </w:rPr>
            </w:pPr>
            <w:r>
              <w:rPr>
                <w:rFonts w:hint="eastAsia" w:ascii="Arial" w:hAnsi="Arial" w:eastAsia="华文细黑" w:cs="Arial"/>
                <w:bCs/>
                <w:sz w:val="18"/>
                <w:szCs w:val="21"/>
              </w:rPr>
              <w:t>本报告设定国有土地使用权最高土地使用年限70年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2.估价对象权益状况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48" w:beforeLines="20" w:line="360" w:lineRule="auto"/>
              <w:rPr>
                <w:rFonts w:ascii="Arial" w:hAnsi="Arial" w:eastAsia="华文细黑"/>
                <w:bCs/>
                <w:sz w:val="18"/>
                <w:szCs w:val="21"/>
              </w:rPr>
            </w:pPr>
            <w:r>
              <w:rPr>
                <w:rFonts w:hint="eastAsia" w:ascii="Arial" w:hAnsi="Arial" w:eastAsia="华文细黑"/>
                <w:kern w:val="2"/>
                <w:sz w:val="18"/>
                <w:szCs w:val="21"/>
              </w:rPr>
              <w:t>根据估价委托人提供的《估价委托书》，至价值时点，估价对象设定为未设定抵押权、租赁权、地役权。</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cs="Arial"/>
                <w:sz w:val="18"/>
                <w:szCs w:val="21"/>
              </w:rPr>
              <w:t>3.估价对象实物状况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7209" w:type="dxa"/>
            <w:gridSpan w:val="11"/>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装修及设备安装状况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现</w:t>
            </w:r>
          </w:p>
          <w:p>
            <w:pPr>
              <w:spacing w:line="360" w:lineRule="auto"/>
              <w:rPr>
                <w:rFonts w:ascii="Arial" w:hAnsi="Arial" w:eastAsia="华文细黑" w:cs="Arial"/>
                <w:sz w:val="18"/>
                <w:szCs w:val="21"/>
              </w:rPr>
            </w:pPr>
            <w:r>
              <w:rPr>
                <w:rFonts w:hint="eastAsia" w:ascii="Arial" w:hAnsi="Arial" w:eastAsia="华文细黑" w:cs="Arial"/>
                <w:sz w:val="18"/>
                <w:szCs w:val="21"/>
              </w:rPr>
              <w:t>状</w:t>
            </w:r>
          </w:p>
          <w:p>
            <w:pPr>
              <w:spacing w:line="360" w:lineRule="auto"/>
              <w:rPr>
                <w:rFonts w:ascii="Arial" w:hAnsi="Arial" w:eastAsia="华文细黑" w:cs="Arial"/>
                <w:sz w:val="18"/>
                <w:szCs w:val="21"/>
              </w:rPr>
            </w:pPr>
            <w:r>
              <w:rPr>
                <w:rFonts w:hint="eastAsia" w:ascii="Arial" w:hAnsi="Arial" w:eastAsia="华文细黑" w:cs="Arial"/>
                <w:sz w:val="18"/>
                <w:szCs w:val="21"/>
              </w:rPr>
              <w:t>装</w:t>
            </w:r>
          </w:p>
          <w:p>
            <w:pPr>
              <w:spacing w:line="360" w:lineRule="auto"/>
              <w:rPr>
                <w:rFonts w:ascii="Arial" w:hAnsi="Arial" w:eastAsia="华文细黑" w:cs="Arial"/>
                <w:sz w:val="18"/>
                <w:szCs w:val="21"/>
              </w:rPr>
            </w:pPr>
            <w:r>
              <w:rPr>
                <w:rFonts w:hint="eastAsia" w:ascii="Arial" w:hAnsi="Arial" w:eastAsia="华文细黑" w:cs="Arial"/>
                <w:sz w:val="18"/>
                <w:szCs w:val="21"/>
              </w:rPr>
              <w:t>修</w:t>
            </w: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建筑类型</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hint="eastAsia" w:ascii="Arial" w:hAnsi="Arial" w:eastAsia="华文细黑" w:cs="Arial"/>
                <w:sz w:val="18"/>
                <w:szCs w:val="21"/>
                <w:lang w:eastAsia="zh-CN"/>
              </w:rPr>
            </w:pPr>
            <w:r>
              <w:rPr>
                <w:rFonts w:hint="eastAsia" w:ascii="Arial" w:hAnsi="Arial" w:eastAsia="华文细黑" w:cs="Arial"/>
                <w:sz w:val="18"/>
                <w:szCs w:val="21"/>
                <w:lang w:eastAsia="zh-CN"/>
              </w:rPr>
              <w:t>板楼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涂料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外门</w:t>
            </w:r>
          </w:p>
        </w:tc>
        <w:tc>
          <w:tcPr>
            <w:tcW w:w="7209" w:type="dxa"/>
            <w:gridSpan w:val="11"/>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防盗门；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单元类型</w:t>
            </w:r>
          </w:p>
        </w:tc>
        <w:tc>
          <w:tcPr>
            <w:tcW w:w="3118" w:type="dxa"/>
            <w:gridSpan w:val="5"/>
            <w:noWrap/>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设定为平层</w:t>
            </w:r>
          </w:p>
        </w:tc>
        <w:tc>
          <w:tcPr>
            <w:tcW w:w="1701" w:type="dxa"/>
            <w:gridSpan w:val="4"/>
            <w:tcMar>
              <w:top w:w="85" w:type="dxa"/>
              <w:left w:w="85" w:type="dxa"/>
              <w:bottom w:w="85" w:type="dxa"/>
              <w:right w:w="28" w:type="dxa"/>
            </w:tcMar>
            <w:vAlign w:val="center"/>
          </w:tcPr>
          <w:p>
            <w:pPr>
              <w:tabs>
                <w:tab w:val="left" w:pos="995"/>
              </w:tabs>
              <w:spacing w:line="360" w:lineRule="auto"/>
              <w:outlineLvl w:val="0"/>
              <w:rPr>
                <w:rFonts w:ascii="Arial" w:hAnsi="Arial" w:eastAsia="华文细黑" w:cs="Arial"/>
                <w:sz w:val="18"/>
                <w:szCs w:val="21"/>
              </w:rPr>
            </w:pPr>
            <w:r>
              <w:rPr>
                <w:rFonts w:hint="eastAsia" w:ascii="Arial" w:hAnsi="Arial" w:eastAsia="华文细黑" w:cs="Arial"/>
                <w:sz w:val="18"/>
                <w:szCs w:val="21"/>
              </w:rPr>
              <w:t>朝向</w:t>
            </w:r>
          </w:p>
        </w:tc>
        <w:tc>
          <w:tcPr>
            <w:tcW w:w="2390" w:type="dxa"/>
            <w:gridSpan w:val="2"/>
            <w:tcMar>
              <w:top w:w="85" w:type="dxa"/>
              <w:left w:w="85" w:type="dxa"/>
              <w:bottom w:w="85" w:type="dxa"/>
              <w:right w:w="28" w:type="dxa"/>
            </w:tcMar>
            <w:vAlign w:val="center"/>
          </w:tcPr>
          <w:p>
            <w:pPr>
              <w:spacing w:line="360" w:lineRule="auto"/>
              <w:rPr>
                <w:rFonts w:hint="eastAsia" w:ascii="Arial" w:hAnsi="Arial" w:eastAsia="华文细黑" w:cs="Arial"/>
                <w:sz w:val="18"/>
                <w:szCs w:val="21"/>
                <w:lang w:eastAsia="zh-CN"/>
              </w:rPr>
            </w:pPr>
            <w:r>
              <w:rPr>
                <w:rFonts w:hint="eastAsia" w:ascii="Arial" w:hAnsi="Arial" w:eastAsia="华文细黑" w:cs="Arial"/>
                <w:sz w:val="18"/>
                <w:szCs w:val="21"/>
              </w:rPr>
              <w:t>设定</w:t>
            </w:r>
            <w:r>
              <w:rPr>
                <w:rFonts w:hint="eastAsia" w:ascii="Arial" w:hAnsi="Arial" w:eastAsia="华文细黑" w:cs="Arial"/>
                <w:sz w:val="18"/>
                <w:szCs w:val="21"/>
                <w:lang w:eastAsia="zh-CN"/>
              </w:rPr>
              <w:t>为南</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位置</w:t>
            </w:r>
          </w:p>
        </w:tc>
        <w:tc>
          <w:tcPr>
            <w:tcW w:w="1559" w:type="dxa"/>
            <w:gridSpan w:val="2"/>
            <w:noWrap/>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顶棚</w:t>
            </w:r>
          </w:p>
        </w:tc>
        <w:tc>
          <w:tcPr>
            <w:tcW w:w="1559" w:type="dxa"/>
            <w:gridSpan w:val="3"/>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墙面</w:t>
            </w:r>
          </w:p>
        </w:tc>
        <w:tc>
          <w:tcPr>
            <w:tcW w:w="1701" w:type="dxa"/>
            <w:gridSpan w:val="4"/>
            <w:tcMar>
              <w:top w:w="85" w:type="dxa"/>
              <w:left w:w="85" w:type="dxa"/>
              <w:bottom w:w="85" w:type="dxa"/>
              <w:right w:w="28" w:type="dxa"/>
            </w:tcMar>
            <w:vAlign w:val="center"/>
          </w:tcPr>
          <w:p>
            <w:pPr>
              <w:spacing w:after="48" w:afterLines="20" w:line="360" w:lineRule="auto"/>
              <w:rPr>
                <w:rFonts w:ascii="Arial" w:hAnsi="Arial" w:eastAsia="华文细黑" w:cs="Arial"/>
                <w:sz w:val="18"/>
                <w:szCs w:val="21"/>
              </w:rPr>
            </w:pPr>
            <w:r>
              <w:rPr>
                <w:rFonts w:hint="eastAsia" w:ascii="Arial" w:hAnsi="Arial" w:eastAsia="华文细黑" w:cs="Arial"/>
                <w:sz w:val="18"/>
                <w:szCs w:val="21"/>
              </w:rPr>
              <w:t>地面</w:t>
            </w:r>
          </w:p>
        </w:tc>
        <w:tc>
          <w:tcPr>
            <w:tcW w:w="2390" w:type="dxa"/>
            <w:gridSpan w:val="2"/>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建筑装饰配件及附属设备</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479" w:type="dxa"/>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1646" w:type="dxa"/>
            <w:gridSpan w:val="2"/>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室内</w:t>
            </w:r>
          </w:p>
        </w:tc>
        <w:tc>
          <w:tcPr>
            <w:tcW w:w="7209" w:type="dxa"/>
            <w:gridSpan w:val="11"/>
            <w:noWrap/>
            <w:tcMar>
              <w:top w:w="85" w:type="dxa"/>
              <w:left w:w="85" w:type="dxa"/>
              <w:bottom w:w="85" w:type="dxa"/>
              <w:right w:w="28" w:type="dxa"/>
            </w:tcMar>
            <w:vAlign w:val="center"/>
          </w:tcPr>
          <w:p>
            <w:pPr>
              <w:spacing w:after="120" w:afterLines="50" w:line="360" w:lineRule="auto"/>
              <w:rPr>
                <w:rFonts w:ascii="Arial" w:hAnsi="Arial" w:eastAsia="华文细黑" w:cs="Arial"/>
                <w:sz w:val="18"/>
                <w:szCs w:val="21"/>
              </w:rPr>
            </w:pPr>
            <w:r>
              <w:rPr>
                <w:rFonts w:hint="eastAsia" w:ascii="Arial" w:hAnsi="Arial" w:eastAsia="华文细黑" w:cs="Arial"/>
                <w:sz w:val="18"/>
                <w:szCs w:val="21"/>
              </w:rPr>
              <w:t>设定为普通装修（涂料顶棚、涂料墙面、</w:t>
            </w:r>
            <w:r>
              <w:rPr>
                <w:rFonts w:hint="eastAsia" w:ascii="Arial" w:hAnsi="Arial" w:eastAsia="华文细黑" w:cs="Arial"/>
                <w:sz w:val="18"/>
                <w:szCs w:val="21"/>
                <w:lang w:eastAsia="zh-CN"/>
              </w:rPr>
              <w:t>水泥</w:t>
            </w:r>
            <w:r>
              <w:rPr>
                <w:rFonts w:hint="eastAsia" w:ascii="Arial" w:hAnsi="Arial" w:eastAsia="华文细黑" w:cs="Arial"/>
                <w:sz w:val="18"/>
                <w:szCs w:val="21"/>
              </w:rPr>
              <w:t>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公共部分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sz w:val="18"/>
                <w:szCs w:val="21"/>
              </w:rPr>
            </w:pPr>
            <w:r>
              <w:rPr>
                <w:rFonts w:hint="eastAsia" w:eastAsia="华文细黑"/>
                <w:b w:val="0"/>
                <w:kern w:val="2"/>
                <w:sz w:val="18"/>
                <w:szCs w:val="21"/>
              </w:rPr>
              <w:t>楼梯间：涂料顶棚；涂料墙面；水泥地面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市政管网供水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排水系统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市政管网排水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供电系统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采暖系统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市政供暖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燃气系统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管道天然气</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空调系统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通讯系统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电话线入户、有线电视入户、宽带入户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消防系统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消防栓</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安保系统</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楼宇对讲系统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电梯</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小区内停车</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eastAsia="华文细黑"/>
                <w:b w:val="0"/>
                <w:kern w:val="2"/>
                <w:sz w:val="18"/>
                <w:szCs w:val="21"/>
              </w:rPr>
            </w:pPr>
            <w:r>
              <w:rPr>
                <w:rFonts w:hint="eastAsia" w:eastAsia="华文细黑"/>
                <w:b w:val="0"/>
                <w:kern w:val="2"/>
                <w:sz w:val="18"/>
                <w:szCs w:val="21"/>
              </w:rPr>
              <w:t>地面可停车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125" w:type="dxa"/>
            <w:gridSpan w:val="3"/>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物业管理</w:t>
            </w:r>
          </w:p>
        </w:tc>
        <w:tc>
          <w:tcPr>
            <w:tcW w:w="7209" w:type="dxa"/>
            <w:gridSpan w:val="11"/>
            <w:noWrap/>
            <w:tcMar>
              <w:top w:w="85" w:type="dxa"/>
              <w:left w:w="85" w:type="dxa"/>
              <w:bottom w:w="85" w:type="dxa"/>
              <w:right w:w="28" w:type="dxa"/>
            </w:tcMar>
            <w:vAlign w:val="center"/>
          </w:tcPr>
          <w:p>
            <w:pPr>
              <w:pStyle w:val="2"/>
              <w:numPr>
                <w:ilvl w:val="0"/>
                <w:numId w:val="0"/>
              </w:numPr>
              <w:spacing w:line="360" w:lineRule="auto"/>
              <w:jc w:val="left"/>
              <w:rPr>
                <w:rFonts w:hint="eastAsia" w:eastAsia="华文细黑"/>
                <w:b w:val="0"/>
                <w:kern w:val="2"/>
                <w:sz w:val="18"/>
                <w:szCs w:val="21"/>
                <w:lang w:eastAsia="zh-CN"/>
              </w:rPr>
            </w:pPr>
            <w:r>
              <w:rPr>
                <w:rFonts w:hint="eastAsia" w:eastAsia="华文细黑"/>
                <w:b w:val="0"/>
                <w:kern w:val="2"/>
                <w:sz w:val="18"/>
                <w:szCs w:val="21"/>
                <w:lang w:eastAsia="zh-CN"/>
              </w:rPr>
              <w:t>单位自管</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项目</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折旧程度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装修、部分</w:t>
            </w: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外墙面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顶棚</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内墙面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门窗</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地面</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 xml:space="preserve">设备 </w:t>
            </w:r>
          </w:p>
          <w:p>
            <w:pPr>
              <w:spacing w:line="360" w:lineRule="auto"/>
              <w:rPr>
                <w:rFonts w:ascii="Arial" w:hAnsi="Arial" w:eastAsia="华文细黑" w:cs="Arial"/>
                <w:sz w:val="18"/>
                <w:szCs w:val="21"/>
              </w:rPr>
            </w:pPr>
            <w:r>
              <w:rPr>
                <w:rFonts w:hint="eastAsia" w:ascii="Arial" w:hAnsi="Arial" w:eastAsia="华文细黑" w:cs="Arial"/>
                <w:sz w:val="18"/>
                <w:szCs w:val="21"/>
              </w:rPr>
              <w:t>部分</w:t>
            </w:r>
          </w:p>
          <w:p>
            <w:pPr>
              <w:spacing w:line="360" w:lineRule="auto"/>
              <w:rPr>
                <w:rFonts w:ascii="Arial" w:hAnsi="Arial" w:eastAsia="华文细黑" w:cs="Arial"/>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水卫</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设定为上、下水基本畅通</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电照</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线路和各种照明装置设定为基本完好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spacing w:line="360" w:lineRule="auto"/>
              <w:rPr>
                <w:rFonts w:ascii="Arial" w:hAnsi="Arial" w:eastAsia="华文细黑"/>
                <w:sz w:val="18"/>
                <w:szCs w:val="21"/>
              </w:rPr>
            </w:pPr>
          </w:p>
        </w:tc>
        <w:tc>
          <w:tcPr>
            <w:tcW w:w="1764" w:type="dxa"/>
            <w:gridSpan w:val="2"/>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特种设备</w:t>
            </w:r>
          </w:p>
        </w:tc>
        <w:tc>
          <w:tcPr>
            <w:tcW w:w="6911" w:type="dxa"/>
            <w:gridSpan w:val="10"/>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Cs/>
                <w:sz w:val="18"/>
                <w:szCs w:val="21"/>
              </w:rPr>
            </w:pPr>
            <w:r>
              <w:rPr>
                <w:rFonts w:hint="eastAsia" w:ascii="Arial" w:hAnsi="Arial" w:eastAsia="华文细黑" w:cs="Arial"/>
                <w:sz w:val="18"/>
                <w:szCs w:val="21"/>
              </w:rPr>
              <w:t>4.估价对象区位状况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restart"/>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估价对象所属楼宇四至</w:t>
            </w:r>
          </w:p>
        </w:tc>
        <w:tc>
          <w:tcPr>
            <w:tcW w:w="3438" w:type="dxa"/>
            <w:gridSpan w:val="6"/>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东至：曙光花园中路5号院1</w:t>
            </w:r>
            <w:r>
              <w:rPr>
                <w:rFonts w:hint="eastAsia" w:ascii="Arial" w:hAnsi="Arial" w:eastAsia="华文细黑" w:cs="Arial"/>
                <w:sz w:val="18"/>
                <w:szCs w:val="21"/>
                <w:lang w:val="en-US" w:eastAsia="zh-CN"/>
              </w:rPr>
              <w:t>1</w:t>
            </w:r>
            <w:r>
              <w:rPr>
                <w:rFonts w:hint="eastAsia" w:ascii="Arial" w:hAnsi="Arial" w:eastAsia="华文细黑" w:cs="Arial"/>
                <w:sz w:val="18"/>
                <w:szCs w:val="21"/>
              </w:rPr>
              <w:t>号楼</w:t>
            </w:r>
          </w:p>
        </w:tc>
        <w:tc>
          <w:tcPr>
            <w:tcW w:w="3473" w:type="dxa"/>
            <w:gridSpan w:val="4"/>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南至：曙光花园中路5号院1</w:t>
            </w:r>
            <w:r>
              <w:rPr>
                <w:rFonts w:hint="eastAsia" w:ascii="Arial" w:hAnsi="Arial" w:eastAsia="华文细黑" w:cs="Arial"/>
                <w:sz w:val="18"/>
                <w:szCs w:val="21"/>
                <w:lang w:val="en-US" w:eastAsia="zh-CN"/>
              </w:rPr>
              <w:t>5</w:t>
            </w:r>
            <w:r>
              <w:rPr>
                <w:rFonts w:hint="eastAsia" w:ascii="Arial" w:hAnsi="Arial" w:eastAsia="华文细黑" w:cs="Arial"/>
                <w:sz w:val="18"/>
                <w:szCs w:val="21"/>
              </w:rPr>
              <w:t>号楼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vMerge w:val="continue"/>
            <w:noWrap/>
            <w:tcMar>
              <w:top w:w="85" w:type="dxa"/>
              <w:left w:w="85" w:type="dxa"/>
              <w:bottom w:w="85" w:type="dxa"/>
              <w:right w:w="28" w:type="dxa"/>
            </w:tcMar>
            <w:vAlign w:val="center"/>
          </w:tcPr>
          <w:p>
            <w:pPr>
              <w:spacing w:line="360" w:lineRule="auto"/>
              <w:rPr>
                <w:rFonts w:ascii="Arial" w:hAnsi="Arial" w:eastAsia="华文细黑" w:cs="Arial"/>
                <w:sz w:val="18"/>
                <w:szCs w:val="21"/>
              </w:rPr>
            </w:pPr>
          </w:p>
        </w:tc>
        <w:tc>
          <w:tcPr>
            <w:tcW w:w="3438" w:type="dxa"/>
            <w:gridSpan w:val="6"/>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hint="eastAsia" w:ascii="Arial" w:hAnsi="Arial" w:eastAsia="华文细黑" w:cs="Arial"/>
                <w:sz w:val="18"/>
                <w:szCs w:val="21"/>
              </w:rPr>
              <w:t>西至：</w:t>
            </w:r>
            <w:r>
              <w:rPr>
                <w:rFonts w:hint="eastAsia" w:ascii="Arial" w:hAnsi="Arial" w:eastAsia="华文细黑" w:cs="Arial"/>
                <w:sz w:val="18"/>
                <w:szCs w:val="21"/>
                <w:lang w:val="en-US" w:eastAsia="zh-CN"/>
              </w:rPr>
              <w:t>空地</w:t>
            </w:r>
          </w:p>
        </w:tc>
        <w:tc>
          <w:tcPr>
            <w:tcW w:w="3473" w:type="dxa"/>
            <w:gridSpan w:val="4"/>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hint="eastAsia" w:ascii="Arial" w:hAnsi="Arial" w:eastAsia="华文细黑" w:cs="Arial"/>
                <w:sz w:val="18"/>
                <w:szCs w:val="21"/>
              </w:rPr>
              <w:t>北至：</w:t>
            </w:r>
            <w:r>
              <w:rPr>
                <w:rFonts w:hint="eastAsia" w:ascii="Arial" w:hAnsi="Arial" w:eastAsia="华文细黑" w:cs="Arial"/>
                <w:sz w:val="18"/>
                <w:szCs w:val="21"/>
                <w:lang w:val="en-US" w:eastAsia="zh-CN"/>
              </w:rPr>
              <w:t>空地</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基准地价土地级别</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居住类</w:t>
            </w:r>
            <w:r>
              <w:rPr>
                <w:rFonts w:hint="eastAsia" w:ascii="Arial" w:hAnsi="Arial" w:eastAsia="华文细黑"/>
                <w:sz w:val="18"/>
                <w:szCs w:val="21"/>
                <w:lang w:val="en-US" w:eastAsia="zh-CN"/>
              </w:rPr>
              <w:t>四</w:t>
            </w:r>
            <w:r>
              <w:rPr>
                <w:rFonts w:hint="eastAsia" w:ascii="Arial" w:hAnsi="Arial" w:eastAsia="华文细黑"/>
                <w:sz w:val="18"/>
                <w:szCs w:val="21"/>
              </w:rPr>
              <w:t>级</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居住社区成熟度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估价对象有</w:t>
            </w:r>
            <w:r>
              <w:rPr>
                <w:rFonts w:hint="eastAsia" w:ascii="Arial" w:hAnsi="Arial" w:eastAsia="华文细黑" w:cs="Arial"/>
                <w:sz w:val="18"/>
                <w:szCs w:val="21"/>
                <w:lang w:val="en-US" w:eastAsia="zh-CN"/>
              </w:rPr>
              <w:t>曙光花园</w:t>
            </w:r>
            <w:r>
              <w:rPr>
                <w:rFonts w:hint="eastAsia" w:ascii="Arial" w:hAnsi="Arial" w:eastAsia="华文细黑" w:cs="Arial"/>
                <w:sz w:val="18"/>
                <w:szCs w:val="21"/>
              </w:rPr>
              <w:t>、五福玲珑居、美丽园、颐慧佳园等小区，居住小区规模较大，综合评价居住社区成熟度好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临街道路</w:t>
            </w:r>
          </w:p>
        </w:tc>
        <w:tc>
          <w:tcPr>
            <w:tcW w:w="6911" w:type="dxa"/>
            <w:gridSpan w:val="10"/>
            <w:tcMar>
              <w:top w:w="85" w:type="dxa"/>
              <w:left w:w="85" w:type="dxa"/>
              <w:bottom w:w="85" w:type="dxa"/>
              <w:right w:w="28" w:type="dxa"/>
            </w:tcMar>
            <w:vAlign w:val="center"/>
          </w:tcPr>
          <w:p>
            <w:pPr>
              <w:spacing w:line="360" w:lineRule="auto"/>
              <w:rPr>
                <w:rFonts w:hint="eastAsia" w:ascii="Arial" w:hAnsi="Arial" w:eastAsia="华文细黑" w:cs="Arial"/>
                <w:sz w:val="18"/>
                <w:szCs w:val="21"/>
                <w:lang w:val="en-US" w:eastAsia="zh-CN"/>
              </w:rPr>
            </w:pPr>
            <w:r>
              <w:rPr>
                <w:rFonts w:hint="eastAsia" w:ascii="Arial" w:hAnsi="Arial" w:eastAsia="华文细黑" w:cs="Arial"/>
                <w:sz w:val="18"/>
                <w:szCs w:val="21"/>
              </w:rPr>
              <w:t>紧临城市支路</w:t>
            </w:r>
            <w:r>
              <w:rPr>
                <w:rFonts w:ascii="Arial" w:hAnsi="Arial" w:eastAsia="华文细黑" w:cs="Arial"/>
                <w:sz w:val="18"/>
                <w:szCs w:val="21"/>
              </w:rPr>
              <w:t>—</w:t>
            </w:r>
            <w:r>
              <w:rPr>
                <w:rFonts w:hint="eastAsia" w:ascii="Arial" w:hAnsi="Arial" w:eastAsia="华文细黑" w:cs="Arial"/>
                <w:sz w:val="18"/>
                <w:szCs w:val="21"/>
                <w:lang w:val="en-US" w:eastAsia="zh-CN"/>
              </w:rPr>
              <w:t>曙光花园中路</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交通便捷度</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周边路网较密集，距离地铁10号线车道沟站约</w:t>
            </w:r>
            <w:r>
              <w:rPr>
                <w:rFonts w:hint="eastAsia" w:ascii="Arial" w:hAnsi="Arial" w:eastAsia="华文细黑" w:cs="Arial"/>
                <w:sz w:val="18"/>
                <w:szCs w:val="21"/>
                <w:lang w:val="en-US" w:eastAsia="zh-CN"/>
              </w:rPr>
              <w:t>800</w:t>
            </w:r>
            <w:r>
              <w:rPr>
                <w:rFonts w:hint="eastAsia" w:ascii="Arial" w:hAnsi="Arial" w:eastAsia="华文细黑" w:cs="Arial"/>
                <w:sz w:val="18"/>
                <w:szCs w:val="21"/>
              </w:rPr>
              <w:t>公里，距离</w:t>
            </w:r>
            <w:r>
              <w:rPr>
                <w:rFonts w:hint="eastAsia" w:ascii="Arial" w:hAnsi="Arial" w:eastAsia="华文细黑" w:cs="Arial"/>
                <w:sz w:val="18"/>
                <w:szCs w:val="21"/>
                <w:lang w:val="en-US" w:eastAsia="zh-CN"/>
              </w:rPr>
              <w:t>33</w:t>
            </w:r>
            <w:r>
              <w:rPr>
                <w:rFonts w:hint="eastAsia" w:ascii="Arial" w:hAnsi="Arial" w:eastAsia="华文细黑" w:cs="Arial"/>
                <w:sz w:val="18"/>
                <w:szCs w:val="21"/>
              </w:rPr>
              <w:t>路，</w:t>
            </w:r>
            <w:r>
              <w:rPr>
                <w:rFonts w:hint="eastAsia" w:ascii="Arial" w:hAnsi="Arial" w:eastAsia="华文细黑" w:cs="Arial"/>
                <w:sz w:val="18"/>
                <w:szCs w:val="21"/>
                <w:lang w:val="en-US" w:eastAsia="zh-CN"/>
              </w:rPr>
              <w:t>424</w:t>
            </w:r>
            <w:r>
              <w:rPr>
                <w:rFonts w:hint="eastAsia" w:ascii="Arial" w:hAnsi="Arial" w:eastAsia="华文细黑" w:cs="Arial"/>
                <w:sz w:val="18"/>
                <w:szCs w:val="21"/>
              </w:rPr>
              <w:t>路，</w:t>
            </w:r>
            <w:r>
              <w:rPr>
                <w:rFonts w:hint="eastAsia" w:ascii="Arial" w:hAnsi="Arial" w:eastAsia="华文细黑" w:cs="Arial"/>
                <w:sz w:val="18"/>
                <w:szCs w:val="21"/>
                <w:lang w:val="en-US" w:eastAsia="zh-CN"/>
              </w:rPr>
              <w:t>469</w:t>
            </w:r>
            <w:r>
              <w:rPr>
                <w:rFonts w:hint="eastAsia" w:ascii="Arial" w:hAnsi="Arial" w:eastAsia="华文细黑" w:cs="Arial"/>
                <w:sz w:val="18"/>
                <w:szCs w:val="21"/>
              </w:rPr>
              <w:t>路，</w:t>
            </w:r>
            <w:r>
              <w:rPr>
                <w:rFonts w:hint="eastAsia" w:ascii="Arial" w:hAnsi="Arial" w:eastAsia="华文细黑" w:cs="Arial"/>
                <w:sz w:val="18"/>
                <w:szCs w:val="21"/>
                <w:lang w:val="en-US" w:eastAsia="zh-CN"/>
              </w:rPr>
              <w:t>604</w:t>
            </w:r>
            <w:r>
              <w:rPr>
                <w:rFonts w:hint="eastAsia" w:ascii="Arial" w:hAnsi="Arial" w:eastAsia="华文细黑" w:cs="Arial"/>
                <w:sz w:val="18"/>
                <w:szCs w:val="21"/>
              </w:rPr>
              <w:t>路等公交线路约</w:t>
            </w:r>
            <w:r>
              <w:rPr>
                <w:rFonts w:hint="eastAsia" w:ascii="Arial" w:hAnsi="Arial" w:eastAsia="华文细黑" w:cs="Arial"/>
                <w:sz w:val="18"/>
                <w:szCs w:val="21"/>
                <w:lang w:val="en-US" w:eastAsia="zh-CN"/>
              </w:rPr>
              <w:t>200</w:t>
            </w:r>
            <w:r>
              <w:rPr>
                <w:rFonts w:hint="eastAsia" w:ascii="Arial" w:hAnsi="Arial" w:eastAsia="华文细黑" w:cs="Arial"/>
                <w:sz w:val="18"/>
                <w:szCs w:val="21"/>
              </w:rPr>
              <w:t>米，综合评价交通便捷度较好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环境状况</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估价对象所在小区绿化一般，以常住人口为主，周边有京密引水渠、车道沟公园等自然环境</w:t>
            </w:r>
            <w:r>
              <w:rPr>
                <w:rFonts w:hint="eastAsia" w:ascii="Arial" w:hAnsi="Arial" w:eastAsia="华文细黑" w:cs="Arial"/>
                <w:sz w:val="18"/>
                <w:szCs w:val="21"/>
                <w:lang w:eastAsia="zh-CN"/>
              </w:rPr>
              <w:t>，</w:t>
            </w:r>
            <w:r>
              <w:rPr>
                <w:rFonts w:hint="eastAsia" w:ascii="Arial" w:hAnsi="Arial" w:eastAsia="华文细黑" w:cs="Arial"/>
                <w:sz w:val="18"/>
                <w:szCs w:val="21"/>
                <w:lang w:val="en-US" w:eastAsia="zh-CN"/>
              </w:rPr>
              <w:t>周边无人文设施，综合评价</w:t>
            </w:r>
            <w:r>
              <w:rPr>
                <w:rFonts w:hint="eastAsia" w:ascii="Arial" w:hAnsi="Arial" w:eastAsia="华文细黑" w:cs="Arial"/>
                <w:sz w:val="18"/>
                <w:szCs w:val="21"/>
              </w:rPr>
              <w:t>环境状况</w:t>
            </w:r>
            <w:r>
              <w:rPr>
                <w:rFonts w:hint="eastAsia" w:ascii="Arial" w:hAnsi="Arial" w:eastAsia="华文细黑" w:cs="Arial"/>
                <w:sz w:val="18"/>
                <w:szCs w:val="21"/>
                <w:lang w:val="en-US" w:eastAsia="zh-CN"/>
              </w:rPr>
              <w:t>一般</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2423" w:type="dxa"/>
            <w:gridSpan w:val="4"/>
            <w:noWrap/>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公共服务设施</w:t>
            </w:r>
          </w:p>
        </w:tc>
        <w:tc>
          <w:tcPr>
            <w:tcW w:w="6911" w:type="dxa"/>
            <w:gridSpan w:val="10"/>
            <w:tcMar>
              <w:top w:w="85" w:type="dxa"/>
              <w:left w:w="85" w:type="dxa"/>
              <w:bottom w:w="85" w:type="dxa"/>
              <w:right w:w="28" w:type="dxa"/>
            </w:tcMar>
            <w:vAlign w:val="center"/>
          </w:tcPr>
          <w:p>
            <w:pPr>
              <w:spacing w:line="360" w:lineRule="auto"/>
              <w:rPr>
                <w:rFonts w:ascii="Arial" w:hAnsi="Arial" w:eastAsia="华文细黑" w:cs="Arial"/>
                <w:sz w:val="18"/>
                <w:szCs w:val="21"/>
              </w:rPr>
            </w:pPr>
            <w:r>
              <w:rPr>
                <w:rFonts w:hint="eastAsia" w:ascii="Arial" w:hAnsi="Arial" w:eastAsia="华文细黑" w:cs="Arial"/>
                <w:sz w:val="18"/>
                <w:szCs w:val="21"/>
              </w:rPr>
              <w:t>估价对象周边有中国</w:t>
            </w:r>
            <w:r>
              <w:rPr>
                <w:rFonts w:hint="eastAsia" w:ascii="Arial" w:hAnsi="Arial" w:eastAsia="华文细黑" w:cs="Arial"/>
                <w:sz w:val="18"/>
                <w:szCs w:val="21"/>
                <w:lang w:val="en-US" w:eastAsia="zh-CN"/>
              </w:rPr>
              <w:t>农业</w:t>
            </w:r>
            <w:r>
              <w:rPr>
                <w:rFonts w:hint="eastAsia" w:ascii="Arial" w:hAnsi="Arial" w:eastAsia="华文细黑" w:cs="Arial"/>
                <w:sz w:val="18"/>
                <w:szCs w:val="21"/>
              </w:rPr>
              <w:t>银行、中国工商银行等金融服务设施网点；北京大学第三医院北方院区、北京四季青医院、</w:t>
            </w:r>
            <w:r>
              <w:rPr>
                <w:rFonts w:hint="eastAsia" w:ascii="Arial" w:hAnsi="Arial" w:eastAsia="华文细黑" w:cs="Arial"/>
                <w:sz w:val="18"/>
                <w:szCs w:val="21"/>
                <w:lang w:val="en-US" w:eastAsia="zh-CN"/>
              </w:rPr>
              <w:t>北</w:t>
            </w:r>
            <w:r>
              <w:rPr>
                <w:rFonts w:hint="eastAsia" w:ascii="Arial" w:hAnsi="Arial" w:eastAsia="华文细黑" w:cs="Arial"/>
                <w:sz w:val="18"/>
                <w:szCs w:val="21"/>
              </w:rPr>
              <w:t>京怡德医院等医疗机构；首都师范大学第二附属中学(彰化路校区)、万泉小学(曙光校区)、北京市二十一世纪实验幼儿园等教育机构，公共服务设施好。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bCs/>
                <w:sz w:val="18"/>
                <w:szCs w:val="21"/>
              </w:rPr>
            </w:pPr>
            <w:r>
              <w:rPr>
                <w:rFonts w:hint="eastAsia" w:ascii="Arial" w:hAnsi="Arial" w:eastAsia="华文细黑" w:cs="Arial"/>
                <w:b/>
                <w:kern w:val="2"/>
                <w:sz w:val="18"/>
                <w:szCs w:val="21"/>
              </w:rPr>
              <w:t>七、价值定义</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ind w:firstLine="360" w:firstLineChars="200"/>
              <w:rPr>
                <w:rFonts w:ascii="Arial" w:hAnsi="Arial" w:eastAsia="华文细黑"/>
                <w:sz w:val="18"/>
                <w:szCs w:val="21"/>
              </w:rPr>
            </w:pPr>
            <w:r>
              <w:rPr>
                <w:rFonts w:hint="eastAsia" w:ascii="Arial" w:hAnsi="Arial" w:eastAsia="华文细黑"/>
                <w:sz w:val="18"/>
                <w:szCs w:val="21"/>
              </w:rPr>
              <w:t>根据房地产估价规范、国家现行有关标准规定和项目的具体要求，本次评估采用的是市场价值标准。</w:t>
            </w:r>
            <w:r>
              <w:rPr>
                <w:rFonts w:ascii="Arial" w:hAnsi="Arial" w:eastAsia="华文细黑" w:cs="Arial"/>
                <w:sz w:val="18"/>
                <w:szCs w:val="21"/>
              </w:rPr>
              <w:t>根据</w:t>
            </w:r>
            <w:r>
              <w:rPr>
                <w:rFonts w:hint="eastAsia" w:ascii="Arial" w:hAnsi="Arial" w:eastAsia="华文细黑"/>
                <w:sz w:val="18"/>
                <w:szCs w:val="21"/>
              </w:rPr>
              <w:t>《房地产估价基本术语标准》[GB/T50899-2013]，</w:t>
            </w:r>
            <w:r>
              <w:rPr>
                <w:rFonts w:ascii="Arial" w:hAnsi="Arial" w:eastAsia="华文细黑" w:cs="Arial"/>
                <w:sz w:val="18"/>
                <w:szCs w:val="21"/>
              </w:rPr>
              <w:t>市场价值是经适当营销后，由熟悉情况、谨慎行事且不受强迫的交易双方，以公平交易方式在价值时点自愿进行交易的金额</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本次估价的“房地产市场价值”是指在正常市场情况下，在价值时点20</w:t>
            </w:r>
            <w:r>
              <w:rPr>
                <w:rFonts w:hint="eastAsia" w:ascii="Arial" w:hAnsi="Arial" w:eastAsia="华文细黑"/>
                <w:sz w:val="18"/>
                <w:szCs w:val="21"/>
                <w:lang w:val="en-US" w:eastAsia="zh-CN"/>
              </w:rPr>
              <w:t>07</w:t>
            </w:r>
            <w:r>
              <w:rPr>
                <w:rFonts w:hint="eastAsia" w:ascii="Arial" w:hAnsi="Arial" w:eastAsia="华文细黑"/>
                <w:sz w:val="18"/>
                <w:szCs w:val="21"/>
              </w:rPr>
              <w:t>年7月26日，估价对象用途为住宅，室内装修情况设定为普通装修（涂料顶棚、涂料墙面、</w:t>
            </w:r>
            <w:r>
              <w:rPr>
                <w:rFonts w:hint="eastAsia" w:ascii="Arial" w:hAnsi="Arial" w:eastAsia="华文细黑"/>
                <w:sz w:val="18"/>
                <w:szCs w:val="21"/>
                <w:lang w:val="en-US" w:eastAsia="zh-CN"/>
              </w:rPr>
              <w:t>水泥</w:t>
            </w:r>
            <w:r>
              <w:rPr>
                <w:rFonts w:hint="eastAsia" w:ascii="Arial" w:hAnsi="Arial" w:eastAsia="华文细黑"/>
                <w:sz w:val="18"/>
                <w:szCs w:val="21"/>
              </w:rPr>
              <w:t>地面），</w:t>
            </w:r>
            <w:r>
              <w:rPr>
                <w:rFonts w:ascii="Arial" w:hAnsi="Arial" w:eastAsia="华文细黑" w:cs="Arial"/>
                <w:bCs/>
                <w:sz w:val="18"/>
                <w:szCs w:val="21"/>
              </w:rPr>
              <w:t>土地取得方式为</w:t>
            </w:r>
            <w:r>
              <w:rPr>
                <w:rFonts w:hint="eastAsia" w:ascii="Arial" w:hAnsi="Arial" w:eastAsia="华文细黑"/>
                <w:bCs/>
                <w:sz w:val="18"/>
                <w:szCs w:val="21"/>
              </w:rPr>
              <w:t>出让</w:t>
            </w:r>
            <w:r>
              <w:rPr>
                <w:rFonts w:hint="eastAsia" w:ascii="Arial" w:hAnsi="Arial" w:eastAsia="华文细黑"/>
                <w:sz w:val="18"/>
                <w:szCs w:val="21"/>
              </w:rPr>
              <w:t>的房地产市场价值。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b/>
                <w:sz w:val="18"/>
                <w:szCs w:val="21"/>
              </w:rPr>
            </w:pPr>
            <w:r>
              <w:rPr>
                <w:rFonts w:hint="eastAsia" w:ascii="Arial" w:hAnsi="Arial" w:eastAsia="华文细黑" w:cs="Arial"/>
                <w:b/>
                <w:kern w:val="2"/>
                <w:sz w:val="18"/>
                <w:szCs w:val="21"/>
              </w:rPr>
              <w:t>八、估价原则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我们在本次估价时遵循了以下原则：</w:t>
            </w:r>
          </w:p>
          <w:p>
            <w:pPr>
              <w:spacing w:line="360" w:lineRule="auto"/>
              <w:rPr>
                <w:rFonts w:ascii="Arial" w:hAnsi="Arial" w:eastAsia="华文细黑"/>
                <w:sz w:val="18"/>
                <w:szCs w:val="21"/>
              </w:rPr>
            </w:pPr>
            <w:r>
              <w:rPr>
                <w:rFonts w:hint="eastAsia" w:ascii="Arial" w:hAnsi="Arial" w:eastAsia="华文细黑"/>
                <w:sz w:val="18"/>
                <w:szCs w:val="21"/>
              </w:rPr>
              <w:t>（一）独立、客观、公正原则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独立、客观、公正原则要求评估专业人员站在中立的立场上，评估出对各方当事人来说均是公平合理的价格。独立、客观、公正原则是房地产估价的基本原则，也是房地产市场价值估价中的最高行为准则。</w:t>
            </w:r>
          </w:p>
          <w:p>
            <w:pPr>
              <w:spacing w:line="360" w:lineRule="auto"/>
              <w:rPr>
                <w:rFonts w:ascii="Arial" w:hAnsi="Arial" w:eastAsia="华文细黑"/>
                <w:sz w:val="18"/>
                <w:szCs w:val="21"/>
              </w:rPr>
            </w:pPr>
            <w:r>
              <w:rPr>
                <w:rFonts w:hint="eastAsia" w:ascii="Arial" w:hAnsi="Arial" w:eastAsia="华文细黑"/>
                <w:sz w:val="18"/>
                <w:szCs w:val="21"/>
              </w:rPr>
              <w:t>（二）合法原则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房地产估价遵循合法原则，</w:t>
            </w:r>
            <w:r>
              <w:rPr>
                <w:rFonts w:hint="eastAsia" w:ascii="Arial" w:hAnsi="Arial" w:eastAsia="华文细黑"/>
                <w:sz w:val="18"/>
                <w:szCs w:val="21"/>
              </w:rPr>
              <w:t>应当</w:t>
            </w:r>
            <w:r>
              <w:rPr>
                <w:rFonts w:ascii="Arial" w:hAnsi="Arial" w:eastAsia="华文细黑"/>
                <w:sz w:val="18"/>
                <w:szCs w:val="21"/>
              </w:rPr>
              <w:t>以估价对象的</w:t>
            </w:r>
            <w:r>
              <w:rPr>
                <w:rFonts w:hint="eastAsia" w:ascii="Arial" w:hAnsi="Arial" w:eastAsia="华文细黑"/>
                <w:sz w:val="18"/>
                <w:szCs w:val="21"/>
              </w:rPr>
              <w:t>合法产权、</w:t>
            </w:r>
            <w:r>
              <w:rPr>
                <w:rFonts w:ascii="Arial" w:hAnsi="Arial" w:eastAsia="华文细黑"/>
                <w:sz w:val="18"/>
                <w:szCs w:val="21"/>
              </w:rPr>
              <w:t>合法使用、合法交易为前提进行。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估价对象</w:t>
            </w:r>
            <w:r>
              <w:rPr>
                <w:rFonts w:ascii="Arial" w:hAnsi="Arial" w:eastAsia="华文细黑"/>
                <w:sz w:val="18"/>
                <w:szCs w:val="21"/>
              </w:rPr>
              <w:t>在价值时点具有合法的产权</w:t>
            </w:r>
            <w:r>
              <w:rPr>
                <w:rFonts w:hint="eastAsia" w:ascii="Arial" w:hAnsi="Arial" w:eastAsia="华文细黑"/>
                <w:sz w:val="18"/>
                <w:szCs w:val="21"/>
              </w:rPr>
              <w:t>且用途合法</w:t>
            </w:r>
            <w:r>
              <w:rPr>
                <w:rFonts w:ascii="Arial" w:hAnsi="Arial" w:eastAsia="华文细黑"/>
                <w:sz w:val="18"/>
                <w:szCs w:val="21"/>
              </w:rPr>
              <w:t>。</w:t>
            </w:r>
            <w:r>
              <w:rPr>
                <w:rFonts w:hint="eastAsia" w:ascii="Arial" w:hAnsi="Arial" w:eastAsia="华文细黑"/>
                <w:sz w:val="18"/>
                <w:szCs w:val="21"/>
              </w:rPr>
              <w:t>估价对象在价值时点交易或处分方式是合法的。根据《中华人民共和国城市房地产管理法》[主席令第72号]，估价对象符合上市交易的法律规定。</w:t>
            </w:r>
          </w:p>
          <w:p>
            <w:pPr>
              <w:spacing w:line="360" w:lineRule="auto"/>
              <w:outlineLvl w:val="0"/>
              <w:rPr>
                <w:rFonts w:ascii="Arial" w:hAnsi="Arial" w:eastAsia="华文细黑"/>
                <w:sz w:val="18"/>
                <w:szCs w:val="21"/>
              </w:rPr>
            </w:pPr>
            <w:r>
              <w:rPr>
                <w:rFonts w:hint="eastAsia" w:ascii="Arial" w:hAnsi="Arial" w:eastAsia="华文细黑"/>
                <w:sz w:val="18"/>
                <w:szCs w:val="21"/>
              </w:rPr>
              <w:t>（三）最高最佳利用原则</w:t>
            </w:r>
          </w:p>
          <w:p>
            <w:pPr>
              <w:spacing w:line="360" w:lineRule="auto"/>
              <w:ind w:firstLine="360" w:firstLineChars="200"/>
              <w:rPr>
                <w:rFonts w:ascii="Arial" w:hAnsi="Arial" w:eastAsia="华文细黑"/>
                <w:sz w:val="18"/>
                <w:szCs w:val="21"/>
              </w:rPr>
            </w:pPr>
            <w:r>
              <w:rPr>
                <w:rFonts w:ascii="Arial" w:hAnsi="Arial" w:eastAsia="华文细黑" w:cs="Arial"/>
                <w:sz w:val="18"/>
                <w:szCs w:val="21"/>
              </w:rPr>
              <w:t>由于房地产具有用途的多样性，不同的利用方式能为权利人带来不同的收益，且房地产权利人都期望从其占有的房地产上获得更多的收益，并以能满足这一目的为确定房地产利用方式的依据。所以，最高最佳利用是在法律上可行、技术上可能、经济上可行，经过充分合理的论证，能使估价对象价值达到最大、最可能的使用。</w:t>
            </w:r>
            <w:r>
              <w:rPr>
                <w:rFonts w:hint="eastAsia" w:ascii="Arial" w:hAnsi="Arial" w:eastAsia="华文细黑"/>
                <w:sz w:val="18"/>
                <w:szCs w:val="21"/>
              </w:rPr>
              <w:t>估价对象</w:t>
            </w:r>
            <w:r>
              <w:rPr>
                <w:rFonts w:ascii="Arial" w:hAnsi="Arial" w:eastAsia="华文细黑" w:cs="Arial"/>
                <w:sz w:val="18"/>
                <w:szCs w:val="21"/>
              </w:rPr>
              <w:t>用途为</w:t>
            </w:r>
            <w:r>
              <w:rPr>
                <w:rFonts w:hint="eastAsia" w:ascii="Arial" w:hAnsi="Arial" w:eastAsia="华文细黑" w:cs="Arial"/>
                <w:sz w:val="18"/>
                <w:szCs w:val="21"/>
              </w:rPr>
              <w:t>住宅</w:t>
            </w:r>
            <w:r>
              <w:rPr>
                <w:rFonts w:ascii="Arial" w:hAnsi="Arial" w:eastAsia="华文细黑" w:cs="Arial"/>
                <w:sz w:val="18"/>
                <w:szCs w:val="21"/>
              </w:rPr>
              <w:t>，符合最高最佳利用原则</w:t>
            </w:r>
            <w:r>
              <w:rPr>
                <w:rFonts w:hint="eastAsia" w:ascii="Arial" w:hAnsi="Arial" w:eastAsia="华文细黑"/>
                <w:sz w:val="18"/>
                <w:szCs w:val="21"/>
              </w:rPr>
              <w:t>。</w:t>
            </w:r>
          </w:p>
          <w:p>
            <w:pPr>
              <w:spacing w:line="360" w:lineRule="auto"/>
              <w:rPr>
                <w:rFonts w:ascii="Arial" w:hAnsi="Arial" w:eastAsia="华文细黑"/>
                <w:sz w:val="18"/>
                <w:szCs w:val="21"/>
              </w:rPr>
            </w:pPr>
            <w:r>
              <w:rPr>
                <w:rFonts w:hint="eastAsia" w:ascii="Arial" w:hAnsi="Arial" w:eastAsia="华文细黑"/>
                <w:sz w:val="18"/>
                <w:szCs w:val="21"/>
              </w:rPr>
              <w:t>（四）替代原则</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pPr>
              <w:spacing w:line="360" w:lineRule="auto"/>
              <w:ind w:firstLine="360" w:firstLineChars="200"/>
              <w:rPr>
                <w:rFonts w:ascii="Arial" w:hAnsi="Arial" w:eastAsia="华文细黑"/>
                <w:sz w:val="18"/>
                <w:szCs w:val="21"/>
              </w:rPr>
            </w:pPr>
            <w:r>
              <w:rPr>
                <w:rFonts w:ascii="Arial" w:hAnsi="Arial" w:eastAsia="华文细黑"/>
                <w:sz w:val="18"/>
                <w:szCs w:val="21"/>
              </w:rPr>
              <w:t>替代原则也反映了房地产估价的基本原理和最一般的估价过程：房地产估价所要确定的估价结论是估价对象的客观合理价值。对于房地产交易目的而言，该客观合理价值应当是在公开市场上最可能形成或者成立的价格，房地产估价就是参照公开市场上足够数量的类似房地产的近期成交价格来确定估价对象的客观合理价值的。</w:t>
            </w:r>
          </w:p>
          <w:p>
            <w:pPr>
              <w:spacing w:line="360" w:lineRule="auto"/>
              <w:rPr>
                <w:rFonts w:ascii="Arial" w:hAnsi="Arial" w:eastAsia="华文细黑"/>
                <w:sz w:val="18"/>
                <w:szCs w:val="21"/>
              </w:rPr>
            </w:pPr>
            <w:r>
              <w:rPr>
                <w:rFonts w:hint="eastAsia" w:ascii="Arial" w:hAnsi="Arial" w:eastAsia="华文细黑"/>
                <w:sz w:val="18"/>
                <w:szCs w:val="21"/>
              </w:rPr>
              <w:t>（五）价值时点原则</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pPr>
              <w:spacing w:before="120" w:beforeLines="50" w:line="360" w:lineRule="auto"/>
              <w:ind w:firstLine="360" w:firstLineChars="200"/>
              <w:rPr>
                <w:rFonts w:ascii="Arial" w:hAnsi="Arial" w:eastAsia="华文细黑" w:cs="Arial"/>
                <w:kern w:val="2"/>
                <w:sz w:val="18"/>
                <w:szCs w:val="21"/>
              </w:rPr>
            </w:pPr>
            <w:r>
              <w:rPr>
                <w:rFonts w:hint="eastAsia" w:ascii="Arial" w:hAnsi="Arial" w:eastAsia="华文细黑"/>
                <w:sz w:val="18"/>
                <w:szCs w:val="21"/>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九、估价依据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（一）有关的法律、法规及技术标准文件</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1．《中华人民共和国土地管理法》（</w:t>
            </w:r>
            <w:r>
              <w:rPr>
                <w:rFonts w:ascii="Arial" w:hAnsi="Arial" w:eastAsia="华文细黑"/>
                <w:sz w:val="18"/>
                <w:szCs w:val="21"/>
              </w:rPr>
              <w:t>1986</w:t>
            </w:r>
            <w:r>
              <w:rPr>
                <w:rFonts w:hint="eastAsia" w:ascii="Arial" w:hAnsi="Arial" w:eastAsia="华文细黑"/>
                <w:sz w:val="18"/>
                <w:szCs w:val="21"/>
              </w:rPr>
              <w:t>年</w:t>
            </w:r>
            <w:r>
              <w:rPr>
                <w:rFonts w:ascii="Arial" w:hAnsi="Arial" w:eastAsia="华文细黑"/>
                <w:sz w:val="18"/>
                <w:szCs w:val="21"/>
              </w:rPr>
              <w:t>6</w:t>
            </w:r>
            <w:r>
              <w:rPr>
                <w:rFonts w:hint="eastAsia" w:ascii="Arial" w:hAnsi="Arial" w:eastAsia="华文细黑"/>
                <w:sz w:val="18"/>
                <w:szCs w:val="21"/>
              </w:rPr>
              <w:t>月</w:t>
            </w:r>
            <w:r>
              <w:rPr>
                <w:rFonts w:ascii="Arial" w:hAnsi="Arial" w:eastAsia="华文细黑"/>
                <w:sz w:val="18"/>
                <w:szCs w:val="21"/>
              </w:rPr>
              <w:t>25</w:t>
            </w:r>
            <w:r>
              <w:rPr>
                <w:rFonts w:hint="eastAsia" w:ascii="Arial" w:hAnsi="Arial" w:eastAsia="华文细黑"/>
                <w:sz w:val="18"/>
                <w:szCs w:val="21"/>
              </w:rPr>
              <w:t>日第六届全国人民代表大会常务委员会第十六次会议通过，中华人民共和国主席令第</w:t>
            </w:r>
            <w:r>
              <w:rPr>
                <w:rFonts w:ascii="Arial" w:hAnsi="Arial" w:eastAsia="华文细黑"/>
                <w:sz w:val="18"/>
                <w:szCs w:val="21"/>
              </w:rPr>
              <w:t>41</w:t>
            </w:r>
            <w:r>
              <w:rPr>
                <w:rFonts w:hint="eastAsia" w:ascii="Arial" w:hAnsi="Arial" w:eastAsia="华文细黑"/>
                <w:sz w:val="18"/>
                <w:szCs w:val="21"/>
              </w:rPr>
              <w:t>号公布，</w:t>
            </w:r>
            <w:r>
              <w:rPr>
                <w:rFonts w:ascii="Arial" w:hAnsi="Arial" w:eastAsia="华文细黑"/>
                <w:sz w:val="18"/>
                <w:szCs w:val="21"/>
              </w:rPr>
              <w:t>1987</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日第七届全国人民代表大会常务委员会第五次会议第一次修正通过，自</w:t>
            </w:r>
            <w:r>
              <w:rPr>
                <w:rFonts w:ascii="Arial" w:hAnsi="Arial" w:eastAsia="华文细黑"/>
                <w:sz w:val="18"/>
                <w:szCs w:val="21"/>
              </w:rPr>
              <w:t>1988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日起施行；</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日第九届全国人民代表大会常务委员会第四次会议修订通过，中华人民共和国主席令第</w:t>
            </w:r>
            <w:r>
              <w:rPr>
                <w:rFonts w:ascii="Arial" w:hAnsi="Arial" w:eastAsia="华文细黑"/>
                <w:sz w:val="18"/>
                <w:szCs w:val="21"/>
              </w:rPr>
              <w:t>8</w:t>
            </w:r>
            <w:r>
              <w:rPr>
                <w:rFonts w:hint="eastAsia" w:ascii="Arial" w:hAnsi="Arial" w:eastAsia="华文细黑"/>
                <w:sz w:val="18"/>
                <w:szCs w:val="21"/>
              </w:rPr>
              <w:t>号公布，自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2004</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日第十届全国人民代表大会常务委员会第十一次会议第二次修正通过，中华人民共和国主席令第</w:t>
            </w:r>
            <w:r>
              <w:rPr>
                <w:rFonts w:ascii="Arial" w:hAnsi="Arial" w:eastAsia="华文细黑"/>
                <w:sz w:val="18"/>
                <w:szCs w:val="21"/>
              </w:rPr>
              <w:t>28</w:t>
            </w:r>
            <w:r>
              <w:rPr>
                <w:rFonts w:hint="eastAsia" w:ascii="Arial" w:hAnsi="Arial" w:eastAsia="华文细黑"/>
                <w:sz w:val="18"/>
                <w:szCs w:val="21"/>
              </w:rPr>
              <w:t>号公布，自公布起日起施行；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日第十三届全国人民代表大会常务委员会第十二次会议第三次修正通过，自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2.《中华人民共和国城市房地产管理法》（</w:t>
            </w:r>
            <w:r>
              <w:rPr>
                <w:rFonts w:ascii="Arial" w:hAnsi="Arial" w:eastAsia="华文细黑"/>
                <w:sz w:val="18"/>
                <w:szCs w:val="21"/>
              </w:rPr>
              <w:t>1994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5</w:t>
            </w:r>
            <w:r>
              <w:rPr>
                <w:rFonts w:hint="eastAsia" w:ascii="Arial" w:hAnsi="Arial" w:eastAsia="华文细黑"/>
                <w:sz w:val="18"/>
                <w:szCs w:val="21"/>
              </w:rPr>
              <w:t>日第八届全国人民代表大会常务委员会第八次会议通过，中华人民共和国主席令第</w:t>
            </w:r>
            <w:r>
              <w:rPr>
                <w:rFonts w:ascii="Arial" w:hAnsi="Arial" w:eastAsia="华文细黑"/>
                <w:sz w:val="18"/>
                <w:szCs w:val="21"/>
              </w:rPr>
              <w:t>29</w:t>
            </w:r>
            <w:r>
              <w:rPr>
                <w:rFonts w:hint="eastAsia" w:ascii="Arial" w:hAnsi="Arial" w:eastAsia="华文细黑"/>
                <w:sz w:val="18"/>
                <w:szCs w:val="21"/>
              </w:rPr>
              <w:t>号公布，自</w:t>
            </w:r>
            <w:r>
              <w:rPr>
                <w:rFonts w:ascii="Arial" w:hAnsi="Arial" w:eastAsia="华文细黑"/>
                <w:sz w:val="18"/>
                <w:szCs w:val="21"/>
              </w:rPr>
              <w:t>1995</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2007</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30</w:t>
            </w:r>
            <w:r>
              <w:rPr>
                <w:rFonts w:hint="eastAsia" w:ascii="Arial" w:hAnsi="Arial" w:eastAsia="华文细黑"/>
                <w:sz w:val="18"/>
                <w:szCs w:val="21"/>
              </w:rPr>
              <w:t>日第十届全国人民代表大会常务委员会第二十九次会议通过第一次修正通过，中华人民共和国主席令第</w:t>
            </w:r>
            <w:r>
              <w:rPr>
                <w:rFonts w:ascii="Arial" w:hAnsi="Arial" w:eastAsia="华文细黑"/>
                <w:sz w:val="18"/>
                <w:szCs w:val="21"/>
              </w:rPr>
              <w:t>72</w:t>
            </w:r>
            <w:r>
              <w:rPr>
                <w:rFonts w:hint="eastAsia" w:ascii="Arial" w:hAnsi="Arial" w:eastAsia="华文细黑"/>
                <w:sz w:val="18"/>
                <w:szCs w:val="21"/>
              </w:rPr>
              <w:t>号公布，自公布之日起施行；</w:t>
            </w:r>
            <w:r>
              <w:rPr>
                <w:rFonts w:ascii="Arial" w:hAnsi="Arial" w:eastAsia="华文细黑"/>
                <w:sz w:val="18"/>
                <w:szCs w:val="21"/>
              </w:rPr>
              <w:t>2009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日第十一届全国人民代表大会常务委员会第十次会议第二次修正通过，中华人民共和国主席令第</w:t>
            </w:r>
            <w:r>
              <w:rPr>
                <w:rFonts w:ascii="Arial" w:hAnsi="Arial" w:eastAsia="华文细黑"/>
                <w:sz w:val="18"/>
                <w:szCs w:val="21"/>
              </w:rPr>
              <w:t>18</w:t>
            </w:r>
            <w:r>
              <w:rPr>
                <w:rFonts w:hint="eastAsia" w:ascii="Arial" w:hAnsi="Arial" w:eastAsia="华文细黑"/>
                <w:sz w:val="18"/>
                <w:szCs w:val="21"/>
              </w:rPr>
              <w:t>号公布，自公布之日起施行；</w:t>
            </w:r>
            <w:r>
              <w:rPr>
                <w:rFonts w:ascii="Arial" w:hAnsi="Arial" w:eastAsia="华文细黑"/>
                <w:sz w:val="18"/>
                <w:szCs w:val="21"/>
              </w:rPr>
              <w:t>2019</w:t>
            </w:r>
            <w:r>
              <w:rPr>
                <w:rFonts w:hint="eastAsia" w:ascii="Arial" w:hAnsi="Arial" w:eastAsia="华文细黑"/>
                <w:sz w:val="18"/>
                <w:szCs w:val="21"/>
              </w:rPr>
              <w:t>年</w:t>
            </w:r>
            <w:r>
              <w:rPr>
                <w:rFonts w:ascii="Arial" w:hAnsi="Arial" w:eastAsia="华文细黑"/>
                <w:sz w:val="18"/>
                <w:szCs w:val="21"/>
              </w:rPr>
              <w:t>8</w:t>
            </w:r>
            <w:r>
              <w:rPr>
                <w:rFonts w:hint="eastAsia" w:ascii="Arial" w:hAnsi="Arial" w:eastAsia="华文细黑"/>
                <w:sz w:val="18"/>
                <w:szCs w:val="21"/>
              </w:rPr>
              <w:t>月</w:t>
            </w:r>
            <w:r>
              <w:rPr>
                <w:rFonts w:ascii="Arial" w:hAnsi="Arial" w:eastAsia="华文细黑"/>
                <w:sz w:val="18"/>
                <w:szCs w:val="21"/>
              </w:rPr>
              <w:t>26</w:t>
            </w:r>
            <w:r>
              <w:rPr>
                <w:rFonts w:hint="eastAsia" w:ascii="Arial" w:hAnsi="Arial" w:eastAsia="华文细黑"/>
                <w:sz w:val="18"/>
                <w:szCs w:val="21"/>
              </w:rPr>
              <w:t>日第十三届全国人大常委会第十二次会议通过第三次修正，自</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3.《中华人民共和国城乡规划法》（</w:t>
            </w:r>
            <w:r>
              <w:rPr>
                <w:rFonts w:ascii="Arial" w:hAnsi="Arial" w:eastAsia="华文细黑"/>
                <w:sz w:val="18"/>
                <w:szCs w:val="21"/>
              </w:rPr>
              <w:t xml:space="preserve">2007 </w:t>
            </w:r>
            <w:r>
              <w:rPr>
                <w:rFonts w:hint="eastAsia" w:ascii="Arial" w:hAnsi="Arial" w:eastAsia="华文细黑"/>
                <w:sz w:val="18"/>
                <w:szCs w:val="21"/>
              </w:rPr>
              <w:t>年</w:t>
            </w:r>
            <w:r>
              <w:rPr>
                <w:rFonts w:ascii="Arial" w:hAnsi="Arial" w:eastAsia="华文细黑"/>
                <w:sz w:val="18"/>
                <w:szCs w:val="21"/>
              </w:rPr>
              <w:t xml:space="preserve"> 10 </w:t>
            </w:r>
            <w:r>
              <w:rPr>
                <w:rFonts w:hint="eastAsia" w:ascii="Arial" w:hAnsi="Arial" w:eastAsia="华文细黑"/>
                <w:sz w:val="18"/>
                <w:szCs w:val="21"/>
              </w:rPr>
              <w:t>月</w:t>
            </w:r>
            <w:r>
              <w:rPr>
                <w:rFonts w:ascii="Arial" w:hAnsi="Arial" w:eastAsia="华文细黑"/>
                <w:sz w:val="18"/>
                <w:szCs w:val="21"/>
              </w:rPr>
              <w:t xml:space="preserve"> 28 </w:t>
            </w:r>
            <w:r>
              <w:rPr>
                <w:rFonts w:hint="eastAsia" w:ascii="Arial" w:hAnsi="Arial" w:eastAsia="华文细黑"/>
                <w:sz w:val="18"/>
                <w:szCs w:val="21"/>
              </w:rPr>
              <w:t>日第十届全国人民代表大会常务委员会第三十次会议通过，中华人民共和国主席令第</w:t>
            </w:r>
            <w:r>
              <w:rPr>
                <w:rFonts w:ascii="Arial" w:hAnsi="Arial" w:eastAsia="华文细黑"/>
                <w:sz w:val="18"/>
                <w:szCs w:val="21"/>
              </w:rPr>
              <w:t>74</w:t>
            </w:r>
            <w:r>
              <w:rPr>
                <w:rFonts w:hint="eastAsia" w:ascii="Arial" w:hAnsi="Arial" w:eastAsia="华文细黑"/>
                <w:sz w:val="18"/>
                <w:szCs w:val="21"/>
              </w:rPr>
              <w:t>号，自公布之日起施行；根据</w:t>
            </w:r>
            <w:r>
              <w:rPr>
                <w:rFonts w:ascii="Arial" w:hAnsi="Arial" w:eastAsia="华文细黑"/>
                <w:sz w:val="18"/>
                <w:szCs w:val="21"/>
              </w:rPr>
              <w:t xml:space="preserve"> 2015 </w:t>
            </w:r>
            <w:r>
              <w:rPr>
                <w:rFonts w:hint="eastAsia" w:ascii="Arial" w:hAnsi="Arial" w:eastAsia="华文细黑"/>
                <w:sz w:val="18"/>
                <w:szCs w:val="21"/>
              </w:rPr>
              <w:t>年</w:t>
            </w:r>
            <w:r>
              <w:rPr>
                <w:rFonts w:ascii="Arial" w:hAnsi="Arial" w:eastAsia="华文细黑"/>
                <w:sz w:val="18"/>
                <w:szCs w:val="21"/>
              </w:rPr>
              <w:t xml:space="preserve"> 4 </w:t>
            </w:r>
            <w:r>
              <w:rPr>
                <w:rFonts w:hint="eastAsia" w:ascii="Arial" w:hAnsi="Arial" w:eastAsia="华文细黑"/>
                <w:sz w:val="18"/>
                <w:szCs w:val="21"/>
              </w:rPr>
              <w:t>月</w:t>
            </w:r>
            <w:r>
              <w:rPr>
                <w:rFonts w:ascii="Arial" w:hAnsi="Arial" w:eastAsia="华文细黑"/>
                <w:sz w:val="18"/>
                <w:szCs w:val="21"/>
              </w:rPr>
              <w:t xml:space="preserve"> 24 </w:t>
            </w:r>
            <w:r>
              <w:rPr>
                <w:rFonts w:hint="eastAsia" w:ascii="Arial" w:hAnsi="Arial" w:eastAsia="华文细黑"/>
                <w:sz w:val="18"/>
                <w:szCs w:val="21"/>
              </w:rPr>
              <w:t>日第十二届全国人民代表大会常务委员会第十四次会议通过第一次修正，中华人民共和国主席令第</w:t>
            </w:r>
            <w:r>
              <w:rPr>
                <w:rFonts w:ascii="Arial" w:hAnsi="Arial" w:eastAsia="华文细黑"/>
                <w:sz w:val="18"/>
                <w:szCs w:val="21"/>
              </w:rPr>
              <w:t>23</w:t>
            </w:r>
            <w:r>
              <w:rPr>
                <w:rFonts w:hint="eastAsia" w:ascii="Arial" w:hAnsi="Arial" w:eastAsia="华文细黑"/>
                <w:sz w:val="18"/>
                <w:szCs w:val="21"/>
              </w:rPr>
              <w:t>号公布，自公布之日起施行）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4.《中华人民共和国资产评估法》（</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日第十二届全国人民代表大会常务委员会第二十一次会议通过，</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3</w:t>
            </w:r>
            <w:r>
              <w:rPr>
                <w:rFonts w:hint="eastAsia" w:ascii="Arial" w:hAnsi="Arial" w:eastAsia="华文细黑"/>
                <w:sz w:val="18"/>
                <w:szCs w:val="21"/>
              </w:rPr>
              <w:t>月</w:t>
            </w:r>
            <w:r>
              <w:rPr>
                <w:rFonts w:ascii="Arial" w:hAnsi="Arial" w:eastAsia="华文细黑"/>
                <w:sz w:val="18"/>
                <w:szCs w:val="21"/>
              </w:rPr>
              <w:t>16</w:t>
            </w:r>
            <w:r>
              <w:rPr>
                <w:rFonts w:hint="eastAsia" w:ascii="Arial" w:hAnsi="Arial" w:eastAsia="华文细黑"/>
                <w:sz w:val="18"/>
                <w:szCs w:val="21"/>
              </w:rPr>
              <w:t>日中华人民共和国主席令第</w:t>
            </w:r>
            <w:r>
              <w:rPr>
                <w:rFonts w:ascii="Arial" w:hAnsi="Arial" w:eastAsia="华文细黑"/>
                <w:sz w:val="18"/>
                <w:szCs w:val="21"/>
              </w:rPr>
              <w:t>46</w:t>
            </w:r>
            <w:r>
              <w:rPr>
                <w:rFonts w:hint="eastAsia" w:ascii="Arial" w:hAnsi="Arial" w:eastAsia="华文细黑"/>
                <w:sz w:val="18"/>
                <w:szCs w:val="21"/>
              </w:rPr>
              <w:t>号公布，自</w:t>
            </w:r>
            <w:r>
              <w:rPr>
                <w:rFonts w:ascii="Arial" w:hAnsi="Arial" w:eastAsia="华文细黑"/>
                <w:sz w:val="18"/>
                <w:szCs w:val="21"/>
              </w:rPr>
              <w:t>2016</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5.《中华人民共和国民法典》（</w:t>
            </w:r>
            <w:r>
              <w:rPr>
                <w:rFonts w:ascii="Arial" w:hAnsi="Arial" w:eastAsia="华文细黑"/>
                <w:sz w:val="18"/>
                <w:szCs w:val="21"/>
              </w:rPr>
              <w:t>2020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28</w:t>
            </w:r>
            <w:r>
              <w:rPr>
                <w:rFonts w:hint="eastAsia" w:ascii="Arial" w:hAnsi="Arial" w:eastAsia="华文细黑"/>
                <w:sz w:val="18"/>
                <w:szCs w:val="21"/>
              </w:rPr>
              <w:t>日第十三届全国人大三次会议表决通过，自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6.《中华人民共和国城镇国有土地使用权出让和转让暂行条例》（</w:t>
            </w:r>
            <w:r>
              <w:rPr>
                <w:rFonts w:ascii="Arial" w:hAnsi="Arial" w:eastAsia="华文细黑"/>
                <w:sz w:val="18"/>
                <w:szCs w:val="21"/>
              </w:rPr>
              <w:t>1990</w:t>
            </w:r>
            <w:r>
              <w:rPr>
                <w:rFonts w:hint="eastAsia" w:ascii="Arial" w:hAnsi="Arial" w:eastAsia="华文细黑"/>
                <w:sz w:val="18"/>
                <w:szCs w:val="21"/>
              </w:rPr>
              <w:t>年</w:t>
            </w:r>
            <w:r>
              <w:rPr>
                <w:rFonts w:ascii="Arial" w:hAnsi="Arial" w:eastAsia="华文细黑"/>
                <w:sz w:val="18"/>
                <w:szCs w:val="21"/>
              </w:rPr>
              <w:t>5</w:t>
            </w:r>
            <w:r>
              <w:rPr>
                <w:rFonts w:hint="eastAsia" w:ascii="Arial" w:hAnsi="Arial" w:eastAsia="华文细黑"/>
                <w:sz w:val="18"/>
                <w:szCs w:val="21"/>
              </w:rPr>
              <w:t>月</w:t>
            </w:r>
            <w:r>
              <w:rPr>
                <w:rFonts w:ascii="Arial" w:hAnsi="Arial" w:eastAsia="华文细黑"/>
                <w:sz w:val="18"/>
                <w:szCs w:val="21"/>
              </w:rPr>
              <w:t>19</w:t>
            </w:r>
            <w:r>
              <w:rPr>
                <w:rFonts w:hint="eastAsia" w:ascii="Arial" w:hAnsi="Arial" w:eastAsia="华文细黑"/>
                <w:sz w:val="18"/>
                <w:szCs w:val="21"/>
              </w:rPr>
              <w:t>日中华人民共和国国务院令第</w:t>
            </w:r>
            <w:r>
              <w:rPr>
                <w:rFonts w:ascii="Arial" w:hAnsi="Arial" w:eastAsia="华文细黑"/>
                <w:sz w:val="18"/>
                <w:szCs w:val="21"/>
              </w:rPr>
              <w:t>55</w:t>
            </w:r>
            <w:r>
              <w:rPr>
                <w:rFonts w:hint="eastAsia" w:ascii="Arial" w:hAnsi="Arial" w:eastAsia="华文细黑"/>
                <w:sz w:val="18"/>
                <w:szCs w:val="21"/>
              </w:rPr>
              <w:t>号发布，自发布之日起施行）</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7.《中华人民共和国土地管理法实施条例》（</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24</w:t>
            </w:r>
            <w:r>
              <w:rPr>
                <w:rFonts w:hint="eastAsia" w:ascii="Arial" w:hAnsi="Arial" w:eastAsia="华文细黑"/>
                <w:sz w:val="18"/>
                <w:szCs w:val="21"/>
              </w:rPr>
              <w:t>日国务院第</w:t>
            </w:r>
            <w:r>
              <w:rPr>
                <w:rFonts w:ascii="Arial" w:hAnsi="Arial" w:eastAsia="华文细黑"/>
                <w:sz w:val="18"/>
                <w:szCs w:val="21"/>
              </w:rPr>
              <w:t>12</w:t>
            </w:r>
            <w:r>
              <w:rPr>
                <w:rFonts w:hint="eastAsia" w:ascii="Arial" w:hAnsi="Arial" w:eastAsia="华文细黑"/>
                <w:sz w:val="18"/>
                <w:szCs w:val="21"/>
              </w:rPr>
              <w:t>次常务会议通过</w:t>
            </w:r>
            <w:r>
              <w:rPr>
                <w:rFonts w:ascii="Arial" w:hAnsi="Arial" w:eastAsia="华文细黑"/>
                <w:sz w:val="18"/>
                <w:szCs w:val="21"/>
              </w:rPr>
              <w:t xml:space="preserve"> </w:t>
            </w:r>
            <w:r>
              <w:rPr>
                <w:rFonts w:hint="eastAsia" w:ascii="Arial" w:hAnsi="Arial" w:eastAsia="华文细黑"/>
                <w:sz w:val="18"/>
                <w:szCs w:val="21"/>
              </w:rPr>
              <w:t>，</w:t>
            </w:r>
            <w:r>
              <w:rPr>
                <w:rFonts w:ascii="Arial" w:hAnsi="Arial" w:eastAsia="华文细黑"/>
                <w:sz w:val="18"/>
                <w:szCs w:val="21"/>
              </w:rPr>
              <w:t>1998</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27</w:t>
            </w:r>
            <w:r>
              <w:rPr>
                <w:rFonts w:hint="eastAsia" w:ascii="Arial" w:hAnsi="Arial" w:eastAsia="华文细黑"/>
                <w:sz w:val="18"/>
                <w:szCs w:val="21"/>
              </w:rPr>
              <w:t>日中华人民共和国国务院令第</w:t>
            </w:r>
            <w:r>
              <w:rPr>
                <w:rFonts w:ascii="Arial" w:hAnsi="Arial" w:eastAsia="华文细黑"/>
                <w:sz w:val="18"/>
                <w:szCs w:val="21"/>
              </w:rPr>
              <w:t>256</w:t>
            </w:r>
            <w:r>
              <w:rPr>
                <w:rFonts w:hint="eastAsia" w:ascii="Arial" w:hAnsi="Arial" w:eastAsia="华文细黑"/>
                <w:sz w:val="18"/>
                <w:szCs w:val="21"/>
              </w:rPr>
              <w:t>号发布，自</w:t>
            </w:r>
            <w:r>
              <w:rPr>
                <w:rFonts w:ascii="Arial" w:hAnsi="Arial" w:eastAsia="华文细黑"/>
                <w:sz w:val="18"/>
                <w:szCs w:val="21"/>
              </w:rPr>
              <w:t>1999</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r>
              <w:rPr>
                <w:rFonts w:ascii="Arial" w:hAnsi="Arial" w:eastAsia="华文细黑"/>
                <w:sz w:val="18"/>
                <w:szCs w:val="21"/>
              </w:rPr>
              <w:t>2010</w:t>
            </w:r>
            <w:r>
              <w:rPr>
                <w:rFonts w:hint="eastAsia" w:ascii="Arial" w:hAnsi="Arial" w:eastAsia="华文细黑"/>
                <w:sz w:val="18"/>
                <w:szCs w:val="21"/>
              </w:rPr>
              <w:t>年</w:t>
            </w:r>
            <w:r>
              <w:rPr>
                <w:rFonts w:ascii="Arial" w:hAnsi="Arial" w:eastAsia="华文细黑"/>
                <w:sz w:val="18"/>
                <w:szCs w:val="21"/>
              </w:rPr>
              <w:t>12</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日国务院第</w:t>
            </w:r>
            <w:r>
              <w:rPr>
                <w:rFonts w:ascii="Arial" w:hAnsi="Arial" w:eastAsia="华文细黑"/>
                <w:sz w:val="18"/>
                <w:szCs w:val="21"/>
              </w:rPr>
              <w:t>138</w:t>
            </w:r>
            <w:r>
              <w:rPr>
                <w:rFonts w:hint="eastAsia" w:ascii="Arial" w:hAnsi="Arial" w:eastAsia="华文细黑"/>
                <w:sz w:val="18"/>
                <w:szCs w:val="21"/>
              </w:rPr>
              <w:t>次常务会议第一次修正通过，</w:t>
            </w:r>
            <w:r>
              <w:rPr>
                <w:rFonts w:ascii="Arial" w:hAnsi="Arial" w:eastAsia="华文细黑"/>
                <w:sz w:val="18"/>
                <w:szCs w:val="21"/>
              </w:rPr>
              <w:t>2011</w:t>
            </w:r>
            <w:r>
              <w:rPr>
                <w:rFonts w:hint="eastAsia" w:ascii="Arial" w:hAnsi="Arial" w:eastAsia="华文细黑"/>
                <w:sz w:val="18"/>
                <w:szCs w:val="21"/>
              </w:rPr>
              <w:t>年</w:t>
            </w:r>
            <w:r>
              <w:rPr>
                <w:rFonts w:ascii="Arial" w:hAnsi="Arial" w:eastAsia="华文细黑"/>
                <w:sz w:val="18"/>
                <w:szCs w:val="21"/>
              </w:rPr>
              <w:t>1</w:t>
            </w:r>
            <w:r>
              <w:rPr>
                <w:rFonts w:hint="eastAsia" w:ascii="Arial" w:hAnsi="Arial" w:eastAsia="华文细黑"/>
                <w:sz w:val="18"/>
                <w:szCs w:val="21"/>
              </w:rPr>
              <w:t>月</w:t>
            </w:r>
            <w:r>
              <w:rPr>
                <w:rFonts w:ascii="Arial" w:hAnsi="Arial" w:eastAsia="华文细黑"/>
                <w:sz w:val="18"/>
                <w:szCs w:val="21"/>
              </w:rPr>
              <w:t>8</w:t>
            </w:r>
            <w:r>
              <w:rPr>
                <w:rFonts w:hint="eastAsia" w:ascii="Arial" w:hAnsi="Arial" w:eastAsia="华文细黑"/>
                <w:sz w:val="18"/>
                <w:szCs w:val="21"/>
              </w:rPr>
              <w:t>日中华人民共和国国务院令第</w:t>
            </w:r>
            <w:r>
              <w:rPr>
                <w:rFonts w:ascii="Arial" w:hAnsi="Arial" w:eastAsia="华文细黑"/>
                <w:sz w:val="18"/>
                <w:szCs w:val="21"/>
              </w:rPr>
              <w:t>588</w:t>
            </w:r>
            <w:r>
              <w:rPr>
                <w:rFonts w:hint="eastAsia" w:ascii="Arial" w:hAnsi="Arial" w:eastAsia="华文细黑"/>
                <w:sz w:val="18"/>
                <w:szCs w:val="21"/>
              </w:rPr>
              <w:t>号发布，自发布之日起施行；</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9</w:t>
            </w:r>
            <w:r>
              <w:rPr>
                <w:rFonts w:hint="eastAsia" w:ascii="Arial" w:hAnsi="Arial" w:eastAsia="华文细黑"/>
                <w:sz w:val="18"/>
                <w:szCs w:val="21"/>
              </w:rPr>
              <w:t>日国务院第</w:t>
            </w:r>
            <w:r>
              <w:rPr>
                <w:rFonts w:ascii="Arial" w:hAnsi="Arial" w:eastAsia="华文细黑"/>
                <w:sz w:val="18"/>
                <w:szCs w:val="21"/>
              </w:rPr>
              <w:t>54</w:t>
            </w:r>
            <w:r>
              <w:rPr>
                <w:rFonts w:hint="eastAsia" w:ascii="Arial" w:hAnsi="Arial" w:eastAsia="华文细黑"/>
                <w:sz w:val="18"/>
                <w:szCs w:val="21"/>
              </w:rPr>
              <w:t>次常务会议第二次修正通过，</w:t>
            </w:r>
            <w:r>
              <w:rPr>
                <w:rFonts w:ascii="Arial" w:hAnsi="Arial" w:eastAsia="华文细黑"/>
                <w:sz w:val="18"/>
                <w:szCs w:val="21"/>
              </w:rPr>
              <w:t>2014</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29</w:t>
            </w:r>
            <w:r>
              <w:rPr>
                <w:rFonts w:hint="eastAsia" w:ascii="Arial" w:hAnsi="Arial" w:eastAsia="华文细黑"/>
                <w:sz w:val="18"/>
                <w:szCs w:val="21"/>
              </w:rPr>
              <w:t>日中华人民共和国国务院令第</w:t>
            </w:r>
            <w:r>
              <w:rPr>
                <w:rFonts w:ascii="Arial" w:hAnsi="Arial" w:eastAsia="华文细黑"/>
                <w:sz w:val="18"/>
                <w:szCs w:val="21"/>
              </w:rPr>
              <w:t>653</w:t>
            </w:r>
            <w:r>
              <w:rPr>
                <w:rFonts w:hint="eastAsia" w:ascii="Arial" w:hAnsi="Arial" w:eastAsia="华文细黑"/>
                <w:sz w:val="18"/>
                <w:szCs w:val="21"/>
              </w:rPr>
              <w:t>号公布，自公布之日起施行；</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4</w:t>
            </w:r>
            <w:r>
              <w:rPr>
                <w:rFonts w:hint="eastAsia" w:ascii="Arial" w:hAnsi="Arial" w:eastAsia="华文细黑"/>
                <w:sz w:val="18"/>
                <w:szCs w:val="21"/>
              </w:rPr>
              <w:t>月</w:t>
            </w:r>
            <w:r>
              <w:rPr>
                <w:rFonts w:ascii="Arial" w:hAnsi="Arial" w:eastAsia="华文细黑"/>
                <w:sz w:val="18"/>
                <w:szCs w:val="21"/>
              </w:rPr>
              <w:t>21</w:t>
            </w:r>
            <w:r>
              <w:rPr>
                <w:rFonts w:hint="eastAsia" w:ascii="Arial" w:hAnsi="Arial" w:eastAsia="华文细黑"/>
                <w:sz w:val="18"/>
                <w:szCs w:val="21"/>
              </w:rPr>
              <w:t>日，国务院第</w:t>
            </w:r>
            <w:r>
              <w:rPr>
                <w:rFonts w:ascii="Arial" w:hAnsi="Arial" w:eastAsia="华文细黑"/>
                <w:sz w:val="18"/>
                <w:szCs w:val="21"/>
              </w:rPr>
              <w:t>132</w:t>
            </w:r>
            <w:r>
              <w:rPr>
                <w:rFonts w:hint="eastAsia" w:ascii="Arial" w:hAnsi="Arial" w:eastAsia="华文细黑"/>
                <w:sz w:val="18"/>
                <w:szCs w:val="21"/>
              </w:rPr>
              <w:t>次会议第三次修订通过，</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7</w:t>
            </w:r>
            <w:r>
              <w:rPr>
                <w:rFonts w:hint="eastAsia" w:ascii="Arial" w:hAnsi="Arial" w:eastAsia="华文细黑"/>
                <w:sz w:val="18"/>
                <w:szCs w:val="21"/>
              </w:rPr>
              <w:t>月</w:t>
            </w:r>
            <w:r>
              <w:rPr>
                <w:rFonts w:ascii="Arial" w:hAnsi="Arial" w:eastAsia="华文细黑"/>
                <w:sz w:val="18"/>
                <w:szCs w:val="21"/>
              </w:rPr>
              <w:t>2</w:t>
            </w:r>
            <w:r>
              <w:rPr>
                <w:rFonts w:hint="eastAsia" w:ascii="Arial" w:hAnsi="Arial" w:eastAsia="华文细黑"/>
                <w:sz w:val="18"/>
                <w:szCs w:val="21"/>
              </w:rPr>
              <w:t>日中华人民共和国国务院令第</w:t>
            </w:r>
            <w:r>
              <w:rPr>
                <w:rFonts w:ascii="Arial" w:hAnsi="Arial" w:eastAsia="华文细黑"/>
                <w:sz w:val="18"/>
                <w:szCs w:val="21"/>
              </w:rPr>
              <w:t>743</w:t>
            </w:r>
            <w:r>
              <w:rPr>
                <w:rFonts w:hint="eastAsia" w:ascii="Arial" w:hAnsi="Arial" w:eastAsia="华文细黑"/>
                <w:sz w:val="18"/>
                <w:szCs w:val="21"/>
              </w:rPr>
              <w:t>号公布，自</w:t>
            </w:r>
            <w:r>
              <w:rPr>
                <w:rFonts w:ascii="Arial" w:hAnsi="Arial" w:eastAsia="华文细黑"/>
                <w:sz w:val="18"/>
                <w:szCs w:val="21"/>
              </w:rPr>
              <w:t>2021</w:t>
            </w:r>
            <w:r>
              <w:rPr>
                <w:rFonts w:hint="eastAsia" w:ascii="Arial" w:hAnsi="Arial" w:eastAsia="华文细黑"/>
                <w:sz w:val="18"/>
                <w:szCs w:val="21"/>
              </w:rPr>
              <w:t>年</w:t>
            </w:r>
            <w:r>
              <w:rPr>
                <w:rFonts w:ascii="Arial" w:hAnsi="Arial" w:eastAsia="华文细黑"/>
                <w:sz w:val="18"/>
                <w:szCs w:val="21"/>
              </w:rPr>
              <w:t>9</w:t>
            </w:r>
            <w:r>
              <w:rPr>
                <w:rFonts w:hint="eastAsia" w:ascii="Arial" w:hAnsi="Arial" w:eastAsia="华文细黑"/>
                <w:sz w:val="18"/>
                <w:szCs w:val="21"/>
              </w:rPr>
              <w:t>月</w:t>
            </w:r>
            <w:r>
              <w:rPr>
                <w:rFonts w:ascii="Arial" w:hAnsi="Arial" w:eastAsia="华文细黑"/>
                <w:sz w:val="18"/>
                <w:szCs w:val="21"/>
              </w:rPr>
              <w:t>1</w:t>
            </w:r>
            <w:r>
              <w:rPr>
                <w:rFonts w:hint="eastAsia" w:ascii="Arial" w:hAnsi="Arial" w:eastAsia="华文细黑"/>
                <w:sz w:val="18"/>
                <w:szCs w:val="21"/>
              </w:rPr>
              <w:t>日起施行）</w:t>
            </w:r>
          </w:p>
          <w:p>
            <w:pPr>
              <w:spacing w:line="360" w:lineRule="auto"/>
              <w:ind w:firstLine="360" w:firstLineChars="200"/>
              <w:rPr>
                <w:rFonts w:ascii="Arial" w:hAnsi="Arial" w:eastAsia="华文细黑"/>
                <w:sz w:val="18"/>
                <w:szCs w:val="21"/>
              </w:rPr>
            </w:pPr>
            <w:r>
              <w:rPr>
                <w:rFonts w:ascii="Arial" w:hAnsi="Arial" w:eastAsia="华文细黑"/>
                <w:sz w:val="18"/>
                <w:szCs w:val="21"/>
              </w:rPr>
              <w:t>8</w:t>
            </w:r>
            <w:r>
              <w:rPr>
                <w:rFonts w:hint="eastAsia" w:ascii="Arial" w:hAnsi="Arial" w:eastAsia="华文细黑"/>
                <w:sz w:val="18"/>
                <w:szCs w:val="21"/>
              </w:rPr>
              <w:t>.《房地产估价规范》[GB/T 50291-2015]</w:t>
            </w:r>
          </w:p>
          <w:p>
            <w:pPr>
              <w:spacing w:line="360" w:lineRule="auto"/>
              <w:ind w:firstLine="360" w:firstLineChars="200"/>
              <w:rPr>
                <w:rFonts w:ascii="Arial" w:hAnsi="Arial" w:eastAsia="华文细黑"/>
                <w:sz w:val="18"/>
                <w:szCs w:val="21"/>
              </w:rPr>
            </w:pPr>
            <w:r>
              <w:rPr>
                <w:rFonts w:ascii="Arial" w:hAnsi="Arial" w:eastAsia="华文细黑"/>
                <w:sz w:val="18"/>
                <w:szCs w:val="21"/>
              </w:rPr>
              <w:t>9</w:t>
            </w:r>
            <w:r>
              <w:rPr>
                <w:rFonts w:hint="eastAsia" w:ascii="Arial" w:hAnsi="Arial" w:eastAsia="华文细黑"/>
                <w:sz w:val="18"/>
                <w:szCs w:val="21"/>
              </w:rPr>
              <w:t>.《房地产估价基本术语标准》[GB/T50899-2013]</w:t>
            </w:r>
          </w:p>
          <w:p>
            <w:pPr>
              <w:spacing w:line="360" w:lineRule="auto"/>
              <w:ind w:firstLine="360" w:firstLineChars="200"/>
              <w:rPr>
                <w:rFonts w:ascii="Arial" w:hAnsi="Arial" w:eastAsia="华文细黑"/>
                <w:sz w:val="18"/>
                <w:szCs w:val="21"/>
              </w:rPr>
            </w:pPr>
            <w:r>
              <w:rPr>
                <w:rFonts w:ascii="Arial" w:hAnsi="Arial" w:eastAsia="华文细黑"/>
                <w:sz w:val="18"/>
                <w:szCs w:val="21"/>
              </w:rPr>
              <w:t>10</w:t>
            </w:r>
            <w:r>
              <w:rPr>
                <w:rFonts w:hint="eastAsia" w:ascii="Arial" w:hAnsi="Arial" w:eastAsia="华文细黑"/>
                <w:sz w:val="18"/>
                <w:szCs w:val="21"/>
              </w:rPr>
              <w:t>. 《</w:t>
            </w:r>
            <w:r>
              <w:rPr>
                <w:rFonts w:ascii="Arial" w:hAnsi="Arial" w:eastAsia="华文细黑"/>
                <w:sz w:val="18"/>
                <w:szCs w:val="21"/>
              </w:rPr>
              <w:t>北京市人民政府关于</w:t>
            </w:r>
            <w:r>
              <w:rPr>
                <w:rFonts w:hint="eastAsia" w:ascii="Arial" w:hAnsi="Arial" w:eastAsia="华文细黑"/>
                <w:sz w:val="18"/>
                <w:szCs w:val="21"/>
              </w:rPr>
              <w:t>调整本市</w:t>
            </w:r>
            <w:r>
              <w:rPr>
                <w:rFonts w:ascii="Arial" w:hAnsi="Arial" w:eastAsia="华文细黑"/>
                <w:sz w:val="18"/>
                <w:szCs w:val="21"/>
              </w:rPr>
              <w:t>出让国有建设用地使用权基准地价的通知》[京政发[20</w:t>
            </w:r>
            <w:r>
              <w:rPr>
                <w:rFonts w:hint="eastAsia" w:ascii="Arial" w:hAnsi="Arial" w:eastAsia="华文细黑"/>
                <w:sz w:val="18"/>
                <w:szCs w:val="21"/>
              </w:rPr>
              <w:t>02]32</w:t>
            </w:r>
            <w:r>
              <w:rPr>
                <w:rFonts w:ascii="Arial" w:hAnsi="Arial" w:eastAsia="华文细黑"/>
                <w:sz w:val="18"/>
                <w:szCs w:val="21"/>
              </w:rPr>
              <w:t>号</w:t>
            </w:r>
            <w:r>
              <w:rPr>
                <w:rFonts w:hint="eastAsia" w:ascii="Arial" w:hAnsi="Arial" w:eastAsia="华文细黑"/>
                <w:sz w:val="18"/>
                <w:szCs w:val="21"/>
              </w:rPr>
              <w:t>]</w:t>
            </w:r>
          </w:p>
          <w:p>
            <w:pPr>
              <w:spacing w:line="360" w:lineRule="auto"/>
              <w:ind w:firstLine="360" w:firstLineChars="200"/>
              <w:rPr>
                <w:rFonts w:ascii="Arial" w:hAnsi="Arial" w:eastAsia="华文细黑"/>
                <w:sz w:val="18"/>
                <w:szCs w:val="21"/>
              </w:rPr>
            </w:pPr>
            <w:r>
              <w:rPr>
                <w:rFonts w:hint="eastAsia" w:ascii="Arial" w:hAnsi="Arial" w:eastAsia="华文细黑"/>
                <w:sz w:val="18"/>
                <w:szCs w:val="21"/>
              </w:rPr>
              <w:t>11.《北京市发展计划委员会关于印发&lt;北京市征收城市基础设施建设费暂行办法&gt;的通知》[京计投资字﹝2002﹞1792号]</w:t>
            </w:r>
          </w:p>
          <w:p>
            <w:pPr>
              <w:spacing w:line="360" w:lineRule="auto"/>
              <w:rPr>
                <w:rFonts w:ascii="Arial" w:hAnsi="Arial" w:eastAsia="华文细黑"/>
                <w:sz w:val="18"/>
                <w:szCs w:val="21"/>
              </w:rPr>
            </w:pPr>
            <w:r>
              <w:rPr>
                <w:rFonts w:hint="eastAsia" w:ascii="Arial" w:hAnsi="Arial" w:eastAsia="华文细黑"/>
                <w:sz w:val="18"/>
                <w:szCs w:val="21"/>
              </w:rPr>
              <w:t>（二）估价委托人提供的资料</w:t>
            </w:r>
          </w:p>
          <w:p>
            <w:pPr>
              <w:spacing w:line="360" w:lineRule="auto"/>
              <w:ind w:firstLine="360" w:firstLineChars="200"/>
              <w:rPr>
                <w:rFonts w:ascii="Arial" w:hAnsi="Arial" w:eastAsia="华文细黑" w:cs="Arial"/>
                <w:sz w:val="18"/>
                <w:szCs w:val="21"/>
              </w:rPr>
            </w:pPr>
            <w:r>
              <w:rPr>
                <w:rFonts w:ascii="Arial" w:hAnsi="Arial" w:eastAsia="华文细黑" w:cs="Arial"/>
                <w:sz w:val="18"/>
                <w:szCs w:val="21"/>
              </w:rPr>
              <w:t>1.《</w:t>
            </w:r>
            <w:r>
              <w:rPr>
                <w:rFonts w:hint="eastAsia" w:ascii="Arial" w:hAnsi="Arial" w:eastAsia="华文细黑" w:cs="Arial"/>
                <w:sz w:val="18"/>
                <w:szCs w:val="21"/>
              </w:rPr>
              <w:t>估价委托书</w:t>
            </w:r>
            <w:r>
              <w:rPr>
                <w:rFonts w:ascii="Arial" w:hAnsi="Arial" w:eastAsia="华文细黑" w:cs="Arial"/>
                <w:sz w:val="18"/>
                <w:szCs w:val="21"/>
              </w:rPr>
              <w:t>》</w:t>
            </w:r>
          </w:p>
          <w:p>
            <w:pPr>
              <w:spacing w:line="360" w:lineRule="auto"/>
              <w:ind w:firstLine="360" w:firstLineChars="200"/>
              <w:rPr>
                <w:rFonts w:hint="eastAsia" w:ascii="Arial" w:hAnsi="Arial" w:eastAsia="华文细黑" w:cs="Arial"/>
                <w:sz w:val="18"/>
                <w:szCs w:val="21"/>
              </w:rPr>
            </w:pPr>
            <w:r>
              <w:rPr>
                <w:rFonts w:hint="eastAsia" w:ascii="Arial" w:hAnsi="Arial" w:eastAsia="华文细黑" w:cs="Arial"/>
                <w:sz w:val="18"/>
                <w:szCs w:val="21"/>
              </w:rPr>
              <w:t>2.《房屋所有权转移登记申请书》复印件</w:t>
            </w:r>
          </w:p>
          <w:p>
            <w:pPr>
              <w:spacing w:line="360" w:lineRule="auto"/>
              <w:ind w:firstLine="360" w:firstLineChars="200"/>
              <w:rPr>
                <w:rFonts w:hint="default" w:ascii="Arial" w:hAnsi="Arial" w:eastAsia="华文细黑" w:cs="Arial"/>
                <w:sz w:val="18"/>
                <w:szCs w:val="21"/>
                <w:lang w:val="en-US" w:eastAsia="zh-CN"/>
              </w:rPr>
            </w:pPr>
            <w:r>
              <w:rPr>
                <w:rFonts w:hint="eastAsia" w:ascii="Arial" w:hAnsi="Arial" w:eastAsia="华文细黑" w:cs="Arial"/>
                <w:sz w:val="18"/>
                <w:szCs w:val="21"/>
                <w:lang w:val="en-US" w:eastAsia="zh-CN"/>
              </w:rPr>
              <w:t>3.《建成年代证明》</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4.《</w:t>
            </w:r>
            <w:r>
              <w:rPr>
                <w:rFonts w:hint="eastAsia" w:ascii="Arial" w:hAnsi="Arial" w:eastAsia="华文细黑" w:cs="Arial"/>
                <w:sz w:val="18"/>
                <w:szCs w:val="21"/>
                <w:lang w:val="en-US" w:eastAsia="zh-CN"/>
              </w:rPr>
              <w:t>物业地址证明</w:t>
            </w:r>
            <w:r>
              <w:rPr>
                <w:rFonts w:hint="eastAsia" w:ascii="Arial" w:hAnsi="Arial" w:eastAsia="华文细黑" w:cs="Arial"/>
                <w:sz w:val="18"/>
                <w:szCs w:val="21"/>
              </w:rPr>
              <w:t>》</w:t>
            </w:r>
          </w:p>
          <w:p>
            <w:pPr>
              <w:spacing w:line="360" w:lineRule="auto"/>
              <w:ind w:firstLine="360" w:firstLineChars="200"/>
              <w:rPr>
                <w:rFonts w:ascii="Arial" w:hAnsi="Arial" w:eastAsia="华文细黑" w:cs="Arial"/>
                <w:sz w:val="18"/>
                <w:szCs w:val="21"/>
              </w:rPr>
            </w:pPr>
            <w:r>
              <w:rPr>
                <w:rFonts w:hint="eastAsia" w:ascii="Arial" w:hAnsi="Arial" w:eastAsia="华文细黑" w:cs="Arial"/>
                <w:sz w:val="18"/>
                <w:szCs w:val="21"/>
              </w:rPr>
              <w:t>5.估价委托人身份证复印件</w:t>
            </w:r>
          </w:p>
          <w:p>
            <w:pPr>
              <w:spacing w:line="360" w:lineRule="auto"/>
              <w:rPr>
                <w:rFonts w:ascii="Arial" w:hAnsi="Arial" w:eastAsia="华文细黑"/>
                <w:sz w:val="18"/>
                <w:szCs w:val="21"/>
              </w:rPr>
            </w:pPr>
            <w:r>
              <w:rPr>
                <w:rFonts w:hint="eastAsia" w:ascii="Arial" w:hAnsi="Arial" w:eastAsia="华文细黑"/>
                <w:sz w:val="18"/>
                <w:szCs w:val="21"/>
              </w:rPr>
              <w:t>（三）评估专业人员实地查勘的有关资料</w:t>
            </w:r>
          </w:p>
          <w:p>
            <w:pPr>
              <w:spacing w:line="360" w:lineRule="auto"/>
              <w:rPr>
                <w:rFonts w:ascii="Arial" w:hAnsi="Arial" w:eastAsia="华文细黑" w:cs="Arial"/>
                <w:kern w:val="2"/>
                <w:sz w:val="18"/>
                <w:szCs w:val="21"/>
              </w:rPr>
            </w:pPr>
            <w:r>
              <w:rPr>
                <w:rFonts w:hint="eastAsia" w:ascii="Arial" w:hAnsi="Arial" w:eastAsia="华文细黑"/>
                <w:sz w:val="18"/>
                <w:szCs w:val="21"/>
              </w:rPr>
              <w:t>（四）房地产估价机构资质证书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b/>
                <w:sz w:val="18"/>
                <w:szCs w:val="21"/>
              </w:rPr>
            </w:pPr>
            <w:r>
              <w:rPr>
                <w:rFonts w:hint="eastAsia" w:ascii="Arial" w:hAnsi="Arial" w:eastAsia="华文细黑" w:cs="Arial"/>
                <w:b/>
                <w:kern w:val="2"/>
                <w:sz w:val="18"/>
                <w:szCs w:val="21"/>
              </w:rPr>
              <w:t>十、估价方法</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right="140" w:firstLine="360" w:firstLineChars="200"/>
              <w:textAlignment w:val="bottom"/>
              <w:rPr>
                <w:rFonts w:ascii="Arial" w:hAnsi="Arial" w:eastAsia="华文细黑"/>
                <w:sz w:val="18"/>
                <w:szCs w:val="21"/>
              </w:rPr>
            </w:pPr>
            <w:r>
              <w:rPr>
                <w:rFonts w:hint="eastAsia" w:ascii="Arial" w:hAnsi="Arial" w:eastAsia="华文细黑" w:cs="Arial"/>
                <w:sz w:val="18"/>
                <w:szCs w:val="21"/>
              </w:rPr>
              <w:t>由于本次评估是</w:t>
            </w:r>
            <w:r>
              <w:rPr>
                <w:rFonts w:hint="eastAsia" w:ascii="Arial" w:hAnsi="Arial" w:eastAsia="华文细黑"/>
                <w:bCs/>
                <w:sz w:val="18"/>
                <w:szCs w:val="21"/>
              </w:rPr>
              <w:t>为估价委托人处置估价对象提供价格参考依据。为估价委托人核定估价对象房地产市场价值提供参考依据</w:t>
            </w:r>
            <w:r>
              <w:rPr>
                <w:rFonts w:hint="eastAsia" w:ascii="Arial" w:hAnsi="Arial" w:eastAsia="华文细黑" w:cs="Arial"/>
                <w:sz w:val="18"/>
                <w:szCs w:val="21"/>
              </w:rPr>
              <w:t>，因此我们在认真分析研究估价对象的相关资料,并通过对邻近地区同类物业调查的基础上,根据《房地产估价规范》[GB/T 50291-2015]的估价程序,选用比较法、</w:t>
            </w:r>
            <w:r>
              <w:rPr>
                <w:rFonts w:hint="eastAsia" w:ascii="Arial" w:hAnsi="Arial" w:eastAsia="华文细黑"/>
                <w:sz w:val="18"/>
                <w:szCs w:val="21"/>
              </w:rPr>
              <w:t>成本法进行估价。估价方法简述如下：</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pStyle w:val="40"/>
              <w:autoSpaceDE w:val="0"/>
              <w:autoSpaceDN w:val="0"/>
              <w:spacing w:line="360" w:lineRule="auto"/>
              <w:ind w:right="6" w:firstLine="360" w:firstLineChars="200"/>
              <w:textAlignment w:val="bottom"/>
              <w:rPr>
                <w:rFonts w:ascii="Arial" w:hAnsi="Arial" w:eastAsia="华文细黑"/>
                <w:sz w:val="18"/>
                <w:szCs w:val="21"/>
              </w:rPr>
            </w:pPr>
            <w:r>
              <w:rPr>
                <w:rFonts w:hint="eastAsia" w:ascii="Arial" w:hAnsi="Arial" w:eastAsia="华文细黑"/>
                <w:sz w:val="18"/>
                <w:szCs w:val="21"/>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pStyle w:val="40"/>
              <w:autoSpaceDE w:val="0"/>
              <w:autoSpaceDN w:val="0"/>
              <w:spacing w:line="360" w:lineRule="auto"/>
              <w:ind w:right="6" w:firstLine="360" w:firstLineChars="200"/>
              <w:textAlignment w:val="bottom"/>
              <w:rPr>
                <w:rFonts w:ascii="Arial" w:hAnsi="Arial" w:eastAsia="华文细黑" w:cs="Arial"/>
                <w:kern w:val="2"/>
                <w:sz w:val="18"/>
                <w:szCs w:val="21"/>
              </w:rPr>
            </w:pPr>
            <w:r>
              <w:rPr>
                <w:rFonts w:hint="eastAsia" w:ascii="Arial" w:hAnsi="Arial" w:eastAsia="华文细黑" w:cs="Arial"/>
                <w:sz w:val="18"/>
                <w:szCs w:val="21"/>
              </w:rPr>
              <w:t>本次</w:t>
            </w:r>
            <w:r>
              <w:rPr>
                <w:rFonts w:hint="eastAsia" w:ascii="Arial" w:hAnsi="Arial" w:eastAsia="华文细黑"/>
                <w:sz w:val="18"/>
                <w:szCs w:val="21"/>
              </w:rPr>
              <w:t>估价</w:t>
            </w:r>
            <w:r>
              <w:rPr>
                <w:rFonts w:hint="eastAsia" w:ascii="Arial" w:hAnsi="Arial" w:eastAsia="华文细黑" w:cs="Arial"/>
                <w:sz w:val="18"/>
                <w:szCs w:val="21"/>
              </w:rPr>
              <w:t>的技术路线首先分别采用比较法、</w:t>
            </w:r>
            <w:r>
              <w:rPr>
                <w:rFonts w:hint="eastAsia" w:ascii="Arial" w:hAnsi="Arial" w:eastAsia="华文细黑"/>
                <w:sz w:val="18"/>
                <w:szCs w:val="21"/>
              </w:rPr>
              <w:t>成本法求取房地产价值。再</w:t>
            </w:r>
            <w:r>
              <w:rPr>
                <w:rFonts w:hint="eastAsia" w:ascii="Arial" w:hAnsi="Arial" w:eastAsia="华文细黑" w:cs="Arial"/>
                <w:sz w:val="18"/>
                <w:szCs w:val="21"/>
              </w:rPr>
              <w:t>依据各方法的估价结果，算术平均确定</w:t>
            </w:r>
            <w:r>
              <w:rPr>
                <w:rFonts w:hint="eastAsia" w:ascii="Arial" w:hAnsi="Arial" w:eastAsia="华文细黑"/>
                <w:sz w:val="18"/>
                <w:szCs w:val="21"/>
              </w:rPr>
              <w:t>估价对象房地产市场价值</w:t>
            </w:r>
            <w:r>
              <w:rPr>
                <w:rFonts w:hint="eastAsia" w:ascii="Arial" w:hAnsi="Arial" w:eastAsia="华文细黑" w:cs="Arial"/>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0" w:hanging="4" w:hangingChars="2"/>
              <w:textAlignment w:val="bottom"/>
              <w:rPr>
                <w:rFonts w:ascii="Arial" w:hAnsi="Arial" w:eastAsia="华文细黑" w:cs="Arial"/>
                <w:b/>
                <w:sz w:val="18"/>
                <w:szCs w:val="21"/>
              </w:rPr>
            </w:pPr>
            <w:r>
              <w:rPr>
                <w:rFonts w:hint="eastAsia" w:ascii="Arial" w:hAnsi="Arial" w:eastAsia="华文细黑" w:cs="Arial"/>
                <w:b/>
                <w:kern w:val="2"/>
                <w:sz w:val="18"/>
                <w:szCs w:val="21"/>
              </w:rPr>
              <w:t>十一、估价结果</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2" w:leftChars="-1" w:right="142" w:firstLine="360" w:firstLineChars="200"/>
              <w:textAlignment w:val="bottom"/>
              <w:rPr>
                <w:rFonts w:ascii="Arial" w:hAnsi="Arial" w:eastAsia="华文细黑" w:cs="Arial"/>
                <w:kern w:val="2"/>
                <w:sz w:val="18"/>
                <w:szCs w:val="21"/>
              </w:rPr>
            </w:pPr>
            <w:r>
              <w:rPr>
                <w:rFonts w:ascii="Arial" w:hAnsi="Arial" w:eastAsia="华文细黑" w:cs="Arial"/>
                <w:sz w:val="18"/>
                <w:szCs w:val="21"/>
              </w:rPr>
              <w:t>评估专业人员根据估价的目的，按照估价的程序，采用科学的估价方法，在认真分析现有资料的基础上，</w:t>
            </w:r>
            <w:r>
              <w:rPr>
                <w:rFonts w:hint="eastAsia" w:ascii="Arial" w:hAnsi="Arial" w:eastAsia="华文细黑"/>
                <w:sz w:val="18"/>
                <w:szCs w:val="21"/>
              </w:rPr>
              <w:t>结合本次估价的特殊要求</w:t>
            </w:r>
            <w:r>
              <w:rPr>
                <w:rFonts w:ascii="Arial" w:hAnsi="Arial" w:eastAsia="华文细黑" w:cs="Arial"/>
                <w:sz w:val="18"/>
                <w:szCs w:val="21"/>
              </w:rPr>
              <w:t>通过仔细测算和认真分析各种影响房地产价格的因素</w:t>
            </w:r>
            <w:r>
              <w:rPr>
                <w:rFonts w:hint="eastAsia" w:ascii="Arial" w:hAnsi="Arial" w:eastAsia="华文细黑" w:cs="Arial"/>
                <w:sz w:val="18"/>
                <w:szCs w:val="21"/>
              </w:rPr>
              <w:t xml:space="preserve">, </w:t>
            </w:r>
            <w:r>
              <w:rPr>
                <w:rFonts w:ascii="Arial" w:hAnsi="Arial" w:eastAsia="华文细黑" w:cs="Arial"/>
                <w:sz w:val="18"/>
                <w:szCs w:val="21"/>
              </w:rPr>
              <w:t>确定估价对象</w:t>
            </w:r>
            <w:r>
              <w:rPr>
                <w:rFonts w:hint="eastAsia" w:ascii="Arial" w:hAnsi="Arial" w:eastAsia="华文细黑" w:cs="Arial"/>
                <w:sz w:val="18"/>
                <w:szCs w:val="21"/>
              </w:rPr>
              <w:t>于价值时点的</w:t>
            </w:r>
            <w:r>
              <w:rPr>
                <w:rFonts w:ascii="Arial" w:hAnsi="Arial" w:eastAsia="华文细黑" w:cs="Arial"/>
                <w:sz w:val="18"/>
                <w:szCs w:val="21"/>
              </w:rPr>
              <w:t>房地产评估价值，详见估价结果一览表</w:t>
            </w:r>
            <w:r>
              <w:rPr>
                <w:rFonts w:hint="eastAsia" w:ascii="Arial" w:hAnsi="Arial" w:eastAsia="华文细黑"/>
                <w:sz w:val="18"/>
                <w:szCs w:val="21"/>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autoSpaceDE w:val="0"/>
              <w:autoSpaceDN w:val="0"/>
              <w:spacing w:line="360" w:lineRule="auto"/>
              <w:ind w:leftChars="-1" w:right="142" w:hanging="1" w:hangingChars="1"/>
              <w:jc w:val="center"/>
              <w:textAlignment w:val="bottom"/>
              <w:rPr>
                <w:rFonts w:ascii="Arial" w:hAnsi="Arial" w:eastAsia="华文细黑" w:cs="Arial"/>
                <w:sz w:val="18"/>
                <w:szCs w:val="21"/>
              </w:rPr>
            </w:pPr>
            <w:bookmarkStart w:id="9" w:name="OLE_LINK4"/>
            <w:bookmarkStart w:id="10" w:name="OLE_LINK3"/>
            <w:r>
              <w:rPr>
                <w:rFonts w:hint="eastAsia" w:ascii="Arial" w:hAnsi="Arial" w:eastAsia="华文细黑"/>
                <w:sz w:val="18"/>
                <w:szCs w:val="21"/>
              </w:rPr>
              <w:t>估价结果一览表</w:t>
            </w:r>
            <w:bookmarkEnd w:id="9"/>
            <w:bookmarkEnd w:id="10"/>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restart"/>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估价对象</w:t>
            </w:r>
          </w:p>
        </w:tc>
        <w:tc>
          <w:tcPr>
            <w:tcW w:w="1858" w:type="dxa"/>
            <w:gridSpan w:val="3"/>
            <w:vMerge w:val="restart"/>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建筑面积（平方米）</w:t>
            </w:r>
          </w:p>
        </w:tc>
        <w:tc>
          <w:tcPr>
            <w:tcW w:w="3759" w:type="dxa"/>
            <w:gridSpan w:val="5"/>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vMerge w:val="continue"/>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858" w:type="dxa"/>
            <w:gridSpan w:val="3"/>
            <w:vMerge w:val="continue"/>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总价（元）</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sz w:val="18"/>
                <w:szCs w:val="21"/>
              </w:rPr>
              <w:t>楼面单价（元/平方米）</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sz w:val="18"/>
                <w:szCs w:val="21"/>
              </w:rPr>
              <w:t>北京市海淀区西郊板井村市农林科学院宿舍14号楼3层1门302号住宅用房</w:t>
            </w:r>
          </w:p>
        </w:tc>
        <w:tc>
          <w:tcPr>
            <w:tcW w:w="1858" w:type="dxa"/>
            <w:gridSpan w:val="3"/>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hint="default" w:ascii="Arial" w:hAnsi="Arial" w:eastAsia="华文细黑"/>
                <w:sz w:val="18"/>
                <w:szCs w:val="21"/>
                <w:lang w:val="en-US" w:eastAsia="zh-CN"/>
              </w:rPr>
            </w:pPr>
            <w:r>
              <w:rPr>
                <w:rFonts w:hint="eastAsia" w:ascii="Arial" w:hAnsi="Arial" w:eastAsia="华文细黑"/>
                <w:sz w:val="18"/>
                <w:szCs w:val="21"/>
                <w:lang w:val="en-US" w:eastAsia="zh-CN"/>
              </w:rPr>
              <w:t>56.01</w:t>
            </w:r>
          </w:p>
        </w:tc>
        <w:tc>
          <w:tcPr>
            <w:tcW w:w="1794" w:type="dxa"/>
            <w:gridSpan w:val="4"/>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hint="default" w:ascii="Arial" w:hAnsi="Arial" w:eastAsia="华文细黑"/>
                <w:sz w:val="18"/>
                <w:szCs w:val="21"/>
                <w:highlight w:val="none"/>
                <w:lang w:val="en-US" w:eastAsia="zh-CN"/>
              </w:rPr>
            </w:pPr>
            <w:r>
              <w:rPr>
                <w:rFonts w:hint="eastAsia" w:ascii="Arial" w:hAnsi="Arial" w:eastAsia="华文细黑"/>
                <w:sz w:val="18"/>
                <w:szCs w:val="21"/>
                <w:highlight w:val="none"/>
                <w:lang w:val="en-US" w:eastAsia="zh-CN"/>
              </w:rPr>
              <w:t>550354</w:t>
            </w:r>
          </w:p>
        </w:tc>
        <w:tc>
          <w:tcPr>
            <w:tcW w:w="1965" w:type="dxa"/>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hint="default" w:ascii="Arial" w:hAnsi="Arial" w:eastAsia="华文细黑"/>
                <w:sz w:val="18"/>
                <w:szCs w:val="21"/>
                <w:highlight w:val="none"/>
                <w:lang w:val="en-US" w:eastAsia="zh-CN"/>
              </w:rPr>
            </w:pPr>
            <w:r>
              <w:rPr>
                <w:rFonts w:hint="eastAsia" w:ascii="Arial" w:hAnsi="Arial" w:eastAsia="华文细黑"/>
                <w:sz w:val="18"/>
                <w:szCs w:val="21"/>
                <w:highlight w:val="none"/>
                <w:lang w:val="en-US" w:eastAsia="zh-CN"/>
              </w:rPr>
              <w:t>9826</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rPr>
            </w:pPr>
            <w:r>
              <w:rPr>
                <w:rFonts w:hint="eastAsia" w:ascii="Arial" w:hAnsi="Arial" w:eastAsia="华文细黑" w:cs="宋体"/>
                <w:bCs/>
                <w:sz w:val="18"/>
                <w:szCs w:val="21"/>
              </w:rPr>
              <w:t>大写金额</w:t>
            </w:r>
          </w:p>
        </w:tc>
        <w:tc>
          <w:tcPr>
            <w:tcW w:w="5617" w:type="dxa"/>
            <w:gridSpan w:val="8"/>
            <w:tcMar>
              <w:top w:w="85" w:type="dxa"/>
              <w:left w:w="85" w:type="dxa"/>
              <w:bottom w:w="85" w:type="dxa"/>
              <w:right w:w="28" w:type="dxa"/>
            </w:tcMar>
            <w:vAlign w:val="center"/>
          </w:tcPr>
          <w:p>
            <w:pPr>
              <w:pStyle w:val="40"/>
              <w:autoSpaceDE w:val="0"/>
              <w:autoSpaceDN w:val="0"/>
              <w:spacing w:line="360" w:lineRule="auto"/>
              <w:ind w:leftChars="-1" w:right="142" w:hanging="1" w:hangingChars="1"/>
              <w:textAlignment w:val="bottom"/>
              <w:rPr>
                <w:rFonts w:ascii="Arial" w:hAnsi="Arial" w:eastAsia="华文细黑"/>
                <w:sz w:val="18"/>
                <w:szCs w:val="21"/>
                <w:highlight w:val="yellow"/>
              </w:rPr>
            </w:pPr>
            <w:r>
              <w:rPr>
                <w:rFonts w:hint="eastAsia" w:ascii="Arial" w:hAnsi="Arial" w:eastAsia="华文细黑" w:cs="宋体"/>
                <w:sz w:val="18"/>
                <w:szCs w:val="18"/>
                <w:lang w:val="en-US" w:eastAsia="zh-CN"/>
              </w:rPr>
              <w:t>伍拾伍万零叁佰伍拾肆</w:t>
            </w:r>
            <w:r>
              <w:rPr>
                <w:rFonts w:hint="eastAsia" w:ascii="Arial" w:hAnsi="Arial" w:eastAsia="华文细黑" w:cs="宋体"/>
                <w:sz w:val="18"/>
                <w:szCs w:val="18"/>
              </w:rPr>
              <w:t>元整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before="120" w:beforeLines="50" w:line="360" w:lineRule="auto"/>
              <w:rPr>
                <w:rFonts w:ascii="Arial" w:hAnsi="Arial" w:eastAsia="华文细黑"/>
                <w:sz w:val="18"/>
                <w:szCs w:val="21"/>
              </w:rPr>
            </w:pPr>
            <w:r>
              <w:rPr>
                <w:rFonts w:hint="eastAsia" w:ascii="Arial" w:hAnsi="Arial" w:eastAsia="华文细黑"/>
                <w:sz w:val="18"/>
                <w:szCs w:val="21"/>
              </w:rPr>
              <w:t>（以上估价结果中总价为楼面单价乘以建筑面积得出）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85" w:type="dxa"/>
            <w:left w:w="85" w:type="dxa"/>
            <w:bottom w:w="85" w:type="dxa"/>
            <w:right w:w="28" w:type="dxa"/>
          </w:tblCellMar>
        </w:tblPrEx>
        <w:trPr>
          <w:trHeight w:val="510" w:hRule="atLeast"/>
          <w:jc w:val="center"/>
        </w:trPr>
        <w:tc>
          <w:tcPr>
            <w:tcW w:w="9334" w:type="dxa"/>
            <w:gridSpan w:val="14"/>
            <w:noWrap/>
            <w:tcMar>
              <w:top w:w="85" w:type="dxa"/>
              <w:left w:w="85" w:type="dxa"/>
              <w:bottom w:w="85" w:type="dxa"/>
              <w:right w:w="28" w:type="dxa"/>
            </w:tcMar>
            <w:vAlign w:val="center"/>
          </w:tcPr>
          <w:p>
            <w:pPr>
              <w:spacing w:line="360" w:lineRule="auto"/>
              <w:rPr>
                <w:rFonts w:ascii="Arial" w:hAnsi="Arial" w:eastAsia="华文细黑"/>
                <w:sz w:val="18"/>
                <w:szCs w:val="21"/>
              </w:rPr>
            </w:pPr>
            <w:r>
              <w:rPr>
                <w:rFonts w:hint="eastAsia" w:ascii="Arial" w:hAnsi="Arial" w:eastAsia="华文细黑"/>
                <w:sz w:val="18"/>
                <w:szCs w:val="21"/>
              </w:rPr>
              <w:t>特别提示：</w:t>
            </w:r>
          </w:p>
          <w:p>
            <w:pPr>
              <w:spacing w:before="120" w:beforeLines="50" w:line="360" w:lineRule="auto"/>
              <w:rPr>
                <w:rFonts w:ascii="Arial" w:hAnsi="Arial" w:eastAsia="华文细黑"/>
                <w:sz w:val="18"/>
                <w:szCs w:val="21"/>
              </w:rPr>
            </w:pPr>
            <w:r>
              <w:rPr>
                <w:rFonts w:hint="eastAsia" w:ascii="Arial" w:hAnsi="Arial" w:eastAsia="华文细黑"/>
                <w:sz w:val="18"/>
                <w:szCs w:val="21"/>
              </w:rPr>
              <w:t>1.</w:t>
            </w:r>
            <w:r>
              <w:rPr>
                <w:rFonts w:hint="eastAsia"/>
              </w:rPr>
              <w:t xml:space="preserve"> </w:t>
            </w:r>
            <w:r>
              <w:rPr>
                <w:rFonts w:hint="eastAsia" w:ascii="Arial" w:hAnsi="Arial" w:eastAsia="华文细黑"/>
                <w:sz w:val="18"/>
                <w:szCs w:val="21"/>
              </w:rPr>
              <w:t>根据估价委托人提供的《估价委托书》，至价值时点，估价对象设定为未设定抵押权、租赁权、地役权。本报告估价结果以设定估价对象在价值时点不存在抵押权为估价假设前提条件。</w:t>
            </w:r>
          </w:p>
          <w:p>
            <w:pPr>
              <w:spacing w:before="120" w:beforeLines="50" w:line="360" w:lineRule="auto"/>
              <w:rPr>
                <w:rFonts w:ascii="Arial" w:hAnsi="Arial" w:eastAsia="华文细黑"/>
                <w:sz w:val="18"/>
                <w:szCs w:val="21"/>
              </w:rPr>
            </w:pPr>
            <w:r>
              <w:rPr>
                <w:rFonts w:hint="eastAsia" w:ascii="Arial" w:hAnsi="Arial" w:eastAsia="华文细黑"/>
                <w:sz w:val="18"/>
                <w:szCs w:val="21"/>
              </w:rPr>
              <w:t>2.本报告估价结果的总价为楼面单价乘以建筑面积并按四舍五入保留至个位计算得出，本次评估结果以总价为准。</w:t>
            </w:r>
          </w:p>
        </w:tc>
      </w:tr>
    </w:tbl>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1" w:name="_Toc500322974"/>
      <w:r>
        <w:rPr>
          <w:rFonts w:hint="eastAsia" w:eastAsia="宋体"/>
          <w:kern w:val="2"/>
          <w:sz w:val="21"/>
          <w:szCs w:val="21"/>
        </w:rPr>
        <w:t>十</w:t>
      </w:r>
      <w:bookmarkEnd w:id="8"/>
      <w:r>
        <w:rPr>
          <w:rFonts w:hint="eastAsia" w:eastAsia="宋体"/>
          <w:kern w:val="2"/>
          <w:sz w:val="21"/>
          <w:szCs w:val="21"/>
        </w:rPr>
        <w:t>二、参与本次估价工作的评估专业人员</w:t>
      </w:r>
      <w:bookmarkEnd w:id="11"/>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autofit"/>
        <w:tblCellMar>
          <w:top w:w="0" w:type="dxa"/>
          <w:left w:w="108" w:type="dxa"/>
          <w:bottom w:w="0" w:type="dxa"/>
          <w:right w:w="108" w:type="dxa"/>
        </w:tblCellMar>
      </w:tblPr>
      <w:tblGrid>
        <w:gridCol w:w="1746"/>
        <w:gridCol w:w="2197"/>
        <w:gridCol w:w="2774"/>
        <w:gridCol w:w="2582"/>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tcBorders>
              <w:bottom w:val="single" w:color="404040" w:sz="2" w:space="0"/>
            </w:tcBorders>
            <w:shd w:val="clear" w:color="auto" w:fill="auto"/>
            <w:vAlign w:val="center"/>
          </w:tcPr>
          <w:p>
            <w:pPr>
              <w:tabs>
                <w:tab w:val="left" w:pos="5160"/>
              </w:tabs>
              <w:overflowPunct w:val="0"/>
              <w:spacing w:line="240" w:lineRule="auto"/>
              <w:rPr>
                <w:rFonts w:ascii="Arial" w:hAnsi="Arial" w:cs="Arial"/>
                <w:b/>
                <w:sz w:val="21"/>
                <w:szCs w:val="21"/>
              </w:rPr>
            </w:pPr>
            <w:r>
              <w:rPr>
                <w:rFonts w:ascii="Arial" w:hAnsi="Arial" w:cs="Arial"/>
                <w:b/>
                <w:kern w:val="2"/>
                <w:sz w:val="21"/>
                <w:szCs w:val="21"/>
              </w:rPr>
              <w:t>注册房地产估价师</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注册号</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陈  颖</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1120</w:t>
            </w:r>
            <w:r>
              <w:rPr>
                <w:rFonts w:hint="eastAsia" w:ascii="Arial" w:hAnsi="Arial" w:cs="Arial"/>
                <w:sz w:val="21"/>
                <w:szCs w:val="21"/>
              </w:rPr>
              <w:t>060040</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刘朝阳</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1120060041</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shd w:val="clear" w:color="auto" w:fill="auto"/>
            <w:vAlign w:val="center"/>
          </w:tcPr>
          <w:p>
            <w:pPr>
              <w:tabs>
                <w:tab w:val="left" w:pos="5160"/>
              </w:tabs>
              <w:overflowPunct w:val="0"/>
              <w:spacing w:line="240" w:lineRule="auto"/>
              <w:rPr>
                <w:rFonts w:ascii="Arial" w:hAnsi="Arial" w:cs="Arial"/>
                <w:b/>
                <w:kern w:val="2"/>
                <w:sz w:val="21"/>
                <w:szCs w:val="21"/>
              </w:rPr>
            </w:pPr>
            <w:r>
              <w:rPr>
                <w:rFonts w:hint="eastAsia" w:ascii="Arial" w:hAnsi="Arial" w:cs="Arial"/>
                <w:b/>
                <w:kern w:val="2"/>
                <w:sz w:val="21"/>
                <w:szCs w:val="21"/>
              </w:rPr>
              <w:t>其他评估专业</w:t>
            </w:r>
            <w:r>
              <w:rPr>
                <w:rFonts w:ascii="Arial" w:hAnsi="Arial" w:cs="Arial"/>
                <w:b/>
                <w:kern w:val="2"/>
                <w:sz w:val="21"/>
                <w:szCs w:val="21"/>
              </w:rPr>
              <w:t>人员</w:t>
            </w:r>
            <w:r>
              <w:rPr>
                <w:rFonts w:hint="eastAsia" w:ascii="Arial" w:hAnsi="Arial" w:cs="Arial"/>
                <w:b/>
                <w:kern w:val="2"/>
                <w:sz w:val="21"/>
                <w:szCs w:val="21"/>
              </w:rPr>
              <w:t xml:space="preserve"> </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kern w:val="2"/>
                <w:sz w:val="21"/>
                <w:szCs w:val="21"/>
              </w:rPr>
              <w:t>相关资格或职称</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边  远</w:t>
            </w:r>
          </w:p>
        </w:tc>
        <w:tc>
          <w:tcPr>
            <w:tcW w:w="2197" w:type="dxa"/>
            <w:shd w:val="clear" w:color="auto" w:fill="auto"/>
            <w:vAlign w:val="center"/>
          </w:tcPr>
          <w:p>
            <w:pPr>
              <w:tabs>
                <w:tab w:val="left" w:pos="5160"/>
              </w:tabs>
              <w:overflowPunct w:val="0"/>
              <w:spacing w:line="240" w:lineRule="auto"/>
              <w:rPr>
                <w:rFonts w:ascii="楷体_GB2312" w:hAnsi="Tms Rmn" w:eastAsia="楷体_GB2312"/>
                <w:sz w:val="28"/>
                <w:szCs w:val="28"/>
              </w:rPr>
            </w:pPr>
            <w:r>
              <w:rPr>
                <w:rFonts w:hint="eastAsia" w:ascii="楷体_GB2312" w:hAnsi="Tms Rmn" w:eastAsia="楷体_GB2312"/>
                <w:sz w:val="28"/>
                <w:szCs w:val="28"/>
              </w:rPr>
              <w:t>——</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bl>
    <w:p>
      <w:pPr>
        <w:overflowPunct w:val="0"/>
        <w:spacing w:line="480" w:lineRule="auto"/>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2" w:name="_Toc500322975"/>
      <w:r>
        <w:rPr>
          <w:rFonts w:hint="eastAsia" w:eastAsia="宋体"/>
          <w:kern w:val="2"/>
          <w:sz w:val="21"/>
          <w:szCs w:val="21"/>
        </w:rPr>
        <w:t>十三、实地</w:t>
      </w:r>
      <w:r>
        <w:rPr>
          <w:rFonts w:eastAsia="宋体"/>
          <w:kern w:val="2"/>
          <w:sz w:val="21"/>
          <w:szCs w:val="21"/>
        </w:rPr>
        <w:t>查勘</w:t>
      </w:r>
      <w:r>
        <w:rPr>
          <w:rFonts w:hint="eastAsia" w:eastAsia="宋体"/>
          <w:kern w:val="2"/>
          <w:sz w:val="21"/>
          <w:szCs w:val="21"/>
        </w:rPr>
        <w:t>期</w:t>
      </w:r>
      <w:bookmarkEnd w:id="12"/>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w:t>
      </w:r>
      <w:r>
        <w:rPr>
          <w:rFonts w:hint="eastAsia" w:ascii="Arial" w:hAnsi="Arial"/>
          <w:sz w:val="21"/>
          <w:szCs w:val="21"/>
          <w:lang w:val="en-US" w:eastAsia="zh-CN"/>
        </w:rPr>
        <w:t>18</w:t>
      </w:r>
      <w:r>
        <w:rPr>
          <w:rFonts w:hint="eastAsia" w:ascii="Arial" w:hAnsi="Arial"/>
          <w:sz w:val="21"/>
          <w:szCs w:val="21"/>
        </w:rPr>
        <w:t>日</w:t>
      </w:r>
    </w:p>
    <w:p>
      <w:pPr>
        <w:overflowPunct w:val="0"/>
        <w:spacing w:line="480" w:lineRule="auto"/>
        <w:ind w:firstLine="420" w:firstLineChars="200"/>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3" w:name="_Toc500322976"/>
      <w:bookmarkStart w:id="14" w:name="_Toc168225825"/>
      <w:r>
        <w:rPr>
          <w:rFonts w:hint="eastAsia" w:eastAsia="宋体"/>
          <w:kern w:val="2"/>
          <w:sz w:val="21"/>
          <w:szCs w:val="21"/>
        </w:rPr>
        <w:t>十四、估价作业期</w:t>
      </w:r>
      <w:bookmarkEnd w:id="13"/>
      <w:bookmarkEnd w:id="14"/>
      <w:r>
        <w:rPr>
          <w:rFonts w:hint="eastAsia" w:eastAsia="宋体"/>
          <w:kern w:val="2"/>
          <w:sz w:val="21"/>
          <w:szCs w:val="21"/>
        </w:rPr>
        <w:t xml:space="preserve">  </w:t>
      </w:r>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2021年9月</w:t>
      </w:r>
      <w:r>
        <w:rPr>
          <w:rFonts w:hint="eastAsia" w:ascii="Arial" w:hAnsi="Arial"/>
          <w:sz w:val="21"/>
          <w:szCs w:val="21"/>
          <w:lang w:val="en-US" w:eastAsia="zh-CN"/>
        </w:rPr>
        <w:t>18</w:t>
      </w:r>
      <w:r>
        <w:rPr>
          <w:rFonts w:hint="eastAsia" w:ascii="Arial" w:hAnsi="Arial"/>
          <w:sz w:val="21"/>
          <w:szCs w:val="21"/>
        </w:rPr>
        <w:t>日至2021年9月</w:t>
      </w:r>
      <w:r>
        <w:rPr>
          <w:rFonts w:hint="eastAsia" w:ascii="Arial" w:hAnsi="Arial"/>
          <w:sz w:val="21"/>
          <w:szCs w:val="21"/>
          <w:lang w:val="en-US" w:eastAsia="zh-CN"/>
        </w:rPr>
        <w:t>26</w:t>
      </w:r>
      <w:r>
        <w:rPr>
          <w:rFonts w:hint="eastAsia" w:ascii="Arial" w:hAnsi="Arial"/>
          <w:sz w:val="21"/>
          <w:szCs w:val="21"/>
        </w:rPr>
        <w:t>日</w:t>
      </w:r>
    </w:p>
    <w:p>
      <w:pPr>
        <w:overflowPunct w:val="0"/>
        <w:spacing w:line="480" w:lineRule="auto"/>
        <w:ind w:firstLine="422" w:firstLineChars="200"/>
        <w:jc w:val="both"/>
        <w:textAlignment w:val="auto"/>
        <w:outlineLvl w:val="0"/>
        <w:rPr>
          <w:rFonts w:ascii="Arial" w:hAnsi="Arial"/>
          <w:b/>
          <w:kern w:val="2"/>
          <w:sz w:val="21"/>
          <w:szCs w:val="21"/>
        </w:rPr>
        <w:sectPr>
          <w:headerReference r:id="rId13" w:type="default"/>
          <w:footerReference r:id="rId14" w:type="even"/>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5" w:name="_Toc500322977"/>
      <w:r>
        <w:rPr>
          <w:rFonts w:hint="eastAsia" w:eastAsia="方正黑体简体"/>
          <w:b w:val="0"/>
          <w:kern w:val="2"/>
          <w:sz w:val="32"/>
          <w:szCs w:val="32"/>
        </w:rPr>
        <w:t>附   件</w:t>
      </w:r>
      <w:bookmarkEnd w:id="15"/>
    </w:p>
    <w:p>
      <w:pPr>
        <w:numPr>
          <w:ilvl w:val="0"/>
          <w:numId w:val="7"/>
        </w:numPr>
        <w:spacing w:line="420" w:lineRule="exact"/>
        <w:jc w:val="both"/>
        <w:rPr>
          <w:rFonts w:ascii="Arial" w:hAnsi="Arial"/>
          <w:sz w:val="21"/>
          <w:szCs w:val="24"/>
        </w:rPr>
      </w:pPr>
      <w:r>
        <w:rPr>
          <w:rFonts w:hint="eastAsia" w:ascii="Arial" w:hAnsi="Arial"/>
          <w:sz w:val="21"/>
          <w:szCs w:val="24"/>
        </w:rPr>
        <w:t>《估价委托书》</w:t>
      </w:r>
    </w:p>
    <w:p>
      <w:pPr>
        <w:numPr>
          <w:ilvl w:val="0"/>
          <w:numId w:val="7"/>
        </w:numPr>
        <w:spacing w:line="420" w:lineRule="exact"/>
        <w:jc w:val="both"/>
        <w:rPr>
          <w:rFonts w:ascii="Arial" w:hAnsi="Arial"/>
          <w:sz w:val="21"/>
          <w:szCs w:val="24"/>
        </w:rPr>
      </w:pPr>
      <w:r>
        <w:rPr>
          <w:rFonts w:hint="eastAsia" w:ascii="Arial" w:hAnsi="Arial"/>
          <w:sz w:val="21"/>
          <w:szCs w:val="24"/>
        </w:rPr>
        <w:t>估价对象所在位置示意图</w:t>
      </w:r>
    </w:p>
    <w:p>
      <w:pPr>
        <w:numPr>
          <w:ilvl w:val="0"/>
          <w:numId w:val="7"/>
        </w:numPr>
        <w:spacing w:line="420" w:lineRule="exact"/>
        <w:jc w:val="both"/>
        <w:rPr>
          <w:rFonts w:ascii="Arial" w:hAnsi="Arial" w:cs="Arial"/>
          <w:sz w:val="21"/>
          <w:szCs w:val="24"/>
        </w:rPr>
      </w:pPr>
      <w:r>
        <w:rPr>
          <w:rFonts w:hint="eastAsia" w:ascii="Arial" w:hAnsi="Arial"/>
          <w:sz w:val="21"/>
          <w:szCs w:val="24"/>
        </w:rPr>
        <w:t>估价对象实地查勘情况和相关照片</w:t>
      </w:r>
    </w:p>
    <w:p>
      <w:pPr>
        <w:numPr>
          <w:ilvl w:val="0"/>
          <w:numId w:val="7"/>
        </w:numPr>
        <w:spacing w:line="420" w:lineRule="exact"/>
        <w:jc w:val="both"/>
        <w:rPr>
          <w:rFonts w:ascii="Arial" w:hAnsi="Arial" w:cs="Arial"/>
          <w:sz w:val="21"/>
          <w:szCs w:val="24"/>
        </w:rPr>
      </w:pPr>
      <w:r>
        <w:rPr>
          <w:rFonts w:hint="eastAsia" w:ascii="Arial" w:hAnsi="Arial" w:cs="Arial"/>
          <w:sz w:val="21"/>
          <w:szCs w:val="24"/>
        </w:rPr>
        <w:t>《房屋所有权转移登记申请书》复印件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《建成年代证明》复印件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《物业地址证明》复印件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估价委托人身份证复印件</w:t>
      </w:r>
    </w:p>
    <w:p>
      <w:pPr>
        <w:numPr>
          <w:ilvl w:val="0"/>
          <w:numId w:val="7"/>
        </w:numPr>
        <w:spacing w:line="420" w:lineRule="exact"/>
        <w:jc w:val="both"/>
        <w:rPr>
          <w:rFonts w:ascii="Arial" w:hAnsi="Arial" w:cs="Arial"/>
          <w:sz w:val="21"/>
          <w:szCs w:val="24"/>
        </w:rPr>
      </w:pPr>
      <w:r>
        <w:rPr>
          <w:rFonts w:ascii="Arial" w:hAnsi="Arial" w:cs="Arial"/>
          <w:sz w:val="21"/>
          <w:szCs w:val="24"/>
        </w:rPr>
        <w:t>房地产估价机构《营业执</w:t>
      </w:r>
      <w:r>
        <w:rPr>
          <w:rFonts w:ascii="Arial" w:hAnsi="Arial" w:cs="Arial"/>
          <w:sz w:val="21"/>
          <w:szCs w:val="21"/>
        </w:rPr>
        <w:t>照</w:t>
      </w:r>
      <w:r>
        <w:rPr>
          <w:rFonts w:ascii="Arial" w:hAnsi="Arial" w:cs="Arial"/>
          <w:sz w:val="21"/>
          <w:szCs w:val="24"/>
        </w:rPr>
        <w:t>（副本）》复印件</w:t>
      </w:r>
    </w:p>
    <w:p>
      <w:pPr>
        <w:numPr>
          <w:ilvl w:val="0"/>
          <w:numId w:val="7"/>
        </w:numPr>
        <w:spacing w:line="420" w:lineRule="exact"/>
        <w:jc w:val="both"/>
        <w:rPr>
          <w:rFonts w:ascii="Arial" w:hAnsi="Arial" w:cs="Arial"/>
          <w:sz w:val="21"/>
          <w:szCs w:val="24"/>
        </w:rPr>
      </w:pPr>
      <w:r>
        <w:rPr>
          <w:rFonts w:ascii="Arial" w:hAnsi="Arial" w:cs="Arial"/>
          <w:sz w:val="21"/>
          <w:szCs w:val="24"/>
        </w:rPr>
        <w:t>估价机构资质证书复印件</w:t>
      </w:r>
    </w:p>
    <w:p>
      <w:pPr>
        <w:numPr>
          <w:ilvl w:val="0"/>
          <w:numId w:val="7"/>
        </w:numPr>
        <w:spacing w:line="420" w:lineRule="exact"/>
        <w:jc w:val="both"/>
        <w:rPr>
          <w:rFonts w:ascii="Arial" w:hAnsi="Arial" w:cs="Arial"/>
          <w:sz w:val="21"/>
          <w:szCs w:val="24"/>
        </w:rPr>
      </w:pPr>
      <w:r>
        <w:rPr>
          <w:rFonts w:ascii="Arial" w:hAnsi="Arial" w:cs="Arial"/>
          <w:sz w:val="21"/>
          <w:szCs w:val="24"/>
        </w:rPr>
        <w:t>评估专业人员执业证书复印件</w:t>
      </w:r>
    </w:p>
    <w:p>
      <w:pPr>
        <w:spacing w:line="420" w:lineRule="exact"/>
        <w:ind w:left="840"/>
        <w:jc w:val="both"/>
        <w:rPr>
          <w:rFonts w:ascii="Arial" w:hAnsi="Arial" w:cs="Arial"/>
          <w:sz w:val="21"/>
          <w:szCs w:val="24"/>
        </w:rPr>
      </w:pPr>
    </w:p>
    <w:sectPr>
      <w:headerReference r:id="rId15" w:type="default"/>
      <w:pgSz w:w="11907" w:h="16840"/>
      <w:pgMar w:top="1843" w:right="1134" w:bottom="1191" w:left="1134" w:header="1134" w:footer="1134" w:gutter="34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ngsuhChe">
    <w:panose1 w:val="0203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方正黑体简体">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tabs>
        <w:tab w:val="right" w:pos="8647"/>
        <w:tab w:val="clear" w:pos="8306"/>
      </w:tabs>
      <w:ind w:right="17"/>
    </w:pPr>
    <w:r>
      <w:rPr>
        <w:rFonts w:hint="eastAsia"/>
      </w:rPr>
      <w:t>评估编号：</w:t>
    </w:r>
    <w:r>
      <w:rPr>
        <w:rFonts w:hint="eastAsia" w:ascii="Arial" w:hAnsi="Arial"/>
      </w:rPr>
      <w:t>2021-1-0511-F01HDZC6</w:t>
    </w:r>
    <w:r>
      <w:rPr>
        <w:rFonts w:hint="eastAsia"/>
      </w:rPr>
      <w:t xml:space="preserve">                                                                    </w:t>
    </w:r>
    <w:r>
      <w:rPr>
        <w:rFonts w:ascii="Calibri" w:hAnsi="Calibri"/>
      </w:rPr>
      <w:fldChar w:fldCharType="begin"/>
    </w:r>
    <w:r>
      <w:instrText xml:space="preserve">PAGE   \* MERGEFORMAT</w:instrText>
    </w:r>
    <w:r>
      <w:rPr>
        <w:rFonts w:ascii="Calibri" w:hAnsi="Calibri"/>
      </w:rPr>
      <w:fldChar w:fldCharType="separate"/>
    </w:r>
    <w:r>
      <w:rPr>
        <w:rFonts w:ascii="Arial" w:hAnsi="Arial"/>
        <w:lang w:val="zh-CN"/>
      </w:rPr>
      <w:t>1</w:t>
    </w:r>
    <w:r>
      <w:rPr>
        <w:rFonts w:ascii="Cambria" w:hAnsi="Cambr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rFonts w:ascii="Arial" w:hAnsi="Arial"/>
        <w:lang w:val="zh-CN"/>
      </w:rPr>
      <w:t>12</w:t>
    </w:r>
    <w:r>
      <w:fldChar w:fldCharType="end"/>
    </w:r>
  </w:p>
  <w:p>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5" name="图片 0" descr="评估报告内页页眉.jpg"/>
          <wp:cNvGraphicFramePr/>
          <a:graphic xmlns:a="http://schemas.openxmlformats.org/drawingml/2006/main">
            <a:graphicData uri="http://schemas.openxmlformats.org/drawingml/2006/picture">
              <pic:pic xmlns:pic="http://schemas.openxmlformats.org/drawingml/2006/picture">
                <pic:nvPicPr>
                  <pic:cNvPr id="5"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6" name="图片 0" descr="评估报告内页页眉.jpg"/>
          <wp:cNvGraphicFramePr/>
          <a:graphic xmlns:a="http://schemas.openxmlformats.org/drawingml/2006/main">
            <a:graphicData uri="http://schemas.openxmlformats.org/drawingml/2006/picture">
              <pic:pic xmlns:pic="http://schemas.openxmlformats.org/drawingml/2006/picture">
                <pic:nvPicPr>
                  <pic:cNvPr id="6"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902325" cy="285750"/>
          <wp:effectExtent l="0" t="0" r="3175" b="0"/>
          <wp:docPr id="7" name="图片 0" descr="评估报告内页页眉.jpg"/>
          <wp:cNvGraphicFramePr/>
          <a:graphic xmlns:a="http://schemas.openxmlformats.org/drawingml/2006/main">
            <a:graphicData uri="http://schemas.openxmlformats.org/drawingml/2006/picture">
              <pic:pic xmlns:pic="http://schemas.openxmlformats.org/drawingml/2006/picture">
                <pic:nvPicPr>
                  <pic:cNvPr id="7"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210A438F"/>
    <w:multiLevelType w:val="multilevel"/>
    <w:tmpl w:val="210A43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F75245"/>
    <w:multiLevelType w:val="multilevel"/>
    <w:tmpl w:val="42F75245"/>
    <w:lvl w:ilvl="0" w:tentative="0">
      <w:start w:val="1"/>
      <w:numFmt w:val="decimal"/>
      <w:lvlText w:val="%1."/>
      <w:lvlJc w:val="left"/>
      <w:pPr>
        <w:ind w:left="660" w:hanging="420"/>
      </w:pPr>
      <w:rPr>
        <w:rFonts w:hint="default"/>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5">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5"/>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4D42"/>
    <w:rsid w:val="0001031A"/>
    <w:rsid w:val="0001237C"/>
    <w:rsid w:val="0001354F"/>
    <w:rsid w:val="000135ED"/>
    <w:rsid w:val="00014F2D"/>
    <w:rsid w:val="00022827"/>
    <w:rsid w:val="00025398"/>
    <w:rsid w:val="00027D53"/>
    <w:rsid w:val="00030B79"/>
    <w:rsid w:val="0003345F"/>
    <w:rsid w:val="00035392"/>
    <w:rsid w:val="00037642"/>
    <w:rsid w:val="0003783C"/>
    <w:rsid w:val="00041390"/>
    <w:rsid w:val="0004288D"/>
    <w:rsid w:val="0004627B"/>
    <w:rsid w:val="00046421"/>
    <w:rsid w:val="00050104"/>
    <w:rsid w:val="000507CC"/>
    <w:rsid w:val="00052348"/>
    <w:rsid w:val="00053031"/>
    <w:rsid w:val="000552B7"/>
    <w:rsid w:val="00057D66"/>
    <w:rsid w:val="000639A8"/>
    <w:rsid w:val="000647E7"/>
    <w:rsid w:val="00065379"/>
    <w:rsid w:val="000677C9"/>
    <w:rsid w:val="000728BE"/>
    <w:rsid w:val="00074C60"/>
    <w:rsid w:val="00074F45"/>
    <w:rsid w:val="00076979"/>
    <w:rsid w:val="00082C75"/>
    <w:rsid w:val="00084265"/>
    <w:rsid w:val="00085690"/>
    <w:rsid w:val="00090ADF"/>
    <w:rsid w:val="00090DD5"/>
    <w:rsid w:val="00092F3C"/>
    <w:rsid w:val="00092F51"/>
    <w:rsid w:val="0009464C"/>
    <w:rsid w:val="000951A8"/>
    <w:rsid w:val="000A1B10"/>
    <w:rsid w:val="000B0322"/>
    <w:rsid w:val="000B060E"/>
    <w:rsid w:val="000B737B"/>
    <w:rsid w:val="000B7C3D"/>
    <w:rsid w:val="000B7E14"/>
    <w:rsid w:val="000C5413"/>
    <w:rsid w:val="000C5BB3"/>
    <w:rsid w:val="000D2845"/>
    <w:rsid w:val="000D362A"/>
    <w:rsid w:val="000D51B9"/>
    <w:rsid w:val="000D56DC"/>
    <w:rsid w:val="000D76F1"/>
    <w:rsid w:val="000E0128"/>
    <w:rsid w:val="000E01F1"/>
    <w:rsid w:val="000E1641"/>
    <w:rsid w:val="000E3902"/>
    <w:rsid w:val="000E4497"/>
    <w:rsid w:val="000E4856"/>
    <w:rsid w:val="000E4D45"/>
    <w:rsid w:val="000E5067"/>
    <w:rsid w:val="000E5749"/>
    <w:rsid w:val="000F746A"/>
    <w:rsid w:val="00103AC3"/>
    <w:rsid w:val="001055A0"/>
    <w:rsid w:val="00105F55"/>
    <w:rsid w:val="00106495"/>
    <w:rsid w:val="00110932"/>
    <w:rsid w:val="00112C6B"/>
    <w:rsid w:val="00116213"/>
    <w:rsid w:val="0011651C"/>
    <w:rsid w:val="00117997"/>
    <w:rsid w:val="00117F0F"/>
    <w:rsid w:val="001201A8"/>
    <w:rsid w:val="00121EB7"/>
    <w:rsid w:val="00121F4B"/>
    <w:rsid w:val="00123103"/>
    <w:rsid w:val="0012365E"/>
    <w:rsid w:val="0012550C"/>
    <w:rsid w:val="001267C9"/>
    <w:rsid w:val="00126809"/>
    <w:rsid w:val="00127582"/>
    <w:rsid w:val="00130392"/>
    <w:rsid w:val="0013092A"/>
    <w:rsid w:val="001309C4"/>
    <w:rsid w:val="00134710"/>
    <w:rsid w:val="00137B2B"/>
    <w:rsid w:val="001433AC"/>
    <w:rsid w:val="00145ADE"/>
    <w:rsid w:val="00150A2F"/>
    <w:rsid w:val="0015101C"/>
    <w:rsid w:val="00153D34"/>
    <w:rsid w:val="0015637F"/>
    <w:rsid w:val="00162718"/>
    <w:rsid w:val="0016376A"/>
    <w:rsid w:val="00167BBC"/>
    <w:rsid w:val="00170B7A"/>
    <w:rsid w:val="00171F28"/>
    <w:rsid w:val="0017359A"/>
    <w:rsid w:val="00174FED"/>
    <w:rsid w:val="0017520E"/>
    <w:rsid w:val="001752EA"/>
    <w:rsid w:val="0017647B"/>
    <w:rsid w:val="00181B68"/>
    <w:rsid w:val="0018215B"/>
    <w:rsid w:val="00182645"/>
    <w:rsid w:val="0018410F"/>
    <w:rsid w:val="001841ED"/>
    <w:rsid w:val="00185D76"/>
    <w:rsid w:val="00186584"/>
    <w:rsid w:val="00190377"/>
    <w:rsid w:val="0019484B"/>
    <w:rsid w:val="00194A1F"/>
    <w:rsid w:val="00196A74"/>
    <w:rsid w:val="00197502"/>
    <w:rsid w:val="001A13ED"/>
    <w:rsid w:val="001A31DD"/>
    <w:rsid w:val="001A7B50"/>
    <w:rsid w:val="001A7FA2"/>
    <w:rsid w:val="001B1B96"/>
    <w:rsid w:val="001B427F"/>
    <w:rsid w:val="001B730A"/>
    <w:rsid w:val="001C178D"/>
    <w:rsid w:val="001C2A98"/>
    <w:rsid w:val="001C2C79"/>
    <w:rsid w:val="001C2DF8"/>
    <w:rsid w:val="001C44F5"/>
    <w:rsid w:val="001C7458"/>
    <w:rsid w:val="001D1B18"/>
    <w:rsid w:val="001D4524"/>
    <w:rsid w:val="001D4FBC"/>
    <w:rsid w:val="001D650B"/>
    <w:rsid w:val="001D7D7A"/>
    <w:rsid w:val="001E0925"/>
    <w:rsid w:val="001E53E3"/>
    <w:rsid w:val="001F0888"/>
    <w:rsid w:val="001F380D"/>
    <w:rsid w:val="001F6090"/>
    <w:rsid w:val="002002BD"/>
    <w:rsid w:val="00200E28"/>
    <w:rsid w:val="00201A37"/>
    <w:rsid w:val="00202895"/>
    <w:rsid w:val="00206854"/>
    <w:rsid w:val="0021285B"/>
    <w:rsid w:val="00212AAF"/>
    <w:rsid w:val="00212AEE"/>
    <w:rsid w:val="00221C8C"/>
    <w:rsid w:val="0022545A"/>
    <w:rsid w:val="00232AF2"/>
    <w:rsid w:val="00235EFE"/>
    <w:rsid w:val="002361E9"/>
    <w:rsid w:val="00237F00"/>
    <w:rsid w:val="002422F5"/>
    <w:rsid w:val="00243D67"/>
    <w:rsid w:val="0024429E"/>
    <w:rsid w:val="00244311"/>
    <w:rsid w:val="00244D93"/>
    <w:rsid w:val="00244F91"/>
    <w:rsid w:val="002455C6"/>
    <w:rsid w:val="00245AC4"/>
    <w:rsid w:val="00247052"/>
    <w:rsid w:val="00250828"/>
    <w:rsid w:val="00252130"/>
    <w:rsid w:val="00252E12"/>
    <w:rsid w:val="0025385C"/>
    <w:rsid w:val="002539C2"/>
    <w:rsid w:val="002547BD"/>
    <w:rsid w:val="00256148"/>
    <w:rsid w:val="00264B8C"/>
    <w:rsid w:val="00267E50"/>
    <w:rsid w:val="00270C1D"/>
    <w:rsid w:val="0027408F"/>
    <w:rsid w:val="00277CA3"/>
    <w:rsid w:val="00282EC8"/>
    <w:rsid w:val="002856FC"/>
    <w:rsid w:val="00296579"/>
    <w:rsid w:val="002975A8"/>
    <w:rsid w:val="002A136E"/>
    <w:rsid w:val="002A24B2"/>
    <w:rsid w:val="002A4036"/>
    <w:rsid w:val="002A4C30"/>
    <w:rsid w:val="002A53A9"/>
    <w:rsid w:val="002B35F7"/>
    <w:rsid w:val="002B384D"/>
    <w:rsid w:val="002C167B"/>
    <w:rsid w:val="002C3EAB"/>
    <w:rsid w:val="002C4410"/>
    <w:rsid w:val="002C6A9B"/>
    <w:rsid w:val="002C789A"/>
    <w:rsid w:val="002D19AE"/>
    <w:rsid w:val="002D3A09"/>
    <w:rsid w:val="002D3BA9"/>
    <w:rsid w:val="002D400F"/>
    <w:rsid w:val="002E1286"/>
    <w:rsid w:val="002E261C"/>
    <w:rsid w:val="002E58B3"/>
    <w:rsid w:val="002E6BD0"/>
    <w:rsid w:val="002E7F97"/>
    <w:rsid w:val="002F41E0"/>
    <w:rsid w:val="002F6A0D"/>
    <w:rsid w:val="00306AEA"/>
    <w:rsid w:val="0030795F"/>
    <w:rsid w:val="00312D2B"/>
    <w:rsid w:val="00314412"/>
    <w:rsid w:val="00315E58"/>
    <w:rsid w:val="00316467"/>
    <w:rsid w:val="00320786"/>
    <w:rsid w:val="00323163"/>
    <w:rsid w:val="003235D3"/>
    <w:rsid w:val="00323C56"/>
    <w:rsid w:val="0032573F"/>
    <w:rsid w:val="00330243"/>
    <w:rsid w:val="00332156"/>
    <w:rsid w:val="00333BD4"/>
    <w:rsid w:val="00336B9C"/>
    <w:rsid w:val="003405BD"/>
    <w:rsid w:val="00346A47"/>
    <w:rsid w:val="0035067C"/>
    <w:rsid w:val="00351B58"/>
    <w:rsid w:val="00351CBA"/>
    <w:rsid w:val="00352066"/>
    <w:rsid w:val="00353B3D"/>
    <w:rsid w:val="00355D98"/>
    <w:rsid w:val="00357EEC"/>
    <w:rsid w:val="00361E2F"/>
    <w:rsid w:val="00361F1D"/>
    <w:rsid w:val="003636C1"/>
    <w:rsid w:val="0036385B"/>
    <w:rsid w:val="00364041"/>
    <w:rsid w:val="00364ED6"/>
    <w:rsid w:val="00375183"/>
    <w:rsid w:val="00376119"/>
    <w:rsid w:val="00377F0B"/>
    <w:rsid w:val="003843D8"/>
    <w:rsid w:val="00385340"/>
    <w:rsid w:val="00390D6F"/>
    <w:rsid w:val="00391276"/>
    <w:rsid w:val="003922BA"/>
    <w:rsid w:val="0039346A"/>
    <w:rsid w:val="00393A15"/>
    <w:rsid w:val="003958DE"/>
    <w:rsid w:val="003A15DC"/>
    <w:rsid w:val="003A38A4"/>
    <w:rsid w:val="003A48A3"/>
    <w:rsid w:val="003A4D8E"/>
    <w:rsid w:val="003A6366"/>
    <w:rsid w:val="003A7040"/>
    <w:rsid w:val="003B0E4C"/>
    <w:rsid w:val="003B1BD5"/>
    <w:rsid w:val="003B4EEF"/>
    <w:rsid w:val="003C235C"/>
    <w:rsid w:val="003C42C3"/>
    <w:rsid w:val="003D1BD6"/>
    <w:rsid w:val="003D27EF"/>
    <w:rsid w:val="003D28D3"/>
    <w:rsid w:val="003D2C2F"/>
    <w:rsid w:val="003D33D6"/>
    <w:rsid w:val="003D4A89"/>
    <w:rsid w:val="003D53D3"/>
    <w:rsid w:val="003E611B"/>
    <w:rsid w:val="003E64BD"/>
    <w:rsid w:val="003F01F2"/>
    <w:rsid w:val="003F17E9"/>
    <w:rsid w:val="003F7F99"/>
    <w:rsid w:val="004004FE"/>
    <w:rsid w:val="00403BC4"/>
    <w:rsid w:val="00404396"/>
    <w:rsid w:val="004109A6"/>
    <w:rsid w:val="0041133E"/>
    <w:rsid w:val="004150E4"/>
    <w:rsid w:val="0041611B"/>
    <w:rsid w:val="00420AA6"/>
    <w:rsid w:val="004213EA"/>
    <w:rsid w:val="00423270"/>
    <w:rsid w:val="00431786"/>
    <w:rsid w:val="00432405"/>
    <w:rsid w:val="00433765"/>
    <w:rsid w:val="00436D80"/>
    <w:rsid w:val="00440A23"/>
    <w:rsid w:val="00444961"/>
    <w:rsid w:val="00447F02"/>
    <w:rsid w:val="00450DCF"/>
    <w:rsid w:val="00452F36"/>
    <w:rsid w:val="00466C77"/>
    <w:rsid w:val="00472B83"/>
    <w:rsid w:val="0047506C"/>
    <w:rsid w:val="00476958"/>
    <w:rsid w:val="004810F5"/>
    <w:rsid w:val="00481308"/>
    <w:rsid w:val="00483265"/>
    <w:rsid w:val="004855EC"/>
    <w:rsid w:val="00491DF0"/>
    <w:rsid w:val="00496EDE"/>
    <w:rsid w:val="004A1653"/>
    <w:rsid w:val="004A42DB"/>
    <w:rsid w:val="004A541C"/>
    <w:rsid w:val="004A548D"/>
    <w:rsid w:val="004B0FC7"/>
    <w:rsid w:val="004B2641"/>
    <w:rsid w:val="004B312F"/>
    <w:rsid w:val="004B60D1"/>
    <w:rsid w:val="004C294D"/>
    <w:rsid w:val="004C3943"/>
    <w:rsid w:val="004C4FC0"/>
    <w:rsid w:val="004C7D88"/>
    <w:rsid w:val="004D0EE4"/>
    <w:rsid w:val="004D4D55"/>
    <w:rsid w:val="004D54CB"/>
    <w:rsid w:val="004D62BB"/>
    <w:rsid w:val="004E16A1"/>
    <w:rsid w:val="004E21FE"/>
    <w:rsid w:val="004E3F45"/>
    <w:rsid w:val="004E73CF"/>
    <w:rsid w:val="004F0C1D"/>
    <w:rsid w:val="004F14D2"/>
    <w:rsid w:val="004F3DA1"/>
    <w:rsid w:val="004F5293"/>
    <w:rsid w:val="004F7676"/>
    <w:rsid w:val="004F7AAC"/>
    <w:rsid w:val="005033AC"/>
    <w:rsid w:val="00505F77"/>
    <w:rsid w:val="005072D7"/>
    <w:rsid w:val="005167F1"/>
    <w:rsid w:val="005168D3"/>
    <w:rsid w:val="00516B79"/>
    <w:rsid w:val="00521F05"/>
    <w:rsid w:val="00523F10"/>
    <w:rsid w:val="00524C18"/>
    <w:rsid w:val="005251C8"/>
    <w:rsid w:val="00526456"/>
    <w:rsid w:val="00526554"/>
    <w:rsid w:val="00530D9D"/>
    <w:rsid w:val="00532D51"/>
    <w:rsid w:val="005334EA"/>
    <w:rsid w:val="00533DAE"/>
    <w:rsid w:val="00535553"/>
    <w:rsid w:val="005367E2"/>
    <w:rsid w:val="0054495D"/>
    <w:rsid w:val="00544C45"/>
    <w:rsid w:val="0054546A"/>
    <w:rsid w:val="00545BF4"/>
    <w:rsid w:val="00552741"/>
    <w:rsid w:val="005540F2"/>
    <w:rsid w:val="00560BCE"/>
    <w:rsid w:val="005610B7"/>
    <w:rsid w:val="0056169A"/>
    <w:rsid w:val="00561DDC"/>
    <w:rsid w:val="00573359"/>
    <w:rsid w:val="00575B58"/>
    <w:rsid w:val="005774F5"/>
    <w:rsid w:val="00577B2B"/>
    <w:rsid w:val="005827A4"/>
    <w:rsid w:val="00585457"/>
    <w:rsid w:val="005925BC"/>
    <w:rsid w:val="00593409"/>
    <w:rsid w:val="005934D2"/>
    <w:rsid w:val="005964B4"/>
    <w:rsid w:val="00597BD4"/>
    <w:rsid w:val="005A2C8D"/>
    <w:rsid w:val="005A33D9"/>
    <w:rsid w:val="005A40E6"/>
    <w:rsid w:val="005B0290"/>
    <w:rsid w:val="005B30DC"/>
    <w:rsid w:val="005B5015"/>
    <w:rsid w:val="005B6F2A"/>
    <w:rsid w:val="005B741B"/>
    <w:rsid w:val="005C2098"/>
    <w:rsid w:val="005C45E0"/>
    <w:rsid w:val="005D262F"/>
    <w:rsid w:val="005D4241"/>
    <w:rsid w:val="005D4276"/>
    <w:rsid w:val="005D4B6E"/>
    <w:rsid w:val="005D5C55"/>
    <w:rsid w:val="005D7924"/>
    <w:rsid w:val="005E6E39"/>
    <w:rsid w:val="005E708A"/>
    <w:rsid w:val="005E7A2D"/>
    <w:rsid w:val="005F00BB"/>
    <w:rsid w:val="005F29B8"/>
    <w:rsid w:val="005F3A08"/>
    <w:rsid w:val="005F4469"/>
    <w:rsid w:val="00602105"/>
    <w:rsid w:val="006023C6"/>
    <w:rsid w:val="006033C4"/>
    <w:rsid w:val="0060386C"/>
    <w:rsid w:val="00605600"/>
    <w:rsid w:val="00605EB6"/>
    <w:rsid w:val="00606A14"/>
    <w:rsid w:val="00607FFD"/>
    <w:rsid w:val="00610764"/>
    <w:rsid w:val="0061090D"/>
    <w:rsid w:val="00611F0A"/>
    <w:rsid w:val="00613E7B"/>
    <w:rsid w:val="006206EC"/>
    <w:rsid w:val="00621CB2"/>
    <w:rsid w:val="0062248F"/>
    <w:rsid w:val="0062310F"/>
    <w:rsid w:val="006231D4"/>
    <w:rsid w:val="00623662"/>
    <w:rsid w:val="006247ED"/>
    <w:rsid w:val="00627C4D"/>
    <w:rsid w:val="006305A1"/>
    <w:rsid w:val="0063086A"/>
    <w:rsid w:val="006340BC"/>
    <w:rsid w:val="00640F31"/>
    <w:rsid w:val="006448ED"/>
    <w:rsid w:val="006452DE"/>
    <w:rsid w:val="006470B4"/>
    <w:rsid w:val="00653EBF"/>
    <w:rsid w:val="00654BA2"/>
    <w:rsid w:val="00655331"/>
    <w:rsid w:val="00656A9C"/>
    <w:rsid w:val="0066156E"/>
    <w:rsid w:val="00661701"/>
    <w:rsid w:val="00664273"/>
    <w:rsid w:val="00670B9F"/>
    <w:rsid w:val="006715BF"/>
    <w:rsid w:val="006717DA"/>
    <w:rsid w:val="00674EC0"/>
    <w:rsid w:val="00676850"/>
    <w:rsid w:val="00680B97"/>
    <w:rsid w:val="006827BC"/>
    <w:rsid w:val="00683DFE"/>
    <w:rsid w:val="006863BC"/>
    <w:rsid w:val="00686AFE"/>
    <w:rsid w:val="00687629"/>
    <w:rsid w:val="00691BD3"/>
    <w:rsid w:val="006950DF"/>
    <w:rsid w:val="00695ED8"/>
    <w:rsid w:val="006969CE"/>
    <w:rsid w:val="006A0A03"/>
    <w:rsid w:val="006A2CA1"/>
    <w:rsid w:val="006A457B"/>
    <w:rsid w:val="006B4A2F"/>
    <w:rsid w:val="006C188F"/>
    <w:rsid w:val="006C547E"/>
    <w:rsid w:val="006C6921"/>
    <w:rsid w:val="006D0D42"/>
    <w:rsid w:val="006D256C"/>
    <w:rsid w:val="006D280A"/>
    <w:rsid w:val="006D2C3C"/>
    <w:rsid w:val="006D51AE"/>
    <w:rsid w:val="006D56D6"/>
    <w:rsid w:val="006D71F3"/>
    <w:rsid w:val="006E7B93"/>
    <w:rsid w:val="006F04B9"/>
    <w:rsid w:val="006F2864"/>
    <w:rsid w:val="006F73D4"/>
    <w:rsid w:val="0070221C"/>
    <w:rsid w:val="00704230"/>
    <w:rsid w:val="00707500"/>
    <w:rsid w:val="00711456"/>
    <w:rsid w:val="00711779"/>
    <w:rsid w:val="00713746"/>
    <w:rsid w:val="0071465E"/>
    <w:rsid w:val="0071645F"/>
    <w:rsid w:val="00721447"/>
    <w:rsid w:val="0072195E"/>
    <w:rsid w:val="00724FFE"/>
    <w:rsid w:val="00727C26"/>
    <w:rsid w:val="00733A9F"/>
    <w:rsid w:val="007353FF"/>
    <w:rsid w:val="0073750D"/>
    <w:rsid w:val="00737EFD"/>
    <w:rsid w:val="00740F8B"/>
    <w:rsid w:val="00741FEB"/>
    <w:rsid w:val="00750298"/>
    <w:rsid w:val="0075192C"/>
    <w:rsid w:val="00754393"/>
    <w:rsid w:val="00754E0D"/>
    <w:rsid w:val="007558A0"/>
    <w:rsid w:val="00762219"/>
    <w:rsid w:val="00762810"/>
    <w:rsid w:val="00763696"/>
    <w:rsid w:val="007676CC"/>
    <w:rsid w:val="00771556"/>
    <w:rsid w:val="00774CA1"/>
    <w:rsid w:val="007775FF"/>
    <w:rsid w:val="007778D5"/>
    <w:rsid w:val="0078149A"/>
    <w:rsid w:val="00783520"/>
    <w:rsid w:val="00783AA9"/>
    <w:rsid w:val="0078750D"/>
    <w:rsid w:val="007917D9"/>
    <w:rsid w:val="00792A75"/>
    <w:rsid w:val="00792E8C"/>
    <w:rsid w:val="007933C8"/>
    <w:rsid w:val="00795623"/>
    <w:rsid w:val="007A15BA"/>
    <w:rsid w:val="007A4132"/>
    <w:rsid w:val="007A539D"/>
    <w:rsid w:val="007A6766"/>
    <w:rsid w:val="007B00E2"/>
    <w:rsid w:val="007B130A"/>
    <w:rsid w:val="007B2169"/>
    <w:rsid w:val="007B25CA"/>
    <w:rsid w:val="007B35AC"/>
    <w:rsid w:val="007B62DE"/>
    <w:rsid w:val="007B64C9"/>
    <w:rsid w:val="007B6C55"/>
    <w:rsid w:val="007C1647"/>
    <w:rsid w:val="007C72BC"/>
    <w:rsid w:val="007D0FED"/>
    <w:rsid w:val="007D15AE"/>
    <w:rsid w:val="007D24E6"/>
    <w:rsid w:val="007D28F2"/>
    <w:rsid w:val="007D2F36"/>
    <w:rsid w:val="007D46D9"/>
    <w:rsid w:val="007D4826"/>
    <w:rsid w:val="007E0C41"/>
    <w:rsid w:val="007E2B40"/>
    <w:rsid w:val="007E490C"/>
    <w:rsid w:val="007E590D"/>
    <w:rsid w:val="007E6941"/>
    <w:rsid w:val="007F1537"/>
    <w:rsid w:val="007F3107"/>
    <w:rsid w:val="007F4EC2"/>
    <w:rsid w:val="007F6DE3"/>
    <w:rsid w:val="007F77CA"/>
    <w:rsid w:val="007F7F5B"/>
    <w:rsid w:val="008016EA"/>
    <w:rsid w:val="00802B56"/>
    <w:rsid w:val="00802CBB"/>
    <w:rsid w:val="00803847"/>
    <w:rsid w:val="00803D8E"/>
    <w:rsid w:val="00803E4D"/>
    <w:rsid w:val="00805D2A"/>
    <w:rsid w:val="00805F3F"/>
    <w:rsid w:val="00815372"/>
    <w:rsid w:val="0081686B"/>
    <w:rsid w:val="00823E5E"/>
    <w:rsid w:val="00826BDE"/>
    <w:rsid w:val="00830E5D"/>
    <w:rsid w:val="00831441"/>
    <w:rsid w:val="00831E03"/>
    <w:rsid w:val="00834451"/>
    <w:rsid w:val="008424C4"/>
    <w:rsid w:val="0084556C"/>
    <w:rsid w:val="008459C0"/>
    <w:rsid w:val="008464F8"/>
    <w:rsid w:val="00850B9E"/>
    <w:rsid w:val="008520CA"/>
    <w:rsid w:val="00855C34"/>
    <w:rsid w:val="00856390"/>
    <w:rsid w:val="00860C9A"/>
    <w:rsid w:val="00864E6C"/>
    <w:rsid w:val="00867524"/>
    <w:rsid w:val="00867534"/>
    <w:rsid w:val="008708AC"/>
    <w:rsid w:val="00871697"/>
    <w:rsid w:val="00873ED8"/>
    <w:rsid w:val="008741A3"/>
    <w:rsid w:val="00877485"/>
    <w:rsid w:val="00884BDD"/>
    <w:rsid w:val="0089390A"/>
    <w:rsid w:val="00894BE1"/>
    <w:rsid w:val="00895C80"/>
    <w:rsid w:val="008A4342"/>
    <w:rsid w:val="008A4A5F"/>
    <w:rsid w:val="008A65BE"/>
    <w:rsid w:val="008A6EC3"/>
    <w:rsid w:val="008B01A8"/>
    <w:rsid w:val="008B2FD7"/>
    <w:rsid w:val="008B72D0"/>
    <w:rsid w:val="008C02C5"/>
    <w:rsid w:val="008C25A1"/>
    <w:rsid w:val="008C2FD0"/>
    <w:rsid w:val="008C6DA7"/>
    <w:rsid w:val="008D1FC8"/>
    <w:rsid w:val="008D408F"/>
    <w:rsid w:val="008D7601"/>
    <w:rsid w:val="008E1B0B"/>
    <w:rsid w:val="008E326C"/>
    <w:rsid w:val="008E5AC6"/>
    <w:rsid w:val="008E6D93"/>
    <w:rsid w:val="008F0FB1"/>
    <w:rsid w:val="008F160E"/>
    <w:rsid w:val="008F1BD6"/>
    <w:rsid w:val="008F5C53"/>
    <w:rsid w:val="00905D6A"/>
    <w:rsid w:val="00911103"/>
    <w:rsid w:val="00913645"/>
    <w:rsid w:val="00917024"/>
    <w:rsid w:val="009171C2"/>
    <w:rsid w:val="009173A0"/>
    <w:rsid w:val="00920CF1"/>
    <w:rsid w:val="00921FB4"/>
    <w:rsid w:val="0093248F"/>
    <w:rsid w:val="009359E2"/>
    <w:rsid w:val="0094006B"/>
    <w:rsid w:val="009410E0"/>
    <w:rsid w:val="00942BAA"/>
    <w:rsid w:val="009437C5"/>
    <w:rsid w:val="00947511"/>
    <w:rsid w:val="00950BB5"/>
    <w:rsid w:val="00952C49"/>
    <w:rsid w:val="00955F94"/>
    <w:rsid w:val="00956025"/>
    <w:rsid w:val="00956659"/>
    <w:rsid w:val="009566A0"/>
    <w:rsid w:val="009574DB"/>
    <w:rsid w:val="00960D77"/>
    <w:rsid w:val="009615C3"/>
    <w:rsid w:val="00962326"/>
    <w:rsid w:val="0096490C"/>
    <w:rsid w:val="00966EEF"/>
    <w:rsid w:val="00967AE9"/>
    <w:rsid w:val="00971743"/>
    <w:rsid w:val="00972581"/>
    <w:rsid w:val="009734E0"/>
    <w:rsid w:val="0098080F"/>
    <w:rsid w:val="00980DA4"/>
    <w:rsid w:val="00981C08"/>
    <w:rsid w:val="00981C3C"/>
    <w:rsid w:val="00984015"/>
    <w:rsid w:val="00987258"/>
    <w:rsid w:val="00992FE3"/>
    <w:rsid w:val="009975F9"/>
    <w:rsid w:val="009A032A"/>
    <w:rsid w:val="009A1001"/>
    <w:rsid w:val="009A2A1F"/>
    <w:rsid w:val="009A535E"/>
    <w:rsid w:val="009A64BC"/>
    <w:rsid w:val="009B04CC"/>
    <w:rsid w:val="009B08DB"/>
    <w:rsid w:val="009B5FD8"/>
    <w:rsid w:val="009B6FE9"/>
    <w:rsid w:val="009C5027"/>
    <w:rsid w:val="009C5287"/>
    <w:rsid w:val="009C530D"/>
    <w:rsid w:val="009C6A20"/>
    <w:rsid w:val="009D30C4"/>
    <w:rsid w:val="009E1A87"/>
    <w:rsid w:val="009E3C3F"/>
    <w:rsid w:val="009E424F"/>
    <w:rsid w:val="009E464E"/>
    <w:rsid w:val="009E669B"/>
    <w:rsid w:val="009E6A66"/>
    <w:rsid w:val="009E7AF8"/>
    <w:rsid w:val="009F76AD"/>
    <w:rsid w:val="00A0033C"/>
    <w:rsid w:val="00A03E05"/>
    <w:rsid w:val="00A03F45"/>
    <w:rsid w:val="00A06A7D"/>
    <w:rsid w:val="00A07B78"/>
    <w:rsid w:val="00A1102B"/>
    <w:rsid w:val="00A1572B"/>
    <w:rsid w:val="00A2091B"/>
    <w:rsid w:val="00A21DE3"/>
    <w:rsid w:val="00A244F8"/>
    <w:rsid w:val="00A269F8"/>
    <w:rsid w:val="00A30CD9"/>
    <w:rsid w:val="00A32C16"/>
    <w:rsid w:val="00A33398"/>
    <w:rsid w:val="00A36326"/>
    <w:rsid w:val="00A3748E"/>
    <w:rsid w:val="00A40067"/>
    <w:rsid w:val="00A415C5"/>
    <w:rsid w:val="00A4306E"/>
    <w:rsid w:val="00A4388D"/>
    <w:rsid w:val="00A44C9A"/>
    <w:rsid w:val="00A44EE2"/>
    <w:rsid w:val="00A46649"/>
    <w:rsid w:val="00A569EA"/>
    <w:rsid w:val="00A56CC7"/>
    <w:rsid w:val="00A60821"/>
    <w:rsid w:val="00A7380D"/>
    <w:rsid w:val="00A75D5D"/>
    <w:rsid w:val="00A76FFB"/>
    <w:rsid w:val="00A83869"/>
    <w:rsid w:val="00A85404"/>
    <w:rsid w:val="00A90CE1"/>
    <w:rsid w:val="00A91B3F"/>
    <w:rsid w:val="00A931C3"/>
    <w:rsid w:val="00A935CF"/>
    <w:rsid w:val="00A93733"/>
    <w:rsid w:val="00A937DC"/>
    <w:rsid w:val="00AA1156"/>
    <w:rsid w:val="00AA1715"/>
    <w:rsid w:val="00AA29C5"/>
    <w:rsid w:val="00AA3276"/>
    <w:rsid w:val="00AA50DA"/>
    <w:rsid w:val="00AB320F"/>
    <w:rsid w:val="00AB6047"/>
    <w:rsid w:val="00AC09D8"/>
    <w:rsid w:val="00AC4564"/>
    <w:rsid w:val="00AC4C71"/>
    <w:rsid w:val="00AC4DED"/>
    <w:rsid w:val="00AC53DE"/>
    <w:rsid w:val="00AC7372"/>
    <w:rsid w:val="00AC7FC5"/>
    <w:rsid w:val="00AD1B9B"/>
    <w:rsid w:val="00AD2243"/>
    <w:rsid w:val="00AD31D5"/>
    <w:rsid w:val="00AD418C"/>
    <w:rsid w:val="00AE0BD2"/>
    <w:rsid w:val="00AE2B5C"/>
    <w:rsid w:val="00AE47DA"/>
    <w:rsid w:val="00AE7DC8"/>
    <w:rsid w:val="00AF027B"/>
    <w:rsid w:val="00AF0DFD"/>
    <w:rsid w:val="00AF3FA6"/>
    <w:rsid w:val="00AF4C5B"/>
    <w:rsid w:val="00AF577B"/>
    <w:rsid w:val="00AF5899"/>
    <w:rsid w:val="00AF6582"/>
    <w:rsid w:val="00AF681D"/>
    <w:rsid w:val="00AF7058"/>
    <w:rsid w:val="00AF79A7"/>
    <w:rsid w:val="00B0054C"/>
    <w:rsid w:val="00B04D69"/>
    <w:rsid w:val="00B07EB9"/>
    <w:rsid w:val="00B07F9E"/>
    <w:rsid w:val="00B10026"/>
    <w:rsid w:val="00B13564"/>
    <w:rsid w:val="00B139E3"/>
    <w:rsid w:val="00B13D8E"/>
    <w:rsid w:val="00B15AE4"/>
    <w:rsid w:val="00B15D7C"/>
    <w:rsid w:val="00B16C20"/>
    <w:rsid w:val="00B17705"/>
    <w:rsid w:val="00B20F1A"/>
    <w:rsid w:val="00B322CC"/>
    <w:rsid w:val="00B36810"/>
    <w:rsid w:val="00B422D7"/>
    <w:rsid w:val="00B430F1"/>
    <w:rsid w:val="00B447D8"/>
    <w:rsid w:val="00B454E4"/>
    <w:rsid w:val="00B45F7A"/>
    <w:rsid w:val="00B50FF2"/>
    <w:rsid w:val="00B519E6"/>
    <w:rsid w:val="00B52A74"/>
    <w:rsid w:val="00B53D64"/>
    <w:rsid w:val="00B56814"/>
    <w:rsid w:val="00B57521"/>
    <w:rsid w:val="00B6090E"/>
    <w:rsid w:val="00B63BF4"/>
    <w:rsid w:val="00B648DA"/>
    <w:rsid w:val="00B65014"/>
    <w:rsid w:val="00B67B44"/>
    <w:rsid w:val="00B714C0"/>
    <w:rsid w:val="00B7218B"/>
    <w:rsid w:val="00B735D5"/>
    <w:rsid w:val="00B74A6C"/>
    <w:rsid w:val="00B8025A"/>
    <w:rsid w:val="00B805B7"/>
    <w:rsid w:val="00B80AE9"/>
    <w:rsid w:val="00B82926"/>
    <w:rsid w:val="00B836A7"/>
    <w:rsid w:val="00B84651"/>
    <w:rsid w:val="00B84A14"/>
    <w:rsid w:val="00B85B86"/>
    <w:rsid w:val="00B8624D"/>
    <w:rsid w:val="00B86B5B"/>
    <w:rsid w:val="00B93AD9"/>
    <w:rsid w:val="00B95457"/>
    <w:rsid w:val="00B96733"/>
    <w:rsid w:val="00B97928"/>
    <w:rsid w:val="00BA15B5"/>
    <w:rsid w:val="00BA2FCA"/>
    <w:rsid w:val="00BA565A"/>
    <w:rsid w:val="00BA695A"/>
    <w:rsid w:val="00BA7681"/>
    <w:rsid w:val="00BB54EF"/>
    <w:rsid w:val="00BC2D66"/>
    <w:rsid w:val="00BC63E9"/>
    <w:rsid w:val="00BC7B93"/>
    <w:rsid w:val="00BD0ED6"/>
    <w:rsid w:val="00BD3EB2"/>
    <w:rsid w:val="00BD41A5"/>
    <w:rsid w:val="00BD4DB9"/>
    <w:rsid w:val="00BD501C"/>
    <w:rsid w:val="00BD666F"/>
    <w:rsid w:val="00BE4971"/>
    <w:rsid w:val="00BF167A"/>
    <w:rsid w:val="00BF1ECF"/>
    <w:rsid w:val="00BF217B"/>
    <w:rsid w:val="00BF46F5"/>
    <w:rsid w:val="00BF4F89"/>
    <w:rsid w:val="00C00DFB"/>
    <w:rsid w:val="00C00FAB"/>
    <w:rsid w:val="00C02744"/>
    <w:rsid w:val="00C0378B"/>
    <w:rsid w:val="00C055CF"/>
    <w:rsid w:val="00C159F8"/>
    <w:rsid w:val="00C15D16"/>
    <w:rsid w:val="00C20527"/>
    <w:rsid w:val="00C24073"/>
    <w:rsid w:val="00C31A7F"/>
    <w:rsid w:val="00C345A6"/>
    <w:rsid w:val="00C348A7"/>
    <w:rsid w:val="00C406A7"/>
    <w:rsid w:val="00C40CDD"/>
    <w:rsid w:val="00C40FA9"/>
    <w:rsid w:val="00C41630"/>
    <w:rsid w:val="00C42081"/>
    <w:rsid w:val="00C43B42"/>
    <w:rsid w:val="00C45108"/>
    <w:rsid w:val="00C46703"/>
    <w:rsid w:val="00C50BF5"/>
    <w:rsid w:val="00C550F5"/>
    <w:rsid w:val="00C57913"/>
    <w:rsid w:val="00C604F8"/>
    <w:rsid w:val="00C64B39"/>
    <w:rsid w:val="00C650C6"/>
    <w:rsid w:val="00C675F3"/>
    <w:rsid w:val="00C705A0"/>
    <w:rsid w:val="00C708D4"/>
    <w:rsid w:val="00C71060"/>
    <w:rsid w:val="00C720FC"/>
    <w:rsid w:val="00C72F4B"/>
    <w:rsid w:val="00C73456"/>
    <w:rsid w:val="00C750DB"/>
    <w:rsid w:val="00C80823"/>
    <w:rsid w:val="00C84F79"/>
    <w:rsid w:val="00C8580E"/>
    <w:rsid w:val="00C86F6F"/>
    <w:rsid w:val="00C92F5F"/>
    <w:rsid w:val="00CA2952"/>
    <w:rsid w:val="00CA52EC"/>
    <w:rsid w:val="00CB25CB"/>
    <w:rsid w:val="00CC30FE"/>
    <w:rsid w:val="00CC356D"/>
    <w:rsid w:val="00CC4ABE"/>
    <w:rsid w:val="00CC5AC7"/>
    <w:rsid w:val="00CC7449"/>
    <w:rsid w:val="00CD1323"/>
    <w:rsid w:val="00CD1407"/>
    <w:rsid w:val="00CD412F"/>
    <w:rsid w:val="00CE0A5D"/>
    <w:rsid w:val="00CE401A"/>
    <w:rsid w:val="00CE60D0"/>
    <w:rsid w:val="00CE629B"/>
    <w:rsid w:val="00CE6327"/>
    <w:rsid w:val="00CE719B"/>
    <w:rsid w:val="00CF3D0E"/>
    <w:rsid w:val="00CF51C3"/>
    <w:rsid w:val="00D1465F"/>
    <w:rsid w:val="00D3604C"/>
    <w:rsid w:val="00D461B9"/>
    <w:rsid w:val="00D46563"/>
    <w:rsid w:val="00D50577"/>
    <w:rsid w:val="00D52C10"/>
    <w:rsid w:val="00D542EB"/>
    <w:rsid w:val="00D55714"/>
    <w:rsid w:val="00D56B23"/>
    <w:rsid w:val="00D57950"/>
    <w:rsid w:val="00D60040"/>
    <w:rsid w:val="00D600F5"/>
    <w:rsid w:val="00D61272"/>
    <w:rsid w:val="00D64014"/>
    <w:rsid w:val="00D65054"/>
    <w:rsid w:val="00D65D6A"/>
    <w:rsid w:val="00D725DB"/>
    <w:rsid w:val="00D74494"/>
    <w:rsid w:val="00D87DDB"/>
    <w:rsid w:val="00D90D21"/>
    <w:rsid w:val="00D916A1"/>
    <w:rsid w:val="00D93E44"/>
    <w:rsid w:val="00D9438C"/>
    <w:rsid w:val="00D97943"/>
    <w:rsid w:val="00DA5FD6"/>
    <w:rsid w:val="00DA7E21"/>
    <w:rsid w:val="00DB016D"/>
    <w:rsid w:val="00DB1913"/>
    <w:rsid w:val="00DB2122"/>
    <w:rsid w:val="00DB5462"/>
    <w:rsid w:val="00DC0CA4"/>
    <w:rsid w:val="00DC2354"/>
    <w:rsid w:val="00DC43AC"/>
    <w:rsid w:val="00DC560F"/>
    <w:rsid w:val="00DD0BEA"/>
    <w:rsid w:val="00DD282B"/>
    <w:rsid w:val="00DD2C90"/>
    <w:rsid w:val="00DD36CF"/>
    <w:rsid w:val="00DD3E33"/>
    <w:rsid w:val="00DE11DC"/>
    <w:rsid w:val="00DE614D"/>
    <w:rsid w:val="00DF05D8"/>
    <w:rsid w:val="00DF324D"/>
    <w:rsid w:val="00DF35A9"/>
    <w:rsid w:val="00DF3E33"/>
    <w:rsid w:val="00DF5244"/>
    <w:rsid w:val="00E0273F"/>
    <w:rsid w:val="00E04DDE"/>
    <w:rsid w:val="00E06AEA"/>
    <w:rsid w:val="00E10134"/>
    <w:rsid w:val="00E10FBF"/>
    <w:rsid w:val="00E13EEC"/>
    <w:rsid w:val="00E14E05"/>
    <w:rsid w:val="00E222D9"/>
    <w:rsid w:val="00E23AE8"/>
    <w:rsid w:val="00E243D7"/>
    <w:rsid w:val="00E24711"/>
    <w:rsid w:val="00E273EF"/>
    <w:rsid w:val="00E27671"/>
    <w:rsid w:val="00E30567"/>
    <w:rsid w:val="00E31865"/>
    <w:rsid w:val="00E31B64"/>
    <w:rsid w:val="00E34634"/>
    <w:rsid w:val="00E35E30"/>
    <w:rsid w:val="00E37629"/>
    <w:rsid w:val="00E405C7"/>
    <w:rsid w:val="00E40DA2"/>
    <w:rsid w:val="00E418A5"/>
    <w:rsid w:val="00E50E1F"/>
    <w:rsid w:val="00E54034"/>
    <w:rsid w:val="00E56103"/>
    <w:rsid w:val="00E60910"/>
    <w:rsid w:val="00E60B40"/>
    <w:rsid w:val="00E64696"/>
    <w:rsid w:val="00E64D23"/>
    <w:rsid w:val="00E65928"/>
    <w:rsid w:val="00E65DB2"/>
    <w:rsid w:val="00E67EA2"/>
    <w:rsid w:val="00E70B02"/>
    <w:rsid w:val="00E717A2"/>
    <w:rsid w:val="00E71B45"/>
    <w:rsid w:val="00E7572B"/>
    <w:rsid w:val="00E75B4C"/>
    <w:rsid w:val="00E76844"/>
    <w:rsid w:val="00E801F0"/>
    <w:rsid w:val="00E80F99"/>
    <w:rsid w:val="00E858D6"/>
    <w:rsid w:val="00E8633C"/>
    <w:rsid w:val="00E93ADB"/>
    <w:rsid w:val="00EA1693"/>
    <w:rsid w:val="00EA3469"/>
    <w:rsid w:val="00EA53E6"/>
    <w:rsid w:val="00EB0E19"/>
    <w:rsid w:val="00EB1105"/>
    <w:rsid w:val="00EB624F"/>
    <w:rsid w:val="00EB78C9"/>
    <w:rsid w:val="00EC09A8"/>
    <w:rsid w:val="00EC5844"/>
    <w:rsid w:val="00EC6283"/>
    <w:rsid w:val="00EC7C33"/>
    <w:rsid w:val="00ED2978"/>
    <w:rsid w:val="00ED619A"/>
    <w:rsid w:val="00ED657F"/>
    <w:rsid w:val="00ED749D"/>
    <w:rsid w:val="00EE05EE"/>
    <w:rsid w:val="00EE470C"/>
    <w:rsid w:val="00EF30D4"/>
    <w:rsid w:val="00EF3B9C"/>
    <w:rsid w:val="00EF4826"/>
    <w:rsid w:val="00F0030A"/>
    <w:rsid w:val="00F01563"/>
    <w:rsid w:val="00F024F6"/>
    <w:rsid w:val="00F05A92"/>
    <w:rsid w:val="00F105B2"/>
    <w:rsid w:val="00F11EF5"/>
    <w:rsid w:val="00F130A9"/>
    <w:rsid w:val="00F14772"/>
    <w:rsid w:val="00F156A8"/>
    <w:rsid w:val="00F206BB"/>
    <w:rsid w:val="00F20A59"/>
    <w:rsid w:val="00F22B81"/>
    <w:rsid w:val="00F23A1F"/>
    <w:rsid w:val="00F243D3"/>
    <w:rsid w:val="00F24B82"/>
    <w:rsid w:val="00F26E41"/>
    <w:rsid w:val="00F271B5"/>
    <w:rsid w:val="00F27BE6"/>
    <w:rsid w:val="00F30834"/>
    <w:rsid w:val="00F34098"/>
    <w:rsid w:val="00F3622B"/>
    <w:rsid w:val="00F41F64"/>
    <w:rsid w:val="00F43247"/>
    <w:rsid w:val="00F46671"/>
    <w:rsid w:val="00F47637"/>
    <w:rsid w:val="00F47DB6"/>
    <w:rsid w:val="00F557E0"/>
    <w:rsid w:val="00F61B76"/>
    <w:rsid w:val="00F66151"/>
    <w:rsid w:val="00F73D46"/>
    <w:rsid w:val="00F74FB5"/>
    <w:rsid w:val="00F756BC"/>
    <w:rsid w:val="00F776C8"/>
    <w:rsid w:val="00F80796"/>
    <w:rsid w:val="00F84A08"/>
    <w:rsid w:val="00F85D27"/>
    <w:rsid w:val="00F86A25"/>
    <w:rsid w:val="00F918C1"/>
    <w:rsid w:val="00F92CCE"/>
    <w:rsid w:val="00F94FCC"/>
    <w:rsid w:val="00FA2FF8"/>
    <w:rsid w:val="00FA6FAD"/>
    <w:rsid w:val="00FB0C72"/>
    <w:rsid w:val="00FB0F73"/>
    <w:rsid w:val="00FB22A8"/>
    <w:rsid w:val="00FB2787"/>
    <w:rsid w:val="00FB389A"/>
    <w:rsid w:val="00FB5C67"/>
    <w:rsid w:val="00FC1D97"/>
    <w:rsid w:val="00FC297E"/>
    <w:rsid w:val="00FC2E46"/>
    <w:rsid w:val="00FC4345"/>
    <w:rsid w:val="00FD2047"/>
    <w:rsid w:val="00FD4B28"/>
    <w:rsid w:val="00FD5726"/>
    <w:rsid w:val="00FD6804"/>
    <w:rsid w:val="00FD72A9"/>
    <w:rsid w:val="00FD7818"/>
    <w:rsid w:val="00FE0B94"/>
    <w:rsid w:val="00FE1935"/>
    <w:rsid w:val="00FE4618"/>
    <w:rsid w:val="00FE51FE"/>
    <w:rsid w:val="00FE542D"/>
    <w:rsid w:val="00FE6669"/>
    <w:rsid w:val="00FE669E"/>
    <w:rsid w:val="00FE68B2"/>
    <w:rsid w:val="00FE7E03"/>
    <w:rsid w:val="00FF1746"/>
    <w:rsid w:val="00FF242D"/>
    <w:rsid w:val="00FF32E2"/>
    <w:rsid w:val="00FF3527"/>
    <w:rsid w:val="00FF3DD4"/>
    <w:rsid w:val="0E8C6DF2"/>
    <w:rsid w:val="168F1A13"/>
    <w:rsid w:val="1DCC4182"/>
    <w:rsid w:val="2AA135BF"/>
    <w:rsid w:val="2C46753D"/>
    <w:rsid w:val="309B10F3"/>
    <w:rsid w:val="34281669"/>
    <w:rsid w:val="36C61474"/>
    <w:rsid w:val="3CC61F27"/>
    <w:rsid w:val="48E972FC"/>
    <w:rsid w:val="4F225E53"/>
    <w:rsid w:val="4F97175D"/>
    <w:rsid w:val="526E3FD4"/>
    <w:rsid w:val="572763C6"/>
    <w:rsid w:val="5F1F6488"/>
    <w:rsid w:val="656613CB"/>
    <w:rsid w:val="6A164BB8"/>
    <w:rsid w:val="77C4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6"/>
    <w:semiHidden/>
    <w:qFormat/>
    <w:uiPriority w:val="0"/>
    <w:pPr>
      <w:shd w:val="clear" w:color="auto" w:fill="000080"/>
    </w:pPr>
  </w:style>
  <w:style w:type="paragraph" w:styleId="10">
    <w:name w:val="annotation text"/>
    <w:basedOn w:val="1"/>
    <w:semiHidden/>
    <w:qFormat/>
    <w:uiPriority w:val="0"/>
  </w:style>
  <w:style w:type="paragraph" w:styleId="11">
    <w:name w:val="Body Text"/>
    <w:basedOn w:val="1"/>
    <w:semiHidden/>
    <w:qFormat/>
    <w:uiPriority w:val="0"/>
    <w:rPr>
      <w:rFonts w:eastAsia="隶书"/>
      <w:sz w:val="52"/>
    </w:rPr>
  </w:style>
  <w:style w:type="paragraph" w:styleId="12">
    <w:name w:val="Body Text Indent"/>
    <w:basedOn w:val="1"/>
    <w:semiHidden/>
    <w:qFormat/>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qFormat/>
    <w:uiPriority w:val="39"/>
    <w:pPr>
      <w:tabs>
        <w:tab w:val="right" w:leader="dot" w:pos="9072"/>
      </w:tabs>
      <w:spacing w:line="50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qFormat/>
    <w:uiPriority w:val="39"/>
    <w:pPr>
      <w:tabs>
        <w:tab w:val="right" w:leader="dot" w:pos="9072"/>
      </w:tabs>
      <w:spacing w:line="360" w:lineRule="auto"/>
      <w:ind w:left="48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qFormat/>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semiHidden/>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paragraph" w:customStyle="1" w:styleId="40">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paragraph" w:styleId="48">
    <w:name w:val="No Spacing"/>
    <w:link w:val="57"/>
    <w:qFormat/>
    <w:uiPriority w:val="1"/>
    <w:rPr>
      <w:rFonts w:ascii="Calibri" w:hAnsi="Calibri" w:eastAsia="宋体" w:cs="Times New Roman"/>
      <w:sz w:val="22"/>
      <w:szCs w:val="22"/>
      <w:lang w:val="en-US" w:eastAsia="zh-CN" w:bidi="ar-SA"/>
    </w:rPr>
  </w:style>
  <w:style w:type="character" w:customStyle="1" w:styleId="49">
    <w:name w:val="text1"/>
    <w:qFormat/>
    <w:uiPriority w:val="0"/>
    <w:rPr>
      <w:spacing w:val="10"/>
      <w:sz w:val="28"/>
      <w:szCs w:val="28"/>
    </w:rPr>
  </w:style>
  <w:style w:type="character" w:customStyle="1" w:styleId="50">
    <w:name w:val="unnamed11"/>
    <w:qFormat/>
    <w:uiPriority w:val="0"/>
    <w:rPr>
      <w:rFonts w:hint="eastAsia" w:ascii="宋体" w:hAnsi="宋体" w:eastAsia="宋体"/>
      <w:color w:val="000000"/>
      <w:sz w:val="18"/>
      <w:szCs w:val="18"/>
      <w:u w:val="none"/>
    </w:rPr>
  </w:style>
  <w:style w:type="character" w:customStyle="1" w:styleId="51">
    <w:name w:val="t12h291"/>
    <w:qFormat/>
    <w:uiPriority w:val="0"/>
    <w:rPr>
      <w:color w:val="000000"/>
      <w:sz w:val="24"/>
      <w:szCs w:val="24"/>
    </w:rPr>
  </w:style>
  <w:style w:type="character" w:customStyle="1" w:styleId="52">
    <w:name w:val="nr1"/>
    <w:qFormat/>
    <w:uiPriority w:val="0"/>
    <w:rPr>
      <w:rFonts w:hint="eastAsia" w:ascii="楷体_GB2312" w:eastAsia="楷体_GB2312"/>
      <w:color w:val="000000"/>
      <w:sz w:val="24"/>
      <w:szCs w:val="24"/>
    </w:rPr>
  </w:style>
  <w:style w:type="character" w:customStyle="1" w:styleId="53">
    <w:name w:val="标题 5 Char"/>
    <w:qFormat/>
    <w:uiPriority w:val="0"/>
    <w:rPr>
      <w:rFonts w:ascii="楷体_GB2312" w:eastAsia="楷体_GB2312"/>
      <w:color w:val="000000"/>
      <w:sz w:val="28"/>
    </w:rPr>
  </w:style>
  <w:style w:type="character" w:customStyle="1" w:styleId="54">
    <w:name w:val="页脚 Char"/>
    <w:link w:val="20"/>
    <w:qFormat/>
    <w:uiPriority w:val="99"/>
    <w:rPr>
      <w:sz w:val="18"/>
    </w:rPr>
  </w:style>
  <w:style w:type="character" w:customStyle="1" w:styleId="55">
    <w:name w:val="页眉 Char"/>
    <w:link w:val="21"/>
    <w:qFormat/>
    <w:uiPriority w:val="99"/>
    <w:rPr>
      <w:sz w:val="18"/>
    </w:rPr>
  </w:style>
  <w:style w:type="character" w:customStyle="1" w:styleId="56">
    <w:name w:val="文档结构图 Char"/>
    <w:link w:val="9"/>
    <w:semiHidden/>
    <w:qFormat/>
    <w:uiPriority w:val="0"/>
    <w:rPr>
      <w:sz w:val="24"/>
      <w:shd w:val="clear" w:color="auto" w:fill="000080"/>
    </w:rPr>
  </w:style>
  <w:style w:type="character" w:customStyle="1" w:styleId="57">
    <w:name w:val="无间隔 Char"/>
    <w:link w:val="48"/>
    <w:qFormat/>
    <w:uiPriority w:val="1"/>
    <w:rPr>
      <w:rFonts w:ascii="Calibri" w:hAnsi="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1541</Words>
  <Characters>8787</Characters>
  <Lines>73</Lines>
  <Paragraphs>20</Paragraphs>
  <TotalTime>4</TotalTime>
  <ScaleCrop>false</ScaleCrop>
  <LinksUpToDate>false</LinksUpToDate>
  <CharactersWithSpaces>10308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2020-05-12T04:45:00Z</dcterms:created>
  <dc:creator>djg</dc:creator>
  <cp:lastModifiedBy>俊然</cp:lastModifiedBy>
  <cp:lastPrinted>2021-09-09T01:34:00Z</cp:lastPrinted>
  <dcterms:modified xsi:type="dcterms:W3CDTF">2021-09-23T00:38:33Z</dcterms:modified>
  <dc:title>电 话：82253558  传真：82253565</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0A741366AC35407B877FA20FD5031712</vt:lpwstr>
  </property>
</Properties>
</file>